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89" w:rsidRPr="004C4563" w:rsidRDefault="00543943" w:rsidP="00476BD0">
      <w:pPr>
        <w:jc w:val="center"/>
        <w:rPr>
          <w:rFonts w:asciiTheme="majorBidi" w:hAnsiTheme="majorBidi" w:cstheme="majorBidi"/>
          <w:b/>
          <w:bCs/>
          <w:sz w:val="32"/>
          <w:szCs w:val="32"/>
        </w:rPr>
      </w:pPr>
      <w:r>
        <w:rPr>
          <w:rFonts w:asciiTheme="majorBidi" w:hAnsiTheme="majorBidi" w:cstheme="majorBidi"/>
          <w:b/>
          <w:bCs/>
          <w:sz w:val="32"/>
          <w:szCs w:val="32"/>
        </w:rPr>
        <w:t xml:space="preserve">Measuring </w:t>
      </w:r>
      <w:proofErr w:type="gramStart"/>
      <w:r w:rsidR="004C5D66">
        <w:rPr>
          <w:rFonts w:asciiTheme="majorBidi" w:hAnsiTheme="majorBidi" w:cstheme="majorBidi"/>
          <w:b/>
          <w:bCs/>
          <w:sz w:val="32"/>
          <w:szCs w:val="32"/>
        </w:rPr>
        <w:t>T</w:t>
      </w:r>
      <w:r w:rsidR="00575122">
        <w:rPr>
          <w:rFonts w:asciiTheme="majorBidi" w:hAnsiTheme="majorBidi" w:cstheme="majorBidi"/>
          <w:b/>
          <w:bCs/>
          <w:sz w:val="32"/>
          <w:szCs w:val="32"/>
        </w:rPr>
        <w:t>he</w:t>
      </w:r>
      <w:proofErr w:type="gramEnd"/>
      <w:r>
        <w:rPr>
          <w:rFonts w:asciiTheme="majorBidi" w:hAnsiTheme="majorBidi" w:cstheme="majorBidi"/>
          <w:b/>
          <w:bCs/>
          <w:sz w:val="32"/>
          <w:szCs w:val="32"/>
        </w:rPr>
        <w:t xml:space="preserve"> </w:t>
      </w:r>
      <w:r w:rsidR="00476BD0" w:rsidRPr="004C4563">
        <w:rPr>
          <w:rFonts w:asciiTheme="majorBidi" w:hAnsiTheme="majorBidi" w:cstheme="majorBidi"/>
          <w:b/>
          <w:bCs/>
          <w:sz w:val="32"/>
          <w:szCs w:val="32"/>
        </w:rPr>
        <w:t>Financial Performance of Islam</w:t>
      </w:r>
      <w:r w:rsidR="0031172B">
        <w:rPr>
          <w:rFonts w:asciiTheme="majorBidi" w:hAnsiTheme="majorBidi" w:cstheme="majorBidi"/>
          <w:b/>
          <w:bCs/>
          <w:sz w:val="32"/>
          <w:szCs w:val="32"/>
        </w:rPr>
        <w:t>ic Banks</w:t>
      </w:r>
    </w:p>
    <w:p w:rsidR="00476BD0" w:rsidRDefault="00476BD0" w:rsidP="00476BD0">
      <w:pPr>
        <w:jc w:val="center"/>
      </w:pPr>
    </w:p>
    <w:p w:rsidR="00476BD0" w:rsidRDefault="00476BD0" w:rsidP="00476BD0">
      <w:pPr>
        <w:jc w:val="center"/>
        <w:rPr>
          <w:rFonts w:asciiTheme="majorBidi" w:hAnsiTheme="majorBidi" w:cstheme="majorBidi"/>
          <w:b/>
          <w:bCs/>
          <w:sz w:val="28"/>
          <w:szCs w:val="28"/>
        </w:rPr>
      </w:pPr>
      <w:r w:rsidRPr="004C4563">
        <w:rPr>
          <w:rFonts w:asciiTheme="majorBidi" w:hAnsiTheme="majorBidi" w:cstheme="majorBidi"/>
          <w:b/>
          <w:bCs/>
          <w:sz w:val="28"/>
          <w:szCs w:val="28"/>
        </w:rPr>
        <w:t>Mukdad Ibrahim</w:t>
      </w:r>
    </w:p>
    <w:p w:rsidR="00A549D1" w:rsidRDefault="00A549D1" w:rsidP="00476BD0">
      <w:pPr>
        <w:jc w:val="center"/>
        <w:rPr>
          <w:rFonts w:asciiTheme="majorBidi" w:hAnsiTheme="majorBidi" w:cstheme="majorBidi"/>
          <w:b/>
          <w:bCs/>
          <w:sz w:val="28"/>
          <w:szCs w:val="28"/>
        </w:rPr>
      </w:pPr>
      <w:r>
        <w:rPr>
          <w:rFonts w:asciiTheme="majorBidi" w:hAnsiTheme="majorBidi" w:cstheme="majorBidi"/>
          <w:b/>
          <w:bCs/>
          <w:sz w:val="28"/>
          <w:szCs w:val="28"/>
        </w:rPr>
        <w:t>American University of Ras Al Khaimah</w:t>
      </w:r>
    </w:p>
    <w:p w:rsidR="00A549D1" w:rsidRDefault="00A549D1" w:rsidP="00476BD0">
      <w:pPr>
        <w:jc w:val="center"/>
        <w:rPr>
          <w:rFonts w:asciiTheme="majorBidi" w:hAnsiTheme="majorBidi" w:cstheme="majorBidi"/>
          <w:b/>
          <w:bCs/>
          <w:sz w:val="28"/>
          <w:szCs w:val="28"/>
        </w:rPr>
      </w:pPr>
      <w:r>
        <w:rPr>
          <w:rFonts w:asciiTheme="majorBidi" w:hAnsiTheme="majorBidi" w:cstheme="majorBidi"/>
          <w:b/>
          <w:bCs/>
          <w:sz w:val="28"/>
          <w:szCs w:val="28"/>
        </w:rPr>
        <w:t>Ras Al Khaimah P O Box 10021</w:t>
      </w:r>
    </w:p>
    <w:p w:rsidR="00A549D1" w:rsidRPr="004C4563" w:rsidRDefault="00A549D1" w:rsidP="00476BD0">
      <w:pPr>
        <w:jc w:val="center"/>
        <w:rPr>
          <w:rFonts w:asciiTheme="majorBidi" w:hAnsiTheme="majorBidi" w:cstheme="majorBidi"/>
          <w:b/>
          <w:bCs/>
          <w:sz w:val="28"/>
          <w:szCs w:val="28"/>
        </w:rPr>
      </w:pPr>
      <w:r>
        <w:rPr>
          <w:rFonts w:asciiTheme="majorBidi" w:hAnsiTheme="majorBidi" w:cstheme="majorBidi"/>
          <w:b/>
          <w:bCs/>
          <w:sz w:val="28"/>
          <w:szCs w:val="28"/>
        </w:rPr>
        <w:t>United Arab Emirates</w:t>
      </w:r>
    </w:p>
    <w:p w:rsidR="001B26C1" w:rsidRDefault="001B26C1" w:rsidP="00476BD0">
      <w:pPr>
        <w:jc w:val="center"/>
        <w:rPr>
          <w:b/>
          <w:bCs/>
          <w:sz w:val="28"/>
          <w:szCs w:val="28"/>
        </w:rPr>
      </w:pPr>
    </w:p>
    <w:p w:rsidR="001B26C1" w:rsidRDefault="001B26C1" w:rsidP="00476BD0">
      <w:pPr>
        <w:jc w:val="center"/>
        <w:rPr>
          <w:b/>
          <w:bCs/>
          <w:sz w:val="28"/>
          <w:szCs w:val="28"/>
        </w:rPr>
      </w:pPr>
      <w:r>
        <w:rPr>
          <w:b/>
          <w:bCs/>
          <w:sz w:val="28"/>
          <w:szCs w:val="28"/>
        </w:rPr>
        <w:t>Abstract</w:t>
      </w:r>
    </w:p>
    <w:p w:rsidR="001B26C1" w:rsidRDefault="001B26C1" w:rsidP="001B26C1">
      <w:pPr>
        <w:rPr>
          <w:rFonts w:asciiTheme="majorBidi" w:hAnsiTheme="majorBidi" w:cstheme="majorBidi"/>
          <w:sz w:val="24"/>
          <w:szCs w:val="24"/>
        </w:rPr>
      </w:pPr>
      <w:r>
        <w:rPr>
          <w:rFonts w:asciiTheme="majorBidi" w:hAnsiTheme="majorBidi" w:cstheme="majorBidi"/>
          <w:sz w:val="24"/>
          <w:szCs w:val="24"/>
        </w:rPr>
        <w:t>The aim of this paper is to measure the financial performance of two</w:t>
      </w:r>
      <w:r w:rsidR="00AF630B">
        <w:rPr>
          <w:rFonts w:asciiTheme="majorBidi" w:hAnsiTheme="majorBidi" w:cstheme="majorBidi"/>
          <w:sz w:val="24"/>
          <w:szCs w:val="24"/>
        </w:rPr>
        <w:t xml:space="preserve"> Islamic</w:t>
      </w:r>
      <w:r>
        <w:rPr>
          <w:rFonts w:asciiTheme="majorBidi" w:hAnsiTheme="majorBidi" w:cstheme="majorBidi"/>
          <w:sz w:val="24"/>
          <w:szCs w:val="24"/>
        </w:rPr>
        <w:t xml:space="preserve"> banks in United Arab</w:t>
      </w:r>
      <w:r w:rsidR="00AF630B">
        <w:rPr>
          <w:rFonts w:asciiTheme="majorBidi" w:hAnsiTheme="majorBidi" w:cstheme="majorBidi"/>
          <w:sz w:val="24"/>
          <w:szCs w:val="24"/>
        </w:rPr>
        <w:t xml:space="preserve"> Emirates for the period of 2003 to 2007</w:t>
      </w:r>
      <w:r>
        <w:rPr>
          <w:rFonts w:asciiTheme="majorBidi" w:hAnsiTheme="majorBidi" w:cstheme="majorBidi"/>
          <w:sz w:val="24"/>
          <w:szCs w:val="24"/>
        </w:rPr>
        <w:t xml:space="preserve">.  Different groups of ratios have been used to measure the performance and make a comparison between these two banks. The ratios which are used are going to measure liquidity, profitability, management capacity, capital structure and share performance ratios. </w:t>
      </w:r>
      <w:r w:rsidR="0010220E">
        <w:rPr>
          <w:rFonts w:asciiTheme="majorBidi" w:hAnsiTheme="majorBidi" w:cstheme="majorBidi"/>
          <w:sz w:val="24"/>
          <w:szCs w:val="24"/>
        </w:rPr>
        <w:t>The research go</w:t>
      </w:r>
      <w:r w:rsidR="005C7A01">
        <w:rPr>
          <w:rFonts w:asciiTheme="majorBidi" w:hAnsiTheme="majorBidi" w:cstheme="majorBidi"/>
          <w:sz w:val="24"/>
          <w:szCs w:val="24"/>
        </w:rPr>
        <w:t xml:space="preserve">es further step to measure the financial stability of the two banks. </w:t>
      </w:r>
      <w:r>
        <w:rPr>
          <w:rFonts w:asciiTheme="majorBidi" w:hAnsiTheme="majorBidi" w:cstheme="majorBidi"/>
          <w:sz w:val="24"/>
          <w:szCs w:val="24"/>
        </w:rPr>
        <w:t>Descriptive statistical analysis was used to rank the performance, measuring the dispersion and the stability of performance. The finding revealed that the both banks did well for the above period. Moreover, the liquidity leve</w:t>
      </w:r>
      <w:r w:rsidR="00C07E42">
        <w:rPr>
          <w:rFonts w:asciiTheme="majorBidi" w:hAnsiTheme="majorBidi" w:cstheme="majorBidi"/>
          <w:sz w:val="24"/>
          <w:szCs w:val="24"/>
        </w:rPr>
        <w:t>l is lower in</w:t>
      </w:r>
      <w:r>
        <w:rPr>
          <w:rFonts w:asciiTheme="majorBidi" w:hAnsiTheme="majorBidi" w:cstheme="majorBidi"/>
          <w:sz w:val="24"/>
          <w:szCs w:val="24"/>
        </w:rPr>
        <w:t xml:space="preserve"> Dubai</w:t>
      </w:r>
      <w:r w:rsidR="00C07E42">
        <w:rPr>
          <w:rFonts w:asciiTheme="majorBidi" w:hAnsiTheme="majorBidi" w:cstheme="majorBidi"/>
          <w:sz w:val="24"/>
          <w:szCs w:val="24"/>
        </w:rPr>
        <w:t xml:space="preserve"> Islamic bank than its counterpart, while</w:t>
      </w:r>
      <w:r>
        <w:rPr>
          <w:rFonts w:asciiTheme="majorBidi" w:hAnsiTheme="majorBidi" w:cstheme="majorBidi"/>
          <w:sz w:val="24"/>
          <w:szCs w:val="24"/>
        </w:rPr>
        <w:t xml:space="preserve"> the profitability level is</w:t>
      </w:r>
      <w:r w:rsidR="00C07E42">
        <w:rPr>
          <w:rFonts w:asciiTheme="majorBidi" w:hAnsiTheme="majorBidi" w:cstheme="majorBidi"/>
          <w:sz w:val="24"/>
          <w:szCs w:val="24"/>
        </w:rPr>
        <w:t xml:space="preserve"> much higher in</w:t>
      </w:r>
      <w:r w:rsidR="00637EE8">
        <w:rPr>
          <w:rFonts w:asciiTheme="majorBidi" w:hAnsiTheme="majorBidi" w:cstheme="majorBidi"/>
          <w:sz w:val="24"/>
          <w:szCs w:val="24"/>
        </w:rPr>
        <w:t xml:space="preserve"> Dubai Islamic bank than in Abu Dhabi bank</w:t>
      </w:r>
      <w:r w:rsidR="00C07E42">
        <w:rPr>
          <w:rFonts w:asciiTheme="majorBidi" w:hAnsiTheme="majorBidi" w:cstheme="majorBidi"/>
          <w:sz w:val="24"/>
          <w:szCs w:val="24"/>
        </w:rPr>
        <w:t xml:space="preserve">. </w:t>
      </w:r>
      <w:r>
        <w:rPr>
          <w:rFonts w:asciiTheme="majorBidi" w:hAnsiTheme="majorBidi" w:cstheme="majorBidi"/>
          <w:sz w:val="24"/>
          <w:szCs w:val="24"/>
        </w:rPr>
        <w:t>Dubai</w:t>
      </w:r>
      <w:r w:rsidR="00C07E42">
        <w:rPr>
          <w:rFonts w:asciiTheme="majorBidi" w:hAnsiTheme="majorBidi" w:cstheme="majorBidi"/>
          <w:sz w:val="24"/>
          <w:szCs w:val="24"/>
        </w:rPr>
        <w:t xml:space="preserve"> Islamic bank</w:t>
      </w:r>
      <w:r>
        <w:rPr>
          <w:rFonts w:asciiTheme="majorBidi" w:hAnsiTheme="majorBidi" w:cstheme="majorBidi"/>
          <w:sz w:val="24"/>
          <w:szCs w:val="24"/>
        </w:rPr>
        <w:t xml:space="preserve"> has mange its operation more </w:t>
      </w:r>
      <w:r w:rsidR="00C07E42">
        <w:rPr>
          <w:rFonts w:asciiTheme="majorBidi" w:hAnsiTheme="majorBidi" w:cstheme="majorBidi"/>
          <w:sz w:val="24"/>
          <w:szCs w:val="24"/>
        </w:rPr>
        <w:t>than</w:t>
      </w:r>
      <w:r>
        <w:rPr>
          <w:rFonts w:asciiTheme="majorBidi" w:hAnsiTheme="majorBidi" w:cstheme="majorBidi"/>
          <w:sz w:val="24"/>
          <w:szCs w:val="24"/>
        </w:rPr>
        <w:t xml:space="preserve"> Abu Dhabi </w:t>
      </w:r>
      <w:r w:rsidR="00C07E42">
        <w:rPr>
          <w:rFonts w:asciiTheme="majorBidi" w:hAnsiTheme="majorBidi" w:cstheme="majorBidi"/>
          <w:sz w:val="24"/>
          <w:szCs w:val="24"/>
        </w:rPr>
        <w:t xml:space="preserve">Islamic bank </w:t>
      </w:r>
      <w:r>
        <w:rPr>
          <w:rFonts w:asciiTheme="majorBidi" w:hAnsiTheme="majorBidi" w:cstheme="majorBidi"/>
          <w:sz w:val="24"/>
          <w:szCs w:val="24"/>
        </w:rPr>
        <w:t>and has a stronger capital structure. The four ratios of share performanc</w:t>
      </w:r>
      <w:r w:rsidR="009335BF">
        <w:rPr>
          <w:rFonts w:asciiTheme="majorBidi" w:hAnsiTheme="majorBidi" w:cstheme="majorBidi"/>
          <w:sz w:val="24"/>
          <w:szCs w:val="24"/>
        </w:rPr>
        <w:t>e indicted that</w:t>
      </w:r>
      <w:r>
        <w:rPr>
          <w:rFonts w:asciiTheme="majorBidi" w:hAnsiTheme="majorBidi" w:cstheme="majorBidi"/>
          <w:sz w:val="24"/>
          <w:szCs w:val="24"/>
        </w:rPr>
        <w:t xml:space="preserve"> Abu Dhabi</w:t>
      </w:r>
      <w:r w:rsidR="00423407">
        <w:rPr>
          <w:rFonts w:asciiTheme="majorBidi" w:hAnsiTheme="majorBidi" w:cstheme="majorBidi"/>
          <w:sz w:val="24"/>
          <w:szCs w:val="24"/>
        </w:rPr>
        <w:t xml:space="preserve"> Islamic bank is</w:t>
      </w:r>
      <w:r>
        <w:rPr>
          <w:rFonts w:asciiTheme="majorBidi" w:hAnsiTheme="majorBidi" w:cstheme="majorBidi"/>
          <w:sz w:val="24"/>
          <w:szCs w:val="24"/>
        </w:rPr>
        <w:t xml:space="preserve"> better </w:t>
      </w:r>
      <w:r w:rsidR="009335BF">
        <w:rPr>
          <w:rFonts w:asciiTheme="majorBidi" w:hAnsiTheme="majorBidi" w:cstheme="majorBidi"/>
          <w:sz w:val="24"/>
          <w:szCs w:val="24"/>
        </w:rPr>
        <w:t>off thank</w:t>
      </w:r>
      <w:r>
        <w:rPr>
          <w:rFonts w:asciiTheme="majorBidi" w:hAnsiTheme="majorBidi" w:cstheme="majorBidi"/>
          <w:sz w:val="24"/>
          <w:szCs w:val="24"/>
        </w:rPr>
        <w:t xml:space="preserve"> Dubai</w:t>
      </w:r>
      <w:r w:rsidR="009335BF">
        <w:rPr>
          <w:rFonts w:asciiTheme="majorBidi" w:hAnsiTheme="majorBidi" w:cstheme="majorBidi"/>
          <w:sz w:val="24"/>
          <w:szCs w:val="24"/>
        </w:rPr>
        <w:t xml:space="preserve"> Islamic bank</w:t>
      </w:r>
      <w:r>
        <w:rPr>
          <w:rFonts w:asciiTheme="majorBidi" w:hAnsiTheme="majorBidi" w:cstheme="majorBidi"/>
          <w:sz w:val="24"/>
          <w:szCs w:val="24"/>
        </w:rPr>
        <w:t>.</w:t>
      </w:r>
      <w:r w:rsidR="00575122">
        <w:rPr>
          <w:rFonts w:asciiTheme="majorBidi" w:hAnsiTheme="majorBidi" w:cstheme="majorBidi"/>
          <w:sz w:val="24"/>
          <w:szCs w:val="24"/>
        </w:rPr>
        <w:t xml:space="preserve"> Finally</w:t>
      </w:r>
      <w:r w:rsidR="00D41C96">
        <w:rPr>
          <w:rFonts w:asciiTheme="majorBidi" w:hAnsiTheme="majorBidi" w:cstheme="majorBidi"/>
          <w:sz w:val="24"/>
          <w:szCs w:val="24"/>
        </w:rPr>
        <w:t>, Abu Dhabi bank had a high level of stability than Dubai Islamic bank.</w:t>
      </w:r>
    </w:p>
    <w:p w:rsidR="001B26C1" w:rsidRDefault="00A37168" w:rsidP="001B26C1">
      <w:pPr>
        <w:rPr>
          <w:rFonts w:asciiTheme="majorBidi" w:hAnsiTheme="majorBidi" w:cstheme="majorBidi"/>
          <w:sz w:val="24"/>
          <w:szCs w:val="24"/>
        </w:rPr>
      </w:pPr>
      <w:r>
        <w:rPr>
          <w:rFonts w:asciiTheme="majorBidi" w:hAnsiTheme="majorBidi" w:cstheme="majorBidi"/>
          <w:sz w:val="24"/>
          <w:szCs w:val="24"/>
        </w:rPr>
        <w:t>Keywor</w:t>
      </w:r>
      <w:r w:rsidR="005964B0">
        <w:rPr>
          <w:rFonts w:asciiTheme="majorBidi" w:hAnsiTheme="majorBidi" w:cstheme="majorBidi"/>
          <w:sz w:val="24"/>
          <w:szCs w:val="24"/>
        </w:rPr>
        <w:t>ds: Financial Performance, Financial</w:t>
      </w:r>
      <w:r>
        <w:rPr>
          <w:rFonts w:asciiTheme="majorBidi" w:hAnsiTheme="majorBidi" w:cstheme="majorBidi"/>
          <w:sz w:val="24"/>
          <w:szCs w:val="24"/>
        </w:rPr>
        <w:t xml:space="preserve"> Analysis, Islamic Banking, United Arab Emirates</w:t>
      </w:r>
    </w:p>
    <w:p w:rsidR="001B26C1" w:rsidRPr="009470BA" w:rsidRDefault="001B26C1" w:rsidP="001B26C1">
      <w:pPr>
        <w:rPr>
          <w:rFonts w:asciiTheme="majorBidi" w:hAnsiTheme="majorBidi" w:cstheme="majorBidi"/>
          <w:sz w:val="24"/>
          <w:szCs w:val="24"/>
        </w:rPr>
      </w:pPr>
    </w:p>
    <w:p w:rsidR="001B26C1" w:rsidRDefault="001B26C1" w:rsidP="001B26C1">
      <w:pPr>
        <w:jc w:val="center"/>
        <w:rPr>
          <w:rFonts w:asciiTheme="majorBidi" w:hAnsiTheme="majorBidi" w:cstheme="majorBidi"/>
          <w:b/>
          <w:bCs/>
          <w:sz w:val="24"/>
          <w:szCs w:val="24"/>
        </w:rPr>
      </w:pPr>
      <w:r>
        <w:rPr>
          <w:rFonts w:asciiTheme="majorBidi" w:hAnsiTheme="majorBidi" w:cstheme="majorBidi"/>
          <w:b/>
          <w:bCs/>
          <w:sz w:val="24"/>
          <w:szCs w:val="24"/>
        </w:rPr>
        <w:t>Introduction</w:t>
      </w:r>
    </w:p>
    <w:p w:rsidR="001B26C1" w:rsidRPr="003F5668" w:rsidRDefault="001B26C1" w:rsidP="001B26C1">
      <w:pPr>
        <w:rPr>
          <w:rFonts w:asciiTheme="majorBidi" w:hAnsiTheme="majorBidi" w:cstheme="majorBidi"/>
          <w:sz w:val="24"/>
          <w:szCs w:val="24"/>
        </w:rPr>
      </w:pPr>
      <w:r>
        <w:rPr>
          <w:rFonts w:asciiTheme="majorBidi" w:hAnsiTheme="majorBidi" w:cstheme="majorBidi"/>
          <w:sz w:val="24"/>
          <w:szCs w:val="24"/>
        </w:rPr>
        <w:t xml:space="preserve">A commercial bank’s performance is examined for various reasons. Bank regulators identify banks that are experiencing severe problems so that they can remedy them. Shareholders need to determine whether they should buy or sell the stock of various banks. Investment analysts must be able to advise prospective investors on which banks to invest in. Furthermore, commercial banks evaluate their own performance over time to determine the outcomes of previous management decisions so that changes can be made where appropriate. Without persistent </w:t>
      </w:r>
      <w:r>
        <w:rPr>
          <w:rFonts w:asciiTheme="majorBidi" w:hAnsiTheme="majorBidi" w:cstheme="majorBidi"/>
          <w:sz w:val="24"/>
          <w:szCs w:val="24"/>
        </w:rPr>
        <w:lastRenderedPageBreak/>
        <w:t xml:space="preserve">monitoring of performance, existing problems can remain unnoticed and lead to financial failure in the future. </w:t>
      </w:r>
    </w:p>
    <w:p w:rsidR="001B26C1" w:rsidRDefault="001B26C1" w:rsidP="001B26C1">
      <w:pPr>
        <w:rPr>
          <w:rFonts w:asciiTheme="majorBidi" w:hAnsiTheme="majorBidi" w:cstheme="majorBidi"/>
          <w:sz w:val="24"/>
          <w:szCs w:val="24"/>
        </w:rPr>
      </w:pPr>
    </w:p>
    <w:p w:rsidR="00965F64" w:rsidRDefault="00965F64" w:rsidP="00146E47">
      <w:pPr>
        <w:rPr>
          <w:rFonts w:asciiTheme="majorBidi" w:hAnsiTheme="majorBidi" w:cstheme="majorBidi"/>
          <w:b/>
          <w:bCs/>
          <w:sz w:val="24"/>
          <w:szCs w:val="24"/>
        </w:rPr>
      </w:pPr>
    </w:p>
    <w:p w:rsidR="001B26C1" w:rsidRDefault="001B26C1" w:rsidP="001B26C1">
      <w:pPr>
        <w:jc w:val="center"/>
        <w:rPr>
          <w:rFonts w:asciiTheme="majorBidi" w:hAnsiTheme="majorBidi" w:cstheme="majorBidi"/>
          <w:b/>
          <w:bCs/>
          <w:sz w:val="24"/>
          <w:szCs w:val="24"/>
        </w:rPr>
      </w:pPr>
      <w:r>
        <w:rPr>
          <w:rFonts w:asciiTheme="majorBidi" w:hAnsiTheme="majorBidi" w:cstheme="majorBidi"/>
          <w:b/>
          <w:bCs/>
          <w:sz w:val="24"/>
          <w:szCs w:val="24"/>
        </w:rPr>
        <w:t>Research Objectives</w:t>
      </w:r>
    </w:p>
    <w:p w:rsidR="001B26C1" w:rsidRPr="001A01A0" w:rsidRDefault="001B26C1" w:rsidP="001B26C1">
      <w:pPr>
        <w:rPr>
          <w:rFonts w:asciiTheme="majorBidi" w:hAnsiTheme="majorBidi" w:cstheme="majorBidi"/>
          <w:sz w:val="24"/>
          <w:szCs w:val="24"/>
        </w:rPr>
      </w:pPr>
      <w:r w:rsidRPr="001A01A0">
        <w:rPr>
          <w:rFonts w:asciiTheme="majorBidi" w:hAnsiTheme="majorBidi" w:cstheme="majorBidi"/>
          <w:sz w:val="24"/>
          <w:szCs w:val="24"/>
        </w:rPr>
        <w:t>The overall objectives of this research is to measure the performance of two l</w:t>
      </w:r>
      <w:r w:rsidR="00FC02B8">
        <w:rPr>
          <w:rFonts w:asciiTheme="majorBidi" w:hAnsiTheme="majorBidi" w:cstheme="majorBidi"/>
          <w:sz w:val="24"/>
          <w:szCs w:val="24"/>
        </w:rPr>
        <w:t>eading private sector Islamic</w:t>
      </w:r>
      <w:r w:rsidRPr="001A01A0">
        <w:rPr>
          <w:rFonts w:asciiTheme="majorBidi" w:hAnsiTheme="majorBidi" w:cstheme="majorBidi"/>
          <w:sz w:val="24"/>
          <w:szCs w:val="24"/>
        </w:rPr>
        <w:t xml:space="preserve"> banks using five groups of financial ratios that will indicates the performance d</w:t>
      </w:r>
      <w:r w:rsidR="00965F64">
        <w:rPr>
          <w:rFonts w:asciiTheme="majorBidi" w:hAnsiTheme="majorBidi" w:cstheme="majorBidi"/>
          <w:sz w:val="24"/>
          <w:szCs w:val="24"/>
        </w:rPr>
        <w:t>evelopments over the period 2003-2007</w:t>
      </w:r>
      <w:r w:rsidRPr="001A01A0">
        <w:rPr>
          <w:rFonts w:asciiTheme="majorBidi" w:hAnsiTheme="majorBidi" w:cstheme="majorBidi"/>
          <w:sz w:val="24"/>
          <w:szCs w:val="24"/>
        </w:rPr>
        <w:t>. Moreover, the study will make comparative assessment of the performance between the two banks.</w:t>
      </w:r>
    </w:p>
    <w:p w:rsidR="001B26C1" w:rsidRDefault="001B26C1" w:rsidP="001B26C1">
      <w:pPr>
        <w:jc w:val="center"/>
        <w:rPr>
          <w:rFonts w:asciiTheme="majorBidi" w:hAnsiTheme="majorBidi" w:cstheme="majorBidi"/>
          <w:b/>
          <w:bCs/>
          <w:sz w:val="24"/>
          <w:szCs w:val="24"/>
        </w:rPr>
      </w:pPr>
    </w:p>
    <w:p w:rsidR="001B26C1" w:rsidRDefault="001B26C1" w:rsidP="001B26C1">
      <w:pPr>
        <w:jc w:val="center"/>
        <w:rPr>
          <w:rFonts w:asciiTheme="majorBidi" w:hAnsiTheme="majorBidi" w:cstheme="majorBidi"/>
          <w:b/>
          <w:bCs/>
          <w:sz w:val="24"/>
          <w:szCs w:val="24"/>
        </w:rPr>
      </w:pPr>
      <w:r>
        <w:rPr>
          <w:rFonts w:asciiTheme="majorBidi" w:hAnsiTheme="majorBidi" w:cstheme="majorBidi"/>
          <w:b/>
          <w:bCs/>
          <w:sz w:val="24"/>
          <w:szCs w:val="24"/>
        </w:rPr>
        <w:t>Research Methodology</w:t>
      </w:r>
    </w:p>
    <w:p w:rsidR="001B26C1" w:rsidRPr="009470BA" w:rsidRDefault="001B26C1" w:rsidP="001B26C1">
      <w:pPr>
        <w:rPr>
          <w:rFonts w:asciiTheme="majorBidi" w:hAnsiTheme="majorBidi" w:cstheme="majorBidi"/>
          <w:sz w:val="24"/>
          <w:szCs w:val="24"/>
        </w:rPr>
      </w:pPr>
      <w:r>
        <w:rPr>
          <w:rFonts w:asciiTheme="majorBidi" w:hAnsiTheme="majorBidi" w:cstheme="majorBidi"/>
          <w:sz w:val="24"/>
          <w:szCs w:val="24"/>
        </w:rPr>
        <w:t>To measure the financial performance and make a compar</w:t>
      </w:r>
      <w:r w:rsidR="004D6505">
        <w:rPr>
          <w:rFonts w:asciiTheme="majorBidi" w:hAnsiTheme="majorBidi" w:cstheme="majorBidi"/>
          <w:sz w:val="24"/>
          <w:szCs w:val="24"/>
        </w:rPr>
        <w:t xml:space="preserve">ison between </w:t>
      </w:r>
      <w:r>
        <w:rPr>
          <w:rFonts w:asciiTheme="majorBidi" w:hAnsiTheme="majorBidi" w:cstheme="majorBidi"/>
          <w:sz w:val="24"/>
          <w:szCs w:val="24"/>
        </w:rPr>
        <w:t xml:space="preserve">Dubai </w:t>
      </w:r>
      <w:r w:rsidR="004D6505">
        <w:rPr>
          <w:rFonts w:asciiTheme="majorBidi" w:hAnsiTheme="majorBidi" w:cstheme="majorBidi"/>
          <w:sz w:val="24"/>
          <w:szCs w:val="24"/>
        </w:rPr>
        <w:t>Islamic bank and Abu Dhabi Islamic bank</w:t>
      </w:r>
      <w:r>
        <w:rPr>
          <w:rFonts w:asciiTheme="majorBidi" w:hAnsiTheme="majorBidi" w:cstheme="majorBidi"/>
          <w:sz w:val="24"/>
          <w:szCs w:val="24"/>
        </w:rPr>
        <w:t>, the research</w:t>
      </w:r>
      <w:r w:rsidR="004D6505">
        <w:rPr>
          <w:rFonts w:asciiTheme="majorBidi" w:hAnsiTheme="majorBidi" w:cstheme="majorBidi"/>
          <w:sz w:val="24"/>
          <w:szCs w:val="24"/>
        </w:rPr>
        <w:t>er</w:t>
      </w:r>
      <w:r>
        <w:rPr>
          <w:rFonts w:asciiTheme="majorBidi" w:hAnsiTheme="majorBidi" w:cstheme="majorBidi"/>
          <w:sz w:val="24"/>
          <w:szCs w:val="24"/>
        </w:rPr>
        <w:t xml:space="preserve"> is going to use five main groups of parameters. In each group, different ratios are going to employee to measure the performance. These ratios are going to be ranked for comparison purpose. The data for this research was obtained from Abu Dhabi financial service company. The descriptive measurements are going to be used to measure the performance and the stability of </w:t>
      </w:r>
      <w:r w:rsidR="00E73CC0">
        <w:rPr>
          <w:rFonts w:asciiTheme="majorBidi" w:hAnsiTheme="majorBidi" w:cstheme="majorBidi"/>
          <w:sz w:val="24"/>
          <w:szCs w:val="24"/>
        </w:rPr>
        <w:t>these ratios over the years 2003-2007</w:t>
      </w:r>
      <w:r>
        <w:rPr>
          <w:rFonts w:asciiTheme="majorBidi" w:hAnsiTheme="majorBidi" w:cstheme="majorBidi"/>
          <w:sz w:val="24"/>
          <w:szCs w:val="24"/>
        </w:rPr>
        <w:t>.</w:t>
      </w:r>
      <w:r w:rsidR="00FC02B8">
        <w:rPr>
          <w:rFonts w:asciiTheme="majorBidi" w:hAnsiTheme="majorBidi" w:cstheme="majorBidi"/>
          <w:sz w:val="24"/>
          <w:szCs w:val="24"/>
        </w:rPr>
        <w:t xml:space="preserve"> Z-score measurement is going to be used to measure the stability level of the two banks.</w:t>
      </w:r>
    </w:p>
    <w:p w:rsidR="001B26C1" w:rsidRPr="00553ABB" w:rsidRDefault="001B26C1" w:rsidP="001B26C1">
      <w:pPr>
        <w:rPr>
          <w:b/>
          <w:bCs/>
          <w:sz w:val="28"/>
          <w:szCs w:val="28"/>
        </w:rPr>
      </w:pPr>
    </w:p>
    <w:p w:rsidR="00646B5A" w:rsidRPr="004C4563" w:rsidRDefault="001B26C1">
      <w:pPr>
        <w:rPr>
          <w:rFonts w:asciiTheme="majorBidi" w:hAnsiTheme="majorBidi" w:cstheme="majorBidi"/>
          <w:b/>
          <w:bCs/>
          <w:sz w:val="24"/>
          <w:szCs w:val="24"/>
        </w:rPr>
      </w:pPr>
      <w:r w:rsidRPr="004C4563">
        <w:rPr>
          <w:rFonts w:asciiTheme="majorBidi" w:hAnsiTheme="majorBidi" w:cstheme="majorBidi"/>
          <w:b/>
          <w:bCs/>
          <w:sz w:val="24"/>
          <w:szCs w:val="24"/>
        </w:rPr>
        <w:t>Literature Review</w:t>
      </w:r>
    </w:p>
    <w:p w:rsidR="00646B5A" w:rsidRPr="004C4563" w:rsidRDefault="00646B5A" w:rsidP="002E0AC1">
      <w:pPr>
        <w:rPr>
          <w:rFonts w:asciiTheme="majorBidi" w:hAnsiTheme="majorBidi" w:cstheme="majorBidi"/>
          <w:sz w:val="24"/>
          <w:szCs w:val="24"/>
        </w:rPr>
      </w:pPr>
      <w:r w:rsidRPr="004C4563">
        <w:rPr>
          <w:rFonts w:asciiTheme="majorBidi" w:hAnsiTheme="majorBidi" w:cstheme="majorBidi"/>
          <w:sz w:val="24"/>
          <w:szCs w:val="24"/>
        </w:rPr>
        <w:t>Ahmed (2010) investigated the performance of Islamic banks in Pakistan. In this study, Ahmed applied non-financial measures based on an eight item scale to sasses the performance of the Islamic banks.</w:t>
      </w:r>
      <w:r w:rsidR="00150F2B" w:rsidRPr="004C4563">
        <w:rPr>
          <w:rFonts w:asciiTheme="majorBidi" w:hAnsiTheme="majorBidi" w:cstheme="majorBidi"/>
          <w:sz w:val="24"/>
          <w:szCs w:val="24"/>
        </w:rPr>
        <w:t xml:space="preserve">  He selected six full-fledged Islamic banks and measure</w:t>
      </w:r>
      <w:r w:rsidR="002E0AC1" w:rsidRPr="004C4563">
        <w:rPr>
          <w:rFonts w:asciiTheme="majorBidi" w:hAnsiTheme="majorBidi" w:cstheme="majorBidi"/>
          <w:sz w:val="24"/>
          <w:szCs w:val="24"/>
        </w:rPr>
        <w:t>d</w:t>
      </w:r>
      <w:r w:rsidR="00150F2B" w:rsidRPr="004C4563">
        <w:rPr>
          <w:rFonts w:asciiTheme="majorBidi" w:hAnsiTheme="majorBidi" w:cstheme="majorBidi"/>
          <w:sz w:val="24"/>
          <w:szCs w:val="24"/>
        </w:rPr>
        <w:t xml:space="preserve"> their performance by using modified version of an eight-item research instrument developed by Quinn &amp; </w:t>
      </w:r>
      <w:proofErr w:type="spellStart"/>
      <w:r w:rsidR="00150F2B" w:rsidRPr="004C4563">
        <w:rPr>
          <w:rFonts w:asciiTheme="majorBidi" w:hAnsiTheme="majorBidi" w:cstheme="majorBidi"/>
          <w:sz w:val="24"/>
          <w:szCs w:val="24"/>
        </w:rPr>
        <w:t>Rohrbaugh</w:t>
      </w:r>
      <w:proofErr w:type="spellEnd"/>
      <w:r w:rsidR="00150F2B" w:rsidRPr="004C4563">
        <w:rPr>
          <w:rFonts w:asciiTheme="majorBidi" w:hAnsiTheme="majorBidi" w:cstheme="majorBidi"/>
          <w:sz w:val="24"/>
          <w:szCs w:val="24"/>
        </w:rPr>
        <w:t xml:space="preserve"> (1983). </w:t>
      </w:r>
      <w:r w:rsidR="00437C93" w:rsidRPr="004C4563">
        <w:rPr>
          <w:rFonts w:asciiTheme="majorBidi" w:hAnsiTheme="majorBidi" w:cstheme="majorBidi"/>
          <w:sz w:val="24"/>
          <w:szCs w:val="24"/>
        </w:rPr>
        <w:t xml:space="preserve">The responses were recorded regarding bank performance by considering different aspects. Every respondent was </w:t>
      </w:r>
      <w:r w:rsidR="00DF1B0C" w:rsidRPr="004C4563">
        <w:rPr>
          <w:rFonts w:asciiTheme="majorBidi" w:hAnsiTheme="majorBidi" w:cstheme="majorBidi"/>
          <w:sz w:val="24"/>
          <w:szCs w:val="24"/>
        </w:rPr>
        <w:t>asked to</w:t>
      </w:r>
      <w:r w:rsidR="00437C93" w:rsidRPr="004C4563">
        <w:rPr>
          <w:rFonts w:asciiTheme="majorBidi" w:hAnsiTheme="majorBidi" w:cstheme="majorBidi"/>
          <w:sz w:val="24"/>
          <w:szCs w:val="24"/>
        </w:rPr>
        <w:t xml:space="preserve"> rank a number of aspects regarding his/her bank. These responses were </w:t>
      </w:r>
      <w:r w:rsidR="00E778CE" w:rsidRPr="004C4563">
        <w:rPr>
          <w:rFonts w:asciiTheme="majorBidi" w:hAnsiTheme="majorBidi" w:cstheme="majorBidi"/>
          <w:sz w:val="24"/>
          <w:szCs w:val="24"/>
        </w:rPr>
        <w:t>recorded from</w:t>
      </w:r>
      <w:r w:rsidR="00437C93" w:rsidRPr="004C4563">
        <w:rPr>
          <w:rFonts w:asciiTheme="majorBidi" w:hAnsiTheme="majorBidi" w:cstheme="majorBidi"/>
          <w:sz w:val="24"/>
          <w:szCs w:val="24"/>
        </w:rPr>
        <w:t xml:space="preserve"> 432 bankers through simple random sampling technique. </w:t>
      </w:r>
      <w:r w:rsidRPr="004C4563">
        <w:rPr>
          <w:rFonts w:asciiTheme="majorBidi" w:hAnsiTheme="majorBidi" w:cstheme="majorBidi"/>
          <w:sz w:val="24"/>
          <w:szCs w:val="24"/>
        </w:rPr>
        <w:t xml:space="preserve"> </w:t>
      </w:r>
      <w:r w:rsidR="00E778CE" w:rsidRPr="004C4563">
        <w:rPr>
          <w:rFonts w:asciiTheme="majorBidi" w:hAnsiTheme="majorBidi" w:cstheme="majorBidi"/>
          <w:sz w:val="24"/>
          <w:szCs w:val="24"/>
        </w:rPr>
        <w:t>The results show that bankers consider product quality, profitability, and productivity as more important indicators of performance with increasing evolution towards these items. The personnel voluntary rotation and personnel absenteeism are ranked low due to decreasing evolution among bankers.</w:t>
      </w:r>
    </w:p>
    <w:p w:rsidR="00DF1B0C" w:rsidRPr="004C4563" w:rsidRDefault="00DF1B0C" w:rsidP="005078FB">
      <w:pPr>
        <w:rPr>
          <w:rFonts w:asciiTheme="majorBidi" w:hAnsiTheme="majorBidi" w:cstheme="majorBidi"/>
          <w:sz w:val="24"/>
          <w:szCs w:val="24"/>
        </w:rPr>
      </w:pPr>
      <w:proofErr w:type="spellStart"/>
      <w:r w:rsidRPr="004C4563">
        <w:rPr>
          <w:rFonts w:asciiTheme="majorBidi" w:hAnsiTheme="majorBidi" w:cstheme="majorBidi"/>
          <w:sz w:val="24"/>
          <w:szCs w:val="24"/>
        </w:rPr>
        <w:t>Abduh</w:t>
      </w:r>
      <w:proofErr w:type="spellEnd"/>
      <w:r w:rsidRPr="004C4563">
        <w:rPr>
          <w:rFonts w:asciiTheme="majorBidi" w:hAnsiTheme="majorBidi" w:cstheme="majorBidi"/>
          <w:sz w:val="24"/>
          <w:szCs w:val="24"/>
        </w:rPr>
        <w:t xml:space="preserve">, Hasan and </w:t>
      </w:r>
      <w:proofErr w:type="spellStart"/>
      <w:r w:rsidRPr="004C4563">
        <w:rPr>
          <w:rFonts w:asciiTheme="majorBidi" w:hAnsiTheme="majorBidi" w:cstheme="majorBidi"/>
          <w:sz w:val="24"/>
          <w:szCs w:val="24"/>
        </w:rPr>
        <w:t>Pananjung</w:t>
      </w:r>
      <w:proofErr w:type="spellEnd"/>
      <w:r w:rsidRPr="004C4563">
        <w:rPr>
          <w:rFonts w:asciiTheme="majorBidi" w:hAnsiTheme="majorBidi" w:cstheme="majorBidi"/>
          <w:sz w:val="24"/>
          <w:szCs w:val="24"/>
        </w:rPr>
        <w:t xml:space="preserve"> (2013) </w:t>
      </w:r>
      <w:r w:rsidR="00F45FE5" w:rsidRPr="004C4563">
        <w:rPr>
          <w:rFonts w:asciiTheme="majorBidi" w:hAnsiTheme="majorBidi" w:cstheme="majorBidi"/>
          <w:sz w:val="24"/>
          <w:szCs w:val="24"/>
        </w:rPr>
        <w:t>investigated</w:t>
      </w:r>
      <w:r w:rsidRPr="004C4563">
        <w:rPr>
          <w:rFonts w:asciiTheme="majorBidi" w:hAnsiTheme="majorBidi" w:cstheme="majorBidi"/>
          <w:sz w:val="24"/>
          <w:szCs w:val="24"/>
        </w:rPr>
        <w:t xml:space="preserve"> the efficiency and performance of f</w:t>
      </w:r>
      <w:r w:rsidR="00F45FE5" w:rsidRPr="004C4563">
        <w:rPr>
          <w:rFonts w:asciiTheme="majorBidi" w:hAnsiTheme="majorBidi" w:cstheme="majorBidi"/>
          <w:sz w:val="24"/>
          <w:szCs w:val="24"/>
        </w:rPr>
        <w:t xml:space="preserve">ive Islamic banks in Bangladesh. Their data were collected through the published annual reports of the five </w:t>
      </w:r>
      <w:r w:rsidR="00F45FE5" w:rsidRPr="004C4563">
        <w:rPr>
          <w:rFonts w:asciiTheme="majorBidi" w:hAnsiTheme="majorBidi" w:cstheme="majorBidi"/>
          <w:sz w:val="24"/>
          <w:szCs w:val="24"/>
        </w:rPr>
        <w:lastRenderedPageBreak/>
        <w:t xml:space="preserve">banks from the year of 2006 to 2010. </w:t>
      </w:r>
      <w:r w:rsidR="00BC4549" w:rsidRPr="004C4563">
        <w:rPr>
          <w:rFonts w:asciiTheme="majorBidi" w:hAnsiTheme="majorBidi" w:cstheme="majorBidi"/>
          <w:sz w:val="24"/>
          <w:szCs w:val="24"/>
        </w:rPr>
        <w:t xml:space="preserve">To measure the efficiency and performance, the researchers used ratio analysis </w:t>
      </w:r>
      <w:r w:rsidR="00F71FF2" w:rsidRPr="004C4563">
        <w:rPr>
          <w:rFonts w:asciiTheme="majorBidi" w:hAnsiTheme="majorBidi" w:cstheme="majorBidi"/>
          <w:sz w:val="24"/>
          <w:szCs w:val="24"/>
        </w:rPr>
        <w:t xml:space="preserve">for measuring the performance </w:t>
      </w:r>
      <w:r w:rsidR="00BC4549" w:rsidRPr="004C4563">
        <w:rPr>
          <w:rFonts w:asciiTheme="majorBidi" w:hAnsiTheme="majorBidi" w:cstheme="majorBidi"/>
          <w:sz w:val="24"/>
          <w:szCs w:val="24"/>
        </w:rPr>
        <w:t>and data e</w:t>
      </w:r>
      <w:r w:rsidR="00F71FF2" w:rsidRPr="004C4563">
        <w:rPr>
          <w:rFonts w:asciiTheme="majorBidi" w:hAnsiTheme="majorBidi" w:cstheme="majorBidi"/>
          <w:sz w:val="24"/>
          <w:szCs w:val="24"/>
        </w:rPr>
        <w:t xml:space="preserve">nvelopment analysis with </w:t>
      </w:r>
      <w:proofErr w:type="spellStart"/>
      <w:r w:rsidR="00F71FF2" w:rsidRPr="004C4563">
        <w:rPr>
          <w:rFonts w:asciiTheme="majorBidi" w:hAnsiTheme="majorBidi" w:cstheme="majorBidi"/>
          <w:sz w:val="24"/>
          <w:szCs w:val="24"/>
        </w:rPr>
        <w:t>Malmquist</w:t>
      </w:r>
      <w:proofErr w:type="spellEnd"/>
      <w:r w:rsidR="00F71FF2" w:rsidRPr="004C4563">
        <w:rPr>
          <w:rFonts w:asciiTheme="majorBidi" w:hAnsiTheme="majorBidi" w:cstheme="majorBidi"/>
          <w:sz w:val="24"/>
          <w:szCs w:val="24"/>
        </w:rPr>
        <w:t xml:space="preserve"> Index to measure the efficiency of the Islamic bank</w:t>
      </w:r>
      <w:r w:rsidR="00BC4549" w:rsidRPr="004C4563">
        <w:rPr>
          <w:rFonts w:asciiTheme="majorBidi" w:hAnsiTheme="majorBidi" w:cstheme="majorBidi"/>
          <w:sz w:val="24"/>
          <w:szCs w:val="24"/>
        </w:rPr>
        <w:t>.</w:t>
      </w:r>
      <w:r w:rsidR="00F71FF2" w:rsidRPr="004C4563">
        <w:rPr>
          <w:rFonts w:asciiTheme="majorBidi" w:hAnsiTheme="majorBidi" w:cstheme="majorBidi"/>
          <w:sz w:val="24"/>
          <w:szCs w:val="24"/>
        </w:rPr>
        <w:t xml:space="preserve"> The result concludes that </w:t>
      </w:r>
      <w:proofErr w:type="spellStart"/>
      <w:r w:rsidR="00F71FF2" w:rsidRPr="004C4563">
        <w:rPr>
          <w:rFonts w:asciiTheme="majorBidi" w:hAnsiTheme="majorBidi" w:cstheme="majorBidi"/>
          <w:sz w:val="24"/>
          <w:szCs w:val="24"/>
        </w:rPr>
        <w:t>Shajalal</w:t>
      </w:r>
      <w:proofErr w:type="spellEnd"/>
      <w:r w:rsidR="00F71FF2" w:rsidRPr="004C4563">
        <w:rPr>
          <w:rFonts w:asciiTheme="majorBidi" w:hAnsiTheme="majorBidi" w:cstheme="majorBidi"/>
          <w:sz w:val="24"/>
          <w:szCs w:val="24"/>
        </w:rPr>
        <w:t xml:space="preserve"> Islamic bank has performed better than other Islamic banks in terms of ratio analyzed. The </w:t>
      </w:r>
      <w:r w:rsidR="00CB3A6B" w:rsidRPr="004C4563">
        <w:rPr>
          <w:rFonts w:asciiTheme="majorBidi" w:hAnsiTheme="majorBidi" w:cstheme="majorBidi"/>
          <w:sz w:val="24"/>
          <w:szCs w:val="24"/>
        </w:rPr>
        <w:t>result of Data envelopment anal</w:t>
      </w:r>
      <w:r w:rsidR="00F71FF2" w:rsidRPr="004C4563">
        <w:rPr>
          <w:rFonts w:asciiTheme="majorBidi" w:hAnsiTheme="majorBidi" w:cstheme="majorBidi"/>
          <w:sz w:val="24"/>
          <w:szCs w:val="24"/>
        </w:rPr>
        <w:t>ysis</w:t>
      </w:r>
      <w:r w:rsidR="00CB3A6B" w:rsidRPr="004C4563">
        <w:rPr>
          <w:rFonts w:asciiTheme="majorBidi" w:hAnsiTheme="majorBidi" w:cstheme="majorBidi"/>
          <w:sz w:val="24"/>
          <w:szCs w:val="24"/>
        </w:rPr>
        <w:t xml:space="preserve"> reveals that the trend of all Islamic banks was on the rising stage during year 2006 to year 2010, suggesting that the Islamic banks have improved their efficiency over the study period.</w:t>
      </w:r>
      <w:r w:rsidR="00F71FF2" w:rsidRPr="004C4563">
        <w:rPr>
          <w:rFonts w:asciiTheme="majorBidi" w:hAnsiTheme="majorBidi" w:cstheme="majorBidi"/>
          <w:sz w:val="24"/>
          <w:szCs w:val="24"/>
        </w:rPr>
        <w:t xml:space="preserve">  </w:t>
      </w:r>
    </w:p>
    <w:p w:rsidR="00BE06DF" w:rsidRPr="004C4563" w:rsidRDefault="00935F15" w:rsidP="005078FB">
      <w:pPr>
        <w:rPr>
          <w:rFonts w:asciiTheme="majorBidi" w:hAnsiTheme="majorBidi" w:cstheme="majorBidi"/>
          <w:sz w:val="24"/>
          <w:szCs w:val="24"/>
        </w:rPr>
      </w:pPr>
      <w:r w:rsidRPr="004C4563">
        <w:rPr>
          <w:rFonts w:asciiTheme="majorBidi" w:hAnsiTheme="majorBidi" w:cstheme="majorBidi"/>
          <w:sz w:val="24"/>
          <w:szCs w:val="24"/>
        </w:rPr>
        <w:t xml:space="preserve">Ibrahim </w:t>
      </w:r>
      <w:r w:rsidRPr="004C4563">
        <w:rPr>
          <w:rFonts w:asciiTheme="majorBidi" w:hAnsiTheme="majorBidi" w:cstheme="majorBidi"/>
          <w:i/>
          <w:iCs/>
          <w:sz w:val="24"/>
          <w:szCs w:val="24"/>
        </w:rPr>
        <w:t>et., al</w:t>
      </w:r>
      <w:r w:rsidRPr="004C4563">
        <w:rPr>
          <w:rFonts w:asciiTheme="majorBidi" w:hAnsiTheme="majorBidi" w:cstheme="majorBidi"/>
          <w:sz w:val="24"/>
          <w:szCs w:val="24"/>
        </w:rPr>
        <w:t>.(2014) have used financial data obtained from the annual reports of the sample banks the study has evaluated the performance of six Islamic banks listed at both Dhaka Stock Exchange  &amp; Chittagong Stock Exchange. Their objectives were to evaluate</w:t>
      </w:r>
      <w:r w:rsidR="00002C3B" w:rsidRPr="004C4563">
        <w:rPr>
          <w:rFonts w:asciiTheme="majorBidi" w:hAnsiTheme="majorBidi" w:cstheme="majorBidi"/>
          <w:sz w:val="24"/>
          <w:szCs w:val="24"/>
        </w:rPr>
        <w:t xml:space="preserve"> the performance of these banks</w:t>
      </w:r>
      <w:r w:rsidRPr="004C4563">
        <w:rPr>
          <w:rFonts w:asciiTheme="majorBidi" w:hAnsiTheme="majorBidi" w:cstheme="majorBidi"/>
          <w:sz w:val="24"/>
          <w:szCs w:val="24"/>
        </w:rPr>
        <w:t>, and to make a comparison among different Islamic banks from different variables.</w:t>
      </w:r>
      <w:r w:rsidR="00002C3B" w:rsidRPr="004C4563">
        <w:rPr>
          <w:rFonts w:asciiTheme="majorBidi" w:hAnsiTheme="majorBidi" w:cstheme="majorBidi"/>
          <w:sz w:val="24"/>
          <w:szCs w:val="24"/>
        </w:rPr>
        <w:t xml:space="preserve"> The results show that some banks are better off than others using different ratios. The overall performance of all Islamic banks is satisfactory. The researchers believe that the future of Islamic banking system in Bangladesh is very bright. But for exploring the market opportunity the Islamic banks must develop market driven strategy. </w:t>
      </w:r>
    </w:p>
    <w:p w:rsidR="0004475C" w:rsidRPr="004C4563" w:rsidRDefault="0036614E" w:rsidP="002E0AC1">
      <w:pPr>
        <w:rPr>
          <w:rFonts w:asciiTheme="majorBidi" w:hAnsiTheme="majorBidi" w:cstheme="majorBidi"/>
          <w:sz w:val="24"/>
          <w:szCs w:val="24"/>
        </w:rPr>
      </w:pPr>
      <w:proofErr w:type="spellStart"/>
      <w:r w:rsidRPr="004C4563">
        <w:rPr>
          <w:rFonts w:asciiTheme="majorBidi" w:hAnsiTheme="majorBidi" w:cstheme="majorBidi"/>
          <w:sz w:val="24"/>
          <w:szCs w:val="24"/>
        </w:rPr>
        <w:t>Yudistira</w:t>
      </w:r>
      <w:proofErr w:type="spellEnd"/>
      <w:r w:rsidRPr="004C4563">
        <w:rPr>
          <w:rFonts w:asciiTheme="majorBidi" w:hAnsiTheme="majorBidi" w:cstheme="majorBidi"/>
          <w:sz w:val="24"/>
          <w:szCs w:val="24"/>
        </w:rPr>
        <w:t xml:space="preserve"> (2004) used data envelopment analysis technique to create a frontier set by efficient banks and compare it with inefficient banks to produce efficiency scores. The researcher found that the overall efficiency across 18 Islamic banks is small at just over 10 percent, which is quite low compared to many conventional counterparts. Islamic banks in the sample suffered from the global crisis in 1998-1999, but performed very well after the difficult periods. Moreover, the findings indicate </w:t>
      </w:r>
      <w:r w:rsidR="0004475C" w:rsidRPr="004C4563">
        <w:rPr>
          <w:rFonts w:asciiTheme="majorBidi" w:hAnsiTheme="majorBidi" w:cstheme="majorBidi"/>
          <w:sz w:val="24"/>
          <w:szCs w:val="24"/>
        </w:rPr>
        <w:t>that there are diseconomies of scale for small-to-medium Islamic banks.</w:t>
      </w:r>
    </w:p>
    <w:p w:rsidR="000B0F7B" w:rsidRPr="004C4563" w:rsidRDefault="005A3B82" w:rsidP="00553ABB">
      <w:pPr>
        <w:rPr>
          <w:rFonts w:asciiTheme="majorBidi" w:hAnsiTheme="majorBidi" w:cstheme="majorBidi"/>
          <w:sz w:val="24"/>
          <w:szCs w:val="24"/>
        </w:rPr>
      </w:pPr>
      <w:proofErr w:type="spellStart"/>
      <w:r w:rsidRPr="004C4563">
        <w:rPr>
          <w:rFonts w:asciiTheme="majorBidi" w:hAnsiTheme="majorBidi" w:cstheme="majorBidi"/>
          <w:sz w:val="24"/>
          <w:szCs w:val="24"/>
        </w:rPr>
        <w:t>Sanwari</w:t>
      </w:r>
      <w:proofErr w:type="spellEnd"/>
      <w:r w:rsidRPr="004C4563">
        <w:rPr>
          <w:rFonts w:asciiTheme="majorBidi" w:hAnsiTheme="majorBidi" w:cstheme="majorBidi"/>
          <w:sz w:val="24"/>
          <w:szCs w:val="24"/>
        </w:rPr>
        <w:t xml:space="preserve"> and </w:t>
      </w:r>
      <w:proofErr w:type="spellStart"/>
      <w:r w:rsidRPr="004C4563">
        <w:rPr>
          <w:rFonts w:asciiTheme="majorBidi" w:hAnsiTheme="majorBidi" w:cstheme="majorBidi"/>
          <w:sz w:val="24"/>
          <w:szCs w:val="24"/>
        </w:rPr>
        <w:t>Zakaria</w:t>
      </w:r>
      <w:proofErr w:type="spellEnd"/>
      <w:r w:rsidRPr="004C4563">
        <w:rPr>
          <w:rFonts w:asciiTheme="majorBidi" w:hAnsiTheme="majorBidi" w:cstheme="majorBidi"/>
          <w:sz w:val="24"/>
          <w:szCs w:val="24"/>
        </w:rPr>
        <w:t xml:space="preserve"> (2013)</w:t>
      </w:r>
      <w:r w:rsidR="00895A1C" w:rsidRPr="004C4563">
        <w:rPr>
          <w:rFonts w:asciiTheme="majorBidi" w:hAnsiTheme="majorBidi" w:cstheme="majorBidi"/>
          <w:sz w:val="24"/>
          <w:szCs w:val="24"/>
        </w:rPr>
        <w:t xml:space="preserve"> studied the Islamic bank performance in relation to the effect of both internal conditions and the external factors on Islamic banks performance. Global Islamic banks’ data were obtained from the annual report on Islamic banking from Bank Scope database. Panel data of 74 Islamic banks from around the world was examined for the period 2000 to 2009. Their findings revealed</w:t>
      </w:r>
      <w:r w:rsidR="00CF6685" w:rsidRPr="004C4563">
        <w:rPr>
          <w:rFonts w:asciiTheme="majorBidi" w:hAnsiTheme="majorBidi" w:cstheme="majorBidi"/>
          <w:sz w:val="24"/>
          <w:szCs w:val="24"/>
        </w:rPr>
        <w:t xml:space="preserve"> that the performance of these banks depends more on bank specific characteristics such as capital, assets quality and liquidity, while macroeconomic factors do not significantly influence Islamic banks’ profit.</w:t>
      </w:r>
    </w:p>
    <w:p w:rsidR="00CE3818" w:rsidRDefault="000B0F7B" w:rsidP="006F5A51">
      <w:pPr>
        <w:rPr>
          <w:rFonts w:asciiTheme="majorBidi" w:hAnsiTheme="majorBidi" w:cstheme="majorBidi"/>
          <w:sz w:val="24"/>
          <w:szCs w:val="24"/>
        </w:rPr>
      </w:pPr>
      <w:r w:rsidRPr="004C4563">
        <w:rPr>
          <w:rFonts w:asciiTheme="majorBidi" w:hAnsiTheme="majorBidi" w:cstheme="majorBidi"/>
          <w:sz w:val="24"/>
          <w:szCs w:val="24"/>
        </w:rPr>
        <w:t xml:space="preserve">Akhter </w:t>
      </w:r>
      <w:proofErr w:type="gramStart"/>
      <w:r w:rsidRPr="004C4563">
        <w:rPr>
          <w:rFonts w:asciiTheme="majorBidi" w:hAnsiTheme="majorBidi" w:cstheme="majorBidi"/>
          <w:i/>
          <w:iCs/>
          <w:sz w:val="24"/>
          <w:szCs w:val="24"/>
        </w:rPr>
        <w:t>et</w:t>
      </w:r>
      <w:proofErr w:type="gramEnd"/>
      <w:r w:rsidRPr="004C4563">
        <w:rPr>
          <w:rFonts w:asciiTheme="majorBidi" w:hAnsiTheme="majorBidi" w:cstheme="majorBidi"/>
          <w:i/>
          <w:iCs/>
          <w:sz w:val="24"/>
          <w:szCs w:val="24"/>
        </w:rPr>
        <w:t xml:space="preserve">. </w:t>
      </w:r>
      <w:proofErr w:type="gramStart"/>
      <w:r w:rsidRPr="004C4563">
        <w:rPr>
          <w:rFonts w:asciiTheme="majorBidi" w:hAnsiTheme="majorBidi" w:cstheme="majorBidi"/>
          <w:i/>
          <w:iCs/>
          <w:sz w:val="24"/>
          <w:szCs w:val="24"/>
        </w:rPr>
        <w:t>al</w:t>
      </w:r>
      <w:proofErr w:type="gramEnd"/>
      <w:r w:rsidRPr="004C4563">
        <w:rPr>
          <w:rFonts w:asciiTheme="majorBidi" w:hAnsiTheme="majorBidi" w:cstheme="majorBidi"/>
          <w:i/>
          <w:iCs/>
          <w:sz w:val="24"/>
          <w:szCs w:val="24"/>
        </w:rPr>
        <w:t>,.</w:t>
      </w:r>
      <w:r w:rsidRPr="004C4563">
        <w:rPr>
          <w:rFonts w:asciiTheme="majorBidi" w:hAnsiTheme="majorBidi" w:cstheme="majorBidi"/>
          <w:sz w:val="24"/>
          <w:szCs w:val="24"/>
        </w:rPr>
        <w:t xml:space="preserve"> (2011) measured the efficiency of Islamic bank in relation to two conventional banks in Pakistan. They used the financial ratios to measure profitability, liquidity risk and credit risk for the years 2006 to 2010. Trend analysis was also used to check the trends of the balance sheet and income statement numbers. Their findings conclude that no significant difference is observed between the two types of banks in respect of profitability </w:t>
      </w:r>
      <w:r w:rsidR="006005B2" w:rsidRPr="004C4563">
        <w:rPr>
          <w:rFonts w:asciiTheme="majorBidi" w:hAnsiTheme="majorBidi" w:cstheme="majorBidi"/>
          <w:sz w:val="24"/>
          <w:szCs w:val="24"/>
        </w:rPr>
        <w:t xml:space="preserve">and a divergence in liquidity and credit performance. The trend analysis showed a good trend of balance sheet of the Islamic bank while in income </w:t>
      </w:r>
      <w:r w:rsidR="00575F6D" w:rsidRPr="004C4563">
        <w:rPr>
          <w:rFonts w:asciiTheme="majorBidi" w:hAnsiTheme="majorBidi" w:cstheme="majorBidi"/>
          <w:sz w:val="24"/>
          <w:szCs w:val="24"/>
        </w:rPr>
        <w:t xml:space="preserve">statement, there was no meaningful difference. </w:t>
      </w:r>
      <w:r w:rsidR="00895A1C" w:rsidRPr="004C4563">
        <w:rPr>
          <w:rFonts w:asciiTheme="majorBidi" w:hAnsiTheme="majorBidi" w:cstheme="majorBidi"/>
          <w:sz w:val="24"/>
          <w:szCs w:val="24"/>
        </w:rPr>
        <w:t xml:space="preserve"> </w:t>
      </w:r>
      <w:r w:rsidR="006F5A51" w:rsidRPr="004C4563">
        <w:rPr>
          <w:rFonts w:asciiTheme="majorBidi" w:hAnsiTheme="majorBidi" w:cstheme="majorBidi"/>
          <w:sz w:val="24"/>
          <w:szCs w:val="24"/>
        </w:rPr>
        <w:t xml:space="preserve"> </w:t>
      </w:r>
    </w:p>
    <w:p w:rsidR="00DF34FA" w:rsidRDefault="00DF34FA" w:rsidP="006F5A51">
      <w:pPr>
        <w:rPr>
          <w:rFonts w:asciiTheme="majorBidi" w:hAnsiTheme="majorBidi" w:cstheme="majorBidi"/>
          <w:sz w:val="24"/>
          <w:szCs w:val="24"/>
        </w:rPr>
      </w:pPr>
    </w:p>
    <w:p w:rsidR="00DF34FA" w:rsidRDefault="00DF34FA" w:rsidP="006F5A51">
      <w:pPr>
        <w:rPr>
          <w:rFonts w:asciiTheme="majorBidi" w:hAnsiTheme="majorBidi" w:cstheme="majorBidi"/>
          <w:sz w:val="24"/>
          <w:szCs w:val="24"/>
        </w:rPr>
      </w:pPr>
      <w:proofErr w:type="spellStart"/>
      <w:r>
        <w:rPr>
          <w:rFonts w:asciiTheme="majorBidi" w:hAnsiTheme="majorBidi" w:cstheme="majorBidi"/>
          <w:sz w:val="24"/>
          <w:szCs w:val="24"/>
        </w:rPr>
        <w:lastRenderedPageBreak/>
        <w:t>Miniaoui</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Gohou</w:t>
      </w:r>
      <w:proofErr w:type="spellEnd"/>
      <w:r>
        <w:rPr>
          <w:rFonts w:asciiTheme="majorBidi" w:hAnsiTheme="majorBidi" w:cstheme="majorBidi"/>
          <w:sz w:val="24"/>
          <w:szCs w:val="24"/>
        </w:rPr>
        <w:t xml:space="preserve"> (2011) examined the performance of the main Islamic banks. They used the balance sheets data for 37 </w:t>
      </w:r>
      <w:r w:rsidR="00475E71">
        <w:rPr>
          <w:rFonts w:asciiTheme="majorBidi" w:hAnsiTheme="majorBidi" w:cstheme="majorBidi"/>
          <w:sz w:val="24"/>
          <w:szCs w:val="24"/>
        </w:rPr>
        <w:t xml:space="preserve">banks of the UAE. Their main purpose was to assess the magnitude of the gap between the conventional and the Islamic banking systems using conditional and unconditional methodology. They analyzed two sets of indicators related to profitability and productivity. They found that conventional banks in the UAE performed better than the Islamic one.  </w:t>
      </w:r>
    </w:p>
    <w:p w:rsidR="000F77C7" w:rsidRDefault="000F77C7" w:rsidP="006F5A51">
      <w:pPr>
        <w:rPr>
          <w:rFonts w:asciiTheme="majorBidi" w:hAnsiTheme="majorBidi" w:cstheme="majorBidi"/>
          <w:sz w:val="24"/>
          <w:szCs w:val="24"/>
        </w:rPr>
      </w:pPr>
      <w:proofErr w:type="spellStart"/>
      <w:r>
        <w:rPr>
          <w:rFonts w:asciiTheme="majorBidi" w:hAnsiTheme="majorBidi" w:cstheme="majorBidi"/>
          <w:sz w:val="24"/>
          <w:szCs w:val="24"/>
        </w:rPr>
        <w:t>Cihak</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Hesse</w:t>
      </w:r>
      <w:proofErr w:type="spellEnd"/>
      <w:r>
        <w:rPr>
          <w:rFonts w:asciiTheme="majorBidi" w:hAnsiTheme="majorBidi" w:cstheme="majorBidi"/>
          <w:sz w:val="24"/>
          <w:szCs w:val="24"/>
        </w:rPr>
        <w:t xml:space="preserve"> (2010) assessed the relative financial strength of Islamic banks. Using Z-score as a measure of stability on individual Islamic and commercial banks in 19 banking systems, their findings were as follows:</w:t>
      </w:r>
    </w:p>
    <w:p w:rsidR="00993713" w:rsidRDefault="000F77C7" w:rsidP="000F77C7">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Small Islamic banks tend to be financially stronger than small </w:t>
      </w:r>
      <w:r w:rsidR="00993713">
        <w:rPr>
          <w:rFonts w:asciiTheme="majorBidi" w:hAnsiTheme="majorBidi" w:cstheme="majorBidi"/>
          <w:sz w:val="24"/>
          <w:szCs w:val="24"/>
        </w:rPr>
        <w:t>commercial banks.</w:t>
      </w:r>
    </w:p>
    <w:p w:rsidR="00993713" w:rsidRDefault="00993713" w:rsidP="000F77C7">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Large commercial banks tend to be financially stronger than large Islamic banks.</w:t>
      </w:r>
    </w:p>
    <w:p w:rsidR="00EB55AF" w:rsidRPr="000F77C7" w:rsidRDefault="00993713" w:rsidP="000F77C7">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Small Islamic banks tend to be </w:t>
      </w:r>
      <w:r w:rsidR="001B43E0">
        <w:rPr>
          <w:rFonts w:asciiTheme="majorBidi" w:hAnsiTheme="majorBidi" w:cstheme="majorBidi"/>
          <w:sz w:val="24"/>
          <w:szCs w:val="24"/>
        </w:rPr>
        <w:t>stronger than large Islamic banks.</w:t>
      </w:r>
      <w:r w:rsidR="000F77C7" w:rsidRPr="000F77C7">
        <w:rPr>
          <w:rFonts w:asciiTheme="majorBidi" w:hAnsiTheme="majorBidi" w:cstheme="majorBidi"/>
          <w:sz w:val="24"/>
          <w:szCs w:val="24"/>
        </w:rPr>
        <w:t xml:space="preserve"> </w:t>
      </w:r>
    </w:p>
    <w:p w:rsidR="00EB55AF" w:rsidRDefault="00EB55AF" w:rsidP="006F5A51">
      <w:pPr>
        <w:rPr>
          <w:rFonts w:asciiTheme="majorBidi" w:hAnsiTheme="majorBidi" w:cstheme="majorBidi"/>
          <w:sz w:val="24"/>
          <w:szCs w:val="24"/>
        </w:rPr>
      </w:pPr>
      <w:proofErr w:type="spellStart"/>
      <w:r>
        <w:rPr>
          <w:rFonts w:asciiTheme="majorBidi" w:hAnsiTheme="majorBidi" w:cstheme="majorBidi"/>
          <w:sz w:val="24"/>
          <w:szCs w:val="24"/>
        </w:rPr>
        <w:t>Husein</w:t>
      </w:r>
      <w:proofErr w:type="spellEnd"/>
      <w:r>
        <w:rPr>
          <w:rFonts w:asciiTheme="majorBidi" w:hAnsiTheme="majorBidi" w:cstheme="majorBidi"/>
          <w:sz w:val="24"/>
          <w:szCs w:val="24"/>
        </w:rPr>
        <w:t xml:space="preserve"> (2014) analyzed the data of 102 individual Islamic banks in Indonesia over the period 2010 to 2012. His objective was to investigate whether the bank size has significant effect on risk using the z-score as a measure of stability. The research findings were as follows:</w:t>
      </w:r>
    </w:p>
    <w:p w:rsidR="00EB55AF" w:rsidRDefault="00EB55AF" w:rsidP="00EB55AF">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The banks size has significant difference in terms of its stability.</w:t>
      </w:r>
    </w:p>
    <w:p w:rsidR="00EB55AF" w:rsidRDefault="00EB55AF" w:rsidP="00EB55AF">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Overall, Islamic bank stability is affected by the assets and income diversity.</w:t>
      </w:r>
    </w:p>
    <w:p w:rsidR="00EB55AF" w:rsidRDefault="00EB55AF" w:rsidP="00EB55AF">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Large Islamic banks tend to be financially stronger than small Islamic banks.</w:t>
      </w:r>
    </w:p>
    <w:p w:rsidR="00EB55AF" w:rsidRPr="00EB55AF" w:rsidRDefault="00EB55AF" w:rsidP="00EB55AF">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Small banks tend to be more stable than medium Islamic banks. </w:t>
      </w:r>
    </w:p>
    <w:p w:rsidR="006F4843" w:rsidRPr="00B16048" w:rsidRDefault="006F4843" w:rsidP="00834ABB">
      <w:pPr>
        <w:jc w:val="center"/>
        <w:rPr>
          <w:rFonts w:asciiTheme="majorBidi" w:hAnsiTheme="majorBidi" w:cstheme="majorBidi"/>
          <w:b/>
          <w:bCs/>
          <w:sz w:val="28"/>
          <w:szCs w:val="28"/>
        </w:rPr>
      </w:pPr>
      <w:r w:rsidRPr="00B16048">
        <w:rPr>
          <w:rFonts w:asciiTheme="majorBidi" w:hAnsiTheme="majorBidi" w:cstheme="majorBidi"/>
          <w:b/>
          <w:bCs/>
          <w:sz w:val="28"/>
          <w:szCs w:val="28"/>
        </w:rPr>
        <w:t>Liquidity Analysis</w:t>
      </w:r>
    </w:p>
    <w:p w:rsidR="006F4843" w:rsidRPr="004C4563" w:rsidRDefault="0034692C" w:rsidP="006F4843">
      <w:pPr>
        <w:rPr>
          <w:rFonts w:asciiTheme="majorBidi" w:hAnsiTheme="majorBidi" w:cstheme="majorBidi"/>
          <w:b/>
          <w:bCs/>
          <w:sz w:val="24"/>
          <w:szCs w:val="24"/>
        </w:rPr>
      </w:pPr>
      <w:r w:rsidRPr="004C4563">
        <w:rPr>
          <w:rFonts w:asciiTheme="majorBidi" w:hAnsiTheme="majorBidi" w:cstheme="majorBidi"/>
          <w:b/>
          <w:bCs/>
          <w:sz w:val="24"/>
          <w:szCs w:val="24"/>
        </w:rPr>
        <w:t xml:space="preserve">Murabaha and Mudarabha </w:t>
      </w:r>
      <w:r w:rsidR="00861771">
        <w:rPr>
          <w:rFonts w:asciiTheme="majorBidi" w:hAnsiTheme="majorBidi" w:cstheme="majorBidi"/>
          <w:b/>
          <w:bCs/>
          <w:sz w:val="24"/>
          <w:szCs w:val="24"/>
        </w:rPr>
        <w:t>Revenue</w:t>
      </w:r>
      <w:r w:rsidR="00333BAD">
        <w:rPr>
          <w:rFonts w:asciiTheme="majorBidi" w:hAnsiTheme="majorBidi" w:cstheme="majorBidi"/>
          <w:b/>
          <w:bCs/>
          <w:sz w:val="24"/>
          <w:szCs w:val="24"/>
        </w:rPr>
        <w:t>s</w:t>
      </w:r>
      <w:r w:rsidR="00861771">
        <w:rPr>
          <w:rFonts w:asciiTheme="majorBidi" w:hAnsiTheme="majorBidi" w:cstheme="majorBidi"/>
          <w:b/>
          <w:bCs/>
          <w:sz w:val="24"/>
          <w:szCs w:val="24"/>
        </w:rPr>
        <w:t xml:space="preserve"> </w:t>
      </w:r>
      <w:r w:rsidR="006F4843" w:rsidRPr="004C4563">
        <w:rPr>
          <w:rFonts w:asciiTheme="majorBidi" w:hAnsiTheme="majorBidi" w:cstheme="majorBidi"/>
          <w:b/>
          <w:bCs/>
          <w:sz w:val="24"/>
          <w:szCs w:val="24"/>
        </w:rPr>
        <w:t>to Total Assets Ratio</w:t>
      </w:r>
    </w:p>
    <w:p w:rsidR="006F4843" w:rsidRPr="004C4563" w:rsidRDefault="006F4843" w:rsidP="007938E1">
      <w:pPr>
        <w:rPr>
          <w:rFonts w:asciiTheme="majorBidi" w:hAnsiTheme="majorBidi" w:cstheme="majorBidi"/>
          <w:sz w:val="24"/>
          <w:szCs w:val="24"/>
        </w:rPr>
      </w:pPr>
      <w:r w:rsidRPr="004C4563">
        <w:rPr>
          <w:rFonts w:asciiTheme="majorBidi" w:hAnsiTheme="majorBidi" w:cstheme="majorBidi"/>
          <w:sz w:val="24"/>
          <w:szCs w:val="24"/>
        </w:rPr>
        <w:t xml:space="preserve">Based on mean measure, the below tables 1 and </w:t>
      </w:r>
      <w:r w:rsidR="003560EF" w:rsidRPr="004C4563">
        <w:rPr>
          <w:rFonts w:asciiTheme="majorBidi" w:hAnsiTheme="majorBidi" w:cstheme="majorBidi"/>
          <w:sz w:val="24"/>
          <w:szCs w:val="24"/>
        </w:rPr>
        <w:t xml:space="preserve">2, show that Abu </w:t>
      </w:r>
      <w:r w:rsidR="00861771">
        <w:rPr>
          <w:rFonts w:asciiTheme="majorBidi" w:hAnsiTheme="majorBidi" w:cstheme="majorBidi"/>
          <w:sz w:val="24"/>
          <w:szCs w:val="24"/>
        </w:rPr>
        <w:t>Dhabi Islamic bank has generated</w:t>
      </w:r>
      <w:r w:rsidR="003560EF" w:rsidRPr="004C4563">
        <w:rPr>
          <w:rFonts w:asciiTheme="majorBidi" w:hAnsiTheme="majorBidi" w:cstheme="majorBidi"/>
          <w:sz w:val="24"/>
          <w:szCs w:val="24"/>
        </w:rPr>
        <w:t xml:space="preserve"> more money in terms of murabah</w:t>
      </w:r>
      <w:r w:rsidR="00861771">
        <w:rPr>
          <w:rFonts w:asciiTheme="majorBidi" w:hAnsiTheme="majorBidi" w:cstheme="majorBidi"/>
          <w:sz w:val="24"/>
          <w:szCs w:val="24"/>
        </w:rPr>
        <w:t>a and mudarabha</w:t>
      </w:r>
      <w:r w:rsidR="007938E1">
        <w:rPr>
          <w:rFonts w:asciiTheme="majorBidi" w:hAnsiTheme="majorBidi" w:cstheme="majorBidi"/>
          <w:sz w:val="24"/>
          <w:szCs w:val="24"/>
        </w:rPr>
        <w:t xml:space="preserve"> with a mean percentage of 105.8 </w:t>
      </w:r>
      <w:r w:rsidR="003560EF" w:rsidRPr="004C4563">
        <w:rPr>
          <w:rFonts w:asciiTheme="majorBidi" w:hAnsiTheme="majorBidi" w:cstheme="majorBidi"/>
          <w:sz w:val="24"/>
          <w:szCs w:val="24"/>
        </w:rPr>
        <w:t>than Dubai Islamic bank</w:t>
      </w:r>
      <w:r w:rsidRPr="004C4563">
        <w:rPr>
          <w:rFonts w:asciiTheme="majorBidi" w:hAnsiTheme="majorBidi" w:cstheme="majorBidi"/>
          <w:sz w:val="24"/>
          <w:szCs w:val="24"/>
        </w:rPr>
        <w:t xml:space="preserve"> </w:t>
      </w:r>
      <w:r w:rsidR="007938E1">
        <w:rPr>
          <w:rFonts w:asciiTheme="majorBidi" w:hAnsiTheme="majorBidi" w:cstheme="majorBidi"/>
          <w:sz w:val="24"/>
          <w:szCs w:val="24"/>
        </w:rPr>
        <w:t xml:space="preserve">with a mean percentage of 61 </w:t>
      </w:r>
      <w:r w:rsidRPr="004C4563">
        <w:rPr>
          <w:rFonts w:asciiTheme="majorBidi" w:hAnsiTheme="majorBidi" w:cstheme="majorBidi"/>
          <w:sz w:val="24"/>
          <w:szCs w:val="24"/>
        </w:rPr>
        <w:t>ove</w:t>
      </w:r>
      <w:r w:rsidR="007938E1">
        <w:rPr>
          <w:rFonts w:asciiTheme="majorBidi" w:hAnsiTheme="majorBidi" w:cstheme="majorBidi"/>
          <w:sz w:val="24"/>
          <w:szCs w:val="24"/>
        </w:rPr>
        <w:t>r the years of study, of their</w:t>
      </w:r>
      <w:r w:rsidR="003560EF" w:rsidRPr="004C4563">
        <w:rPr>
          <w:rFonts w:asciiTheme="majorBidi" w:hAnsiTheme="majorBidi" w:cstheme="majorBidi"/>
          <w:sz w:val="24"/>
          <w:szCs w:val="24"/>
        </w:rPr>
        <w:t xml:space="preserve"> total assets. The mean measurement </w:t>
      </w:r>
      <w:r w:rsidRPr="004C4563">
        <w:rPr>
          <w:rFonts w:asciiTheme="majorBidi" w:hAnsiTheme="majorBidi" w:cstheme="majorBidi"/>
          <w:sz w:val="24"/>
          <w:szCs w:val="24"/>
        </w:rPr>
        <w:t>also indicate</w:t>
      </w:r>
      <w:r w:rsidR="007938E1">
        <w:rPr>
          <w:rFonts w:asciiTheme="majorBidi" w:hAnsiTheme="majorBidi" w:cstheme="majorBidi"/>
          <w:sz w:val="24"/>
          <w:szCs w:val="24"/>
        </w:rPr>
        <w:t>s that the Abu Dhabi</w:t>
      </w:r>
      <w:r w:rsidR="00914693">
        <w:rPr>
          <w:rFonts w:asciiTheme="majorBidi" w:hAnsiTheme="majorBidi" w:cstheme="majorBidi"/>
          <w:sz w:val="24"/>
          <w:szCs w:val="24"/>
        </w:rPr>
        <w:t xml:space="preserve"> Islamic bank</w:t>
      </w:r>
      <w:r w:rsidR="003560EF" w:rsidRPr="004C4563">
        <w:rPr>
          <w:rFonts w:asciiTheme="majorBidi" w:hAnsiTheme="majorBidi" w:cstheme="majorBidi"/>
          <w:sz w:val="24"/>
          <w:szCs w:val="24"/>
        </w:rPr>
        <w:t xml:space="preserve"> has higher</w:t>
      </w:r>
      <w:r w:rsidRPr="004C4563">
        <w:rPr>
          <w:rFonts w:asciiTheme="majorBidi" w:hAnsiTheme="majorBidi" w:cstheme="majorBidi"/>
          <w:sz w:val="24"/>
          <w:szCs w:val="24"/>
        </w:rPr>
        <w:t xml:space="preserve"> liquid</w:t>
      </w:r>
      <w:r w:rsidR="007938E1">
        <w:rPr>
          <w:rFonts w:asciiTheme="majorBidi" w:hAnsiTheme="majorBidi" w:cstheme="majorBidi"/>
          <w:sz w:val="24"/>
          <w:szCs w:val="24"/>
        </w:rPr>
        <w:t>ity level than Dubai</w:t>
      </w:r>
      <w:r w:rsidR="003560EF" w:rsidRPr="004C4563">
        <w:rPr>
          <w:rFonts w:asciiTheme="majorBidi" w:hAnsiTheme="majorBidi" w:cstheme="majorBidi"/>
          <w:sz w:val="24"/>
          <w:szCs w:val="24"/>
        </w:rPr>
        <w:t xml:space="preserve"> Islamic bank.</w:t>
      </w:r>
      <w:r w:rsidRPr="004C4563">
        <w:rPr>
          <w:rFonts w:asciiTheme="majorBidi" w:hAnsiTheme="majorBidi" w:cstheme="majorBidi"/>
          <w:sz w:val="24"/>
          <w:szCs w:val="24"/>
        </w:rPr>
        <w:t xml:space="preserve"> In addition, the standard deviation and the coefficient of variation indicate the higher instability level of this r</w:t>
      </w:r>
      <w:r w:rsidR="003560EF" w:rsidRPr="004C4563">
        <w:rPr>
          <w:rFonts w:asciiTheme="majorBidi" w:hAnsiTheme="majorBidi" w:cstheme="majorBidi"/>
          <w:sz w:val="24"/>
          <w:szCs w:val="24"/>
        </w:rPr>
        <w:t>atio over the time in Abu Dhabi Islamic bank of</w:t>
      </w:r>
      <w:r w:rsidRPr="004C4563">
        <w:rPr>
          <w:rFonts w:asciiTheme="majorBidi" w:hAnsiTheme="majorBidi" w:cstheme="majorBidi"/>
          <w:sz w:val="24"/>
          <w:szCs w:val="24"/>
        </w:rPr>
        <w:t xml:space="preserve"> th</w:t>
      </w:r>
      <w:r w:rsidR="003560EF" w:rsidRPr="004C4563">
        <w:rPr>
          <w:rFonts w:asciiTheme="majorBidi" w:hAnsiTheme="majorBidi" w:cstheme="majorBidi"/>
          <w:sz w:val="24"/>
          <w:szCs w:val="24"/>
        </w:rPr>
        <w:t>an in its counterpart</w:t>
      </w:r>
      <w:r w:rsidRPr="004C4563">
        <w:rPr>
          <w:rFonts w:asciiTheme="majorBidi" w:hAnsiTheme="majorBidi" w:cstheme="majorBidi"/>
          <w:sz w:val="24"/>
          <w:szCs w:val="24"/>
        </w:rPr>
        <w:t xml:space="preserve">.   </w:t>
      </w:r>
    </w:p>
    <w:p w:rsidR="006F4843" w:rsidRPr="004C4563" w:rsidRDefault="00517C1B" w:rsidP="006F4843">
      <w:pPr>
        <w:rPr>
          <w:rFonts w:asciiTheme="majorBidi" w:hAnsiTheme="majorBidi" w:cstheme="majorBidi"/>
          <w:b/>
          <w:bCs/>
          <w:sz w:val="24"/>
          <w:szCs w:val="24"/>
        </w:rPr>
      </w:pPr>
      <w:r w:rsidRPr="004C4563">
        <w:rPr>
          <w:rFonts w:asciiTheme="majorBidi" w:hAnsiTheme="majorBidi" w:cstheme="majorBidi"/>
          <w:b/>
          <w:bCs/>
          <w:sz w:val="24"/>
          <w:szCs w:val="24"/>
        </w:rPr>
        <w:t>Murabaha and Mudarabha</w:t>
      </w:r>
      <w:r w:rsidR="006F4843" w:rsidRPr="004C4563">
        <w:rPr>
          <w:rFonts w:asciiTheme="majorBidi" w:hAnsiTheme="majorBidi" w:cstheme="majorBidi"/>
          <w:b/>
          <w:bCs/>
          <w:sz w:val="24"/>
          <w:szCs w:val="24"/>
        </w:rPr>
        <w:t xml:space="preserve"> </w:t>
      </w:r>
      <w:r w:rsidR="00333BAD">
        <w:rPr>
          <w:rFonts w:asciiTheme="majorBidi" w:hAnsiTheme="majorBidi" w:cstheme="majorBidi"/>
          <w:b/>
          <w:bCs/>
          <w:sz w:val="24"/>
          <w:szCs w:val="24"/>
        </w:rPr>
        <w:t xml:space="preserve">Revenues </w:t>
      </w:r>
      <w:r w:rsidR="006F4843" w:rsidRPr="004C4563">
        <w:rPr>
          <w:rFonts w:asciiTheme="majorBidi" w:hAnsiTheme="majorBidi" w:cstheme="majorBidi"/>
          <w:b/>
          <w:bCs/>
          <w:sz w:val="24"/>
          <w:szCs w:val="24"/>
        </w:rPr>
        <w:t>to Customers Deposits</w:t>
      </w:r>
    </w:p>
    <w:p w:rsidR="006F4843" w:rsidRPr="004C4563" w:rsidRDefault="006F4843" w:rsidP="006F4843">
      <w:pPr>
        <w:rPr>
          <w:rFonts w:asciiTheme="majorBidi" w:hAnsiTheme="majorBidi" w:cstheme="majorBidi"/>
          <w:sz w:val="24"/>
          <w:szCs w:val="24"/>
        </w:rPr>
      </w:pPr>
      <w:r w:rsidRPr="004C4563">
        <w:rPr>
          <w:rFonts w:asciiTheme="majorBidi" w:hAnsiTheme="majorBidi" w:cstheme="majorBidi"/>
          <w:sz w:val="24"/>
          <w:szCs w:val="24"/>
        </w:rPr>
        <w:t>This ratio sh</w:t>
      </w:r>
      <w:r w:rsidR="00094B7C">
        <w:rPr>
          <w:rFonts w:asciiTheme="majorBidi" w:hAnsiTheme="majorBidi" w:cstheme="majorBidi"/>
          <w:sz w:val="24"/>
          <w:szCs w:val="24"/>
        </w:rPr>
        <w:t>ows the ability of a bank to payback</w:t>
      </w:r>
      <w:r w:rsidRPr="004C4563">
        <w:rPr>
          <w:rFonts w:asciiTheme="majorBidi" w:hAnsiTheme="majorBidi" w:cstheme="majorBidi"/>
          <w:sz w:val="24"/>
          <w:szCs w:val="24"/>
        </w:rPr>
        <w:t xml:space="preserve"> the cus</w:t>
      </w:r>
      <w:r w:rsidR="00094B7C">
        <w:rPr>
          <w:rFonts w:asciiTheme="majorBidi" w:hAnsiTheme="majorBidi" w:cstheme="majorBidi"/>
          <w:sz w:val="24"/>
          <w:szCs w:val="24"/>
        </w:rPr>
        <w:t>tomers deposit from</w:t>
      </w:r>
      <w:r w:rsidR="00D85D3D" w:rsidRPr="004C4563">
        <w:rPr>
          <w:rFonts w:asciiTheme="majorBidi" w:hAnsiTheme="majorBidi" w:cstheme="majorBidi"/>
          <w:sz w:val="24"/>
          <w:szCs w:val="24"/>
        </w:rPr>
        <w:t xml:space="preserve"> m</w:t>
      </w:r>
      <w:r w:rsidR="00094B7C">
        <w:rPr>
          <w:rFonts w:asciiTheme="majorBidi" w:hAnsiTheme="majorBidi" w:cstheme="majorBidi"/>
          <w:sz w:val="24"/>
          <w:szCs w:val="24"/>
        </w:rPr>
        <w:t xml:space="preserve">urabaha and mudarabha </w:t>
      </w:r>
      <w:r w:rsidR="00765DB7">
        <w:rPr>
          <w:rFonts w:asciiTheme="majorBidi" w:hAnsiTheme="majorBidi" w:cstheme="majorBidi"/>
          <w:sz w:val="24"/>
          <w:szCs w:val="24"/>
        </w:rPr>
        <w:t>revenues</w:t>
      </w:r>
      <w:r w:rsidRPr="004C4563">
        <w:rPr>
          <w:rFonts w:asciiTheme="majorBidi" w:hAnsiTheme="majorBidi" w:cstheme="majorBidi"/>
          <w:sz w:val="24"/>
          <w:szCs w:val="24"/>
        </w:rPr>
        <w:t>. Based on the mean measure, tables 1 and</w:t>
      </w:r>
      <w:r w:rsidR="00C12A5F" w:rsidRPr="004C4563">
        <w:rPr>
          <w:rFonts w:asciiTheme="majorBidi" w:hAnsiTheme="majorBidi" w:cstheme="majorBidi"/>
          <w:sz w:val="24"/>
          <w:szCs w:val="24"/>
        </w:rPr>
        <w:t xml:space="preserve"> 2 Abu Dhabi Islamic bank</w:t>
      </w:r>
      <w:r w:rsidR="00765DB7">
        <w:rPr>
          <w:rFonts w:asciiTheme="majorBidi" w:hAnsiTheme="majorBidi" w:cstheme="majorBidi"/>
          <w:sz w:val="24"/>
          <w:szCs w:val="24"/>
        </w:rPr>
        <w:t xml:space="preserve"> is able to cover</w:t>
      </w:r>
      <w:r w:rsidRPr="004C4563">
        <w:rPr>
          <w:rFonts w:asciiTheme="majorBidi" w:hAnsiTheme="majorBidi" w:cstheme="majorBidi"/>
          <w:sz w:val="24"/>
          <w:szCs w:val="24"/>
        </w:rPr>
        <w:t xml:space="preserve"> the </w:t>
      </w:r>
      <w:r w:rsidR="00765DB7">
        <w:rPr>
          <w:rFonts w:asciiTheme="majorBidi" w:hAnsiTheme="majorBidi" w:cstheme="majorBidi"/>
          <w:sz w:val="24"/>
          <w:szCs w:val="24"/>
        </w:rPr>
        <w:t xml:space="preserve">liabilities of </w:t>
      </w:r>
      <w:r w:rsidRPr="004C4563">
        <w:rPr>
          <w:rFonts w:asciiTheme="majorBidi" w:hAnsiTheme="majorBidi" w:cstheme="majorBidi"/>
          <w:sz w:val="24"/>
          <w:szCs w:val="24"/>
        </w:rPr>
        <w:t>cu</w:t>
      </w:r>
      <w:r w:rsidR="00DC78F6" w:rsidRPr="004C4563">
        <w:rPr>
          <w:rFonts w:asciiTheme="majorBidi" w:hAnsiTheme="majorBidi" w:cstheme="majorBidi"/>
          <w:sz w:val="24"/>
          <w:szCs w:val="24"/>
        </w:rPr>
        <w:t>stomer’s de</w:t>
      </w:r>
      <w:r w:rsidR="00765DB7">
        <w:rPr>
          <w:rFonts w:asciiTheme="majorBidi" w:hAnsiTheme="majorBidi" w:cstheme="majorBidi"/>
          <w:sz w:val="24"/>
          <w:szCs w:val="24"/>
        </w:rPr>
        <w:t>posits by 1.5 times</w:t>
      </w:r>
      <w:r w:rsidR="00C12A5F" w:rsidRPr="004C4563">
        <w:rPr>
          <w:rFonts w:asciiTheme="majorBidi" w:hAnsiTheme="majorBidi" w:cstheme="majorBidi"/>
          <w:sz w:val="24"/>
          <w:szCs w:val="24"/>
        </w:rPr>
        <w:t xml:space="preserve"> than Dubai Islamic bank</w:t>
      </w:r>
      <w:r w:rsidR="00707921">
        <w:rPr>
          <w:rFonts w:asciiTheme="majorBidi" w:hAnsiTheme="majorBidi" w:cstheme="majorBidi"/>
          <w:sz w:val="24"/>
          <w:szCs w:val="24"/>
        </w:rPr>
        <w:t xml:space="preserve"> with 0.772 times</w:t>
      </w:r>
      <w:r w:rsidRPr="004C4563">
        <w:rPr>
          <w:rFonts w:asciiTheme="majorBidi" w:hAnsiTheme="majorBidi" w:cstheme="majorBidi"/>
          <w:sz w:val="24"/>
          <w:szCs w:val="24"/>
        </w:rPr>
        <w:t>. Agai</w:t>
      </w:r>
      <w:r w:rsidR="00707921">
        <w:rPr>
          <w:rFonts w:asciiTheme="majorBidi" w:hAnsiTheme="majorBidi" w:cstheme="majorBidi"/>
          <w:sz w:val="24"/>
          <w:szCs w:val="24"/>
        </w:rPr>
        <w:t>n, a high ratio reflects a higher</w:t>
      </w:r>
      <w:r w:rsidRPr="004C4563">
        <w:rPr>
          <w:rFonts w:asciiTheme="majorBidi" w:hAnsiTheme="majorBidi" w:cstheme="majorBidi"/>
          <w:sz w:val="24"/>
          <w:szCs w:val="24"/>
        </w:rPr>
        <w:t xml:space="preserve"> level of liquidity. On the other hand, and based on standard deviation and coefficient of variation, these tables indicate a high dispersion and instability levels of this r</w:t>
      </w:r>
      <w:r w:rsidR="00C12A5F" w:rsidRPr="004C4563">
        <w:rPr>
          <w:rFonts w:asciiTheme="majorBidi" w:hAnsiTheme="majorBidi" w:cstheme="majorBidi"/>
          <w:sz w:val="24"/>
          <w:szCs w:val="24"/>
        </w:rPr>
        <w:t>atio in both bank</w:t>
      </w:r>
      <w:r w:rsidRPr="004C4563">
        <w:rPr>
          <w:rFonts w:asciiTheme="majorBidi" w:hAnsiTheme="majorBidi" w:cstheme="majorBidi"/>
          <w:sz w:val="24"/>
          <w:szCs w:val="24"/>
        </w:rPr>
        <w:t>.</w:t>
      </w:r>
    </w:p>
    <w:p w:rsidR="006F4843" w:rsidRPr="004C4563" w:rsidRDefault="006F4843" w:rsidP="006F4843">
      <w:pPr>
        <w:rPr>
          <w:rFonts w:asciiTheme="majorBidi" w:hAnsiTheme="majorBidi" w:cstheme="majorBidi"/>
          <w:sz w:val="24"/>
          <w:szCs w:val="24"/>
        </w:rPr>
      </w:pPr>
      <w:r w:rsidRPr="004C4563">
        <w:rPr>
          <w:rFonts w:asciiTheme="majorBidi" w:hAnsiTheme="majorBidi" w:cstheme="majorBidi"/>
          <w:sz w:val="24"/>
          <w:szCs w:val="24"/>
        </w:rPr>
        <w:lastRenderedPageBreak/>
        <w:t xml:space="preserve"> </w:t>
      </w:r>
      <w:r w:rsidRPr="004C4563">
        <w:rPr>
          <w:rFonts w:asciiTheme="majorBidi" w:hAnsiTheme="majorBidi" w:cstheme="majorBidi"/>
          <w:b/>
          <w:bCs/>
          <w:sz w:val="24"/>
          <w:szCs w:val="24"/>
        </w:rPr>
        <w:t>Shareholders’ Equity to Total Assets</w:t>
      </w:r>
    </w:p>
    <w:p w:rsidR="006F4843" w:rsidRPr="004C4563" w:rsidRDefault="006F4843" w:rsidP="006F4843">
      <w:pPr>
        <w:rPr>
          <w:rFonts w:asciiTheme="majorBidi" w:hAnsiTheme="majorBidi" w:cstheme="majorBidi"/>
          <w:sz w:val="24"/>
          <w:szCs w:val="24"/>
        </w:rPr>
      </w:pPr>
      <w:r w:rsidRPr="004C4563">
        <w:rPr>
          <w:rFonts w:asciiTheme="majorBidi" w:hAnsiTheme="majorBidi" w:cstheme="majorBidi"/>
          <w:sz w:val="24"/>
          <w:szCs w:val="24"/>
        </w:rPr>
        <w:t>This ratio shows bank money as a percentage of total assets. The high ratio shows the ability of a bank to use its own money and indicates more liquidity</w:t>
      </w:r>
      <w:r w:rsidR="00C12A5F" w:rsidRPr="004C4563">
        <w:rPr>
          <w:rFonts w:asciiTheme="majorBidi" w:hAnsiTheme="majorBidi" w:cstheme="majorBidi"/>
          <w:sz w:val="24"/>
          <w:szCs w:val="24"/>
        </w:rPr>
        <w:t>. Based on the mean measure</w:t>
      </w:r>
      <w:r w:rsidR="00914693">
        <w:rPr>
          <w:rFonts w:asciiTheme="majorBidi" w:hAnsiTheme="majorBidi" w:cstheme="majorBidi"/>
          <w:sz w:val="24"/>
          <w:szCs w:val="24"/>
        </w:rPr>
        <w:t>ment</w:t>
      </w:r>
      <w:r w:rsidR="00C12A5F" w:rsidRPr="004C4563">
        <w:rPr>
          <w:rFonts w:asciiTheme="majorBidi" w:hAnsiTheme="majorBidi" w:cstheme="majorBidi"/>
          <w:sz w:val="24"/>
          <w:szCs w:val="24"/>
        </w:rPr>
        <w:t xml:space="preserve">, </w:t>
      </w:r>
      <w:r w:rsidRPr="004C4563">
        <w:rPr>
          <w:rFonts w:asciiTheme="majorBidi" w:hAnsiTheme="majorBidi" w:cstheme="majorBidi"/>
          <w:sz w:val="24"/>
          <w:szCs w:val="24"/>
        </w:rPr>
        <w:t xml:space="preserve">tables 1 and 2 demonstrate that </w:t>
      </w:r>
      <w:r w:rsidR="00C12A5F" w:rsidRPr="004C4563">
        <w:rPr>
          <w:rFonts w:asciiTheme="majorBidi" w:hAnsiTheme="majorBidi" w:cstheme="majorBidi"/>
          <w:sz w:val="24"/>
          <w:szCs w:val="24"/>
        </w:rPr>
        <w:t>both banks have similar level of owners’ contr</w:t>
      </w:r>
      <w:r w:rsidR="006F5A51" w:rsidRPr="004C4563">
        <w:rPr>
          <w:rFonts w:asciiTheme="majorBidi" w:hAnsiTheme="majorBidi" w:cstheme="majorBidi"/>
          <w:sz w:val="24"/>
          <w:szCs w:val="24"/>
        </w:rPr>
        <w:t>ibution to finance their asse</w:t>
      </w:r>
      <w:r w:rsidR="00C12A5F" w:rsidRPr="004C4563">
        <w:rPr>
          <w:rFonts w:asciiTheme="majorBidi" w:hAnsiTheme="majorBidi" w:cstheme="majorBidi"/>
          <w:sz w:val="24"/>
          <w:szCs w:val="24"/>
        </w:rPr>
        <w:t>ts</w:t>
      </w:r>
      <w:r w:rsidRPr="004C4563">
        <w:rPr>
          <w:rFonts w:asciiTheme="majorBidi" w:hAnsiTheme="majorBidi" w:cstheme="majorBidi"/>
          <w:sz w:val="24"/>
          <w:szCs w:val="24"/>
        </w:rPr>
        <w:t>. Based on both standard deviation a</w:t>
      </w:r>
      <w:r w:rsidR="00DC78F6" w:rsidRPr="004C4563">
        <w:rPr>
          <w:rFonts w:asciiTheme="majorBidi" w:hAnsiTheme="majorBidi" w:cstheme="majorBidi"/>
          <w:sz w:val="24"/>
          <w:szCs w:val="24"/>
        </w:rPr>
        <w:t xml:space="preserve">nd the coefficient of variation, it appears </w:t>
      </w:r>
      <w:r w:rsidRPr="004C4563">
        <w:rPr>
          <w:rFonts w:asciiTheme="majorBidi" w:hAnsiTheme="majorBidi" w:cstheme="majorBidi"/>
          <w:sz w:val="24"/>
          <w:szCs w:val="24"/>
        </w:rPr>
        <w:t xml:space="preserve">that </w:t>
      </w:r>
      <w:r w:rsidR="00DC78F6" w:rsidRPr="004C4563">
        <w:rPr>
          <w:rFonts w:asciiTheme="majorBidi" w:hAnsiTheme="majorBidi" w:cstheme="majorBidi"/>
          <w:sz w:val="24"/>
          <w:szCs w:val="24"/>
        </w:rPr>
        <w:t xml:space="preserve">Dubai Islamic bank </w:t>
      </w:r>
      <w:r w:rsidR="006F5A51" w:rsidRPr="004C4563">
        <w:rPr>
          <w:rFonts w:asciiTheme="majorBidi" w:hAnsiTheme="majorBidi" w:cstheme="majorBidi"/>
          <w:sz w:val="24"/>
          <w:szCs w:val="24"/>
        </w:rPr>
        <w:t>is more stable than its counterpart</w:t>
      </w:r>
      <w:r w:rsidRPr="004C4563">
        <w:rPr>
          <w:rFonts w:asciiTheme="majorBidi" w:hAnsiTheme="majorBidi" w:cstheme="majorBidi"/>
          <w:sz w:val="24"/>
          <w:szCs w:val="24"/>
        </w:rPr>
        <w:t>.</w:t>
      </w:r>
    </w:p>
    <w:p w:rsidR="00CE3818" w:rsidRDefault="00CE3818" w:rsidP="002E0AC1">
      <w:pPr>
        <w:rPr>
          <w:b/>
          <w:bCs/>
          <w:sz w:val="24"/>
          <w:szCs w:val="24"/>
        </w:rPr>
      </w:pPr>
    </w:p>
    <w:p w:rsidR="00063FB5" w:rsidRPr="00333BAD" w:rsidRDefault="00FC3766" w:rsidP="00FC3766">
      <w:pPr>
        <w:rPr>
          <w:rFonts w:asciiTheme="majorBidi" w:hAnsiTheme="majorBidi" w:cstheme="majorBidi"/>
          <w:b/>
          <w:bCs/>
          <w:sz w:val="24"/>
          <w:szCs w:val="24"/>
        </w:rPr>
      </w:pPr>
      <w:r w:rsidRPr="00333BAD">
        <w:rPr>
          <w:rFonts w:asciiTheme="majorBidi" w:hAnsiTheme="majorBidi" w:cstheme="majorBidi"/>
          <w:b/>
          <w:bCs/>
          <w:sz w:val="24"/>
          <w:szCs w:val="24"/>
        </w:rPr>
        <w:t>Table 1: Liquidity</w:t>
      </w:r>
      <w:r w:rsidR="003117EB" w:rsidRPr="00333BAD">
        <w:rPr>
          <w:rFonts w:asciiTheme="majorBidi" w:hAnsiTheme="majorBidi" w:cstheme="majorBidi"/>
          <w:b/>
          <w:bCs/>
          <w:sz w:val="24"/>
          <w:szCs w:val="24"/>
        </w:rPr>
        <w:t xml:space="preserve"> Indicators</w:t>
      </w:r>
      <w:r w:rsidR="00CE3818" w:rsidRPr="00333BAD">
        <w:rPr>
          <w:rFonts w:asciiTheme="majorBidi" w:hAnsiTheme="majorBidi" w:cstheme="majorBidi"/>
          <w:b/>
          <w:bCs/>
          <w:sz w:val="24"/>
          <w:szCs w:val="24"/>
        </w:rPr>
        <w:t>: Dubai Islamic Bank</w:t>
      </w:r>
    </w:p>
    <w:tbl>
      <w:tblPr>
        <w:tblStyle w:val="TableGrid"/>
        <w:tblW w:w="0" w:type="auto"/>
        <w:tblLook w:val="04A0" w:firstRow="1" w:lastRow="0" w:firstColumn="1" w:lastColumn="0" w:noHBand="0" w:noVBand="1"/>
      </w:tblPr>
      <w:tblGrid>
        <w:gridCol w:w="1549"/>
        <w:gridCol w:w="836"/>
        <w:gridCol w:w="836"/>
        <w:gridCol w:w="836"/>
        <w:gridCol w:w="836"/>
        <w:gridCol w:w="836"/>
        <w:gridCol w:w="876"/>
        <w:gridCol w:w="1163"/>
        <w:gridCol w:w="1296"/>
      </w:tblGrid>
      <w:tr w:rsidR="00247597" w:rsidRPr="00333BAD" w:rsidTr="0034692C">
        <w:tc>
          <w:tcPr>
            <w:tcW w:w="1449" w:type="dxa"/>
          </w:tcPr>
          <w:p w:rsidR="00247597" w:rsidRPr="00333BAD" w:rsidRDefault="006054B9" w:rsidP="0034692C">
            <w:pPr>
              <w:jc w:val="center"/>
              <w:rPr>
                <w:rFonts w:asciiTheme="majorBidi" w:hAnsiTheme="majorBidi" w:cstheme="majorBidi"/>
                <w:sz w:val="24"/>
                <w:szCs w:val="24"/>
              </w:rPr>
            </w:pPr>
            <w:r>
              <w:rPr>
                <w:rFonts w:asciiTheme="majorBidi" w:hAnsiTheme="majorBidi" w:cstheme="majorBidi"/>
                <w:sz w:val="24"/>
                <w:szCs w:val="24"/>
              </w:rPr>
              <w:t>Indicators</w:t>
            </w:r>
            <w:r w:rsidR="00247597" w:rsidRPr="00333BAD">
              <w:rPr>
                <w:rFonts w:asciiTheme="majorBidi" w:hAnsiTheme="majorBidi" w:cstheme="majorBidi"/>
                <w:sz w:val="24"/>
                <w:szCs w:val="24"/>
              </w:rPr>
              <w:t xml:space="preserve"> %</w:t>
            </w:r>
          </w:p>
        </w:tc>
        <w:tc>
          <w:tcPr>
            <w:tcW w:w="836" w:type="dxa"/>
          </w:tcPr>
          <w:p w:rsidR="00247597" w:rsidRPr="00333BAD" w:rsidRDefault="00247597" w:rsidP="0034692C">
            <w:pPr>
              <w:jc w:val="center"/>
              <w:rPr>
                <w:rFonts w:asciiTheme="majorBidi" w:hAnsiTheme="majorBidi" w:cstheme="majorBidi"/>
                <w:sz w:val="24"/>
                <w:szCs w:val="24"/>
              </w:rPr>
            </w:pPr>
            <w:r w:rsidRPr="00333BAD">
              <w:rPr>
                <w:rFonts w:asciiTheme="majorBidi" w:hAnsiTheme="majorBidi" w:cstheme="majorBidi"/>
                <w:sz w:val="24"/>
                <w:szCs w:val="24"/>
              </w:rPr>
              <w:t>2003</w:t>
            </w:r>
          </w:p>
        </w:tc>
        <w:tc>
          <w:tcPr>
            <w:tcW w:w="836" w:type="dxa"/>
          </w:tcPr>
          <w:p w:rsidR="00247597" w:rsidRPr="00333BAD" w:rsidRDefault="00247597" w:rsidP="0034692C">
            <w:pPr>
              <w:jc w:val="center"/>
              <w:rPr>
                <w:rFonts w:asciiTheme="majorBidi" w:hAnsiTheme="majorBidi" w:cstheme="majorBidi"/>
                <w:sz w:val="24"/>
                <w:szCs w:val="24"/>
              </w:rPr>
            </w:pPr>
            <w:r w:rsidRPr="00333BAD">
              <w:rPr>
                <w:rFonts w:asciiTheme="majorBidi" w:hAnsiTheme="majorBidi" w:cstheme="majorBidi"/>
                <w:sz w:val="24"/>
                <w:szCs w:val="24"/>
              </w:rPr>
              <w:t>2004</w:t>
            </w:r>
          </w:p>
        </w:tc>
        <w:tc>
          <w:tcPr>
            <w:tcW w:w="836" w:type="dxa"/>
          </w:tcPr>
          <w:p w:rsidR="00247597" w:rsidRPr="00333BAD" w:rsidRDefault="00247597" w:rsidP="0034692C">
            <w:pPr>
              <w:jc w:val="center"/>
              <w:rPr>
                <w:rFonts w:asciiTheme="majorBidi" w:hAnsiTheme="majorBidi" w:cstheme="majorBidi"/>
                <w:sz w:val="24"/>
                <w:szCs w:val="24"/>
              </w:rPr>
            </w:pPr>
            <w:r w:rsidRPr="00333BAD">
              <w:rPr>
                <w:rFonts w:asciiTheme="majorBidi" w:hAnsiTheme="majorBidi" w:cstheme="majorBidi"/>
                <w:sz w:val="24"/>
                <w:szCs w:val="24"/>
              </w:rPr>
              <w:t>2005</w:t>
            </w:r>
          </w:p>
        </w:tc>
        <w:tc>
          <w:tcPr>
            <w:tcW w:w="836" w:type="dxa"/>
          </w:tcPr>
          <w:p w:rsidR="00247597" w:rsidRPr="00333BAD" w:rsidRDefault="00247597" w:rsidP="0034692C">
            <w:pPr>
              <w:jc w:val="center"/>
              <w:rPr>
                <w:rFonts w:asciiTheme="majorBidi" w:hAnsiTheme="majorBidi" w:cstheme="majorBidi"/>
                <w:sz w:val="24"/>
                <w:szCs w:val="24"/>
              </w:rPr>
            </w:pPr>
            <w:r w:rsidRPr="00333BAD">
              <w:rPr>
                <w:rFonts w:asciiTheme="majorBidi" w:hAnsiTheme="majorBidi" w:cstheme="majorBidi"/>
                <w:sz w:val="24"/>
                <w:szCs w:val="24"/>
              </w:rPr>
              <w:t>2006</w:t>
            </w:r>
          </w:p>
        </w:tc>
        <w:tc>
          <w:tcPr>
            <w:tcW w:w="836" w:type="dxa"/>
          </w:tcPr>
          <w:p w:rsidR="00247597" w:rsidRPr="00333BAD" w:rsidRDefault="00247597" w:rsidP="0034692C">
            <w:pPr>
              <w:jc w:val="center"/>
              <w:rPr>
                <w:rFonts w:asciiTheme="majorBidi" w:hAnsiTheme="majorBidi" w:cstheme="majorBidi"/>
                <w:sz w:val="24"/>
                <w:szCs w:val="24"/>
              </w:rPr>
            </w:pPr>
            <w:r w:rsidRPr="00333BAD">
              <w:rPr>
                <w:rFonts w:asciiTheme="majorBidi" w:hAnsiTheme="majorBidi" w:cstheme="majorBidi"/>
                <w:sz w:val="24"/>
                <w:szCs w:val="24"/>
              </w:rPr>
              <w:t>2007</w:t>
            </w:r>
          </w:p>
        </w:tc>
        <w:tc>
          <w:tcPr>
            <w:tcW w:w="735" w:type="dxa"/>
          </w:tcPr>
          <w:p w:rsidR="00247597" w:rsidRPr="00333BAD" w:rsidRDefault="00247597" w:rsidP="0034692C">
            <w:pPr>
              <w:jc w:val="center"/>
              <w:rPr>
                <w:rFonts w:asciiTheme="majorBidi" w:hAnsiTheme="majorBidi" w:cstheme="majorBidi"/>
                <w:sz w:val="24"/>
                <w:szCs w:val="24"/>
              </w:rPr>
            </w:pPr>
            <w:r w:rsidRPr="00333BAD">
              <w:rPr>
                <w:rFonts w:asciiTheme="majorBidi" w:hAnsiTheme="majorBidi" w:cstheme="majorBidi"/>
                <w:sz w:val="24"/>
                <w:szCs w:val="24"/>
              </w:rPr>
              <w:t>Mean</w:t>
            </w:r>
          </w:p>
        </w:tc>
        <w:tc>
          <w:tcPr>
            <w:tcW w:w="1081" w:type="dxa"/>
          </w:tcPr>
          <w:p w:rsidR="00247597" w:rsidRPr="00333BAD" w:rsidRDefault="00247597" w:rsidP="0034692C">
            <w:pPr>
              <w:jc w:val="center"/>
              <w:rPr>
                <w:rFonts w:asciiTheme="majorBidi" w:hAnsiTheme="majorBidi" w:cstheme="majorBidi"/>
                <w:sz w:val="24"/>
                <w:szCs w:val="24"/>
              </w:rPr>
            </w:pPr>
            <w:r w:rsidRPr="00333BAD">
              <w:rPr>
                <w:rFonts w:asciiTheme="majorBidi" w:hAnsiTheme="majorBidi" w:cstheme="majorBidi"/>
                <w:sz w:val="24"/>
                <w:szCs w:val="24"/>
              </w:rPr>
              <w:t>Standard Deviation</w:t>
            </w:r>
          </w:p>
        </w:tc>
        <w:tc>
          <w:tcPr>
            <w:tcW w:w="1186" w:type="dxa"/>
          </w:tcPr>
          <w:p w:rsidR="00247597" w:rsidRPr="00333BAD" w:rsidRDefault="00247597" w:rsidP="0034692C">
            <w:pPr>
              <w:jc w:val="center"/>
              <w:rPr>
                <w:rFonts w:asciiTheme="majorBidi" w:hAnsiTheme="majorBidi" w:cstheme="majorBidi"/>
                <w:sz w:val="24"/>
                <w:szCs w:val="24"/>
              </w:rPr>
            </w:pPr>
            <w:r w:rsidRPr="00333BAD">
              <w:rPr>
                <w:rFonts w:asciiTheme="majorBidi" w:hAnsiTheme="majorBidi" w:cstheme="majorBidi"/>
                <w:sz w:val="24"/>
                <w:szCs w:val="24"/>
              </w:rPr>
              <w:t xml:space="preserve">Coefficient of Variation </w:t>
            </w:r>
          </w:p>
        </w:tc>
      </w:tr>
      <w:tr w:rsidR="00247597" w:rsidRPr="00333BAD" w:rsidTr="0034692C">
        <w:tc>
          <w:tcPr>
            <w:tcW w:w="1449" w:type="dxa"/>
          </w:tcPr>
          <w:p w:rsidR="00247597" w:rsidRPr="00333BAD" w:rsidRDefault="00247597" w:rsidP="0034692C">
            <w:pPr>
              <w:jc w:val="center"/>
              <w:rPr>
                <w:rFonts w:asciiTheme="majorBidi" w:hAnsiTheme="majorBidi" w:cstheme="majorBidi"/>
                <w:sz w:val="24"/>
                <w:szCs w:val="24"/>
              </w:rPr>
            </w:pPr>
            <w:r w:rsidRPr="00333BAD">
              <w:rPr>
                <w:rFonts w:asciiTheme="majorBidi" w:hAnsiTheme="majorBidi" w:cstheme="majorBidi"/>
                <w:sz w:val="24"/>
                <w:szCs w:val="24"/>
              </w:rPr>
              <w:t xml:space="preserve">Murabaha and mudarabha to Total Assets </w:t>
            </w:r>
          </w:p>
        </w:tc>
        <w:tc>
          <w:tcPr>
            <w:tcW w:w="836" w:type="dxa"/>
          </w:tcPr>
          <w:p w:rsidR="00247597" w:rsidRPr="00333BAD" w:rsidRDefault="00247597" w:rsidP="0034692C">
            <w:pPr>
              <w:jc w:val="center"/>
              <w:rPr>
                <w:rFonts w:asciiTheme="majorBidi" w:hAnsiTheme="majorBidi" w:cstheme="majorBidi"/>
                <w:sz w:val="24"/>
                <w:szCs w:val="24"/>
              </w:rPr>
            </w:pPr>
            <w:r w:rsidRPr="00333BAD">
              <w:rPr>
                <w:rFonts w:asciiTheme="majorBidi" w:hAnsiTheme="majorBidi" w:cstheme="majorBidi"/>
                <w:sz w:val="24"/>
                <w:szCs w:val="24"/>
              </w:rPr>
              <w:t>52</w:t>
            </w:r>
          </w:p>
        </w:tc>
        <w:tc>
          <w:tcPr>
            <w:tcW w:w="836" w:type="dxa"/>
          </w:tcPr>
          <w:p w:rsidR="00247597" w:rsidRPr="00333BAD" w:rsidRDefault="00247597" w:rsidP="0034692C">
            <w:pPr>
              <w:jc w:val="center"/>
              <w:rPr>
                <w:rFonts w:asciiTheme="majorBidi" w:hAnsiTheme="majorBidi" w:cstheme="majorBidi"/>
                <w:sz w:val="24"/>
                <w:szCs w:val="24"/>
              </w:rPr>
            </w:pPr>
            <w:r w:rsidRPr="00333BAD">
              <w:rPr>
                <w:rFonts w:asciiTheme="majorBidi" w:hAnsiTheme="majorBidi" w:cstheme="majorBidi"/>
                <w:sz w:val="24"/>
                <w:szCs w:val="24"/>
              </w:rPr>
              <w:t>50</w:t>
            </w:r>
          </w:p>
        </w:tc>
        <w:tc>
          <w:tcPr>
            <w:tcW w:w="836" w:type="dxa"/>
          </w:tcPr>
          <w:p w:rsidR="00247597" w:rsidRPr="00333BAD" w:rsidRDefault="00247597" w:rsidP="0034692C">
            <w:pPr>
              <w:jc w:val="center"/>
              <w:rPr>
                <w:rFonts w:asciiTheme="majorBidi" w:hAnsiTheme="majorBidi" w:cstheme="majorBidi"/>
                <w:sz w:val="24"/>
                <w:szCs w:val="24"/>
              </w:rPr>
            </w:pPr>
            <w:r w:rsidRPr="00333BAD">
              <w:rPr>
                <w:rFonts w:asciiTheme="majorBidi" w:hAnsiTheme="majorBidi" w:cstheme="majorBidi"/>
                <w:sz w:val="24"/>
                <w:szCs w:val="24"/>
              </w:rPr>
              <w:t>46</w:t>
            </w:r>
          </w:p>
        </w:tc>
        <w:tc>
          <w:tcPr>
            <w:tcW w:w="836" w:type="dxa"/>
          </w:tcPr>
          <w:p w:rsidR="00247597" w:rsidRPr="00333BAD" w:rsidRDefault="00247597" w:rsidP="0034692C">
            <w:pPr>
              <w:jc w:val="center"/>
              <w:rPr>
                <w:rFonts w:asciiTheme="majorBidi" w:hAnsiTheme="majorBidi" w:cstheme="majorBidi"/>
                <w:sz w:val="24"/>
                <w:szCs w:val="24"/>
              </w:rPr>
            </w:pPr>
            <w:r w:rsidRPr="00333BAD">
              <w:rPr>
                <w:rFonts w:asciiTheme="majorBidi" w:hAnsiTheme="majorBidi" w:cstheme="majorBidi"/>
                <w:sz w:val="24"/>
                <w:szCs w:val="24"/>
              </w:rPr>
              <w:t>82</w:t>
            </w:r>
          </w:p>
        </w:tc>
        <w:tc>
          <w:tcPr>
            <w:tcW w:w="836" w:type="dxa"/>
          </w:tcPr>
          <w:p w:rsidR="00247597" w:rsidRPr="00333BAD" w:rsidRDefault="00247597" w:rsidP="0034692C">
            <w:pPr>
              <w:jc w:val="center"/>
              <w:rPr>
                <w:rFonts w:asciiTheme="majorBidi" w:hAnsiTheme="majorBidi" w:cstheme="majorBidi"/>
                <w:sz w:val="24"/>
                <w:szCs w:val="24"/>
              </w:rPr>
            </w:pPr>
            <w:r w:rsidRPr="00333BAD">
              <w:rPr>
                <w:rFonts w:asciiTheme="majorBidi" w:hAnsiTheme="majorBidi" w:cstheme="majorBidi"/>
                <w:sz w:val="24"/>
                <w:szCs w:val="24"/>
              </w:rPr>
              <w:t>75</w:t>
            </w:r>
          </w:p>
        </w:tc>
        <w:tc>
          <w:tcPr>
            <w:tcW w:w="735" w:type="dxa"/>
          </w:tcPr>
          <w:p w:rsidR="00247597" w:rsidRPr="00333BAD" w:rsidRDefault="001F3E8A" w:rsidP="0034692C">
            <w:pPr>
              <w:jc w:val="center"/>
              <w:rPr>
                <w:rFonts w:asciiTheme="majorBidi" w:hAnsiTheme="majorBidi" w:cstheme="majorBidi"/>
                <w:sz w:val="24"/>
                <w:szCs w:val="24"/>
              </w:rPr>
            </w:pPr>
            <w:r w:rsidRPr="00333BAD">
              <w:rPr>
                <w:rFonts w:asciiTheme="majorBidi" w:hAnsiTheme="majorBidi" w:cstheme="majorBidi"/>
                <w:sz w:val="24"/>
                <w:szCs w:val="24"/>
              </w:rPr>
              <w:t>61</w:t>
            </w:r>
          </w:p>
        </w:tc>
        <w:tc>
          <w:tcPr>
            <w:tcW w:w="1081" w:type="dxa"/>
          </w:tcPr>
          <w:p w:rsidR="00247597" w:rsidRPr="00333BAD" w:rsidRDefault="001F3E8A" w:rsidP="0034692C">
            <w:pPr>
              <w:jc w:val="center"/>
              <w:rPr>
                <w:rFonts w:asciiTheme="majorBidi" w:hAnsiTheme="majorBidi" w:cstheme="majorBidi"/>
                <w:sz w:val="24"/>
                <w:szCs w:val="24"/>
              </w:rPr>
            </w:pPr>
            <w:r w:rsidRPr="00333BAD">
              <w:rPr>
                <w:rFonts w:asciiTheme="majorBidi" w:hAnsiTheme="majorBidi" w:cstheme="majorBidi"/>
                <w:sz w:val="24"/>
                <w:szCs w:val="24"/>
              </w:rPr>
              <w:t>16</w:t>
            </w:r>
            <w:r w:rsidR="00861771" w:rsidRPr="00333BAD">
              <w:rPr>
                <w:rFonts w:asciiTheme="majorBidi" w:hAnsiTheme="majorBidi" w:cstheme="majorBidi"/>
                <w:sz w:val="24"/>
                <w:szCs w:val="24"/>
              </w:rPr>
              <w:t>.</w:t>
            </w:r>
            <w:r w:rsidRPr="00333BAD">
              <w:rPr>
                <w:rFonts w:asciiTheme="majorBidi" w:hAnsiTheme="majorBidi" w:cstheme="majorBidi"/>
                <w:sz w:val="24"/>
                <w:szCs w:val="24"/>
              </w:rPr>
              <w:t>3</w:t>
            </w:r>
          </w:p>
        </w:tc>
        <w:tc>
          <w:tcPr>
            <w:tcW w:w="1186" w:type="dxa"/>
          </w:tcPr>
          <w:p w:rsidR="00247597" w:rsidRPr="00333BAD" w:rsidRDefault="009935F2" w:rsidP="0034692C">
            <w:pPr>
              <w:jc w:val="center"/>
              <w:rPr>
                <w:rFonts w:asciiTheme="majorBidi" w:hAnsiTheme="majorBidi" w:cstheme="majorBidi"/>
                <w:sz w:val="24"/>
                <w:szCs w:val="24"/>
              </w:rPr>
            </w:pPr>
            <w:r w:rsidRPr="00333BAD">
              <w:rPr>
                <w:rFonts w:asciiTheme="majorBidi" w:hAnsiTheme="majorBidi" w:cstheme="majorBidi"/>
                <w:sz w:val="24"/>
                <w:szCs w:val="24"/>
              </w:rPr>
              <w:t>26</w:t>
            </w:r>
            <w:r w:rsidR="0034692C" w:rsidRPr="00333BAD">
              <w:rPr>
                <w:rFonts w:asciiTheme="majorBidi" w:hAnsiTheme="majorBidi" w:cstheme="majorBidi"/>
                <w:sz w:val="24"/>
                <w:szCs w:val="24"/>
              </w:rPr>
              <w:t>.</w:t>
            </w:r>
            <w:r w:rsidRPr="00333BAD">
              <w:rPr>
                <w:rFonts w:asciiTheme="majorBidi" w:hAnsiTheme="majorBidi" w:cstheme="majorBidi"/>
                <w:sz w:val="24"/>
                <w:szCs w:val="24"/>
              </w:rPr>
              <w:t>7</w:t>
            </w:r>
          </w:p>
        </w:tc>
      </w:tr>
      <w:tr w:rsidR="00247597" w:rsidRPr="00333BAD" w:rsidTr="0034692C">
        <w:tc>
          <w:tcPr>
            <w:tcW w:w="1449" w:type="dxa"/>
          </w:tcPr>
          <w:p w:rsidR="00247597" w:rsidRPr="00333BAD" w:rsidRDefault="00247597" w:rsidP="0034692C">
            <w:pPr>
              <w:jc w:val="center"/>
              <w:rPr>
                <w:rFonts w:asciiTheme="majorBidi" w:hAnsiTheme="majorBidi" w:cstheme="majorBidi"/>
                <w:sz w:val="24"/>
                <w:szCs w:val="24"/>
              </w:rPr>
            </w:pPr>
            <w:r w:rsidRPr="00333BAD">
              <w:rPr>
                <w:rFonts w:asciiTheme="majorBidi" w:hAnsiTheme="majorBidi" w:cstheme="majorBidi"/>
                <w:sz w:val="24"/>
                <w:szCs w:val="24"/>
              </w:rPr>
              <w:t xml:space="preserve">Murabaha and mudarabha to Customers’ Deposits </w:t>
            </w:r>
          </w:p>
        </w:tc>
        <w:tc>
          <w:tcPr>
            <w:tcW w:w="836" w:type="dxa"/>
          </w:tcPr>
          <w:p w:rsidR="00247597" w:rsidRPr="00333BAD" w:rsidRDefault="00247597" w:rsidP="0034692C">
            <w:pPr>
              <w:jc w:val="center"/>
              <w:rPr>
                <w:rFonts w:asciiTheme="majorBidi" w:hAnsiTheme="majorBidi" w:cstheme="majorBidi"/>
                <w:sz w:val="24"/>
                <w:szCs w:val="24"/>
              </w:rPr>
            </w:pPr>
            <w:r w:rsidRPr="00333BAD">
              <w:rPr>
                <w:rFonts w:asciiTheme="majorBidi" w:hAnsiTheme="majorBidi" w:cstheme="majorBidi"/>
                <w:sz w:val="24"/>
                <w:szCs w:val="24"/>
              </w:rPr>
              <w:t>59</w:t>
            </w:r>
          </w:p>
        </w:tc>
        <w:tc>
          <w:tcPr>
            <w:tcW w:w="836" w:type="dxa"/>
          </w:tcPr>
          <w:p w:rsidR="00247597" w:rsidRPr="00333BAD" w:rsidRDefault="00247597" w:rsidP="0034692C">
            <w:pPr>
              <w:jc w:val="center"/>
              <w:rPr>
                <w:rFonts w:asciiTheme="majorBidi" w:hAnsiTheme="majorBidi" w:cstheme="majorBidi"/>
                <w:sz w:val="24"/>
                <w:szCs w:val="24"/>
              </w:rPr>
            </w:pPr>
            <w:r w:rsidRPr="00333BAD">
              <w:rPr>
                <w:rFonts w:asciiTheme="majorBidi" w:hAnsiTheme="majorBidi" w:cstheme="majorBidi"/>
                <w:sz w:val="24"/>
                <w:szCs w:val="24"/>
              </w:rPr>
              <w:t>62</w:t>
            </w:r>
          </w:p>
        </w:tc>
        <w:tc>
          <w:tcPr>
            <w:tcW w:w="836" w:type="dxa"/>
          </w:tcPr>
          <w:p w:rsidR="00247597" w:rsidRPr="00333BAD" w:rsidRDefault="00247597" w:rsidP="0034692C">
            <w:pPr>
              <w:jc w:val="center"/>
              <w:rPr>
                <w:rFonts w:asciiTheme="majorBidi" w:hAnsiTheme="majorBidi" w:cstheme="majorBidi"/>
                <w:sz w:val="24"/>
                <w:szCs w:val="24"/>
              </w:rPr>
            </w:pPr>
            <w:r w:rsidRPr="00333BAD">
              <w:rPr>
                <w:rFonts w:asciiTheme="majorBidi" w:hAnsiTheme="majorBidi" w:cstheme="majorBidi"/>
                <w:sz w:val="24"/>
                <w:szCs w:val="24"/>
              </w:rPr>
              <w:t>59</w:t>
            </w:r>
          </w:p>
        </w:tc>
        <w:tc>
          <w:tcPr>
            <w:tcW w:w="836" w:type="dxa"/>
          </w:tcPr>
          <w:p w:rsidR="00247597" w:rsidRPr="00333BAD" w:rsidRDefault="00861771" w:rsidP="0034692C">
            <w:pPr>
              <w:jc w:val="center"/>
              <w:rPr>
                <w:rFonts w:asciiTheme="majorBidi" w:hAnsiTheme="majorBidi" w:cstheme="majorBidi"/>
                <w:sz w:val="24"/>
                <w:szCs w:val="24"/>
              </w:rPr>
            </w:pPr>
            <w:r w:rsidRPr="00333BAD">
              <w:rPr>
                <w:rFonts w:asciiTheme="majorBidi" w:hAnsiTheme="majorBidi" w:cstheme="majorBidi"/>
                <w:sz w:val="24"/>
                <w:szCs w:val="24"/>
              </w:rPr>
              <w:t>1</w:t>
            </w:r>
            <w:r w:rsidR="00247597" w:rsidRPr="00333BAD">
              <w:rPr>
                <w:rFonts w:asciiTheme="majorBidi" w:hAnsiTheme="majorBidi" w:cstheme="majorBidi"/>
                <w:sz w:val="24"/>
                <w:szCs w:val="24"/>
              </w:rPr>
              <w:t>10</w:t>
            </w:r>
          </w:p>
        </w:tc>
        <w:tc>
          <w:tcPr>
            <w:tcW w:w="836" w:type="dxa"/>
          </w:tcPr>
          <w:p w:rsidR="00247597" w:rsidRPr="00333BAD" w:rsidRDefault="00247597" w:rsidP="0034692C">
            <w:pPr>
              <w:jc w:val="center"/>
              <w:rPr>
                <w:rFonts w:asciiTheme="majorBidi" w:hAnsiTheme="majorBidi" w:cstheme="majorBidi"/>
                <w:sz w:val="24"/>
                <w:szCs w:val="24"/>
              </w:rPr>
            </w:pPr>
            <w:r w:rsidRPr="00333BAD">
              <w:rPr>
                <w:rFonts w:asciiTheme="majorBidi" w:hAnsiTheme="majorBidi" w:cstheme="majorBidi"/>
                <w:sz w:val="24"/>
                <w:szCs w:val="24"/>
              </w:rPr>
              <w:t>96</w:t>
            </w:r>
          </w:p>
        </w:tc>
        <w:tc>
          <w:tcPr>
            <w:tcW w:w="735" w:type="dxa"/>
          </w:tcPr>
          <w:p w:rsidR="00247597" w:rsidRPr="00333BAD" w:rsidRDefault="009935F2" w:rsidP="0034692C">
            <w:pPr>
              <w:jc w:val="center"/>
              <w:rPr>
                <w:rFonts w:asciiTheme="majorBidi" w:hAnsiTheme="majorBidi" w:cstheme="majorBidi"/>
                <w:sz w:val="24"/>
                <w:szCs w:val="24"/>
              </w:rPr>
            </w:pPr>
            <w:r w:rsidRPr="00333BAD">
              <w:rPr>
                <w:rFonts w:asciiTheme="majorBidi" w:hAnsiTheme="majorBidi" w:cstheme="majorBidi"/>
                <w:sz w:val="24"/>
                <w:szCs w:val="24"/>
              </w:rPr>
              <w:t>77</w:t>
            </w:r>
            <w:r w:rsidR="00861771" w:rsidRPr="00333BAD">
              <w:rPr>
                <w:rFonts w:asciiTheme="majorBidi" w:hAnsiTheme="majorBidi" w:cstheme="majorBidi"/>
                <w:sz w:val="24"/>
                <w:szCs w:val="24"/>
              </w:rPr>
              <w:t>.</w:t>
            </w:r>
            <w:r w:rsidRPr="00333BAD">
              <w:rPr>
                <w:rFonts w:asciiTheme="majorBidi" w:hAnsiTheme="majorBidi" w:cstheme="majorBidi"/>
                <w:sz w:val="24"/>
                <w:szCs w:val="24"/>
              </w:rPr>
              <w:t>2</w:t>
            </w:r>
          </w:p>
        </w:tc>
        <w:tc>
          <w:tcPr>
            <w:tcW w:w="1081" w:type="dxa"/>
          </w:tcPr>
          <w:p w:rsidR="00247597" w:rsidRPr="00333BAD" w:rsidRDefault="009935F2" w:rsidP="0034692C">
            <w:pPr>
              <w:jc w:val="center"/>
              <w:rPr>
                <w:rFonts w:asciiTheme="majorBidi" w:hAnsiTheme="majorBidi" w:cstheme="majorBidi"/>
                <w:sz w:val="24"/>
                <w:szCs w:val="24"/>
              </w:rPr>
            </w:pPr>
            <w:r w:rsidRPr="00333BAD">
              <w:rPr>
                <w:rFonts w:asciiTheme="majorBidi" w:hAnsiTheme="majorBidi" w:cstheme="majorBidi"/>
                <w:sz w:val="24"/>
                <w:szCs w:val="24"/>
              </w:rPr>
              <w:t>24</w:t>
            </w:r>
            <w:r w:rsidR="00861771" w:rsidRPr="00333BAD">
              <w:rPr>
                <w:rFonts w:asciiTheme="majorBidi" w:hAnsiTheme="majorBidi" w:cstheme="majorBidi"/>
                <w:sz w:val="24"/>
                <w:szCs w:val="24"/>
              </w:rPr>
              <w:t>.</w:t>
            </w:r>
            <w:r w:rsidRPr="00333BAD">
              <w:rPr>
                <w:rFonts w:asciiTheme="majorBidi" w:hAnsiTheme="majorBidi" w:cstheme="majorBidi"/>
                <w:sz w:val="24"/>
                <w:szCs w:val="24"/>
              </w:rPr>
              <w:t>1</w:t>
            </w:r>
          </w:p>
        </w:tc>
        <w:tc>
          <w:tcPr>
            <w:tcW w:w="1186" w:type="dxa"/>
          </w:tcPr>
          <w:p w:rsidR="00247597" w:rsidRPr="00333BAD" w:rsidRDefault="009935F2" w:rsidP="0034692C">
            <w:pPr>
              <w:jc w:val="center"/>
              <w:rPr>
                <w:rFonts w:asciiTheme="majorBidi" w:hAnsiTheme="majorBidi" w:cstheme="majorBidi"/>
                <w:sz w:val="24"/>
                <w:szCs w:val="24"/>
              </w:rPr>
            </w:pPr>
            <w:r w:rsidRPr="00333BAD">
              <w:rPr>
                <w:rFonts w:asciiTheme="majorBidi" w:hAnsiTheme="majorBidi" w:cstheme="majorBidi"/>
                <w:sz w:val="24"/>
                <w:szCs w:val="24"/>
              </w:rPr>
              <w:t>31</w:t>
            </w:r>
            <w:r w:rsidR="0034692C" w:rsidRPr="00333BAD">
              <w:rPr>
                <w:rFonts w:asciiTheme="majorBidi" w:hAnsiTheme="majorBidi" w:cstheme="majorBidi"/>
                <w:sz w:val="24"/>
                <w:szCs w:val="24"/>
              </w:rPr>
              <w:t>.</w:t>
            </w:r>
            <w:r w:rsidRPr="00333BAD">
              <w:rPr>
                <w:rFonts w:asciiTheme="majorBidi" w:hAnsiTheme="majorBidi" w:cstheme="majorBidi"/>
                <w:sz w:val="24"/>
                <w:szCs w:val="24"/>
              </w:rPr>
              <w:t>2</w:t>
            </w:r>
          </w:p>
        </w:tc>
      </w:tr>
      <w:tr w:rsidR="00247597" w:rsidRPr="00333BAD" w:rsidTr="0034692C">
        <w:tc>
          <w:tcPr>
            <w:tcW w:w="1449" w:type="dxa"/>
          </w:tcPr>
          <w:p w:rsidR="00247597" w:rsidRPr="00333BAD" w:rsidRDefault="00247597" w:rsidP="0034692C">
            <w:pPr>
              <w:jc w:val="center"/>
              <w:rPr>
                <w:rFonts w:asciiTheme="majorBidi" w:hAnsiTheme="majorBidi" w:cstheme="majorBidi"/>
                <w:sz w:val="24"/>
                <w:szCs w:val="24"/>
              </w:rPr>
            </w:pPr>
            <w:r w:rsidRPr="00333BAD">
              <w:rPr>
                <w:rFonts w:asciiTheme="majorBidi" w:hAnsiTheme="majorBidi" w:cstheme="majorBidi"/>
                <w:sz w:val="24"/>
                <w:szCs w:val="24"/>
              </w:rPr>
              <w:t xml:space="preserve">Shareholder’s equity to Total Assets </w:t>
            </w:r>
          </w:p>
        </w:tc>
        <w:tc>
          <w:tcPr>
            <w:tcW w:w="836" w:type="dxa"/>
          </w:tcPr>
          <w:p w:rsidR="00247597" w:rsidRPr="00333BAD" w:rsidRDefault="00247597" w:rsidP="0034692C">
            <w:pPr>
              <w:jc w:val="center"/>
              <w:rPr>
                <w:rFonts w:asciiTheme="majorBidi" w:hAnsiTheme="majorBidi" w:cstheme="majorBidi"/>
                <w:sz w:val="24"/>
                <w:szCs w:val="24"/>
              </w:rPr>
            </w:pPr>
            <w:r w:rsidRPr="00333BAD">
              <w:rPr>
                <w:rFonts w:asciiTheme="majorBidi" w:hAnsiTheme="majorBidi" w:cstheme="majorBidi"/>
                <w:sz w:val="24"/>
                <w:szCs w:val="24"/>
              </w:rPr>
              <w:t>7.46</w:t>
            </w:r>
          </w:p>
        </w:tc>
        <w:tc>
          <w:tcPr>
            <w:tcW w:w="836" w:type="dxa"/>
          </w:tcPr>
          <w:p w:rsidR="00247597" w:rsidRPr="00333BAD" w:rsidRDefault="00247597" w:rsidP="0034692C">
            <w:pPr>
              <w:jc w:val="center"/>
              <w:rPr>
                <w:rFonts w:asciiTheme="majorBidi" w:hAnsiTheme="majorBidi" w:cstheme="majorBidi"/>
                <w:sz w:val="24"/>
                <w:szCs w:val="24"/>
              </w:rPr>
            </w:pPr>
            <w:r w:rsidRPr="00333BAD">
              <w:rPr>
                <w:rFonts w:asciiTheme="majorBidi" w:hAnsiTheme="majorBidi" w:cstheme="majorBidi"/>
                <w:sz w:val="24"/>
                <w:szCs w:val="24"/>
              </w:rPr>
              <w:t>9.76</w:t>
            </w:r>
          </w:p>
        </w:tc>
        <w:tc>
          <w:tcPr>
            <w:tcW w:w="836" w:type="dxa"/>
          </w:tcPr>
          <w:p w:rsidR="00247597" w:rsidRPr="00333BAD" w:rsidRDefault="00247597" w:rsidP="0034692C">
            <w:pPr>
              <w:jc w:val="center"/>
              <w:rPr>
                <w:rFonts w:asciiTheme="majorBidi" w:hAnsiTheme="majorBidi" w:cstheme="majorBidi"/>
                <w:sz w:val="24"/>
                <w:szCs w:val="24"/>
              </w:rPr>
            </w:pPr>
            <w:r w:rsidRPr="00333BAD">
              <w:rPr>
                <w:rFonts w:asciiTheme="majorBidi" w:hAnsiTheme="majorBidi" w:cstheme="majorBidi"/>
                <w:sz w:val="24"/>
                <w:szCs w:val="24"/>
              </w:rPr>
              <w:t>8.93</w:t>
            </w:r>
          </w:p>
        </w:tc>
        <w:tc>
          <w:tcPr>
            <w:tcW w:w="836" w:type="dxa"/>
          </w:tcPr>
          <w:p w:rsidR="00247597" w:rsidRPr="00333BAD" w:rsidRDefault="00247597" w:rsidP="0034692C">
            <w:pPr>
              <w:jc w:val="center"/>
              <w:rPr>
                <w:rFonts w:asciiTheme="majorBidi" w:hAnsiTheme="majorBidi" w:cstheme="majorBidi"/>
                <w:sz w:val="24"/>
                <w:szCs w:val="24"/>
              </w:rPr>
            </w:pPr>
            <w:r w:rsidRPr="00333BAD">
              <w:rPr>
                <w:rFonts w:asciiTheme="majorBidi" w:hAnsiTheme="majorBidi" w:cstheme="majorBidi"/>
                <w:sz w:val="24"/>
                <w:szCs w:val="24"/>
              </w:rPr>
              <w:t>13.25</w:t>
            </w:r>
          </w:p>
        </w:tc>
        <w:tc>
          <w:tcPr>
            <w:tcW w:w="836" w:type="dxa"/>
          </w:tcPr>
          <w:p w:rsidR="00247597" w:rsidRPr="00333BAD" w:rsidRDefault="00247597" w:rsidP="0034692C">
            <w:pPr>
              <w:jc w:val="center"/>
              <w:rPr>
                <w:rFonts w:asciiTheme="majorBidi" w:hAnsiTheme="majorBidi" w:cstheme="majorBidi"/>
                <w:sz w:val="24"/>
                <w:szCs w:val="24"/>
              </w:rPr>
            </w:pPr>
            <w:r w:rsidRPr="00333BAD">
              <w:rPr>
                <w:rFonts w:asciiTheme="majorBidi" w:hAnsiTheme="majorBidi" w:cstheme="majorBidi"/>
                <w:sz w:val="24"/>
                <w:szCs w:val="24"/>
              </w:rPr>
              <w:t>12.44</w:t>
            </w:r>
          </w:p>
        </w:tc>
        <w:tc>
          <w:tcPr>
            <w:tcW w:w="735" w:type="dxa"/>
          </w:tcPr>
          <w:p w:rsidR="00247597" w:rsidRPr="00333BAD" w:rsidRDefault="009935F2" w:rsidP="0034692C">
            <w:pPr>
              <w:jc w:val="center"/>
              <w:rPr>
                <w:rFonts w:asciiTheme="majorBidi" w:hAnsiTheme="majorBidi" w:cstheme="majorBidi"/>
                <w:sz w:val="24"/>
                <w:szCs w:val="24"/>
              </w:rPr>
            </w:pPr>
            <w:r w:rsidRPr="00333BAD">
              <w:rPr>
                <w:rFonts w:asciiTheme="majorBidi" w:hAnsiTheme="majorBidi" w:cstheme="majorBidi"/>
                <w:sz w:val="24"/>
                <w:szCs w:val="24"/>
              </w:rPr>
              <w:t>10.348</w:t>
            </w:r>
          </w:p>
        </w:tc>
        <w:tc>
          <w:tcPr>
            <w:tcW w:w="1081" w:type="dxa"/>
          </w:tcPr>
          <w:p w:rsidR="00247597" w:rsidRPr="00333BAD" w:rsidRDefault="009935F2" w:rsidP="0034692C">
            <w:pPr>
              <w:jc w:val="center"/>
              <w:rPr>
                <w:rFonts w:asciiTheme="majorBidi" w:hAnsiTheme="majorBidi" w:cstheme="majorBidi"/>
                <w:sz w:val="24"/>
                <w:szCs w:val="24"/>
              </w:rPr>
            </w:pPr>
            <w:r w:rsidRPr="00333BAD">
              <w:rPr>
                <w:rFonts w:asciiTheme="majorBidi" w:hAnsiTheme="majorBidi" w:cstheme="majorBidi"/>
                <w:sz w:val="24"/>
                <w:szCs w:val="24"/>
              </w:rPr>
              <w:t>2.454</w:t>
            </w:r>
          </w:p>
        </w:tc>
        <w:tc>
          <w:tcPr>
            <w:tcW w:w="1186" w:type="dxa"/>
          </w:tcPr>
          <w:p w:rsidR="00247597" w:rsidRPr="00333BAD" w:rsidRDefault="009935F2" w:rsidP="0034692C">
            <w:pPr>
              <w:jc w:val="center"/>
              <w:rPr>
                <w:rFonts w:asciiTheme="majorBidi" w:hAnsiTheme="majorBidi" w:cstheme="majorBidi"/>
                <w:sz w:val="24"/>
                <w:szCs w:val="24"/>
              </w:rPr>
            </w:pPr>
            <w:r w:rsidRPr="00333BAD">
              <w:rPr>
                <w:rFonts w:asciiTheme="majorBidi" w:hAnsiTheme="majorBidi" w:cstheme="majorBidi"/>
                <w:sz w:val="24"/>
                <w:szCs w:val="24"/>
              </w:rPr>
              <w:t>23</w:t>
            </w:r>
            <w:r w:rsidR="0034692C" w:rsidRPr="00333BAD">
              <w:rPr>
                <w:rFonts w:asciiTheme="majorBidi" w:hAnsiTheme="majorBidi" w:cstheme="majorBidi"/>
                <w:sz w:val="24"/>
                <w:szCs w:val="24"/>
              </w:rPr>
              <w:t>.</w:t>
            </w:r>
            <w:r w:rsidRPr="00333BAD">
              <w:rPr>
                <w:rFonts w:asciiTheme="majorBidi" w:hAnsiTheme="majorBidi" w:cstheme="majorBidi"/>
                <w:sz w:val="24"/>
                <w:szCs w:val="24"/>
              </w:rPr>
              <w:t>7</w:t>
            </w:r>
          </w:p>
        </w:tc>
      </w:tr>
    </w:tbl>
    <w:p w:rsidR="004C4563" w:rsidRDefault="004C4563" w:rsidP="002E0AC1"/>
    <w:p w:rsidR="00E32E93" w:rsidRPr="00333BAD" w:rsidRDefault="00FC3766" w:rsidP="002E0AC1">
      <w:pPr>
        <w:rPr>
          <w:rFonts w:asciiTheme="majorBidi" w:hAnsiTheme="majorBidi" w:cstheme="majorBidi"/>
          <w:b/>
          <w:bCs/>
          <w:sz w:val="24"/>
          <w:szCs w:val="24"/>
        </w:rPr>
      </w:pPr>
      <w:r w:rsidRPr="00333BAD">
        <w:rPr>
          <w:rFonts w:asciiTheme="majorBidi" w:hAnsiTheme="majorBidi" w:cstheme="majorBidi"/>
          <w:sz w:val="24"/>
          <w:szCs w:val="24"/>
        </w:rPr>
        <w:t>Table 2:</w:t>
      </w:r>
      <w:r w:rsidR="0004475C" w:rsidRPr="00333BAD">
        <w:rPr>
          <w:rFonts w:asciiTheme="majorBidi" w:hAnsiTheme="majorBidi" w:cstheme="majorBidi"/>
          <w:sz w:val="24"/>
          <w:szCs w:val="24"/>
        </w:rPr>
        <w:t xml:space="preserve">  </w:t>
      </w:r>
      <w:r w:rsidR="003117EB" w:rsidRPr="00333BAD">
        <w:rPr>
          <w:rFonts w:asciiTheme="majorBidi" w:hAnsiTheme="majorBidi" w:cstheme="majorBidi"/>
          <w:b/>
          <w:bCs/>
          <w:sz w:val="24"/>
          <w:szCs w:val="24"/>
        </w:rPr>
        <w:t>Liquidity Indicators</w:t>
      </w:r>
      <w:r w:rsidR="00E32E93" w:rsidRPr="00333BAD">
        <w:rPr>
          <w:rFonts w:asciiTheme="majorBidi" w:hAnsiTheme="majorBidi" w:cstheme="majorBidi"/>
          <w:b/>
          <w:bCs/>
          <w:sz w:val="24"/>
          <w:szCs w:val="24"/>
        </w:rPr>
        <w:t>: Abu Dhabi Islamic Bank</w:t>
      </w:r>
    </w:p>
    <w:tbl>
      <w:tblPr>
        <w:tblStyle w:val="TableGrid"/>
        <w:tblW w:w="0" w:type="auto"/>
        <w:tblLook w:val="04A0" w:firstRow="1" w:lastRow="0" w:firstColumn="1" w:lastColumn="0" w:noHBand="0" w:noVBand="1"/>
      </w:tblPr>
      <w:tblGrid>
        <w:gridCol w:w="1549"/>
        <w:gridCol w:w="836"/>
        <w:gridCol w:w="836"/>
        <w:gridCol w:w="836"/>
        <w:gridCol w:w="836"/>
        <w:gridCol w:w="836"/>
        <w:gridCol w:w="876"/>
        <w:gridCol w:w="1163"/>
        <w:gridCol w:w="1296"/>
      </w:tblGrid>
      <w:tr w:rsidR="004E6F48" w:rsidRPr="00333BAD" w:rsidTr="0034692C">
        <w:tc>
          <w:tcPr>
            <w:tcW w:w="1449" w:type="dxa"/>
          </w:tcPr>
          <w:p w:rsidR="004E6F48" w:rsidRPr="00333BAD" w:rsidRDefault="006054B9" w:rsidP="0034692C">
            <w:pPr>
              <w:jc w:val="center"/>
              <w:rPr>
                <w:rFonts w:asciiTheme="majorBidi" w:hAnsiTheme="majorBidi" w:cstheme="majorBidi"/>
                <w:sz w:val="24"/>
                <w:szCs w:val="24"/>
              </w:rPr>
            </w:pPr>
            <w:r>
              <w:rPr>
                <w:rFonts w:asciiTheme="majorBidi" w:hAnsiTheme="majorBidi" w:cstheme="majorBidi"/>
                <w:sz w:val="24"/>
                <w:szCs w:val="24"/>
              </w:rPr>
              <w:t>Indicators</w:t>
            </w:r>
            <w:r w:rsidR="004E6F48" w:rsidRPr="00333BAD">
              <w:rPr>
                <w:rFonts w:asciiTheme="majorBidi" w:hAnsiTheme="majorBidi" w:cstheme="majorBidi"/>
                <w:sz w:val="24"/>
                <w:szCs w:val="24"/>
              </w:rPr>
              <w:t xml:space="preserve"> %</w:t>
            </w:r>
          </w:p>
        </w:tc>
        <w:tc>
          <w:tcPr>
            <w:tcW w:w="836" w:type="dxa"/>
          </w:tcPr>
          <w:p w:rsidR="004E6F48" w:rsidRPr="00333BAD" w:rsidRDefault="004E6F48" w:rsidP="0034692C">
            <w:pPr>
              <w:jc w:val="center"/>
              <w:rPr>
                <w:rFonts w:asciiTheme="majorBidi" w:hAnsiTheme="majorBidi" w:cstheme="majorBidi"/>
                <w:sz w:val="24"/>
                <w:szCs w:val="24"/>
              </w:rPr>
            </w:pPr>
            <w:r w:rsidRPr="00333BAD">
              <w:rPr>
                <w:rFonts w:asciiTheme="majorBidi" w:hAnsiTheme="majorBidi" w:cstheme="majorBidi"/>
                <w:sz w:val="24"/>
                <w:szCs w:val="24"/>
              </w:rPr>
              <w:t>2003</w:t>
            </w:r>
          </w:p>
        </w:tc>
        <w:tc>
          <w:tcPr>
            <w:tcW w:w="836" w:type="dxa"/>
          </w:tcPr>
          <w:p w:rsidR="004E6F48" w:rsidRPr="00333BAD" w:rsidRDefault="004E6F48" w:rsidP="0034692C">
            <w:pPr>
              <w:jc w:val="center"/>
              <w:rPr>
                <w:rFonts w:asciiTheme="majorBidi" w:hAnsiTheme="majorBidi" w:cstheme="majorBidi"/>
                <w:sz w:val="24"/>
                <w:szCs w:val="24"/>
              </w:rPr>
            </w:pPr>
            <w:r w:rsidRPr="00333BAD">
              <w:rPr>
                <w:rFonts w:asciiTheme="majorBidi" w:hAnsiTheme="majorBidi" w:cstheme="majorBidi"/>
                <w:sz w:val="24"/>
                <w:szCs w:val="24"/>
              </w:rPr>
              <w:t>2004</w:t>
            </w:r>
          </w:p>
        </w:tc>
        <w:tc>
          <w:tcPr>
            <w:tcW w:w="836" w:type="dxa"/>
          </w:tcPr>
          <w:p w:rsidR="004E6F48" w:rsidRPr="00333BAD" w:rsidRDefault="004E6F48" w:rsidP="0034692C">
            <w:pPr>
              <w:jc w:val="center"/>
              <w:rPr>
                <w:rFonts w:asciiTheme="majorBidi" w:hAnsiTheme="majorBidi" w:cstheme="majorBidi"/>
                <w:sz w:val="24"/>
                <w:szCs w:val="24"/>
              </w:rPr>
            </w:pPr>
            <w:r w:rsidRPr="00333BAD">
              <w:rPr>
                <w:rFonts w:asciiTheme="majorBidi" w:hAnsiTheme="majorBidi" w:cstheme="majorBidi"/>
                <w:sz w:val="24"/>
                <w:szCs w:val="24"/>
              </w:rPr>
              <w:t>2005</w:t>
            </w:r>
          </w:p>
        </w:tc>
        <w:tc>
          <w:tcPr>
            <w:tcW w:w="836" w:type="dxa"/>
          </w:tcPr>
          <w:p w:rsidR="004E6F48" w:rsidRPr="00333BAD" w:rsidRDefault="004E6F48" w:rsidP="0034692C">
            <w:pPr>
              <w:jc w:val="center"/>
              <w:rPr>
                <w:rFonts w:asciiTheme="majorBidi" w:hAnsiTheme="majorBidi" w:cstheme="majorBidi"/>
                <w:sz w:val="24"/>
                <w:szCs w:val="24"/>
              </w:rPr>
            </w:pPr>
            <w:r w:rsidRPr="00333BAD">
              <w:rPr>
                <w:rFonts w:asciiTheme="majorBidi" w:hAnsiTheme="majorBidi" w:cstheme="majorBidi"/>
                <w:sz w:val="24"/>
                <w:szCs w:val="24"/>
              </w:rPr>
              <w:t>2006</w:t>
            </w:r>
          </w:p>
        </w:tc>
        <w:tc>
          <w:tcPr>
            <w:tcW w:w="836" w:type="dxa"/>
          </w:tcPr>
          <w:p w:rsidR="004E6F48" w:rsidRPr="00333BAD" w:rsidRDefault="004E6F48" w:rsidP="0034692C">
            <w:pPr>
              <w:jc w:val="center"/>
              <w:rPr>
                <w:rFonts w:asciiTheme="majorBidi" w:hAnsiTheme="majorBidi" w:cstheme="majorBidi"/>
                <w:sz w:val="24"/>
                <w:szCs w:val="24"/>
              </w:rPr>
            </w:pPr>
            <w:r w:rsidRPr="00333BAD">
              <w:rPr>
                <w:rFonts w:asciiTheme="majorBidi" w:hAnsiTheme="majorBidi" w:cstheme="majorBidi"/>
                <w:sz w:val="24"/>
                <w:szCs w:val="24"/>
              </w:rPr>
              <w:t>2007</w:t>
            </w:r>
          </w:p>
        </w:tc>
        <w:tc>
          <w:tcPr>
            <w:tcW w:w="735" w:type="dxa"/>
          </w:tcPr>
          <w:p w:rsidR="004E6F48" w:rsidRPr="00333BAD" w:rsidRDefault="004E6F48" w:rsidP="0034692C">
            <w:pPr>
              <w:jc w:val="center"/>
              <w:rPr>
                <w:rFonts w:asciiTheme="majorBidi" w:hAnsiTheme="majorBidi" w:cstheme="majorBidi"/>
                <w:sz w:val="24"/>
                <w:szCs w:val="24"/>
              </w:rPr>
            </w:pPr>
            <w:r w:rsidRPr="00333BAD">
              <w:rPr>
                <w:rFonts w:asciiTheme="majorBidi" w:hAnsiTheme="majorBidi" w:cstheme="majorBidi"/>
                <w:sz w:val="24"/>
                <w:szCs w:val="24"/>
              </w:rPr>
              <w:t>Mean</w:t>
            </w:r>
          </w:p>
        </w:tc>
        <w:tc>
          <w:tcPr>
            <w:tcW w:w="1081" w:type="dxa"/>
          </w:tcPr>
          <w:p w:rsidR="004E6F48" w:rsidRPr="00333BAD" w:rsidRDefault="004E6F48" w:rsidP="0034692C">
            <w:pPr>
              <w:jc w:val="center"/>
              <w:rPr>
                <w:rFonts w:asciiTheme="majorBidi" w:hAnsiTheme="majorBidi" w:cstheme="majorBidi"/>
                <w:sz w:val="24"/>
                <w:szCs w:val="24"/>
              </w:rPr>
            </w:pPr>
            <w:r w:rsidRPr="00333BAD">
              <w:rPr>
                <w:rFonts w:asciiTheme="majorBidi" w:hAnsiTheme="majorBidi" w:cstheme="majorBidi"/>
                <w:sz w:val="24"/>
                <w:szCs w:val="24"/>
              </w:rPr>
              <w:t>Standard Deviation</w:t>
            </w:r>
          </w:p>
        </w:tc>
        <w:tc>
          <w:tcPr>
            <w:tcW w:w="1186" w:type="dxa"/>
          </w:tcPr>
          <w:p w:rsidR="004E6F48" w:rsidRPr="00333BAD" w:rsidRDefault="004E6F48" w:rsidP="0034692C">
            <w:pPr>
              <w:jc w:val="center"/>
              <w:rPr>
                <w:rFonts w:asciiTheme="majorBidi" w:hAnsiTheme="majorBidi" w:cstheme="majorBidi"/>
                <w:sz w:val="24"/>
                <w:szCs w:val="24"/>
              </w:rPr>
            </w:pPr>
            <w:r w:rsidRPr="00333BAD">
              <w:rPr>
                <w:rFonts w:asciiTheme="majorBidi" w:hAnsiTheme="majorBidi" w:cstheme="majorBidi"/>
                <w:sz w:val="24"/>
                <w:szCs w:val="24"/>
              </w:rPr>
              <w:t xml:space="preserve">Coefficient of Variation </w:t>
            </w:r>
          </w:p>
        </w:tc>
      </w:tr>
      <w:tr w:rsidR="004E6F48" w:rsidRPr="00333BAD" w:rsidTr="0034692C">
        <w:tc>
          <w:tcPr>
            <w:tcW w:w="1449" w:type="dxa"/>
          </w:tcPr>
          <w:p w:rsidR="004E6F48" w:rsidRPr="00333BAD" w:rsidRDefault="004E6F48" w:rsidP="0034692C">
            <w:pPr>
              <w:jc w:val="center"/>
              <w:rPr>
                <w:rFonts w:asciiTheme="majorBidi" w:hAnsiTheme="majorBidi" w:cstheme="majorBidi"/>
                <w:sz w:val="24"/>
                <w:szCs w:val="24"/>
              </w:rPr>
            </w:pPr>
            <w:r w:rsidRPr="00333BAD">
              <w:rPr>
                <w:rFonts w:asciiTheme="majorBidi" w:hAnsiTheme="majorBidi" w:cstheme="majorBidi"/>
                <w:sz w:val="24"/>
                <w:szCs w:val="24"/>
              </w:rPr>
              <w:t xml:space="preserve">Murabaha and mudarabha to Total Assets </w:t>
            </w:r>
          </w:p>
        </w:tc>
        <w:tc>
          <w:tcPr>
            <w:tcW w:w="836" w:type="dxa"/>
          </w:tcPr>
          <w:p w:rsidR="004E6F48" w:rsidRPr="00333BAD" w:rsidRDefault="004E6F48" w:rsidP="0034692C">
            <w:pPr>
              <w:jc w:val="center"/>
              <w:rPr>
                <w:rFonts w:asciiTheme="majorBidi" w:hAnsiTheme="majorBidi" w:cstheme="majorBidi"/>
                <w:sz w:val="24"/>
                <w:szCs w:val="24"/>
              </w:rPr>
            </w:pPr>
            <w:r w:rsidRPr="00333BAD">
              <w:rPr>
                <w:rFonts w:asciiTheme="majorBidi" w:hAnsiTheme="majorBidi" w:cstheme="majorBidi"/>
                <w:sz w:val="24"/>
                <w:szCs w:val="24"/>
              </w:rPr>
              <w:t>59</w:t>
            </w:r>
          </w:p>
        </w:tc>
        <w:tc>
          <w:tcPr>
            <w:tcW w:w="836" w:type="dxa"/>
          </w:tcPr>
          <w:p w:rsidR="004E6F48" w:rsidRPr="00333BAD" w:rsidRDefault="004E6F48" w:rsidP="0034692C">
            <w:pPr>
              <w:jc w:val="center"/>
              <w:rPr>
                <w:rFonts w:asciiTheme="majorBidi" w:hAnsiTheme="majorBidi" w:cstheme="majorBidi"/>
                <w:sz w:val="24"/>
                <w:szCs w:val="24"/>
              </w:rPr>
            </w:pPr>
            <w:r w:rsidRPr="00333BAD">
              <w:rPr>
                <w:rFonts w:asciiTheme="majorBidi" w:hAnsiTheme="majorBidi" w:cstheme="majorBidi"/>
                <w:sz w:val="24"/>
                <w:szCs w:val="24"/>
              </w:rPr>
              <w:t>38</w:t>
            </w:r>
          </w:p>
        </w:tc>
        <w:tc>
          <w:tcPr>
            <w:tcW w:w="836" w:type="dxa"/>
          </w:tcPr>
          <w:p w:rsidR="004E6F48" w:rsidRPr="00333BAD" w:rsidRDefault="00861771" w:rsidP="0034692C">
            <w:pPr>
              <w:jc w:val="center"/>
              <w:rPr>
                <w:rFonts w:asciiTheme="majorBidi" w:hAnsiTheme="majorBidi" w:cstheme="majorBidi"/>
                <w:sz w:val="24"/>
                <w:szCs w:val="24"/>
              </w:rPr>
            </w:pPr>
            <w:r w:rsidRPr="00333BAD">
              <w:rPr>
                <w:rFonts w:asciiTheme="majorBidi" w:hAnsiTheme="majorBidi" w:cstheme="majorBidi"/>
                <w:sz w:val="24"/>
                <w:szCs w:val="24"/>
              </w:rPr>
              <w:t>1</w:t>
            </w:r>
            <w:r w:rsidR="004E6F48" w:rsidRPr="00333BAD">
              <w:rPr>
                <w:rFonts w:asciiTheme="majorBidi" w:hAnsiTheme="majorBidi" w:cstheme="majorBidi"/>
                <w:sz w:val="24"/>
                <w:szCs w:val="24"/>
              </w:rPr>
              <w:t>34</w:t>
            </w:r>
          </w:p>
        </w:tc>
        <w:tc>
          <w:tcPr>
            <w:tcW w:w="836" w:type="dxa"/>
          </w:tcPr>
          <w:p w:rsidR="004E6F48" w:rsidRPr="00333BAD" w:rsidRDefault="00861771" w:rsidP="0034692C">
            <w:pPr>
              <w:jc w:val="center"/>
              <w:rPr>
                <w:rFonts w:asciiTheme="majorBidi" w:hAnsiTheme="majorBidi" w:cstheme="majorBidi"/>
                <w:sz w:val="24"/>
                <w:szCs w:val="24"/>
              </w:rPr>
            </w:pPr>
            <w:r w:rsidRPr="00333BAD">
              <w:rPr>
                <w:rFonts w:asciiTheme="majorBidi" w:hAnsiTheme="majorBidi" w:cstheme="majorBidi"/>
                <w:sz w:val="24"/>
                <w:szCs w:val="24"/>
              </w:rPr>
              <w:t>1</w:t>
            </w:r>
            <w:r w:rsidR="004E6F48" w:rsidRPr="00333BAD">
              <w:rPr>
                <w:rFonts w:asciiTheme="majorBidi" w:hAnsiTheme="majorBidi" w:cstheme="majorBidi"/>
                <w:sz w:val="24"/>
                <w:szCs w:val="24"/>
              </w:rPr>
              <w:t>45</w:t>
            </w:r>
          </w:p>
        </w:tc>
        <w:tc>
          <w:tcPr>
            <w:tcW w:w="836" w:type="dxa"/>
          </w:tcPr>
          <w:p w:rsidR="004E6F48" w:rsidRPr="00333BAD" w:rsidRDefault="00861771" w:rsidP="0034692C">
            <w:pPr>
              <w:jc w:val="center"/>
              <w:rPr>
                <w:rFonts w:asciiTheme="majorBidi" w:hAnsiTheme="majorBidi" w:cstheme="majorBidi"/>
                <w:sz w:val="24"/>
                <w:szCs w:val="24"/>
              </w:rPr>
            </w:pPr>
            <w:r w:rsidRPr="00333BAD">
              <w:rPr>
                <w:rFonts w:asciiTheme="majorBidi" w:hAnsiTheme="majorBidi" w:cstheme="majorBidi"/>
                <w:sz w:val="24"/>
                <w:szCs w:val="24"/>
              </w:rPr>
              <w:t>1</w:t>
            </w:r>
            <w:r w:rsidR="004E6F48" w:rsidRPr="00333BAD">
              <w:rPr>
                <w:rFonts w:asciiTheme="majorBidi" w:hAnsiTheme="majorBidi" w:cstheme="majorBidi"/>
                <w:sz w:val="24"/>
                <w:szCs w:val="24"/>
              </w:rPr>
              <w:t>53</w:t>
            </w:r>
          </w:p>
        </w:tc>
        <w:tc>
          <w:tcPr>
            <w:tcW w:w="735" w:type="dxa"/>
          </w:tcPr>
          <w:p w:rsidR="004E6F48" w:rsidRPr="00333BAD" w:rsidRDefault="00861771" w:rsidP="0034692C">
            <w:pPr>
              <w:jc w:val="center"/>
              <w:rPr>
                <w:rFonts w:asciiTheme="majorBidi" w:hAnsiTheme="majorBidi" w:cstheme="majorBidi"/>
                <w:sz w:val="24"/>
                <w:szCs w:val="24"/>
              </w:rPr>
            </w:pPr>
            <w:r w:rsidRPr="00333BAD">
              <w:rPr>
                <w:rFonts w:asciiTheme="majorBidi" w:hAnsiTheme="majorBidi" w:cstheme="majorBidi"/>
                <w:sz w:val="24"/>
                <w:szCs w:val="24"/>
              </w:rPr>
              <w:t>1</w:t>
            </w:r>
            <w:r w:rsidR="00C56E7B" w:rsidRPr="00333BAD">
              <w:rPr>
                <w:rFonts w:asciiTheme="majorBidi" w:hAnsiTheme="majorBidi" w:cstheme="majorBidi"/>
                <w:sz w:val="24"/>
                <w:szCs w:val="24"/>
              </w:rPr>
              <w:t>05</w:t>
            </w:r>
            <w:r w:rsidRPr="00333BAD">
              <w:rPr>
                <w:rFonts w:asciiTheme="majorBidi" w:hAnsiTheme="majorBidi" w:cstheme="majorBidi"/>
                <w:sz w:val="24"/>
                <w:szCs w:val="24"/>
              </w:rPr>
              <w:t>.</w:t>
            </w:r>
            <w:r w:rsidR="00C56E7B" w:rsidRPr="00333BAD">
              <w:rPr>
                <w:rFonts w:asciiTheme="majorBidi" w:hAnsiTheme="majorBidi" w:cstheme="majorBidi"/>
                <w:sz w:val="24"/>
                <w:szCs w:val="24"/>
              </w:rPr>
              <w:t>8</w:t>
            </w:r>
          </w:p>
        </w:tc>
        <w:tc>
          <w:tcPr>
            <w:tcW w:w="1081" w:type="dxa"/>
          </w:tcPr>
          <w:p w:rsidR="004E6F48" w:rsidRPr="00333BAD" w:rsidRDefault="00C56E7B" w:rsidP="0034692C">
            <w:pPr>
              <w:jc w:val="center"/>
              <w:rPr>
                <w:rFonts w:asciiTheme="majorBidi" w:hAnsiTheme="majorBidi" w:cstheme="majorBidi"/>
                <w:sz w:val="24"/>
                <w:szCs w:val="24"/>
              </w:rPr>
            </w:pPr>
            <w:r w:rsidRPr="00333BAD">
              <w:rPr>
                <w:rFonts w:asciiTheme="majorBidi" w:hAnsiTheme="majorBidi" w:cstheme="majorBidi"/>
                <w:sz w:val="24"/>
                <w:szCs w:val="24"/>
              </w:rPr>
              <w:t>53</w:t>
            </w:r>
            <w:r w:rsidR="00861771" w:rsidRPr="00333BAD">
              <w:rPr>
                <w:rFonts w:asciiTheme="majorBidi" w:hAnsiTheme="majorBidi" w:cstheme="majorBidi"/>
                <w:sz w:val="24"/>
                <w:szCs w:val="24"/>
              </w:rPr>
              <w:t>.</w:t>
            </w:r>
            <w:r w:rsidRPr="00333BAD">
              <w:rPr>
                <w:rFonts w:asciiTheme="majorBidi" w:hAnsiTheme="majorBidi" w:cstheme="majorBidi"/>
                <w:sz w:val="24"/>
                <w:szCs w:val="24"/>
              </w:rPr>
              <w:t>3</w:t>
            </w:r>
          </w:p>
        </w:tc>
        <w:tc>
          <w:tcPr>
            <w:tcW w:w="1186" w:type="dxa"/>
          </w:tcPr>
          <w:p w:rsidR="004E6F48" w:rsidRPr="00333BAD" w:rsidRDefault="00C56E7B" w:rsidP="0034692C">
            <w:pPr>
              <w:jc w:val="center"/>
              <w:rPr>
                <w:rFonts w:asciiTheme="majorBidi" w:hAnsiTheme="majorBidi" w:cstheme="majorBidi"/>
                <w:sz w:val="24"/>
                <w:szCs w:val="24"/>
              </w:rPr>
            </w:pPr>
            <w:r w:rsidRPr="00333BAD">
              <w:rPr>
                <w:rFonts w:asciiTheme="majorBidi" w:hAnsiTheme="majorBidi" w:cstheme="majorBidi"/>
                <w:sz w:val="24"/>
                <w:szCs w:val="24"/>
              </w:rPr>
              <w:t>50</w:t>
            </w:r>
            <w:r w:rsidR="0034692C" w:rsidRPr="00333BAD">
              <w:rPr>
                <w:rFonts w:asciiTheme="majorBidi" w:hAnsiTheme="majorBidi" w:cstheme="majorBidi"/>
                <w:sz w:val="24"/>
                <w:szCs w:val="24"/>
              </w:rPr>
              <w:t>.</w:t>
            </w:r>
            <w:r w:rsidRPr="00333BAD">
              <w:rPr>
                <w:rFonts w:asciiTheme="majorBidi" w:hAnsiTheme="majorBidi" w:cstheme="majorBidi"/>
                <w:sz w:val="24"/>
                <w:szCs w:val="24"/>
              </w:rPr>
              <w:t>4</w:t>
            </w:r>
          </w:p>
        </w:tc>
      </w:tr>
      <w:tr w:rsidR="004E6F48" w:rsidRPr="00333BAD" w:rsidTr="0034692C">
        <w:tc>
          <w:tcPr>
            <w:tcW w:w="1449" w:type="dxa"/>
          </w:tcPr>
          <w:p w:rsidR="004E6F48" w:rsidRPr="00333BAD" w:rsidRDefault="004E6F48" w:rsidP="0034692C">
            <w:pPr>
              <w:jc w:val="center"/>
              <w:rPr>
                <w:rFonts w:asciiTheme="majorBidi" w:hAnsiTheme="majorBidi" w:cstheme="majorBidi"/>
                <w:sz w:val="24"/>
                <w:szCs w:val="24"/>
              </w:rPr>
            </w:pPr>
            <w:r w:rsidRPr="00333BAD">
              <w:rPr>
                <w:rFonts w:asciiTheme="majorBidi" w:hAnsiTheme="majorBidi" w:cstheme="majorBidi"/>
                <w:sz w:val="24"/>
                <w:szCs w:val="24"/>
              </w:rPr>
              <w:t xml:space="preserve">Murabaha and mudarabha to Customers’ Deposits </w:t>
            </w:r>
          </w:p>
        </w:tc>
        <w:tc>
          <w:tcPr>
            <w:tcW w:w="836" w:type="dxa"/>
          </w:tcPr>
          <w:p w:rsidR="004E6F48" w:rsidRPr="00333BAD" w:rsidRDefault="004E6F48" w:rsidP="0034692C">
            <w:pPr>
              <w:jc w:val="center"/>
              <w:rPr>
                <w:rFonts w:asciiTheme="majorBidi" w:hAnsiTheme="majorBidi" w:cstheme="majorBidi"/>
                <w:sz w:val="24"/>
                <w:szCs w:val="24"/>
              </w:rPr>
            </w:pPr>
            <w:r w:rsidRPr="00333BAD">
              <w:rPr>
                <w:rFonts w:asciiTheme="majorBidi" w:hAnsiTheme="majorBidi" w:cstheme="majorBidi"/>
                <w:sz w:val="24"/>
                <w:szCs w:val="24"/>
              </w:rPr>
              <w:t>88</w:t>
            </w:r>
          </w:p>
        </w:tc>
        <w:tc>
          <w:tcPr>
            <w:tcW w:w="836" w:type="dxa"/>
          </w:tcPr>
          <w:p w:rsidR="004E6F48" w:rsidRPr="00333BAD" w:rsidRDefault="004E6F48" w:rsidP="0034692C">
            <w:pPr>
              <w:jc w:val="center"/>
              <w:rPr>
                <w:rFonts w:asciiTheme="majorBidi" w:hAnsiTheme="majorBidi" w:cstheme="majorBidi"/>
                <w:sz w:val="24"/>
                <w:szCs w:val="24"/>
              </w:rPr>
            </w:pPr>
            <w:r w:rsidRPr="00333BAD">
              <w:rPr>
                <w:rFonts w:asciiTheme="majorBidi" w:hAnsiTheme="majorBidi" w:cstheme="majorBidi"/>
                <w:sz w:val="24"/>
                <w:szCs w:val="24"/>
              </w:rPr>
              <w:t>50</w:t>
            </w:r>
          </w:p>
        </w:tc>
        <w:tc>
          <w:tcPr>
            <w:tcW w:w="836" w:type="dxa"/>
          </w:tcPr>
          <w:p w:rsidR="004E6F48" w:rsidRPr="00333BAD" w:rsidRDefault="00861771" w:rsidP="0034692C">
            <w:pPr>
              <w:jc w:val="center"/>
              <w:rPr>
                <w:rFonts w:asciiTheme="majorBidi" w:hAnsiTheme="majorBidi" w:cstheme="majorBidi"/>
                <w:sz w:val="24"/>
                <w:szCs w:val="24"/>
              </w:rPr>
            </w:pPr>
            <w:r w:rsidRPr="00333BAD">
              <w:rPr>
                <w:rFonts w:asciiTheme="majorBidi" w:hAnsiTheme="majorBidi" w:cstheme="majorBidi"/>
                <w:sz w:val="24"/>
                <w:szCs w:val="24"/>
              </w:rPr>
              <w:t>1</w:t>
            </w:r>
            <w:r w:rsidR="004E6F48" w:rsidRPr="00333BAD">
              <w:rPr>
                <w:rFonts w:asciiTheme="majorBidi" w:hAnsiTheme="majorBidi" w:cstheme="majorBidi"/>
                <w:sz w:val="24"/>
                <w:szCs w:val="24"/>
              </w:rPr>
              <w:t>65</w:t>
            </w:r>
          </w:p>
        </w:tc>
        <w:tc>
          <w:tcPr>
            <w:tcW w:w="836" w:type="dxa"/>
          </w:tcPr>
          <w:p w:rsidR="004E6F48" w:rsidRPr="00333BAD" w:rsidRDefault="00861771" w:rsidP="0034692C">
            <w:pPr>
              <w:jc w:val="center"/>
              <w:rPr>
                <w:rFonts w:asciiTheme="majorBidi" w:hAnsiTheme="majorBidi" w:cstheme="majorBidi"/>
                <w:sz w:val="24"/>
                <w:szCs w:val="24"/>
              </w:rPr>
            </w:pPr>
            <w:r w:rsidRPr="00333BAD">
              <w:rPr>
                <w:rFonts w:asciiTheme="majorBidi" w:hAnsiTheme="majorBidi" w:cstheme="majorBidi"/>
                <w:sz w:val="24"/>
                <w:szCs w:val="24"/>
              </w:rPr>
              <w:t>2</w:t>
            </w:r>
            <w:r w:rsidR="004E6F48" w:rsidRPr="00333BAD">
              <w:rPr>
                <w:rFonts w:asciiTheme="majorBidi" w:hAnsiTheme="majorBidi" w:cstheme="majorBidi"/>
                <w:sz w:val="24"/>
                <w:szCs w:val="24"/>
              </w:rPr>
              <w:t>21</w:t>
            </w:r>
          </w:p>
        </w:tc>
        <w:tc>
          <w:tcPr>
            <w:tcW w:w="836" w:type="dxa"/>
          </w:tcPr>
          <w:p w:rsidR="004E6F48" w:rsidRPr="00333BAD" w:rsidRDefault="00861771" w:rsidP="0034692C">
            <w:pPr>
              <w:jc w:val="center"/>
              <w:rPr>
                <w:rFonts w:asciiTheme="majorBidi" w:hAnsiTheme="majorBidi" w:cstheme="majorBidi"/>
                <w:sz w:val="24"/>
                <w:szCs w:val="24"/>
              </w:rPr>
            </w:pPr>
            <w:r w:rsidRPr="00333BAD">
              <w:rPr>
                <w:rFonts w:asciiTheme="majorBidi" w:hAnsiTheme="majorBidi" w:cstheme="majorBidi"/>
                <w:sz w:val="24"/>
                <w:szCs w:val="24"/>
              </w:rPr>
              <w:t>2</w:t>
            </w:r>
            <w:r w:rsidR="004E6F48" w:rsidRPr="00333BAD">
              <w:rPr>
                <w:rFonts w:asciiTheme="majorBidi" w:hAnsiTheme="majorBidi" w:cstheme="majorBidi"/>
                <w:sz w:val="24"/>
                <w:szCs w:val="24"/>
              </w:rPr>
              <w:t>27</w:t>
            </w:r>
          </w:p>
        </w:tc>
        <w:tc>
          <w:tcPr>
            <w:tcW w:w="735" w:type="dxa"/>
          </w:tcPr>
          <w:p w:rsidR="004E6F48" w:rsidRPr="00333BAD" w:rsidRDefault="00861771" w:rsidP="0034692C">
            <w:pPr>
              <w:jc w:val="center"/>
              <w:rPr>
                <w:rFonts w:asciiTheme="majorBidi" w:hAnsiTheme="majorBidi" w:cstheme="majorBidi"/>
                <w:sz w:val="24"/>
                <w:szCs w:val="24"/>
              </w:rPr>
            </w:pPr>
            <w:r w:rsidRPr="00333BAD">
              <w:rPr>
                <w:rFonts w:asciiTheme="majorBidi" w:hAnsiTheme="majorBidi" w:cstheme="majorBidi"/>
                <w:sz w:val="24"/>
                <w:szCs w:val="24"/>
              </w:rPr>
              <w:t>1</w:t>
            </w:r>
            <w:r w:rsidR="00C56E7B" w:rsidRPr="00333BAD">
              <w:rPr>
                <w:rFonts w:asciiTheme="majorBidi" w:hAnsiTheme="majorBidi" w:cstheme="majorBidi"/>
                <w:sz w:val="24"/>
                <w:szCs w:val="24"/>
              </w:rPr>
              <w:t>50</w:t>
            </w:r>
            <w:r w:rsidRPr="00333BAD">
              <w:rPr>
                <w:rFonts w:asciiTheme="majorBidi" w:hAnsiTheme="majorBidi" w:cstheme="majorBidi"/>
                <w:sz w:val="24"/>
                <w:szCs w:val="24"/>
              </w:rPr>
              <w:t>.</w:t>
            </w:r>
            <w:r w:rsidR="00C56E7B" w:rsidRPr="00333BAD">
              <w:rPr>
                <w:rFonts w:asciiTheme="majorBidi" w:hAnsiTheme="majorBidi" w:cstheme="majorBidi"/>
                <w:sz w:val="24"/>
                <w:szCs w:val="24"/>
              </w:rPr>
              <w:t>2</w:t>
            </w:r>
          </w:p>
        </w:tc>
        <w:tc>
          <w:tcPr>
            <w:tcW w:w="1081" w:type="dxa"/>
          </w:tcPr>
          <w:p w:rsidR="004E6F48" w:rsidRPr="00333BAD" w:rsidRDefault="00C56E7B" w:rsidP="0034692C">
            <w:pPr>
              <w:jc w:val="center"/>
              <w:rPr>
                <w:rFonts w:asciiTheme="majorBidi" w:hAnsiTheme="majorBidi" w:cstheme="majorBidi"/>
                <w:sz w:val="24"/>
                <w:szCs w:val="24"/>
              </w:rPr>
            </w:pPr>
            <w:r w:rsidRPr="00333BAD">
              <w:rPr>
                <w:rFonts w:asciiTheme="majorBidi" w:hAnsiTheme="majorBidi" w:cstheme="majorBidi"/>
                <w:sz w:val="24"/>
                <w:szCs w:val="24"/>
              </w:rPr>
              <w:t>79</w:t>
            </w:r>
            <w:r w:rsidR="00861771" w:rsidRPr="00333BAD">
              <w:rPr>
                <w:rFonts w:asciiTheme="majorBidi" w:hAnsiTheme="majorBidi" w:cstheme="majorBidi"/>
                <w:sz w:val="24"/>
                <w:szCs w:val="24"/>
              </w:rPr>
              <w:t>.</w:t>
            </w:r>
            <w:r w:rsidRPr="00333BAD">
              <w:rPr>
                <w:rFonts w:asciiTheme="majorBidi" w:hAnsiTheme="majorBidi" w:cstheme="majorBidi"/>
                <w:sz w:val="24"/>
                <w:szCs w:val="24"/>
              </w:rPr>
              <w:t>1</w:t>
            </w:r>
          </w:p>
        </w:tc>
        <w:tc>
          <w:tcPr>
            <w:tcW w:w="1186" w:type="dxa"/>
          </w:tcPr>
          <w:p w:rsidR="004E6F48" w:rsidRPr="00333BAD" w:rsidRDefault="00C56E7B" w:rsidP="0034692C">
            <w:pPr>
              <w:jc w:val="center"/>
              <w:rPr>
                <w:rFonts w:asciiTheme="majorBidi" w:hAnsiTheme="majorBidi" w:cstheme="majorBidi"/>
                <w:sz w:val="24"/>
                <w:szCs w:val="24"/>
              </w:rPr>
            </w:pPr>
            <w:r w:rsidRPr="00333BAD">
              <w:rPr>
                <w:rFonts w:asciiTheme="majorBidi" w:hAnsiTheme="majorBidi" w:cstheme="majorBidi"/>
                <w:sz w:val="24"/>
                <w:szCs w:val="24"/>
              </w:rPr>
              <w:t>52</w:t>
            </w:r>
            <w:r w:rsidR="0034692C" w:rsidRPr="00333BAD">
              <w:rPr>
                <w:rFonts w:asciiTheme="majorBidi" w:hAnsiTheme="majorBidi" w:cstheme="majorBidi"/>
                <w:sz w:val="24"/>
                <w:szCs w:val="24"/>
              </w:rPr>
              <w:t>.</w:t>
            </w:r>
            <w:r w:rsidRPr="00333BAD">
              <w:rPr>
                <w:rFonts w:asciiTheme="majorBidi" w:hAnsiTheme="majorBidi" w:cstheme="majorBidi"/>
                <w:sz w:val="24"/>
                <w:szCs w:val="24"/>
              </w:rPr>
              <w:t>7</w:t>
            </w:r>
          </w:p>
        </w:tc>
      </w:tr>
      <w:tr w:rsidR="004E6F48" w:rsidRPr="00333BAD" w:rsidTr="0034692C">
        <w:tc>
          <w:tcPr>
            <w:tcW w:w="1449" w:type="dxa"/>
          </w:tcPr>
          <w:p w:rsidR="004E6F48" w:rsidRPr="00333BAD" w:rsidRDefault="004E6F48" w:rsidP="0034692C">
            <w:pPr>
              <w:jc w:val="center"/>
              <w:rPr>
                <w:rFonts w:asciiTheme="majorBidi" w:hAnsiTheme="majorBidi" w:cstheme="majorBidi"/>
                <w:sz w:val="24"/>
                <w:szCs w:val="24"/>
              </w:rPr>
            </w:pPr>
            <w:r w:rsidRPr="00333BAD">
              <w:rPr>
                <w:rFonts w:asciiTheme="majorBidi" w:hAnsiTheme="majorBidi" w:cstheme="majorBidi"/>
                <w:sz w:val="24"/>
                <w:szCs w:val="24"/>
              </w:rPr>
              <w:t xml:space="preserve">Shareholder’s equity to Total Assets </w:t>
            </w:r>
          </w:p>
        </w:tc>
        <w:tc>
          <w:tcPr>
            <w:tcW w:w="836" w:type="dxa"/>
          </w:tcPr>
          <w:p w:rsidR="004E6F48" w:rsidRPr="00333BAD" w:rsidRDefault="004E6F48" w:rsidP="0034692C">
            <w:pPr>
              <w:jc w:val="center"/>
              <w:rPr>
                <w:rFonts w:asciiTheme="majorBidi" w:hAnsiTheme="majorBidi" w:cstheme="majorBidi"/>
                <w:sz w:val="24"/>
                <w:szCs w:val="24"/>
              </w:rPr>
            </w:pPr>
            <w:r w:rsidRPr="00333BAD">
              <w:rPr>
                <w:rFonts w:asciiTheme="majorBidi" w:hAnsiTheme="majorBidi" w:cstheme="majorBidi"/>
                <w:sz w:val="24"/>
                <w:szCs w:val="24"/>
              </w:rPr>
              <w:t>15.19</w:t>
            </w:r>
          </w:p>
        </w:tc>
        <w:tc>
          <w:tcPr>
            <w:tcW w:w="836" w:type="dxa"/>
          </w:tcPr>
          <w:p w:rsidR="004E6F48" w:rsidRPr="00333BAD" w:rsidRDefault="004E6F48" w:rsidP="0034692C">
            <w:pPr>
              <w:jc w:val="center"/>
              <w:rPr>
                <w:rFonts w:asciiTheme="majorBidi" w:hAnsiTheme="majorBidi" w:cstheme="majorBidi"/>
                <w:sz w:val="24"/>
                <w:szCs w:val="24"/>
              </w:rPr>
            </w:pPr>
            <w:r w:rsidRPr="00333BAD">
              <w:rPr>
                <w:rFonts w:asciiTheme="majorBidi" w:hAnsiTheme="majorBidi" w:cstheme="majorBidi"/>
                <w:sz w:val="24"/>
                <w:szCs w:val="24"/>
              </w:rPr>
              <w:t>11.87</w:t>
            </w:r>
          </w:p>
        </w:tc>
        <w:tc>
          <w:tcPr>
            <w:tcW w:w="836" w:type="dxa"/>
          </w:tcPr>
          <w:p w:rsidR="004E6F48" w:rsidRPr="00333BAD" w:rsidRDefault="004E6F48" w:rsidP="0034692C">
            <w:pPr>
              <w:jc w:val="center"/>
              <w:rPr>
                <w:rFonts w:asciiTheme="majorBidi" w:hAnsiTheme="majorBidi" w:cstheme="majorBidi"/>
                <w:sz w:val="24"/>
                <w:szCs w:val="24"/>
              </w:rPr>
            </w:pPr>
            <w:r w:rsidRPr="00333BAD">
              <w:rPr>
                <w:rFonts w:asciiTheme="majorBidi" w:hAnsiTheme="majorBidi" w:cstheme="majorBidi"/>
                <w:sz w:val="24"/>
                <w:szCs w:val="24"/>
              </w:rPr>
              <w:t>9.08</w:t>
            </w:r>
          </w:p>
        </w:tc>
        <w:tc>
          <w:tcPr>
            <w:tcW w:w="836" w:type="dxa"/>
          </w:tcPr>
          <w:p w:rsidR="004E6F48" w:rsidRPr="00333BAD" w:rsidRDefault="004E6F48" w:rsidP="0034692C">
            <w:pPr>
              <w:jc w:val="center"/>
              <w:rPr>
                <w:rFonts w:asciiTheme="majorBidi" w:hAnsiTheme="majorBidi" w:cstheme="majorBidi"/>
                <w:sz w:val="24"/>
                <w:szCs w:val="24"/>
              </w:rPr>
            </w:pPr>
            <w:r w:rsidRPr="00333BAD">
              <w:rPr>
                <w:rFonts w:asciiTheme="majorBidi" w:hAnsiTheme="majorBidi" w:cstheme="majorBidi"/>
                <w:sz w:val="24"/>
                <w:szCs w:val="24"/>
              </w:rPr>
              <w:t>7.63</w:t>
            </w:r>
          </w:p>
        </w:tc>
        <w:tc>
          <w:tcPr>
            <w:tcW w:w="836" w:type="dxa"/>
          </w:tcPr>
          <w:p w:rsidR="004E6F48" w:rsidRPr="00333BAD" w:rsidRDefault="004E6F48" w:rsidP="0034692C">
            <w:pPr>
              <w:jc w:val="center"/>
              <w:rPr>
                <w:rFonts w:asciiTheme="majorBidi" w:hAnsiTheme="majorBidi" w:cstheme="majorBidi"/>
                <w:sz w:val="24"/>
                <w:szCs w:val="24"/>
              </w:rPr>
            </w:pPr>
            <w:r w:rsidRPr="00333BAD">
              <w:rPr>
                <w:rFonts w:asciiTheme="majorBidi" w:hAnsiTheme="majorBidi" w:cstheme="majorBidi"/>
                <w:sz w:val="24"/>
                <w:szCs w:val="24"/>
              </w:rPr>
              <w:t>12.30</w:t>
            </w:r>
          </w:p>
        </w:tc>
        <w:tc>
          <w:tcPr>
            <w:tcW w:w="735" w:type="dxa"/>
          </w:tcPr>
          <w:p w:rsidR="004E6F48" w:rsidRPr="00333BAD" w:rsidRDefault="00C56E7B" w:rsidP="0034692C">
            <w:pPr>
              <w:jc w:val="center"/>
              <w:rPr>
                <w:rFonts w:asciiTheme="majorBidi" w:hAnsiTheme="majorBidi" w:cstheme="majorBidi"/>
                <w:sz w:val="24"/>
                <w:szCs w:val="24"/>
              </w:rPr>
            </w:pPr>
            <w:r w:rsidRPr="00333BAD">
              <w:rPr>
                <w:rFonts w:asciiTheme="majorBidi" w:hAnsiTheme="majorBidi" w:cstheme="majorBidi"/>
                <w:sz w:val="24"/>
                <w:szCs w:val="24"/>
              </w:rPr>
              <w:t>11.214</w:t>
            </w:r>
          </w:p>
        </w:tc>
        <w:tc>
          <w:tcPr>
            <w:tcW w:w="1081" w:type="dxa"/>
          </w:tcPr>
          <w:p w:rsidR="004E6F48" w:rsidRPr="00333BAD" w:rsidRDefault="00C56E7B" w:rsidP="0034692C">
            <w:pPr>
              <w:jc w:val="center"/>
              <w:rPr>
                <w:rFonts w:asciiTheme="majorBidi" w:hAnsiTheme="majorBidi" w:cstheme="majorBidi"/>
                <w:sz w:val="24"/>
                <w:szCs w:val="24"/>
              </w:rPr>
            </w:pPr>
            <w:r w:rsidRPr="00333BAD">
              <w:rPr>
                <w:rFonts w:asciiTheme="majorBidi" w:hAnsiTheme="majorBidi" w:cstheme="majorBidi"/>
                <w:sz w:val="24"/>
                <w:szCs w:val="24"/>
              </w:rPr>
              <w:t>2.950</w:t>
            </w:r>
          </w:p>
        </w:tc>
        <w:tc>
          <w:tcPr>
            <w:tcW w:w="1186" w:type="dxa"/>
          </w:tcPr>
          <w:p w:rsidR="004E6F48" w:rsidRPr="00333BAD" w:rsidRDefault="00C56E7B" w:rsidP="0034692C">
            <w:pPr>
              <w:jc w:val="center"/>
              <w:rPr>
                <w:rFonts w:asciiTheme="majorBidi" w:hAnsiTheme="majorBidi" w:cstheme="majorBidi"/>
                <w:sz w:val="24"/>
                <w:szCs w:val="24"/>
              </w:rPr>
            </w:pPr>
            <w:r w:rsidRPr="00333BAD">
              <w:rPr>
                <w:rFonts w:asciiTheme="majorBidi" w:hAnsiTheme="majorBidi" w:cstheme="majorBidi"/>
                <w:sz w:val="24"/>
                <w:szCs w:val="24"/>
              </w:rPr>
              <w:t>26</w:t>
            </w:r>
            <w:r w:rsidR="0034692C" w:rsidRPr="00333BAD">
              <w:rPr>
                <w:rFonts w:asciiTheme="majorBidi" w:hAnsiTheme="majorBidi" w:cstheme="majorBidi"/>
                <w:sz w:val="24"/>
                <w:szCs w:val="24"/>
              </w:rPr>
              <w:t>.</w:t>
            </w:r>
            <w:r w:rsidRPr="00333BAD">
              <w:rPr>
                <w:rFonts w:asciiTheme="majorBidi" w:hAnsiTheme="majorBidi" w:cstheme="majorBidi"/>
                <w:sz w:val="24"/>
                <w:szCs w:val="24"/>
              </w:rPr>
              <w:t>3</w:t>
            </w:r>
          </w:p>
        </w:tc>
      </w:tr>
    </w:tbl>
    <w:p w:rsidR="002936AE" w:rsidRDefault="002936AE" w:rsidP="002E0AC1"/>
    <w:p w:rsidR="00AF630C" w:rsidRDefault="00AF630C" w:rsidP="00AF630C">
      <w:pPr>
        <w:rPr>
          <w:b/>
          <w:bCs/>
          <w:sz w:val="28"/>
          <w:szCs w:val="28"/>
        </w:rPr>
      </w:pPr>
    </w:p>
    <w:p w:rsidR="00AF630C" w:rsidRPr="00E0627B" w:rsidRDefault="00AF630C" w:rsidP="00AF630C">
      <w:pPr>
        <w:jc w:val="center"/>
        <w:rPr>
          <w:b/>
          <w:bCs/>
          <w:sz w:val="28"/>
          <w:szCs w:val="28"/>
        </w:rPr>
      </w:pPr>
      <w:r w:rsidRPr="000A0238">
        <w:rPr>
          <w:b/>
          <w:bCs/>
          <w:sz w:val="28"/>
          <w:szCs w:val="28"/>
        </w:rPr>
        <w:t>Profitability Analysis</w:t>
      </w:r>
    </w:p>
    <w:p w:rsidR="00AF630C" w:rsidRPr="004C4563" w:rsidRDefault="00010773" w:rsidP="00AF630C">
      <w:pPr>
        <w:rPr>
          <w:rFonts w:asciiTheme="majorBidi" w:hAnsiTheme="majorBidi" w:cstheme="majorBidi"/>
          <w:b/>
          <w:bCs/>
          <w:sz w:val="24"/>
          <w:szCs w:val="24"/>
        </w:rPr>
      </w:pPr>
      <w:r w:rsidRPr="004C4563">
        <w:rPr>
          <w:rFonts w:asciiTheme="majorBidi" w:hAnsiTheme="majorBidi" w:cstheme="majorBidi"/>
          <w:b/>
          <w:bCs/>
          <w:sz w:val="24"/>
          <w:szCs w:val="24"/>
        </w:rPr>
        <w:t>Return on Total Income</w:t>
      </w:r>
    </w:p>
    <w:p w:rsidR="00AF630C" w:rsidRPr="004C4563" w:rsidRDefault="00AF630C" w:rsidP="00AF630C">
      <w:pPr>
        <w:rPr>
          <w:rFonts w:asciiTheme="majorBidi" w:hAnsiTheme="majorBidi" w:cstheme="majorBidi"/>
          <w:sz w:val="24"/>
          <w:szCs w:val="24"/>
        </w:rPr>
      </w:pPr>
      <w:r w:rsidRPr="004C4563">
        <w:rPr>
          <w:rFonts w:asciiTheme="majorBidi" w:hAnsiTheme="majorBidi" w:cstheme="majorBidi"/>
          <w:sz w:val="24"/>
          <w:szCs w:val="24"/>
        </w:rPr>
        <w:t>Profit margin ratio shows the profitability percentage from a bank operation. It is calculat</w:t>
      </w:r>
      <w:r w:rsidR="00010773" w:rsidRPr="004C4563">
        <w:rPr>
          <w:rFonts w:asciiTheme="majorBidi" w:hAnsiTheme="majorBidi" w:cstheme="majorBidi"/>
          <w:sz w:val="24"/>
          <w:szCs w:val="24"/>
        </w:rPr>
        <w:t>ed by dividing net profit by total</w:t>
      </w:r>
      <w:r w:rsidRPr="004C4563">
        <w:rPr>
          <w:rFonts w:asciiTheme="majorBidi" w:hAnsiTheme="majorBidi" w:cstheme="majorBidi"/>
          <w:sz w:val="24"/>
          <w:szCs w:val="24"/>
        </w:rPr>
        <w:t xml:space="preserve"> income. The comparison between the two means reveals</w:t>
      </w:r>
      <w:r w:rsidR="004B1F09" w:rsidRPr="004C4563">
        <w:rPr>
          <w:rFonts w:asciiTheme="majorBidi" w:hAnsiTheme="majorBidi" w:cstheme="majorBidi"/>
          <w:sz w:val="24"/>
          <w:szCs w:val="24"/>
        </w:rPr>
        <w:t xml:space="preserve"> that Dubai Islamic</w:t>
      </w:r>
      <w:r w:rsidRPr="004C4563">
        <w:rPr>
          <w:rFonts w:asciiTheme="majorBidi" w:hAnsiTheme="majorBidi" w:cstheme="majorBidi"/>
          <w:sz w:val="24"/>
          <w:szCs w:val="24"/>
        </w:rPr>
        <w:t xml:space="preserve"> bank enjoy</w:t>
      </w:r>
      <w:r w:rsidR="00010773" w:rsidRPr="004C4563">
        <w:rPr>
          <w:rFonts w:asciiTheme="majorBidi" w:hAnsiTheme="majorBidi" w:cstheme="majorBidi"/>
          <w:sz w:val="24"/>
          <w:szCs w:val="24"/>
        </w:rPr>
        <w:t>s</w:t>
      </w:r>
      <w:r w:rsidRPr="004C4563">
        <w:rPr>
          <w:rFonts w:asciiTheme="majorBidi" w:hAnsiTheme="majorBidi" w:cstheme="majorBidi"/>
          <w:sz w:val="24"/>
          <w:szCs w:val="24"/>
        </w:rPr>
        <w:t xml:space="preserve"> high p</w:t>
      </w:r>
      <w:r w:rsidR="004B1F09" w:rsidRPr="004C4563">
        <w:rPr>
          <w:rFonts w:asciiTheme="majorBidi" w:hAnsiTheme="majorBidi" w:cstheme="majorBidi"/>
          <w:sz w:val="24"/>
          <w:szCs w:val="24"/>
        </w:rPr>
        <w:t>rofitability with mean of 34.188 than Abu Dhabi Islamic bank</w:t>
      </w:r>
      <w:r w:rsidRPr="004C4563">
        <w:rPr>
          <w:rFonts w:asciiTheme="majorBidi" w:hAnsiTheme="majorBidi" w:cstheme="majorBidi"/>
          <w:sz w:val="24"/>
          <w:szCs w:val="24"/>
        </w:rPr>
        <w:t xml:space="preserve"> with a</w:t>
      </w:r>
      <w:r w:rsidR="001E1A88" w:rsidRPr="004C4563">
        <w:rPr>
          <w:rFonts w:asciiTheme="majorBidi" w:hAnsiTheme="majorBidi" w:cstheme="majorBidi"/>
          <w:sz w:val="24"/>
          <w:szCs w:val="24"/>
        </w:rPr>
        <w:t xml:space="preserve"> mean of 27.314.</w:t>
      </w:r>
      <w:r w:rsidRPr="004C4563">
        <w:rPr>
          <w:rFonts w:asciiTheme="majorBidi" w:hAnsiTheme="majorBidi" w:cstheme="majorBidi"/>
          <w:sz w:val="24"/>
          <w:szCs w:val="24"/>
        </w:rPr>
        <w:t xml:space="preserve"> This has been associated wi</w:t>
      </w:r>
      <w:r w:rsidR="00010773" w:rsidRPr="004C4563">
        <w:rPr>
          <w:rFonts w:asciiTheme="majorBidi" w:hAnsiTheme="majorBidi" w:cstheme="majorBidi"/>
          <w:sz w:val="24"/>
          <w:szCs w:val="24"/>
        </w:rPr>
        <w:t>th similar level of variability based on the</w:t>
      </w:r>
      <w:r w:rsidRPr="004C4563">
        <w:rPr>
          <w:rFonts w:asciiTheme="majorBidi" w:hAnsiTheme="majorBidi" w:cstheme="majorBidi"/>
          <w:sz w:val="24"/>
          <w:szCs w:val="24"/>
        </w:rPr>
        <w:t xml:space="preserve"> coef</w:t>
      </w:r>
      <w:r w:rsidR="00010773" w:rsidRPr="004C4563">
        <w:rPr>
          <w:rFonts w:asciiTheme="majorBidi" w:hAnsiTheme="majorBidi" w:cstheme="majorBidi"/>
          <w:sz w:val="24"/>
          <w:szCs w:val="24"/>
        </w:rPr>
        <w:t>ficient of variation</w:t>
      </w:r>
      <w:r w:rsidRPr="004C4563">
        <w:rPr>
          <w:rFonts w:asciiTheme="majorBidi" w:hAnsiTheme="majorBidi" w:cstheme="majorBidi"/>
          <w:sz w:val="24"/>
          <w:szCs w:val="24"/>
        </w:rPr>
        <w:t xml:space="preserve"> in tables 3 and 4.</w:t>
      </w:r>
    </w:p>
    <w:p w:rsidR="00AF630C" w:rsidRPr="00333BAD" w:rsidRDefault="00AF630C" w:rsidP="00AF630C">
      <w:pPr>
        <w:rPr>
          <w:rFonts w:asciiTheme="majorBidi" w:hAnsiTheme="majorBidi" w:cstheme="majorBidi"/>
          <w:b/>
          <w:bCs/>
          <w:sz w:val="24"/>
          <w:szCs w:val="24"/>
        </w:rPr>
      </w:pPr>
      <w:r w:rsidRPr="00333BAD">
        <w:rPr>
          <w:rFonts w:asciiTheme="majorBidi" w:hAnsiTheme="majorBidi" w:cstheme="majorBidi"/>
          <w:b/>
          <w:bCs/>
          <w:sz w:val="24"/>
          <w:szCs w:val="24"/>
        </w:rPr>
        <w:t>Return on Assets</w:t>
      </w:r>
    </w:p>
    <w:p w:rsidR="00B74BFE" w:rsidRPr="001A2277" w:rsidRDefault="00AF630C" w:rsidP="001A2277">
      <w:pPr>
        <w:rPr>
          <w:rFonts w:asciiTheme="majorBidi" w:hAnsiTheme="majorBidi" w:cstheme="majorBidi"/>
          <w:sz w:val="24"/>
          <w:szCs w:val="24"/>
        </w:rPr>
      </w:pPr>
      <w:r w:rsidRPr="00333BAD">
        <w:rPr>
          <w:rFonts w:asciiTheme="majorBidi" w:hAnsiTheme="majorBidi" w:cstheme="majorBidi"/>
          <w:sz w:val="24"/>
          <w:szCs w:val="24"/>
        </w:rPr>
        <w:t>Return on assets ratio shows the profitability of using the assets. The high ratio indicates the efficient use of assets to generate more profit. The low ratio might indicate that a bank has invested too much money in its assets.  Based on the analysis in table</w:t>
      </w:r>
      <w:r w:rsidR="00E86503" w:rsidRPr="00333BAD">
        <w:rPr>
          <w:rFonts w:asciiTheme="majorBidi" w:hAnsiTheme="majorBidi" w:cstheme="majorBidi"/>
          <w:sz w:val="24"/>
          <w:szCs w:val="24"/>
        </w:rPr>
        <w:t xml:space="preserve">s 3 and 4, Dubai Islamic bank uses its assets to generate more profit with the mean of 2.112 comparing with Abu Dhabi Islamic bank with mean measurement 1.388.This ratio is more stable in case </w:t>
      </w:r>
      <w:r w:rsidR="00377235" w:rsidRPr="00333BAD">
        <w:rPr>
          <w:rFonts w:asciiTheme="majorBidi" w:hAnsiTheme="majorBidi" w:cstheme="majorBidi"/>
          <w:sz w:val="24"/>
          <w:szCs w:val="24"/>
        </w:rPr>
        <w:t>of Abu Dhabi Islamic bank</w:t>
      </w:r>
      <w:r w:rsidR="00CF6BEA" w:rsidRPr="00333BAD">
        <w:rPr>
          <w:rFonts w:asciiTheme="majorBidi" w:hAnsiTheme="majorBidi" w:cstheme="majorBidi"/>
          <w:sz w:val="24"/>
          <w:szCs w:val="24"/>
        </w:rPr>
        <w:t xml:space="preserve"> with coefficient of variation 24.4% than Dubai Islamic bank 38.5%.</w:t>
      </w:r>
    </w:p>
    <w:p w:rsidR="00E86503" w:rsidRPr="004C4563" w:rsidRDefault="00E86503" w:rsidP="00E86503">
      <w:pPr>
        <w:rPr>
          <w:rFonts w:asciiTheme="majorBidi" w:hAnsiTheme="majorBidi" w:cstheme="majorBidi"/>
          <w:b/>
          <w:bCs/>
          <w:sz w:val="24"/>
          <w:szCs w:val="24"/>
        </w:rPr>
      </w:pPr>
      <w:r w:rsidRPr="004C4563">
        <w:rPr>
          <w:rFonts w:asciiTheme="majorBidi" w:hAnsiTheme="majorBidi" w:cstheme="majorBidi"/>
          <w:b/>
          <w:bCs/>
          <w:sz w:val="24"/>
          <w:szCs w:val="24"/>
        </w:rPr>
        <w:t xml:space="preserve">Return on Shareholders’ Equity  </w:t>
      </w:r>
    </w:p>
    <w:p w:rsidR="00B74BFE" w:rsidRPr="001A2277" w:rsidRDefault="00E86503" w:rsidP="001A2277">
      <w:pPr>
        <w:rPr>
          <w:rFonts w:asciiTheme="majorBidi" w:hAnsiTheme="majorBidi" w:cstheme="majorBidi"/>
          <w:sz w:val="24"/>
          <w:szCs w:val="24"/>
        </w:rPr>
      </w:pPr>
      <w:r w:rsidRPr="004C4563">
        <w:rPr>
          <w:rFonts w:asciiTheme="majorBidi" w:hAnsiTheme="majorBidi" w:cstheme="majorBidi"/>
          <w:sz w:val="24"/>
          <w:szCs w:val="24"/>
        </w:rPr>
        <w:t>This ratio shows the profitability in relation to the shareholders equity. The high ratio indicates an increase in the profitability of shareholders</w:t>
      </w:r>
      <w:r w:rsidR="001E1A88" w:rsidRPr="004C4563">
        <w:rPr>
          <w:rFonts w:asciiTheme="majorBidi" w:hAnsiTheme="majorBidi" w:cstheme="majorBidi"/>
          <w:sz w:val="24"/>
          <w:szCs w:val="24"/>
        </w:rPr>
        <w:t>. Dubai Islamic bank</w:t>
      </w:r>
      <w:r w:rsidRPr="004C4563">
        <w:rPr>
          <w:rFonts w:asciiTheme="majorBidi" w:hAnsiTheme="majorBidi" w:cstheme="majorBidi"/>
          <w:sz w:val="24"/>
          <w:szCs w:val="24"/>
        </w:rPr>
        <w:t xml:space="preserve"> captures the highest ratio and should attract more investor</w:t>
      </w:r>
      <w:r w:rsidR="001E1A88" w:rsidRPr="004C4563">
        <w:rPr>
          <w:rFonts w:asciiTheme="majorBidi" w:hAnsiTheme="majorBidi" w:cstheme="majorBidi"/>
          <w:sz w:val="24"/>
          <w:szCs w:val="24"/>
        </w:rPr>
        <w:t>s</w:t>
      </w:r>
      <w:r w:rsidRPr="004C4563">
        <w:rPr>
          <w:rFonts w:asciiTheme="majorBidi" w:hAnsiTheme="majorBidi" w:cstheme="majorBidi"/>
          <w:sz w:val="24"/>
          <w:szCs w:val="24"/>
        </w:rPr>
        <w:t xml:space="preserve"> to invest their money in this bank</w:t>
      </w:r>
      <w:r w:rsidR="001E1A88" w:rsidRPr="004C4563">
        <w:rPr>
          <w:rFonts w:asciiTheme="majorBidi" w:hAnsiTheme="majorBidi" w:cstheme="majorBidi"/>
          <w:sz w:val="24"/>
          <w:szCs w:val="24"/>
        </w:rPr>
        <w:t xml:space="preserve"> with a mean of 20.138 comparing with its counterpart with a mean of 13.456. T</w:t>
      </w:r>
      <w:r w:rsidRPr="004C4563">
        <w:rPr>
          <w:rFonts w:asciiTheme="majorBidi" w:hAnsiTheme="majorBidi" w:cstheme="majorBidi"/>
          <w:sz w:val="24"/>
          <w:szCs w:val="24"/>
        </w:rPr>
        <w:t>his high profitabili</w:t>
      </w:r>
      <w:r w:rsidR="001E1A88" w:rsidRPr="004C4563">
        <w:rPr>
          <w:rFonts w:asciiTheme="majorBidi" w:hAnsiTheme="majorBidi" w:cstheme="majorBidi"/>
          <w:sz w:val="24"/>
          <w:szCs w:val="24"/>
        </w:rPr>
        <w:t>ty ratio has associate with low</w:t>
      </w:r>
      <w:r w:rsidRPr="004C4563">
        <w:rPr>
          <w:rFonts w:asciiTheme="majorBidi" w:hAnsiTheme="majorBidi" w:cstheme="majorBidi"/>
          <w:sz w:val="24"/>
          <w:szCs w:val="24"/>
        </w:rPr>
        <w:t xml:space="preserve"> level of dispersion and more instability in this ratio, based on the standard deviation and the mean figures </w:t>
      </w:r>
      <w:r w:rsidR="001A2277">
        <w:rPr>
          <w:rFonts w:asciiTheme="majorBidi" w:hAnsiTheme="majorBidi" w:cstheme="majorBidi"/>
          <w:sz w:val="24"/>
          <w:szCs w:val="24"/>
        </w:rPr>
        <w:t xml:space="preserve">as it shown in tables 3 and 4. </w:t>
      </w:r>
    </w:p>
    <w:p w:rsidR="002936AE" w:rsidRPr="00DA62E9" w:rsidRDefault="00B74BFE" w:rsidP="002E0AC1">
      <w:pPr>
        <w:rPr>
          <w:b/>
          <w:bCs/>
          <w:sz w:val="24"/>
          <w:szCs w:val="24"/>
        </w:rPr>
      </w:pPr>
      <w:r>
        <w:rPr>
          <w:b/>
          <w:bCs/>
          <w:sz w:val="24"/>
          <w:szCs w:val="24"/>
        </w:rPr>
        <w:t xml:space="preserve">Table 3: </w:t>
      </w:r>
      <w:r w:rsidR="00AF630B">
        <w:rPr>
          <w:b/>
          <w:bCs/>
          <w:sz w:val="24"/>
          <w:szCs w:val="24"/>
        </w:rPr>
        <w:t>Profitability Indicators</w:t>
      </w:r>
      <w:r w:rsidR="002936AE" w:rsidRPr="00DA62E9">
        <w:rPr>
          <w:b/>
          <w:bCs/>
          <w:sz w:val="24"/>
          <w:szCs w:val="24"/>
        </w:rPr>
        <w:t>:</w:t>
      </w:r>
      <w:r w:rsidR="00637F36" w:rsidRPr="00DA62E9">
        <w:rPr>
          <w:b/>
          <w:bCs/>
          <w:sz w:val="24"/>
          <w:szCs w:val="24"/>
        </w:rPr>
        <w:t xml:space="preserve"> Dubai Islamic Bank</w:t>
      </w:r>
    </w:p>
    <w:tbl>
      <w:tblPr>
        <w:tblStyle w:val="TableGrid"/>
        <w:tblW w:w="0" w:type="auto"/>
        <w:tblLook w:val="04A0" w:firstRow="1" w:lastRow="0" w:firstColumn="1" w:lastColumn="0" w:noHBand="0" w:noVBand="1"/>
      </w:tblPr>
      <w:tblGrid>
        <w:gridCol w:w="1449"/>
        <w:gridCol w:w="836"/>
        <w:gridCol w:w="836"/>
        <w:gridCol w:w="836"/>
        <w:gridCol w:w="836"/>
        <w:gridCol w:w="836"/>
        <w:gridCol w:w="830"/>
        <w:gridCol w:w="1081"/>
        <w:gridCol w:w="1186"/>
      </w:tblGrid>
      <w:tr w:rsidR="003117EB" w:rsidTr="0034692C">
        <w:tc>
          <w:tcPr>
            <w:tcW w:w="1449" w:type="dxa"/>
          </w:tcPr>
          <w:p w:rsidR="003117EB" w:rsidRDefault="006054B9" w:rsidP="0034692C">
            <w:pPr>
              <w:jc w:val="center"/>
            </w:pPr>
            <w:r>
              <w:t>Indicators</w:t>
            </w:r>
            <w:r w:rsidR="003117EB">
              <w:t xml:space="preserve"> %</w:t>
            </w:r>
          </w:p>
        </w:tc>
        <w:tc>
          <w:tcPr>
            <w:tcW w:w="836" w:type="dxa"/>
          </w:tcPr>
          <w:p w:rsidR="003117EB" w:rsidRDefault="003117EB" w:rsidP="0034692C">
            <w:pPr>
              <w:jc w:val="center"/>
            </w:pPr>
            <w:r>
              <w:t>2003</w:t>
            </w:r>
          </w:p>
        </w:tc>
        <w:tc>
          <w:tcPr>
            <w:tcW w:w="836" w:type="dxa"/>
          </w:tcPr>
          <w:p w:rsidR="003117EB" w:rsidRDefault="003117EB" w:rsidP="0034692C">
            <w:pPr>
              <w:jc w:val="center"/>
            </w:pPr>
            <w:r>
              <w:t>2004</w:t>
            </w:r>
          </w:p>
        </w:tc>
        <w:tc>
          <w:tcPr>
            <w:tcW w:w="836" w:type="dxa"/>
          </w:tcPr>
          <w:p w:rsidR="003117EB" w:rsidRDefault="003117EB" w:rsidP="0034692C">
            <w:pPr>
              <w:jc w:val="center"/>
            </w:pPr>
            <w:r>
              <w:t>2005</w:t>
            </w:r>
          </w:p>
        </w:tc>
        <w:tc>
          <w:tcPr>
            <w:tcW w:w="836" w:type="dxa"/>
          </w:tcPr>
          <w:p w:rsidR="003117EB" w:rsidRDefault="003117EB" w:rsidP="0034692C">
            <w:pPr>
              <w:jc w:val="center"/>
            </w:pPr>
            <w:r>
              <w:t>2006</w:t>
            </w:r>
          </w:p>
        </w:tc>
        <w:tc>
          <w:tcPr>
            <w:tcW w:w="836" w:type="dxa"/>
          </w:tcPr>
          <w:p w:rsidR="003117EB" w:rsidRDefault="003117EB" w:rsidP="0034692C">
            <w:pPr>
              <w:jc w:val="center"/>
            </w:pPr>
            <w:r>
              <w:t>2007</w:t>
            </w:r>
          </w:p>
        </w:tc>
        <w:tc>
          <w:tcPr>
            <w:tcW w:w="735" w:type="dxa"/>
          </w:tcPr>
          <w:p w:rsidR="003117EB" w:rsidRDefault="003117EB" w:rsidP="0034692C">
            <w:pPr>
              <w:jc w:val="center"/>
            </w:pPr>
            <w:r>
              <w:t>Mean</w:t>
            </w:r>
          </w:p>
        </w:tc>
        <w:tc>
          <w:tcPr>
            <w:tcW w:w="1081" w:type="dxa"/>
          </w:tcPr>
          <w:p w:rsidR="003117EB" w:rsidRDefault="003117EB" w:rsidP="0034692C">
            <w:pPr>
              <w:jc w:val="center"/>
            </w:pPr>
            <w:r>
              <w:t>Standard Deviation</w:t>
            </w:r>
          </w:p>
        </w:tc>
        <w:tc>
          <w:tcPr>
            <w:tcW w:w="1186" w:type="dxa"/>
          </w:tcPr>
          <w:p w:rsidR="003117EB" w:rsidRDefault="003117EB" w:rsidP="0034692C">
            <w:pPr>
              <w:jc w:val="center"/>
            </w:pPr>
            <w:r>
              <w:t>Coefficient of Variation</w:t>
            </w:r>
            <w:r w:rsidR="00CF6BEA">
              <w:t xml:space="preserve"> %</w:t>
            </w:r>
            <w:r>
              <w:t xml:space="preserve"> </w:t>
            </w:r>
          </w:p>
        </w:tc>
      </w:tr>
      <w:tr w:rsidR="003117EB" w:rsidTr="0034692C">
        <w:tc>
          <w:tcPr>
            <w:tcW w:w="1449" w:type="dxa"/>
          </w:tcPr>
          <w:p w:rsidR="003117EB" w:rsidRDefault="003117EB" w:rsidP="0034692C">
            <w:pPr>
              <w:jc w:val="center"/>
            </w:pPr>
            <w:r>
              <w:t xml:space="preserve">Return on Total Income </w:t>
            </w:r>
          </w:p>
        </w:tc>
        <w:tc>
          <w:tcPr>
            <w:tcW w:w="836" w:type="dxa"/>
          </w:tcPr>
          <w:p w:rsidR="003117EB" w:rsidRDefault="003117EB" w:rsidP="0034692C">
            <w:pPr>
              <w:jc w:val="center"/>
            </w:pPr>
            <w:r>
              <w:t>22.88</w:t>
            </w:r>
          </w:p>
        </w:tc>
        <w:tc>
          <w:tcPr>
            <w:tcW w:w="836" w:type="dxa"/>
          </w:tcPr>
          <w:p w:rsidR="003117EB" w:rsidRDefault="003117EB" w:rsidP="0034692C">
            <w:pPr>
              <w:jc w:val="center"/>
            </w:pPr>
            <w:r>
              <w:t>31.36</w:t>
            </w:r>
          </w:p>
        </w:tc>
        <w:tc>
          <w:tcPr>
            <w:tcW w:w="836" w:type="dxa"/>
          </w:tcPr>
          <w:p w:rsidR="003117EB" w:rsidRDefault="003117EB" w:rsidP="0034692C">
            <w:pPr>
              <w:jc w:val="center"/>
            </w:pPr>
            <w:r>
              <w:t>40.40</w:t>
            </w:r>
          </w:p>
        </w:tc>
        <w:tc>
          <w:tcPr>
            <w:tcW w:w="836" w:type="dxa"/>
          </w:tcPr>
          <w:p w:rsidR="003117EB" w:rsidRDefault="003117EB" w:rsidP="0034692C">
            <w:pPr>
              <w:jc w:val="center"/>
            </w:pPr>
            <w:r>
              <w:t>34.48</w:t>
            </w:r>
          </w:p>
        </w:tc>
        <w:tc>
          <w:tcPr>
            <w:tcW w:w="836" w:type="dxa"/>
          </w:tcPr>
          <w:p w:rsidR="003117EB" w:rsidRDefault="003117EB" w:rsidP="0034692C">
            <w:pPr>
              <w:jc w:val="center"/>
            </w:pPr>
            <w:r>
              <w:t>41.82</w:t>
            </w:r>
          </w:p>
        </w:tc>
        <w:tc>
          <w:tcPr>
            <w:tcW w:w="735" w:type="dxa"/>
          </w:tcPr>
          <w:p w:rsidR="003117EB" w:rsidRDefault="00A269FE" w:rsidP="0034692C">
            <w:pPr>
              <w:jc w:val="center"/>
            </w:pPr>
            <w:r>
              <w:t>34.188</w:t>
            </w:r>
          </w:p>
        </w:tc>
        <w:tc>
          <w:tcPr>
            <w:tcW w:w="1081" w:type="dxa"/>
          </w:tcPr>
          <w:p w:rsidR="003117EB" w:rsidRDefault="00A269FE" w:rsidP="0034692C">
            <w:pPr>
              <w:jc w:val="center"/>
            </w:pPr>
            <w:r>
              <w:t>7.629</w:t>
            </w:r>
          </w:p>
        </w:tc>
        <w:tc>
          <w:tcPr>
            <w:tcW w:w="1186" w:type="dxa"/>
          </w:tcPr>
          <w:p w:rsidR="003117EB" w:rsidRDefault="00A269FE" w:rsidP="0034692C">
            <w:pPr>
              <w:jc w:val="center"/>
            </w:pPr>
            <w:r>
              <w:t>22</w:t>
            </w:r>
            <w:r w:rsidR="00CF6BEA">
              <w:t>.</w:t>
            </w:r>
            <w:r>
              <w:t>3</w:t>
            </w:r>
          </w:p>
        </w:tc>
      </w:tr>
      <w:tr w:rsidR="003117EB" w:rsidTr="0034692C">
        <w:tc>
          <w:tcPr>
            <w:tcW w:w="1449" w:type="dxa"/>
          </w:tcPr>
          <w:p w:rsidR="003117EB" w:rsidRDefault="003117EB" w:rsidP="0034692C">
            <w:pPr>
              <w:jc w:val="center"/>
            </w:pPr>
            <w:r>
              <w:t xml:space="preserve">Return on Total Assets </w:t>
            </w:r>
          </w:p>
        </w:tc>
        <w:tc>
          <w:tcPr>
            <w:tcW w:w="836" w:type="dxa"/>
          </w:tcPr>
          <w:p w:rsidR="003117EB" w:rsidRDefault="003117EB" w:rsidP="0034692C">
            <w:pPr>
              <w:jc w:val="center"/>
            </w:pPr>
            <w:r>
              <w:t>1.03</w:t>
            </w:r>
          </w:p>
        </w:tc>
        <w:tc>
          <w:tcPr>
            <w:tcW w:w="836" w:type="dxa"/>
          </w:tcPr>
          <w:p w:rsidR="003117EB" w:rsidRDefault="003117EB" w:rsidP="0034692C">
            <w:pPr>
              <w:jc w:val="center"/>
            </w:pPr>
            <w:r>
              <w:t>1.51</w:t>
            </w:r>
          </w:p>
        </w:tc>
        <w:tc>
          <w:tcPr>
            <w:tcW w:w="836" w:type="dxa"/>
          </w:tcPr>
          <w:p w:rsidR="003117EB" w:rsidRDefault="003117EB" w:rsidP="0034692C">
            <w:pPr>
              <w:jc w:val="center"/>
            </w:pPr>
            <w:r>
              <w:t>2.57</w:t>
            </w:r>
          </w:p>
        </w:tc>
        <w:tc>
          <w:tcPr>
            <w:tcW w:w="836" w:type="dxa"/>
          </w:tcPr>
          <w:p w:rsidR="003117EB" w:rsidRDefault="003117EB" w:rsidP="0034692C">
            <w:pPr>
              <w:jc w:val="center"/>
            </w:pPr>
            <w:r>
              <w:t>2.45</w:t>
            </w:r>
          </w:p>
        </w:tc>
        <w:tc>
          <w:tcPr>
            <w:tcW w:w="836" w:type="dxa"/>
          </w:tcPr>
          <w:p w:rsidR="003117EB" w:rsidRDefault="003117EB" w:rsidP="0034692C">
            <w:pPr>
              <w:jc w:val="center"/>
            </w:pPr>
            <w:r>
              <w:t>3.00</w:t>
            </w:r>
          </w:p>
        </w:tc>
        <w:tc>
          <w:tcPr>
            <w:tcW w:w="735" w:type="dxa"/>
          </w:tcPr>
          <w:p w:rsidR="003117EB" w:rsidRDefault="00A269FE" w:rsidP="0034692C">
            <w:pPr>
              <w:jc w:val="center"/>
            </w:pPr>
            <w:r>
              <w:t>2.112</w:t>
            </w:r>
          </w:p>
        </w:tc>
        <w:tc>
          <w:tcPr>
            <w:tcW w:w="1081" w:type="dxa"/>
          </w:tcPr>
          <w:p w:rsidR="003117EB" w:rsidRDefault="00A269FE" w:rsidP="0034692C">
            <w:pPr>
              <w:jc w:val="center"/>
            </w:pPr>
            <w:r>
              <w:t>0.813</w:t>
            </w:r>
          </w:p>
        </w:tc>
        <w:tc>
          <w:tcPr>
            <w:tcW w:w="1186" w:type="dxa"/>
          </w:tcPr>
          <w:p w:rsidR="003117EB" w:rsidRDefault="00A269FE" w:rsidP="0034692C">
            <w:pPr>
              <w:jc w:val="center"/>
            </w:pPr>
            <w:r>
              <w:t>38</w:t>
            </w:r>
            <w:r w:rsidR="00CF6BEA">
              <w:t>.5</w:t>
            </w:r>
            <w:r>
              <w:t>5</w:t>
            </w:r>
          </w:p>
        </w:tc>
      </w:tr>
      <w:tr w:rsidR="003117EB" w:rsidTr="0034692C">
        <w:tc>
          <w:tcPr>
            <w:tcW w:w="1449" w:type="dxa"/>
          </w:tcPr>
          <w:p w:rsidR="003117EB" w:rsidRDefault="003117EB" w:rsidP="0034692C">
            <w:pPr>
              <w:jc w:val="center"/>
            </w:pPr>
            <w:r>
              <w:t xml:space="preserve">Return on Shareholders’ equity </w:t>
            </w:r>
          </w:p>
        </w:tc>
        <w:tc>
          <w:tcPr>
            <w:tcW w:w="836" w:type="dxa"/>
          </w:tcPr>
          <w:p w:rsidR="003117EB" w:rsidRDefault="003117EB" w:rsidP="0034692C">
            <w:pPr>
              <w:jc w:val="center"/>
            </w:pPr>
            <w:r>
              <w:t>13.81</w:t>
            </w:r>
          </w:p>
        </w:tc>
        <w:tc>
          <w:tcPr>
            <w:tcW w:w="836" w:type="dxa"/>
          </w:tcPr>
          <w:p w:rsidR="003117EB" w:rsidRDefault="003117EB" w:rsidP="0034692C">
            <w:pPr>
              <w:jc w:val="center"/>
            </w:pPr>
            <w:r>
              <w:t>15.44</w:t>
            </w:r>
          </w:p>
        </w:tc>
        <w:tc>
          <w:tcPr>
            <w:tcW w:w="836" w:type="dxa"/>
          </w:tcPr>
          <w:p w:rsidR="003117EB" w:rsidRDefault="003117EB" w:rsidP="0034692C">
            <w:pPr>
              <w:jc w:val="center"/>
            </w:pPr>
            <w:r>
              <w:t>28.83</w:t>
            </w:r>
          </w:p>
        </w:tc>
        <w:tc>
          <w:tcPr>
            <w:tcW w:w="836" w:type="dxa"/>
          </w:tcPr>
          <w:p w:rsidR="003117EB" w:rsidRDefault="003117EB" w:rsidP="0034692C">
            <w:pPr>
              <w:jc w:val="center"/>
            </w:pPr>
            <w:r>
              <w:t>18.48</w:t>
            </w:r>
          </w:p>
        </w:tc>
        <w:tc>
          <w:tcPr>
            <w:tcW w:w="836" w:type="dxa"/>
          </w:tcPr>
          <w:p w:rsidR="003117EB" w:rsidRDefault="003117EB" w:rsidP="0034692C">
            <w:pPr>
              <w:jc w:val="center"/>
            </w:pPr>
            <w:r>
              <w:t>24.13</w:t>
            </w:r>
          </w:p>
        </w:tc>
        <w:tc>
          <w:tcPr>
            <w:tcW w:w="735" w:type="dxa"/>
          </w:tcPr>
          <w:p w:rsidR="003117EB" w:rsidRDefault="00A269FE" w:rsidP="0034692C">
            <w:pPr>
              <w:jc w:val="center"/>
            </w:pPr>
            <w:r>
              <w:t>20.138</w:t>
            </w:r>
          </w:p>
        </w:tc>
        <w:tc>
          <w:tcPr>
            <w:tcW w:w="1081" w:type="dxa"/>
          </w:tcPr>
          <w:p w:rsidR="003117EB" w:rsidRDefault="00A269FE" w:rsidP="0034692C">
            <w:pPr>
              <w:jc w:val="center"/>
            </w:pPr>
            <w:r>
              <w:t>6.252</w:t>
            </w:r>
          </w:p>
        </w:tc>
        <w:tc>
          <w:tcPr>
            <w:tcW w:w="1186" w:type="dxa"/>
          </w:tcPr>
          <w:p w:rsidR="003117EB" w:rsidRDefault="00CF6BEA" w:rsidP="0034692C">
            <w:pPr>
              <w:jc w:val="center"/>
            </w:pPr>
            <w:r>
              <w:t>31</w:t>
            </w:r>
          </w:p>
        </w:tc>
      </w:tr>
    </w:tbl>
    <w:p w:rsidR="00E32E93" w:rsidRDefault="00E32E93" w:rsidP="002E0AC1"/>
    <w:p w:rsidR="002936AE" w:rsidRPr="00DA62E9" w:rsidRDefault="00B74BFE" w:rsidP="002E0AC1">
      <w:pPr>
        <w:rPr>
          <w:b/>
          <w:bCs/>
          <w:sz w:val="24"/>
          <w:szCs w:val="24"/>
        </w:rPr>
      </w:pPr>
      <w:r>
        <w:rPr>
          <w:b/>
          <w:bCs/>
          <w:sz w:val="24"/>
          <w:szCs w:val="24"/>
        </w:rPr>
        <w:t xml:space="preserve">Table 4: </w:t>
      </w:r>
      <w:r w:rsidR="00AF630B">
        <w:rPr>
          <w:b/>
          <w:bCs/>
          <w:sz w:val="24"/>
          <w:szCs w:val="24"/>
        </w:rPr>
        <w:t>Profitability Indicators</w:t>
      </w:r>
      <w:r w:rsidR="002936AE" w:rsidRPr="00DA62E9">
        <w:rPr>
          <w:b/>
          <w:bCs/>
          <w:sz w:val="24"/>
          <w:szCs w:val="24"/>
        </w:rPr>
        <w:t>: Abu Dhabi Islamic Bank</w:t>
      </w:r>
    </w:p>
    <w:tbl>
      <w:tblPr>
        <w:tblStyle w:val="TableGrid"/>
        <w:tblW w:w="0" w:type="auto"/>
        <w:tblLook w:val="04A0" w:firstRow="1" w:lastRow="0" w:firstColumn="1" w:lastColumn="0" w:noHBand="0" w:noVBand="1"/>
      </w:tblPr>
      <w:tblGrid>
        <w:gridCol w:w="1449"/>
        <w:gridCol w:w="836"/>
        <w:gridCol w:w="836"/>
        <w:gridCol w:w="836"/>
        <w:gridCol w:w="836"/>
        <w:gridCol w:w="836"/>
        <w:gridCol w:w="830"/>
        <w:gridCol w:w="1081"/>
        <w:gridCol w:w="1186"/>
      </w:tblGrid>
      <w:tr w:rsidR="003117EB" w:rsidTr="0034692C">
        <w:tc>
          <w:tcPr>
            <w:tcW w:w="1449" w:type="dxa"/>
          </w:tcPr>
          <w:p w:rsidR="003117EB" w:rsidRDefault="006054B9" w:rsidP="0034692C">
            <w:pPr>
              <w:jc w:val="center"/>
            </w:pPr>
            <w:r>
              <w:t>Indicators</w:t>
            </w:r>
            <w:r w:rsidR="003117EB">
              <w:t xml:space="preserve"> %</w:t>
            </w:r>
          </w:p>
        </w:tc>
        <w:tc>
          <w:tcPr>
            <w:tcW w:w="836" w:type="dxa"/>
          </w:tcPr>
          <w:p w:rsidR="003117EB" w:rsidRDefault="003117EB" w:rsidP="0034692C">
            <w:pPr>
              <w:jc w:val="center"/>
            </w:pPr>
            <w:r>
              <w:t>2003</w:t>
            </w:r>
          </w:p>
        </w:tc>
        <w:tc>
          <w:tcPr>
            <w:tcW w:w="836" w:type="dxa"/>
          </w:tcPr>
          <w:p w:rsidR="003117EB" w:rsidRDefault="003117EB" w:rsidP="0034692C">
            <w:pPr>
              <w:jc w:val="center"/>
            </w:pPr>
            <w:r>
              <w:t>2004</w:t>
            </w:r>
          </w:p>
        </w:tc>
        <w:tc>
          <w:tcPr>
            <w:tcW w:w="836" w:type="dxa"/>
          </w:tcPr>
          <w:p w:rsidR="003117EB" w:rsidRDefault="003117EB" w:rsidP="0034692C">
            <w:pPr>
              <w:jc w:val="center"/>
            </w:pPr>
            <w:r>
              <w:t>2005</w:t>
            </w:r>
          </w:p>
        </w:tc>
        <w:tc>
          <w:tcPr>
            <w:tcW w:w="836" w:type="dxa"/>
          </w:tcPr>
          <w:p w:rsidR="003117EB" w:rsidRDefault="003117EB" w:rsidP="0034692C">
            <w:pPr>
              <w:jc w:val="center"/>
            </w:pPr>
            <w:r>
              <w:t>2006</w:t>
            </w:r>
          </w:p>
        </w:tc>
        <w:tc>
          <w:tcPr>
            <w:tcW w:w="836" w:type="dxa"/>
          </w:tcPr>
          <w:p w:rsidR="003117EB" w:rsidRDefault="003117EB" w:rsidP="0034692C">
            <w:pPr>
              <w:jc w:val="center"/>
            </w:pPr>
            <w:r>
              <w:t>2007</w:t>
            </w:r>
          </w:p>
        </w:tc>
        <w:tc>
          <w:tcPr>
            <w:tcW w:w="735" w:type="dxa"/>
          </w:tcPr>
          <w:p w:rsidR="003117EB" w:rsidRDefault="003117EB" w:rsidP="0034692C">
            <w:pPr>
              <w:jc w:val="center"/>
            </w:pPr>
            <w:r>
              <w:t>Mean</w:t>
            </w:r>
          </w:p>
        </w:tc>
        <w:tc>
          <w:tcPr>
            <w:tcW w:w="1081" w:type="dxa"/>
          </w:tcPr>
          <w:p w:rsidR="003117EB" w:rsidRDefault="003117EB" w:rsidP="0034692C">
            <w:pPr>
              <w:jc w:val="center"/>
            </w:pPr>
            <w:r>
              <w:t>Standard Deviation</w:t>
            </w:r>
          </w:p>
        </w:tc>
        <w:tc>
          <w:tcPr>
            <w:tcW w:w="1186" w:type="dxa"/>
          </w:tcPr>
          <w:p w:rsidR="003117EB" w:rsidRDefault="003117EB" w:rsidP="0034692C">
            <w:pPr>
              <w:jc w:val="center"/>
            </w:pPr>
            <w:r>
              <w:t xml:space="preserve">Coefficient of Variation </w:t>
            </w:r>
          </w:p>
        </w:tc>
      </w:tr>
      <w:tr w:rsidR="003117EB" w:rsidTr="0034692C">
        <w:tc>
          <w:tcPr>
            <w:tcW w:w="1449" w:type="dxa"/>
          </w:tcPr>
          <w:p w:rsidR="003117EB" w:rsidRDefault="003117EB" w:rsidP="0034692C">
            <w:pPr>
              <w:jc w:val="center"/>
            </w:pPr>
            <w:r>
              <w:t xml:space="preserve">Return on Total Income </w:t>
            </w:r>
          </w:p>
        </w:tc>
        <w:tc>
          <w:tcPr>
            <w:tcW w:w="836" w:type="dxa"/>
          </w:tcPr>
          <w:p w:rsidR="003117EB" w:rsidRDefault="003117EB" w:rsidP="0034692C">
            <w:pPr>
              <w:jc w:val="center"/>
            </w:pPr>
            <w:r>
              <w:t>36.92</w:t>
            </w:r>
          </w:p>
        </w:tc>
        <w:tc>
          <w:tcPr>
            <w:tcW w:w="836" w:type="dxa"/>
          </w:tcPr>
          <w:p w:rsidR="003117EB" w:rsidRDefault="003117EB" w:rsidP="0034692C">
            <w:pPr>
              <w:jc w:val="center"/>
            </w:pPr>
            <w:r>
              <w:t>25.06</w:t>
            </w:r>
          </w:p>
        </w:tc>
        <w:tc>
          <w:tcPr>
            <w:tcW w:w="836" w:type="dxa"/>
          </w:tcPr>
          <w:p w:rsidR="003117EB" w:rsidRDefault="003117EB" w:rsidP="0034692C">
            <w:pPr>
              <w:jc w:val="center"/>
            </w:pPr>
            <w:r>
              <w:t>23.75</w:t>
            </w:r>
          </w:p>
        </w:tc>
        <w:tc>
          <w:tcPr>
            <w:tcW w:w="836" w:type="dxa"/>
          </w:tcPr>
          <w:p w:rsidR="003117EB" w:rsidRDefault="003117EB" w:rsidP="00060037">
            <w:pPr>
              <w:jc w:val="center"/>
            </w:pPr>
            <w:r>
              <w:t>24.21</w:t>
            </w:r>
          </w:p>
        </w:tc>
        <w:tc>
          <w:tcPr>
            <w:tcW w:w="836" w:type="dxa"/>
          </w:tcPr>
          <w:p w:rsidR="003117EB" w:rsidRDefault="003117EB" w:rsidP="0034692C">
            <w:pPr>
              <w:jc w:val="center"/>
            </w:pPr>
            <w:r>
              <w:t>26.63</w:t>
            </w:r>
          </w:p>
        </w:tc>
        <w:tc>
          <w:tcPr>
            <w:tcW w:w="735" w:type="dxa"/>
          </w:tcPr>
          <w:p w:rsidR="003117EB" w:rsidRDefault="00A269FE" w:rsidP="0034692C">
            <w:pPr>
              <w:jc w:val="center"/>
            </w:pPr>
            <w:r>
              <w:t>27.314</w:t>
            </w:r>
          </w:p>
        </w:tc>
        <w:tc>
          <w:tcPr>
            <w:tcW w:w="1081" w:type="dxa"/>
          </w:tcPr>
          <w:p w:rsidR="003117EB" w:rsidRDefault="00A269FE" w:rsidP="0034692C">
            <w:pPr>
              <w:jc w:val="center"/>
            </w:pPr>
            <w:r>
              <w:t>5.480</w:t>
            </w:r>
          </w:p>
        </w:tc>
        <w:tc>
          <w:tcPr>
            <w:tcW w:w="1186" w:type="dxa"/>
          </w:tcPr>
          <w:p w:rsidR="003117EB" w:rsidRDefault="00CF6BEA" w:rsidP="0034692C">
            <w:pPr>
              <w:jc w:val="center"/>
            </w:pPr>
            <w:r>
              <w:t>20</w:t>
            </w:r>
          </w:p>
        </w:tc>
      </w:tr>
      <w:tr w:rsidR="003117EB" w:rsidTr="0034692C">
        <w:tc>
          <w:tcPr>
            <w:tcW w:w="1449" w:type="dxa"/>
          </w:tcPr>
          <w:p w:rsidR="003117EB" w:rsidRDefault="003117EB" w:rsidP="0034692C">
            <w:pPr>
              <w:jc w:val="center"/>
            </w:pPr>
            <w:r>
              <w:t xml:space="preserve">Return on Total Assets </w:t>
            </w:r>
          </w:p>
        </w:tc>
        <w:tc>
          <w:tcPr>
            <w:tcW w:w="836" w:type="dxa"/>
          </w:tcPr>
          <w:p w:rsidR="003117EB" w:rsidRDefault="003117EB" w:rsidP="0034692C">
            <w:pPr>
              <w:jc w:val="center"/>
            </w:pPr>
            <w:r>
              <w:t>1.09</w:t>
            </w:r>
          </w:p>
        </w:tc>
        <w:tc>
          <w:tcPr>
            <w:tcW w:w="836" w:type="dxa"/>
          </w:tcPr>
          <w:p w:rsidR="003117EB" w:rsidRDefault="003117EB" w:rsidP="0034692C">
            <w:pPr>
              <w:jc w:val="center"/>
            </w:pPr>
            <w:r>
              <w:t>0.97</w:t>
            </w:r>
          </w:p>
        </w:tc>
        <w:tc>
          <w:tcPr>
            <w:tcW w:w="836" w:type="dxa"/>
          </w:tcPr>
          <w:p w:rsidR="003117EB" w:rsidRDefault="003117EB" w:rsidP="0034692C">
            <w:pPr>
              <w:jc w:val="center"/>
            </w:pPr>
            <w:r>
              <w:t>1.55</w:t>
            </w:r>
          </w:p>
        </w:tc>
        <w:tc>
          <w:tcPr>
            <w:tcW w:w="836" w:type="dxa"/>
          </w:tcPr>
          <w:p w:rsidR="003117EB" w:rsidRDefault="003117EB" w:rsidP="0034692C">
            <w:pPr>
              <w:jc w:val="center"/>
            </w:pPr>
            <w:r>
              <w:t>1.58</w:t>
            </w:r>
          </w:p>
        </w:tc>
        <w:tc>
          <w:tcPr>
            <w:tcW w:w="836" w:type="dxa"/>
          </w:tcPr>
          <w:p w:rsidR="003117EB" w:rsidRDefault="003117EB" w:rsidP="0034692C">
            <w:pPr>
              <w:jc w:val="center"/>
            </w:pPr>
            <w:r>
              <w:t>1.75</w:t>
            </w:r>
          </w:p>
        </w:tc>
        <w:tc>
          <w:tcPr>
            <w:tcW w:w="735" w:type="dxa"/>
          </w:tcPr>
          <w:p w:rsidR="003117EB" w:rsidRDefault="00A269FE" w:rsidP="0034692C">
            <w:pPr>
              <w:jc w:val="center"/>
            </w:pPr>
            <w:r>
              <w:t>1.388</w:t>
            </w:r>
          </w:p>
        </w:tc>
        <w:tc>
          <w:tcPr>
            <w:tcW w:w="1081" w:type="dxa"/>
          </w:tcPr>
          <w:p w:rsidR="003117EB" w:rsidRDefault="00A269FE" w:rsidP="0034692C">
            <w:pPr>
              <w:jc w:val="center"/>
            </w:pPr>
            <w:r>
              <w:t>0.338</w:t>
            </w:r>
          </w:p>
        </w:tc>
        <w:tc>
          <w:tcPr>
            <w:tcW w:w="1186" w:type="dxa"/>
          </w:tcPr>
          <w:p w:rsidR="003117EB" w:rsidRDefault="00A269FE" w:rsidP="0034692C">
            <w:pPr>
              <w:jc w:val="center"/>
            </w:pPr>
            <w:r>
              <w:t>24</w:t>
            </w:r>
            <w:r w:rsidR="00CF6BEA">
              <w:t>.</w:t>
            </w:r>
            <w:r>
              <w:t>4</w:t>
            </w:r>
          </w:p>
        </w:tc>
      </w:tr>
      <w:tr w:rsidR="003117EB" w:rsidTr="0034692C">
        <w:tc>
          <w:tcPr>
            <w:tcW w:w="1449" w:type="dxa"/>
          </w:tcPr>
          <w:p w:rsidR="003117EB" w:rsidRDefault="003117EB" w:rsidP="0034692C">
            <w:pPr>
              <w:jc w:val="center"/>
            </w:pPr>
            <w:r>
              <w:t xml:space="preserve">Return on Shareholders’ equity </w:t>
            </w:r>
          </w:p>
        </w:tc>
        <w:tc>
          <w:tcPr>
            <w:tcW w:w="836" w:type="dxa"/>
          </w:tcPr>
          <w:p w:rsidR="003117EB" w:rsidRDefault="003117EB" w:rsidP="0034692C">
            <w:pPr>
              <w:jc w:val="center"/>
            </w:pPr>
            <w:r>
              <w:t>7.18</w:t>
            </w:r>
          </w:p>
        </w:tc>
        <w:tc>
          <w:tcPr>
            <w:tcW w:w="836" w:type="dxa"/>
          </w:tcPr>
          <w:p w:rsidR="003117EB" w:rsidRDefault="003117EB" w:rsidP="0034692C">
            <w:pPr>
              <w:jc w:val="center"/>
            </w:pPr>
            <w:r>
              <w:t>8.16</w:t>
            </w:r>
          </w:p>
        </w:tc>
        <w:tc>
          <w:tcPr>
            <w:tcW w:w="836" w:type="dxa"/>
          </w:tcPr>
          <w:p w:rsidR="003117EB" w:rsidRDefault="003117EB" w:rsidP="0034692C">
            <w:pPr>
              <w:jc w:val="center"/>
            </w:pPr>
            <w:r>
              <w:t>17.10</w:t>
            </w:r>
          </w:p>
        </w:tc>
        <w:tc>
          <w:tcPr>
            <w:tcW w:w="836" w:type="dxa"/>
          </w:tcPr>
          <w:p w:rsidR="003117EB" w:rsidRDefault="003117EB" w:rsidP="0034692C">
            <w:pPr>
              <w:jc w:val="center"/>
            </w:pPr>
            <w:r>
              <w:t>20.65</w:t>
            </w:r>
          </w:p>
        </w:tc>
        <w:tc>
          <w:tcPr>
            <w:tcW w:w="836" w:type="dxa"/>
          </w:tcPr>
          <w:p w:rsidR="003117EB" w:rsidRDefault="003117EB" w:rsidP="0034692C">
            <w:pPr>
              <w:jc w:val="center"/>
            </w:pPr>
            <w:r>
              <w:t>14.19</w:t>
            </w:r>
          </w:p>
        </w:tc>
        <w:tc>
          <w:tcPr>
            <w:tcW w:w="735" w:type="dxa"/>
          </w:tcPr>
          <w:p w:rsidR="003117EB" w:rsidRDefault="00A269FE" w:rsidP="0034692C">
            <w:pPr>
              <w:jc w:val="center"/>
            </w:pPr>
            <w:r>
              <w:t>13.456</w:t>
            </w:r>
          </w:p>
        </w:tc>
        <w:tc>
          <w:tcPr>
            <w:tcW w:w="1081" w:type="dxa"/>
          </w:tcPr>
          <w:p w:rsidR="003117EB" w:rsidRDefault="00A269FE" w:rsidP="0034692C">
            <w:pPr>
              <w:jc w:val="center"/>
            </w:pPr>
            <w:r>
              <w:t>5.766</w:t>
            </w:r>
          </w:p>
        </w:tc>
        <w:tc>
          <w:tcPr>
            <w:tcW w:w="1186" w:type="dxa"/>
          </w:tcPr>
          <w:p w:rsidR="003117EB" w:rsidRDefault="00A269FE" w:rsidP="0034692C">
            <w:pPr>
              <w:jc w:val="center"/>
            </w:pPr>
            <w:r>
              <w:t>42</w:t>
            </w:r>
            <w:r w:rsidR="00CF6BEA">
              <w:t>.</w:t>
            </w:r>
            <w:r>
              <w:t>9</w:t>
            </w:r>
          </w:p>
        </w:tc>
      </w:tr>
    </w:tbl>
    <w:p w:rsidR="00167617" w:rsidRDefault="00167617" w:rsidP="002E0AC1"/>
    <w:p w:rsidR="00DC78F6" w:rsidRDefault="00DC78F6" w:rsidP="00167617">
      <w:pPr>
        <w:rPr>
          <w:b/>
          <w:bCs/>
          <w:sz w:val="28"/>
          <w:szCs w:val="28"/>
        </w:rPr>
      </w:pPr>
    </w:p>
    <w:p w:rsidR="00167617" w:rsidRDefault="00834ABB" w:rsidP="00834ABB">
      <w:pPr>
        <w:jc w:val="center"/>
        <w:rPr>
          <w:b/>
          <w:bCs/>
          <w:sz w:val="28"/>
          <w:szCs w:val="28"/>
        </w:rPr>
      </w:pPr>
      <w:r>
        <w:rPr>
          <w:b/>
          <w:bCs/>
          <w:sz w:val="28"/>
          <w:szCs w:val="28"/>
        </w:rPr>
        <w:t>Capital Structure Indicators</w:t>
      </w:r>
    </w:p>
    <w:p w:rsidR="003609B6" w:rsidRPr="003609B6" w:rsidRDefault="003609B6" w:rsidP="00167617">
      <w:pPr>
        <w:rPr>
          <w:rFonts w:asciiTheme="majorBidi" w:hAnsiTheme="majorBidi" w:cstheme="majorBidi"/>
          <w:b/>
          <w:bCs/>
          <w:sz w:val="24"/>
          <w:szCs w:val="24"/>
        </w:rPr>
      </w:pPr>
      <w:r w:rsidRPr="003609B6">
        <w:rPr>
          <w:rFonts w:asciiTheme="majorBidi" w:hAnsiTheme="majorBidi" w:cstheme="majorBidi"/>
          <w:b/>
          <w:bCs/>
          <w:sz w:val="24"/>
          <w:szCs w:val="24"/>
        </w:rPr>
        <w:t>Customers’ Deposits to Total Assets</w:t>
      </w:r>
    </w:p>
    <w:p w:rsidR="00167617" w:rsidRPr="001A2277" w:rsidRDefault="003609B6" w:rsidP="001A2277">
      <w:pPr>
        <w:rPr>
          <w:rFonts w:asciiTheme="majorBidi" w:hAnsiTheme="majorBidi" w:cstheme="majorBidi"/>
          <w:sz w:val="24"/>
          <w:szCs w:val="24"/>
        </w:rPr>
      </w:pPr>
      <w:r>
        <w:rPr>
          <w:rFonts w:asciiTheme="majorBidi" w:hAnsiTheme="majorBidi" w:cstheme="majorBidi"/>
          <w:sz w:val="24"/>
          <w:szCs w:val="24"/>
        </w:rPr>
        <w:t xml:space="preserve">This ratio shows the </w:t>
      </w:r>
      <w:r w:rsidR="00313635">
        <w:rPr>
          <w:rFonts w:asciiTheme="majorBidi" w:hAnsiTheme="majorBidi" w:cstheme="majorBidi"/>
          <w:sz w:val="24"/>
          <w:szCs w:val="24"/>
        </w:rPr>
        <w:t xml:space="preserve">contribution </w:t>
      </w:r>
      <w:r>
        <w:rPr>
          <w:rFonts w:asciiTheme="majorBidi" w:hAnsiTheme="majorBidi" w:cstheme="majorBidi"/>
          <w:sz w:val="24"/>
          <w:szCs w:val="24"/>
        </w:rPr>
        <w:t>perce</w:t>
      </w:r>
      <w:r w:rsidR="00313635">
        <w:rPr>
          <w:rFonts w:asciiTheme="majorBidi" w:hAnsiTheme="majorBidi" w:cstheme="majorBidi"/>
          <w:sz w:val="24"/>
          <w:szCs w:val="24"/>
        </w:rPr>
        <w:t>ntage of customers’ deposits to</w:t>
      </w:r>
      <w:r>
        <w:rPr>
          <w:rFonts w:asciiTheme="majorBidi" w:hAnsiTheme="majorBidi" w:cstheme="majorBidi"/>
          <w:sz w:val="24"/>
          <w:szCs w:val="24"/>
        </w:rPr>
        <w:t xml:space="preserve"> total assets. The high percentage indicates the ability of a bank in financing its assets.  </w:t>
      </w:r>
      <w:r w:rsidR="005D44AC">
        <w:rPr>
          <w:rFonts w:asciiTheme="majorBidi" w:hAnsiTheme="majorBidi" w:cstheme="majorBidi"/>
          <w:sz w:val="24"/>
          <w:szCs w:val="24"/>
        </w:rPr>
        <w:t xml:space="preserve">Tables 5 and 6 clearly show that Dubai Islamic bank has </w:t>
      </w:r>
      <w:r w:rsidR="00313635">
        <w:rPr>
          <w:rFonts w:asciiTheme="majorBidi" w:hAnsiTheme="majorBidi" w:cstheme="majorBidi"/>
          <w:sz w:val="24"/>
          <w:szCs w:val="24"/>
        </w:rPr>
        <w:t xml:space="preserve">financed </w:t>
      </w:r>
      <w:r w:rsidR="005D44AC">
        <w:rPr>
          <w:rFonts w:asciiTheme="majorBidi" w:hAnsiTheme="majorBidi" w:cstheme="majorBidi"/>
          <w:sz w:val="24"/>
          <w:szCs w:val="24"/>
        </w:rPr>
        <w:t xml:space="preserve">its assets with more money from the customers’ deposits with a mean of 79.628 than its counterpart bank with a mean of 71.20. The variability level as based on the coefficient of variation is higher for the Abu Dhabi Islamic bank than Dubai Islamic bank.  </w:t>
      </w:r>
    </w:p>
    <w:p w:rsidR="00167617" w:rsidRPr="00D07EEB" w:rsidRDefault="00167617" w:rsidP="00167617">
      <w:pPr>
        <w:rPr>
          <w:rFonts w:asciiTheme="majorBidi" w:hAnsiTheme="majorBidi" w:cstheme="majorBidi"/>
          <w:b/>
          <w:bCs/>
          <w:sz w:val="24"/>
          <w:szCs w:val="24"/>
        </w:rPr>
      </w:pPr>
      <w:r w:rsidRPr="00D07EEB">
        <w:rPr>
          <w:rFonts w:asciiTheme="majorBidi" w:hAnsiTheme="majorBidi" w:cstheme="majorBidi"/>
          <w:b/>
          <w:bCs/>
          <w:sz w:val="24"/>
          <w:szCs w:val="24"/>
        </w:rPr>
        <w:t>Total Liabilities to Total Assets</w:t>
      </w:r>
    </w:p>
    <w:p w:rsidR="00167617" w:rsidRPr="001A2277" w:rsidRDefault="00167617" w:rsidP="001A2277">
      <w:pPr>
        <w:rPr>
          <w:rFonts w:asciiTheme="majorBidi" w:hAnsiTheme="majorBidi" w:cstheme="majorBidi"/>
          <w:sz w:val="24"/>
          <w:szCs w:val="24"/>
        </w:rPr>
      </w:pPr>
      <w:r w:rsidRPr="005D44AC">
        <w:rPr>
          <w:rFonts w:asciiTheme="majorBidi" w:hAnsiTheme="majorBidi" w:cstheme="majorBidi"/>
          <w:sz w:val="24"/>
          <w:szCs w:val="24"/>
        </w:rPr>
        <w:t>This ratio shows the portion of money financed the total assets by outsources. The higher the ratio, the more of a firm’s assets are provided by creditors relative to owners. Creditors prefer a low or moderate ratio, because it provides more protection in case a firm experience financial problems. The high ratio indicates the weak financial structure. The mean measure</w:t>
      </w:r>
      <w:r w:rsidR="00C60685">
        <w:rPr>
          <w:rFonts w:asciiTheme="majorBidi" w:hAnsiTheme="majorBidi" w:cstheme="majorBidi"/>
          <w:sz w:val="24"/>
          <w:szCs w:val="24"/>
        </w:rPr>
        <w:t>ment</w:t>
      </w:r>
      <w:r w:rsidRPr="005D44AC">
        <w:rPr>
          <w:rFonts w:asciiTheme="majorBidi" w:hAnsiTheme="majorBidi" w:cstheme="majorBidi"/>
          <w:sz w:val="24"/>
          <w:szCs w:val="24"/>
        </w:rPr>
        <w:t xml:space="preserve"> in tales 7 and 8 indica</w:t>
      </w:r>
      <w:r w:rsidR="00C60685">
        <w:rPr>
          <w:rFonts w:asciiTheme="majorBidi" w:hAnsiTheme="majorBidi" w:cstheme="majorBidi"/>
          <w:sz w:val="24"/>
          <w:szCs w:val="24"/>
        </w:rPr>
        <w:t>tes a similarity between the two banks. The mean percentage of Dubai Islamic bank is 89.</w:t>
      </w:r>
      <w:r w:rsidR="004926E6">
        <w:rPr>
          <w:rFonts w:asciiTheme="majorBidi" w:hAnsiTheme="majorBidi" w:cstheme="majorBidi"/>
          <w:sz w:val="24"/>
          <w:szCs w:val="24"/>
        </w:rPr>
        <w:t>632. Customers’ deposits form 88.84% of the total liabilities.</w:t>
      </w:r>
      <w:r w:rsidR="00AD4FE9">
        <w:rPr>
          <w:rFonts w:asciiTheme="majorBidi" w:hAnsiTheme="majorBidi" w:cstheme="majorBidi"/>
          <w:sz w:val="24"/>
          <w:szCs w:val="24"/>
        </w:rPr>
        <w:t xml:space="preserve"> For Abu Dhabi Islamic bank, the mean percentage is 88.75</w:t>
      </w:r>
      <w:r w:rsidR="004C4563">
        <w:rPr>
          <w:rFonts w:asciiTheme="majorBidi" w:hAnsiTheme="majorBidi" w:cstheme="majorBidi"/>
          <w:sz w:val="24"/>
          <w:szCs w:val="24"/>
        </w:rPr>
        <w:t>. Customers’ deposits form 80.22%</w:t>
      </w:r>
      <w:r w:rsidR="0037779E">
        <w:rPr>
          <w:rFonts w:asciiTheme="majorBidi" w:hAnsiTheme="majorBidi" w:cstheme="majorBidi"/>
          <w:sz w:val="24"/>
          <w:szCs w:val="24"/>
        </w:rPr>
        <w:t xml:space="preserve"> of the total liabilities</w:t>
      </w:r>
      <w:r w:rsidR="004C4563">
        <w:rPr>
          <w:rFonts w:asciiTheme="majorBidi" w:hAnsiTheme="majorBidi" w:cstheme="majorBidi"/>
          <w:sz w:val="24"/>
          <w:szCs w:val="24"/>
        </w:rPr>
        <w:t xml:space="preserve">. It is apparent that both banks depend on customers’ deposits in financing </w:t>
      </w:r>
      <w:r w:rsidR="00977EA5">
        <w:rPr>
          <w:rFonts w:asciiTheme="majorBidi" w:hAnsiTheme="majorBidi" w:cstheme="majorBidi"/>
          <w:sz w:val="24"/>
          <w:szCs w:val="24"/>
        </w:rPr>
        <w:t xml:space="preserve">most of </w:t>
      </w:r>
      <w:r w:rsidR="004C4563">
        <w:rPr>
          <w:rFonts w:asciiTheme="majorBidi" w:hAnsiTheme="majorBidi" w:cstheme="majorBidi"/>
          <w:sz w:val="24"/>
          <w:szCs w:val="24"/>
        </w:rPr>
        <w:t>their activities.</w:t>
      </w:r>
      <w:r w:rsidR="00C60685">
        <w:rPr>
          <w:rFonts w:asciiTheme="majorBidi" w:hAnsiTheme="majorBidi" w:cstheme="majorBidi"/>
          <w:sz w:val="24"/>
          <w:szCs w:val="24"/>
        </w:rPr>
        <w:t xml:space="preserve"> Dubai Islamic bank</w:t>
      </w:r>
      <w:r w:rsidRPr="005D44AC">
        <w:rPr>
          <w:rFonts w:asciiTheme="majorBidi" w:hAnsiTheme="majorBidi" w:cstheme="majorBidi"/>
          <w:sz w:val="24"/>
          <w:szCs w:val="24"/>
        </w:rPr>
        <w:t xml:space="preserve"> has managed to control its liabilities over the years as it has less standard deviatio</w:t>
      </w:r>
      <w:r w:rsidR="001A2277">
        <w:rPr>
          <w:rFonts w:asciiTheme="majorBidi" w:hAnsiTheme="majorBidi" w:cstheme="majorBidi"/>
          <w:sz w:val="24"/>
          <w:szCs w:val="24"/>
        </w:rPr>
        <w:t>n and coefficient of variation.</w:t>
      </w:r>
    </w:p>
    <w:p w:rsidR="00167617" w:rsidRPr="00D07EEB" w:rsidRDefault="00D07EEB" w:rsidP="002E0AC1">
      <w:pPr>
        <w:rPr>
          <w:rFonts w:asciiTheme="majorBidi" w:hAnsiTheme="majorBidi" w:cstheme="majorBidi"/>
          <w:b/>
          <w:bCs/>
          <w:sz w:val="24"/>
          <w:szCs w:val="24"/>
        </w:rPr>
      </w:pPr>
      <w:r w:rsidRPr="00D07EEB">
        <w:rPr>
          <w:rFonts w:asciiTheme="majorBidi" w:hAnsiTheme="majorBidi" w:cstheme="majorBidi"/>
          <w:b/>
          <w:bCs/>
          <w:sz w:val="24"/>
          <w:szCs w:val="24"/>
        </w:rPr>
        <w:t>Shareholders’ Equity to Total Assets</w:t>
      </w:r>
    </w:p>
    <w:p w:rsidR="004D6505" w:rsidRPr="003F4097" w:rsidRDefault="00B12D60" w:rsidP="003F4097">
      <w:pPr>
        <w:rPr>
          <w:rFonts w:asciiTheme="majorBidi" w:hAnsiTheme="majorBidi" w:cstheme="majorBidi"/>
          <w:sz w:val="24"/>
          <w:szCs w:val="24"/>
        </w:rPr>
      </w:pPr>
      <w:r>
        <w:rPr>
          <w:rFonts w:asciiTheme="majorBidi" w:hAnsiTheme="majorBidi" w:cstheme="majorBidi"/>
          <w:sz w:val="24"/>
          <w:szCs w:val="24"/>
        </w:rPr>
        <w:t xml:space="preserve">This ratio shows the portion of money financed by the shareholders as a percentage of total assets. The higher the </w:t>
      </w:r>
      <w:r w:rsidR="009024E0">
        <w:rPr>
          <w:rFonts w:asciiTheme="majorBidi" w:hAnsiTheme="majorBidi" w:cstheme="majorBidi"/>
          <w:sz w:val="24"/>
          <w:szCs w:val="24"/>
        </w:rPr>
        <w:t>ratio, the more of a firm’s assets is</w:t>
      </w:r>
      <w:r>
        <w:rPr>
          <w:rFonts w:asciiTheme="majorBidi" w:hAnsiTheme="majorBidi" w:cstheme="majorBidi"/>
          <w:sz w:val="24"/>
          <w:szCs w:val="24"/>
        </w:rPr>
        <w:t xml:space="preserve"> provided by </w:t>
      </w:r>
      <w:r w:rsidR="009024E0">
        <w:rPr>
          <w:rFonts w:asciiTheme="majorBidi" w:hAnsiTheme="majorBidi" w:cstheme="majorBidi"/>
          <w:sz w:val="24"/>
          <w:szCs w:val="24"/>
        </w:rPr>
        <w:t xml:space="preserve">the shareholders and </w:t>
      </w:r>
      <w:r w:rsidR="009024E0">
        <w:rPr>
          <w:rFonts w:asciiTheme="majorBidi" w:hAnsiTheme="majorBidi" w:cstheme="majorBidi"/>
          <w:sz w:val="24"/>
          <w:szCs w:val="24"/>
        </w:rPr>
        <w:lastRenderedPageBreak/>
        <w:t xml:space="preserve">indicates a strong financial structure. </w:t>
      </w:r>
      <w:r w:rsidR="00557AF8">
        <w:rPr>
          <w:rFonts w:asciiTheme="majorBidi" w:hAnsiTheme="majorBidi" w:cstheme="majorBidi"/>
          <w:sz w:val="24"/>
          <w:szCs w:val="24"/>
        </w:rPr>
        <w:t xml:space="preserve">The mean measurement in tables </w:t>
      </w:r>
      <w:r w:rsidR="009024E0">
        <w:rPr>
          <w:rFonts w:asciiTheme="majorBidi" w:hAnsiTheme="majorBidi" w:cstheme="majorBidi"/>
          <w:sz w:val="24"/>
          <w:szCs w:val="24"/>
        </w:rPr>
        <w:t>5 and 6 sho</w:t>
      </w:r>
      <w:r w:rsidR="00557AF8">
        <w:rPr>
          <w:rFonts w:asciiTheme="majorBidi" w:hAnsiTheme="majorBidi" w:cstheme="majorBidi"/>
          <w:sz w:val="24"/>
          <w:szCs w:val="24"/>
        </w:rPr>
        <w:t>w a similar level of financing the total assets by both banks</w:t>
      </w:r>
      <w:r w:rsidR="009024E0">
        <w:rPr>
          <w:rFonts w:asciiTheme="majorBidi" w:hAnsiTheme="majorBidi" w:cstheme="majorBidi"/>
          <w:sz w:val="24"/>
          <w:szCs w:val="24"/>
        </w:rPr>
        <w:t xml:space="preserve">. The percentage </w:t>
      </w:r>
      <w:r w:rsidR="00557AF8">
        <w:rPr>
          <w:rFonts w:asciiTheme="majorBidi" w:hAnsiTheme="majorBidi" w:cstheme="majorBidi"/>
          <w:sz w:val="24"/>
          <w:szCs w:val="24"/>
        </w:rPr>
        <w:t xml:space="preserve">of shareholders’ equity </w:t>
      </w:r>
      <w:r w:rsidR="009024E0">
        <w:rPr>
          <w:rFonts w:asciiTheme="majorBidi" w:hAnsiTheme="majorBidi" w:cstheme="majorBidi"/>
          <w:sz w:val="24"/>
          <w:szCs w:val="24"/>
        </w:rPr>
        <w:t>to total</w:t>
      </w:r>
      <w:r w:rsidR="00557AF8">
        <w:rPr>
          <w:rFonts w:asciiTheme="majorBidi" w:hAnsiTheme="majorBidi" w:cstheme="majorBidi"/>
          <w:sz w:val="24"/>
          <w:szCs w:val="24"/>
        </w:rPr>
        <w:t xml:space="preserve"> assets is very low. This indicates </w:t>
      </w:r>
      <w:r w:rsidR="0037779E">
        <w:rPr>
          <w:rFonts w:asciiTheme="majorBidi" w:hAnsiTheme="majorBidi" w:cstheme="majorBidi"/>
          <w:sz w:val="24"/>
          <w:szCs w:val="24"/>
        </w:rPr>
        <w:t>that both banks are depending</w:t>
      </w:r>
      <w:r w:rsidR="00557AF8">
        <w:rPr>
          <w:rFonts w:asciiTheme="majorBidi" w:hAnsiTheme="majorBidi" w:cstheme="majorBidi"/>
          <w:sz w:val="24"/>
          <w:szCs w:val="24"/>
        </w:rPr>
        <w:t xml:space="preserve"> on outsources finance, mainly the customers’ deposits in financing their assets. The coefficient of variation for Dubai </w:t>
      </w:r>
      <w:r w:rsidR="00DF23BF">
        <w:rPr>
          <w:rFonts w:asciiTheme="majorBidi" w:hAnsiTheme="majorBidi" w:cstheme="majorBidi"/>
          <w:sz w:val="24"/>
          <w:szCs w:val="24"/>
        </w:rPr>
        <w:t xml:space="preserve">Islamic </w:t>
      </w:r>
      <w:r w:rsidR="00557AF8">
        <w:rPr>
          <w:rFonts w:asciiTheme="majorBidi" w:hAnsiTheme="majorBidi" w:cstheme="majorBidi"/>
          <w:sz w:val="24"/>
          <w:szCs w:val="24"/>
        </w:rPr>
        <w:t>bank is 23.37</w:t>
      </w:r>
      <w:r w:rsidR="003F4097">
        <w:rPr>
          <w:rFonts w:asciiTheme="majorBidi" w:hAnsiTheme="majorBidi" w:cstheme="majorBidi"/>
          <w:sz w:val="24"/>
          <w:szCs w:val="24"/>
        </w:rPr>
        <w:t>,</w:t>
      </w:r>
      <w:r w:rsidR="00557AF8">
        <w:rPr>
          <w:rFonts w:asciiTheme="majorBidi" w:hAnsiTheme="majorBidi" w:cstheme="majorBidi"/>
          <w:sz w:val="24"/>
          <w:szCs w:val="24"/>
        </w:rPr>
        <w:t xml:space="preserve"> while it is 26.32 </w:t>
      </w:r>
      <w:r w:rsidR="00002F08">
        <w:rPr>
          <w:rFonts w:asciiTheme="majorBidi" w:hAnsiTheme="majorBidi" w:cstheme="majorBidi"/>
          <w:sz w:val="24"/>
          <w:szCs w:val="24"/>
        </w:rPr>
        <w:t xml:space="preserve">for Abu Dhabi Islamic bank </w:t>
      </w:r>
      <w:r w:rsidR="00557AF8">
        <w:rPr>
          <w:rFonts w:asciiTheme="majorBidi" w:hAnsiTheme="majorBidi" w:cstheme="majorBidi"/>
          <w:sz w:val="24"/>
          <w:szCs w:val="24"/>
        </w:rPr>
        <w:t xml:space="preserve">which </w:t>
      </w:r>
      <w:r w:rsidR="003F4097">
        <w:rPr>
          <w:rFonts w:asciiTheme="majorBidi" w:hAnsiTheme="majorBidi" w:cstheme="majorBidi"/>
          <w:sz w:val="24"/>
          <w:szCs w:val="24"/>
        </w:rPr>
        <w:t>indicate</w:t>
      </w:r>
      <w:r w:rsidR="00002F08">
        <w:rPr>
          <w:rFonts w:asciiTheme="majorBidi" w:hAnsiTheme="majorBidi" w:cstheme="majorBidi"/>
          <w:sz w:val="24"/>
          <w:szCs w:val="24"/>
        </w:rPr>
        <w:t xml:space="preserve">s a better </w:t>
      </w:r>
      <w:r w:rsidR="0037779E">
        <w:rPr>
          <w:rFonts w:asciiTheme="majorBidi" w:hAnsiTheme="majorBidi" w:cstheme="majorBidi"/>
          <w:sz w:val="24"/>
          <w:szCs w:val="24"/>
        </w:rPr>
        <w:t>level of</w:t>
      </w:r>
      <w:r w:rsidR="00557AF8">
        <w:rPr>
          <w:rFonts w:asciiTheme="majorBidi" w:hAnsiTheme="majorBidi" w:cstheme="majorBidi"/>
          <w:sz w:val="24"/>
          <w:szCs w:val="24"/>
        </w:rPr>
        <w:t xml:space="preserve"> stability of this ratio for Dubai bank.</w:t>
      </w:r>
    </w:p>
    <w:p w:rsidR="00B74BFE" w:rsidRDefault="00B74BFE" w:rsidP="002E0AC1">
      <w:pPr>
        <w:rPr>
          <w:b/>
          <w:bCs/>
          <w:sz w:val="24"/>
          <w:szCs w:val="24"/>
        </w:rPr>
      </w:pPr>
    </w:p>
    <w:p w:rsidR="00B74BFE" w:rsidRDefault="00B74BFE" w:rsidP="002E0AC1">
      <w:pPr>
        <w:rPr>
          <w:b/>
          <w:bCs/>
          <w:sz w:val="24"/>
          <w:szCs w:val="24"/>
        </w:rPr>
      </w:pPr>
    </w:p>
    <w:p w:rsidR="00B74BFE" w:rsidRDefault="00B74BFE" w:rsidP="002E0AC1">
      <w:pPr>
        <w:rPr>
          <w:b/>
          <w:bCs/>
          <w:sz w:val="24"/>
          <w:szCs w:val="24"/>
        </w:rPr>
      </w:pPr>
    </w:p>
    <w:p w:rsidR="001A2277" w:rsidRDefault="001A2277" w:rsidP="002E0AC1">
      <w:pPr>
        <w:rPr>
          <w:b/>
          <w:bCs/>
          <w:sz w:val="24"/>
          <w:szCs w:val="24"/>
        </w:rPr>
      </w:pPr>
    </w:p>
    <w:p w:rsidR="001A2277" w:rsidRDefault="001A2277" w:rsidP="002E0AC1">
      <w:pPr>
        <w:rPr>
          <w:b/>
          <w:bCs/>
          <w:sz w:val="24"/>
          <w:szCs w:val="24"/>
        </w:rPr>
      </w:pPr>
    </w:p>
    <w:p w:rsidR="00FC3766" w:rsidRPr="00FC3766" w:rsidRDefault="00B74BFE" w:rsidP="002E0AC1">
      <w:pPr>
        <w:rPr>
          <w:b/>
          <w:bCs/>
          <w:sz w:val="24"/>
          <w:szCs w:val="24"/>
        </w:rPr>
      </w:pPr>
      <w:r>
        <w:rPr>
          <w:b/>
          <w:bCs/>
          <w:sz w:val="24"/>
          <w:szCs w:val="24"/>
        </w:rPr>
        <w:t xml:space="preserve">Table 5: </w:t>
      </w:r>
      <w:r w:rsidR="00036D76">
        <w:rPr>
          <w:b/>
          <w:bCs/>
          <w:sz w:val="24"/>
          <w:szCs w:val="24"/>
        </w:rPr>
        <w:t>Capital Stru</w:t>
      </w:r>
      <w:r w:rsidR="00FC3766" w:rsidRPr="00FC3766">
        <w:rPr>
          <w:b/>
          <w:bCs/>
          <w:sz w:val="24"/>
          <w:szCs w:val="24"/>
        </w:rPr>
        <w:t>cture Indicators</w:t>
      </w:r>
      <w:r w:rsidR="00FC3766">
        <w:rPr>
          <w:b/>
          <w:bCs/>
          <w:sz w:val="24"/>
          <w:szCs w:val="24"/>
        </w:rPr>
        <w:t>: Dubai Islamic Bank</w:t>
      </w:r>
    </w:p>
    <w:tbl>
      <w:tblPr>
        <w:tblStyle w:val="TableGrid"/>
        <w:tblW w:w="0" w:type="auto"/>
        <w:tblLook w:val="04A0" w:firstRow="1" w:lastRow="0" w:firstColumn="1" w:lastColumn="0" w:noHBand="0" w:noVBand="1"/>
      </w:tblPr>
      <w:tblGrid>
        <w:gridCol w:w="1818"/>
        <w:gridCol w:w="720"/>
        <w:gridCol w:w="810"/>
        <w:gridCol w:w="810"/>
        <w:gridCol w:w="810"/>
        <w:gridCol w:w="779"/>
        <w:gridCol w:w="830"/>
        <w:gridCol w:w="1081"/>
        <w:gridCol w:w="1186"/>
      </w:tblGrid>
      <w:tr w:rsidR="003117EB" w:rsidTr="00C11466">
        <w:tc>
          <w:tcPr>
            <w:tcW w:w="1818" w:type="dxa"/>
          </w:tcPr>
          <w:p w:rsidR="003117EB" w:rsidRDefault="006054B9" w:rsidP="0034692C">
            <w:pPr>
              <w:jc w:val="center"/>
            </w:pPr>
            <w:r>
              <w:t>Indicators</w:t>
            </w:r>
            <w:r w:rsidR="003117EB">
              <w:t xml:space="preserve"> </w:t>
            </w:r>
            <w:r w:rsidR="008B2D5A">
              <w:t>%</w:t>
            </w:r>
          </w:p>
        </w:tc>
        <w:tc>
          <w:tcPr>
            <w:tcW w:w="720" w:type="dxa"/>
          </w:tcPr>
          <w:p w:rsidR="003117EB" w:rsidRDefault="003117EB" w:rsidP="0034692C">
            <w:pPr>
              <w:jc w:val="center"/>
            </w:pPr>
            <w:r>
              <w:t>2003</w:t>
            </w:r>
          </w:p>
        </w:tc>
        <w:tc>
          <w:tcPr>
            <w:tcW w:w="810" w:type="dxa"/>
          </w:tcPr>
          <w:p w:rsidR="003117EB" w:rsidRDefault="003117EB" w:rsidP="0034692C">
            <w:pPr>
              <w:jc w:val="center"/>
            </w:pPr>
            <w:r>
              <w:t>2004</w:t>
            </w:r>
          </w:p>
        </w:tc>
        <w:tc>
          <w:tcPr>
            <w:tcW w:w="810" w:type="dxa"/>
          </w:tcPr>
          <w:p w:rsidR="003117EB" w:rsidRDefault="003117EB" w:rsidP="0034692C">
            <w:pPr>
              <w:jc w:val="center"/>
            </w:pPr>
            <w:r>
              <w:t>2005</w:t>
            </w:r>
          </w:p>
        </w:tc>
        <w:tc>
          <w:tcPr>
            <w:tcW w:w="810" w:type="dxa"/>
          </w:tcPr>
          <w:p w:rsidR="003117EB" w:rsidRDefault="003117EB" w:rsidP="0034692C">
            <w:pPr>
              <w:jc w:val="center"/>
            </w:pPr>
            <w:r>
              <w:t>2006</w:t>
            </w:r>
          </w:p>
        </w:tc>
        <w:tc>
          <w:tcPr>
            <w:tcW w:w="779" w:type="dxa"/>
          </w:tcPr>
          <w:p w:rsidR="003117EB" w:rsidRDefault="003117EB" w:rsidP="0034692C">
            <w:pPr>
              <w:jc w:val="center"/>
            </w:pPr>
            <w:r>
              <w:t>2007</w:t>
            </w:r>
          </w:p>
        </w:tc>
        <w:tc>
          <w:tcPr>
            <w:tcW w:w="735" w:type="dxa"/>
          </w:tcPr>
          <w:p w:rsidR="003117EB" w:rsidRDefault="003117EB" w:rsidP="0034692C">
            <w:pPr>
              <w:jc w:val="center"/>
            </w:pPr>
            <w:r>
              <w:t>Mean</w:t>
            </w:r>
          </w:p>
        </w:tc>
        <w:tc>
          <w:tcPr>
            <w:tcW w:w="1081" w:type="dxa"/>
          </w:tcPr>
          <w:p w:rsidR="003117EB" w:rsidRDefault="003117EB" w:rsidP="0034692C">
            <w:pPr>
              <w:jc w:val="center"/>
            </w:pPr>
            <w:r>
              <w:t>Standard Deviation</w:t>
            </w:r>
          </w:p>
        </w:tc>
        <w:tc>
          <w:tcPr>
            <w:tcW w:w="1186" w:type="dxa"/>
          </w:tcPr>
          <w:p w:rsidR="003117EB" w:rsidRDefault="003117EB" w:rsidP="0034692C">
            <w:pPr>
              <w:jc w:val="center"/>
            </w:pPr>
            <w:r>
              <w:t>Coefficient of Variation</w:t>
            </w:r>
            <w:r w:rsidR="00D4276B">
              <w:t xml:space="preserve"> </w:t>
            </w:r>
            <w:r>
              <w:t xml:space="preserve"> </w:t>
            </w:r>
          </w:p>
        </w:tc>
      </w:tr>
      <w:tr w:rsidR="003117EB" w:rsidTr="00C11466">
        <w:tc>
          <w:tcPr>
            <w:tcW w:w="1818" w:type="dxa"/>
          </w:tcPr>
          <w:p w:rsidR="003117EB" w:rsidRDefault="003117EB" w:rsidP="00FC3766">
            <w:pPr>
              <w:jc w:val="center"/>
            </w:pPr>
            <w:r>
              <w:t>Customer</w:t>
            </w:r>
            <w:r w:rsidR="00CB7D45">
              <w:t xml:space="preserve">s’ </w:t>
            </w:r>
            <w:r>
              <w:t>Deposits To Total Assets %</w:t>
            </w:r>
          </w:p>
        </w:tc>
        <w:tc>
          <w:tcPr>
            <w:tcW w:w="720" w:type="dxa"/>
          </w:tcPr>
          <w:p w:rsidR="003117EB" w:rsidRDefault="003117EB" w:rsidP="0034692C">
            <w:pPr>
              <w:jc w:val="center"/>
            </w:pPr>
            <w:r>
              <w:t>87.29</w:t>
            </w:r>
          </w:p>
        </w:tc>
        <w:tc>
          <w:tcPr>
            <w:tcW w:w="810" w:type="dxa"/>
          </w:tcPr>
          <w:p w:rsidR="003117EB" w:rsidRDefault="003117EB" w:rsidP="0034692C">
            <w:pPr>
              <w:jc w:val="center"/>
            </w:pPr>
            <w:r>
              <w:t>81.47</w:t>
            </w:r>
          </w:p>
        </w:tc>
        <w:tc>
          <w:tcPr>
            <w:tcW w:w="810" w:type="dxa"/>
          </w:tcPr>
          <w:p w:rsidR="003117EB" w:rsidRDefault="003117EB" w:rsidP="0034692C">
            <w:pPr>
              <w:jc w:val="center"/>
            </w:pPr>
            <w:r>
              <w:t>77.66</w:t>
            </w:r>
          </w:p>
        </w:tc>
        <w:tc>
          <w:tcPr>
            <w:tcW w:w="810" w:type="dxa"/>
          </w:tcPr>
          <w:p w:rsidR="003117EB" w:rsidRDefault="003117EB" w:rsidP="0034692C">
            <w:pPr>
              <w:jc w:val="center"/>
            </w:pPr>
            <w:r>
              <w:t>74.08</w:t>
            </w:r>
          </w:p>
        </w:tc>
        <w:tc>
          <w:tcPr>
            <w:tcW w:w="779" w:type="dxa"/>
          </w:tcPr>
          <w:p w:rsidR="003117EB" w:rsidRDefault="003117EB" w:rsidP="0034692C">
            <w:pPr>
              <w:jc w:val="center"/>
            </w:pPr>
            <w:r>
              <w:t>77.64</w:t>
            </w:r>
          </w:p>
        </w:tc>
        <w:tc>
          <w:tcPr>
            <w:tcW w:w="735" w:type="dxa"/>
          </w:tcPr>
          <w:p w:rsidR="003117EB" w:rsidRDefault="0052498F" w:rsidP="0034692C">
            <w:pPr>
              <w:jc w:val="center"/>
            </w:pPr>
            <w:r>
              <w:t>79.628</w:t>
            </w:r>
          </w:p>
        </w:tc>
        <w:tc>
          <w:tcPr>
            <w:tcW w:w="1081" w:type="dxa"/>
          </w:tcPr>
          <w:p w:rsidR="003117EB" w:rsidRDefault="0052498F" w:rsidP="0034692C">
            <w:pPr>
              <w:jc w:val="center"/>
            </w:pPr>
            <w:r>
              <w:t>5.017</w:t>
            </w:r>
          </w:p>
        </w:tc>
        <w:tc>
          <w:tcPr>
            <w:tcW w:w="1186" w:type="dxa"/>
          </w:tcPr>
          <w:p w:rsidR="003117EB" w:rsidRDefault="0052498F" w:rsidP="0034692C">
            <w:pPr>
              <w:jc w:val="center"/>
            </w:pPr>
            <w:r>
              <w:t>6.49</w:t>
            </w:r>
            <w:r w:rsidR="00D4276B">
              <w:t xml:space="preserve"> %</w:t>
            </w:r>
          </w:p>
        </w:tc>
      </w:tr>
      <w:tr w:rsidR="003117EB" w:rsidTr="00C11466">
        <w:tc>
          <w:tcPr>
            <w:tcW w:w="1818" w:type="dxa"/>
          </w:tcPr>
          <w:p w:rsidR="003117EB" w:rsidRDefault="00CE18A4" w:rsidP="0034692C">
            <w:pPr>
              <w:jc w:val="center"/>
            </w:pPr>
            <w:r>
              <w:t>Total Liabilities</w:t>
            </w:r>
            <w:r w:rsidR="001A0F8F">
              <w:t xml:space="preserve"> to</w:t>
            </w:r>
            <w:r w:rsidR="00C60685">
              <w:t xml:space="preserve"> Total Assets</w:t>
            </w:r>
            <w:r w:rsidR="001A0F8F">
              <w:t xml:space="preserve"> </w:t>
            </w:r>
          </w:p>
        </w:tc>
        <w:tc>
          <w:tcPr>
            <w:tcW w:w="720" w:type="dxa"/>
          </w:tcPr>
          <w:p w:rsidR="003117EB" w:rsidRDefault="00F4052A" w:rsidP="0034692C">
            <w:pPr>
              <w:jc w:val="center"/>
            </w:pPr>
            <w:r>
              <w:t>92.54</w:t>
            </w:r>
          </w:p>
        </w:tc>
        <w:tc>
          <w:tcPr>
            <w:tcW w:w="810" w:type="dxa"/>
          </w:tcPr>
          <w:p w:rsidR="003117EB" w:rsidRDefault="003436A0" w:rsidP="0034692C">
            <w:pPr>
              <w:jc w:val="center"/>
            </w:pPr>
            <w:r>
              <w:t>90.24</w:t>
            </w:r>
          </w:p>
        </w:tc>
        <w:tc>
          <w:tcPr>
            <w:tcW w:w="810" w:type="dxa"/>
          </w:tcPr>
          <w:p w:rsidR="003117EB" w:rsidRDefault="003436A0" w:rsidP="0034692C">
            <w:pPr>
              <w:jc w:val="center"/>
            </w:pPr>
            <w:r>
              <w:t>91.07</w:t>
            </w:r>
          </w:p>
        </w:tc>
        <w:tc>
          <w:tcPr>
            <w:tcW w:w="810" w:type="dxa"/>
          </w:tcPr>
          <w:p w:rsidR="003117EB" w:rsidRDefault="0027268C" w:rsidP="0034692C">
            <w:pPr>
              <w:jc w:val="center"/>
            </w:pPr>
            <w:r>
              <w:t>86.75</w:t>
            </w:r>
          </w:p>
        </w:tc>
        <w:tc>
          <w:tcPr>
            <w:tcW w:w="779" w:type="dxa"/>
          </w:tcPr>
          <w:p w:rsidR="003117EB" w:rsidRDefault="0027268C" w:rsidP="0034692C">
            <w:pPr>
              <w:jc w:val="center"/>
            </w:pPr>
            <w:r>
              <w:t>87.56</w:t>
            </w:r>
          </w:p>
        </w:tc>
        <w:tc>
          <w:tcPr>
            <w:tcW w:w="735" w:type="dxa"/>
          </w:tcPr>
          <w:p w:rsidR="003117EB" w:rsidRDefault="008B2D5A" w:rsidP="0034692C">
            <w:pPr>
              <w:jc w:val="center"/>
            </w:pPr>
            <w:r>
              <w:t>89.632</w:t>
            </w:r>
          </w:p>
        </w:tc>
        <w:tc>
          <w:tcPr>
            <w:tcW w:w="1081" w:type="dxa"/>
          </w:tcPr>
          <w:p w:rsidR="003117EB" w:rsidRDefault="008B2D5A" w:rsidP="0034692C">
            <w:pPr>
              <w:jc w:val="center"/>
            </w:pPr>
            <w:r>
              <w:t>2.423</w:t>
            </w:r>
          </w:p>
        </w:tc>
        <w:tc>
          <w:tcPr>
            <w:tcW w:w="1186" w:type="dxa"/>
          </w:tcPr>
          <w:p w:rsidR="003117EB" w:rsidRDefault="008B2D5A" w:rsidP="0034692C">
            <w:pPr>
              <w:jc w:val="center"/>
            </w:pPr>
            <w:r>
              <w:t>2.70%</w:t>
            </w:r>
          </w:p>
        </w:tc>
      </w:tr>
      <w:tr w:rsidR="00247597" w:rsidTr="00C11466">
        <w:tc>
          <w:tcPr>
            <w:tcW w:w="1818" w:type="dxa"/>
          </w:tcPr>
          <w:p w:rsidR="00247597" w:rsidRDefault="00247597" w:rsidP="0034692C">
            <w:pPr>
              <w:jc w:val="center"/>
            </w:pPr>
            <w:r>
              <w:t xml:space="preserve">Shareholder’s equity to Total Assets </w:t>
            </w:r>
          </w:p>
        </w:tc>
        <w:tc>
          <w:tcPr>
            <w:tcW w:w="720" w:type="dxa"/>
          </w:tcPr>
          <w:p w:rsidR="00247597" w:rsidRDefault="00247597" w:rsidP="0034692C">
            <w:pPr>
              <w:jc w:val="center"/>
            </w:pPr>
            <w:r>
              <w:t>7.46</w:t>
            </w:r>
          </w:p>
        </w:tc>
        <w:tc>
          <w:tcPr>
            <w:tcW w:w="810" w:type="dxa"/>
          </w:tcPr>
          <w:p w:rsidR="00247597" w:rsidRDefault="00247597" w:rsidP="0034692C">
            <w:pPr>
              <w:jc w:val="center"/>
            </w:pPr>
            <w:r>
              <w:t>9.76</w:t>
            </w:r>
          </w:p>
        </w:tc>
        <w:tc>
          <w:tcPr>
            <w:tcW w:w="810" w:type="dxa"/>
          </w:tcPr>
          <w:p w:rsidR="00247597" w:rsidRDefault="00247597" w:rsidP="0034692C">
            <w:pPr>
              <w:jc w:val="center"/>
            </w:pPr>
            <w:r>
              <w:t>8.93</w:t>
            </w:r>
          </w:p>
        </w:tc>
        <w:tc>
          <w:tcPr>
            <w:tcW w:w="810" w:type="dxa"/>
          </w:tcPr>
          <w:p w:rsidR="00247597" w:rsidRDefault="00247597" w:rsidP="0034692C">
            <w:pPr>
              <w:jc w:val="center"/>
            </w:pPr>
            <w:r>
              <w:t>13.25</w:t>
            </w:r>
          </w:p>
        </w:tc>
        <w:tc>
          <w:tcPr>
            <w:tcW w:w="779" w:type="dxa"/>
          </w:tcPr>
          <w:p w:rsidR="00247597" w:rsidRDefault="00247597" w:rsidP="0034692C">
            <w:pPr>
              <w:jc w:val="center"/>
            </w:pPr>
            <w:r>
              <w:t>12.44</w:t>
            </w:r>
          </w:p>
        </w:tc>
        <w:tc>
          <w:tcPr>
            <w:tcW w:w="735" w:type="dxa"/>
          </w:tcPr>
          <w:p w:rsidR="00247597" w:rsidRDefault="0052498F" w:rsidP="0034692C">
            <w:pPr>
              <w:jc w:val="center"/>
            </w:pPr>
            <w:r>
              <w:t>10.368</w:t>
            </w:r>
          </w:p>
        </w:tc>
        <w:tc>
          <w:tcPr>
            <w:tcW w:w="1081" w:type="dxa"/>
          </w:tcPr>
          <w:p w:rsidR="00247597" w:rsidRDefault="0052498F" w:rsidP="0034692C">
            <w:pPr>
              <w:jc w:val="center"/>
            </w:pPr>
            <w:r>
              <w:t>2.423</w:t>
            </w:r>
          </w:p>
        </w:tc>
        <w:tc>
          <w:tcPr>
            <w:tcW w:w="1186" w:type="dxa"/>
          </w:tcPr>
          <w:p w:rsidR="00247597" w:rsidRDefault="0052498F" w:rsidP="0034692C">
            <w:pPr>
              <w:jc w:val="center"/>
            </w:pPr>
            <w:r>
              <w:t>23.37</w:t>
            </w:r>
            <w:r w:rsidR="00D4276B">
              <w:t xml:space="preserve"> %</w:t>
            </w:r>
          </w:p>
        </w:tc>
      </w:tr>
    </w:tbl>
    <w:p w:rsidR="001A0F8F" w:rsidRDefault="001A0F8F" w:rsidP="002E0AC1">
      <w:pPr>
        <w:rPr>
          <w:b/>
          <w:bCs/>
          <w:sz w:val="24"/>
          <w:szCs w:val="24"/>
        </w:rPr>
      </w:pPr>
    </w:p>
    <w:p w:rsidR="00FC3766" w:rsidRPr="00AF630B" w:rsidRDefault="00B74BFE" w:rsidP="002E0AC1">
      <w:pPr>
        <w:rPr>
          <w:b/>
          <w:bCs/>
          <w:sz w:val="24"/>
          <w:szCs w:val="24"/>
        </w:rPr>
      </w:pPr>
      <w:r>
        <w:rPr>
          <w:b/>
          <w:bCs/>
          <w:sz w:val="24"/>
          <w:szCs w:val="24"/>
        </w:rPr>
        <w:t xml:space="preserve">Table 6: </w:t>
      </w:r>
      <w:r w:rsidR="00C11466" w:rsidRPr="00AF630B">
        <w:rPr>
          <w:b/>
          <w:bCs/>
          <w:sz w:val="24"/>
          <w:szCs w:val="24"/>
        </w:rPr>
        <w:t>Capital Structure</w:t>
      </w:r>
      <w:r w:rsidR="00AF630B">
        <w:rPr>
          <w:b/>
          <w:bCs/>
          <w:sz w:val="24"/>
          <w:szCs w:val="24"/>
        </w:rPr>
        <w:t xml:space="preserve"> Indicators</w:t>
      </w:r>
      <w:r w:rsidR="00C11466" w:rsidRPr="00AF630B">
        <w:rPr>
          <w:b/>
          <w:bCs/>
          <w:sz w:val="24"/>
          <w:szCs w:val="24"/>
        </w:rPr>
        <w:t>: Abu Dhabi Islamic Bank</w:t>
      </w:r>
    </w:p>
    <w:tbl>
      <w:tblPr>
        <w:tblStyle w:val="TableGrid"/>
        <w:tblW w:w="0" w:type="auto"/>
        <w:tblLook w:val="04A0" w:firstRow="1" w:lastRow="0" w:firstColumn="1" w:lastColumn="0" w:noHBand="0" w:noVBand="1"/>
      </w:tblPr>
      <w:tblGrid>
        <w:gridCol w:w="1818"/>
        <w:gridCol w:w="720"/>
        <w:gridCol w:w="810"/>
        <w:gridCol w:w="810"/>
        <w:gridCol w:w="810"/>
        <w:gridCol w:w="779"/>
        <w:gridCol w:w="735"/>
        <w:gridCol w:w="1081"/>
        <w:gridCol w:w="1186"/>
      </w:tblGrid>
      <w:tr w:rsidR="003117EB" w:rsidTr="0034692C">
        <w:tc>
          <w:tcPr>
            <w:tcW w:w="1818" w:type="dxa"/>
          </w:tcPr>
          <w:p w:rsidR="003117EB" w:rsidRDefault="006054B9" w:rsidP="0034692C">
            <w:pPr>
              <w:jc w:val="center"/>
            </w:pPr>
            <w:r>
              <w:t>Indicators</w:t>
            </w:r>
            <w:r w:rsidR="003117EB">
              <w:t xml:space="preserve"> </w:t>
            </w:r>
            <w:r w:rsidR="001A0F8F">
              <w:t>%</w:t>
            </w:r>
          </w:p>
        </w:tc>
        <w:tc>
          <w:tcPr>
            <w:tcW w:w="720" w:type="dxa"/>
          </w:tcPr>
          <w:p w:rsidR="003117EB" w:rsidRDefault="003117EB" w:rsidP="0034692C">
            <w:pPr>
              <w:jc w:val="center"/>
            </w:pPr>
            <w:r>
              <w:t>2003</w:t>
            </w:r>
          </w:p>
        </w:tc>
        <w:tc>
          <w:tcPr>
            <w:tcW w:w="810" w:type="dxa"/>
          </w:tcPr>
          <w:p w:rsidR="003117EB" w:rsidRDefault="003117EB" w:rsidP="0034692C">
            <w:pPr>
              <w:jc w:val="center"/>
            </w:pPr>
            <w:r>
              <w:t>2004</w:t>
            </w:r>
          </w:p>
        </w:tc>
        <w:tc>
          <w:tcPr>
            <w:tcW w:w="810" w:type="dxa"/>
          </w:tcPr>
          <w:p w:rsidR="003117EB" w:rsidRDefault="003117EB" w:rsidP="0034692C">
            <w:pPr>
              <w:jc w:val="center"/>
            </w:pPr>
            <w:r>
              <w:t>2005</w:t>
            </w:r>
          </w:p>
        </w:tc>
        <w:tc>
          <w:tcPr>
            <w:tcW w:w="810" w:type="dxa"/>
          </w:tcPr>
          <w:p w:rsidR="003117EB" w:rsidRDefault="003117EB" w:rsidP="0034692C">
            <w:pPr>
              <w:jc w:val="center"/>
            </w:pPr>
            <w:r>
              <w:t>2006</w:t>
            </w:r>
          </w:p>
        </w:tc>
        <w:tc>
          <w:tcPr>
            <w:tcW w:w="779" w:type="dxa"/>
          </w:tcPr>
          <w:p w:rsidR="003117EB" w:rsidRDefault="003117EB" w:rsidP="0034692C">
            <w:pPr>
              <w:jc w:val="center"/>
            </w:pPr>
            <w:r>
              <w:t>2007</w:t>
            </w:r>
          </w:p>
        </w:tc>
        <w:tc>
          <w:tcPr>
            <w:tcW w:w="735" w:type="dxa"/>
          </w:tcPr>
          <w:p w:rsidR="003117EB" w:rsidRDefault="003117EB" w:rsidP="0034692C">
            <w:pPr>
              <w:jc w:val="center"/>
            </w:pPr>
            <w:r>
              <w:t>Mean</w:t>
            </w:r>
          </w:p>
        </w:tc>
        <w:tc>
          <w:tcPr>
            <w:tcW w:w="1081" w:type="dxa"/>
          </w:tcPr>
          <w:p w:rsidR="003117EB" w:rsidRDefault="003117EB" w:rsidP="0034692C">
            <w:pPr>
              <w:jc w:val="center"/>
            </w:pPr>
            <w:r>
              <w:t>Standard Deviation</w:t>
            </w:r>
          </w:p>
        </w:tc>
        <w:tc>
          <w:tcPr>
            <w:tcW w:w="1186" w:type="dxa"/>
          </w:tcPr>
          <w:p w:rsidR="003117EB" w:rsidRDefault="003117EB" w:rsidP="0034692C">
            <w:pPr>
              <w:jc w:val="center"/>
            </w:pPr>
            <w:r>
              <w:t xml:space="preserve">Coefficient of Variation </w:t>
            </w:r>
          </w:p>
        </w:tc>
      </w:tr>
      <w:tr w:rsidR="003117EB" w:rsidTr="0034692C">
        <w:tc>
          <w:tcPr>
            <w:tcW w:w="1818" w:type="dxa"/>
          </w:tcPr>
          <w:p w:rsidR="003117EB" w:rsidRDefault="003117EB" w:rsidP="0034692C">
            <w:pPr>
              <w:jc w:val="center"/>
            </w:pPr>
            <w:r>
              <w:t>Customer</w:t>
            </w:r>
            <w:r w:rsidR="00CB7D45">
              <w:t>s’</w:t>
            </w:r>
            <w:r>
              <w:t xml:space="preserve"> Deposits To Total </w:t>
            </w:r>
            <w:r w:rsidR="001A0F8F">
              <w:t>Assets</w:t>
            </w:r>
          </w:p>
        </w:tc>
        <w:tc>
          <w:tcPr>
            <w:tcW w:w="720" w:type="dxa"/>
          </w:tcPr>
          <w:p w:rsidR="003117EB" w:rsidRDefault="00AF630B" w:rsidP="0034692C">
            <w:pPr>
              <w:jc w:val="center"/>
            </w:pPr>
            <w:r>
              <w:t>66.41</w:t>
            </w:r>
          </w:p>
        </w:tc>
        <w:tc>
          <w:tcPr>
            <w:tcW w:w="810" w:type="dxa"/>
          </w:tcPr>
          <w:p w:rsidR="003117EB" w:rsidRDefault="00AF630B" w:rsidP="0034692C">
            <w:pPr>
              <w:jc w:val="center"/>
            </w:pPr>
            <w:r>
              <w:t>75.42</w:t>
            </w:r>
          </w:p>
        </w:tc>
        <w:tc>
          <w:tcPr>
            <w:tcW w:w="810" w:type="dxa"/>
          </w:tcPr>
          <w:p w:rsidR="003117EB" w:rsidRDefault="00DA6CB7" w:rsidP="00F4088E">
            <w:pPr>
              <w:jc w:val="center"/>
            </w:pPr>
            <w:r>
              <w:t>81.26</w:t>
            </w:r>
          </w:p>
        </w:tc>
        <w:tc>
          <w:tcPr>
            <w:tcW w:w="810" w:type="dxa"/>
          </w:tcPr>
          <w:p w:rsidR="003117EB" w:rsidRDefault="00DA6CB7" w:rsidP="0034692C">
            <w:pPr>
              <w:jc w:val="center"/>
            </w:pPr>
            <w:r>
              <w:t>65.64</w:t>
            </w:r>
          </w:p>
        </w:tc>
        <w:tc>
          <w:tcPr>
            <w:tcW w:w="779" w:type="dxa"/>
          </w:tcPr>
          <w:p w:rsidR="003117EB" w:rsidRDefault="00DA6CB7" w:rsidP="0034692C">
            <w:pPr>
              <w:jc w:val="center"/>
            </w:pPr>
            <w:r>
              <w:t>67.27</w:t>
            </w:r>
          </w:p>
        </w:tc>
        <w:tc>
          <w:tcPr>
            <w:tcW w:w="735" w:type="dxa"/>
          </w:tcPr>
          <w:p w:rsidR="003117EB" w:rsidRDefault="0052498F" w:rsidP="0034692C">
            <w:pPr>
              <w:jc w:val="center"/>
            </w:pPr>
            <w:r>
              <w:t>71.20</w:t>
            </w:r>
          </w:p>
        </w:tc>
        <w:tc>
          <w:tcPr>
            <w:tcW w:w="1081" w:type="dxa"/>
          </w:tcPr>
          <w:p w:rsidR="003117EB" w:rsidRDefault="0052498F" w:rsidP="0034692C">
            <w:pPr>
              <w:jc w:val="center"/>
            </w:pPr>
            <w:r>
              <w:t>6.86</w:t>
            </w:r>
          </w:p>
        </w:tc>
        <w:tc>
          <w:tcPr>
            <w:tcW w:w="1186" w:type="dxa"/>
          </w:tcPr>
          <w:p w:rsidR="003117EB" w:rsidRDefault="0052498F" w:rsidP="0034692C">
            <w:pPr>
              <w:jc w:val="center"/>
            </w:pPr>
            <w:r>
              <w:t>9.63</w:t>
            </w:r>
            <w:r w:rsidR="001A0F8F">
              <w:t xml:space="preserve"> </w:t>
            </w:r>
          </w:p>
        </w:tc>
      </w:tr>
      <w:tr w:rsidR="003117EB" w:rsidTr="0034692C">
        <w:tc>
          <w:tcPr>
            <w:tcW w:w="1818" w:type="dxa"/>
          </w:tcPr>
          <w:p w:rsidR="003117EB" w:rsidRDefault="001A0F8F" w:rsidP="0034692C">
            <w:pPr>
              <w:jc w:val="center"/>
            </w:pPr>
            <w:r>
              <w:t>Total Liabilities to Total Assets</w:t>
            </w:r>
          </w:p>
        </w:tc>
        <w:tc>
          <w:tcPr>
            <w:tcW w:w="720" w:type="dxa"/>
          </w:tcPr>
          <w:p w:rsidR="003117EB" w:rsidRDefault="00F4052A" w:rsidP="0034692C">
            <w:pPr>
              <w:jc w:val="center"/>
            </w:pPr>
            <w:r>
              <w:t>84.81</w:t>
            </w:r>
          </w:p>
        </w:tc>
        <w:tc>
          <w:tcPr>
            <w:tcW w:w="810" w:type="dxa"/>
          </w:tcPr>
          <w:p w:rsidR="003117EB" w:rsidRDefault="00F4052A" w:rsidP="0034692C">
            <w:pPr>
              <w:jc w:val="center"/>
            </w:pPr>
            <w:r>
              <w:t>88.13</w:t>
            </w:r>
          </w:p>
        </w:tc>
        <w:tc>
          <w:tcPr>
            <w:tcW w:w="810" w:type="dxa"/>
          </w:tcPr>
          <w:p w:rsidR="003117EB" w:rsidRDefault="001A0F8F" w:rsidP="0034692C">
            <w:pPr>
              <w:jc w:val="center"/>
            </w:pPr>
            <w:r>
              <w:t>90.92</w:t>
            </w:r>
          </w:p>
        </w:tc>
        <w:tc>
          <w:tcPr>
            <w:tcW w:w="810" w:type="dxa"/>
          </w:tcPr>
          <w:p w:rsidR="003117EB" w:rsidRDefault="001A0F8F" w:rsidP="0034692C">
            <w:pPr>
              <w:jc w:val="center"/>
            </w:pPr>
            <w:r>
              <w:t>92.36</w:t>
            </w:r>
          </w:p>
        </w:tc>
        <w:tc>
          <w:tcPr>
            <w:tcW w:w="779" w:type="dxa"/>
          </w:tcPr>
          <w:p w:rsidR="003117EB" w:rsidRDefault="001A0F8F" w:rsidP="0034692C">
            <w:pPr>
              <w:jc w:val="center"/>
            </w:pPr>
            <w:r>
              <w:t>87.70</w:t>
            </w:r>
          </w:p>
        </w:tc>
        <w:tc>
          <w:tcPr>
            <w:tcW w:w="735" w:type="dxa"/>
          </w:tcPr>
          <w:p w:rsidR="003117EB" w:rsidRDefault="008B2D5A" w:rsidP="0034692C">
            <w:pPr>
              <w:jc w:val="center"/>
            </w:pPr>
            <w:r>
              <w:t>88.75</w:t>
            </w:r>
          </w:p>
        </w:tc>
        <w:tc>
          <w:tcPr>
            <w:tcW w:w="1081" w:type="dxa"/>
          </w:tcPr>
          <w:p w:rsidR="003117EB" w:rsidRDefault="008B2D5A" w:rsidP="0034692C">
            <w:pPr>
              <w:jc w:val="center"/>
            </w:pPr>
            <w:r>
              <w:t>2.95</w:t>
            </w:r>
          </w:p>
        </w:tc>
        <w:tc>
          <w:tcPr>
            <w:tcW w:w="1186" w:type="dxa"/>
          </w:tcPr>
          <w:p w:rsidR="003117EB" w:rsidRDefault="008B2D5A" w:rsidP="0034692C">
            <w:pPr>
              <w:jc w:val="center"/>
            </w:pPr>
            <w:r>
              <w:t>3.32</w:t>
            </w:r>
          </w:p>
        </w:tc>
      </w:tr>
      <w:tr w:rsidR="003D135F" w:rsidTr="0034692C">
        <w:tc>
          <w:tcPr>
            <w:tcW w:w="1818" w:type="dxa"/>
          </w:tcPr>
          <w:p w:rsidR="003D135F" w:rsidRDefault="003D135F" w:rsidP="0034692C">
            <w:pPr>
              <w:jc w:val="center"/>
            </w:pPr>
            <w:r>
              <w:t xml:space="preserve">Shareholder’s equity to Total Assets </w:t>
            </w:r>
          </w:p>
        </w:tc>
        <w:tc>
          <w:tcPr>
            <w:tcW w:w="720" w:type="dxa"/>
          </w:tcPr>
          <w:p w:rsidR="003D135F" w:rsidRDefault="003D135F" w:rsidP="0034692C">
            <w:pPr>
              <w:jc w:val="center"/>
            </w:pPr>
            <w:r>
              <w:t>15.19</w:t>
            </w:r>
          </w:p>
        </w:tc>
        <w:tc>
          <w:tcPr>
            <w:tcW w:w="810" w:type="dxa"/>
          </w:tcPr>
          <w:p w:rsidR="003D135F" w:rsidRDefault="003D135F" w:rsidP="0034692C">
            <w:pPr>
              <w:jc w:val="center"/>
            </w:pPr>
            <w:r>
              <w:t>11.87</w:t>
            </w:r>
          </w:p>
        </w:tc>
        <w:tc>
          <w:tcPr>
            <w:tcW w:w="810" w:type="dxa"/>
          </w:tcPr>
          <w:p w:rsidR="003D135F" w:rsidRDefault="003D135F" w:rsidP="0034692C">
            <w:pPr>
              <w:jc w:val="center"/>
            </w:pPr>
            <w:r>
              <w:t>9.08</w:t>
            </w:r>
          </w:p>
        </w:tc>
        <w:tc>
          <w:tcPr>
            <w:tcW w:w="810" w:type="dxa"/>
          </w:tcPr>
          <w:p w:rsidR="003D135F" w:rsidRDefault="001A0F8F" w:rsidP="0034692C">
            <w:pPr>
              <w:jc w:val="center"/>
            </w:pPr>
            <w:r>
              <w:t>7.64</w:t>
            </w:r>
          </w:p>
        </w:tc>
        <w:tc>
          <w:tcPr>
            <w:tcW w:w="779" w:type="dxa"/>
          </w:tcPr>
          <w:p w:rsidR="003D135F" w:rsidRDefault="003D135F" w:rsidP="0034692C">
            <w:pPr>
              <w:jc w:val="center"/>
            </w:pPr>
            <w:r>
              <w:t>12.30</w:t>
            </w:r>
          </w:p>
        </w:tc>
        <w:tc>
          <w:tcPr>
            <w:tcW w:w="735" w:type="dxa"/>
          </w:tcPr>
          <w:p w:rsidR="003D135F" w:rsidRDefault="0052498F" w:rsidP="0034692C">
            <w:pPr>
              <w:jc w:val="center"/>
            </w:pPr>
            <w:r>
              <w:t>11.21</w:t>
            </w:r>
          </w:p>
        </w:tc>
        <w:tc>
          <w:tcPr>
            <w:tcW w:w="1081" w:type="dxa"/>
          </w:tcPr>
          <w:p w:rsidR="003D135F" w:rsidRDefault="0052498F" w:rsidP="0034692C">
            <w:pPr>
              <w:jc w:val="center"/>
            </w:pPr>
            <w:r>
              <w:t>2.95</w:t>
            </w:r>
          </w:p>
        </w:tc>
        <w:tc>
          <w:tcPr>
            <w:tcW w:w="1186" w:type="dxa"/>
          </w:tcPr>
          <w:p w:rsidR="003D135F" w:rsidRDefault="0052498F" w:rsidP="0034692C">
            <w:pPr>
              <w:jc w:val="center"/>
            </w:pPr>
            <w:r>
              <w:t>26.32</w:t>
            </w:r>
          </w:p>
        </w:tc>
      </w:tr>
    </w:tbl>
    <w:p w:rsidR="00254328" w:rsidRDefault="00254328" w:rsidP="00254328"/>
    <w:p w:rsidR="00834ABB" w:rsidRDefault="00834ABB" w:rsidP="004D6505">
      <w:pPr>
        <w:rPr>
          <w:rFonts w:asciiTheme="majorBidi" w:hAnsiTheme="majorBidi" w:cstheme="majorBidi"/>
          <w:b/>
          <w:bCs/>
          <w:sz w:val="28"/>
          <w:szCs w:val="28"/>
        </w:rPr>
      </w:pPr>
    </w:p>
    <w:p w:rsidR="00834ABB" w:rsidRDefault="00834ABB" w:rsidP="004D6505">
      <w:pPr>
        <w:rPr>
          <w:rFonts w:asciiTheme="majorBidi" w:hAnsiTheme="majorBidi" w:cstheme="majorBidi"/>
          <w:b/>
          <w:bCs/>
          <w:sz w:val="28"/>
          <w:szCs w:val="28"/>
        </w:rPr>
      </w:pPr>
    </w:p>
    <w:p w:rsidR="00254328" w:rsidRPr="003F4097" w:rsidRDefault="00254328" w:rsidP="00834ABB">
      <w:pPr>
        <w:jc w:val="center"/>
        <w:rPr>
          <w:rFonts w:asciiTheme="majorBidi" w:hAnsiTheme="majorBidi" w:cstheme="majorBidi"/>
          <w:b/>
          <w:bCs/>
          <w:sz w:val="28"/>
          <w:szCs w:val="28"/>
        </w:rPr>
      </w:pPr>
      <w:r w:rsidRPr="003F4097">
        <w:rPr>
          <w:rFonts w:asciiTheme="majorBidi" w:hAnsiTheme="majorBidi" w:cstheme="majorBidi"/>
          <w:b/>
          <w:bCs/>
          <w:sz w:val="28"/>
          <w:szCs w:val="28"/>
        </w:rPr>
        <w:t>Management Capacity</w:t>
      </w:r>
      <w:r w:rsidR="00834ABB">
        <w:rPr>
          <w:rFonts w:asciiTheme="majorBidi" w:hAnsiTheme="majorBidi" w:cstheme="majorBidi"/>
          <w:b/>
          <w:bCs/>
          <w:sz w:val="28"/>
          <w:szCs w:val="28"/>
        </w:rPr>
        <w:t xml:space="preserve"> Indicators</w:t>
      </w:r>
    </w:p>
    <w:p w:rsidR="00B74BFE" w:rsidRPr="004C4563" w:rsidRDefault="00B74BFE" w:rsidP="004D6505">
      <w:pPr>
        <w:rPr>
          <w:rFonts w:asciiTheme="majorBidi" w:hAnsiTheme="majorBidi" w:cstheme="majorBidi"/>
          <w:sz w:val="24"/>
          <w:szCs w:val="24"/>
        </w:rPr>
      </w:pPr>
    </w:p>
    <w:p w:rsidR="003F4097" w:rsidRPr="003F4097" w:rsidRDefault="003F4097" w:rsidP="00254328">
      <w:pPr>
        <w:rPr>
          <w:rFonts w:asciiTheme="majorBidi" w:hAnsiTheme="majorBidi" w:cstheme="majorBidi"/>
          <w:b/>
          <w:bCs/>
          <w:sz w:val="24"/>
          <w:szCs w:val="24"/>
        </w:rPr>
      </w:pPr>
      <w:r w:rsidRPr="003F4097">
        <w:rPr>
          <w:rFonts w:asciiTheme="majorBidi" w:hAnsiTheme="majorBidi" w:cstheme="majorBidi"/>
          <w:b/>
          <w:bCs/>
          <w:sz w:val="24"/>
          <w:szCs w:val="24"/>
        </w:rPr>
        <w:t>Total Expenses to Total Revenues</w:t>
      </w:r>
    </w:p>
    <w:p w:rsidR="003F4097" w:rsidRDefault="00F679B9" w:rsidP="00254328">
      <w:pPr>
        <w:rPr>
          <w:rFonts w:asciiTheme="majorBidi" w:hAnsiTheme="majorBidi" w:cstheme="majorBidi"/>
          <w:sz w:val="24"/>
          <w:szCs w:val="24"/>
        </w:rPr>
      </w:pPr>
      <w:r>
        <w:rPr>
          <w:rFonts w:asciiTheme="majorBidi" w:hAnsiTheme="majorBidi" w:cstheme="majorBidi"/>
          <w:sz w:val="24"/>
          <w:szCs w:val="24"/>
        </w:rPr>
        <w:t xml:space="preserve">This ratio relates the expenses incurred to generate the revenues. This ratio shows the </w:t>
      </w:r>
      <w:r w:rsidR="0098220B">
        <w:rPr>
          <w:rFonts w:asciiTheme="majorBidi" w:hAnsiTheme="majorBidi" w:cstheme="majorBidi"/>
          <w:sz w:val="24"/>
          <w:szCs w:val="24"/>
        </w:rPr>
        <w:t xml:space="preserve">endeavor </w:t>
      </w:r>
      <w:r>
        <w:rPr>
          <w:rFonts w:asciiTheme="majorBidi" w:hAnsiTheme="majorBidi" w:cstheme="majorBidi"/>
          <w:sz w:val="24"/>
          <w:szCs w:val="24"/>
        </w:rPr>
        <w:t>of the managemen</w:t>
      </w:r>
      <w:r w:rsidR="00A62735">
        <w:rPr>
          <w:rFonts w:asciiTheme="majorBidi" w:hAnsiTheme="majorBidi" w:cstheme="majorBidi"/>
          <w:sz w:val="24"/>
          <w:szCs w:val="24"/>
        </w:rPr>
        <w:t xml:space="preserve">t to generate </w:t>
      </w:r>
      <w:r w:rsidR="00C5573D">
        <w:rPr>
          <w:rFonts w:asciiTheme="majorBidi" w:hAnsiTheme="majorBidi" w:cstheme="majorBidi"/>
          <w:sz w:val="24"/>
          <w:szCs w:val="24"/>
        </w:rPr>
        <w:t xml:space="preserve">its </w:t>
      </w:r>
      <w:r w:rsidR="00A62735">
        <w:rPr>
          <w:rFonts w:asciiTheme="majorBidi" w:hAnsiTheme="majorBidi" w:cstheme="majorBidi"/>
          <w:sz w:val="24"/>
          <w:szCs w:val="24"/>
        </w:rPr>
        <w:t>revenues with minimum</w:t>
      </w:r>
      <w:r>
        <w:rPr>
          <w:rFonts w:asciiTheme="majorBidi" w:hAnsiTheme="majorBidi" w:cstheme="majorBidi"/>
          <w:sz w:val="24"/>
          <w:szCs w:val="24"/>
        </w:rPr>
        <w:t xml:space="preserve"> cost. </w:t>
      </w:r>
      <w:r w:rsidR="00A62735">
        <w:rPr>
          <w:rFonts w:asciiTheme="majorBidi" w:hAnsiTheme="majorBidi" w:cstheme="majorBidi"/>
          <w:sz w:val="24"/>
          <w:szCs w:val="24"/>
        </w:rPr>
        <w:t xml:space="preserve">The mean percentage of expenses to revenues for Dubai Islamic bank is 27.98 while it is 32.09 for Abu Dhabi Islamic bank. This ratio is very unstable since it has 40.23% coefficient of variation comparing with 7.23% for Dubai Islamic bank.   </w:t>
      </w:r>
    </w:p>
    <w:p w:rsidR="00392528" w:rsidRDefault="00392528" w:rsidP="00254328">
      <w:pPr>
        <w:rPr>
          <w:b/>
          <w:bCs/>
          <w:sz w:val="24"/>
          <w:szCs w:val="24"/>
        </w:rPr>
      </w:pPr>
    </w:p>
    <w:p w:rsidR="00254328" w:rsidRPr="004C4563" w:rsidRDefault="00254328" w:rsidP="00254328">
      <w:pPr>
        <w:rPr>
          <w:b/>
          <w:bCs/>
          <w:sz w:val="24"/>
          <w:szCs w:val="24"/>
        </w:rPr>
      </w:pPr>
      <w:r w:rsidRPr="004C4563">
        <w:rPr>
          <w:b/>
          <w:bCs/>
          <w:sz w:val="24"/>
          <w:szCs w:val="24"/>
        </w:rPr>
        <w:t>Investment to Total Assets</w:t>
      </w:r>
    </w:p>
    <w:p w:rsidR="00392528" w:rsidRPr="00392528" w:rsidRDefault="00254328" w:rsidP="00254328">
      <w:pPr>
        <w:rPr>
          <w:rFonts w:asciiTheme="majorBidi" w:hAnsiTheme="majorBidi" w:cstheme="majorBidi"/>
          <w:sz w:val="24"/>
          <w:szCs w:val="24"/>
        </w:rPr>
      </w:pPr>
      <w:r w:rsidRPr="00392528">
        <w:rPr>
          <w:rFonts w:asciiTheme="majorBidi" w:hAnsiTheme="majorBidi" w:cstheme="majorBidi"/>
          <w:sz w:val="24"/>
          <w:szCs w:val="24"/>
        </w:rPr>
        <w:t xml:space="preserve">This ratio shows the ability of bank management to allocate the appropriate amounts for investment. It is calculated by dividing the total amount invested by total assets.  The high ratio will </w:t>
      </w:r>
      <w:r w:rsidR="00B534BA" w:rsidRPr="00392528">
        <w:rPr>
          <w:rFonts w:asciiTheme="majorBidi" w:hAnsiTheme="majorBidi" w:cstheme="majorBidi"/>
          <w:sz w:val="24"/>
          <w:szCs w:val="24"/>
        </w:rPr>
        <w:t>presumably lead to generate</w:t>
      </w:r>
      <w:r w:rsidRPr="00392528">
        <w:rPr>
          <w:rFonts w:asciiTheme="majorBidi" w:hAnsiTheme="majorBidi" w:cstheme="majorBidi"/>
          <w:sz w:val="24"/>
          <w:szCs w:val="24"/>
        </w:rPr>
        <w:t xml:space="preserve"> high </w:t>
      </w:r>
      <w:r w:rsidR="00B534BA" w:rsidRPr="00392528">
        <w:rPr>
          <w:rFonts w:asciiTheme="majorBidi" w:hAnsiTheme="majorBidi" w:cstheme="majorBidi"/>
          <w:sz w:val="24"/>
          <w:szCs w:val="24"/>
        </w:rPr>
        <w:t xml:space="preserve">income. The analysis  in table 7 and 8 </w:t>
      </w:r>
      <w:r w:rsidRPr="00392528">
        <w:rPr>
          <w:rFonts w:asciiTheme="majorBidi" w:hAnsiTheme="majorBidi" w:cstheme="majorBidi"/>
          <w:sz w:val="24"/>
          <w:szCs w:val="24"/>
        </w:rPr>
        <w:t>shows</w:t>
      </w:r>
      <w:r w:rsidR="00B534BA" w:rsidRPr="00392528">
        <w:rPr>
          <w:rFonts w:asciiTheme="majorBidi" w:hAnsiTheme="majorBidi" w:cstheme="majorBidi"/>
          <w:sz w:val="24"/>
          <w:szCs w:val="24"/>
        </w:rPr>
        <w:t xml:space="preserve"> that Dubai Islamic bank</w:t>
      </w:r>
      <w:r w:rsidRPr="00392528">
        <w:rPr>
          <w:rFonts w:asciiTheme="majorBidi" w:hAnsiTheme="majorBidi" w:cstheme="majorBidi"/>
          <w:sz w:val="24"/>
          <w:szCs w:val="24"/>
        </w:rPr>
        <w:t xml:space="preserve"> enjoy high investment as a percentage o</w:t>
      </w:r>
      <w:r w:rsidR="00B534BA" w:rsidRPr="00392528">
        <w:rPr>
          <w:rFonts w:asciiTheme="majorBidi" w:hAnsiTheme="majorBidi" w:cstheme="majorBidi"/>
          <w:sz w:val="24"/>
          <w:szCs w:val="24"/>
        </w:rPr>
        <w:t>f the total assets, with meant percentage 8.206 comparing with 6.946 for Abu Dhabi Islamic bank</w:t>
      </w:r>
      <w:r w:rsidRPr="00392528">
        <w:rPr>
          <w:rFonts w:asciiTheme="majorBidi" w:hAnsiTheme="majorBidi" w:cstheme="majorBidi"/>
          <w:sz w:val="24"/>
          <w:szCs w:val="24"/>
        </w:rPr>
        <w:t>. The standard deviation and the coefficient of variance clearl</w:t>
      </w:r>
      <w:r w:rsidR="00907482" w:rsidRPr="00392528">
        <w:rPr>
          <w:rFonts w:asciiTheme="majorBidi" w:hAnsiTheme="majorBidi" w:cstheme="majorBidi"/>
          <w:sz w:val="24"/>
          <w:szCs w:val="24"/>
        </w:rPr>
        <w:t>y indicate that this high investment is associated with high risk level and</w:t>
      </w:r>
      <w:r w:rsidRPr="00392528">
        <w:rPr>
          <w:rFonts w:asciiTheme="majorBidi" w:hAnsiTheme="majorBidi" w:cstheme="majorBidi"/>
          <w:sz w:val="24"/>
          <w:szCs w:val="24"/>
        </w:rPr>
        <w:t xml:space="preserve"> variability in this ratio comparing the commercial bank of Dubai. </w:t>
      </w:r>
    </w:p>
    <w:p w:rsidR="00392528" w:rsidRPr="00392528" w:rsidRDefault="00392528" w:rsidP="00254328">
      <w:pPr>
        <w:rPr>
          <w:rFonts w:asciiTheme="majorBidi" w:hAnsiTheme="majorBidi" w:cstheme="majorBidi"/>
          <w:b/>
          <w:bCs/>
          <w:sz w:val="24"/>
          <w:szCs w:val="24"/>
        </w:rPr>
      </w:pPr>
      <w:r w:rsidRPr="00392528">
        <w:rPr>
          <w:rFonts w:asciiTheme="majorBidi" w:hAnsiTheme="majorBidi" w:cstheme="majorBidi"/>
          <w:b/>
          <w:bCs/>
          <w:sz w:val="24"/>
          <w:szCs w:val="24"/>
        </w:rPr>
        <w:t>Murabaha and Financial Activities to Total Assets</w:t>
      </w:r>
    </w:p>
    <w:p w:rsidR="00254328" w:rsidRPr="00392528" w:rsidRDefault="00392528" w:rsidP="00254328">
      <w:pPr>
        <w:rPr>
          <w:rFonts w:asciiTheme="majorBidi" w:hAnsiTheme="majorBidi" w:cstheme="majorBidi"/>
          <w:sz w:val="24"/>
          <w:szCs w:val="24"/>
        </w:rPr>
      </w:pPr>
      <w:r>
        <w:rPr>
          <w:sz w:val="24"/>
          <w:szCs w:val="24"/>
        </w:rPr>
        <w:t xml:space="preserve">  </w:t>
      </w:r>
      <w:r>
        <w:rPr>
          <w:rFonts w:asciiTheme="majorBidi" w:hAnsiTheme="majorBidi" w:cstheme="majorBidi"/>
          <w:sz w:val="24"/>
          <w:szCs w:val="24"/>
        </w:rPr>
        <w:t>This ratio shows the allocation of murabaha and financial activities as a percentage of the total assets. The tables below show that the money allocated to these activities by Abu Dhabi Is</w:t>
      </w:r>
      <w:r w:rsidR="00F1755A">
        <w:rPr>
          <w:rFonts w:asciiTheme="majorBidi" w:hAnsiTheme="majorBidi" w:cstheme="majorBidi"/>
          <w:sz w:val="24"/>
          <w:szCs w:val="24"/>
        </w:rPr>
        <w:t>lamic bank forms 86.67% of total assets comparing with 80.386% for Dubai Islamic bank. The both banks have good level of stability based on the coefficient of variation, but this level is very high in Abu Dhabi Islamic bank.</w:t>
      </w:r>
    </w:p>
    <w:p w:rsidR="00575122" w:rsidRDefault="00575122" w:rsidP="00254328">
      <w:pPr>
        <w:rPr>
          <w:b/>
          <w:bCs/>
          <w:sz w:val="24"/>
          <w:szCs w:val="24"/>
        </w:rPr>
      </w:pPr>
    </w:p>
    <w:p w:rsidR="00575122" w:rsidRDefault="00575122" w:rsidP="00254328">
      <w:pPr>
        <w:rPr>
          <w:b/>
          <w:bCs/>
          <w:sz w:val="24"/>
          <w:szCs w:val="24"/>
        </w:rPr>
      </w:pPr>
    </w:p>
    <w:p w:rsidR="00146E47" w:rsidRDefault="00146E47" w:rsidP="00254328">
      <w:pPr>
        <w:rPr>
          <w:b/>
          <w:bCs/>
          <w:sz w:val="24"/>
          <w:szCs w:val="24"/>
        </w:rPr>
      </w:pPr>
    </w:p>
    <w:p w:rsidR="00146E47" w:rsidRDefault="00146E47" w:rsidP="00254328">
      <w:pPr>
        <w:rPr>
          <w:b/>
          <w:bCs/>
          <w:sz w:val="24"/>
          <w:szCs w:val="24"/>
        </w:rPr>
      </w:pPr>
    </w:p>
    <w:p w:rsidR="00146E47" w:rsidRDefault="00146E47" w:rsidP="00254328">
      <w:pPr>
        <w:rPr>
          <w:b/>
          <w:bCs/>
          <w:sz w:val="24"/>
          <w:szCs w:val="24"/>
        </w:rPr>
      </w:pPr>
    </w:p>
    <w:p w:rsidR="00254328" w:rsidRPr="003117EB" w:rsidRDefault="00B74BFE" w:rsidP="00254328">
      <w:pPr>
        <w:rPr>
          <w:b/>
          <w:bCs/>
          <w:sz w:val="24"/>
          <w:szCs w:val="24"/>
        </w:rPr>
      </w:pPr>
      <w:r>
        <w:rPr>
          <w:b/>
          <w:bCs/>
          <w:sz w:val="24"/>
          <w:szCs w:val="24"/>
        </w:rPr>
        <w:lastRenderedPageBreak/>
        <w:t xml:space="preserve">Table 7: </w:t>
      </w:r>
      <w:r w:rsidR="00254328" w:rsidRPr="002B7241">
        <w:rPr>
          <w:b/>
          <w:bCs/>
          <w:sz w:val="24"/>
          <w:szCs w:val="24"/>
        </w:rPr>
        <w:t>Management Capacity Indicators</w:t>
      </w:r>
      <w:r w:rsidR="00254328">
        <w:rPr>
          <w:b/>
          <w:bCs/>
          <w:sz w:val="24"/>
          <w:szCs w:val="24"/>
        </w:rPr>
        <w:t>: Dubai Islamic Bank</w:t>
      </w:r>
    </w:p>
    <w:tbl>
      <w:tblPr>
        <w:tblStyle w:val="TableGrid"/>
        <w:tblW w:w="0" w:type="auto"/>
        <w:tblInd w:w="-635" w:type="dxa"/>
        <w:tblLook w:val="04A0" w:firstRow="1" w:lastRow="0" w:firstColumn="1" w:lastColumn="0" w:noHBand="0" w:noVBand="1"/>
      </w:tblPr>
      <w:tblGrid>
        <w:gridCol w:w="1870"/>
        <w:gridCol w:w="776"/>
        <w:gridCol w:w="926"/>
        <w:gridCol w:w="770"/>
        <w:gridCol w:w="926"/>
        <w:gridCol w:w="926"/>
        <w:gridCol w:w="830"/>
        <w:gridCol w:w="1082"/>
        <w:gridCol w:w="1186"/>
      </w:tblGrid>
      <w:tr w:rsidR="00254328" w:rsidTr="0034692C">
        <w:tc>
          <w:tcPr>
            <w:tcW w:w="1870" w:type="dxa"/>
          </w:tcPr>
          <w:p w:rsidR="00254328" w:rsidRDefault="00146E47" w:rsidP="0034692C">
            <w:pPr>
              <w:jc w:val="center"/>
            </w:pPr>
            <w:r>
              <w:t>Indicators</w:t>
            </w:r>
            <w:r w:rsidR="00254328">
              <w:t xml:space="preserve"> %</w:t>
            </w:r>
          </w:p>
        </w:tc>
        <w:tc>
          <w:tcPr>
            <w:tcW w:w="776" w:type="dxa"/>
          </w:tcPr>
          <w:p w:rsidR="00254328" w:rsidRDefault="00254328" w:rsidP="0034692C">
            <w:pPr>
              <w:jc w:val="center"/>
            </w:pPr>
            <w:r>
              <w:t>2003</w:t>
            </w:r>
          </w:p>
        </w:tc>
        <w:tc>
          <w:tcPr>
            <w:tcW w:w="926" w:type="dxa"/>
          </w:tcPr>
          <w:p w:rsidR="00254328" w:rsidRDefault="00254328" w:rsidP="0034692C">
            <w:pPr>
              <w:jc w:val="center"/>
            </w:pPr>
            <w:r>
              <w:t>2004</w:t>
            </w:r>
          </w:p>
        </w:tc>
        <w:tc>
          <w:tcPr>
            <w:tcW w:w="770" w:type="dxa"/>
          </w:tcPr>
          <w:p w:rsidR="00254328" w:rsidRDefault="00254328" w:rsidP="0034692C">
            <w:pPr>
              <w:jc w:val="center"/>
            </w:pPr>
            <w:r>
              <w:t>2005</w:t>
            </w:r>
          </w:p>
        </w:tc>
        <w:tc>
          <w:tcPr>
            <w:tcW w:w="926" w:type="dxa"/>
          </w:tcPr>
          <w:p w:rsidR="00254328" w:rsidRDefault="00254328" w:rsidP="0034692C">
            <w:pPr>
              <w:jc w:val="center"/>
            </w:pPr>
            <w:r>
              <w:t>2006</w:t>
            </w:r>
          </w:p>
        </w:tc>
        <w:tc>
          <w:tcPr>
            <w:tcW w:w="926" w:type="dxa"/>
          </w:tcPr>
          <w:p w:rsidR="00254328" w:rsidRDefault="00254328" w:rsidP="0034692C">
            <w:pPr>
              <w:jc w:val="center"/>
            </w:pPr>
            <w:r>
              <w:t>2007</w:t>
            </w:r>
          </w:p>
        </w:tc>
        <w:tc>
          <w:tcPr>
            <w:tcW w:w="749" w:type="dxa"/>
          </w:tcPr>
          <w:p w:rsidR="00254328" w:rsidRDefault="00254328" w:rsidP="0034692C">
            <w:pPr>
              <w:jc w:val="center"/>
            </w:pPr>
            <w:r>
              <w:t>Mean</w:t>
            </w:r>
          </w:p>
        </w:tc>
        <w:tc>
          <w:tcPr>
            <w:tcW w:w="1082" w:type="dxa"/>
          </w:tcPr>
          <w:p w:rsidR="00254328" w:rsidRDefault="00254328" w:rsidP="0034692C">
            <w:pPr>
              <w:jc w:val="center"/>
            </w:pPr>
            <w:r>
              <w:t>Standard Deviation</w:t>
            </w:r>
          </w:p>
        </w:tc>
        <w:tc>
          <w:tcPr>
            <w:tcW w:w="1186" w:type="dxa"/>
          </w:tcPr>
          <w:p w:rsidR="00254328" w:rsidRDefault="00254328" w:rsidP="0034692C">
            <w:pPr>
              <w:jc w:val="center"/>
            </w:pPr>
            <w:r>
              <w:t xml:space="preserve">Coefficient of Variation </w:t>
            </w:r>
          </w:p>
        </w:tc>
      </w:tr>
      <w:tr w:rsidR="00254328" w:rsidTr="0034692C">
        <w:tc>
          <w:tcPr>
            <w:tcW w:w="1870" w:type="dxa"/>
          </w:tcPr>
          <w:p w:rsidR="00254328" w:rsidRDefault="00254328" w:rsidP="0034692C">
            <w:pPr>
              <w:jc w:val="center"/>
            </w:pPr>
            <w:r>
              <w:t>Total expenses to Total revenues</w:t>
            </w:r>
          </w:p>
        </w:tc>
        <w:tc>
          <w:tcPr>
            <w:tcW w:w="776" w:type="dxa"/>
          </w:tcPr>
          <w:p w:rsidR="00254328" w:rsidRDefault="00254328" w:rsidP="0034692C">
            <w:pPr>
              <w:jc w:val="center"/>
            </w:pPr>
            <w:r>
              <w:t>26.32</w:t>
            </w:r>
          </w:p>
        </w:tc>
        <w:tc>
          <w:tcPr>
            <w:tcW w:w="926" w:type="dxa"/>
          </w:tcPr>
          <w:p w:rsidR="00254328" w:rsidRDefault="00254328" w:rsidP="0034692C">
            <w:pPr>
              <w:jc w:val="center"/>
            </w:pPr>
            <w:r>
              <w:t>30.76</w:t>
            </w:r>
          </w:p>
        </w:tc>
        <w:tc>
          <w:tcPr>
            <w:tcW w:w="770" w:type="dxa"/>
          </w:tcPr>
          <w:p w:rsidR="00254328" w:rsidRDefault="00254328" w:rsidP="0034692C">
            <w:pPr>
              <w:jc w:val="center"/>
            </w:pPr>
            <w:r>
              <w:t>26.07</w:t>
            </w:r>
          </w:p>
        </w:tc>
        <w:tc>
          <w:tcPr>
            <w:tcW w:w="926" w:type="dxa"/>
          </w:tcPr>
          <w:p w:rsidR="00254328" w:rsidRDefault="00254328" w:rsidP="0034692C">
            <w:pPr>
              <w:jc w:val="center"/>
            </w:pPr>
            <w:r>
              <w:t>27.11</w:t>
            </w:r>
          </w:p>
        </w:tc>
        <w:tc>
          <w:tcPr>
            <w:tcW w:w="926" w:type="dxa"/>
          </w:tcPr>
          <w:p w:rsidR="00254328" w:rsidRDefault="00254328" w:rsidP="0034692C">
            <w:pPr>
              <w:jc w:val="center"/>
            </w:pPr>
            <w:r>
              <w:t>29.23</w:t>
            </w:r>
          </w:p>
        </w:tc>
        <w:tc>
          <w:tcPr>
            <w:tcW w:w="749" w:type="dxa"/>
          </w:tcPr>
          <w:p w:rsidR="00254328" w:rsidRDefault="00BA4391" w:rsidP="0034692C">
            <w:pPr>
              <w:jc w:val="center"/>
            </w:pPr>
            <w:r>
              <w:t>27.98</w:t>
            </w:r>
          </w:p>
        </w:tc>
        <w:tc>
          <w:tcPr>
            <w:tcW w:w="1082" w:type="dxa"/>
          </w:tcPr>
          <w:p w:rsidR="00254328" w:rsidRDefault="00BA4391" w:rsidP="0034692C">
            <w:pPr>
              <w:jc w:val="center"/>
            </w:pPr>
            <w:r>
              <w:t>2.025</w:t>
            </w:r>
          </w:p>
        </w:tc>
        <w:tc>
          <w:tcPr>
            <w:tcW w:w="1186" w:type="dxa"/>
          </w:tcPr>
          <w:p w:rsidR="00254328" w:rsidRDefault="00BA4391" w:rsidP="0034692C">
            <w:pPr>
              <w:jc w:val="center"/>
            </w:pPr>
            <w:r>
              <w:t>7.23</w:t>
            </w:r>
          </w:p>
        </w:tc>
      </w:tr>
      <w:tr w:rsidR="00254328" w:rsidTr="0034692C">
        <w:tc>
          <w:tcPr>
            <w:tcW w:w="1870" w:type="dxa"/>
          </w:tcPr>
          <w:p w:rsidR="00254328" w:rsidRDefault="00254328" w:rsidP="0034692C">
            <w:pPr>
              <w:jc w:val="center"/>
            </w:pPr>
            <w:r>
              <w:t xml:space="preserve">Investment to Total Assets </w:t>
            </w:r>
          </w:p>
        </w:tc>
        <w:tc>
          <w:tcPr>
            <w:tcW w:w="776" w:type="dxa"/>
          </w:tcPr>
          <w:p w:rsidR="00254328" w:rsidRDefault="00254328" w:rsidP="0034692C">
            <w:pPr>
              <w:jc w:val="center"/>
            </w:pPr>
            <w:r>
              <w:t>6.60</w:t>
            </w:r>
          </w:p>
        </w:tc>
        <w:tc>
          <w:tcPr>
            <w:tcW w:w="926" w:type="dxa"/>
          </w:tcPr>
          <w:p w:rsidR="00254328" w:rsidRDefault="00254328" w:rsidP="0034692C">
            <w:pPr>
              <w:jc w:val="center"/>
            </w:pPr>
            <w:r>
              <w:t>8.19</w:t>
            </w:r>
          </w:p>
        </w:tc>
        <w:tc>
          <w:tcPr>
            <w:tcW w:w="770" w:type="dxa"/>
          </w:tcPr>
          <w:p w:rsidR="00254328" w:rsidRDefault="00254328" w:rsidP="0034692C">
            <w:pPr>
              <w:jc w:val="center"/>
            </w:pPr>
            <w:r>
              <w:t>6.63</w:t>
            </w:r>
          </w:p>
        </w:tc>
        <w:tc>
          <w:tcPr>
            <w:tcW w:w="926" w:type="dxa"/>
          </w:tcPr>
          <w:p w:rsidR="00254328" w:rsidRDefault="00254328" w:rsidP="0034692C">
            <w:pPr>
              <w:jc w:val="center"/>
            </w:pPr>
            <w:r>
              <w:t>8.32</w:t>
            </w:r>
          </w:p>
        </w:tc>
        <w:tc>
          <w:tcPr>
            <w:tcW w:w="926" w:type="dxa"/>
          </w:tcPr>
          <w:p w:rsidR="00254328" w:rsidRDefault="00254328" w:rsidP="0034692C">
            <w:pPr>
              <w:jc w:val="center"/>
            </w:pPr>
            <w:r>
              <w:t>11.29</w:t>
            </w:r>
          </w:p>
        </w:tc>
        <w:tc>
          <w:tcPr>
            <w:tcW w:w="749" w:type="dxa"/>
          </w:tcPr>
          <w:p w:rsidR="00254328" w:rsidRDefault="00BA4391" w:rsidP="0034692C">
            <w:pPr>
              <w:jc w:val="center"/>
            </w:pPr>
            <w:r>
              <w:t>8.206</w:t>
            </w:r>
          </w:p>
        </w:tc>
        <w:tc>
          <w:tcPr>
            <w:tcW w:w="1082" w:type="dxa"/>
          </w:tcPr>
          <w:p w:rsidR="00254328" w:rsidRDefault="00BA4391" w:rsidP="0034692C">
            <w:pPr>
              <w:jc w:val="center"/>
            </w:pPr>
            <w:r>
              <w:t>1.909</w:t>
            </w:r>
          </w:p>
        </w:tc>
        <w:tc>
          <w:tcPr>
            <w:tcW w:w="1186" w:type="dxa"/>
          </w:tcPr>
          <w:p w:rsidR="00254328" w:rsidRDefault="00BA4391" w:rsidP="0034692C">
            <w:pPr>
              <w:jc w:val="center"/>
            </w:pPr>
            <w:r>
              <w:t>23.26</w:t>
            </w:r>
          </w:p>
        </w:tc>
      </w:tr>
      <w:tr w:rsidR="00254328" w:rsidTr="0034692C">
        <w:tc>
          <w:tcPr>
            <w:tcW w:w="1870" w:type="dxa"/>
          </w:tcPr>
          <w:p w:rsidR="00254328" w:rsidRDefault="00254328" w:rsidP="0034692C">
            <w:pPr>
              <w:jc w:val="center"/>
            </w:pPr>
            <w:r>
              <w:t>Murabaha &amp; Financial Activities to Total Assets</w:t>
            </w:r>
          </w:p>
        </w:tc>
        <w:tc>
          <w:tcPr>
            <w:tcW w:w="776" w:type="dxa"/>
          </w:tcPr>
          <w:p w:rsidR="00254328" w:rsidRDefault="00254328" w:rsidP="0034692C">
            <w:pPr>
              <w:jc w:val="center"/>
            </w:pPr>
            <w:r>
              <w:t>85.51</w:t>
            </w:r>
          </w:p>
        </w:tc>
        <w:tc>
          <w:tcPr>
            <w:tcW w:w="926" w:type="dxa"/>
          </w:tcPr>
          <w:p w:rsidR="00254328" w:rsidRDefault="00254328" w:rsidP="0034692C">
            <w:pPr>
              <w:jc w:val="center"/>
            </w:pPr>
            <w:r>
              <w:t>81.63</w:t>
            </w:r>
          </w:p>
        </w:tc>
        <w:tc>
          <w:tcPr>
            <w:tcW w:w="770" w:type="dxa"/>
          </w:tcPr>
          <w:p w:rsidR="00254328" w:rsidRDefault="00254328" w:rsidP="0034692C">
            <w:pPr>
              <w:jc w:val="center"/>
            </w:pPr>
            <w:r>
              <w:t>78.99</w:t>
            </w:r>
          </w:p>
        </w:tc>
        <w:tc>
          <w:tcPr>
            <w:tcW w:w="926" w:type="dxa"/>
          </w:tcPr>
          <w:p w:rsidR="00254328" w:rsidRDefault="00254328" w:rsidP="0034692C">
            <w:pPr>
              <w:jc w:val="center"/>
            </w:pPr>
            <w:r>
              <w:t>77.98</w:t>
            </w:r>
          </w:p>
        </w:tc>
        <w:tc>
          <w:tcPr>
            <w:tcW w:w="926" w:type="dxa"/>
          </w:tcPr>
          <w:p w:rsidR="00254328" w:rsidRDefault="00254328" w:rsidP="0034692C">
            <w:pPr>
              <w:jc w:val="center"/>
            </w:pPr>
            <w:r>
              <w:t>77.82</w:t>
            </w:r>
          </w:p>
        </w:tc>
        <w:tc>
          <w:tcPr>
            <w:tcW w:w="749" w:type="dxa"/>
          </w:tcPr>
          <w:p w:rsidR="00254328" w:rsidRDefault="00BA4391" w:rsidP="0034692C">
            <w:pPr>
              <w:jc w:val="center"/>
            </w:pPr>
            <w:r>
              <w:t>80.386</w:t>
            </w:r>
          </w:p>
        </w:tc>
        <w:tc>
          <w:tcPr>
            <w:tcW w:w="1082" w:type="dxa"/>
          </w:tcPr>
          <w:p w:rsidR="00254328" w:rsidRDefault="00BA4391" w:rsidP="0034692C">
            <w:pPr>
              <w:jc w:val="center"/>
            </w:pPr>
            <w:r>
              <w:t>3.245</w:t>
            </w:r>
          </w:p>
        </w:tc>
        <w:tc>
          <w:tcPr>
            <w:tcW w:w="1186" w:type="dxa"/>
          </w:tcPr>
          <w:p w:rsidR="00254328" w:rsidRDefault="00BA4391" w:rsidP="0034692C">
            <w:pPr>
              <w:jc w:val="center"/>
            </w:pPr>
            <w:r>
              <w:t>4.03</w:t>
            </w:r>
          </w:p>
        </w:tc>
      </w:tr>
    </w:tbl>
    <w:p w:rsidR="00254328" w:rsidRDefault="00254328" w:rsidP="00254328"/>
    <w:p w:rsidR="00254328" w:rsidRPr="00CB7D45" w:rsidRDefault="00B74BFE" w:rsidP="00254328">
      <w:pPr>
        <w:rPr>
          <w:b/>
          <w:bCs/>
          <w:sz w:val="24"/>
          <w:szCs w:val="24"/>
        </w:rPr>
      </w:pPr>
      <w:r>
        <w:rPr>
          <w:b/>
          <w:bCs/>
          <w:sz w:val="24"/>
          <w:szCs w:val="24"/>
        </w:rPr>
        <w:t xml:space="preserve">Table 8: </w:t>
      </w:r>
      <w:r w:rsidR="00254328" w:rsidRPr="00CB7D45">
        <w:rPr>
          <w:b/>
          <w:bCs/>
          <w:sz w:val="24"/>
          <w:szCs w:val="24"/>
        </w:rPr>
        <w:t>Management Capacity Indicators: Abu Dhabi Islamic Bank</w:t>
      </w:r>
    </w:p>
    <w:tbl>
      <w:tblPr>
        <w:tblStyle w:val="TableGrid"/>
        <w:tblW w:w="0" w:type="auto"/>
        <w:tblInd w:w="-635" w:type="dxa"/>
        <w:tblLook w:val="04A0" w:firstRow="1" w:lastRow="0" w:firstColumn="1" w:lastColumn="0" w:noHBand="0" w:noVBand="1"/>
      </w:tblPr>
      <w:tblGrid>
        <w:gridCol w:w="1870"/>
        <w:gridCol w:w="776"/>
        <w:gridCol w:w="926"/>
        <w:gridCol w:w="770"/>
        <w:gridCol w:w="926"/>
        <w:gridCol w:w="926"/>
        <w:gridCol w:w="830"/>
        <w:gridCol w:w="1082"/>
        <w:gridCol w:w="1186"/>
      </w:tblGrid>
      <w:tr w:rsidR="00254328" w:rsidTr="0034692C">
        <w:tc>
          <w:tcPr>
            <w:tcW w:w="1870" w:type="dxa"/>
          </w:tcPr>
          <w:p w:rsidR="00254328" w:rsidRDefault="004C5D66" w:rsidP="0034692C">
            <w:pPr>
              <w:jc w:val="center"/>
            </w:pPr>
            <w:r>
              <w:t>Indicators</w:t>
            </w:r>
            <w:r w:rsidR="00254328">
              <w:t xml:space="preserve"> %</w:t>
            </w:r>
          </w:p>
        </w:tc>
        <w:tc>
          <w:tcPr>
            <w:tcW w:w="776" w:type="dxa"/>
          </w:tcPr>
          <w:p w:rsidR="00254328" w:rsidRDefault="00254328" w:rsidP="0034692C">
            <w:pPr>
              <w:jc w:val="center"/>
            </w:pPr>
            <w:r>
              <w:t>2003</w:t>
            </w:r>
          </w:p>
        </w:tc>
        <w:tc>
          <w:tcPr>
            <w:tcW w:w="926" w:type="dxa"/>
          </w:tcPr>
          <w:p w:rsidR="00254328" w:rsidRDefault="00254328" w:rsidP="0034692C">
            <w:pPr>
              <w:jc w:val="center"/>
            </w:pPr>
            <w:r>
              <w:t>2004</w:t>
            </w:r>
          </w:p>
        </w:tc>
        <w:tc>
          <w:tcPr>
            <w:tcW w:w="770" w:type="dxa"/>
          </w:tcPr>
          <w:p w:rsidR="00254328" w:rsidRDefault="00254328" w:rsidP="0034692C">
            <w:pPr>
              <w:jc w:val="center"/>
            </w:pPr>
            <w:r>
              <w:t>2005</w:t>
            </w:r>
          </w:p>
        </w:tc>
        <w:tc>
          <w:tcPr>
            <w:tcW w:w="926" w:type="dxa"/>
          </w:tcPr>
          <w:p w:rsidR="00254328" w:rsidRDefault="00254328" w:rsidP="0034692C">
            <w:pPr>
              <w:jc w:val="center"/>
            </w:pPr>
            <w:r>
              <w:t>2006</w:t>
            </w:r>
          </w:p>
        </w:tc>
        <w:tc>
          <w:tcPr>
            <w:tcW w:w="926" w:type="dxa"/>
          </w:tcPr>
          <w:p w:rsidR="00254328" w:rsidRDefault="00254328" w:rsidP="0034692C">
            <w:pPr>
              <w:jc w:val="center"/>
            </w:pPr>
            <w:r>
              <w:t>2007</w:t>
            </w:r>
          </w:p>
        </w:tc>
        <w:tc>
          <w:tcPr>
            <w:tcW w:w="749" w:type="dxa"/>
          </w:tcPr>
          <w:p w:rsidR="00254328" w:rsidRDefault="00254328" w:rsidP="0034692C">
            <w:pPr>
              <w:jc w:val="center"/>
            </w:pPr>
            <w:r>
              <w:t>Mean</w:t>
            </w:r>
          </w:p>
        </w:tc>
        <w:tc>
          <w:tcPr>
            <w:tcW w:w="1082" w:type="dxa"/>
          </w:tcPr>
          <w:p w:rsidR="00254328" w:rsidRDefault="00254328" w:rsidP="0034692C">
            <w:pPr>
              <w:jc w:val="center"/>
            </w:pPr>
            <w:r>
              <w:t>Standard Deviation</w:t>
            </w:r>
          </w:p>
        </w:tc>
        <w:tc>
          <w:tcPr>
            <w:tcW w:w="1186" w:type="dxa"/>
          </w:tcPr>
          <w:p w:rsidR="00254328" w:rsidRDefault="00254328" w:rsidP="0034692C">
            <w:pPr>
              <w:jc w:val="center"/>
            </w:pPr>
            <w:r>
              <w:t xml:space="preserve">Coefficient of Variation </w:t>
            </w:r>
          </w:p>
        </w:tc>
      </w:tr>
      <w:tr w:rsidR="00254328" w:rsidTr="0034692C">
        <w:tc>
          <w:tcPr>
            <w:tcW w:w="1870" w:type="dxa"/>
          </w:tcPr>
          <w:p w:rsidR="00254328" w:rsidRDefault="00254328" w:rsidP="0034692C">
            <w:pPr>
              <w:jc w:val="center"/>
            </w:pPr>
            <w:r>
              <w:t>Total expenses to Total revenues</w:t>
            </w:r>
          </w:p>
        </w:tc>
        <w:tc>
          <w:tcPr>
            <w:tcW w:w="776" w:type="dxa"/>
          </w:tcPr>
          <w:p w:rsidR="00254328" w:rsidRDefault="00254328" w:rsidP="0034692C">
            <w:pPr>
              <w:jc w:val="center"/>
            </w:pPr>
            <w:r>
              <w:t>46.17</w:t>
            </w:r>
          </w:p>
        </w:tc>
        <w:tc>
          <w:tcPr>
            <w:tcW w:w="926" w:type="dxa"/>
          </w:tcPr>
          <w:p w:rsidR="00254328" w:rsidRDefault="00254328" w:rsidP="0034692C">
            <w:pPr>
              <w:jc w:val="center"/>
            </w:pPr>
            <w:r>
              <w:t>45.60</w:t>
            </w:r>
          </w:p>
        </w:tc>
        <w:tc>
          <w:tcPr>
            <w:tcW w:w="770" w:type="dxa"/>
          </w:tcPr>
          <w:p w:rsidR="00254328" w:rsidRDefault="00254328" w:rsidP="0034692C">
            <w:pPr>
              <w:jc w:val="center"/>
            </w:pPr>
            <w:r>
              <w:t>26.56</w:t>
            </w:r>
          </w:p>
        </w:tc>
        <w:tc>
          <w:tcPr>
            <w:tcW w:w="926" w:type="dxa"/>
          </w:tcPr>
          <w:p w:rsidR="00254328" w:rsidRDefault="00254328" w:rsidP="0034692C">
            <w:pPr>
              <w:jc w:val="center"/>
            </w:pPr>
            <w:r>
              <w:t>18.59</w:t>
            </w:r>
          </w:p>
        </w:tc>
        <w:tc>
          <w:tcPr>
            <w:tcW w:w="926" w:type="dxa"/>
          </w:tcPr>
          <w:p w:rsidR="00254328" w:rsidRDefault="00254328" w:rsidP="0034692C">
            <w:pPr>
              <w:jc w:val="center"/>
            </w:pPr>
            <w:r>
              <w:t>23.53</w:t>
            </w:r>
          </w:p>
        </w:tc>
        <w:tc>
          <w:tcPr>
            <w:tcW w:w="749" w:type="dxa"/>
          </w:tcPr>
          <w:p w:rsidR="00254328" w:rsidRDefault="00BA4391" w:rsidP="0034692C">
            <w:pPr>
              <w:jc w:val="center"/>
            </w:pPr>
            <w:r>
              <w:t>32.090</w:t>
            </w:r>
          </w:p>
        </w:tc>
        <w:tc>
          <w:tcPr>
            <w:tcW w:w="1082" w:type="dxa"/>
          </w:tcPr>
          <w:p w:rsidR="00254328" w:rsidRDefault="00BA4391" w:rsidP="0034692C">
            <w:pPr>
              <w:jc w:val="center"/>
            </w:pPr>
            <w:r>
              <w:t>12.911</w:t>
            </w:r>
          </w:p>
        </w:tc>
        <w:tc>
          <w:tcPr>
            <w:tcW w:w="1186" w:type="dxa"/>
          </w:tcPr>
          <w:p w:rsidR="00254328" w:rsidRDefault="00BA4391" w:rsidP="0034692C">
            <w:pPr>
              <w:jc w:val="center"/>
            </w:pPr>
            <w:r>
              <w:t>40.23</w:t>
            </w:r>
          </w:p>
        </w:tc>
      </w:tr>
      <w:tr w:rsidR="00254328" w:rsidTr="0034692C">
        <w:tc>
          <w:tcPr>
            <w:tcW w:w="1870" w:type="dxa"/>
          </w:tcPr>
          <w:p w:rsidR="00254328" w:rsidRDefault="00254328" w:rsidP="0034692C">
            <w:pPr>
              <w:jc w:val="center"/>
            </w:pPr>
            <w:r>
              <w:t xml:space="preserve">Investment to Total Assets </w:t>
            </w:r>
          </w:p>
        </w:tc>
        <w:tc>
          <w:tcPr>
            <w:tcW w:w="776" w:type="dxa"/>
          </w:tcPr>
          <w:p w:rsidR="00254328" w:rsidRDefault="00254328" w:rsidP="0034692C">
            <w:pPr>
              <w:jc w:val="center"/>
            </w:pPr>
            <w:r>
              <w:t>6.80</w:t>
            </w:r>
          </w:p>
        </w:tc>
        <w:tc>
          <w:tcPr>
            <w:tcW w:w="926" w:type="dxa"/>
          </w:tcPr>
          <w:p w:rsidR="00254328" w:rsidRDefault="00254328" w:rsidP="0034692C">
            <w:pPr>
              <w:jc w:val="center"/>
            </w:pPr>
            <w:r>
              <w:t>6.24</w:t>
            </w:r>
          </w:p>
        </w:tc>
        <w:tc>
          <w:tcPr>
            <w:tcW w:w="770" w:type="dxa"/>
          </w:tcPr>
          <w:p w:rsidR="00254328" w:rsidRDefault="00254328" w:rsidP="0034692C">
            <w:pPr>
              <w:jc w:val="center"/>
            </w:pPr>
            <w:r>
              <w:t>6.17</w:t>
            </w:r>
          </w:p>
        </w:tc>
        <w:tc>
          <w:tcPr>
            <w:tcW w:w="926" w:type="dxa"/>
          </w:tcPr>
          <w:p w:rsidR="00254328" w:rsidRDefault="00254328" w:rsidP="0034692C">
            <w:pPr>
              <w:jc w:val="center"/>
            </w:pPr>
            <w:r>
              <w:t>9.06</w:t>
            </w:r>
          </w:p>
        </w:tc>
        <w:tc>
          <w:tcPr>
            <w:tcW w:w="926" w:type="dxa"/>
          </w:tcPr>
          <w:p w:rsidR="00254328" w:rsidRDefault="00254328" w:rsidP="0034692C">
            <w:pPr>
              <w:jc w:val="center"/>
            </w:pPr>
            <w:r>
              <w:t>6.45</w:t>
            </w:r>
          </w:p>
        </w:tc>
        <w:tc>
          <w:tcPr>
            <w:tcW w:w="749" w:type="dxa"/>
          </w:tcPr>
          <w:p w:rsidR="00254328" w:rsidRDefault="00BA4391" w:rsidP="0034692C">
            <w:pPr>
              <w:jc w:val="center"/>
            </w:pPr>
            <w:r>
              <w:t>6.946</w:t>
            </w:r>
          </w:p>
        </w:tc>
        <w:tc>
          <w:tcPr>
            <w:tcW w:w="1082" w:type="dxa"/>
          </w:tcPr>
          <w:p w:rsidR="00254328" w:rsidRDefault="00BA4391" w:rsidP="0034692C">
            <w:pPr>
              <w:jc w:val="center"/>
            </w:pPr>
            <w:r>
              <w:t>1.207</w:t>
            </w:r>
          </w:p>
        </w:tc>
        <w:tc>
          <w:tcPr>
            <w:tcW w:w="1186" w:type="dxa"/>
          </w:tcPr>
          <w:p w:rsidR="00254328" w:rsidRDefault="00BA4391" w:rsidP="0034692C">
            <w:pPr>
              <w:jc w:val="center"/>
            </w:pPr>
            <w:r>
              <w:t>17.37</w:t>
            </w:r>
          </w:p>
        </w:tc>
      </w:tr>
      <w:tr w:rsidR="00254328" w:rsidTr="0034692C">
        <w:tc>
          <w:tcPr>
            <w:tcW w:w="1870" w:type="dxa"/>
          </w:tcPr>
          <w:p w:rsidR="00254328" w:rsidRDefault="00254328" w:rsidP="0034692C">
            <w:pPr>
              <w:jc w:val="center"/>
            </w:pPr>
            <w:r>
              <w:t>Murabaha &amp; Financial Activities to Total Assets</w:t>
            </w:r>
          </w:p>
        </w:tc>
        <w:tc>
          <w:tcPr>
            <w:tcW w:w="776" w:type="dxa"/>
          </w:tcPr>
          <w:p w:rsidR="00254328" w:rsidRDefault="00254328" w:rsidP="0034692C">
            <w:pPr>
              <w:jc w:val="center"/>
            </w:pPr>
            <w:r>
              <w:t>87.11</w:t>
            </w:r>
          </w:p>
        </w:tc>
        <w:tc>
          <w:tcPr>
            <w:tcW w:w="926" w:type="dxa"/>
          </w:tcPr>
          <w:p w:rsidR="00254328" w:rsidRDefault="00254328" w:rsidP="0034692C">
            <w:pPr>
              <w:jc w:val="center"/>
            </w:pPr>
            <w:r>
              <w:t>88.10</w:t>
            </w:r>
          </w:p>
        </w:tc>
        <w:tc>
          <w:tcPr>
            <w:tcW w:w="770" w:type="dxa"/>
          </w:tcPr>
          <w:p w:rsidR="00254328" w:rsidRDefault="00254328" w:rsidP="0034692C">
            <w:pPr>
              <w:jc w:val="center"/>
            </w:pPr>
            <w:r>
              <w:t>87.36</w:t>
            </w:r>
          </w:p>
        </w:tc>
        <w:tc>
          <w:tcPr>
            <w:tcW w:w="926" w:type="dxa"/>
          </w:tcPr>
          <w:p w:rsidR="00254328" w:rsidRDefault="00254328" w:rsidP="0034692C">
            <w:pPr>
              <w:jc w:val="center"/>
            </w:pPr>
            <w:r>
              <w:t>85.32</w:t>
            </w:r>
          </w:p>
        </w:tc>
        <w:tc>
          <w:tcPr>
            <w:tcW w:w="926" w:type="dxa"/>
          </w:tcPr>
          <w:p w:rsidR="00254328" w:rsidRDefault="00254328" w:rsidP="0034692C">
            <w:pPr>
              <w:jc w:val="center"/>
            </w:pPr>
            <w:r>
              <w:t>85.50</w:t>
            </w:r>
          </w:p>
        </w:tc>
        <w:tc>
          <w:tcPr>
            <w:tcW w:w="749" w:type="dxa"/>
          </w:tcPr>
          <w:p w:rsidR="00254328" w:rsidRDefault="00BA4391" w:rsidP="0034692C">
            <w:pPr>
              <w:jc w:val="center"/>
            </w:pPr>
            <w:r>
              <w:t>86.67</w:t>
            </w:r>
          </w:p>
        </w:tc>
        <w:tc>
          <w:tcPr>
            <w:tcW w:w="1082" w:type="dxa"/>
          </w:tcPr>
          <w:p w:rsidR="00254328" w:rsidRDefault="00BA4391" w:rsidP="0034692C">
            <w:pPr>
              <w:jc w:val="center"/>
            </w:pPr>
            <w:r>
              <w:t>1.215</w:t>
            </w:r>
          </w:p>
        </w:tc>
        <w:tc>
          <w:tcPr>
            <w:tcW w:w="1186" w:type="dxa"/>
          </w:tcPr>
          <w:p w:rsidR="00254328" w:rsidRDefault="00BA4391" w:rsidP="0034692C">
            <w:pPr>
              <w:jc w:val="center"/>
            </w:pPr>
            <w:r>
              <w:t>1.40</w:t>
            </w:r>
          </w:p>
        </w:tc>
      </w:tr>
    </w:tbl>
    <w:p w:rsidR="007A66AA" w:rsidRDefault="007A66AA" w:rsidP="00FF73D7">
      <w:pPr>
        <w:rPr>
          <w:b/>
          <w:bCs/>
          <w:sz w:val="28"/>
          <w:szCs w:val="28"/>
        </w:rPr>
      </w:pPr>
    </w:p>
    <w:p w:rsidR="00FF73D7" w:rsidRPr="00834ABB" w:rsidRDefault="00FF73D7" w:rsidP="00834ABB">
      <w:pPr>
        <w:jc w:val="center"/>
        <w:rPr>
          <w:b/>
          <w:bCs/>
          <w:sz w:val="28"/>
          <w:szCs w:val="28"/>
        </w:rPr>
      </w:pPr>
      <w:r w:rsidRPr="005C21A1">
        <w:rPr>
          <w:b/>
          <w:bCs/>
          <w:sz w:val="28"/>
          <w:szCs w:val="28"/>
        </w:rPr>
        <w:t>Share Performance</w:t>
      </w:r>
      <w:r>
        <w:rPr>
          <w:b/>
          <w:bCs/>
          <w:sz w:val="28"/>
          <w:szCs w:val="28"/>
        </w:rPr>
        <w:t xml:space="preserve"> indicators</w:t>
      </w:r>
    </w:p>
    <w:p w:rsidR="00FF73D7" w:rsidRDefault="00FF73D7" w:rsidP="00FF73D7">
      <w:pPr>
        <w:rPr>
          <w:b/>
          <w:bCs/>
          <w:sz w:val="24"/>
          <w:szCs w:val="24"/>
        </w:rPr>
      </w:pPr>
      <w:r w:rsidRPr="005C21A1">
        <w:rPr>
          <w:b/>
          <w:bCs/>
          <w:sz w:val="24"/>
          <w:szCs w:val="24"/>
        </w:rPr>
        <w:t>Market Value</w:t>
      </w:r>
    </w:p>
    <w:p w:rsidR="00FF73D7" w:rsidRPr="00333A5D" w:rsidRDefault="00FF73D7" w:rsidP="00FF73D7">
      <w:pPr>
        <w:rPr>
          <w:rFonts w:asciiTheme="majorBidi" w:hAnsiTheme="majorBidi" w:cstheme="majorBidi"/>
          <w:sz w:val="24"/>
          <w:szCs w:val="24"/>
        </w:rPr>
      </w:pPr>
      <w:r w:rsidRPr="00333A5D">
        <w:rPr>
          <w:rFonts w:asciiTheme="majorBidi" w:hAnsiTheme="majorBidi" w:cstheme="majorBidi"/>
          <w:sz w:val="24"/>
          <w:szCs w:val="24"/>
        </w:rPr>
        <w:t>Tables 9 and 10 below show the developments of share prices over the years 2003-2007.</w:t>
      </w:r>
      <w:r w:rsidR="00990FBD" w:rsidRPr="00333A5D">
        <w:rPr>
          <w:rFonts w:asciiTheme="majorBidi" w:hAnsiTheme="majorBidi" w:cstheme="majorBidi"/>
          <w:sz w:val="24"/>
          <w:szCs w:val="24"/>
        </w:rPr>
        <w:t xml:space="preserve"> The mean of the prices is </w:t>
      </w:r>
      <w:r w:rsidR="00055287">
        <w:rPr>
          <w:rFonts w:asciiTheme="majorBidi" w:hAnsiTheme="majorBidi" w:cstheme="majorBidi"/>
          <w:sz w:val="24"/>
          <w:szCs w:val="24"/>
        </w:rPr>
        <w:t xml:space="preserve">AED </w:t>
      </w:r>
      <w:r w:rsidR="00990FBD" w:rsidRPr="00333A5D">
        <w:rPr>
          <w:rFonts w:asciiTheme="majorBidi" w:hAnsiTheme="majorBidi" w:cstheme="majorBidi"/>
          <w:sz w:val="24"/>
          <w:szCs w:val="24"/>
        </w:rPr>
        <w:t>53.16 in</w:t>
      </w:r>
      <w:r w:rsidRPr="00333A5D">
        <w:rPr>
          <w:rFonts w:asciiTheme="majorBidi" w:hAnsiTheme="majorBidi" w:cstheme="majorBidi"/>
          <w:sz w:val="24"/>
          <w:szCs w:val="24"/>
        </w:rPr>
        <w:t xml:space="preserve"> Abu Dhabi</w:t>
      </w:r>
      <w:r w:rsidR="00990FBD" w:rsidRPr="00333A5D">
        <w:rPr>
          <w:rFonts w:asciiTheme="majorBidi" w:hAnsiTheme="majorBidi" w:cstheme="majorBidi"/>
          <w:sz w:val="24"/>
          <w:szCs w:val="24"/>
        </w:rPr>
        <w:t xml:space="preserve"> Islamic bank</w:t>
      </w:r>
      <w:r w:rsidRPr="00333A5D">
        <w:rPr>
          <w:rFonts w:asciiTheme="majorBidi" w:hAnsiTheme="majorBidi" w:cstheme="majorBidi"/>
          <w:sz w:val="24"/>
          <w:szCs w:val="24"/>
        </w:rPr>
        <w:t xml:space="preserve"> which is</w:t>
      </w:r>
      <w:r w:rsidR="00990FBD" w:rsidRPr="00333A5D">
        <w:rPr>
          <w:rFonts w:asciiTheme="majorBidi" w:hAnsiTheme="majorBidi" w:cstheme="majorBidi"/>
          <w:sz w:val="24"/>
          <w:szCs w:val="24"/>
        </w:rPr>
        <w:t xml:space="preserve"> more</w:t>
      </w:r>
      <w:r w:rsidRPr="00333A5D">
        <w:rPr>
          <w:rFonts w:asciiTheme="majorBidi" w:hAnsiTheme="majorBidi" w:cstheme="majorBidi"/>
          <w:sz w:val="24"/>
          <w:szCs w:val="24"/>
        </w:rPr>
        <w:t xml:space="preserve"> than</w:t>
      </w:r>
      <w:r w:rsidR="00153B40" w:rsidRPr="00333A5D">
        <w:rPr>
          <w:rFonts w:asciiTheme="majorBidi" w:hAnsiTheme="majorBidi" w:cstheme="majorBidi"/>
          <w:sz w:val="24"/>
          <w:szCs w:val="24"/>
        </w:rPr>
        <w:t xml:space="preserve"> the mean of the share prices of </w:t>
      </w:r>
      <w:r w:rsidRPr="00333A5D">
        <w:rPr>
          <w:rFonts w:asciiTheme="majorBidi" w:hAnsiTheme="majorBidi" w:cstheme="majorBidi"/>
          <w:sz w:val="24"/>
          <w:szCs w:val="24"/>
        </w:rPr>
        <w:t>Dubai</w:t>
      </w:r>
      <w:r w:rsidR="00153B40" w:rsidRPr="00333A5D">
        <w:rPr>
          <w:rFonts w:asciiTheme="majorBidi" w:hAnsiTheme="majorBidi" w:cstheme="majorBidi"/>
          <w:sz w:val="24"/>
          <w:szCs w:val="24"/>
        </w:rPr>
        <w:t xml:space="preserve"> Islamic bank which is </w:t>
      </w:r>
      <w:r w:rsidR="00033D6A">
        <w:rPr>
          <w:rFonts w:asciiTheme="majorBidi" w:hAnsiTheme="majorBidi" w:cstheme="majorBidi"/>
          <w:sz w:val="24"/>
          <w:szCs w:val="24"/>
        </w:rPr>
        <w:t xml:space="preserve">AED </w:t>
      </w:r>
      <w:r w:rsidR="00153B40" w:rsidRPr="00333A5D">
        <w:rPr>
          <w:rFonts w:asciiTheme="majorBidi" w:hAnsiTheme="majorBidi" w:cstheme="majorBidi"/>
          <w:sz w:val="24"/>
          <w:szCs w:val="24"/>
        </w:rPr>
        <w:t>37.586</w:t>
      </w:r>
      <w:r w:rsidRPr="00333A5D">
        <w:rPr>
          <w:rFonts w:asciiTheme="majorBidi" w:hAnsiTheme="majorBidi" w:cstheme="majorBidi"/>
          <w:sz w:val="24"/>
          <w:szCs w:val="24"/>
        </w:rPr>
        <w:t>. This means that the public were more willing to in</w:t>
      </w:r>
      <w:r w:rsidR="00153B40" w:rsidRPr="00333A5D">
        <w:rPr>
          <w:rFonts w:asciiTheme="majorBidi" w:hAnsiTheme="majorBidi" w:cstheme="majorBidi"/>
          <w:sz w:val="24"/>
          <w:szCs w:val="24"/>
        </w:rPr>
        <w:t>vest in Abu Dhabi Islamic bank</w:t>
      </w:r>
      <w:r w:rsidR="00E031B2" w:rsidRPr="00333A5D">
        <w:rPr>
          <w:rFonts w:asciiTheme="majorBidi" w:hAnsiTheme="majorBidi" w:cstheme="majorBidi"/>
          <w:sz w:val="24"/>
          <w:szCs w:val="24"/>
        </w:rPr>
        <w:t>. Both banks have very level of instability of the share price movements</w:t>
      </w:r>
      <w:r w:rsidR="00F66AB9" w:rsidRPr="00333A5D">
        <w:rPr>
          <w:rFonts w:asciiTheme="majorBidi" w:hAnsiTheme="majorBidi" w:cstheme="majorBidi"/>
          <w:sz w:val="24"/>
          <w:szCs w:val="24"/>
        </w:rPr>
        <w:t xml:space="preserve"> </w:t>
      </w:r>
      <w:r w:rsidR="00E031B2" w:rsidRPr="00333A5D">
        <w:rPr>
          <w:rFonts w:asciiTheme="majorBidi" w:hAnsiTheme="majorBidi" w:cstheme="majorBidi"/>
          <w:sz w:val="24"/>
          <w:szCs w:val="24"/>
        </w:rPr>
        <w:t>as we have high</w:t>
      </w:r>
      <w:r w:rsidRPr="00333A5D">
        <w:rPr>
          <w:rFonts w:asciiTheme="majorBidi" w:hAnsiTheme="majorBidi" w:cstheme="majorBidi"/>
          <w:sz w:val="24"/>
          <w:szCs w:val="24"/>
        </w:rPr>
        <w:t xml:space="preserve"> standard deviation and hig</w:t>
      </w:r>
      <w:r w:rsidR="00F66AB9" w:rsidRPr="00333A5D">
        <w:rPr>
          <w:rFonts w:asciiTheme="majorBidi" w:hAnsiTheme="majorBidi" w:cstheme="majorBidi"/>
          <w:sz w:val="24"/>
          <w:szCs w:val="24"/>
        </w:rPr>
        <w:t>h coefficient of variation.</w:t>
      </w:r>
      <w:r w:rsidR="00033D6A">
        <w:rPr>
          <w:rFonts w:asciiTheme="majorBidi" w:hAnsiTheme="majorBidi" w:cstheme="majorBidi"/>
          <w:sz w:val="24"/>
          <w:szCs w:val="24"/>
        </w:rPr>
        <w:t xml:space="preserve"> There are two</w:t>
      </w:r>
      <w:r w:rsidR="00333A5D" w:rsidRPr="00333A5D">
        <w:rPr>
          <w:rFonts w:asciiTheme="majorBidi" w:hAnsiTheme="majorBidi" w:cstheme="majorBidi"/>
          <w:sz w:val="24"/>
          <w:szCs w:val="24"/>
        </w:rPr>
        <w:t xml:space="preserve"> reason</w:t>
      </w:r>
      <w:r w:rsidR="00033D6A">
        <w:rPr>
          <w:rFonts w:asciiTheme="majorBidi" w:hAnsiTheme="majorBidi" w:cstheme="majorBidi"/>
          <w:sz w:val="24"/>
          <w:szCs w:val="24"/>
        </w:rPr>
        <w:t>s behind</w:t>
      </w:r>
      <w:r w:rsidR="00333A5D" w:rsidRPr="00333A5D">
        <w:rPr>
          <w:rFonts w:asciiTheme="majorBidi" w:hAnsiTheme="majorBidi" w:cstheme="majorBidi"/>
          <w:sz w:val="24"/>
          <w:szCs w:val="24"/>
        </w:rPr>
        <w:t xml:space="preserve"> this high instability</w:t>
      </w:r>
      <w:r w:rsidR="00033D6A">
        <w:rPr>
          <w:rFonts w:asciiTheme="majorBidi" w:hAnsiTheme="majorBidi" w:cstheme="majorBidi"/>
          <w:sz w:val="24"/>
          <w:szCs w:val="24"/>
        </w:rPr>
        <w:t>. The first one</w:t>
      </w:r>
      <w:r w:rsidR="00333A5D" w:rsidRPr="00333A5D">
        <w:rPr>
          <w:rFonts w:asciiTheme="majorBidi" w:hAnsiTheme="majorBidi" w:cstheme="majorBidi"/>
          <w:sz w:val="24"/>
          <w:szCs w:val="24"/>
        </w:rPr>
        <w:t xml:space="preserve"> is the shift of investments to other high profitability sectors es</w:t>
      </w:r>
      <w:r w:rsidR="00035458">
        <w:rPr>
          <w:rFonts w:asciiTheme="majorBidi" w:hAnsiTheme="majorBidi" w:cstheme="majorBidi"/>
          <w:sz w:val="24"/>
          <w:szCs w:val="24"/>
        </w:rPr>
        <w:t>pecially to the property sector</w:t>
      </w:r>
      <w:r w:rsidR="00333A5D" w:rsidRPr="00333A5D">
        <w:rPr>
          <w:rFonts w:asciiTheme="majorBidi" w:hAnsiTheme="majorBidi" w:cstheme="majorBidi"/>
          <w:sz w:val="24"/>
          <w:szCs w:val="24"/>
        </w:rPr>
        <w:t>.</w:t>
      </w:r>
      <w:r w:rsidR="00033D6A">
        <w:rPr>
          <w:rFonts w:asciiTheme="majorBidi" w:hAnsiTheme="majorBidi" w:cstheme="majorBidi"/>
          <w:sz w:val="24"/>
          <w:szCs w:val="24"/>
        </w:rPr>
        <w:t xml:space="preserve"> The second reason is the economic crises of 2007.</w:t>
      </w:r>
      <w:r w:rsidR="00333A5D" w:rsidRPr="00333A5D">
        <w:rPr>
          <w:rFonts w:asciiTheme="majorBidi" w:hAnsiTheme="majorBidi" w:cstheme="majorBidi"/>
          <w:sz w:val="24"/>
          <w:szCs w:val="24"/>
        </w:rPr>
        <w:t xml:space="preserve">     </w:t>
      </w:r>
    </w:p>
    <w:p w:rsidR="00FF73D7" w:rsidRPr="00333A5D" w:rsidRDefault="007A3E16" w:rsidP="00FF73D7">
      <w:pPr>
        <w:rPr>
          <w:rFonts w:asciiTheme="majorBidi" w:hAnsiTheme="majorBidi" w:cstheme="majorBidi"/>
          <w:b/>
          <w:bCs/>
          <w:sz w:val="24"/>
          <w:szCs w:val="24"/>
        </w:rPr>
      </w:pPr>
      <w:r w:rsidRPr="00333A5D">
        <w:rPr>
          <w:rFonts w:asciiTheme="majorBidi" w:hAnsiTheme="majorBidi" w:cstheme="majorBidi"/>
          <w:b/>
          <w:bCs/>
          <w:sz w:val="24"/>
          <w:szCs w:val="24"/>
        </w:rPr>
        <w:t>Price E</w:t>
      </w:r>
      <w:r w:rsidR="00FF73D7" w:rsidRPr="00333A5D">
        <w:rPr>
          <w:rFonts w:asciiTheme="majorBidi" w:hAnsiTheme="majorBidi" w:cstheme="majorBidi"/>
          <w:b/>
          <w:bCs/>
          <w:sz w:val="24"/>
          <w:szCs w:val="24"/>
        </w:rPr>
        <w:t>arning</w:t>
      </w:r>
      <w:r w:rsidRPr="00333A5D">
        <w:rPr>
          <w:rFonts w:asciiTheme="majorBidi" w:hAnsiTheme="majorBidi" w:cstheme="majorBidi"/>
          <w:b/>
          <w:bCs/>
          <w:sz w:val="24"/>
          <w:szCs w:val="24"/>
        </w:rPr>
        <w:t>s</w:t>
      </w:r>
      <w:r w:rsidR="00FF73D7" w:rsidRPr="00333A5D">
        <w:rPr>
          <w:rFonts w:asciiTheme="majorBidi" w:hAnsiTheme="majorBidi" w:cstheme="majorBidi"/>
          <w:b/>
          <w:bCs/>
          <w:sz w:val="24"/>
          <w:szCs w:val="24"/>
        </w:rPr>
        <w:t xml:space="preserve"> Ratios</w:t>
      </w:r>
    </w:p>
    <w:p w:rsidR="00FF73D7" w:rsidRPr="00333A5D" w:rsidRDefault="00FF73D7" w:rsidP="00FF73D7">
      <w:pPr>
        <w:rPr>
          <w:rFonts w:asciiTheme="majorBidi" w:hAnsiTheme="majorBidi" w:cstheme="majorBidi"/>
          <w:sz w:val="24"/>
          <w:szCs w:val="24"/>
        </w:rPr>
      </w:pPr>
      <w:r w:rsidRPr="00333A5D">
        <w:rPr>
          <w:rFonts w:asciiTheme="majorBidi" w:hAnsiTheme="majorBidi" w:cstheme="majorBidi"/>
          <w:sz w:val="24"/>
          <w:szCs w:val="24"/>
        </w:rPr>
        <w:t xml:space="preserve">This ratio relates the share price to the earnings per share. This ratio expresses the multiple that the market places on a firm’s earnings per share. A high P/E multiple often reflects the market’s perception of the firm’s growth prospects. Thus, if investors believe that a firm’s future earnings </w:t>
      </w:r>
      <w:r w:rsidRPr="00333A5D">
        <w:rPr>
          <w:rFonts w:asciiTheme="majorBidi" w:hAnsiTheme="majorBidi" w:cstheme="majorBidi"/>
          <w:sz w:val="24"/>
          <w:szCs w:val="24"/>
        </w:rPr>
        <w:lastRenderedPageBreak/>
        <w:t>potential is good, they may be willing to pay a higher price for the stock and thus boost its P/E multiple.  The mean measurement in tables 9 and 10 is slightly different between the two banks. On average, investors are</w:t>
      </w:r>
      <w:r w:rsidR="006F5F41">
        <w:rPr>
          <w:rFonts w:asciiTheme="majorBidi" w:hAnsiTheme="majorBidi" w:cstheme="majorBidi"/>
          <w:sz w:val="24"/>
          <w:szCs w:val="24"/>
        </w:rPr>
        <w:t xml:space="preserve"> willing to buy a share of Dubai Islamic bank at price of 23</w:t>
      </w:r>
      <w:r w:rsidRPr="00333A5D">
        <w:rPr>
          <w:rFonts w:asciiTheme="majorBidi" w:hAnsiTheme="majorBidi" w:cstheme="majorBidi"/>
          <w:sz w:val="24"/>
          <w:szCs w:val="24"/>
        </w:rPr>
        <w:t xml:space="preserve"> times more the its earnings per share, while the case of </w:t>
      </w:r>
      <w:r w:rsidR="006F5F41">
        <w:rPr>
          <w:rFonts w:asciiTheme="majorBidi" w:hAnsiTheme="majorBidi" w:cstheme="majorBidi"/>
          <w:sz w:val="24"/>
          <w:szCs w:val="24"/>
        </w:rPr>
        <w:t>national bank of Abu Dhabi is 25</w:t>
      </w:r>
      <w:r w:rsidRPr="00333A5D">
        <w:rPr>
          <w:rFonts w:asciiTheme="majorBidi" w:hAnsiTheme="majorBidi" w:cstheme="majorBidi"/>
          <w:sz w:val="24"/>
          <w:szCs w:val="24"/>
        </w:rPr>
        <w:t xml:space="preserve"> times. The standard deviation and the coefficient of variation show high dispersion and more instability of this ratio in relation </w:t>
      </w:r>
      <w:r w:rsidR="006F5F41">
        <w:rPr>
          <w:rFonts w:asciiTheme="majorBidi" w:hAnsiTheme="majorBidi" w:cstheme="majorBidi"/>
          <w:sz w:val="24"/>
          <w:szCs w:val="24"/>
        </w:rPr>
        <w:t xml:space="preserve">to both banks. The mean reason for this high instability is the high volatility of the prices especially in the year of 2007.  </w:t>
      </w:r>
    </w:p>
    <w:p w:rsidR="00FF73D7" w:rsidRPr="003E54D0" w:rsidRDefault="00FF73D7" w:rsidP="00FF73D7">
      <w:pPr>
        <w:rPr>
          <w:rFonts w:asciiTheme="majorBidi" w:hAnsiTheme="majorBidi" w:cstheme="majorBidi"/>
          <w:b/>
          <w:bCs/>
          <w:sz w:val="24"/>
          <w:szCs w:val="24"/>
        </w:rPr>
      </w:pPr>
      <w:r w:rsidRPr="003E54D0">
        <w:rPr>
          <w:rFonts w:asciiTheme="majorBidi" w:hAnsiTheme="majorBidi" w:cstheme="majorBidi"/>
          <w:b/>
          <w:bCs/>
          <w:sz w:val="24"/>
          <w:szCs w:val="24"/>
        </w:rPr>
        <w:t xml:space="preserve">Market Value to Book Value </w:t>
      </w:r>
    </w:p>
    <w:p w:rsidR="00FF73D7" w:rsidRPr="00834ABB" w:rsidRDefault="00FF73D7" w:rsidP="00834ABB">
      <w:pPr>
        <w:rPr>
          <w:rFonts w:asciiTheme="majorBidi" w:hAnsiTheme="majorBidi" w:cstheme="majorBidi"/>
          <w:sz w:val="24"/>
          <w:szCs w:val="24"/>
        </w:rPr>
      </w:pPr>
      <w:r w:rsidRPr="003E54D0">
        <w:rPr>
          <w:rFonts w:asciiTheme="majorBidi" w:hAnsiTheme="majorBidi" w:cstheme="majorBidi"/>
          <w:sz w:val="24"/>
          <w:szCs w:val="24"/>
        </w:rPr>
        <w:t>This ratio structures the relation of share price to book value.  This ratio is a blend of historical accounting and market indicators. It expresses the differential between the book value of the net assets of a firm and the market value of it.  A high ratio means an</w:t>
      </w:r>
      <w:r w:rsidR="002417AC">
        <w:rPr>
          <w:rFonts w:asciiTheme="majorBidi" w:hAnsiTheme="majorBidi" w:cstheme="majorBidi"/>
          <w:sz w:val="24"/>
          <w:szCs w:val="24"/>
        </w:rPr>
        <w:t xml:space="preserve"> increase in the stock price over </w:t>
      </w:r>
      <w:r w:rsidRPr="003E54D0">
        <w:rPr>
          <w:rFonts w:asciiTheme="majorBidi" w:hAnsiTheme="majorBidi" w:cstheme="majorBidi"/>
          <w:sz w:val="24"/>
          <w:szCs w:val="24"/>
        </w:rPr>
        <w:t>the book value per share, and the company is doing well, since the market is willing to pay more than the equity p</w:t>
      </w:r>
      <w:r w:rsidR="003E54D0">
        <w:rPr>
          <w:rFonts w:asciiTheme="majorBidi" w:hAnsiTheme="majorBidi" w:cstheme="majorBidi"/>
          <w:sz w:val="24"/>
          <w:szCs w:val="24"/>
        </w:rPr>
        <w:t>er share. Tables 9 and 10 show</w:t>
      </w:r>
      <w:r w:rsidRPr="003E54D0">
        <w:rPr>
          <w:rFonts w:asciiTheme="majorBidi" w:hAnsiTheme="majorBidi" w:cstheme="majorBidi"/>
          <w:sz w:val="24"/>
          <w:szCs w:val="24"/>
        </w:rPr>
        <w:t xml:space="preserve"> that the mean of this ratio fo</w:t>
      </w:r>
      <w:r w:rsidR="003E54D0">
        <w:rPr>
          <w:rFonts w:asciiTheme="majorBidi" w:hAnsiTheme="majorBidi" w:cstheme="majorBidi"/>
          <w:sz w:val="24"/>
          <w:szCs w:val="24"/>
        </w:rPr>
        <w:t>r the Dubai Islamic bank is 4.924 times,</w:t>
      </w:r>
      <w:r w:rsidR="004C5074">
        <w:rPr>
          <w:rFonts w:asciiTheme="majorBidi" w:hAnsiTheme="majorBidi" w:cstheme="majorBidi"/>
          <w:sz w:val="24"/>
          <w:szCs w:val="24"/>
        </w:rPr>
        <w:t xml:space="preserve"> which is higher than the</w:t>
      </w:r>
      <w:r w:rsidRPr="003E54D0">
        <w:rPr>
          <w:rFonts w:asciiTheme="majorBidi" w:hAnsiTheme="majorBidi" w:cstheme="majorBidi"/>
          <w:sz w:val="24"/>
          <w:szCs w:val="24"/>
        </w:rPr>
        <w:t xml:space="preserve"> </w:t>
      </w:r>
      <w:r w:rsidR="003E54D0">
        <w:rPr>
          <w:rFonts w:asciiTheme="majorBidi" w:hAnsiTheme="majorBidi" w:cstheme="majorBidi"/>
          <w:sz w:val="24"/>
          <w:szCs w:val="24"/>
        </w:rPr>
        <w:t>mean</w:t>
      </w:r>
      <w:r w:rsidR="004C5074">
        <w:rPr>
          <w:rFonts w:asciiTheme="majorBidi" w:hAnsiTheme="majorBidi" w:cstheme="majorBidi"/>
          <w:sz w:val="24"/>
          <w:szCs w:val="24"/>
        </w:rPr>
        <w:t xml:space="preserve"> percentage of</w:t>
      </w:r>
      <w:r w:rsidR="003E54D0">
        <w:rPr>
          <w:rFonts w:asciiTheme="majorBidi" w:hAnsiTheme="majorBidi" w:cstheme="majorBidi"/>
          <w:sz w:val="24"/>
          <w:szCs w:val="24"/>
        </w:rPr>
        <w:t xml:space="preserve"> Abu Dhabi Islamic bank is 3.216</w:t>
      </w:r>
      <w:r w:rsidR="004C5074">
        <w:rPr>
          <w:rFonts w:asciiTheme="majorBidi" w:hAnsiTheme="majorBidi" w:cstheme="majorBidi"/>
          <w:sz w:val="24"/>
          <w:szCs w:val="24"/>
        </w:rPr>
        <w:t xml:space="preserve"> times. Both banks have very high </w:t>
      </w:r>
      <w:r w:rsidRPr="003E54D0">
        <w:rPr>
          <w:rFonts w:asciiTheme="majorBidi" w:hAnsiTheme="majorBidi" w:cstheme="majorBidi"/>
          <w:sz w:val="24"/>
          <w:szCs w:val="24"/>
        </w:rPr>
        <w:t>coefficient of variation</w:t>
      </w:r>
      <w:r w:rsidR="004C5074">
        <w:rPr>
          <w:rFonts w:asciiTheme="majorBidi" w:hAnsiTheme="majorBidi" w:cstheme="majorBidi"/>
          <w:sz w:val="24"/>
          <w:szCs w:val="24"/>
        </w:rPr>
        <w:t xml:space="preserve"> which reflect high instability in this ratio</w:t>
      </w:r>
      <w:r w:rsidRPr="003E54D0">
        <w:rPr>
          <w:rFonts w:asciiTheme="majorBidi" w:hAnsiTheme="majorBidi" w:cstheme="majorBidi"/>
          <w:sz w:val="24"/>
          <w:szCs w:val="24"/>
        </w:rPr>
        <w:t>. This ratio is affected by both inside and outsid</w:t>
      </w:r>
      <w:r w:rsidR="00834ABB">
        <w:rPr>
          <w:rFonts w:asciiTheme="majorBidi" w:hAnsiTheme="majorBidi" w:cstheme="majorBidi"/>
          <w:sz w:val="24"/>
          <w:szCs w:val="24"/>
        </w:rPr>
        <w:t>e finance and economic factors.</w:t>
      </w:r>
    </w:p>
    <w:p w:rsidR="00FF73D7" w:rsidRPr="004C5074" w:rsidRDefault="00FF73D7" w:rsidP="00FF73D7">
      <w:pPr>
        <w:rPr>
          <w:rFonts w:asciiTheme="majorBidi" w:hAnsiTheme="majorBidi" w:cstheme="majorBidi"/>
          <w:b/>
          <w:bCs/>
          <w:sz w:val="24"/>
          <w:szCs w:val="24"/>
        </w:rPr>
      </w:pPr>
      <w:r w:rsidRPr="004C5074">
        <w:rPr>
          <w:rFonts w:asciiTheme="majorBidi" w:hAnsiTheme="majorBidi" w:cstheme="majorBidi"/>
          <w:b/>
          <w:bCs/>
          <w:sz w:val="24"/>
          <w:szCs w:val="24"/>
        </w:rPr>
        <w:t>Earnings per Share</w:t>
      </w:r>
    </w:p>
    <w:p w:rsidR="00FF73D7" w:rsidRPr="004C5074" w:rsidRDefault="00FF73D7" w:rsidP="004D6505">
      <w:pPr>
        <w:rPr>
          <w:rFonts w:asciiTheme="majorBidi" w:hAnsiTheme="majorBidi" w:cstheme="majorBidi"/>
          <w:sz w:val="24"/>
          <w:szCs w:val="24"/>
        </w:rPr>
      </w:pPr>
      <w:r w:rsidRPr="004C5074">
        <w:rPr>
          <w:rFonts w:asciiTheme="majorBidi" w:hAnsiTheme="majorBidi" w:cstheme="majorBidi"/>
          <w:sz w:val="24"/>
          <w:szCs w:val="24"/>
        </w:rPr>
        <w:t>This ratio measures the profitability of the shareholder’s equity. The ratio provides a measure of overall performance and is an indicator of the possible amount of dividends that may be expected. The analysis in tables 9 and 10, b</w:t>
      </w:r>
      <w:r w:rsidR="00033D6A">
        <w:rPr>
          <w:rFonts w:asciiTheme="majorBidi" w:hAnsiTheme="majorBidi" w:cstheme="majorBidi"/>
          <w:sz w:val="24"/>
          <w:szCs w:val="24"/>
        </w:rPr>
        <w:t>elow shows that</w:t>
      </w:r>
      <w:r w:rsidRPr="004C5074">
        <w:rPr>
          <w:rFonts w:asciiTheme="majorBidi" w:hAnsiTheme="majorBidi" w:cstheme="majorBidi"/>
          <w:sz w:val="24"/>
          <w:szCs w:val="24"/>
        </w:rPr>
        <w:t xml:space="preserve"> Abu Dhabi </w:t>
      </w:r>
      <w:r w:rsidR="00033D6A">
        <w:rPr>
          <w:rFonts w:asciiTheme="majorBidi" w:hAnsiTheme="majorBidi" w:cstheme="majorBidi"/>
          <w:sz w:val="24"/>
          <w:szCs w:val="24"/>
        </w:rPr>
        <w:t xml:space="preserve">Islamic bank </w:t>
      </w:r>
      <w:r w:rsidRPr="004C5074">
        <w:rPr>
          <w:rFonts w:asciiTheme="majorBidi" w:hAnsiTheme="majorBidi" w:cstheme="majorBidi"/>
          <w:sz w:val="24"/>
          <w:szCs w:val="24"/>
        </w:rPr>
        <w:t>enjoy</w:t>
      </w:r>
      <w:r w:rsidR="00033D6A">
        <w:rPr>
          <w:rFonts w:asciiTheme="majorBidi" w:hAnsiTheme="majorBidi" w:cstheme="majorBidi"/>
          <w:sz w:val="24"/>
          <w:szCs w:val="24"/>
        </w:rPr>
        <w:t>s</w:t>
      </w:r>
      <w:r w:rsidRPr="004C5074">
        <w:rPr>
          <w:rFonts w:asciiTheme="majorBidi" w:hAnsiTheme="majorBidi" w:cstheme="majorBidi"/>
          <w:sz w:val="24"/>
          <w:szCs w:val="24"/>
        </w:rPr>
        <w:t xml:space="preserve"> high profitability per share </w:t>
      </w:r>
      <w:r w:rsidR="00033D6A">
        <w:rPr>
          <w:rFonts w:asciiTheme="majorBidi" w:hAnsiTheme="majorBidi" w:cstheme="majorBidi"/>
          <w:sz w:val="24"/>
          <w:szCs w:val="24"/>
        </w:rPr>
        <w:t>of AED 2</w:t>
      </w:r>
      <w:r w:rsidR="00333BAD">
        <w:rPr>
          <w:rFonts w:asciiTheme="majorBidi" w:hAnsiTheme="majorBidi" w:cstheme="majorBidi"/>
          <w:sz w:val="24"/>
          <w:szCs w:val="24"/>
        </w:rPr>
        <w:t xml:space="preserve"> </w:t>
      </w:r>
      <w:r w:rsidR="00033D6A">
        <w:rPr>
          <w:rFonts w:asciiTheme="majorBidi" w:hAnsiTheme="majorBidi" w:cstheme="majorBidi"/>
          <w:sz w:val="24"/>
          <w:szCs w:val="24"/>
        </w:rPr>
        <w:t xml:space="preserve">comparing with AED 1.510 for Dubai Islamic bank. Both banks have high coefficient of variation ratio which reflect the high </w:t>
      </w:r>
      <w:r w:rsidR="00055287">
        <w:rPr>
          <w:rFonts w:asciiTheme="majorBidi" w:hAnsiTheme="majorBidi" w:cstheme="majorBidi"/>
          <w:sz w:val="24"/>
          <w:szCs w:val="24"/>
        </w:rPr>
        <w:t xml:space="preserve">instability </w:t>
      </w:r>
      <w:r w:rsidR="00033D6A">
        <w:rPr>
          <w:rFonts w:asciiTheme="majorBidi" w:hAnsiTheme="majorBidi" w:cstheme="majorBidi"/>
          <w:sz w:val="24"/>
          <w:szCs w:val="24"/>
        </w:rPr>
        <w:t>of this indicator</w:t>
      </w:r>
      <w:r w:rsidR="00055287">
        <w:rPr>
          <w:rFonts w:asciiTheme="majorBidi" w:hAnsiTheme="majorBidi" w:cstheme="majorBidi"/>
          <w:sz w:val="24"/>
          <w:szCs w:val="24"/>
        </w:rPr>
        <w:t>.</w:t>
      </w:r>
    </w:p>
    <w:p w:rsidR="00E32E93" w:rsidRPr="00055287" w:rsidRDefault="00C50C59" w:rsidP="002E0AC1">
      <w:pPr>
        <w:rPr>
          <w:rFonts w:asciiTheme="majorBidi" w:hAnsiTheme="majorBidi" w:cstheme="majorBidi"/>
          <w:b/>
          <w:bCs/>
          <w:sz w:val="24"/>
          <w:szCs w:val="24"/>
        </w:rPr>
      </w:pPr>
      <w:r>
        <w:rPr>
          <w:rFonts w:asciiTheme="majorBidi" w:hAnsiTheme="majorBidi" w:cstheme="majorBidi"/>
          <w:b/>
          <w:bCs/>
          <w:sz w:val="24"/>
          <w:szCs w:val="24"/>
        </w:rPr>
        <w:t xml:space="preserve">Table 9: </w:t>
      </w:r>
      <w:r w:rsidR="001738D0" w:rsidRPr="00055287">
        <w:rPr>
          <w:rFonts w:asciiTheme="majorBidi" w:hAnsiTheme="majorBidi" w:cstheme="majorBidi"/>
          <w:b/>
          <w:bCs/>
          <w:sz w:val="24"/>
          <w:szCs w:val="24"/>
        </w:rPr>
        <w:t>Share Performance Indicators: Dubai Islamic Bank</w:t>
      </w:r>
    </w:p>
    <w:tbl>
      <w:tblPr>
        <w:tblStyle w:val="TableGrid"/>
        <w:tblW w:w="0" w:type="auto"/>
        <w:tblInd w:w="-635" w:type="dxa"/>
        <w:tblLook w:val="04A0" w:firstRow="1" w:lastRow="0" w:firstColumn="1" w:lastColumn="0" w:noHBand="0" w:noVBand="1"/>
      </w:tblPr>
      <w:tblGrid>
        <w:gridCol w:w="1867"/>
        <w:gridCol w:w="763"/>
        <w:gridCol w:w="931"/>
        <w:gridCol w:w="756"/>
        <w:gridCol w:w="931"/>
        <w:gridCol w:w="913"/>
        <w:gridCol w:w="876"/>
        <w:gridCol w:w="1163"/>
        <w:gridCol w:w="1296"/>
      </w:tblGrid>
      <w:tr w:rsidR="003117EB" w:rsidRPr="00055287" w:rsidTr="0034692C">
        <w:tc>
          <w:tcPr>
            <w:tcW w:w="1867" w:type="dxa"/>
          </w:tcPr>
          <w:p w:rsidR="003117EB" w:rsidRPr="00055287" w:rsidRDefault="006054B9" w:rsidP="0034692C">
            <w:pPr>
              <w:jc w:val="center"/>
              <w:rPr>
                <w:rFonts w:asciiTheme="majorBidi" w:hAnsiTheme="majorBidi" w:cstheme="majorBidi"/>
                <w:sz w:val="24"/>
                <w:szCs w:val="24"/>
              </w:rPr>
            </w:pPr>
            <w:r>
              <w:rPr>
                <w:rFonts w:asciiTheme="majorBidi" w:hAnsiTheme="majorBidi" w:cstheme="majorBidi"/>
                <w:sz w:val="24"/>
                <w:szCs w:val="24"/>
              </w:rPr>
              <w:t>Indicators</w:t>
            </w:r>
          </w:p>
        </w:tc>
        <w:tc>
          <w:tcPr>
            <w:tcW w:w="763" w:type="dxa"/>
          </w:tcPr>
          <w:p w:rsidR="003117EB" w:rsidRPr="00055287" w:rsidRDefault="003117EB" w:rsidP="0034692C">
            <w:pPr>
              <w:jc w:val="center"/>
              <w:rPr>
                <w:rFonts w:asciiTheme="majorBidi" w:hAnsiTheme="majorBidi" w:cstheme="majorBidi"/>
                <w:sz w:val="24"/>
                <w:szCs w:val="24"/>
              </w:rPr>
            </w:pPr>
            <w:r w:rsidRPr="00055287">
              <w:rPr>
                <w:rFonts w:asciiTheme="majorBidi" w:hAnsiTheme="majorBidi" w:cstheme="majorBidi"/>
                <w:sz w:val="24"/>
                <w:szCs w:val="24"/>
              </w:rPr>
              <w:t>2003</w:t>
            </w:r>
          </w:p>
        </w:tc>
        <w:tc>
          <w:tcPr>
            <w:tcW w:w="931" w:type="dxa"/>
          </w:tcPr>
          <w:p w:rsidR="003117EB" w:rsidRPr="00055287" w:rsidRDefault="003117EB" w:rsidP="0034692C">
            <w:pPr>
              <w:jc w:val="center"/>
              <w:rPr>
                <w:rFonts w:asciiTheme="majorBidi" w:hAnsiTheme="majorBidi" w:cstheme="majorBidi"/>
                <w:sz w:val="24"/>
                <w:szCs w:val="24"/>
              </w:rPr>
            </w:pPr>
            <w:r w:rsidRPr="00055287">
              <w:rPr>
                <w:rFonts w:asciiTheme="majorBidi" w:hAnsiTheme="majorBidi" w:cstheme="majorBidi"/>
                <w:sz w:val="24"/>
                <w:szCs w:val="24"/>
              </w:rPr>
              <w:t>2004</w:t>
            </w:r>
          </w:p>
        </w:tc>
        <w:tc>
          <w:tcPr>
            <w:tcW w:w="756" w:type="dxa"/>
          </w:tcPr>
          <w:p w:rsidR="003117EB" w:rsidRPr="00055287" w:rsidRDefault="003117EB" w:rsidP="0034692C">
            <w:pPr>
              <w:jc w:val="center"/>
              <w:rPr>
                <w:rFonts w:asciiTheme="majorBidi" w:hAnsiTheme="majorBidi" w:cstheme="majorBidi"/>
                <w:sz w:val="24"/>
                <w:szCs w:val="24"/>
              </w:rPr>
            </w:pPr>
            <w:r w:rsidRPr="00055287">
              <w:rPr>
                <w:rFonts w:asciiTheme="majorBidi" w:hAnsiTheme="majorBidi" w:cstheme="majorBidi"/>
                <w:sz w:val="24"/>
                <w:szCs w:val="24"/>
              </w:rPr>
              <w:t>2005</w:t>
            </w:r>
          </w:p>
        </w:tc>
        <w:tc>
          <w:tcPr>
            <w:tcW w:w="931" w:type="dxa"/>
          </w:tcPr>
          <w:p w:rsidR="003117EB" w:rsidRPr="00055287" w:rsidRDefault="003117EB" w:rsidP="0034692C">
            <w:pPr>
              <w:jc w:val="center"/>
              <w:rPr>
                <w:rFonts w:asciiTheme="majorBidi" w:hAnsiTheme="majorBidi" w:cstheme="majorBidi"/>
                <w:sz w:val="24"/>
                <w:szCs w:val="24"/>
              </w:rPr>
            </w:pPr>
            <w:r w:rsidRPr="00055287">
              <w:rPr>
                <w:rFonts w:asciiTheme="majorBidi" w:hAnsiTheme="majorBidi" w:cstheme="majorBidi"/>
                <w:sz w:val="24"/>
                <w:szCs w:val="24"/>
              </w:rPr>
              <w:t>2006</w:t>
            </w:r>
          </w:p>
        </w:tc>
        <w:tc>
          <w:tcPr>
            <w:tcW w:w="913" w:type="dxa"/>
          </w:tcPr>
          <w:p w:rsidR="003117EB" w:rsidRPr="00055287" w:rsidRDefault="003117EB" w:rsidP="0034692C">
            <w:pPr>
              <w:jc w:val="center"/>
              <w:rPr>
                <w:rFonts w:asciiTheme="majorBidi" w:hAnsiTheme="majorBidi" w:cstheme="majorBidi"/>
                <w:sz w:val="24"/>
                <w:szCs w:val="24"/>
              </w:rPr>
            </w:pPr>
            <w:r w:rsidRPr="00055287">
              <w:rPr>
                <w:rFonts w:asciiTheme="majorBidi" w:hAnsiTheme="majorBidi" w:cstheme="majorBidi"/>
                <w:sz w:val="24"/>
                <w:szCs w:val="24"/>
              </w:rPr>
              <w:t>2007</w:t>
            </w:r>
          </w:p>
        </w:tc>
        <w:tc>
          <w:tcPr>
            <w:tcW w:w="812" w:type="dxa"/>
          </w:tcPr>
          <w:p w:rsidR="003117EB" w:rsidRPr="00055287" w:rsidRDefault="003117EB" w:rsidP="0034692C">
            <w:pPr>
              <w:jc w:val="center"/>
              <w:rPr>
                <w:rFonts w:asciiTheme="majorBidi" w:hAnsiTheme="majorBidi" w:cstheme="majorBidi"/>
                <w:sz w:val="24"/>
                <w:szCs w:val="24"/>
              </w:rPr>
            </w:pPr>
            <w:r w:rsidRPr="00055287">
              <w:rPr>
                <w:rFonts w:asciiTheme="majorBidi" w:hAnsiTheme="majorBidi" w:cstheme="majorBidi"/>
                <w:sz w:val="24"/>
                <w:szCs w:val="24"/>
              </w:rPr>
              <w:t>Mean</w:t>
            </w:r>
          </w:p>
        </w:tc>
        <w:tc>
          <w:tcPr>
            <w:tcW w:w="1083" w:type="dxa"/>
          </w:tcPr>
          <w:p w:rsidR="003117EB" w:rsidRPr="00055287" w:rsidRDefault="003117EB" w:rsidP="0034692C">
            <w:pPr>
              <w:jc w:val="center"/>
              <w:rPr>
                <w:rFonts w:asciiTheme="majorBidi" w:hAnsiTheme="majorBidi" w:cstheme="majorBidi"/>
                <w:sz w:val="24"/>
                <w:szCs w:val="24"/>
              </w:rPr>
            </w:pPr>
            <w:r w:rsidRPr="00055287">
              <w:rPr>
                <w:rFonts w:asciiTheme="majorBidi" w:hAnsiTheme="majorBidi" w:cstheme="majorBidi"/>
                <w:sz w:val="24"/>
                <w:szCs w:val="24"/>
              </w:rPr>
              <w:t>Standard Deviation</w:t>
            </w:r>
          </w:p>
        </w:tc>
        <w:tc>
          <w:tcPr>
            <w:tcW w:w="1186" w:type="dxa"/>
          </w:tcPr>
          <w:p w:rsidR="003117EB" w:rsidRPr="00055287" w:rsidRDefault="003117EB" w:rsidP="0034692C">
            <w:pPr>
              <w:jc w:val="center"/>
              <w:rPr>
                <w:rFonts w:asciiTheme="majorBidi" w:hAnsiTheme="majorBidi" w:cstheme="majorBidi"/>
                <w:sz w:val="24"/>
                <w:szCs w:val="24"/>
              </w:rPr>
            </w:pPr>
            <w:r w:rsidRPr="00055287">
              <w:rPr>
                <w:rFonts w:asciiTheme="majorBidi" w:hAnsiTheme="majorBidi" w:cstheme="majorBidi"/>
                <w:sz w:val="24"/>
                <w:szCs w:val="24"/>
              </w:rPr>
              <w:t xml:space="preserve">Coefficient of Variation </w:t>
            </w:r>
          </w:p>
        </w:tc>
      </w:tr>
      <w:tr w:rsidR="00D5731E" w:rsidRPr="00055287" w:rsidTr="0034692C">
        <w:tc>
          <w:tcPr>
            <w:tcW w:w="1867" w:type="dxa"/>
          </w:tcPr>
          <w:p w:rsidR="00D5731E" w:rsidRPr="00055287" w:rsidRDefault="006054B9" w:rsidP="0034692C">
            <w:pPr>
              <w:jc w:val="center"/>
              <w:rPr>
                <w:rFonts w:asciiTheme="majorBidi" w:hAnsiTheme="majorBidi" w:cstheme="majorBidi"/>
                <w:sz w:val="24"/>
                <w:szCs w:val="24"/>
              </w:rPr>
            </w:pPr>
            <w:r>
              <w:rPr>
                <w:rFonts w:asciiTheme="majorBidi" w:hAnsiTheme="majorBidi" w:cstheme="majorBidi"/>
                <w:sz w:val="24"/>
                <w:szCs w:val="24"/>
              </w:rPr>
              <w:t xml:space="preserve">Market value </w:t>
            </w:r>
          </w:p>
        </w:tc>
        <w:tc>
          <w:tcPr>
            <w:tcW w:w="763"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46.75</w:t>
            </w:r>
          </w:p>
        </w:tc>
        <w:tc>
          <w:tcPr>
            <w:tcW w:w="931"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93.05</w:t>
            </w:r>
          </w:p>
        </w:tc>
        <w:tc>
          <w:tcPr>
            <w:tcW w:w="756" w:type="dxa"/>
          </w:tcPr>
          <w:p w:rsidR="00D5731E" w:rsidRPr="00055287" w:rsidRDefault="00D5731E" w:rsidP="002B7241">
            <w:pPr>
              <w:jc w:val="center"/>
              <w:rPr>
                <w:rFonts w:asciiTheme="majorBidi" w:hAnsiTheme="majorBidi" w:cstheme="majorBidi"/>
                <w:sz w:val="24"/>
                <w:szCs w:val="24"/>
              </w:rPr>
            </w:pPr>
            <w:r w:rsidRPr="00055287">
              <w:rPr>
                <w:rFonts w:asciiTheme="majorBidi" w:hAnsiTheme="majorBidi" w:cstheme="majorBidi"/>
                <w:sz w:val="24"/>
                <w:szCs w:val="24"/>
              </w:rPr>
              <w:t>29.15</w:t>
            </w:r>
          </w:p>
        </w:tc>
        <w:tc>
          <w:tcPr>
            <w:tcW w:w="931"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8.08</w:t>
            </w:r>
          </w:p>
        </w:tc>
        <w:tc>
          <w:tcPr>
            <w:tcW w:w="913"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11.00</w:t>
            </w:r>
          </w:p>
        </w:tc>
        <w:tc>
          <w:tcPr>
            <w:tcW w:w="812"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37.586</w:t>
            </w:r>
          </w:p>
        </w:tc>
        <w:tc>
          <w:tcPr>
            <w:tcW w:w="1083"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34.678</w:t>
            </w:r>
          </w:p>
        </w:tc>
        <w:tc>
          <w:tcPr>
            <w:tcW w:w="1186"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92.26</w:t>
            </w:r>
          </w:p>
        </w:tc>
      </w:tr>
      <w:tr w:rsidR="00D5731E" w:rsidRPr="00055287" w:rsidTr="0034692C">
        <w:tc>
          <w:tcPr>
            <w:tcW w:w="1867"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Price Earnings Ratio (Times)</w:t>
            </w:r>
          </w:p>
        </w:tc>
        <w:tc>
          <w:tcPr>
            <w:tcW w:w="763"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19.94</w:t>
            </w:r>
          </w:p>
        </w:tc>
        <w:tc>
          <w:tcPr>
            <w:tcW w:w="931"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30.27</w:t>
            </w:r>
          </w:p>
        </w:tc>
        <w:tc>
          <w:tcPr>
            <w:tcW w:w="756"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39.51</w:t>
            </w:r>
          </w:p>
        </w:tc>
        <w:tc>
          <w:tcPr>
            <w:tcW w:w="931"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14.34</w:t>
            </w:r>
          </w:p>
        </w:tc>
        <w:tc>
          <w:tcPr>
            <w:tcW w:w="913"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13.12</w:t>
            </w:r>
          </w:p>
        </w:tc>
        <w:tc>
          <w:tcPr>
            <w:tcW w:w="812"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23.436</w:t>
            </w:r>
          </w:p>
        </w:tc>
        <w:tc>
          <w:tcPr>
            <w:tcW w:w="1083"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11.252</w:t>
            </w:r>
          </w:p>
        </w:tc>
        <w:tc>
          <w:tcPr>
            <w:tcW w:w="1186"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48.01</w:t>
            </w:r>
          </w:p>
        </w:tc>
      </w:tr>
      <w:tr w:rsidR="00D5731E" w:rsidRPr="00055287" w:rsidTr="0034692C">
        <w:tc>
          <w:tcPr>
            <w:tcW w:w="1867"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Market value to book value (Times)</w:t>
            </w:r>
          </w:p>
        </w:tc>
        <w:tc>
          <w:tcPr>
            <w:tcW w:w="763"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2.75</w:t>
            </w:r>
          </w:p>
        </w:tc>
        <w:tc>
          <w:tcPr>
            <w:tcW w:w="931"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4.67</w:t>
            </w:r>
          </w:p>
        </w:tc>
        <w:tc>
          <w:tcPr>
            <w:tcW w:w="756"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11.39</w:t>
            </w:r>
          </w:p>
        </w:tc>
        <w:tc>
          <w:tcPr>
            <w:tcW w:w="931"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2.65</w:t>
            </w:r>
          </w:p>
        </w:tc>
        <w:tc>
          <w:tcPr>
            <w:tcW w:w="913" w:type="dxa"/>
          </w:tcPr>
          <w:p w:rsidR="00D5731E" w:rsidRPr="00055287" w:rsidRDefault="00D5731E" w:rsidP="001738D0">
            <w:pPr>
              <w:jc w:val="center"/>
              <w:rPr>
                <w:rFonts w:asciiTheme="majorBidi" w:hAnsiTheme="majorBidi" w:cstheme="majorBidi"/>
                <w:sz w:val="24"/>
                <w:szCs w:val="24"/>
              </w:rPr>
            </w:pPr>
            <w:r w:rsidRPr="00055287">
              <w:rPr>
                <w:rFonts w:asciiTheme="majorBidi" w:hAnsiTheme="majorBidi" w:cstheme="majorBidi"/>
                <w:sz w:val="24"/>
                <w:szCs w:val="24"/>
              </w:rPr>
              <w:t>3.16</w:t>
            </w:r>
          </w:p>
        </w:tc>
        <w:tc>
          <w:tcPr>
            <w:tcW w:w="812"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4.924</w:t>
            </w:r>
          </w:p>
        </w:tc>
        <w:tc>
          <w:tcPr>
            <w:tcW w:w="1083"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3.704</w:t>
            </w:r>
          </w:p>
        </w:tc>
        <w:tc>
          <w:tcPr>
            <w:tcW w:w="1186" w:type="dxa"/>
          </w:tcPr>
          <w:p w:rsidR="00D5731E" w:rsidRPr="00055287" w:rsidRDefault="00333BAD" w:rsidP="0034692C">
            <w:pPr>
              <w:jc w:val="center"/>
              <w:rPr>
                <w:rFonts w:asciiTheme="majorBidi" w:hAnsiTheme="majorBidi" w:cstheme="majorBidi"/>
                <w:sz w:val="24"/>
                <w:szCs w:val="24"/>
              </w:rPr>
            </w:pPr>
            <w:r>
              <w:rPr>
                <w:rFonts w:asciiTheme="majorBidi" w:hAnsiTheme="majorBidi" w:cstheme="majorBidi"/>
                <w:sz w:val="24"/>
                <w:szCs w:val="24"/>
              </w:rPr>
              <w:t>75.22</w:t>
            </w:r>
          </w:p>
        </w:tc>
      </w:tr>
      <w:tr w:rsidR="00D5731E" w:rsidRPr="00055287" w:rsidTr="0034692C">
        <w:tc>
          <w:tcPr>
            <w:tcW w:w="1867" w:type="dxa"/>
          </w:tcPr>
          <w:p w:rsidR="00D5731E" w:rsidRPr="00055287" w:rsidRDefault="006054B9" w:rsidP="0034692C">
            <w:pPr>
              <w:jc w:val="center"/>
              <w:rPr>
                <w:rFonts w:asciiTheme="majorBidi" w:hAnsiTheme="majorBidi" w:cstheme="majorBidi"/>
                <w:sz w:val="24"/>
                <w:szCs w:val="24"/>
              </w:rPr>
            </w:pPr>
            <w:r>
              <w:rPr>
                <w:rFonts w:asciiTheme="majorBidi" w:hAnsiTheme="majorBidi" w:cstheme="majorBidi"/>
                <w:sz w:val="24"/>
                <w:szCs w:val="24"/>
              </w:rPr>
              <w:t xml:space="preserve">Earnings Per Share </w:t>
            </w:r>
          </w:p>
        </w:tc>
        <w:tc>
          <w:tcPr>
            <w:tcW w:w="763"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2.34</w:t>
            </w:r>
          </w:p>
        </w:tc>
        <w:tc>
          <w:tcPr>
            <w:tcW w:w="931"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3.07</w:t>
            </w:r>
          </w:p>
        </w:tc>
        <w:tc>
          <w:tcPr>
            <w:tcW w:w="756"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0.74</w:t>
            </w:r>
          </w:p>
        </w:tc>
        <w:tc>
          <w:tcPr>
            <w:tcW w:w="931"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0.56</w:t>
            </w:r>
          </w:p>
        </w:tc>
        <w:tc>
          <w:tcPr>
            <w:tcW w:w="913"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0.84</w:t>
            </w:r>
          </w:p>
        </w:tc>
        <w:tc>
          <w:tcPr>
            <w:tcW w:w="812"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1.510</w:t>
            </w:r>
          </w:p>
        </w:tc>
        <w:tc>
          <w:tcPr>
            <w:tcW w:w="1083"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1.125</w:t>
            </w:r>
          </w:p>
        </w:tc>
        <w:tc>
          <w:tcPr>
            <w:tcW w:w="1186" w:type="dxa"/>
          </w:tcPr>
          <w:p w:rsidR="00D5731E" w:rsidRPr="00055287" w:rsidRDefault="00D5731E" w:rsidP="0034692C">
            <w:pPr>
              <w:jc w:val="center"/>
              <w:rPr>
                <w:rFonts w:asciiTheme="majorBidi" w:hAnsiTheme="majorBidi" w:cstheme="majorBidi"/>
                <w:sz w:val="24"/>
                <w:szCs w:val="24"/>
              </w:rPr>
            </w:pPr>
            <w:r w:rsidRPr="00055287">
              <w:rPr>
                <w:rFonts w:asciiTheme="majorBidi" w:hAnsiTheme="majorBidi" w:cstheme="majorBidi"/>
                <w:sz w:val="24"/>
                <w:szCs w:val="24"/>
              </w:rPr>
              <w:t>74.50</w:t>
            </w:r>
          </w:p>
        </w:tc>
      </w:tr>
    </w:tbl>
    <w:p w:rsidR="0017789B" w:rsidRDefault="0017789B" w:rsidP="0017789B">
      <w:pPr>
        <w:rPr>
          <w:b/>
          <w:bCs/>
          <w:sz w:val="24"/>
          <w:szCs w:val="24"/>
        </w:rPr>
      </w:pPr>
    </w:p>
    <w:p w:rsidR="00575122" w:rsidRDefault="00575122" w:rsidP="0017789B">
      <w:pPr>
        <w:rPr>
          <w:b/>
          <w:bCs/>
          <w:sz w:val="24"/>
          <w:szCs w:val="24"/>
        </w:rPr>
      </w:pPr>
    </w:p>
    <w:p w:rsidR="00E32E93" w:rsidRPr="0017789B" w:rsidRDefault="00C50C59" w:rsidP="0017789B">
      <w:pPr>
        <w:rPr>
          <w:b/>
          <w:bCs/>
          <w:sz w:val="24"/>
          <w:szCs w:val="24"/>
        </w:rPr>
      </w:pPr>
      <w:r>
        <w:rPr>
          <w:b/>
          <w:bCs/>
          <w:sz w:val="24"/>
          <w:szCs w:val="24"/>
        </w:rPr>
        <w:lastRenderedPageBreak/>
        <w:t xml:space="preserve">Table 10: </w:t>
      </w:r>
      <w:r w:rsidR="0017789B" w:rsidRPr="001738D0">
        <w:rPr>
          <w:b/>
          <w:bCs/>
          <w:sz w:val="24"/>
          <w:szCs w:val="24"/>
        </w:rPr>
        <w:t>Sha</w:t>
      </w:r>
      <w:r w:rsidR="0017789B">
        <w:rPr>
          <w:b/>
          <w:bCs/>
          <w:sz w:val="24"/>
          <w:szCs w:val="24"/>
        </w:rPr>
        <w:t>re Performance Indicators: Abu Dhabi</w:t>
      </w:r>
      <w:r w:rsidR="0017789B" w:rsidRPr="001738D0">
        <w:rPr>
          <w:b/>
          <w:bCs/>
          <w:sz w:val="24"/>
          <w:szCs w:val="24"/>
        </w:rPr>
        <w:t xml:space="preserve"> Islamic Bank</w:t>
      </w:r>
    </w:p>
    <w:tbl>
      <w:tblPr>
        <w:tblStyle w:val="TableGrid"/>
        <w:tblW w:w="0" w:type="auto"/>
        <w:tblInd w:w="-635" w:type="dxa"/>
        <w:tblLook w:val="04A0" w:firstRow="1" w:lastRow="0" w:firstColumn="1" w:lastColumn="0" w:noHBand="0" w:noVBand="1"/>
      </w:tblPr>
      <w:tblGrid>
        <w:gridCol w:w="1867"/>
        <w:gridCol w:w="763"/>
        <w:gridCol w:w="931"/>
        <w:gridCol w:w="876"/>
        <w:gridCol w:w="931"/>
        <w:gridCol w:w="913"/>
        <w:gridCol w:w="812"/>
        <w:gridCol w:w="1163"/>
        <w:gridCol w:w="1296"/>
      </w:tblGrid>
      <w:tr w:rsidR="003117EB" w:rsidRPr="00033D6A" w:rsidTr="0034692C">
        <w:tc>
          <w:tcPr>
            <w:tcW w:w="1867" w:type="dxa"/>
          </w:tcPr>
          <w:p w:rsidR="003117EB" w:rsidRPr="00033D6A" w:rsidRDefault="006054B9" w:rsidP="0034692C">
            <w:pPr>
              <w:jc w:val="center"/>
              <w:rPr>
                <w:rFonts w:asciiTheme="majorBidi" w:hAnsiTheme="majorBidi" w:cstheme="majorBidi"/>
                <w:sz w:val="24"/>
                <w:szCs w:val="24"/>
              </w:rPr>
            </w:pPr>
            <w:r>
              <w:rPr>
                <w:rFonts w:asciiTheme="majorBidi" w:hAnsiTheme="majorBidi" w:cstheme="majorBidi"/>
                <w:sz w:val="24"/>
                <w:szCs w:val="24"/>
              </w:rPr>
              <w:t>Indicators</w:t>
            </w:r>
          </w:p>
        </w:tc>
        <w:tc>
          <w:tcPr>
            <w:tcW w:w="763" w:type="dxa"/>
          </w:tcPr>
          <w:p w:rsidR="003117EB" w:rsidRPr="00033D6A" w:rsidRDefault="003117EB" w:rsidP="0034692C">
            <w:pPr>
              <w:jc w:val="center"/>
              <w:rPr>
                <w:rFonts w:asciiTheme="majorBidi" w:hAnsiTheme="majorBidi" w:cstheme="majorBidi"/>
                <w:sz w:val="24"/>
                <w:szCs w:val="24"/>
              </w:rPr>
            </w:pPr>
            <w:r w:rsidRPr="00033D6A">
              <w:rPr>
                <w:rFonts w:asciiTheme="majorBidi" w:hAnsiTheme="majorBidi" w:cstheme="majorBidi"/>
                <w:sz w:val="24"/>
                <w:szCs w:val="24"/>
              </w:rPr>
              <w:t>2003</w:t>
            </w:r>
          </w:p>
        </w:tc>
        <w:tc>
          <w:tcPr>
            <w:tcW w:w="931" w:type="dxa"/>
          </w:tcPr>
          <w:p w:rsidR="003117EB" w:rsidRPr="00033D6A" w:rsidRDefault="003117EB" w:rsidP="0034692C">
            <w:pPr>
              <w:jc w:val="center"/>
              <w:rPr>
                <w:rFonts w:asciiTheme="majorBidi" w:hAnsiTheme="majorBidi" w:cstheme="majorBidi"/>
                <w:sz w:val="24"/>
                <w:szCs w:val="24"/>
              </w:rPr>
            </w:pPr>
            <w:r w:rsidRPr="00033D6A">
              <w:rPr>
                <w:rFonts w:asciiTheme="majorBidi" w:hAnsiTheme="majorBidi" w:cstheme="majorBidi"/>
                <w:sz w:val="24"/>
                <w:szCs w:val="24"/>
              </w:rPr>
              <w:t>2004</w:t>
            </w:r>
          </w:p>
        </w:tc>
        <w:tc>
          <w:tcPr>
            <w:tcW w:w="756" w:type="dxa"/>
          </w:tcPr>
          <w:p w:rsidR="003117EB" w:rsidRPr="00033D6A" w:rsidRDefault="003117EB" w:rsidP="0034692C">
            <w:pPr>
              <w:jc w:val="center"/>
              <w:rPr>
                <w:rFonts w:asciiTheme="majorBidi" w:hAnsiTheme="majorBidi" w:cstheme="majorBidi"/>
                <w:sz w:val="24"/>
                <w:szCs w:val="24"/>
              </w:rPr>
            </w:pPr>
            <w:r w:rsidRPr="00033D6A">
              <w:rPr>
                <w:rFonts w:asciiTheme="majorBidi" w:hAnsiTheme="majorBidi" w:cstheme="majorBidi"/>
                <w:sz w:val="24"/>
                <w:szCs w:val="24"/>
              </w:rPr>
              <w:t>2005</w:t>
            </w:r>
          </w:p>
        </w:tc>
        <w:tc>
          <w:tcPr>
            <w:tcW w:w="931" w:type="dxa"/>
          </w:tcPr>
          <w:p w:rsidR="003117EB" w:rsidRPr="00033D6A" w:rsidRDefault="003117EB" w:rsidP="0034692C">
            <w:pPr>
              <w:jc w:val="center"/>
              <w:rPr>
                <w:rFonts w:asciiTheme="majorBidi" w:hAnsiTheme="majorBidi" w:cstheme="majorBidi"/>
                <w:sz w:val="24"/>
                <w:szCs w:val="24"/>
              </w:rPr>
            </w:pPr>
            <w:r w:rsidRPr="00033D6A">
              <w:rPr>
                <w:rFonts w:asciiTheme="majorBidi" w:hAnsiTheme="majorBidi" w:cstheme="majorBidi"/>
                <w:sz w:val="24"/>
                <w:szCs w:val="24"/>
              </w:rPr>
              <w:t>2006</w:t>
            </w:r>
          </w:p>
        </w:tc>
        <w:tc>
          <w:tcPr>
            <w:tcW w:w="913" w:type="dxa"/>
          </w:tcPr>
          <w:p w:rsidR="003117EB" w:rsidRPr="00033D6A" w:rsidRDefault="003117EB" w:rsidP="0034692C">
            <w:pPr>
              <w:jc w:val="center"/>
              <w:rPr>
                <w:rFonts w:asciiTheme="majorBidi" w:hAnsiTheme="majorBidi" w:cstheme="majorBidi"/>
                <w:sz w:val="24"/>
                <w:szCs w:val="24"/>
              </w:rPr>
            </w:pPr>
            <w:r w:rsidRPr="00033D6A">
              <w:rPr>
                <w:rFonts w:asciiTheme="majorBidi" w:hAnsiTheme="majorBidi" w:cstheme="majorBidi"/>
                <w:sz w:val="24"/>
                <w:szCs w:val="24"/>
              </w:rPr>
              <w:t>2007</w:t>
            </w:r>
          </w:p>
        </w:tc>
        <w:tc>
          <w:tcPr>
            <w:tcW w:w="812" w:type="dxa"/>
          </w:tcPr>
          <w:p w:rsidR="003117EB" w:rsidRPr="00033D6A" w:rsidRDefault="003117EB" w:rsidP="0034692C">
            <w:pPr>
              <w:jc w:val="center"/>
              <w:rPr>
                <w:rFonts w:asciiTheme="majorBidi" w:hAnsiTheme="majorBidi" w:cstheme="majorBidi"/>
                <w:sz w:val="24"/>
                <w:szCs w:val="24"/>
              </w:rPr>
            </w:pPr>
            <w:r w:rsidRPr="00033D6A">
              <w:rPr>
                <w:rFonts w:asciiTheme="majorBidi" w:hAnsiTheme="majorBidi" w:cstheme="majorBidi"/>
                <w:sz w:val="24"/>
                <w:szCs w:val="24"/>
              </w:rPr>
              <w:t>Mean</w:t>
            </w:r>
          </w:p>
        </w:tc>
        <w:tc>
          <w:tcPr>
            <w:tcW w:w="1083" w:type="dxa"/>
          </w:tcPr>
          <w:p w:rsidR="003117EB" w:rsidRPr="00033D6A" w:rsidRDefault="003117EB" w:rsidP="0034692C">
            <w:pPr>
              <w:jc w:val="center"/>
              <w:rPr>
                <w:rFonts w:asciiTheme="majorBidi" w:hAnsiTheme="majorBidi" w:cstheme="majorBidi"/>
                <w:sz w:val="24"/>
                <w:szCs w:val="24"/>
              </w:rPr>
            </w:pPr>
            <w:r w:rsidRPr="00033D6A">
              <w:rPr>
                <w:rFonts w:asciiTheme="majorBidi" w:hAnsiTheme="majorBidi" w:cstheme="majorBidi"/>
                <w:sz w:val="24"/>
                <w:szCs w:val="24"/>
              </w:rPr>
              <w:t>Standard Deviation</w:t>
            </w:r>
          </w:p>
        </w:tc>
        <w:tc>
          <w:tcPr>
            <w:tcW w:w="1186" w:type="dxa"/>
          </w:tcPr>
          <w:p w:rsidR="003117EB" w:rsidRPr="00033D6A" w:rsidRDefault="003117EB" w:rsidP="0034692C">
            <w:pPr>
              <w:jc w:val="center"/>
              <w:rPr>
                <w:rFonts w:asciiTheme="majorBidi" w:hAnsiTheme="majorBidi" w:cstheme="majorBidi"/>
                <w:sz w:val="24"/>
                <w:szCs w:val="24"/>
              </w:rPr>
            </w:pPr>
            <w:r w:rsidRPr="00033D6A">
              <w:rPr>
                <w:rFonts w:asciiTheme="majorBidi" w:hAnsiTheme="majorBidi" w:cstheme="majorBidi"/>
                <w:sz w:val="24"/>
                <w:szCs w:val="24"/>
              </w:rPr>
              <w:t xml:space="preserve">Coefficient of Variation </w:t>
            </w:r>
          </w:p>
        </w:tc>
      </w:tr>
      <w:tr w:rsidR="003117EB" w:rsidRPr="00033D6A" w:rsidTr="0034692C">
        <w:tc>
          <w:tcPr>
            <w:tcW w:w="1867" w:type="dxa"/>
          </w:tcPr>
          <w:p w:rsidR="003117EB" w:rsidRPr="00033D6A" w:rsidRDefault="006054B9" w:rsidP="0034692C">
            <w:pPr>
              <w:jc w:val="center"/>
              <w:rPr>
                <w:rFonts w:asciiTheme="majorBidi" w:hAnsiTheme="majorBidi" w:cstheme="majorBidi"/>
                <w:sz w:val="24"/>
                <w:szCs w:val="24"/>
              </w:rPr>
            </w:pPr>
            <w:r>
              <w:rPr>
                <w:rFonts w:asciiTheme="majorBidi" w:hAnsiTheme="majorBidi" w:cstheme="majorBidi"/>
                <w:sz w:val="24"/>
                <w:szCs w:val="24"/>
              </w:rPr>
              <w:t xml:space="preserve">Market value </w:t>
            </w:r>
          </w:p>
        </w:tc>
        <w:tc>
          <w:tcPr>
            <w:tcW w:w="763" w:type="dxa"/>
          </w:tcPr>
          <w:p w:rsidR="003117EB" w:rsidRPr="00033D6A" w:rsidRDefault="0017789B" w:rsidP="0034692C">
            <w:pPr>
              <w:jc w:val="center"/>
              <w:rPr>
                <w:rFonts w:asciiTheme="majorBidi" w:hAnsiTheme="majorBidi" w:cstheme="majorBidi"/>
                <w:sz w:val="24"/>
                <w:szCs w:val="24"/>
              </w:rPr>
            </w:pPr>
            <w:r w:rsidRPr="00033D6A">
              <w:rPr>
                <w:rFonts w:asciiTheme="majorBidi" w:hAnsiTheme="majorBidi" w:cstheme="majorBidi"/>
                <w:sz w:val="24"/>
                <w:szCs w:val="24"/>
              </w:rPr>
              <w:t>24</w:t>
            </w:r>
            <w:r w:rsidR="00AF630B" w:rsidRPr="00033D6A">
              <w:rPr>
                <w:rFonts w:asciiTheme="majorBidi" w:hAnsiTheme="majorBidi" w:cstheme="majorBidi"/>
                <w:sz w:val="24"/>
                <w:szCs w:val="24"/>
              </w:rPr>
              <w:t>.20</w:t>
            </w:r>
          </w:p>
        </w:tc>
        <w:tc>
          <w:tcPr>
            <w:tcW w:w="931" w:type="dxa"/>
          </w:tcPr>
          <w:p w:rsidR="003117EB" w:rsidRPr="00033D6A" w:rsidRDefault="0017789B" w:rsidP="0034692C">
            <w:pPr>
              <w:jc w:val="center"/>
              <w:rPr>
                <w:rFonts w:asciiTheme="majorBidi" w:hAnsiTheme="majorBidi" w:cstheme="majorBidi"/>
                <w:sz w:val="24"/>
                <w:szCs w:val="24"/>
              </w:rPr>
            </w:pPr>
            <w:r w:rsidRPr="00033D6A">
              <w:rPr>
                <w:rFonts w:asciiTheme="majorBidi" w:hAnsiTheme="majorBidi" w:cstheme="majorBidi"/>
                <w:sz w:val="24"/>
                <w:szCs w:val="24"/>
              </w:rPr>
              <w:t>42</w:t>
            </w:r>
            <w:r w:rsidR="00AF630B" w:rsidRPr="00033D6A">
              <w:rPr>
                <w:rFonts w:asciiTheme="majorBidi" w:hAnsiTheme="majorBidi" w:cstheme="majorBidi"/>
                <w:sz w:val="24"/>
                <w:szCs w:val="24"/>
              </w:rPr>
              <w:t>.00</w:t>
            </w:r>
          </w:p>
        </w:tc>
        <w:tc>
          <w:tcPr>
            <w:tcW w:w="756" w:type="dxa"/>
          </w:tcPr>
          <w:p w:rsidR="003117EB" w:rsidRPr="00033D6A" w:rsidRDefault="0017789B" w:rsidP="0017789B">
            <w:pPr>
              <w:jc w:val="center"/>
              <w:rPr>
                <w:rFonts w:asciiTheme="majorBidi" w:hAnsiTheme="majorBidi" w:cstheme="majorBidi"/>
                <w:sz w:val="24"/>
                <w:szCs w:val="24"/>
              </w:rPr>
            </w:pPr>
            <w:r w:rsidRPr="00033D6A">
              <w:rPr>
                <w:rFonts w:asciiTheme="majorBidi" w:hAnsiTheme="majorBidi" w:cstheme="majorBidi"/>
                <w:sz w:val="24"/>
                <w:szCs w:val="24"/>
              </w:rPr>
              <w:t>142.10</w:t>
            </w:r>
          </w:p>
        </w:tc>
        <w:tc>
          <w:tcPr>
            <w:tcW w:w="931" w:type="dxa"/>
          </w:tcPr>
          <w:p w:rsidR="003117EB" w:rsidRPr="00033D6A" w:rsidRDefault="0017789B" w:rsidP="0034692C">
            <w:pPr>
              <w:jc w:val="center"/>
              <w:rPr>
                <w:rFonts w:asciiTheme="majorBidi" w:hAnsiTheme="majorBidi" w:cstheme="majorBidi"/>
                <w:sz w:val="24"/>
                <w:szCs w:val="24"/>
              </w:rPr>
            </w:pPr>
            <w:r w:rsidRPr="00033D6A">
              <w:rPr>
                <w:rFonts w:asciiTheme="majorBidi" w:hAnsiTheme="majorBidi" w:cstheme="majorBidi"/>
                <w:sz w:val="24"/>
                <w:szCs w:val="24"/>
              </w:rPr>
              <w:t>51.20</w:t>
            </w:r>
          </w:p>
        </w:tc>
        <w:tc>
          <w:tcPr>
            <w:tcW w:w="913" w:type="dxa"/>
          </w:tcPr>
          <w:p w:rsidR="003117EB" w:rsidRPr="00033D6A" w:rsidRDefault="0017789B" w:rsidP="0034692C">
            <w:pPr>
              <w:jc w:val="center"/>
              <w:rPr>
                <w:rFonts w:asciiTheme="majorBidi" w:hAnsiTheme="majorBidi" w:cstheme="majorBidi"/>
                <w:sz w:val="24"/>
                <w:szCs w:val="24"/>
              </w:rPr>
            </w:pPr>
            <w:r w:rsidRPr="00033D6A">
              <w:rPr>
                <w:rFonts w:asciiTheme="majorBidi" w:hAnsiTheme="majorBidi" w:cstheme="majorBidi"/>
                <w:sz w:val="24"/>
                <w:szCs w:val="24"/>
              </w:rPr>
              <w:t>6.30</w:t>
            </w:r>
          </w:p>
        </w:tc>
        <w:tc>
          <w:tcPr>
            <w:tcW w:w="812" w:type="dxa"/>
          </w:tcPr>
          <w:p w:rsidR="003117EB" w:rsidRPr="00033D6A" w:rsidRDefault="00501984" w:rsidP="0034692C">
            <w:pPr>
              <w:jc w:val="center"/>
              <w:rPr>
                <w:rFonts w:asciiTheme="majorBidi" w:hAnsiTheme="majorBidi" w:cstheme="majorBidi"/>
                <w:sz w:val="24"/>
                <w:szCs w:val="24"/>
              </w:rPr>
            </w:pPr>
            <w:r w:rsidRPr="00033D6A">
              <w:rPr>
                <w:rFonts w:asciiTheme="majorBidi" w:hAnsiTheme="majorBidi" w:cstheme="majorBidi"/>
                <w:sz w:val="24"/>
                <w:szCs w:val="24"/>
              </w:rPr>
              <w:t>53.16</w:t>
            </w:r>
          </w:p>
        </w:tc>
        <w:tc>
          <w:tcPr>
            <w:tcW w:w="1083" w:type="dxa"/>
          </w:tcPr>
          <w:p w:rsidR="003117EB" w:rsidRPr="00033D6A" w:rsidRDefault="00501984" w:rsidP="0034692C">
            <w:pPr>
              <w:jc w:val="center"/>
              <w:rPr>
                <w:rFonts w:asciiTheme="majorBidi" w:hAnsiTheme="majorBidi" w:cstheme="majorBidi"/>
                <w:sz w:val="24"/>
                <w:szCs w:val="24"/>
              </w:rPr>
            </w:pPr>
            <w:r w:rsidRPr="00033D6A">
              <w:rPr>
                <w:rFonts w:asciiTheme="majorBidi" w:hAnsiTheme="majorBidi" w:cstheme="majorBidi"/>
                <w:sz w:val="24"/>
                <w:szCs w:val="24"/>
              </w:rPr>
              <w:t>52.61</w:t>
            </w:r>
          </w:p>
        </w:tc>
        <w:tc>
          <w:tcPr>
            <w:tcW w:w="1186" w:type="dxa"/>
          </w:tcPr>
          <w:p w:rsidR="003117EB" w:rsidRPr="00033D6A" w:rsidRDefault="00501984" w:rsidP="0034692C">
            <w:pPr>
              <w:jc w:val="center"/>
              <w:rPr>
                <w:rFonts w:asciiTheme="majorBidi" w:hAnsiTheme="majorBidi" w:cstheme="majorBidi"/>
                <w:sz w:val="24"/>
                <w:szCs w:val="24"/>
              </w:rPr>
            </w:pPr>
            <w:r w:rsidRPr="00033D6A">
              <w:rPr>
                <w:rFonts w:asciiTheme="majorBidi" w:hAnsiTheme="majorBidi" w:cstheme="majorBidi"/>
                <w:sz w:val="24"/>
                <w:szCs w:val="24"/>
              </w:rPr>
              <w:t>98.96</w:t>
            </w:r>
          </w:p>
        </w:tc>
      </w:tr>
      <w:tr w:rsidR="003117EB" w:rsidRPr="00033D6A" w:rsidTr="0034692C">
        <w:tc>
          <w:tcPr>
            <w:tcW w:w="1867" w:type="dxa"/>
          </w:tcPr>
          <w:p w:rsidR="003117EB" w:rsidRPr="00033D6A" w:rsidRDefault="003117EB" w:rsidP="0034692C">
            <w:pPr>
              <w:jc w:val="center"/>
              <w:rPr>
                <w:rFonts w:asciiTheme="majorBidi" w:hAnsiTheme="majorBidi" w:cstheme="majorBidi"/>
                <w:sz w:val="24"/>
                <w:szCs w:val="24"/>
              </w:rPr>
            </w:pPr>
            <w:r w:rsidRPr="00033D6A">
              <w:rPr>
                <w:rFonts w:asciiTheme="majorBidi" w:hAnsiTheme="majorBidi" w:cstheme="majorBidi"/>
                <w:sz w:val="24"/>
                <w:szCs w:val="24"/>
              </w:rPr>
              <w:t>Price Earnings Ratio (Times)</w:t>
            </w:r>
          </w:p>
        </w:tc>
        <w:tc>
          <w:tcPr>
            <w:tcW w:w="763" w:type="dxa"/>
          </w:tcPr>
          <w:p w:rsidR="003117EB" w:rsidRPr="00033D6A" w:rsidRDefault="0017789B" w:rsidP="0034692C">
            <w:pPr>
              <w:jc w:val="center"/>
              <w:rPr>
                <w:rFonts w:asciiTheme="majorBidi" w:hAnsiTheme="majorBidi" w:cstheme="majorBidi"/>
                <w:sz w:val="24"/>
                <w:szCs w:val="24"/>
              </w:rPr>
            </w:pPr>
            <w:r w:rsidRPr="00033D6A">
              <w:rPr>
                <w:rFonts w:asciiTheme="majorBidi" w:hAnsiTheme="majorBidi" w:cstheme="majorBidi"/>
                <w:sz w:val="24"/>
                <w:szCs w:val="24"/>
              </w:rPr>
              <w:t>24.07</w:t>
            </w:r>
          </w:p>
        </w:tc>
        <w:tc>
          <w:tcPr>
            <w:tcW w:w="931" w:type="dxa"/>
          </w:tcPr>
          <w:p w:rsidR="003117EB" w:rsidRPr="00033D6A" w:rsidRDefault="0017789B" w:rsidP="0034692C">
            <w:pPr>
              <w:jc w:val="center"/>
              <w:rPr>
                <w:rFonts w:asciiTheme="majorBidi" w:hAnsiTheme="majorBidi" w:cstheme="majorBidi"/>
                <w:sz w:val="24"/>
                <w:szCs w:val="24"/>
              </w:rPr>
            </w:pPr>
            <w:r w:rsidRPr="00033D6A">
              <w:rPr>
                <w:rFonts w:asciiTheme="majorBidi" w:hAnsiTheme="majorBidi" w:cstheme="majorBidi"/>
                <w:sz w:val="24"/>
                <w:szCs w:val="24"/>
              </w:rPr>
              <w:t>34.17</w:t>
            </w:r>
          </w:p>
        </w:tc>
        <w:tc>
          <w:tcPr>
            <w:tcW w:w="756" w:type="dxa"/>
          </w:tcPr>
          <w:p w:rsidR="003117EB" w:rsidRPr="00033D6A" w:rsidRDefault="0017789B" w:rsidP="0034692C">
            <w:pPr>
              <w:jc w:val="center"/>
              <w:rPr>
                <w:rFonts w:asciiTheme="majorBidi" w:hAnsiTheme="majorBidi" w:cstheme="majorBidi"/>
                <w:sz w:val="24"/>
                <w:szCs w:val="24"/>
              </w:rPr>
            </w:pPr>
            <w:r w:rsidRPr="00033D6A">
              <w:rPr>
                <w:rFonts w:asciiTheme="majorBidi" w:hAnsiTheme="majorBidi" w:cstheme="majorBidi"/>
                <w:sz w:val="24"/>
                <w:szCs w:val="24"/>
              </w:rPr>
              <w:t>41.25</w:t>
            </w:r>
          </w:p>
        </w:tc>
        <w:tc>
          <w:tcPr>
            <w:tcW w:w="931" w:type="dxa"/>
          </w:tcPr>
          <w:p w:rsidR="003117EB" w:rsidRPr="00033D6A" w:rsidRDefault="0017789B" w:rsidP="0034692C">
            <w:pPr>
              <w:jc w:val="center"/>
              <w:rPr>
                <w:rFonts w:asciiTheme="majorBidi" w:hAnsiTheme="majorBidi" w:cstheme="majorBidi"/>
                <w:sz w:val="24"/>
                <w:szCs w:val="24"/>
              </w:rPr>
            </w:pPr>
            <w:r w:rsidRPr="00033D6A">
              <w:rPr>
                <w:rFonts w:asciiTheme="majorBidi" w:hAnsiTheme="majorBidi" w:cstheme="majorBidi"/>
                <w:sz w:val="24"/>
                <w:szCs w:val="24"/>
              </w:rPr>
              <w:t>13.43</w:t>
            </w:r>
          </w:p>
        </w:tc>
        <w:tc>
          <w:tcPr>
            <w:tcW w:w="913" w:type="dxa"/>
          </w:tcPr>
          <w:p w:rsidR="003117EB" w:rsidRPr="00033D6A" w:rsidRDefault="0017789B" w:rsidP="0034692C">
            <w:pPr>
              <w:jc w:val="center"/>
              <w:rPr>
                <w:rFonts w:asciiTheme="majorBidi" w:hAnsiTheme="majorBidi" w:cstheme="majorBidi"/>
                <w:sz w:val="24"/>
                <w:szCs w:val="24"/>
              </w:rPr>
            </w:pPr>
            <w:r w:rsidRPr="00033D6A">
              <w:rPr>
                <w:rFonts w:asciiTheme="majorBidi" w:hAnsiTheme="majorBidi" w:cstheme="majorBidi"/>
                <w:sz w:val="24"/>
                <w:szCs w:val="24"/>
              </w:rPr>
              <w:t>12.29</w:t>
            </w:r>
          </w:p>
        </w:tc>
        <w:tc>
          <w:tcPr>
            <w:tcW w:w="812" w:type="dxa"/>
          </w:tcPr>
          <w:p w:rsidR="003117EB" w:rsidRPr="00033D6A" w:rsidRDefault="00501984" w:rsidP="0034692C">
            <w:pPr>
              <w:jc w:val="center"/>
              <w:rPr>
                <w:rFonts w:asciiTheme="majorBidi" w:hAnsiTheme="majorBidi" w:cstheme="majorBidi"/>
                <w:sz w:val="24"/>
                <w:szCs w:val="24"/>
              </w:rPr>
            </w:pPr>
            <w:r w:rsidRPr="00033D6A">
              <w:rPr>
                <w:rFonts w:asciiTheme="majorBidi" w:hAnsiTheme="majorBidi" w:cstheme="majorBidi"/>
                <w:sz w:val="24"/>
                <w:szCs w:val="24"/>
              </w:rPr>
              <w:t>25.04</w:t>
            </w:r>
          </w:p>
        </w:tc>
        <w:tc>
          <w:tcPr>
            <w:tcW w:w="1083" w:type="dxa"/>
          </w:tcPr>
          <w:p w:rsidR="003117EB" w:rsidRPr="00033D6A" w:rsidRDefault="00501984" w:rsidP="0034692C">
            <w:pPr>
              <w:jc w:val="center"/>
              <w:rPr>
                <w:rFonts w:asciiTheme="majorBidi" w:hAnsiTheme="majorBidi" w:cstheme="majorBidi"/>
                <w:sz w:val="24"/>
                <w:szCs w:val="24"/>
              </w:rPr>
            </w:pPr>
            <w:r w:rsidRPr="00033D6A">
              <w:rPr>
                <w:rFonts w:asciiTheme="majorBidi" w:hAnsiTheme="majorBidi" w:cstheme="majorBidi"/>
                <w:sz w:val="24"/>
                <w:szCs w:val="24"/>
              </w:rPr>
              <w:t>12.69</w:t>
            </w:r>
          </w:p>
        </w:tc>
        <w:tc>
          <w:tcPr>
            <w:tcW w:w="1186" w:type="dxa"/>
          </w:tcPr>
          <w:p w:rsidR="003117EB" w:rsidRPr="00033D6A" w:rsidRDefault="00501984" w:rsidP="0034692C">
            <w:pPr>
              <w:jc w:val="center"/>
              <w:rPr>
                <w:rFonts w:asciiTheme="majorBidi" w:hAnsiTheme="majorBidi" w:cstheme="majorBidi"/>
                <w:sz w:val="24"/>
                <w:szCs w:val="24"/>
              </w:rPr>
            </w:pPr>
            <w:r w:rsidRPr="00033D6A">
              <w:rPr>
                <w:rFonts w:asciiTheme="majorBidi" w:hAnsiTheme="majorBidi" w:cstheme="majorBidi"/>
                <w:sz w:val="24"/>
                <w:szCs w:val="24"/>
              </w:rPr>
              <w:t>50.67</w:t>
            </w:r>
          </w:p>
        </w:tc>
      </w:tr>
      <w:tr w:rsidR="003117EB" w:rsidRPr="00033D6A" w:rsidTr="0034692C">
        <w:tc>
          <w:tcPr>
            <w:tcW w:w="1867" w:type="dxa"/>
          </w:tcPr>
          <w:p w:rsidR="003117EB" w:rsidRPr="00033D6A" w:rsidRDefault="003117EB" w:rsidP="0034692C">
            <w:pPr>
              <w:jc w:val="center"/>
              <w:rPr>
                <w:rFonts w:asciiTheme="majorBidi" w:hAnsiTheme="majorBidi" w:cstheme="majorBidi"/>
                <w:sz w:val="24"/>
                <w:szCs w:val="24"/>
              </w:rPr>
            </w:pPr>
            <w:r w:rsidRPr="00033D6A">
              <w:rPr>
                <w:rFonts w:asciiTheme="majorBidi" w:hAnsiTheme="majorBidi" w:cstheme="majorBidi"/>
                <w:sz w:val="24"/>
                <w:szCs w:val="24"/>
              </w:rPr>
              <w:t>Market value to book value (Times)</w:t>
            </w:r>
          </w:p>
        </w:tc>
        <w:tc>
          <w:tcPr>
            <w:tcW w:w="763" w:type="dxa"/>
          </w:tcPr>
          <w:p w:rsidR="003117EB" w:rsidRPr="00033D6A" w:rsidRDefault="0017789B" w:rsidP="0034692C">
            <w:pPr>
              <w:jc w:val="center"/>
              <w:rPr>
                <w:rFonts w:asciiTheme="majorBidi" w:hAnsiTheme="majorBidi" w:cstheme="majorBidi"/>
                <w:sz w:val="24"/>
                <w:szCs w:val="24"/>
              </w:rPr>
            </w:pPr>
            <w:r w:rsidRPr="00033D6A">
              <w:rPr>
                <w:rFonts w:asciiTheme="majorBidi" w:hAnsiTheme="majorBidi" w:cstheme="majorBidi"/>
                <w:sz w:val="24"/>
                <w:szCs w:val="24"/>
              </w:rPr>
              <w:t>1.73</w:t>
            </w:r>
          </w:p>
        </w:tc>
        <w:tc>
          <w:tcPr>
            <w:tcW w:w="931" w:type="dxa"/>
          </w:tcPr>
          <w:p w:rsidR="003117EB" w:rsidRPr="00033D6A" w:rsidRDefault="0017789B" w:rsidP="0034692C">
            <w:pPr>
              <w:jc w:val="center"/>
              <w:rPr>
                <w:rFonts w:asciiTheme="majorBidi" w:hAnsiTheme="majorBidi" w:cstheme="majorBidi"/>
                <w:sz w:val="24"/>
                <w:szCs w:val="24"/>
              </w:rPr>
            </w:pPr>
            <w:r w:rsidRPr="00033D6A">
              <w:rPr>
                <w:rFonts w:asciiTheme="majorBidi" w:hAnsiTheme="majorBidi" w:cstheme="majorBidi"/>
                <w:sz w:val="24"/>
                <w:szCs w:val="24"/>
              </w:rPr>
              <w:t>2.79</w:t>
            </w:r>
          </w:p>
        </w:tc>
        <w:tc>
          <w:tcPr>
            <w:tcW w:w="756" w:type="dxa"/>
          </w:tcPr>
          <w:p w:rsidR="003117EB" w:rsidRPr="00033D6A" w:rsidRDefault="0017789B" w:rsidP="0034692C">
            <w:pPr>
              <w:jc w:val="center"/>
              <w:rPr>
                <w:rFonts w:asciiTheme="majorBidi" w:hAnsiTheme="majorBidi" w:cstheme="majorBidi"/>
                <w:sz w:val="24"/>
                <w:szCs w:val="24"/>
              </w:rPr>
            </w:pPr>
            <w:r w:rsidRPr="00033D6A">
              <w:rPr>
                <w:rFonts w:asciiTheme="majorBidi" w:hAnsiTheme="majorBidi" w:cstheme="majorBidi"/>
                <w:sz w:val="24"/>
                <w:szCs w:val="24"/>
              </w:rPr>
              <w:t>7.05</w:t>
            </w:r>
          </w:p>
        </w:tc>
        <w:tc>
          <w:tcPr>
            <w:tcW w:w="931" w:type="dxa"/>
          </w:tcPr>
          <w:p w:rsidR="003117EB" w:rsidRPr="00033D6A" w:rsidRDefault="0017789B" w:rsidP="0034692C">
            <w:pPr>
              <w:jc w:val="center"/>
              <w:rPr>
                <w:rFonts w:asciiTheme="majorBidi" w:hAnsiTheme="majorBidi" w:cstheme="majorBidi"/>
                <w:sz w:val="24"/>
                <w:szCs w:val="24"/>
              </w:rPr>
            </w:pPr>
            <w:r w:rsidRPr="00033D6A">
              <w:rPr>
                <w:rFonts w:asciiTheme="majorBidi" w:hAnsiTheme="majorBidi" w:cstheme="majorBidi"/>
                <w:sz w:val="24"/>
                <w:szCs w:val="24"/>
              </w:rPr>
              <w:t>2.77</w:t>
            </w:r>
          </w:p>
        </w:tc>
        <w:tc>
          <w:tcPr>
            <w:tcW w:w="913" w:type="dxa"/>
          </w:tcPr>
          <w:p w:rsidR="003117EB" w:rsidRPr="00033D6A" w:rsidRDefault="0017789B" w:rsidP="0034692C">
            <w:pPr>
              <w:jc w:val="center"/>
              <w:rPr>
                <w:rFonts w:asciiTheme="majorBidi" w:hAnsiTheme="majorBidi" w:cstheme="majorBidi"/>
                <w:sz w:val="24"/>
                <w:szCs w:val="24"/>
              </w:rPr>
            </w:pPr>
            <w:r w:rsidRPr="00033D6A">
              <w:rPr>
                <w:rFonts w:asciiTheme="majorBidi" w:hAnsiTheme="majorBidi" w:cstheme="majorBidi"/>
                <w:sz w:val="24"/>
                <w:szCs w:val="24"/>
              </w:rPr>
              <w:t>1.74</w:t>
            </w:r>
          </w:p>
        </w:tc>
        <w:tc>
          <w:tcPr>
            <w:tcW w:w="812" w:type="dxa"/>
          </w:tcPr>
          <w:p w:rsidR="003117EB" w:rsidRPr="00033D6A" w:rsidRDefault="00501984" w:rsidP="0034692C">
            <w:pPr>
              <w:jc w:val="center"/>
              <w:rPr>
                <w:rFonts w:asciiTheme="majorBidi" w:hAnsiTheme="majorBidi" w:cstheme="majorBidi"/>
                <w:sz w:val="24"/>
                <w:szCs w:val="24"/>
              </w:rPr>
            </w:pPr>
            <w:r w:rsidRPr="00033D6A">
              <w:rPr>
                <w:rFonts w:asciiTheme="majorBidi" w:hAnsiTheme="majorBidi" w:cstheme="majorBidi"/>
                <w:sz w:val="24"/>
                <w:szCs w:val="24"/>
              </w:rPr>
              <w:t>3.216</w:t>
            </w:r>
          </w:p>
        </w:tc>
        <w:tc>
          <w:tcPr>
            <w:tcW w:w="1083" w:type="dxa"/>
          </w:tcPr>
          <w:p w:rsidR="003117EB" w:rsidRPr="00033D6A" w:rsidRDefault="00501984" w:rsidP="0034692C">
            <w:pPr>
              <w:jc w:val="center"/>
              <w:rPr>
                <w:rFonts w:asciiTheme="majorBidi" w:hAnsiTheme="majorBidi" w:cstheme="majorBidi"/>
                <w:sz w:val="24"/>
                <w:szCs w:val="24"/>
              </w:rPr>
            </w:pPr>
            <w:r w:rsidRPr="00033D6A">
              <w:rPr>
                <w:rFonts w:asciiTheme="majorBidi" w:hAnsiTheme="majorBidi" w:cstheme="majorBidi"/>
                <w:sz w:val="24"/>
                <w:szCs w:val="24"/>
              </w:rPr>
              <w:t>2.206</w:t>
            </w:r>
          </w:p>
        </w:tc>
        <w:tc>
          <w:tcPr>
            <w:tcW w:w="1186" w:type="dxa"/>
          </w:tcPr>
          <w:p w:rsidR="003117EB" w:rsidRPr="00033D6A" w:rsidRDefault="00254328" w:rsidP="0034692C">
            <w:pPr>
              <w:jc w:val="center"/>
              <w:rPr>
                <w:rFonts w:asciiTheme="majorBidi" w:hAnsiTheme="majorBidi" w:cstheme="majorBidi"/>
                <w:sz w:val="24"/>
                <w:szCs w:val="24"/>
              </w:rPr>
            </w:pPr>
            <w:r w:rsidRPr="00033D6A">
              <w:rPr>
                <w:rFonts w:asciiTheme="majorBidi" w:hAnsiTheme="majorBidi" w:cstheme="majorBidi"/>
                <w:sz w:val="24"/>
                <w:szCs w:val="24"/>
              </w:rPr>
              <w:t>68.59</w:t>
            </w:r>
          </w:p>
        </w:tc>
      </w:tr>
      <w:tr w:rsidR="003117EB" w:rsidRPr="00033D6A" w:rsidTr="0034692C">
        <w:tc>
          <w:tcPr>
            <w:tcW w:w="1867" w:type="dxa"/>
          </w:tcPr>
          <w:p w:rsidR="003117EB" w:rsidRPr="00033D6A" w:rsidRDefault="006054B9" w:rsidP="0034692C">
            <w:pPr>
              <w:jc w:val="center"/>
              <w:rPr>
                <w:rFonts w:asciiTheme="majorBidi" w:hAnsiTheme="majorBidi" w:cstheme="majorBidi"/>
                <w:sz w:val="24"/>
                <w:szCs w:val="24"/>
              </w:rPr>
            </w:pPr>
            <w:r>
              <w:rPr>
                <w:rFonts w:asciiTheme="majorBidi" w:hAnsiTheme="majorBidi" w:cstheme="majorBidi"/>
                <w:sz w:val="24"/>
                <w:szCs w:val="24"/>
              </w:rPr>
              <w:t xml:space="preserve">Earnings Per Share </w:t>
            </w:r>
          </w:p>
        </w:tc>
        <w:tc>
          <w:tcPr>
            <w:tcW w:w="763" w:type="dxa"/>
          </w:tcPr>
          <w:p w:rsidR="003117EB" w:rsidRPr="00033D6A" w:rsidRDefault="0017789B" w:rsidP="0034692C">
            <w:pPr>
              <w:jc w:val="center"/>
              <w:rPr>
                <w:rFonts w:asciiTheme="majorBidi" w:hAnsiTheme="majorBidi" w:cstheme="majorBidi"/>
                <w:sz w:val="24"/>
                <w:szCs w:val="24"/>
              </w:rPr>
            </w:pPr>
            <w:r w:rsidRPr="00033D6A">
              <w:rPr>
                <w:rFonts w:asciiTheme="majorBidi" w:hAnsiTheme="majorBidi" w:cstheme="majorBidi"/>
                <w:sz w:val="24"/>
                <w:szCs w:val="24"/>
              </w:rPr>
              <w:t>1.01</w:t>
            </w:r>
          </w:p>
        </w:tc>
        <w:tc>
          <w:tcPr>
            <w:tcW w:w="931" w:type="dxa"/>
          </w:tcPr>
          <w:p w:rsidR="003117EB" w:rsidRPr="00033D6A" w:rsidRDefault="0017789B" w:rsidP="0034692C">
            <w:pPr>
              <w:jc w:val="center"/>
              <w:rPr>
                <w:rFonts w:asciiTheme="majorBidi" w:hAnsiTheme="majorBidi" w:cstheme="majorBidi"/>
                <w:sz w:val="24"/>
                <w:szCs w:val="24"/>
              </w:rPr>
            </w:pPr>
            <w:r w:rsidRPr="00033D6A">
              <w:rPr>
                <w:rFonts w:asciiTheme="majorBidi" w:hAnsiTheme="majorBidi" w:cstheme="majorBidi"/>
                <w:sz w:val="24"/>
                <w:szCs w:val="24"/>
              </w:rPr>
              <w:t>1.23</w:t>
            </w:r>
          </w:p>
        </w:tc>
        <w:tc>
          <w:tcPr>
            <w:tcW w:w="756" w:type="dxa"/>
          </w:tcPr>
          <w:p w:rsidR="003117EB" w:rsidRPr="00033D6A" w:rsidRDefault="0017789B" w:rsidP="0034692C">
            <w:pPr>
              <w:jc w:val="center"/>
              <w:rPr>
                <w:rFonts w:asciiTheme="majorBidi" w:hAnsiTheme="majorBidi" w:cstheme="majorBidi"/>
                <w:sz w:val="24"/>
                <w:szCs w:val="24"/>
              </w:rPr>
            </w:pPr>
            <w:r w:rsidRPr="00033D6A">
              <w:rPr>
                <w:rFonts w:asciiTheme="majorBidi" w:hAnsiTheme="majorBidi" w:cstheme="majorBidi"/>
                <w:sz w:val="24"/>
                <w:szCs w:val="24"/>
              </w:rPr>
              <w:t>3.44</w:t>
            </w:r>
          </w:p>
        </w:tc>
        <w:tc>
          <w:tcPr>
            <w:tcW w:w="931" w:type="dxa"/>
          </w:tcPr>
          <w:p w:rsidR="003117EB" w:rsidRPr="00033D6A" w:rsidRDefault="0017789B" w:rsidP="0034692C">
            <w:pPr>
              <w:jc w:val="center"/>
              <w:rPr>
                <w:rFonts w:asciiTheme="majorBidi" w:hAnsiTheme="majorBidi" w:cstheme="majorBidi"/>
                <w:sz w:val="24"/>
                <w:szCs w:val="24"/>
              </w:rPr>
            </w:pPr>
            <w:r w:rsidRPr="00033D6A">
              <w:rPr>
                <w:rFonts w:asciiTheme="majorBidi" w:hAnsiTheme="majorBidi" w:cstheme="majorBidi"/>
                <w:sz w:val="24"/>
                <w:szCs w:val="24"/>
              </w:rPr>
              <w:t>3.81</w:t>
            </w:r>
          </w:p>
        </w:tc>
        <w:tc>
          <w:tcPr>
            <w:tcW w:w="913" w:type="dxa"/>
          </w:tcPr>
          <w:p w:rsidR="003117EB" w:rsidRPr="00033D6A" w:rsidRDefault="0017789B" w:rsidP="0034692C">
            <w:pPr>
              <w:jc w:val="center"/>
              <w:rPr>
                <w:rFonts w:asciiTheme="majorBidi" w:hAnsiTheme="majorBidi" w:cstheme="majorBidi"/>
                <w:sz w:val="24"/>
                <w:szCs w:val="24"/>
              </w:rPr>
            </w:pPr>
            <w:r w:rsidRPr="00033D6A">
              <w:rPr>
                <w:rFonts w:asciiTheme="majorBidi" w:hAnsiTheme="majorBidi" w:cstheme="majorBidi"/>
                <w:sz w:val="24"/>
                <w:szCs w:val="24"/>
              </w:rPr>
              <w:t>0.51</w:t>
            </w:r>
          </w:p>
        </w:tc>
        <w:tc>
          <w:tcPr>
            <w:tcW w:w="812" w:type="dxa"/>
          </w:tcPr>
          <w:p w:rsidR="003117EB" w:rsidRPr="00033D6A" w:rsidRDefault="00501984" w:rsidP="0034692C">
            <w:pPr>
              <w:jc w:val="center"/>
              <w:rPr>
                <w:rFonts w:asciiTheme="majorBidi" w:hAnsiTheme="majorBidi" w:cstheme="majorBidi"/>
                <w:sz w:val="24"/>
                <w:szCs w:val="24"/>
              </w:rPr>
            </w:pPr>
            <w:r w:rsidRPr="00033D6A">
              <w:rPr>
                <w:rFonts w:asciiTheme="majorBidi" w:hAnsiTheme="majorBidi" w:cstheme="majorBidi"/>
                <w:sz w:val="24"/>
                <w:szCs w:val="24"/>
              </w:rPr>
              <w:t>2.00</w:t>
            </w:r>
          </w:p>
        </w:tc>
        <w:tc>
          <w:tcPr>
            <w:tcW w:w="1083" w:type="dxa"/>
          </w:tcPr>
          <w:p w:rsidR="003117EB" w:rsidRPr="00033D6A" w:rsidRDefault="00501984" w:rsidP="0034692C">
            <w:pPr>
              <w:jc w:val="center"/>
              <w:rPr>
                <w:rFonts w:asciiTheme="majorBidi" w:hAnsiTheme="majorBidi" w:cstheme="majorBidi"/>
                <w:sz w:val="24"/>
                <w:szCs w:val="24"/>
              </w:rPr>
            </w:pPr>
            <w:r w:rsidRPr="00033D6A">
              <w:rPr>
                <w:rFonts w:asciiTheme="majorBidi" w:hAnsiTheme="majorBidi" w:cstheme="majorBidi"/>
                <w:sz w:val="24"/>
                <w:szCs w:val="24"/>
              </w:rPr>
              <w:t>1.511</w:t>
            </w:r>
          </w:p>
        </w:tc>
        <w:tc>
          <w:tcPr>
            <w:tcW w:w="1186" w:type="dxa"/>
          </w:tcPr>
          <w:p w:rsidR="003117EB" w:rsidRPr="00033D6A" w:rsidRDefault="00254328" w:rsidP="0034692C">
            <w:pPr>
              <w:jc w:val="center"/>
              <w:rPr>
                <w:rFonts w:asciiTheme="majorBidi" w:hAnsiTheme="majorBidi" w:cstheme="majorBidi"/>
                <w:sz w:val="24"/>
                <w:szCs w:val="24"/>
              </w:rPr>
            </w:pPr>
            <w:r w:rsidRPr="00033D6A">
              <w:rPr>
                <w:rFonts w:asciiTheme="majorBidi" w:hAnsiTheme="majorBidi" w:cstheme="majorBidi"/>
                <w:sz w:val="24"/>
                <w:szCs w:val="24"/>
              </w:rPr>
              <w:t>75.55</w:t>
            </w:r>
          </w:p>
        </w:tc>
      </w:tr>
    </w:tbl>
    <w:p w:rsidR="007213D1" w:rsidRDefault="007213D1" w:rsidP="00167617">
      <w:pPr>
        <w:rPr>
          <w:rFonts w:asciiTheme="majorBidi" w:hAnsiTheme="majorBidi" w:cstheme="majorBidi"/>
          <w:b/>
          <w:bCs/>
          <w:sz w:val="24"/>
          <w:szCs w:val="24"/>
        </w:rPr>
      </w:pPr>
    </w:p>
    <w:p w:rsidR="000A4A77" w:rsidRPr="00834ABB" w:rsidRDefault="000A4A77" w:rsidP="00834ABB">
      <w:pPr>
        <w:jc w:val="center"/>
        <w:rPr>
          <w:rFonts w:asciiTheme="majorBidi" w:hAnsiTheme="majorBidi" w:cstheme="majorBidi"/>
          <w:b/>
          <w:bCs/>
          <w:sz w:val="28"/>
          <w:szCs w:val="28"/>
        </w:rPr>
      </w:pPr>
      <w:r w:rsidRPr="00834ABB">
        <w:rPr>
          <w:rFonts w:asciiTheme="majorBidi" w:hAnsiTheme="majorBidi" w:cstheme="majorBidi"/>
          <w:b/>
          <w:bCs/>
          <w:sz w:val="28"/>
          <w:szCs w:val="28"/>
        </w:rPr>
        <w:t>Bank Stability</w:t>
      </w:r>
    </w:p>
    <w:p w:rsidR="00167617" w:rsidRDefault="00A1145E" w:rsidP="00700FF0">
      <w:r>
        <w:t xml:space="preserve">This research focuses on measuring financial performance of two </w:t>
      </w:r>
      <w:r w:rsidR="001F4136">
        <w:t xml:space="preserve">Islamic </w:t>
      </w:r>
      <w:r>
        <w:t>banks using five types of parameters. However, it is possible to drill down and measure the stability of the two banks by using the Z-Score measurement. Z-Score is the inverse of the prob</w:t>
      </w:r>
      <w:r w:rsidR="003F2311">
        <w:t>ability of insolvency. It actually</w:t>
      </w:r>
      <w:r>
        <w:t xml:space="preserve"> indicates </w:t>
      </w:r>
      <w:r w:rsidR="00DC7B7D">
        <w:t>the number of standard deviation that a bank’s return on assets has to drop its expected value before equity is depleted and the bank is insolvent</w:t>
      </w:r>
      <w:r w:rsidR="00F809B3">
        <w:t xml:space="preserve"> (Boyd </w:t>
      </w:r>
      <w:r w:rsidR="00F809B3" w:rsidRPr="00A97D15">
        <w:rPr>
          <w:i/>
          <w:iCs/>
        </w:rPr>
        <w:t>et al</w:t>
      </w:r>
      <w:r w:rsidR="00F809B3">
        <w:t>., 1993)</w:t>
      </w:r>
      <w:r w:rsidR="00DC7B7D">
        <w:t>.</w:t>
      </w:r>
      <w:r w:rsidR="00700FF0">
        <w:t xml:space="preserve"> </w:t>
      </w:r>
      <w:r w:rsidR="00DC7B7D">
        <w:t>Thus a high</w:t>
      </w:r>
      <w:r w:rsidR="00700FF0">
        <w:t>er z-score indicates that a bank incurs fewer risks and is more stable</w:t>
      </w:r>
      <w:r w:rsidR="00DC7B7D">
        <w:t>.</w:t>
      </w:r>
      <w:r w:rsidR="00700FF0">
        <w:t xml:space="preserve"> The z-score can be computed as follows:</w:t>
      </w:r>
    </w:p>
    <w:p w:rsidR="00700FF0" w:rsidRDefault="00700FF0" w:rsidP="00700FF0"/>
    <w:p w:rsidR="00C50C59" w:rsidRDefault="00B16B8E" w:rsidP="00F34A4C">
      <w:pPr>
        <w:rPr>
          <w:rFonts w:eastAsiaTheme="minorEastAsia"/>
        </w:rPr>
      </w:pPr>
      <w:r>
        <w:t>Z-Score =</w:t>
      </w:r>
      <m:oMath>
        <m:f>
          <m:fPr>
            <m:ctrlPr>
              <w:rPr>
                <w:rFonts w:ascii="Cambria Math" w:hAnsi="Cambria Math"/>
                <w:i/>
              </w:rPr>
            </m:ctrlPr>
          </m:fPr>
          <m:num>
            <m:r>
              <w:rPr>
                <w:rFonts w:ascii="Cambria Math" w:hAnsi="Cambria Math"/>
              </w:rPr>
              <m:t>ROA+CAR</m:t>
            </m:r>
          </m:num>
          <m:den>
            <m:eqArr>
              <m:eqArrPr>
                <m:ctrlPr>
                  <w:rPr>
                    <w:rFonts w:ascii="Cambria Math" w:hAnsi="Cambria Math"/>
                    <w:i/>
                  </w:rPr>
                </m:ctrlPr>
              </m:eqArrPr>
              <m:e>
                <m:r>
                  <w:rPr>
                    <w:rFonts w:ascii="Cambria Math" w:hAnsi="Cambria Math"/>
                  </w:rPr>
                  <m:t>SDROA</m:t>
                </m:r>
              </m:e>
              <m:e/>
            </m:eqArr>
          </m:den>
        </m:f>
      </m:oMath>
    </w:p>
    <w:p w:rsidR="00F34A4C" w:rsidRDefault="00F34A4C" w:rsidP="00F34A4C">
      <w:r>
        <w:rPr>
          <w:rFonts w:eastAsiaTheme="minorEastAsia"/>
        </w:rPr>
        <w:t>Where ROA is the return on assets and Car is the ratio of total equity over total assets of the bank. SDROA is each bank’s standard deviation of the ROA.</w:t>
      </w:r>
    </w:p>
    <w:p w:rsidR="008E4BB2" w:rsidRDefault="00C5183F" w:rsidP="008E4BB2">
      <w:r>
        <w:t xml:space="preserve">Z-score in table 11 </w:t>
      </w:r>
      <w:r w:rsidR="001F4136">
        <w:t xml:space="preserve">below indicates that the level of stability is </w:t>
      </w:r>
      <w:r w:rsidR="00E53876">
        <w:t xml:space="preserve">much </w:t>
      </w:r>
      <w:r w:rsidR="001F4136">
        <w:t>higher in Abu Dhabi Islamic bank than Dubai Islamic bank for individual years and for the whole period</w:t>
      </w:r>
      <w:r w:rsidR="00E53876">
        <w:t xml:space="preserve"> 2003-2007.</w:t>
      </w:r>
    </w:p>
    <w:p w:rsidR="00C50C59" w:rsidRDefault="001F4136" w:rsidP="002E0AC1">
      <w:r>
        <w:t xml:space="preserve">Table 11: </w:t>
      </w:r>
      <w:r w:rsidR="00C50C59">
        <w:t>Z-Score measurement</w:t>
      </w:r>
    </w:p>
    <w:tbl>
      <w:tblPr>
        <w:tblStyle w:val="TableGrid"/>
        <w:tblW w:w="0" w:type="auto"/>
        <w:tblLook w:val="04A0" w:firstRow="1" w:lastRow="0" w:firstColumn="1" w:lastColumn="0" w:noHBand="0" w:noVBand="1"/>
      </w:tblPr>
      <w:tblGrid>
        <w:gridCol w:w="3116"/>
        <w:gridCol w:w="3117"/>
        <w:gridCol w:w="3117"/>
      </w:tblGrid>
      <w:tr w:rsidR="00C50C59" w:rsidTr="00C07E42">
        <w:tc>
          <w:tcPr>
            <w:tcW w:w="3192" w:type="dxa"/>
          </w:tcPr>
          <w:p w:rsidR="00C50C59" w:rsidRDefault="00C50C59" w:rsidP="00C50C59">
            <w:pPr>
              <w:jc w:val="center"/>
            </w:pPr>
            <w:r>
              <w:t>Year</w:t>
            </w:r>
          </w:p>
        </w:tc>
        <w:tc>
          <w:tcPr>
            <w:tcW w:w="3192" w:type="dxa"/>
          </w:tcPr>
          <w:p w:rsidR="00C50C59" w:rsidRDefault="00C50C59" w:rsidP="00C50C59">
            <w:pPr>
              <w:jc w:val="center"/>
            </w:pPr>
            <w:r>
              <w:t>Dubai Islamic Bank</w:t>
            </w:r>
          </w:p>
        </w:tc>
        <w:tc>
          <w:tcPr>
            <w:tcW w:w="3192" w:type="dxa"/>
          </w:tcPr>
          <w:p w:rsidR="00C50C59" w:rsidRDefault="00C50C59" w:rsidP="00C50C59">
            <w:pPr>
              <w:jc w:val="center"/>
            </w:pPr>
            <w:r>
              <w:t>Abu Dhabi Islamic Bank</w:t>
            </w:r>
          </w:p>
        </w:tc>
      </w:tr>
      <w:tr w:rsidR="00C50C59" w:rsidTr="00C07E42">
        <w:tc>
          <w:tcPr>
            <w:tcW w:w="3192" w:type="dxa"/>
          </w:tcPr>
          <w:p w:rsidR="00C50C59" w:rsidRDefault="00C50C59" w:rsidP="00C50C59">
            <w:pPr>
              <w:jc w:val="center"/>
            </w:pPr>
            <w:r>
              <w:t>2003</w:t>
            </w:r>
          </w:p>
        </w:tc>
        <w:tc>
          <w:tcPr>
            <w:tcW w:w="3192" w:type="dxa"/>
          </w:tcPr>
          <w:p w:rsidR="00C50C59" w:rsidRDefault="00C50C59" w:rsidP="00C50C59">
            <w:pPr>
              <w:jc w:val="center"/>
            </w:pPr>
            <w:r>
              <w:t>1.012</w:t>
            </w:r>
          </w:p>
        </w:tc>
        <w:tc>
          <w:tcPr>
            <w:tcW w:w="3192" w:type="dxa"/>
          </w:tcPr>
          <w:p w:rsidR="00C50C59" w:rsidRDefault="00C50C59" w:rsidP="00C50C59">
            <w:pPr>
              <w:jc w:val="center"/>
            </w:pPr>
            <w:r>
              <w:t>4.657</w:t>
            </w:r>
          </w:p>
        </w:tc>
      </w:tr>
      <w:tr w:rsidR="00C50C59" w:rsidTr="00C07E42">
        <w:tc>
          <w:tcPr>
            <w:tcW w:w="3192" w:type="dxa"/>
          </w:tcPr>
          <w:p w:rsidR="00C50C59" w:rsidRDefault="00C50C59" w:rsidP="00C50C59">
            <w:pPr>
              <w:jc w:val="center"/>
            </w:pPr>
            <w:r>
              <w:t>2004</w:t>
            </w:r>
          </w:p>
        </w:tc>
        <w:tc>
          <w:tcPr>
            <w:tcW w:w="3192" w:type="dxa"/>
          </w:tcPr>
          <w:p w:rsidR="00C50C59" w:rsidRDefault="00C50C59" w:rsidP="00C50C59">
            <w:pPr>
              <w:jc w:val="center"/>
            </w:pPr>
            <w:r>
              <w:t>1.345</w:t>
            </w:r>
          </w:p>
        </w:tc>
        <w:tc>
          <w:tcPr>
            <w:tcW w:w="3192" w:type="dxa"/>
          </w:tcPr>
          <w:p w:rsidR="00C50C59" w:rsidRDefault="00C50C59" w:rsidP="00C50C59">
            <w:pPr>
              <w:jc w:val="center"/>
            </w:pPr>
            <w:r>
              <w:t>3.685</w:t>
            </w:r>
          </w:p>
        </w:tc>
      </w:tr>
      <w:tr w:rsidR="00C50C59" w:rsidTr="00C07E42">
        <w:tc>
          <w:tcPr>
            <w:tcW w:w="3192" w:type="dxa"/>
          </w:tcPr>
          <w:p w:rsidR="00C50C59" w:rsidRDefault="00C50C59" w:rsidP="00C50C59">
            <w:pPr>
              <w:jc w:val="center"/>
            </w:pPr>
            <w:r>
              <w:t>2005</w:t>
            </w:r>
          </w:p>
        </w:tc>
        <w:tc>
          <w:tcPr>
            <w:tcW w:w="3192" w:type="dxa"/>
          </w:tcPr>
          <w:p w:rsidR="00C50C59" w:rsidRDefault="00C50C59" w:rsidP="00C50C59">
            <w:pPr>
              <w:jc w:val="center"/>
            </w:pPr>
            <w:r>
              <w:t>3.478</w:t>
            </w:r>
          </w:p>
        </w:tc>
        <w:tc>
          <w:tcPr>
            <w:tcW w:w="3192" w:type="dxa"/>
          </w:tcPr>
          <w:p w:rsidR="00C50C59" w:rsidRDefault="00C50C59" w:rsidP="00C50C59">
            <w:pPr>
              <w:jc w:val="center"/>
            </w:pPr>
            <w:r>
              <w:t>3.057</w:t>
            </w:r>
          </w:p>
        </w:tc>
      </w:tr>
      <w:tr w:rsidR="00C50C59" w:rsidTr="00C07E42">
        <w:tc>
          <w:tcPr>
            <w:tcW w:w="3192" w:type="dxa"/>
          </w:tcPr>
          <w:p w:rsidR="00C50C59" w:rsidRDefault="00C50C59" w:rsidP="00C50C59">
            <w:pPr>
              <w:jc w:val="center"/>
            </w:pPr>
            <w:r>
              <w:t>2006</w:t>
            </w:r>
          </w:p>
        </w:tc>
        <w:tc>
          <w:tcPr>
            <w:tcW w:w="3192" w:type="dxa"/>
          </w:tcPr>
          <w:p w:rsidR="00C50C59" w:rsidRDefault="00C50C59" w:rsidP="00C50C59">
            <w:pPr>
              <w:jc w:val="center"/>
            </w:pPr>
            <w:r>
              <w:t>1.880</w:t>
            </w:r>
          </w:p>
        </w:tc>
        <w:tc>
          <w:tcPr>
            <w:tcW w:w="3192" w:type="dxa"/>
          </w:tcPr>
          <w:p w:rsidR="00C50C59" w:rsidRDefault="00C50C59" w:rsidP="00C50C59">
            <w:pPr>
              <w:jc w:val="center"/>
            </w:pPr>
            <w:r>
              <w:t>2.629</w:t>
            </w:r>
          </w:p>
        </w:tc>
      </w:tr>
      <w:tr w:rsidR="00C50C59" w:rsidTr="00C07E42">
        <w:tc>
          <w:tcPr>
            <w:tcW w:w="3192" w:type="dxa"/>
          </w:tcPr>
          <w:p w:rsidR="00C50C59" w:rsidRDefault="00C50C59" w:rsidP="00C50C59">
            <w:pPr>
              <w:jc w:val="center"/>
            </w:pPr>
            <w:r>
              <w:t>2007</w:t>
            </w:r>
          </w:p>
        </w:tc>
        <w:tc>
          <w:tcPr>
            <w:tcW w:w="3192" w:type="dxa"/>
          </w:tcPr>
          <w:p w:rsidR="00C50C59" w:rsidRDefault="00C50C59" w:rsidP="00C50C59">
            <w:pPr>
              <w:jc w:val="center"/>
            </w:pPr>
            <w:r>
              <w:t>1.833</w:t>
            </w:r>
          </w:p>
        </w:tc>
        <w:tc>
          <w:tcPr>
            <w:tcW w:w="3192" w:type="dxa"/>
          </w:tcPr>
          <w:p w:rsidR="00C50C59" w:rsidRDefault="00C50C59" w:rsidP="00C50C59">
            <w:pPr>
              <w:jc w:val="center"/>
            </w:pPr>
            <w:r>
              <w:t>4.029</w:t>
            </w:r>
          </w:p>
        </w:tc>
      </w:tr>
      <w:tr w:rsidR="00C50C59" w:rsidTr="00C07E42">
        <w:tc>
          <w:tcPr>
            <w:tcW w:w="3192" w:type="dxa"/>
          </w:tcPr>
          <w:p w:rsidR="00C50C59" w:rsidRDefault="00C50C59" w:rsidP="00C50C59">
            <w:pPr>
              <w:jc w:val="center"/>
            </w:pPr>
            <w:r>
              <w:t>Z-Score: 2003-2007</w:t>
            </w:r>
          </w:p>
        </w:tc>
        <w:tc>
          <w:tcPr>
            <w:tcW w:w="3192" w:type="dxa"/>
          </w:tcPr>
          <w:p w:rsidR="00C50C59" w:rsidRDefault="00C50C59" w:rsidP="00C50C59">
            <w:pPr>
              <w:jc w:val="center"/>
            </w:pPr>
            <w:r>
              <w:t>1.488</w:t>
            </w:r>
          </w:p>
        </w:tc>
        <w:tc>
          <w:tcPr>
            <w:tcW w:w="3192" w:type="dxa"/>
          </w:tcPr>
          <w:p w:rsidR="00C50C59" w:rsidRDefault="00C50C59" w:rsidP="00C50C59">
            <w:pPr>
              <w:jc w:val="center"/>
            </w:pPr>
            <w:r>
              <w:t>3.611</w:t>
            </w:r>
          </w:p>
        </w:tc>
      </w:tr>
    </w:tbl>
    <w:p w:rsidR="00167617" w:rsidRPr="00033D6A" w:rsidRDefault="00167617" w:rsidP="002E0AC1">
      <w:pPr>
        <w:rPr>
          <w:rFonts w:asciiTheme="majorBidi" w:hAnsiTheme="majorBidi" w:cstheme="majorBidi"/>
          <w:sz w:val="24"/>
          <w:szCs w:val="24"/>
        </w:rPr>
      </w:pPr>
    </w:p>
    <w:p w:rsidR="00884503" w:rsidRDefault="00884503" w:rsidP="00884503">
      <w:pPr>
        <w:rPr>
          <w:rFonts w:asciiTheme="majorBidi" w:hAnsiTheme="majorBidi" w:cstheme="majorBidi"/>
          <w:b/>
          <w:bCs/>
          <w:sz w:val="28"/>
          <w:szCs w:val="28"/>
        </w:rPr>
      </w:pPr>
      <w:r>
        <w:rPr>
          <w:rFonts w:asciiTheme="majorBidi" w:hAnsiTheme="majorBidi" w:cstheme="majorBidi"/>
          <w:b/>
          <w:bCs/>
          <w:sz w:val="28"/>
          <w:szCs w:val="28"/>
        </w:rPr>
        <w:lastRenderedPageBreak/>
        <w:t>Conclusion</w:t>
      </w:r>
    </w:p>
    <w:p w:rsidR="00AF630B" w:rsidRPr="007213D1" w:rsidRDefault="00884503" w:rsidP="007213D1">
      <w:pPr>
        <w:rPr>
          <w:rFonts w:asciiTheme="majorBidi" w:hAnsiTheme="majorBidi" w:cstheme="majorBidi"/>
          <w:sz w:val="24"/>
          <w:szCs w:val="24"/>
        </w:rPr>
      </w:pPr>
      <w:r>
        <w:rPr>
          <w:rFonts w:asciiTheme="majorBidi" w:hAnsiTheme="majorBidi" w:cstheme="majorBidi"/>
          <w:sz w:val="24"/>
          <w:szCs w:val="24"/>
        </w:rPr>
        <w:t>The central concern of the paper has been to conduct a comparative performance of two Islamic banks in United Arab Emirates for the period of 2003-2007. Five groups of parameters have been used to measure liquidity level, profitability level, management capacity, capital structure and share performance. The research went further to measure the financial stability of the two banks. The findings show that both banks are financially viable as both have used the appropriate financial tools and policies to manage their organization and to adapt with their environment, to become more competitive and maximizing their profits. The liqui</w:t>
      </w:r>
      <w:r w:rsidR="00BF6200">
        <w:rPr>
          <w:rFonts w:asciiTheme="majorBidi" w:hAnsiTheme="majorBidi" w:cstheme="majorBidi"/>
          <w:sz w:val="24"/>
          <w:szCs w:val="24"/>
        </w:rPr>
        <w:t xml:space="preserve">dity level in </w:t>
      </w:r>
      <w:r>
        <w:rPr>
          <w:rFonts w:asciiTheme="majorBidi" w:hAnsiTheme="majorBidi" w:cstheme="majorBidi"/>
          <w:sz w:val="24"/>
          <w:szCs w:val="24"/>
        </w:rPr>
        <w:t xml:space="preserve">Dubai </w:t>
      </w:r>
      <w:r w:rsidR="00BF6200">
        <w:rPr>
          <w:rFonts w:asciiTheme="majorBidi" w:hAnsiTheme="majorBidi" w:cstheme="majorBidi"/>
          <w:sz w:val="24"/>
          <w:szCs w:val="24"/>
        </w:rPr>
        <w:t xml:space="preserve">Islamic bank </w:t>
      </w:r>
      <w:r>
        <w:rPr>
          <w:rFonts w:asciiTheme="majorBidi" w:hAnsiTheme="majorBidi" w:cstheme="majorBidi"/>
          <w:sz w:val="24"/>
          <w:szCs w:val="24"/>
        </w:rPr>
        <w:t xml:space="preserve">is less than </w:t>
      </w:r>
      <w:r w:rsidR="00BF6200">
        <w:rPr>
          <w:rFonts w:asciiTheme="majorBidi" w:hAnsiTheme="majorBidi" w:cstheme="majorBidi"/>
          <w:sz w:val="24"/>
          <w:szCs w:val="24"/>
        </w:rPr>
        <w:t>in its comp</w:t>
      </w:r>
      <w:r w:rsidR="00BC5714">
        <w:rPr>
          <w:rFonts w:asciiTheme="majorBidi" w:hAnsiTheme="majorBidi" w:cstheme="majorBidi"/>
          <w:sz w:val="24"/>
          <w:szCs w:val="24"/>
        </w:rPr>
        <w:t>etitive</w:t>
      </w:r>
      <w:r w:rsidR="00BF6200">
        <w:rPr>
          <w:rFonts w:asciiTheme="majorBidi" w:hAnsiTheme="majorBidi" w:cstheme="majorBidi"/>
          <w:sz w:val="24"/>
          <w:szCs w:val="24"/>
        </w:rPr>
        <w:t xml:space="preserve"> bank. The research also</w:t>
      </w:r>
      <w:r w:rsidR="00637EE8">
        <w:rPr>
          <w:rFonts w:asciiTheme="majorBidi" w:hAnsiTheme="majorBidi" w:cstheme="majorBidi"/>
          <w:sz w:val="24"/>
          <w:szCs w:val="24"/>
        </w:rPr>
        <w:t xml:space="preserve"> show</w:t>
      </w:r>
      <w:r w:rsidR="00BC5714">
        <w:rPr>
          <w:rFonts w:asciiTheme="majorBidi" w:hAnsiTheme="majorBidi" w:cstheme="majorBidi"/>
          <w:sz w:val="24"/>
          <w:szCs w:val="24"/>
        </w:rPr>
        <w:t>s</w:t>
      </w:r>
      <w:r w:rsidR="00637EE8">
        <w:rPr>
          <w:rFonts w:asciiTheme="majorBidi" w:hAnsiTheme="majorBidi" w:cstheme="majorBidi"/>
          <w:sz w:val="24"/>
          <w:szCs w:val="24"/>
        </w:rPr>
        <w:t xml:space="preserve"> that Dubai</w:t>
      </w:r>
      <w:r>
        <w:rPr>
          <w:rFonts w:asciiTheme="majorBidi" w:hAnsiTheme="majorBidi" w:cstheme="majorBidi"/>
          <w:sz w:val="24"/>
          <w:szCs w:val="24"/>
        </w:rPr>
        <w:t xml:space="preserve"> </w:t>
      </w:r>
      <w:r w:rsidR="00BF6200">
        <w:rPr>
          <w:rFonts w:asciiTheme="majorBidi" w:hAnsiTheme="majorBidi" w:cstheme="majorBidi"/>
          <w:sz w:val="24"/>
          <w:szCs w:val="24"/>
        </w:rPr>
        <w:t xml:space="preserve">Islamic </w:t>
      </w:r>
      <w:r>
        <w:rPr>
          <w:rFonts w:asciiTheme="majorBidi" w:hAnsiTheme="majorBidi" w:cstheme="majorBidi"/>
          <w:sz w:val="24"/>
          <w:szCs w:val="24"/>
        </w:rPr>
        <w:t>bank possesses hi</w:t>
      </w:r>
      <w:r w:rsidR="00BF6200">
        <w:rPr>
          <w:rFonts w:asciiTheme="majorBidi" w:hAnsiTheme="majorBidi" w:cstheme="majorBidi"/>
          <w:sz w:val="24"/>
          <w:szCs w:val="24"/>
        </w:rPr>
        <w:t>gh profitability and instability levels</w:t>
      </w:r>
      <w:r w:rsidR="00637EE8">
        <w:rPr>
          <w:rFonts w:asciiTheme="majorBidi" w:hAnsiTheme="majorBidi" w:cstheme="majorBidi"/>
          <w:sz w:val="24"/>
          <w:szCs w:val="24"/>
        </w:rPr>
        <w:t xml:space="preserve"> thank Abu Dhabi bank</w:t>
      </w:r>
      <w:r>
        <w:rPr>
          <w:rFonts w:asciiTheme="majorBidi" w:hAnsiTheme="majorBidi" w:cstheme="majorBidi"/>
          <w:sz w:val="24"/>
          <w:szCs w:val="24"/>
        </w:rPr>
        <w:t xml:space="preserve">. </w:t>
      </w:r>
      <w:r w:rsidR="006071BD">
        <w:rPr>
          <w:rFonts w:asciiTheme="majorBidi" w:hAnsiTheme="majorBidi" w:cstheme="majorBidi"/>
          <w:sz w:val="24"/>
          <w:szCs w:val="24"/>
        </w:rPr>
        <w:t xml:space="preserve">The analysis of capital structure indicators reveals the similarities of the structures between the two banks. </w:t>
      </w:r>
      <w:r>
        <w:rPr>
          <w:rFonts w:asciiTheme="majorBidi" w:hAnsiTheme="majorBidi" w:cstheme="majorBidi"/>
          <w:sz w:val="24"/>
          <w:szCs w:val="24"/>
        </w:rPr>
        <w:t xml:space="preserve">As far as management capacity ratios, the analysis </w:t>
      </w:r>
      <w:r w:rsidR="006071BD">
        <w:rPr>
          <w:rFonts w:asciiTheme="majorBidi" w:hAnsiTheme="majorBidi" w:cstheme="majorBidi"/>
          <w:sz w:val="24"/>
          <w:szCs w:val="24"/>
        </w:rPr>
        <w:t>declared that</w:t>
      </w:r>
      <w:r>
        <w:rPr>
          <w:rFonts w:asciiTheme="majorBidi" w:hAnsiTheme="majorBidi" w:cstheme="majorBidi"/>
          <w:sz w:val="24"/>
          <w:szCs w:val="24"/>
        </w:rPr>
        <w:t xml:space="preserve"> Dubai</w:t>
      </w:r>
      <w:r w:rsidR="006071BD">
        <w:rPr>
          <w:rFonts w:asciiTheme="majorBidi" w:hAnsiTheme="majorBidi" w:cstheme="majorBidi"/>
          <w:sz w:val="24"/>
          <w:szCs w:val="24"/>
        </w:rPr>
        <w:t xml:space="preserve"> Islamic bank managed to generate its revenues with less level of expenses. Moreover, </w:t>
      </w:r>
      <w:r w:rsidR="00BF770F">
        <w:rPr>
          <w:rFonts w:asciiTheme="majorBidi" w:hAnsiTheme="majorBidi" w:cstheme="majorBidi"/>
          <w:sz w:val="24"/>
          <w:szCs w:val="24"/>
        </w:rPr>
        <w:t xml:space="preserve">Dubai Islamic bank </w:t>
      </w:r>
      <w:r w:rsidR="006071BD">
        <w:rPr>
          <w:rFonts w:asciiTheme="majorBidi" w:hAnsiTheme="majorBidi" w:cstheme="majorBidi"/>
          <w:sz w:val="24"/>
          <w:szCs w:val="24"/>
        </w:rPr>
        <w:t>allo</w:t>
      </w:r>
      <w:r w:rsidR="00637EE8">
        <w:rPr>
          <w:rFonts w:asciiTheme="majorBidi" w:hAnsiTheme="majorBidi" w:cstheme="majorBidi"/>
          <w:sz w:val="24"/>
          <w:szCs w:val="24"/>
        </w:rPr>
        <w:t>cated more money for investment, and less for</w:t>
      </w:r>
      <w:r w:rsidR="006071BD">
        <w:rPr>
          <w:rFonts w:asciiTheme="majorBidi" w:hAnsiTheme="majorBidi" w:cstheme="majorBidi"/>
          <w:sz w:val="24"/>
          <w:szCs w:val="24"/>
        </w:rPr>
        <w:t xml:space="preserve"> muraba</w:t>
      </w:r>
      <w:r w:rsidR="00637EE8">
        <w:rPr>
          <w:rFonts w:asciiTheme="majorBidi" w:hAnsiTheme="majorBidi" w:cstheme="majorBidi"/>
          <w:sz w:val="24"/>
          <w:szCs w:val="24"/>
        </w:rPr>
        <w:t>ha and financial activities comparing with</w:t>
      </w:r>
      <w:r w:rsidR="006071BD">
        <w:rPr>
          <w:rFonts w:asciiTheme="majorBidi" w:hAnsiTheme="majorBidi" w:cstheme="majorBidi"/>
          <w:sz w:val="24"/>
          <w:szCs w:val="24"/>
        </w:rPr>
        <w:t xml:space="preserve"> Abu Dhabi Islamic bank.</w:t>
      </w:r>
      <w:r w:rsidR="00BF770F">
        <w:rPr>
          <w:rFonts w:asciiTheme="majorBidi" w:hAnsiTheme="majorBidi" w:cstheme="majorBidi"/>
          <w:sz w:val="24"/>
          <w:szCs w:val="24"/>
        </w:rPr>
        <w:t xml:space="preserve"> T</w:t>
      </w:r>
      <w:r>
        <w:rPr>
          <w:rFonts w:asciiTheme="majorBidi" w:hAnsiTheme="majorBidi" w:cstheme="majorBidi"/>
          <w:sz w:val="24"/>
          <w:szCs w:val="24"/>
        </w:rPr>
        <w:t>he overall analysis of the share performa</w:t>
      </w:r>
      <w:r w:rsidR="00BF770F">
        <w:rPr>
          <w:rFonts w:asciiTheme="majorBidi" w:hAnsiTheme="majorBidi" w:cstheme="majorBidi"/>
          <w:sz w:val="24"/>
          <w:szCs w:val="24"/>
        </w:rPr>
        <w:t>nce stated that</w:t>
      </w:r>
      <w:r>
        <w:rPr>
          <w:rFonts w:asciiTheme="majorBidi" w:hAnsiTheme="majorBidi" w:cstheme="majorBidi"/>
          <w:sz w:val="24"/>
          <w:szCs w:val="24"/>
        </w:rPr>
        <w:t xml:space="preserve"> Abu Dhabi </w:t>
      </w:r>
      <w:r w:rsidR="00BF770F">
        <w:rPr>
          <w:rFonts w:asciiTheme="majorBidi" w:hAnsiTheme="majorBidi" w:cstheme="majorBidi"/>
          <w:sz w:val="24"/>
          <w:szCs w:val="24"/>
        </w:rPr>
        <w:t xml:space="preserve">Islamic bank </w:t>
      </w:r>
      <w:r>
        <w:rPr>
          <w:rFonts w:asciiTheme="majorBidi" w:hAnsiTheme="majorBidi" w:cstheme="majorBidi"/>
          <w:sz w:val="24"/>
          <w:szCs w:val="24"/>
        </w:rPr>
        <w:t>is better off in relation to the most important r</w:t>
      </w:r>
      <w:r w:rsidR="00BF770F">
        <w:rPr>
          <w:rFonts w:asciiTheme="majorBidi" w:hAnsiTheme="majorBidi" w:cstheme="majorBidi"/>
          <w:sz w:val="24"/>
          <w:szCs w:val="24"/>
        </w:rPr>
        <w:t>atios,</w:t>
      </w:r>
      <w:r>
        <w:rPr>
          <w:rFonts w:asciiTheme="majorBidi" w:hAnsiTheme="majorBidi" w:cstheme="majorBidi"/>
          <w:sz w:val="24"/>
          <w:szCs w:val="24"/>
        </w:rPr>
        <w:t xml:space="preserve"> than its competitor bank.</w:t>
      </w:r>
      <w:r w:rsidR="00BF770F">
        <w:rPr>
          <w:rFonts w:asciiTheme="majorBidi" w:hAnsiTheme="majorBidi" w:cstheme="majorBidi"/>
          <w:sz w:val="24"/>
          <w:szCs w:val="24"/>
        </w:rPr>
        <w:t xml:space="preserve"> Finally, the analysis of Z-score states that Abu Dhabi Islamic bank enjoy</w:t>
      </w:r>
      <w:r w:rsidR="00A97D15">
        <w:rPr>
          <w:rFonts w:asciiTheme="majorBidi" w:hAnsiTheme="majorBidi" w:cstheme="majorBidi"/>
          <w:sz w:val="24"/>
          <w:szCs w:val="24"/>
        </w:rPr>
        <w:t>s</w:t>
      </w:r>
      <w:r w:rsidR="00BF770F">
        <w:rPr>
          <w:rFonts w:asciiTheme="majorBidi" w:hAnsiTheme="majorBidi" w:cstheme="majorBidi"/>
          <w:sz w:val="24"/>
          <w:szCs w:val="24"/>
        </w:rPr>
        <w:t xml:space="preserve"> high level of stability than Dubai Islamic bank.</w:t>
      </w:r>
      <w:r w:rsidR="00834ABB">
        <w:rPr>
          <w:rFonts w:asciiTheme="majorBidi" w:hAnsiTheme="majorBidi" w:cstheme="majorBidi"/>
          <w:sz w:val="24"/>
          <w:szCs w:val="24"/>
        </w:rPr>
        <w:t xml:space="preserve"> Most of the indicators in this research have high level </w:t>
      </w:r>
      <w:r w:rsidR="00BC5714">
        <w:rPr>
          <w:rFonts w:asciiTheme="majorBidi" w:hAnsiTheme="majorBidi" w:cstheme="majorBidi"/>
          <w:sz w:val="24"/>
          <w:szCs w:val="24"/>
        </w:rPr>
        <w:t>of variability</w:t>
      </w:r>
      <w:r w:rsidR="00834ABB">
        <w:rPr>
          <w:rFonts w:asciiTheme="majorBidi" w:hAnsiTheme="majorBidi" w:cstheme="majorBidi"/>
          <w:sz w:val="24"/>
          <w:szCs w:val="24"/>
        </w:rPr>
        <w:t>. There are mainly t</w:t>
      </w:r>
      <w:r w:rsidR="00793592">
        <w:rPr>
          <w:rFonts w:asciiTheme="majorBidi" w:hAnsiTheme="majorBidi" w:cstheme="majorBidi"/>
          <w:sz w:val="24"/>
          <w:szCs w:val="24"/>
        </w:rPr>
        <w:t>w</w:t>
      </w:r>
      <w:r w:rsidR="00834ABB">
        <w:rPr>
          <w:rFonts w:asciiTheme="majorBidi" w:hAnsiTheme="majorBidi" w:cstheme="majorBidi"/>
          <w:sz w:val="24"/>
          <w:szCs w:val="24"/>
        </w:rPr>
        <w:t>o reasons behind this high variability</w:t>
      </w:r>
      <w:r w:rsidR="00793592">
        <w:rPr>
          <w:rFonts w:asciiTheme="majorBidi" w:hAnsiTheme="majorBidi" w:cstheme="majorBidi"/>
          <w:sz w:val="24"/>
          <w:szCs w:val="24"/>
        </w:rPr>
        <w:t xml:space="preserve"> levels</w:t>
      </w:r>
      <w:r w:rsidR="00834ABB">
        <w:rPr>
          <w:rFonts w:asciiTheme="majorBidi" w:hAnsiTheme="majorBidi" w:cstheme="majorBidi"/>
          <w:sz w:val="24"/>
          <w:szCs w:val="24"/>
        </w:rPr>
        <w:t>.</w:t>
      </w:r>
      <w:r w:rsidR="00493D41">
        <w:rPr>
          <w:rFonts w:asciiTheme="majorBidi" w:hAnsiTheme="majorBidi" w:cstheme="majorBidi"/>
          <w:sz w:val="24"/>
          <w:szCs w:val="24"/>
        </w:rPr>
        <w:t xml:space="preserve"> First,</w:t>
      </w:r>
      <w:r w:rsidR="00834ABB">
        <w:rPr>
          <w:rFonts w:asciiTheme="majorBidi" w:hAnsiTheme="majorBidi" w:cstheme="majorBidi"/>
          <w:sz w:val="24"/>
          <w:szCs w:val="24"/>
        </w:rPr>
        <w:t xml:space="preserve"> </w:t>
      </w:r>
      <w:r w:rsidR="00493D41">
        <w:rPr>
          <w:rFonts w:asciiTheme="majorBidi" w:hAnsiTheme="majorBidi" w:cstheme="majorBidi"/>
          <w:sz w:val="24"/>
          <w:szCs w:val="24"/>
        </w:rPr>
        <w:t xml:space="preserve">over the years 2003 to 2007, many investors moved their investments to the more profitable sectors as the economy was booming. </w:t>
      </w:r>
      <w:r w:rsidR="00D77581">
        <w:rPr>
          <w:rFonts w:asciiTheme="majorBidi" w:hAnsiTheme="majorBidi" w:cstheme="majorBidi"/>
          <w:sz w:val="24"/>
          <w:szCs w:val="24"/>
        </w:rPr>
        <w:t>Second, t</w:t>
      </w:r>
      <w:r w:rsidR="00493D41">
        <w:rPr>
          <w:rFonts w:asciiTheme="majorBidi" w:hAnsiTheme="majorBidi" w:cstheme="majorBidi"/>
          <w:sz w:val="24"/>
          <w:szCs w:val="24"/>
        </w:rPr>
        <w:t>he year of 2007 is the start</w:t>
      </w:r>
      <w:r w:rsidR="00D77581">
        <w:rPr>
          <w:rFonts w:asciiTheme="majorBidi" w:hAnsiTheme="majorBidi" w:cstheme="majorBidi"/>
          <w:sz w:val="24"/>
          <w:szCs w:val="24"/>
        </w:rPr>
        <w:t>ed year</w:t>
      </w:r>
      <w:r w:rsidR="00493D41">
        <w:rPr>
          <w:rFonts w:asciiTheme="majorBidi" w:hAnsiTheme="majorBidi" w:cstheme="majorBidi"/>
          <w:sz w:val="24"/>
          <w:szCs w:val="24"/>
        </w:rPr>
        <w:t xml:space="preserve"> of financial crisis and had negative effect on the performance of the banking sector.   </w:t>
      </w:r>
    </w:p>
    <w:p w:rsidR="00CB3A6B" w:rsidRPr="00DA62E9" w:rsidRDefault="00DF1B0C" w:rsidP="00553ABB">
      <w:pPr>
        <w:rPr>
          <w:b/>
          <w:bCs/>
          <w:sz w:val="24"/>
          <w:szCs w:val="24"/>
        </w:rPr>
      </w:pPr>
      <w:r w:rsidRPr="00DA62E9">
        <w:rPr>
          <w:b/>
          <w:bCs/>
          <w:sz w:val="24"/>
          <w:szCs w:val="24"/>
        </w:rPr>
        <w:t>References</w:t>
      </w:r>
    </w:p>
    <w:p w:rsidR="00CB3A6B" w:rsidRDefault="00CB3A6B" w:rsidP="00575F6D">
      <w:pPr>
        <w:spacing w:line="360" w:lineRule="auto"/>
        <w:ind w:left="720" w:hanging="720"/>
      </w:pPr>
      <w:proofErr w:type="spellStart"/>
      <w:r>
        <w:t>Abduh</w:t>
      </w:r>
      <w:proofErr w:type="spellEnd"/>
      <w:r>
        <w:t xml:space="preserve">, </w:t>
      </w:r>
      <w:proofErr w:type="spellStart"/>
      <w:r>
        <w:t>Muhamad</w:t>
      </w:r>
      <w:proofErr w:type="spellEnd"/>
      <w:r>
        <w:t xml:space="preserve">; </w:t>
      </w:r>
      <w:proofErr w:type="spellStart"/>
      <w:r>
        <w:t>Sidratua</w:t>
      </w:r>
      <w:proofErr w:type="spellEnd"/>
      <w:r>
        <w:t xml:space="preserve"> Hasan, and </w:t>
      </w:r>
      <w:proofErr w:type="spellStart"/>
      <w:r>
        <w:t>Alfatih</w:t>
      </w:r>
      <w:proofErr w:type="spellEnd"/>
      <w:r>
        <w:t xml:space="preserve"> </w:t>
      </w:r>
      <w:proofErr w:type="spellStart"/>
      <w:r>
        <w:t>Pananjung</w:t>
      </w:r>
      <w:proofErr w:type="spellEnd"/>
      <w:r>
        <w:t xml:space="preserve"> (2013) Efficiency and Performance of Islamic Banks in Bangladesh, </w:t>
      </w:r>
      <w:r w:rsidRPr="00BE06DF">
        <w:rPr>
          <w:b/>
          <w:bCs/>
        </w:rPr>
        <w:t>Journal of Islamic Banking and Finance</w:t>
      </w:r>
      <w:r>
        <w:t>, April-June, pp. 94-106.</w:t>
      </w:r>
    </w:p>
    <w:p w:rsidR="006005B2" w:rsidRDefault="00DF1B0C" w:rsidP="00553ABB">
      <w:pPr>
        <w:spacing w:line="360" w:lineRule="auto"/>
        <w:ind w:left="720" w:hanging="720"/>
      </w:pPr>
      <w:r>
        <w:t xml:space="preserve">Ahmed, </w:t>
      </w:r>
      <w:proofErr w:type="spellStart"/>
      <w:r>
        <w:t>Ashfaq</w:t>
      </w:r>
      <w:proofErr w:type="spellEnd"/>
      <w:r>
        <w:t xml:space="preserve"> (2010) Application of Non-Financial Measures for Assessment of Performance of Islamic Banks in Pakistan, </w:t>
      </w:r>
      <w:r w:rsidRPr="00BE06DF">
        <w:rPr>
          <w:b/>
          <w:bCs/>
        </w:rPr>
        <w:t>Interdisciplinary Journal of Contemporary Research in Business</w:t>
      </w:r>
      <w:r>
        <w:t>, Vol. 2 No. 7 pp. 173-181.</w:t>
      </w:r>
    </w:p>
    <w:p w:rsidR="006005B2" w:rsidRDefault="006005B2" w:rsidP="00575F6D">
      <w:pPr>
        <w:spacing w:line="360" w:lineRule="auto"/>
        <w:ind w:left="720" w:hanging="720"/>
      </w:pPr>
      <w:r>
        <w:t xml:space="preserve">Akhter, </w:t>
      </w:r>
      <w:proofErr w:type="spellStart"/>
      <w:r>
        <w:t>Waheed</w:t>
      </w:r>
      <w:proofErr w:type="spellEnd"/>
      <w:r>
        <w:t xml:space="preserve">; Raza, Ali; </w:t>
      </w:r>
      <w:proofErr w:type="spellStart"/>
      <w:r>
        <w:t>Orangzab</w:t>
      </w:r>
      <w:proofErr w:type="spellEnd"/>
      <w:r>
        <w:t xml:space="preserve">, and Muhammad </w:t>
      </w:r>
      <w:proofErr w:type="spellStart"/>
      <w:r>
        <w:t>Akram</w:t>
      </w:r>
      <w:proofErr w:type="spellEnd"/>
      <w:r>
        <w:t xml:space="preserve"> (2011) Efficiency and Performance of Islamic Banking: the Case of Pakistan</w:t>
      </w:r>
      <w:r w:rsidRPr="00575F6D">
        <w:rPr>
          <w:b/>
          <w:bCs/>
        </w:rPr>
        <w:t>, Far East Journal of Psychology and Business</w:t>
      </w:r>
      <w:r>
        <w:t xml:space="preserve">, </w:t>
      </w:r>
      <w:r w:rsidR="00575F6D">
        <w:t>Vol. 2 No. 2 pp. 54-71.</w:t>
      </w:r>
    </w:p>
    <w:p w:rsidR="007213D1" w:rsidRDefault="007213D1" w:rsidP="00575F6D">
      <w:pPr>
        <w:spacing w:line="360" w:lineRule="auto"/>
        <w:ind w:left="720" w:hanging="720"/>
      </w:pPr>
      <w:r>
        <w:t xml:space="preserve">Boyd, J.H.; S.L. Graham and R.S. Hewitt (1993) Bank Holding Company Mergers with nonbank Financial Firms, </w:t>
      </w:r>
      <w:r w:rsidRPr="007213D1">
        <w:rPr>
          <w:b/>
          <w:bCs/>
        </w:rPr>
        <w:t>Journal of Banking and Finance</w:t>
      </w:r>
      <w:r>
        <w:t xml:space="preserve"> Vol. 17 pp. 43-63</w:t>
      </w:r>
    </w:p>
    <w:p w:rsidR="001B43E0" w:rsidRDefault="001B43E0" w:rsidP="00575F6D">
      <w:pPr>
        <w:spacing w:line="360" w:lineRule="auto"/>
        <w:ind w:left="720" w:hanging="720"/>
      </w:pPr>
      <w:proofErr w:type="spellStart"/>
      <w:r>
        <w:lastRenderedPageBreak/>
        <w:t>Cihak</w:t>
      </w:r>
      <w:proofErr w:type="spellEnd"/>
      <w:r>
        <w:t xml:space="preserve">, Martin and </w:t>
      </w:r>
      <w:proofErr w:type="spellStart"/>
      <w:r>
        <w:t>Heiko</w:t>
      </w:r>
      <w:proofErr w:type="spellEnd"/>
      <w:r>
        <w:t xml:space="preserve"> </w:t>
      </w:r>
      <w:proofErr w:type="spellStart"/>
      <w:r>
        <w:t>Hesse</w:t>
      </w:r>
      <w:proofErr w:type="spellEnd"/>
      <w:r>
        <w:t xml:space="preserve"> (2010) Islamic Banks and Financial Stability, </w:t>
      </w:r>
      <w:r w:rsidRPr="00ED5E23">
        <w:rPr>
          <w:b/>
          <w:bCs/>
        </w:rPr>
        <w:t>Journal of Financial Services</w:t>
      </w:r>
      <w:r>
        <w:t xml:space="preserve"> </w:t>
      </w:r>
      <w:r w:rsidRPr="00ED5E23">
        <w:rPr>
          <w:b/>
          <w:bCs/>
        </w:rPr>
        <w:t>Research</w:t>
      </w:r>
      <w:r>
        <w:t>, Vol. 38 Issues 2-3 pp.</w:t>
      </w:r>
      <w:r w:rsidR="002B60E7">
        <w:t xml:space="preserve"> 95-113</w:t>
      </w:r>
    </w:p>
    <w:p w:rsidR="00493D41" w:rsidRDefault="00493D41" w:rsidP="00575F6D">
      <w:pPr>
        <w:spacing w:line="360" w:lineRule="auto"/>
        <w:ind w:left="720" w:hanging="720"/>
      </w:pPr>
      <w:proofErr w:type="spellStart"/>
      <w:r>
        <w:t>Husein</w:t>
      </w:r>
      <w:proofErr w:type="spellEnd"/>
      <w:r>
        <w:t xml:space="preserve">, Muhammad </w:t>
      </w:r>
      <w:proofErr w:type="spellStart"/>
      <w:r>
        <w:t>Fakhri</w:t>
      </w:r>
      <w:proofErr w:type="spellEnd"/>
      <w:r>
        <w:t xml:space="preserve"> (2014) </w:t>
      </w:r>
      <w:r w:rsidRPr="00793592">
        <w:rPr>
          <w:b/>
          <w:bCs/>
        </w:rPr>
        <w:t>The Stability of Islamic Banks in Indonesia</w:t>
      </w:r>
      <w:r>
        <w:t xml:space="preserve">, </w:t>
      </w:r>
      <w:r w:rsidR="00793592">
        <w:t xml:space="preserve">Paper presented at </w:t>
      </w:r>
      <w:r>
        <w:t>The 2</w:t>
      </w:r>
      <w:r w:rsidRPr="00493D41">
        <w:rPr>
          <w:vertAlign w:val="superscript"/>
        </w:rPr>
        <w:t>nd</w:t>
      </w:r>
      <w:r>
        <w:t xml:space="preserve"> IBEA – International Conference on Business, Economics, and Accounting, Hong Kong, 26-28 March, 2014</w:t>
      </w:r>
    </w:p>
    <w:p w:rsidR="008A4722" w:rsidRDefault="00DF1B0C" w:rsidP="00575F6D">
      <w:pPr>
        <w:spacing w:line="360" w:lineRule="auto"/>
        <w:ind w:left="720" w:hanging="720"/>
      </w:pPr>
      <w:r>
        <w:t xml:space="preserve"> </w:t>
      </w:r>
      <w:r w:rsidR="00002C3B">
        <w:t xml:space="preserve">Ibrahim, </w:t>
      </w:r>
      <w:proofErr w:type="spellStart"/>
      <w:r w:rsidR="00002C3B">
        <w:t>Md</w:t>
      </w:r>
      <w:proofErr w:type="spellEnd"/>
      <w:r w:rsidR="00002C3B">
        <w:t xml:space="preserve">, </w:t>
      </w:r>
      <w:r w:rsidR="00BE06DF">
        <w:t xml:space="preserve">Mohammad, </w:t>
      </w:r>
      <w:proofErr w:type="spellStart"/>
      <w:r w:rsidR="00BE06DF">
        <w:t>Kazi</w:t>
      </w:r>
      <w:proofErr w:type="spellEnd"/>
      <w:r w:rsidR="00BE06DF">
        <w:t xml:space="preserve">, </w:t>
      </w:r>
      <w:proofErr w:type="spellStart"/>
      <w:r w:rsidR="00BE06DF">
        <w:t>Hoque</w:t>
      </w:r>
      <w:proofErr w:type="spellEnd"/>
      <w:r w:rsidR="00BE06DF">
        <w:t xml:space="preserve">, </w:t>
      </w:r>
      <w:proofErr w:type="spellStart"/>
      <w:r w:rsidR="00BE06DF">
        <w:t>Nazamul</w:t>
      </w:r>
      <w:proofErr w:type="spellEnd"/>
      <w:r w:rsidR="00BE06DF">
        <w:t xml:space="preserve"> and Mohammad Khan (2014) Investigation the Performance of Islamic Banks in Bangladesh</w:t>
      </w:r>
      <w:r w:rsidR="00BE06DF" w:rsidRPr="00BE06DF">
        <w:rPr>
          <w:b/>
          <w:bCs/>
        </w:rPr>
        <w:t>, Asian Social Science</w:t>
      </w:r>
      <w:r w:rsidR="00BE06DF">
        <w:t xml:space="preserve"> Vol. 10 No. 22 pp. 165-174.</w:t>
      </w:r>
    </w:p>
    <w:p w:rsidR="00DD5374" w:rsidRDefault="00DD5374" w:rsidP="00BF770F">
      <w:pPr>
        <w:spacing w:line="360" w:lineRule="auto"/>
        <w:ind w:left="720" w:hanging="720"/>
      </w:pPr>
      <w:proofErr w:type="spellStart"/>
      <w:r>
        <w:t>Miniaoui</w:t>
      </w:r>
      <w:proofErr w:type="spellEnd"/>
      <w:r>
        <w:t xml:space="preserve">, </w:t>
      </w:r>
      <w:proofErr w:type="spellStart"/>
      <w:r>
        <w:t>Hela</w:t>
      </w:r>
      <w:proofErr w:type="spellEnd"/>
      <w:r>
        <w:t xml:space="preserve"> and Gaston </w:t>
      </w:r>
      <w:proofErr w:type="spellStart"/>
      <w:r>
        <w:t>Gohou</w:t>
      </w:r>
      <w:proofErr w:type="spellEnd"/>
      <w:r>
        <w:t xml:space="preserve"> (2011) Did the Islamic banking perform better during the fina</w:t>
      </w:r>
      <w:r w:rsidR="00793592">
        <w:t>ncial crisis? Paper presented at</w:t>
      </w:r>
      <w:r>
        <w:t xml:space="preserve"> </w:t>
      </w:r>
      <w:r w:rsidRPr="00A97D15">
        <w:rPr>
          <w:b/>
          <w:bCs/>
        </w:rPr>
        <w:t>International conference on management, economics, and social</w:t>
      </w:r>
      <w:r>
        <w:t xml:space="preserve"> </w:t>
      </w:r>
      <w:r w:rsidRPr="00A97D15">
        <w:rPr>
          <w:b/>
          <w:bCs/>
        </w:rPr>
        <w:t>science</w:t>
      </w:r>
      <w:r w:rsidR="00BF770F" w:rsidRPr="00A97D15">
        <w:rPr>
          <w:b/>
          <w:bCs/>
        </w:rPr>
        <w:t>s</w:t>
      </w:r>
      <w:r w:rsidR="00BF770F">
        <w:t>, Bangkok December 2011.</w:t>
      </w:r>
    </w:p>
    <w:p w:rsidR="007213D1" w:rsidRDefault="007213D1" w:rsidP="00BF770F">
      <w:pPr>
        <w:spacing w:line="360" w:lineRule="auto"/>
        <w:ind w:left="720" w:hanging="720"/>
      </w:pPr>
    </w:p>
    <w:p w:rsidR="008A4722" w:rsidRDefault="008A4722" w:rsidP="00575F6D">
      <w:pPr>
        <w:spacing w:line="360" w:lineRule="auto"/>
        <w:ind w:left="720" w:hanging="720"/>
      </w:pPr>
      <w:proofErr w:type="spellStart"/>
      <w:r>
        <w:t>Yudistira</w:t>
      </w:r>
      <w:proofErr w:type="spellEnd"/>
      <w:r>
        <w:t xml:space="preserve">, </w:t>
      </w:r>
      <w:proofErr w:type="spellStart"/>
      <w:r>
        <w:t>Don</w:t>
      </w:r>
      <w:r w:rsidR="005078FB">
        <w:t>syah</w:t>
      </w:r>
      <w:proofErr w:type="spellEnd"/>
      <w:r w:rsidR="005078FB">
        <w:t xml:space="preserve"> (2004) Efficiency in Islamic Banking</w:t>
      </w:r>
      <w:r w:rsidR="005078FB" w:rsidRPr="005078FB">
        <w:rPr>
          <w:b/>
          <w:bCs/>
        </w:rPr>
        <w:t>, Islamic Economic Studies</w:t>
      </w:r>
      <w:r w:rsidR="005078FB">
        <w:t>, Vol. 12 No. 1 pp. 1-19</w:t>
      </w:r>
    </w:p>
    <w:p w:rsidR="005078FB" w:rsidRDefault="00FF2E62" w:rsidP="00575F6D">
      <w:pPr>
        <w:spacing w:line="360" w:lineRule="auto"/>
        <w:ind w:left="720" w:hanging="720"/>
      </w:pPr>
      <w:proofErr w:type="spellStart"/>
      <w:r>
        <w:t>Sanwari</w:t>
      </w:r>
      <w:proofErr w:type="spellEnd"/>
      <w:r>
        <w:t xml:space="preserve">, </w:t>
      </w:r>
      <w:proofErr w:type="spellStart"/>
      <w:r>
        <w:t>Suria</w:t>
      </w:r>
      <w:proofErr w:type="spellEnd"/>
      <w:r>
        <w:t xml:space="preserve"> and </w:t>
      </w:r>
      <w:proofErr w:type="spellStart"/>
      <w:r>
        <w:t>Roza</w:t>
      </w:r>
      <w:proofErr w:type="spellEnd"/>
      <w:r>
        <w:t xml:space="preserve"> </w:t>
      </w:r>
      <w:proofErr w:type="spellStart"/>
      <w:r>
        <w:t>Zakaria</w:t>
      </w:r>
      <w:proofErr w:type="spellEnd"/>
      <w:r>
        <w:t xml:space="preserve"> (2013) </w:t>
      </w:r>
      <w:proofErr w:type="gramStart"/>
      <w:r>
        <w:t>The</w:t>
      </w:r>
      <w:proofErr w:type="gramEnd"/>
      <w:r>
        <w:t xml:space="preserve"> Performance of Islamic Banks and Macroeconomic Condition, </w:t>
      </w:r>
      <w:r w:rsidRPr="00FF2E62">
        <w:rPr>
          <w:b/>
          <w:bCs/>
        </w:rPr>
        <w:t>ISRA International Journal of Islamic Finance</w:t>
      </w:r>
      <w:r>
        <w:t>, Vol. 5 Issue 2, pp. 83-98.</w:t>
      </w:r>
    </w:p>
    <w:sectPr w:rsidR="005078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131" w:rsidRDefault="004E4131" w:rsidP="00C631A5">
      <w:pPr>
        <w:spacing w:after="0" w:line="240" w:lineRule="auto"/>
      </w:pPr>
      <w:r>
        <w:separator/>
      </w:r>
    </w:p>
  </w:endnote>
  <w:endnote w:type="continuationSeparator" w:id="0">
    <w:p w:rsidR="004E4131" w:rsidRDefault="004E4131" w:rsidP="00C6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131" w:rsidRDefault="004E4131" w:rsidP="00C631A5">
      <w:pPr>
        <w:spacing w:after="0" w:line="240" w:lineRule="auto"/>
      </w:pPr>
      <w:r>
        <w:separator/>
      </w:r>
    </w:p>
  </w:footnote>
  <w:footnote w:type="continuationSeparator" w:id="0">
    <w:p w:rsidR="004E4131" w:rsidRDefault="004E4131" w:rsidP="00C63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381185"/>
      <w:docPartObj>
        <w:docPartGallery w:val="Page Numbers (Top of Page)"/>
        <w:docPartUnique/>
      </w:docPartObj>
    </w:sdtPr>
    <w:sdtEndPr>
      <w:rPr>
        <w:noProof/>
      </w:rPr>
    </w:sdtEndPr>
    <w:sdtContent>
      <w:p w:rsidR="00637EE8" w:rsidRDefault="00637EE8">
        <w:pPr>
          <w:pStyle w:val="Header"/>
        </w:pPr>
        <w:r>
          <w:fldChar w:fldCharType="begin"/>
        </w:r>
        <w:r>
          <w:instrText xml:space="preserve"> PAGE   \* MERGEFORMAT </w:instrText>
        </w:r>
        <w:r>
          <w:fldChar w:fldCharType="separate"/>
        </w:r>
        <w:r w:rsidR="00ED5E23">
          <w:rPr>
            <w:noProof/>
          </w:rPr>
          <w:t>14</w:t>
        </w:r>
        <w:r>
          <w:rPr>
            <w:noProof/>
          </w:rPr>
          <w:fldChar w:fldCharType="end"/>
        </w:r>
      </w:p>
    </w:sdtContent>
  </w:sdt>
  <w:p w:rsidR="00637EE8" w:rsidRDefault="00637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9513B"/>
    <w:multiLevelType w:val="hybridMultilevel"/>
    <w:tmpl w:val="DFB25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762C90"/>
    <w:multiLevelType w:val="hybridMultilevel"/>
    <w:tmpl w:val="8780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7A"/>
    <w:rsid w:val="00002C3B"/>
    <w:rsid w:val="00002F08"/>
    <w:rsid w:val="0000346A"/>
    <w:rsid w:val="00010773"/>
    <w:rsid w:val="00033D6A"/>
    <w:rsid w:val="00035458"/>
    <w:rsid w:val="00036D76"/>
    <w:rsid w:val="0004475C"/>
    <w:rsid w:val="00055287"/>
    <w:rsid w:val="00060037"/>
    <w:rsid w:val="00063FB5"/>
    <w:rsid w:val="00094B7C"/>
    <w:rsid w:val="000A4A77"/>
    <w:rsid w:val="000B0F7B"/>
    <w:rsid w:val="000F77C7"/>
    <w:rsid w:val="0010220E"/>
    <w:rsid w:val="00146E47"/>
    <w:rsid w:val="00150F2B"/>
    <w:rsid w:val="00153B40"/>
    <w:rsid w:val="00167617"/>
    <w:rsid w:val="001720DE"/>
    <w:rsid w:val="001738D0"/>
    <w:rsid w:val="0017478F"/>
    <w:rsid w:val="0017789B"/>
    <w:rsid w:val="001A0F8F"/>
    <w:rsid w:val="001A2277"/>
    <w:rsid w:val="001B26C1"/>
    <w:rsid w:val="001B43E0"/>
    <w:rsid w:val="001D1CCA"/>
    <w:rsid w:val="001E1A88"/>
    <w:rsid w:val="001F3E8A"/>
    <w:rsid w:val="001F4136"/>
    <w:rsid w:val="00224566"/>
    <w:rsid w:val="002417AC"/>
    <w:rsid w:val="00247597"/>
    <w:rsid w:val="00254328"/>
    <w:rsid w:val="00267AF6"/>
    <w:rsid w:val="0027268C"/>
    <w:rsid w:val="002936AE"/>
    <w:rsid w:val="002B60E7"/>
    <w:rsid w:val="002B7241"/>
    <w:rsid w:val="002C2AC4"/>
    <w:rsid w:val="002E0AC1"/>
    <w:rsid w:val="0030256B"/>
    <w:rsid w:val="0030745D"/>
    <w:rsid w:val="0031172B"/>
    <w:rsid w:val="003117EB"/>
    <w:rsid w:val="00313635"/>
    <w:rsid w:val="00333A5D"/>
    <w:rsid w:val="00333BAD"/>
    <w:rsid w:val="003436A0"/>
    <w:rsid w:val="0034692C"/>
    <w:rsid w:val="003560EF"/>
    <w:rsid w:val="003609B6"/>
    <w:rsid w:val="0036614E"/>
    <w:rsid w:val="00377235"/>
    <w:rsid w:val="0037779E"/>
    <w:rsid w:val="00392528"/>
    <w:rsid w:val="003D135F"/>
    <w:rsid w:val="003E54D0"/>
    <w:rsid w:val="003F2311"/>
    <w:rsid w:val="003F4097"/>
    <w:rsid w:val="00423407"/>
    <w:rsid w:val="004311CD"/>
    <w:rsid w:val="00437C93"/>
    <w:rsid w:val="00461648"/>
    <w:rsid w:val="00475E71"/>
    <w:rsid w:val="00476BD0"/>
    <w:rsid w:val="004926E6"/>
    <w:rsid w:val="00493D41"/>
    <w:rsid w:val="004B1F09"/>
    <w:rsid w:val="004B4F20"/>
    <w:rsid w:val="004C4563"/>
    <w:rsid w:val="004C5074"/>
    <w:rsid w:val="004C5D66"/>
    <w:rsid w:val="004D6505"/>
    <w:rsid w:val="004E4131"/>
    <w:rsid w:val="004E6F48"/>
    <w:rsid w:val="004F1E81"/>
    <w:rsid w:val="00501984"/>
    <w:rsid w:val="005078FB"/>
    <w:rsid w:val="00517C1B"/>
    <w:rsid w:val="0052498F"/>
    <w:rsid w:val="00543943"/>
    <w:rsid w:val="00553ABB"/>
    <w:rsid w:val="00557AF8"/>
    <w:rsid w:val="00575122"/>
    <w:rsid w:val="00575F6D"/>
    <w:rsid w:val="005964B0"/>
    <w:rsid w:val="005A3B82"/>
    <w:rsid w:val="005C7A01"/>
    <w:rsid w:val="005D44AC"/>
    <w:rsid w:val="005D49DC"/>
    <w:rsid w:val="006005B2"/>
    <w:rsid w:val="00601A18"/>
    <w:rsid w:val="006054B9"/>
    <w:rsid w:val="006071BD"/>
    <w:rsid w:val="00617EF4"/>
    <w:rsid w:val="00637EE8"/>
    <w:rsid w:val="00637F36"/>
    <w:rsid w:val="00646B5A"/>
    <w:rsid w:val="006B1F50"/>
    <w:rsid w:val="006F4843"/>
    <w:rsid w:val="006F5A51"/>
    <w:rsid w:val="006F5F41"/>
    <w:rsid w:val="00700FF0"/>
    <w:rsid w:val="00707921"/>
    <w:rsid w:val="007213D1"/>
    <w:rsid w:val="00765DB7"/>
    <w:rsid w:val="00793592"/>
    <w:rsid w:val="007938E1"/>
    <w:rsid w:val="007A3E16"/>
    <w:rsid w:val="007A66AA"/>
    <w:rsid w:val="00834ABB"/>
    <w:rsid w:val="00861771"/>
    <w:rsid w:val="00884503"/>
    <w:rsid w:val="00895A1C"/>
    <w:rsid w:val="008A4722"/>
    <w:rsid w:val="008A588E"/>
    <w:rsid w:val="008B2D5A"/>
    <w:rsid w:val="008E4BB2"/>
    <w:rsid w:val="009024E0"/>
    <w:rsid w:val="00907482"/>
    <w:rsid w:val="00914693"/>
    <w:rsid w:val="009335BF"/>
    <w:rsid w:val="00935F15"/>
    <w:rsid w:val="00965F64"/>
    <w:rsid w:val="00966C7A"/>
    <w:rsid w:val="00977EA5"/>
    <w:rsid w:val="0098220B"/>
    <w:rsid w:val="00990FBD"/>
    <w:rsid w:val="009935F2"/>
    <w:rsid w:val="00993713"/>
    <w:rsid w:val="009B0CD7"/>
    <w:rsid w:val="009B4A1A"/>
    <w:rsid w:val="009D181C"/>
    <w:rsid w:val="00A1145E"/>
    <w:rsid w:val="00A269FE"/>
    <w:rsid w:val="00A37168"/>
    <w:rsid w:val="00A549D1"/>
    <w:rsid w:val="00A62735"/>
    <w:rsid w:val="00A715B6"/>
    <w:rsid w:val="00A716D4"/>
    <w:rsid w:val="00A9622D"/>
    <w:rsid w:val="00A97D15"/>
    <w:rsid w:val="00AB1FEF"/>
    <w:rsid w:val="00AD4FE9"/>
    <w:rsid w:val="00AF630B"/>
    <w:rsid w:val="00AF630C"/>
    <w:rsid w:val="00B0156A"/>
    <w:rsid w:val="00B12D60"/>
    <w:rsid w:val="00B16048"/>
    <w:rsid w:val="00B16B8E"/>
    <w:rsid w:val="00B534BA"/>
    <w:rsid w:val="00B74BFE"/>
    <w:rsid w:val="00BA4391"/>
    <w:rsid w:val="00BC4549"/>
    <w:rsid w:val="00BC5714"/>
    <w:rsid w:val="00BE06DF"/>
    <w:rsid w:val="00BF6200"/>
    <w:rsid w:val="00BF770F"/>
    <w:rsid w:val="00C07E42"/>
    <w:rsid w:val="00C11466"/>
    <w:rsid w:val="00C12A5F"/>
    <w:rsid w:val="00C50C59"/>
    <w:rsid w:val="00C5183F"/>
    <w:rsid w:val="00C5573D"/>
    <w:rsid w:val="00C56E7B"/>
    <w:rsid w:val="00C60685"/>
    <w:rsid w:val="00C631A5"/>
    <w:rsid w:val="00CB3A6B"/>
    <w:rsid w:val="00CB7D45"/>
    <w:rsid w:val="00CE18A4"/>
    <w:rsid w:val="00CE3818"/>
    <w:rsid w:val="00CF6685"/>
    <w:rsid w:val="00CF6BEA"/>
    <w:rsid w:val="00D07EEB"/>
    <w:rsid w:val="00D41C96"/>
    <w:rsid w:val="00D4276B"/>
    <w:rsid w:val="00D5731E"/>
    <w:rsid w:val="00D77581"/>
    <w:rsid w:val="00D85D3D"/>
    <w:rsid w:val="00DA5986"/>
    <w:rsid w:val="00DA62E9"/>
    <w:rsid w:val="00DA6CB7"/>
    <w:rsid w:val="00DC78F6"/>
    <w:rsid w:val="00DC7B7D"/>
    <w:rsid w:val="00DD5374"/>
    <w:rsid w:val="00DD6918"/>
    <w:rsid w:val="00DF1B0C"/>
    <w:rsid w:val="00DF23BF"/>
    <w:rsid w:val="00DF34FA"/>
    <w:rsid w:val="00E01791"/>
    <w:rsid w:val="00E031B2"/>
    <w:rsid w:val="00E32E93"/>
    <w:rsid w:val="00E42EC5"/>
    <w:rsid w:val="00E53876"/>
    <w:rsid w:val="00E73CC0"/>
    <w:rsid w:val="00E778CE"/>
    <w:rsid w:val="00E86503"/>
    <w:rsid w:val="00EB55AF"/>
    <w:rsid w:val="00ED5E23"/>
    <w:rsid w:val="00EF152B"/>
    <w:rsid w:val="00F14C89"/>
    <w:rsid w:val="00F1755A"/>
    <w:rsid w:val="00F34A4C"/>
    <w:rsid w:val="00F4052A"/>
    <w:rsid w:val="00F4088E"/>
    <w:rsid w:val="00F45FE5"/>
    <w:rsid w:val="00F66AB9"/>
    <w:rsid w:val="00F679B9"/>
    <w:rsid w:val="00F71FF2"/>
    <w:rsid w:val="00F809B3"/>
    <w:rsid w:val="00FC02B8"/>
    <w:rsid w:val="00FC3766"/>
    <w:rsid w:val="00FF2E62"/>
    <w:rsid w:val="00FF73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92ABB-65ED-403F-B359-3F295C6B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6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92C"/>
    <w:rPr>
      <w:rFonts w:ascii="Tahoma" w:hAnsi="Tahoma" w:cs="Tahoma"/>
      <w:sz w:val="16"/>
      <w:szCs w:val="16"/>
    </w:rPr>
  </w:style>
  <w:style w:type="character" w:styleId="PlaceholderText">
    <w:name w:val="Placeholder Text"/>
    <w:basedOn w:val="DefaultParagraphFont"/>
    <w:uiPriority w:val="99"/>
    <w:semiHidden/>
    <w:rsid w:val="00B16B8E"/>
    <w:rPr>
      <w:color w:val="808080"/>
    </w:rPr>
  </w:style>
  <w:style w:type="paragraph" w:styleId="ListParagraph">
    <w:name w:val="List Paragraph"/>
    <w:basedOn w:val="Normal"/>
    <w:uiPriority w:val="34"/>
    <w:qFormat/>
    <w:rsid w:val="00EB55AF"/>
    <w:pPr>
      <w:ind w:left="720"/>
      <w:contextualSpacing/>
    </w:pPr>
  </w:style>
  <w:style w:type="paragraph" w:styleId="Header">
    <w:name w:val="header"/>
    <w:basedOn w:val="Normal"/>
    <w:link w:val="HeaderChar"/>
    <w:uiPriority w:val="99"/>
    <w:unhideWhenUsed/>
    <w:rsid w:val="00C63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1A5"/>
  </w:style>
  <w:style w:type="paragraph" w:styleId="Footer">
    <w:name w:val="footer"/>
    <w:basedOn w:val="Normal"/>
    <w:link w:val="FooterChar"/>
    <w:uiPriority w:val="99"/>
    <w:unhideWhenUsed/>
    <w:rsid w:val="00C63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14</Pages>
  <Words>4158</Words>
  <Characters>23706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rakad</dc:creator>
  <cp:lastModifiedBy>Mukdad Mohammad Ibrahim</cp:lastModifiedBy>
  <cp:revision>12</cp:revision>
  <cp:lastPrinted>2015-01-26T14:37:00Z</cp:lastPrinted>
  <dcterms:created xsi:type="dcterms:W3CDTF">2015-01-25T10:06:00Z</dcterms:created>
  <dcterms:modified xsi:type="dcterms:W3CDTF">2015-01-26T15:23:00Z</dcterms:modified>
</cp:coreProperties>
</file>