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F63" w:rsidRDefault="00F70F63" w:rsidP="00AE16B4">
      <w:pPr>
        <w:autoSpaceDE w:val="0"/>
        <w:autoSpaceDN w:val="0"/>
        <w:adjustRightInd w:val="0"/>
        <w:spacing w:line="360" w:lineRule="auto"/>
        <w:jc w:val="center"/>
        <w:rPr>
          <w:rFonts w:eastAsiaTheme="minorEastAsia" w:hint="eastAsia"/>
          <w:b/>
          <w:lang w:eastAsia="zh-CN"/>
        </w:rPr>
      </w:pPr>
      <w:r w:rsidRPr="00E34715">
        <w:rPr>
          <w:b/>
        </w:rPr>
        <w:t>The Effect of Exchange Rate Volatility and Trade Deficit of Pakistan-A Comparative Analysis</w:t>
      </w:r>
    </w:p>
    <w:p w:rsidR="00AE16B4" w:rsidRDefault="00AE16B4" w:rsidP="00AE16B4">
      <w:pPr>
        <w:autoSpaceDE w:val="0"/>
        <w:autoSpaceDN w:val="0"/>
        <w:adjustRightInd w:val="0"/>
        <w:spacing w:line="360" w:lineRule="auto"/>
        <w:jc w:val="center"/>
        <w:rPr>
          <w:rFonts w:eastAsiaTheme="minorEastAsia" w:hint="eastAsia"/>
          <w:b/>
          <w:lang w:eastAsia="zh-CN"/>
        </w:rPr>
      </w:pPr>
      <w:r>
        <w:rPr>
          <w:rFonts w:eastAsiaTheme="minorEastAsia" w:hint="eastAsia"/>
          <w:b/>
          <w:lang w:eastAsia="zh-CN"/>
        </w:rPr>
        <w:t>By</w:t>
      </w:r>
    </w:p>
    <w:p w:rsidR="00AE16B4" w:rsidRDefault="00AE16B4" w:rsidP="00AE16B4">
      <w:pPr>
        <w:autoSpaceDE w:val="0"/>
        <w:autoSpaceDN w:val="0"/>
        <w:adjustRightInd w:val="0"/>
        <w:spacing w:line="0" w:lineRule="atLeast"/>
        <w:jc w:val="center"/>
        <w:rPr>
          <w:rFonts w:eastAsiaTheme="minorEastAsia" w:hint="eastAsia"/>
          <w:b/>
          <w:lang w:eastAsia="zh-CN"/>
        </w:rPr>
      </w:pPr>
      <w:r>
        <w:rPr>
          <w:rFonts w:eastAsiaTheme="minorEastAsia" w:hint="eastAsia"/>
          <w:b/>
          <w:lang w:eastAsia="zh-CN"/>
        </w:rPr>
        <w:t>Muhammad Ishfaq Ahmad</w:t>
      </w:r>
    </w:p>
    <w:p w:rsidR="00AE16B4" w:rsidRPr="00AE16B4" w:rsidRDefault="00AE16B4" w:rsidP="00AE16B4">
      <w:pPr>
        <w:autoSpaceDE w:val="0"/>
        <w:autoSpaceDN w:val="0"/>
        <w:adjustRightInd w:val="0"/>
        <w:spacing w:line="0" w:lineRule="atLeast"/>
        <w:jc w:val="center"/>
        <w:rPr>
          <w:rFonts w:eastAsiaTheme="minorEastAsia"/>
          <w:b/>
          <w:lang w:eastAsia="zh-CN"/>
        </w:rPr>
      </w:pPr>
      <w:r>
        <w:rPr>
          <w:rFonts w:eastAsiaTheme="minorEastAsia" w:hint="eastAsia"/>
          <w:b/>
          <w:lang w:eastAsia="zh-CN"/>
        </w:rPr>
        <w:t xml:space="preserve">PhD Scholar,  </w:t>
      </w:r>
    </w:p>
    <w:p w:rsidR="00AE16B4" w:rsidRDefault="00AE16B4" w:rsidP="00AE16B4">
      <w:pPr>
        <w:autoSpaceDE w:val="0"/>
        <w:autoSpaceDN w:val="0"/>
        <w:adjustRightInd w:val="0"/>
        <w:spacing w:line="0" w:lineRule="atLeast"/>
        <w:jc w:val="center"/>
        <w:rPr>
          <w:rFonts w:eastAsiaTheme="minorEastAsia" w:hint="eastAsia"/>
          <w:b/>
          <w:bCs/>
          <w:lang w:val="en-US" w:eastAsia="zh-CN"/>
        </w:rPr>
      </w:pPr>
      <w:r w:rsidRPr="00AE16B4">
        <w:rPr>
          <w:rFonts w:eastAsiaTheme="minorEastAsia"/>
          <w:b/>
          <w:bCs/>
          <w:lang w:val="en-US" w:eastAsia="zh-CN"/>
        </w:rPr>
        <w:t xml:space="preserve"> Public Administration and Law School, Liaoning Technical University</w:t>
      </w:r>
      <w:r>
        <w:rPr>
          <w:rFonts w:eastAsiaTheme="minorEastAsia" w:hint="eastAsia"/>
          <w:b/>
          <w:bCs/>
          <w:lang w:val="en-US" w:eastAsia="zh-CN"/>
        </w:rPr>
        <w:t>,</w:t>
      </w:r>
      <w:r w:rsidRPr="00AE16B4">
        <w:rPr>
          <w:rFonts w:eastAsiaTheme="minorEastAsia"/>
          <w:b/>
          <w:bCs/>
          <w:lang w:val="en-US" w:eastAsia="zh-CN"/>
        </w:rPr>
        <w:t xml:space="preserve"> P.R China</w:t>
      </w:r>
    </w:p>
    <w:p w:rsidR="00AE16B4" w:rsidRPr="00AE16B4" w:rsidRDefault="00AE16B4" w:rsidP="00AE16B4">
      <w:pPr>
        <w:autoSpaceDE w:val="0"/>
        <w:autoSpaceDN w:val="0"/>
        <w:adjustRightInd w:val="0"/>
        <w:spacing w:line="0" w:lineRule="atLeast"/>
        <w:jc w:val="center"/>
        <w:rPr>
          <w:rFonts w:eastAsiaTheme="minorEastAsia" w:hint="eastAsia"/>
          <w:b/>
          <w:bCs/>
          <w:lang w:val="en-US" w:eastAsia="zh-CN"/>
        </w:rPr>
      </w:pPr>
      <w:r>
        <w:rPr>
          <w:rFonts w:eastAsiaTheme="minorEastAsia" w:hint="eastAsia"/>
          <w:b/>
          <w:bCs/>
          <w:lang w:val="en-US" w:eastAsia="zh-CN"/>
        </w:rPr>
        <w:t>Cell: +86-15141820771</w:t>
      </w:r>
    </w:p>
    <w:p w:rsidR="00AE16B4" w:rsidRDefault="00AE16B4" w:rsidP="00AE16B4">
      <w:pPr>
        <w:autoSpaceDE w:val="0"/>
        <w:autoSpaceDN w:val="0"/>
        <w:adjustRightInd w:val="0"/>
        <w:spacing w:line="0" w:lineRule="atLeast"/>
        <w:jc w:val="center"/>
        <w:rPr>
          <w:rFonts w:eastAsiaTheme="minorEastAsia" w:hint="eastAsia"/>
          <w:b/>
          <w:bCs/>
          <w:lang w:val="en-US" w:eastAsia="zh-CN"/>
        </w:rPr>
      </w:pPr>
      <w:r>
        <w:rPr>
          <w:rFonts w:eastAsiaTheme="minorEastAsia" w:hint="eastAsia"/>
          <w:b/>
          <w:bCs/>
          <w:lang w:val="en-US" w:eastAsia="zh-CN"/>
        </w:rPr>
        <w:t xml:space="preserve">E-mail: </w:t>
      </w:r>
      <w:hyperlink r:id="rId7" w:history="1">
        <w:r w:rsidRPr="00421E5D">
          <w:rPr>
            <w:rStyle w:val="a3"/>
            <w:rFonts w:eastAsiaTheme="minorEastAsia" w:hint="eastAsia"/>
            <w:b/>
            <w:bCs/>
            <w:lang w:val="en-US" w:eastAsia="zh-CN"/>
          </w:rPr>
          <w:t>m_ishfaq452@yahoo.com</w:t>
        </w:r>
      </w:hyperlink>
    </w:p>
    <w:p w:rsidR="00AE16B4" w:rsidRPr="00AE16B4" w:rsidRDefault="00AE16B4" w:rsidP="00AE16B4">
      <w:pPr>
        <w:autoSpaceDE w:val="0"/>
        <w:autoSpaceDN w:val="0"/>
        <w:adjustRightInd w:val="0"/>
        <w:spacing w:line="0" w:lineRule="atLeast"/>
        <w:jc w:val="center"/>
        <w:rPr>
          <w:rFonts w:eastAsiaTheme="minorEastAsia"/>
          <w:b/>
          <w:bCs/>
          <w:lang w:val="en-US" w:eastAsia="zh-CN"/>
        </w:rPr>
      </w:pPr>
    </w:p>
    <w:p w:rsidR="00AE16B4" w:rsidRPr="00AE16B4" w:rsidRDefault="00AE16B4" w:rsidP="00AE16B4">
      <w:pPr>
        <w:autoSpaceDE w:val="0"/>
        <w:autoSpaceDN w:val="0"/>
        <w:adjustRightInd w:val="0"/>
        <w:spacing w:line="0" w:lineRule="atLeast"/>
        <w:jc w:val="center"/>
        <w:rPr>
          <w:rFonts w:eastAsiaTheme="minorEastAsia"/>
          <w:b/>
          <w:bCs/>
          <w:lang w:val="en-US" w:eastAsia="zh-CN"/>
        </w:rPr>
      </w:pPr>
      <w:r w:rsidRPr="00AE16B4">
        <w:rPr>
          <w:rFonts w:eastAsiaTheme="minorEastAsia"/>
          <w:b/>
          <w:bCs/>
          <w:lang w:val="en-US" w:eastAsia="zh-CN"/>
        </w:rPr>
        <w:t xml:space="preserve"> Wang Guohui</w:t>
      </w:r>
    </w:p>
    <w:p w:rsidR="00AE16B4" w:rsidRPr="00AE16B4" w:rsidRDefault="00AE16B4" w:rsidP="00AE16B4">
      <w:pPr>
        <w:autoSpaceDE w:val="0"/>
        <w:autoSpaceDN w:val="0"/>
        <w:adjustRightInd w:val="0"/>
        <w:spacing w:line="0" w:lineRule="atLeast"/>
        <w:jc w:val="center"/>
        <w:rPr>
          <w:rFonts w:eastAsiaTheme="minorEastAsia"/>
          <w:b/>
          <w:bCs/>
          <w:lang w:val="en-US" w:eastAsia="zh-CN"/>
        </w:rPr>
      </w:pPr>
      <w:r w:rsidRPr="00AE16B4">
        <w:rPr>
          <w:rFonts w:eastAsiaTheme="minorEastAsia"/>
          <w:b/>
          <w:bCs/>
          <w:lang w:val="en-US" w:eastAsia="zh-CN"/>
        </w:rPr>
        <w:t>Dean/Professor</w:t>
      </w:r>
    </w:p>
    <w:p w:rsidR="00AE16B4" w:rsidRPr="00AE16B4" w:rsidRDefault="00AE16B4" w:rsidP="00AE16B4">
      <w:pPr>
        <w:autoSpaceDE w:val="0"/>
        <w:autoSpaceDN w:val="0"/>
        <w:adjustRightInd w:val="0"/>
        <w:spacing w:line="0" w:lineRule="atLeast"/>
        <w:jc w:val="center"/>
        <w:rPr>
          <w:rFonts w:eastAsiaTheme="minorEastAsia"/>
          <w:b/>
          <w:bCs/>
          <w:lang w:val="en-US" w:eastAsia="zh-CN"/>
        </w:rPr>
      </w:pPr>
      <w:r w:rsidRPr="00AE16B4">
        <w:rPr>
          <w:rFonts w:eastAsiaTheme="minorEastAsia"/>
          <w:b/>
          <w:bCs/>
          <w:lang w:val="en-US" w:eastAsia="zh-CN"/>
        </w:rPr>
        <w:t>Public Administration and Law School</w:t>
      </w:r>
      <w:r>
        <w:rPr>
          <w:rFonts w:eastAsiaTheme="minorEastAsia" w:hint="eastAsia"/>
          <w:b/>
          <w:bCs/>
          <w:lang w:val="en-US" w:eastAsia="zh-CN"/>
        </w:rPr>
        <w:t xml:space="preserve">, </w:t>
      </w:r>
      <w:r w:rsidRPr="00AE16B4">
        <w:rPr>
          <w:rFonts w:eastAsiaTheme="minorEastAsia"/>
          <w:b/>
          <w:bCs/>
          <w:lang w:val="en-US" w:eastAsia="zh-CN"/>
        </w:rPr>
        <w:t>Liaoning Technical University, P.R China</w:t>
      </w:r>
    </w:p>
    <w:p w:rsidR="00AE16B4" w:rsidRPr="00AE16B4" w:rsidRDefault="00AE16B4" w:rsidP="00AE16B4">
      <w:pPr>
        <w:autoSpaceDE w:val="0"/>
        <w:autoSpaceDN w:val="0"/>
        <w:adjustRightInd w:val="0"/>
        <w:spacing w:line="0" w:lineRule="atLeast"/>
        <w:jc w:val="center"/>
        <w:rPr>
          <w:rFonts w:eastAsiaTheme="minorEastAsia"/>
          <w:b/>
          <w:bCs/>
          <w:lang w:val="en-US" w:eastAsia="zh-CN"/>
        </w:rPr>
      </w:pPr>
      <w:r w:rsidRPr="00AE16B4">
        <w:rPr>
          <w:rFonts w:eastAsiaTheme="minorEastAsia"/>
          <w:b/>
          <w:bCs/>
          <w:lang w:val="en-US" w:eastAsia="zh-CN"/>
        </w:rPr>
        <w:t>Cell:</w:t>
      </w:r>
      <w:r w:rsidRPr="00AE16B4">
        <w:rPr>
          <w:rFonts w:eastAsiaTheme="minorEastAsia"/>
          <w:b/>
          <w:bCs/>
          <w:lang w:val="en-US" w:eastAsia="zh-CN"/>
        </w:rPr>
        <w:tab/>
        <w:t>+8613941859017</w:t>
      </w:r>
    </w:p>
    <w:p w:rsidR="00AE16B4" w:rsidRDefault="00AE16B4" w:rsidP="00AE16B4">
      <w:pPr>
        <w:autoSpaceDE w:val="0"/>
        <w:autoSpaceDN w:val="0"/>
        <w:adjustRightInd w:val="0"/>
        <w:spacing w:line="0" w:lineRule="atLeast"/>
        <w:jc w:val="center"/>
        <w:rPr>
          <w:rFonts w:eastAsiaTheme="minorEastAsia" w:hint="eastAsia"/>
          <w:b/>
          <w:bCs/>
          <w:lang w:val="en-US" w:eastAsia="zh-CN"/>
        </w:rPr>
      </w:pPr>
      <w:r w:rsidRPr="00AE16B4">
        <w:rPr>
          <w:rFonts w:eastAsiaTheme="minorEastAsia"/>
          <w:b/>
          <w:bCs/>
          <w:lang w:val="en-US" w:eastAsia="zh-CN"/>
        </w:rPr>
        <w:t xml:space="preserve">E-mail: </w:t>
      </w:r>
      <w:hyperlink r:id="rId8" w:history="1">
        <w:r w:rsidRPr="00421E5D">
          <w:rPr>
            <w:rStyle w:val="a3"/>
            <w:rFonts w:eastAsiaTheme="minorEastAsia"/>
            <w:b/>
            <w:bCs/>
            <w:lang w:val="en-US" w:eastAsia="zh-CN"/>
          </w:rPr>
          <w:t>gsxyw</w:t>
        </w:r>
        <w:r w:rsidRPr="00421E5D">
          <w:rPr>
            <w:rStyle w:val="a3"/>
            <w:rFonts w:eastAsiaTheme="minorEastAsia" w:hint="eastAsia"/>
            <w:b/>
            <w:bCs/>
            <w:lang w:val="en-US" w:eastAsia="zh-CN"/>
          </w:rPr>
          <w:t>.</w:t>
        </w:r>
        <w:r w:rsidRPr="00421E5D">
          <w:rPr>
            <w:rStyle w:val="a3"/>
            <w:rFonts w:eastAsiaTheme="minorEastAsia"/>
            <w:b/>
            <w:bCs/>
            <w:lang w:val="en-US" w:eastAsia="zh-CN"/>
          </w:rPr>
          <w:t>gh@163.com</w:t>
        </w:r>
      </w:hyperlink>
    </w:p>
    <w:p w:rsidR="00AE16B4" w:rsidRDefault="00AE16B4" w:rsidP="00AE16B4">
      <w:pPr>
        <w:autoSpaceDE w:val="0"/>
        <w:autoSpaceDN w:val="0"/>
        <w:adjustRightInd w:val="0"/>
        <w:spacing w:line="0" w:lineRule="atLeast"/>
        <w:jc w:val="center"/>
        <w:rPr>
          <w:rFonts w:eastAsiaTheme="minorEastAsia" w:hint="eastAsia"/>
          <w:b/>
          <w:bCs/>
          <w:lang w:val="en-US" w:eastAsia="zh-CN"/>
        </w:rPr>
      </w:pPr>
    </w:p>
    <w:p w:rsidR="00AE16B4" w:rsidRPr="00AE16B4" w:rsidRDefault="00AE16B4" w:rsidP="00AE16B4">
      <w:pPr>
        <w:autoSpaceDE w:val="0"/>
        <w:autoSpaceDN w:val="0"/>
        <w:adjustRightInd w:val="0"/>
        <w:spacing w:line="0" w:lineRule="atLeast"/>
        <w:jc w:val="center"/>
        <w:rPr>
          <w:rFonts w:eastAsiaTheme="minorEastAsia"/>
          <w:b/>
          <w:bCs/>
          <w:lang w:val="en-US" w:eastAsia="zh-CN"/>
        </w:rPr>
      </w:pPr>
      <w:r w:rsidRPr="00AE16B4">
        <w:rPr>
          <w:rFonts w:eastAsiaTheme="minorEastAsia"/>
          <w:b/>
          <w:bCs/>
          <w:lang w:val="en-US" w:eastAsia="zh-CN"/>
        </w:rPr>
        <w:t>Mudassar Hassan</w:t>
      </w:r>
    </w:p>
    <w:p w:rsidR="00AE16B4" w:rsidRPr="00AE16B4" w:rsidRDefault="00AE16B4" w:rsidP="00AE16B4">
      <w:pPr>
        <w:autoSpaceDE w:val="0"/>
        <w:autoSpaceDN w:val="0"/>
        <w:adjustRightInd w:val="0"/>
        <w:spacing w:line="0" w:lineRule="atLeast"/>
        <w:jc w:val="center"/>
        <w:rPr>
          <w:rFonts w:eastAsiaTheme="minorEastAsia"/>
          <w:b/>
          <w:bCs/>
          <w:lang w:val="en-US" w:eastAsia="zh-CN"/>
        </w:rPr>
      </w:pPr>
      <w:r>
        <w:rPr>
          <w:rFonts w:eastAsiaTheme="minorEastAsia" w:hint="eastAsia"/>
          <w:b/>
          <w:bCs/>
          <w:lang w:val="en-US" w:eastAsia="zh-CN"/>
        </w:rPr>
        <w:t>Assistant Professor</w:t>
      </w:r>
    </w:p>
    <w:p w:rsidR="00AE16B4" w:rsidRPr="00AE16B4" w:rsidRDefault="00AE16B4" w:rsidP="00AE16B4">
      <w:pPr>
        <w:autoSpaceDE w:val="0"/>
        <w:autoSpaceDN w:val="0"/>
        <w:adjustRightInd w:val="0"/>
        <w:spacing w:line="0" w:lineRule="atLeast"/>
        <w:jc w:val="center"/>
        <w:rPr>
          <w:rFonts w:eastAsiaTheme="minorEastAsia"/>
          <w:b/>
          <w:bCs/>
          <w:lang w:val="en-US" w:eastAsia="zh-CN"/>
        </w:rPr>
      </w:pPr>
      <w:r w:rsidRPr="00AE16B4">
        <w:rPr>
          <w:rFonts w:eastAsiaTheme="minorEastAsia"/>
          <w:b/>
          <w:bCs/>
          <w:lang w:val="en-US" w:eastAsia="zh-CN"/>
        </w:rPr>
        <w:t>Lahore Business School, The University of Lahore, Pakistan</w:t>
      </w:r>
    </w:p>
    <w:p w:rsidR="00AE16B4" w:rsidRPr="00AE16B4" w:rsidRDefault="00AE16B4" w:rsidP="00AE16B4">
      <w:pPr>
        <w:autoSpaceDE w:val="0"/>
        <w:autoSpaceDN w:val="0"/>
        <w:adjustRightInd w:val="0"/>
        <w:spacing w:line="0" w:lineRule="atLeast"/>
        <w:jc w:val="center"/>
        <w:rPr>
          <w:rFonts w:eastAsiaTheme="minorEastAsia"/>
          <w:b/>
          <w:bCs/>
          <w:lang w:val="en-US" w:eastAsia="zh-CN"/>
        </w:rPr>
      </w:pPr>
      <w:r w:rsidRPr="00AE16B4">
        <w:rPr>
          <w:rFonts w:eastAsiaTheme="minorEastAsia"/>
          <w:b/>
          <w:bCs/>
          <w:lang w:val="en-US" w:eastAsia="zh-CN"/>
        </w:rPr>
        <w:t>Cell:</w:t>
      </w:r>
      <w:r w:rsidRPr="00AE16B4">
        <w:rPr>
          <w:rFonts w:eastAsiaTheme="minorEastAsia"/>
          <w:b/>
          <w:bCs/>
          <w:lang w:val="en-US" w:eastAsia="zh-CN"/>
        </w:rPr>
        <w:tab/>
        <w:t>+923365069627</w:t>
      </w:r>
    </w:p>
    <w:p w:rsidR="00AE16B4" w:rsidRPr="00AE16B4" w:rsidRDefault="00AE16B4" w:rsidP="00AE16B4">
      <w:pPr>
        <w:autoSpaceDE w:val="0"/>
        <w:autoSpaceDN w:val="0"/>
        <w:adjustRightInd w:val="0"/>
        <w:spacing w:line="0" w:lineRule="atLeast"/>
        <w:jc w:val="center"/>
        <w:rPr>
          <w:rFonts w:eastAsiaTheme="minorEastAsia"/>
          <w:b/>
          <w:bCs/>
          <w:lang w:val="en-US" w:eastAsia="zh-CN"/>
        </w:rPr>
      </w:pPr>
      <w:r w:rsidRPr="00AE16B4">
        <w:rPr>
          <w:rFonts w:eastAsiaTheme="minorEastAsia"/>
          <w:b/>
          <w:bCs/>
          <w:lang w:val="en-US" w:eastAsia="zh-CN"/>
        </w:rPr>
        <w:t xml:space="preserve">E-mail: </w:t>
      </w:r>
      <w:hyperlink r:id="rId9" w:history="1">
        <w:r w:rsidRPr="00AE16B4">
          <w:rPr>
            <w:rStyle w:val="a3"/>
            <w:rFonts w:eastAsiaTheme="minorEastAsia"/>
            <w:b/>
            <w:bCs/>
            <w:lang w:val="en-US" w:eastAsia="zh-CN"/>
          </w:rPr>
          <w:t>mudassar.hassan@lbs.uol.edu.pk</w:t>
        </w:r>
      </w:hyperlink>
    </w:p>
    <w:p w:rsidR="00AE16B4" w:rsidRDefault="00AE16B4" w:rsidP="00AE16B4">
      <w:pPr>
        <w:autoSpaceDE w:val="0"/>
        <w:autoSpaceDN w:val="0"/>
        <w:adjustRightInd w:val="0"/>
        <w:spacing w:line="0" w:lineRule="atLeast"/>
        <w:jc w:val="center"/>
        <w:rPr>
          <w:rFonts w:eastAsiaTheme="minorEastAsia" w:hint="eastAsia"/>
          <w:b/>
          <w:bCs/>
          <w:lang w:val="en-US" w:eastAsia="zh-CN"/>
        </w:rPr>
      </w:pPr>
    </w:p>
    <w:p w:rsidR="00AE16B4" w:rsidRDefault="00AE16B4" w:rsidP="00AE16B4">
      <w:pPr>
        <w:autoSpaceDE w:val="0"/>
        <w:autoSpaceDN w:val="0"/>
        <w:adjustRightInd w:val="0"/>
        <w:spacing w:line="0" w:lineRule="atLeast"/>
        <w:jc w:val="center"/>
        <w:rPr>
          <w:rFonts w:eastAsiaTheme="minorEastAsia" w:hint="eastAsia"/>
          <w:b/>
          <w:bCs/>
          <w:lang w:val="en-US" w:eastAsia="zh-CN"/>
        </w:rPr>
      </w:pPr>
      <w:r>
        <w:rPr>
          <w:rFonts w:eastAsiaTheme="minorEastAsia" w:hint="eastAsia"/>
          <w:b/>
          <w:bCs/>
          <w:lang w:val="en-US" w:eastAsia="zh-CN"/>
        </w:rPr>
        <w:t>Anika Sattar</w:t>
      </w:r>
    </w:p>
    <w:p w:rsidR="00AE16B4" w:rsidRDefault="00AE16B4" w:rsidP="00AE16B4">
      <w:pPr>
        <w:autoSpaceDE w:val="0"/>
        <w:autoSpaceDN w:val="0"/>
        <w:adjustRightInd w:val="0"/>
        <w:spacing w:line="0" w:lineRule="atLeast"/>
        <w:jc w:val="center"/>
        <w:rPr>
          <w:rFonts w:eastAsiaTheme="minorEastAsia" w:hint="eastAsia"/>
          <w:b/>
          <w:bCs/>
          <w:lang w:val="en-US" w:eastAsia="zh-CN"/>
        </w:rPr>
      </w:pPr>
      <w:r>
        <w:rPr>
          <w:rFonts w:eastAsiaTheme="minorEastAsia" w:hint="eastAsia"/>
          <w:b/>
          <w:bCs/>
          <w:lang w:val="en-US" w:eastAsia="zh-CN"/>
        </w:rPr>
        <w:t>PhD scholar</w:t>
      </w:r>
    </w:p>
    <w:p w:rsidR="00AE16B4" w:rsidRPr="00AE16B4" w:rsidRDefault="00AE16B4" w:rsidP="00AE16B4">
      <w:pPr>
        <w:autoSpaceDE w:val="0"/>
        <w:autoSpaceDN w:val="0"/>
        <w:adjustRightInd w:val="0"/>
        <w:spacing w:line="0" w:lineRule="atLeast"/>
        <w:jc w:val="center"/>
        <w:rPr>
          <w:rFonts w:eastAsiaTheme="minorEastAsia"/>
          <w:b/>
          <w:bCs/>
          <w:lang w:val="en-US" w:eastAsia="zh-CN"/>
        </w:rPr>
      </w:pPr>
      <w:r>
        <w:rPr>
          <w:rFonts w:eastAsiaTheme="minorEastAsia" w:hint="eastAsia"/>
          <w:b/>
          <w:bCs/>
          <w:lang w:val="en-US" w:eastAsia="zh-CN"/>
        </w:rPr>
        <w:t xml:space="preserve">College of Science, </w:t>
      </w:r>
      <w:r w:rsidRPr="00AE16B4">
        <w:rPr>
          <w:rFonts w:eastAsiaTheme="minorEastAsia"/>
          <w:b/>
          <w:bCs/>
          <w:lang w:val="en-US" w:eastAsia="zh-CN"/>
        </w:rPr>
        <w:t>Liaoning Technical University, P.R China</w:t>
      </w:r>
    </w:p>
    <w:p w:rsidR="00AE16B4" w:rsidRDefault="00AE16B4" w:rsidP="00AE16B4">
      <w:pPr>
        <w:autoSpaceDE w:val="0"/>
        <w:autoSpaceDN w:val="0"/>
        <w:adjustRightInd w:val="0"/>
        <w:spacing w:line="0" w:lineRule="atLeast"/>
        <w:jc w:val="center"/>
        <w:rPr>
          <w:rFonts w:eastAsiaTheme="minorEastAsia" w:hint="eastAsia"/>
          <w:b/>
          <w:bCs/>
          <w:lang w:val="en-US" w:eastAsia="zh-CN"/>
        </w:rPr>
      </w:pPr>
      <w:r>
        <w:rPr>
          <w:rFonts w:eastAsiaTheme="minorEastAsia" w:hint="eastAsia"/>
          <w:b/>
          <w:bCs/>
          <w:lang w:val="en-US" w:eastAsia="zh-CN"/>
        </w:rPr>
        <w:t xml:space="preserve">E-Mail: </w:t>
      </w:r>
      <w:hyperlink r:id="rId10" w:history="1">
        <w:r w:rsidRPr="00421E5D">
          <w:rPr>
            <w:rStyle w:val="a3"/>
            <w:rFonts w:eastAsiaTheme="minorEastAsia" w:hint="eastAsia"/>
            <w:b/>
            <w:bCs/>
            <w:lang w:val="en-US" w:eastAsia="zh-CN"/>
          </w:rPr>
          <w:t>anikasattar@yahoo.com</w:t>
        </w:r>
      </w:hyperlink>
    </w:p>
    <w:p w:rsidR="00AE16B4" w:rsidRPr="00AE16B4" w:rsidRDefault="00AE16B4" w:rsidP="00AE16B4">
      <w:pPr>
        <w:autoSpaceDE w:val="0"/>
        <w:autoSpaceDN w:val="0"/>
        <w:adjustRightInd w:val="0"/>
        <w:spacing w:line="0" w:lineRule="atLeast"/>
        <w:jc w:val="center"/>
        <w:rPr>
          <w:rFonts w:eastAsiaTheme="minorEastAsia"/>
          <w:b/>
          <w:bCs/>
          <w:lang w:val="en-US" w:eastAsia="zh-CN"/>
        </w:rPr>
      </w:pPr>
      <w:r>
        <w:rPr>
          <w:rFonts w:eastAsiaTheme="minorEastAsia" w:hint="eastAsia"/>
          <w:b/>
          <w:bCs/>
          <w:lang w:val="en-US" w:eastAsia="zh-CN"/>
        </w:rPr>
        <w:t>&amp;</w:t>
      </w:r>
    </w:p>
    <w:p w:rsidR="00AE16B4" w:rsidRDefault="00AE16B4" w:rsidP="00AE16B4">
      <w:pPr>
        <w:autoSpaceDE w:val="0"/>
        <w:autoSpaceDN w:val="0"/>
        <w:adjustRightInd w:val="0"/>
        <w:spacing w:line="0" w:lineRule="atLeast"/>
        <w:jc w:val="center"/>
        <w:rPr>
          <w:rFonts w:eastAsiaTheme="minorEastAsia" w:hint="eastAsia"/>
          <w:b/>
          <w:bCs/>
          <w:lang w:val="en-US" w:eastAsia="zh-CN"/>
        </w:rPr>
      </w:pPr>
    </w:p>
    <w:p w:rsidR="00AE16B4" w:rsidRPr="00AE16B4" w:rsidRDefault="00AE16B4" w:rsidP="00AE16B4">
      <w:pPr>
        <w:autoSpaceDE w:val="0"/>
        <w:autoSpaceDN w:val="0"/>
        <w:adjustRightInd w:val="0"/>
        <w:spacing w:line="0" w:lineRule="atLeast"/>
        <w:jc w:val="center"/>
        <w:rPr>
          <w:rFonts w:eastAsiaTheme="minorEastAsia"/>
          <w:b/>
          <w:bCs/>
          <w:lang w:val="en-US" w:eastAsia="zh-CN"/>
        </w:rPr>
      </w:pPr>
      <w:r w:rsidRPr="00AE16B4">
        <w:rPr>
          <w:rFonts w:eastAsiaTheme="minorEastAsia"/>
          <w:b/>
          <w:bCs/>
          <w:lang w:val="en-US" w:eastAsia="zh-CN"/>
        </w:rPr>
        <w:t>Ramiz Ur Rehman</w:t>
      </w:r>
    </w:p>
    <w:p w:rsidR="00AE16B4" w:rsidRPr="00AE16B4" w:rsidRDefault="00AE16B4" w:rsidP="00AE16B4">
      <w:pPr>
        <w:autoSpaceDE w:val="0"/>
        <w:autoSpaceDN w:val="0"/>
        <w:adjustRightInd w:val="0"/>
        <w:spacing w:line="0" w:lineRule="atLeast"/>
        <w:jc w:val="center"/>
        <w:rPr>
          <w:rFonts w:eastAsiaTheme="minorEastAsia"/>
          <w:b/>
          <w:bCs/>
          <w:lang w:val="en-US" w:eastAsia="zh-CN"/>
        </w:rPr>
      </w:pPr>
      <w:r w:rsidRPr="00AE16B4">
        <w:rPr>
          <w:rFonts w:eastAsiaTheme="minorEastAsia"/>
          <w:b/>
          <w:bCs/>
          <w:lang w:val="en-US" w:eastAsia="zh-CN"/>
        </w:rPr>
        <w:t>PhD Scholar</w:t>
      </w:r>
    </w:p>
    <w:p w:rsidR="00AE16B4" w:rsidRPr="00AE16B4" w:rsidRDefault="00AE16B4" w:rsidP="00AE16B4">
      <w:pPr>
        <w:autoSpaceDE w:val="0"/>
        <w:autoSpaceDN w:val="0"/>
        <w:adjustRightInd w:val="0"/>
        <w:spacing w:line="0" w:lineRule="atLeast"/>
        <w:jc w:val="center"/>
        <w:rPr>
          <w:rFonts w:eastAsiaTheme="minorEastAsia"/>
          <w:b/>
          <w:bCs/>
          <w:lang w:val="en-US" w:eastAsia="zh-CN"/>
        </w:rPr>
      </w:pPr>
      <w:r w:rsidRPr="00AE16B4">
        <w:rPr>
          <w:rFonts w:eastAsiaTheme="minorEastAsia"/>
          <w:b/>
          <w:bCs/>
          <w:lang w:val="en-US" w:eastAsia="zh-CN"/>
        </w:rPr>
        <w:t>Xi’an Jiaotong University, P.R China</w:t>
      </w:r>
    </w:p>
    <w:p w:rsidR="00AE16B4" w:rsidRPr="00AE16B4" w:rsidRDefault="00AE16B4" w:rsidP="00AE16B4">
      <w:pPr>
        <w:autoSpaceDE w:val="0"/>
        <w:autoSpaceDN w:val="0"/>
        <w:adjustRightInd w:val="0"/>
        <w:spacing w:line="0" w:lineRule="atLeast"/>
        <w:jc w:val="center"/>
        <w:rPr>
          <w:rFonts w:eastAsiaTheme="minorEastAsia"/>
          <w:b/>
          <w:bCs/>
          <w:lang w:val="en-US" w:eastAsia="zh-CN"/>
        </w:rPr>
      </w:pPr>
      <w:r w:rsidRPr="00AE16B4">
        <w:rPr>
          <w:rFonts w:eastAsiaTheme="minorEastAsia"/>
          <w:b/>
          <w:bCs/>
          <w:lang w:val="en-US" w:eastAsia="zh-CN"/>
        </w:rPr>
        <w:t>Cell:</w:t>
      </w:r>
      <w:r w:rsidRPr="00AE16B4">
        <w:rPr>
          <w:rFonts w:eastAsiaTheme="minorEastAsia"/>
          <w:b/>
          <w:bCs/>
          <w:lang w:val="en-US" w:eastAsia="zh-CN"/>
        </w:rPr>
        <w:tab/>
        <w:t>+8615094001475</w:t>
      </w:r>
    </w:p>
    <w:p w:rsidR="00AE16B4" w:rsidRPr="00AE16B4" w:rsidRDefault="00AE16B4" w:rsidP="00AE16B4">
      <w:pPr>
        <w:autoSpaceDE w:val="0"/>
        <w:autoSpaceDN w:val="0"/>
        <w:adjustRightInd w:val="0"/>
        <w:spacing w:line="0" w:lineRule="atLeast"/>
        <w:jc w:val="center"/>
        <w:rPr>
          <w:rFonts w:eastAsiaTheme="minorEastAsia"/>
          <w:b/>
          <w:bCs/>
          <w:lang w:val="en-US" w:eastAsia="zh-CN"/>
        </w:rPr>
      </w:pPr>
      <w:r w:rsidRPr="00AE16B4">
        <w:rPr>
          <w:rFonts w:eastAsiaTheme="minorEastAsia"/>
          <w:b/>
          <w:bCs/>
          <w:lang w:val="en-US" w:eastAsia="zh-CN"/>
        </w:rPr>
        <w:t xml:space="preserve">E-mail:  </w:t>
      </w:r>
      <w:hyperlink r:id="rId11" w:history="1">
        <w:r w:rsidRPr="00AE16B4">
          <w:rPr>
            <w:rStyle w:val="a3"/>
            <w:rFonts w:eastAsiaTheme="minorEastAsia"/>
            <w:b/>
            <w:bCs/>
            <w:lang w:val="en-US" w:eastAsia="zh-CN"/>
          </w:rPr>
          <w:t>ramiz_rehman@hotmail.com</w:t>
        </w:r>
      </w:hyperlink>
    </w:p>
    <w:p w:rsidR="00AE16B4" w:rsidRDefault="00AE16B4" w:rsidP="00F70F63">
      <w:pPr>
        <w:autoSpaceDE w:val="0"/>
        <w:autoSpaceDN w:val="0"/>
        <w:adjustRightInd w:val="0"/>
        <w:jc w:val="both"/>
        <w:rPr>
          <w:rFonts w:eastAsiaTheme="minorEastAsia" w:hint="eastAsia"/>
          <w:bCs/>
          <w:lang w:eastAsia="zh-CN"/>
        </w:rPr>
      </w:pPr>
    </w:p>
    <w:p w:rsidR="00AE16B4" w:rsidRDefault="00AE16B4" w:rsidP="00F70F63">
      <w:pPr>
        <w:autoSpaceDE w:val="0"/>
        <w:autoSpaceDN w:val="0"/>
        <w:adjustRightInd w:val="0"/>
        <w:jc w:val="both"/>
        <w:rPr>
          <w:rFonts w:eastAsiaTheme="minorEastAsia" w:hint="eastAsia"/>
          <w:bCs/>
          <w:lang w:eastAsia="zh-CN"/>
        </w:rPr>
      </w:pPr>
    </w:p>
    <w:p w:rsidR="00AE16B4" w:rsidRDefault="00AE16B4" w:rsidP="00F70F63">
      <w:pPr>
        <w:autoSpaceDE w:val="0"/>
        <w:autoSpaceDN w:val="0"/>
        <w:adjustRightInd w:val="0"/>
        <w:jc w:val="both"/>
        <w:rPr>
          <w:rFonts w:eastAsiaTheme="minorEastAsia" w:hint="eastAsia"/>
          <w:bCs/>
          <w:lang w:eastAsia="zh-CN"/>
        </w:rPr>
      </w:pPr>
    </w:p>
    <w:p w:rsidR="00AE16B4" w:rsidRDefault="00AE16B4" w:rsidP="00F70F63">
      <w:pPr>
        <w:autoSpaceDE w:val="0"/>
        <w:autoSpaceDN w:val="0"/>
        <w:adjustRightInd w:val="0"/>
        <w:jc w:val="both"/>
        <w:rPr>
          <w:rFonts w:eastAsiaTheme="minorEastAsia" w:hint="eastAsia"/>
          <w:bCs/>
          <w:lang w:eastAsia="zh-CN"/>
        </w:rPr>
      </w:pPr>
    </w:p>
    <w:p w:rsidR="00AE16B4" w:rsidRDefault="00AE16B4" w:rsidP="00F70F63">
      <w:pPr>
        <w:autoSpaceDE w:val="0"/>
        <w:autoSpaceDN w:val="0"/>
        <w:adjustRightInd w:val="0"/>
        <w:jc w:val="both"/>
        <w:rPr>
          <w:rFonts w:eastAsiaTheme="minorEastAsia" w:hint="eastAsia"/>
          <w:bCs/>
          <w:lang w:eastAsia="zh-CN"/>
        </w:rPr>
      </w:pPr>
    </w:p>
    <w:p w:rsidR="00AE16B4" w:rsidRDefault="00AE16B4" w:rsidP="00F70F63">
      <w:pPr>
        <w:autoSpaceDE w:val="0"/>
        <w:autoSpaceDN w:val="0"/>
        <w:adjustRightInd w:val="0"/>
        <w:jc w:val="both"/>
        <w:rPr>
          <w:rFonts w:eastAsiaTheme="minorEastAsia" w:hint="eastAsia"/>
          <w:bCs/>
          <w:lang w:eastAsia="zh-CN"/>
        </w:rPr>
      </w:pPr>
    </w:p>
    <w:p w:rsidR="00AE16B4" w:rsidRDefault="00AE16B4" w:rsidP="00F70F63">
      <w:pPr>
        <w:autoSpaceDE w:val="0"/>
        <w:autoSpaceDN w:val="0"/>
        <w:adjustRightInd w:val="0"/>
        <w:jc w:val="both"/>
        <w:rPr>
          <w:rFonts w:eastAsiaTheme="minorEastAsia" w:hint="eastAsia"/>
          <w:bCs/>
          <w:lang w:eastAsia="zh-CN"/>
        </w:rPr>
      </w:pPr>
    </w:p>
    <w:p w:rsidR="00AE16B4" w:rsidRDefault="00AE16B4" w:rsidP="00F70F63">
      <w:pPr>
        <w:autoSpaceDE w:val="0"/>
        <w:autoSpaceDN w:val="0"/>
        <w:adjustRightInd w:val="0"/>
        <w:jc w:val="both"/>
        <w:rPr>
          <w:rFonts w:eastAsiaTheme="minorEastAsia" w:hint="eastAsia"/>
          <w:bCs/>
          <w:lang w:eastAsia="zh-CN"/>
        </w:rPr>
      </w:pPr>
    </w:p>
    <w:p w:rsidR="00AE16B4" w:rsidRDefault="00AE16B4" w:rsidP="00F70F63">
      <w:pPr>
        <w:autoSpaceDE w:val="0"/>
        <w:autoSpaceDN w:val="0"/>
        <w:adjustRightInd w:val="0"/>
        <w:jc w:val="both"/>
        <w:rPr>
          <w:rFonts w:eastAsiaTheme="minorEastAsia" w:hint="eastAsia"/>
          <w:bCs/>
          <w:lang w:eastAsia="zh-CN"/>
        </w:rPr>
      </w:pPr>
    </w:p>
    <w:p w:rsidR="00AE16B4" w:rsidRDefault="00AE16B4" w:rsidP="00F70F63">
      <w:pPr>
        <w:autoSpaceDE w:val="0"/>
        <w:autoSpaceDN w:val="0"/>
        <w:adjustRightInd w:val="0"/>
        <w:jc w:val="both"/>
        <w:rPr>
          <w:rFonts w:eastAsiaTheme="minorEastAsia" w:hint="eastAsia"/>
          <w:bCs/>
          <w:lang w:eastAsia="zh-CN"/>
        </w:rPr>
      </w:pPr>
    </w:p>
    <w:p w:rsidR="00AE16B4" w:rsidRDefault="00AE16B4" w:rsidP="00F70F63">
      <w:pPr>
        <w:autoSpaceDE w:val="0"/>
        <w:autoSpaceDN w:val="0"/>
        <w:adjustRightInd w:val="0"/>
        <w:jc w:val="both"/>
        <w:rPr>
          <w:rFonts w:eastAsiaTheme="minorEastAsia" w:hint="eastAsia"/>
          <w:bCs/>
          <w:lang w:eastAsia="zh-CN"/>
        </w:rPr>
      </w:pPr>
    </w:p>
    <w:p w:rsidR="00AE16B4" w:rsidRDefault="00AE16B4" w:rsidP="00F70F63">
      <w:pPr>
        <w:autoSpaceDE w:val="0"/>
        <w:autoSpaceDN w:val="0"/>
        <w:adjustRightInd w:val="0"/>
        <w:jc w:val="both"/>
        <w:rPr>
          <w:rFonts w:eastAsiaTheme="minorEastAsia" w:hint="eastAsia"/>
          <w:b/>
          <w:bCs/>
          <w:lang w:eastAsia="zh-CN"/>
        </w:rPr>
      </w:pPr>
    </w:p>
    <w:p w:rsidR="00AE16B4" w:rsidRDefault="00AE16B4" w:rsidP="00F70F63">
      <w:pPr>
        <w:autoSpaceDE w:val="0"/>
        <w:autoSpaceDN w:val="0"/>
        <w:adjustRightInd w:val="0"/>
        <w:jc w:val="both"/>
        <w:rPr>
          <w:rFonts w:eastAsiaTheme="minorEastAsia" w:hint="eastAsia"/>
          <w:b/>
          <w:bCs/>
          <w:lang w:eastAsia="zh-CN"/>
        </w:rPr>
      </w:pPr>
    </w:p>
    <w:p w:rsidR="00F70F63" w:rsidRPr="008B548C" w:rsidRDefault="00F70F63" w:rsidP="00F70F63">
      <w:pPr>
        <w:autoSpaceDE w:val="0"/>
        <w:autoSpaceDN w:val="0"/>
        <w:adjustRightInd w:val="0"/>
        <w:jc w:val="both"/>
        <w:rPr>
          <w:b/>
          <w:bCs/>
        </w:rPr>
      </w:pPr>
      <w:r w:rsidRPr="008B548C">
        <w:rPr>
          <w:b/>
          <w:bCs/>
        </w:rPr>
        <w:lastRenderedPageBreak/>
        <w:t>Abstract:</w:t>
      </w:r>
    </w:p>
    <w:p w:rsidR="00F70F63" w:rsidRPr="008B548C" w:rsidRDefault="00F70F63" w:rsidP="00F70F63">
      <w:pPr>
        <w:autoSpaceDE w:val="0"/>
        <w:autoSpaceDN w:val="0"/>
        <w:adjustRightInd w:val="0"/>
        <w:jc w:val="both"/>
        <w:rPr>
          <w:b/>
          <w:bCs/>
        </w:rPr>
      </w:pPr>
    </w:p>
    <w:p w:rsidR="00F70F63" w:rsidRPr="008B548C" w:rsidRDefault="00F70F63" w:rsidP="00F70F63">
      <w:pPr>
        <w:autoSpaceDE w:val="0"/>
        <w:autoSpaceDN w:val="0"/>
        <w:adjustRightInd w:val="0"/>
        <w:jc w:val="both"/>
      </w:pPr>
      <w:r w:rsidRPr="008B548C">
        <w:t>The study aims at the investigation of the relationship betweenthe volatility of exchange rate and imports, exports andtrade deficit of Pakistan while making a comparison between three consecutive decades (1980 through 2010).  This comparison is intended to account for the political influence of democraticand non-democratic regimes on exchange rate, imports, exports, and trade deficit. The data of the variables is collected from official websites of Pakistan Bureau of Statistics and State Bank of Pakistan over a period of 30 years. The first part of the study is descriptive comparative analysis which showed that in the last regime (2000-10) exchange rate volatility performed most consistently; exports, imports and trade deficit growth were highest.The second part of the study is to investigate the link between the volatility of exchange rate, imports, exports and further trade deficit. The results showed the exchange rate volatility does have any significant impact on trade deficit. However, it has significant positive (contradictory to the previous studies)impact on imports and exports. Moreover, the duration for analysis can be extended.</w:t>
      </w:r>
    </w:p>
    <w:p w:rsidR="00F70F63" w:rsidRPr="008B548C" w:rsidRDefault="00F70F63" w:rsidP="00F70F63">
      <w:pPr>
        <w:autoSpaceDE w:val="0"/>
        <w:autoSpaceDN w:val="0"/>
        <w:adjustRightInd w:val="0"/>
        <w:jc w:val="both"/>
        <w:rPr>
          <w:b/>
          <w:bCs/>
        </w:rPr>
      </w:pPr>
    </w:p>
    <w:p w:rsidR="00F70F63" w:rsidRDefault="00AE16B4" w:rsidP="00F70F63">
      <w:pPr>
        <w:autoSpaceDE w:val="0"/>
        <w:autoSpaceDN w:val="0"/>
        <w:adjustRightInd w:val="0"/>
        <w:jc w:val="both"/>
        <w:rPr>
          <w:rFonts w:eastAsiaTheme="minorEastAsia" w:hint="eastAsia"/>
          <w:b/>
          <w:bCs/>
          <w:lang w:eastAsia="zh-CN"/>
        </w:rPr>
      </w:pPr>
      <w:r>
        <w:rPr>
          <w:rFonts w:eastAsiaTheme="minorEastAsia" w:hint="eastAsia"/>
          <w:b/>
          <w:bCs/>
          <w:lang w:eastAsia="zh-CN"/>
        </w:rPr>
        <w:t>Key Words:</w:t>
      </w:r>
    </w:p>
    <w:p w:rsidR="00AE16B4" w:rsidRPr="00AE16B4" w:rsidRDefault="00AE16B4" w:rsidP="00F70F63">
      <w:pPr>
        <w:autoSpaceDE w:val="0"/>
        <w:autoSpaceDN w:val="0"/>
        <w:adjustRightInd w:val="0"/>
        <w:jc w:val="both"/>
        <w:rPr>
          <w:rFonts w:eastAsiaTheme="minorEastAsia" w:hint="eastAsia"/>
          <w:bCs/>
          <w:lang w:eastAsia="zh-CN"/>
        </w:rPr>
      </w:pPr>
      <w:r>
        <w:rPr>
          <w:rFonts w:eastAsiaTheme="minorEastAsia" w:hint="eastAsia"/>
          <w:b/>
          <w:bCs/>
          <w:lang w:eastAsia="zh-CN"/>
        </w:rPr>
        <w:tab/>
      </w:r>
      <w:r>
        <w:rPr>
          <w:rFonts w:eastAsiaTheme="minorEastAsia" w:hint="eastAsia"/>
          <w:b/>
          <w:bCs/>
          <w:lang w:eastAsia="zh-CN"/>
        </w:rPr>
        <w:tab/>
      </w:r>
      <w:r>
        <w:rPr>
          <w:rFonts w:eastAsiaTheme="minorEastAsia" w:hint="eastAsia"/>
          <w:bCs/>
          <w:lang w:eastAsia="zh-CN"/>
        </w:rPr>
        <w:t>Trade Deficts, Echange rate, Imports, Exports and Democratic</w:t>
      </w:r>
    </w:p>
    <w:p w:rsidR="00F70F63" w:rsidRDefault="00F70F63" w:rsidP="00F70F63">
      <w:pPr>
        <w:autoSpaceDE w:val="0"/>
        <w:autoSpaceDN w:val="0"/>
        <w:adjustRightInd w:val="0"/>
        <w:jc w:val="both"/>
        <w:rPr>
          <w:b/>
          <w:bCs/>
        </w:rPr>
      </w:pPr>
    </w:p>
    <w:p w:rsidR="00F70F63" w:rsidRPr="008B548C" w:rsidRDefault="00F70F63" w:rsidP="00F70F63">
      <w:pPr>
        <w:autoSpaceDE w:val="0"/>
        <w:autoSpaceDN w:val="0"/>
        <w:adjustRightInd w:val="0"/>
        <w:jc w:val="both"/>
        <w:rPr>
          <w:b/>
          <w:bCs/>
        </w:rPr>
      </w:pPr>
      <w:r w:rsidRPr="008B548C">
        <w:rPr>
          <w:b/>
          <w:bCs/>
        </w:rPr>
        <w:t>Introduction:</w:t>
      </w:r>
    </w:p>
    <w:p w:rsidR="00F70F63" w:rsidRPr="008B548C" w:rsidRDefault="00F70F63" w:rsidP="00F70F63">
      <w:pPr>
        <w:autoSpaceDE w:val="0"/>
        <w:autoSpaceDN w:val="0"/>
        <w:adjustRightInd w:val="0"/>
        <w:jc w:val="both"/>
      </w:pPr>
    </w:p>
    <w:p w:rsidR="00F70F63" w:rsidRPr="008B548C" w:rsidRDefault="00F70F63" w:rsidP="00F70F63">
      <w:pPr>
        <w:autoSpaceDE w:val="0"/>
        <w:autoSpaceDN w:val="0"/>
        <w:adjustRightInd w:val="0"/>
        <w:jc w:val="both"/>
      </w:pPr>
      <w:r w:rsidRPr="008B548C">
        <w:t xml:space="preserve">Pakistan followed different exchange rate regimes; a fixed exchange ratebefore 1982, managed floating exchange rate since 1982 and flexible exchange rate system since July 2000.due to controlled exchange rate a very small fluctuation was noted during the last regime.  However, (Kumar and Dhawan,1991) concluded that during the both regimes, fixed and managed floating rate regime, the share of Pakistani exports at remained fairly stable.Infact Pakistan’s position as measured in the form its contribution to world exports remained flat over the previous 24 years. It ranged from 0.12 percent to .18 percent, the first figure is minimum and belongs to 1980 and second figure is a maximum and belongs to 1992.  Later on, the share of Pakistani exports was .17 percent during 2002-2003. It was due to floating exchange rate which caused the exchange rate volatility. The sole research was conducted by (Kumar and Dhawan,1991) in the context of Pakistan who observed the relationship between the volatility of exchange rate and exports in the context of developed world which covered a period of 1974-1985. The findings of the study are as following; the exchange rate volatility significantly impacts the demand in exports, Japan and West Germany were suggested as an alternate market for the Pakistani exports instead of USA and UK. </w:t>
      </w:r>
    </w:p>
    <w:p w:rsidR="00F70F63" w:rsidRPr="008B548C" w:rsidRDefault="00F70F63" w:rsidP="00F70F63">
      <w:pPr>
        <w:autoSpaceDE w:val="0"/>
        <w:autoSpaceDN w:val="0"/>
        <w:adjustRightInd w:val="0"/>
        <w:jc w:val="both"/>
      </w:pPr>
      <w:r w:rsidRPr="008B548C">
        <w:t xml:space="preserve">In Pakistan, there has been adverse volatility in exchange rates over the decades, this primarily derived attention towards this phenomenon equally for policy makers as well as researchers. Both, the nature as extent, dimensions of this volatility have lead them to investigate the impact further on the trade volume of Pakistan so that appropriate policy measure can be taken. The greater volatility in exchange rate has resulted in declining trend in trade in many countries which ultimately added to the further uncertainty about the prospect profitability from the exports of the country. This uncertainty may ask for hedging in the short run and may also effect the investments decisions of the firms in long run. However, the results of long run volatility have varied greatly.  Although we see a large body of literature available on the topic, but the </w:t>
      </w:r>
      <w:r w:rsidRPr="008B548C">
        <w:lastRenderedPageBreak/>
        <w:t xml:space="preserve">picture in the context of Pakistan looks dismal. We have tried to look at the phenomenon from a political perspective making it a regime-wise comparison.  </w:t>
      </w:r>
    </w:p>
    <w:p w:rsidR="00F70F63" w:rsidRPr="008B548C" w:rsidRDefault="00F70F63" w:rsidP="00F70F63">
      <w:pPr>
        <w:autoSpaceDE w:val="0"/>
        <w:autoSpaceDN w:val="0"/>
        <w:adjustRightInd w:val="0"/>
        <w:jc w:val="both"/>
      </w:pPr>
    </w:p>
    <w:p w:rsidR="00F70F63" w:rsidRPr="008B548C" w:rsidRDefault="00F70F63" w:rsidP="00F70F63">
      <w:pPr>
        <w:autoSpaceDE w:val="0"/>
        <w:autoSpaceDN w:val="0"/>
        <w:adjustRightInd w:val="0"/>
        <w:jc w:val="both"/>
        <w:rPr>
          <w:b/>
          <w:bCs/>
        </w:rPr>
      </w:pPr>
      <w:r w:rsidRPr="008B548C">
        <w:rPr>
          <w:b/>
          <w:bCs/>
        </w:rPr>
        <w:t>Literature Review:</w:t>
      </w:r>
    </w:p>
    <w:p w:rsidR="00F70F63" w:rsidRPr="008B548C" w:rsidRDefault="00F70F63" w:rsidP="00F70F63">
      <w:pPr>
        <w:autoSpaceDE w:val="0"/>
        <w:autoSpaceDN w:val="0"/>
        <w:adjustRightInd w:val="0"/>
        <w:jc w:val="both"/>
      </w:pPr>
    </w:p>
    <w:p w:rsidR="00F70F63" w:rsidRPr="008B548C" w:rsidRDefault="00F70F63" w:rsidP="00F70F63">
      <w:pPr>
        <w:autoSpaceDE w:val="0"/>
        <w:autoSpaceDN w:val="0"/>
        <w:adjustRightInd w:val="0"/>
        <w:jc w:val="both"/>
      </w:pPr>
      <w:r w:rsidRPr="008B548C">
        <w:t>While we go through the literature on the topic, the studies yield mixed result. The research done by (Hooper and Kohlhagen,1978) is considered to be pioneer in this arena. However, they did not found any significant effect of the volatility of exchange rate on trade volume. The study covered both bilateral and multilateral trade among developed countries over a period 1965–75.</w:t>
      </w:r>
    </w:p>
    <w:p w:rsidR="00F70F63" w:rsidRPr="008B548C" w:rsidRDefault="00F70F63" w:rsidP="00F70F63">
      <w:pPr>
        <w:autoSpaceDE w:val="0"/>
        <w:autoSpaceDN w:val="0"/>
        <w:adjustRightInd w:val="0"/>
        <w:jc w:val="both"/>
      </w:pPr>
    </w:p>
    <w:p w:rsidR="00F70F63" w:rsidRPr="008B548C" w:rsidRDefault="00F70F63" w:rsidP="00F70F63">
      <w:pPr>
        <w:autoSpaceDE w:val="0"/>
        <w:autoSpaceDN w:val="0"/>
        <w:adjustRightInd w:val="0"/>
        <w:jc w:val="both"/>
      </w:pPr>
      <w:r w:rsidRPr="008B548C">
        <w:t xml:space="preserve">(Cushman,1983) had focused on the relationship between volatility in real exchange rate andtrade volume; and found the negative relationship between them. He also conducted another study by considering a third country into the framework. The results of the study showed that the volatility in exchange rate effects on bilateral trade flows which further explored dependence on two other factors i.e. , the exchange rate risk and exchange rate fluctuations. </w:t>
      </w:r>
    </w:p>
    <w:p w:rsidR="00F70F63" w:rsidRPr="008B548C" w:rsidRDefault="00F70F63" w:rsidP="00F70F63">
      <w:pPr>
        <w:autoSpaceDE w:val="0"/>
        <w:autoSpaceDN w:val="0"/>
        <w:adjustRightInd w:val="0"/>
        <w:jc w:val="both"/>
      </w:pPr>
    </w:p>
    <w:p w:rsidR="00F70F63" w:rsidRPr="008B548C" w:rsidRDefault="00F70F63" w:rsidP="00F70F63">
      <w:pPr>
        <w:autoSpaceDE w:val="0"/>
        <w:autoSpaceDN w:val="0"/>
        <w:adjustRightInd w:val="0"/>
        <w:jc w:val="both"/>
      </w:pPr>
      <w:r w:rsidRPr="008B548C">
        <w:t xml:space="preserve">(Akhtar and Hilton,1984) studied the volatility in exchange rate and used standard deviation in order to analyse the data. He found that the volatility in exchange rate had negative impact on the imports and exports of bilateral trade between West Germany and United States. This impact was found highly significant. </w:t>
      </w:r>
    </w:p>
    <w:p w:rsidR="00F70F63" w:rsidRPr="008B548C" w:rsidRDefault="00F70F63" w:rsidP="00F70F63">
      <w:pPr>
        <w:autoSpaceDE w:val="0"/>
        <w:autoSpaceDN w:val="0"/>
        <w:adjustRightInd w:val="0"/>
        <w:jc w:val="both"/>
      </w:pPr>
    </w:p>
    <w:p w:rsidR="00F70F63" w:rsidRPr="008B548C" w:rsidRDefault="00F70F63" w:rsidP="00F70F63">
      <w:pPr>
        <w:autoSpaceDE w:val="0"/>
        <w:autoSpaceDN w:val="0"/>
        <w:adjustRightInd w:val="0"/>
        <w:jc w:val="both"/>
      </w:pPr>
      <w:r w:rsidRPr="008B548C">
        <w:t>(Gotur,1985) examined te exchange rate risk for more than two countries by increasing  the sample size in his study. Not like as (Akhtar and Hilton,1984), this study revealed that there is no significant relationship exchange rate risk and trade volume. The results of the study were same as found in the report published by IMF in 1984.</w:t>
      </w:r>
    </w:p>
    <w:p w:rsidR="00F70F63" w:rsidRPr="008B548C" w:rsidRDefault="00F70F63" w:rsidP="00F70F63">
      <w:pPr>
        <w:autoSpaceDE w:val="0"/>
        <w:autoSpaceDN w:val="0"/>
        <w:adjustRightInd w:val="0"/>
        <w:jc w:val="both"/>
      </w:pPr>
    </w:p>
    <w:p w:rsidR="00F70F63" w:rsidRPr="008B548C" w:rsidRDefault="00F70F63" w:rsidP="00F70F63">
      <w:pPr>
        <w:autoSpaceDE w:val="0"/>
        <w:autoSpaceDN w:val="0"/>
        <w:adjustRightInd w:val="0"/>
        <w:jc w:val="both"/>
      </w:pPr>
      <w:r w:rsidRPr="008B548C">
        <w:t xml:space="preserve">(Chowdhury ,1993) conducted a study to find out the impact of exchange rate volatility on the flows of trade. The study focused on the G-7 countries. The results showed a significant negative relationship between of the exchange rate volatility and trade volume over the sample. </w:t>
      </w:r>
    </w:p>
    <w:p w:rsidR="00F70F63" w:rsidRPr="008B548C" w:rsidRDefault="00F70F63" w:rsidP="00F70F63">
      <w:pPr>
        <w:autoSpaceDE w:val="0"/>
        <w:autoSpaceDN w:val="0"/>
        <w:adjustRightInd w:val="0"/>
        <w:jc w:val="both"/>
      </w:pPr>
    </w:p>
    <w:p w:rsidR="00F70F63" w:rsidRPr="008B548C" w:rsidRDefault="00F70F63" w:rsidP="00F70F63">
      <w:pPr>
        <w:autoSpaceDE w:val="0"/>
        <w:autoSpaceDN w:val="0"/>
        <w:adjustRightInd w:val="0"/>
        <w:jc w:val="both"/>
      </w:pPr>
      <w:r w:rsidRPr="008B548C">
        <w:t xml:space="preserve">(Baak,Mahmood, and Vixathep, 2002) also conducted the similar study in East Asian countries. The countries included Hong Kong, South Korea, Singapore and Thailand.  The focus of the study was both over short run and long run. They also found a negative relationship between the volatility of exchange rate and exports. It is also worth mentioning here that several studies have been conducted to explore the relationship between the volatility of exchange rate and the growth of exports. But the results of such studies did not produce any conclusion.  However, these studies produced links between exchange rate policies and the level of growth. </w:t>
      </w:r>
    </w:p>
    <w:p w:rsidR="00F70F63" w:rsidRPr="008B548C" w:rsidRDefault="00F70F63" w:rsidP="00F70F63">
      <w:pPr>
        <w:autoSpaceDE w:val="0"/>
        <w:autoSpaceDN w:val="0"/>
        <w:adjustRightInd w:val="0"/>
        <w:jc w:val="both"/>
      </w:pPr>
      <w:r w:rsidRPr="008B548C">
        <w:t xml:space="preserve">Some more studies conducted on the topic were; (Bahmani-Oskooee; 1984, 1986; Coes,1981; Rana,1983). (Bahmani-Oskooee,1984,1986). These studies included developing countries and also included the pegged exchange rate regimes. The results of these studies concluded that the exchange rate has a significant impact on trade flows. (Coes,1981;Rana 1983) studied the topic depending upon another study conducted by (Hooper-Kohlhagen,1978). Coesstudied Brazilian exports and included 22 sectors over a period of 1966-1974.  The study concluded that over the pegged exchange rate regime, the Brazilian economy observed a significant decrement in the exchange rate volatility. This decrement lead to price changes which resulted in openness in economy after 1968. </w:t>
      </w:r>
    </w:p>
    <w:p w:rsidR="00F70F63" w:rsidRPr="008B548C" w:rsidRDefault="00F70F63" w:rsidP="00F70F63">
      <w:pPr>
        <w:autoSpaceDE w:val="0"/>
        <w:autoSpaceDN w:val="0"/>
        <w:adjustRightInd w:val="0"/>
        <w:jc w:val="both"/>
      </w:pPr>
    </w:p>
    <w:p w:rsidR="00F70F63" w:rsidRPr="008B548C" w:rsidRDefault="00F70F63" w:rsidP="00F70F63">
      <w:pPr>
        <w:autoSpaceDE w:val="0"/>
        <w:autoSpaceDN w:val="0"/>
        <w:adjustRightInd w:val="0"/>
        <w:jc w:val="both"/>
      </w:pPr>
      <w:r w:rsidRPr="008B548C">
        <w:t xml:space="preserve">As observed, (Rana,1983) studied the developing countries and his study is considered to be the most comprehensive per se. he also derived similar results as the study of (Bahmani-Oskooee,1984). He also established the demand function for all the countries, and inferred ansiginificant and negative relationship between the volatility of exchange rate and the volume of imports. </w:t>
      </w:r>
    </w:p>
    <w:p w:rsidR="00F70F63" w:rsidRPr="008B548C" w:rsidRDefault="00F70F63" w:rsidP="00F70F63">
      <w:pPr>
        <w:autoSpaceDE w:val="0"/>
        <w:autoSpaceDN w:val="0"/>
        <w:adjustRightInd w:val="0"/>
        <w:jc w:val="both"/>
      </w:pPr>
    </w:p>
    <w:p w:rsidR="00F70F63" w:rsidRPr="008B548C" w:rsidRDefault="00F70F63" w:rsidP="00F70F63">
      <w:pPr>
        <w:autoSpaceDE w:val="0"/>
        <w:autoSpaceDN w:val="0"/>
        <w:adjustRightInd w:val="0"/>
        <w:jc w:val="both"/>
      </w:pPr>
      <w:r w:rsidRPr="008B548C">
        <w:t xml:space="preserve">Another research conducted by (Alam-Qazi,2010) studied the depreciation of the local currency and the effective exchange rate volatility in a real sense. The study found them to be unrelated to import demand. The study was conducted in the context of Pakistan and the results can be generalized over the long run too. However, the short run perspective of the study explored the dynamic tends to of the variable like real economic growth, relative price of imports,real effective exchange rate and real effective exchange rate volatility Granger. The study concluded that the variable discussed effect the demand of imports over the short run. </w:t>
      </w:r>
    </w:p>
    <w:p w:rsidR="00F70F63" w:rsidRPr="008B548C" w:rsidRDefault="00F70F63" w:rsidP="00F70F63">
      <w:pPr>
        <w:autoSpaceDE w:val="0"/>
        <w:autoSpaceDN w:val="0"/>
        <w:adjustRightInd w:val="0"/>
        <w:rPr>
          <w:b/>
        </w:rPr>
      </w:pPr>
    </w:p>
    <w:p w:rsidR="00F70F63" w:rsidRPr="008B548C" w:rsidRDefault="00F70F63" w:rsidP="00F70F63">
      <w:pPr>
        <w:autoSpaceDE w:val="0"/>
        <w:autoSpaceDN w:val="0"/>
        <w:adjustRightInd w:val="0"/>
        <w:jc w:val="both"/>
        <w:rPr>
          <w:b/>
        </w:rPr>
      </w:pPr>
      <w:r w:rsidRPr="008B548C">
        <w:t>Exchange rate policy has assumed an added importance in recent years due to changing global economic conditions. Another study examined the foreign exchange reserves, real and effective exchange rate response of imports demand in Pakistan using both classical and time series econometrics approaches. The real depreciation of the exchange rate has been found to have dampening impact on import demand. Adoption of a realistic exchange rate is highly desirable. Domestic inflation and an unrealistic exchange rate may discourage the investment flows needed to the new incentives. A stable and long-run relationship exists between imports and GDP, effective exchange rate and relative import prices. Co integration results do not support the long-run equilibrium situation between imports; and foreign exchange reserves and real exchange rate (Muhammad Afzal, 2007).</w:t>
      </w:r>
    </w:p>
    <w:p w:rsidR="00F70F63" w:rsidRPr="008B548C" w:rsidRDefault="00F70F63" w:rsidP="00F70F63">
      <w:pPr>
        <w:autoSpaceDE w:val="0"/>
        <w:autoSpaceDN w:val="0"/>
        <w:adjustRightInd w:val="0"/>
        <w:jc w:val="both"/>
        <w:rPr>
          <w:b/>
        </w:rPr>
      </w:pPr>
    </w:p>
    <w:p w:rsidR="00F70F63" w:rsidRPr="008B548C" w:rsidRDefault="00F70F63" w:rsidP="00F70F63">
      <w:pPr>
        <w:autoSpaceDE w:val="0"/>
        <w:autoSpaceDN w:val="0"/>
        <w:adjustRightInd w:val="0"/>
        <w:jc w:val="both"/>
      </w:pPr>
      <w:r w:rsidRPr="008B548C">
        <w:t>Finally, the study conducted by (S.Alam, Q.M. Ahmad, 2011)aimed at exploring the impact of exchange rate volatility on trade deficit of Pakistan. The study also discusses some important variables of bilateral imports of Pakistan with its major trading partners like USA, UK, Japan</w:t>
      </w:r>
      <w:r w:rsidRPr="008B548C">
        <w:rPr>
          <w:b/>
          <w:bCs/>
        </w:rPr>
        <w:t xml:space="preserve">, </w:t>
      </w:r>
      <w:r w:rsidRPr="008B548C">
        <w:t>Saudi Arabia, UAE, Germany and Kuwait. It covered a period of 1982Q1 to 2008Q2.The study concluded income elasticity to be significant with differing magnitude. It was also concluded that the volatility in exchange rate has negative and statistically significant for Pakistan’s bilateral import from UK in the long run.</w:t>
      </w:r>
    </w:p>
    <w:p w:rsidR="00F70F63" w:rsidRPr="008B548C" w:rsidRDefault="00F70F63" w:rsidP="00F70F63">
      <w:pPr>
        <w:autoSpaceDE w:val="0"/>
        <w:autoSpaceDN w:val="0"/>
        <w:adjustRightInd w:val="0"/>
        <w:jc w:val="both"/>
        <w:rPr>
          <w:b/>
        </w:rPr>
      </w:pPr>
    </w:p>
    <w:p w:rsidR="00F70F63" w:rsidRPr="008B548C" w:rsidRDefault="00F70F63" w:rsidP="00F70F63">
      <w:pPr>
        <w:autoSpaceDE w:val="0"/>
        <w:autoSpaceDN w:val="0"/>
        <w:adjustRightInd w:val="0"/>
        <w:jc w:val="both"/>
        <w:rPr>
          <w:b/>
        </w:rPr>
      </w:pPr>
    </w:p>
    <w:p w:rsidR="00F70F63" w:rsidRPr="008B548C" w:rsidRDefault="00F70F63" w:rsidP="00F70F63">
      <w:pPr>
        <w:autoSpaceDE w:val="0"/>
        <w:autoSpaceDN w:val="0"/>
        <w:adjustRightInd w:val="0"/>
        <w:jc w:val="both"/>
        <w:rPr>
          <w:b/>
        </w:rPr>
      </w:pPr>
    </w:p>
    <w:p w:rsidR="00F70F63" w:rsidRPr="008B548C" w:rsidRDefault="00F70F63" w:rsidP="00F70F63">
      <w:pPr>
        <w:autoSpaceDE w:val="0"/>
        <w:autoSpaceDN w:val="0"/>
        <w:adjustRightInd w:val="0"/>
        <w:jc w:val="both"/>
        <w:rPr>
          <w:b/>
        </w:rPr>
      </w:pPr>
      <w:r w:rsidRPr="008B548C">
        <w:rPr>
          <w:b/>
        </w:rPr>
        <w:t>Objectives of the study:</w:t>
      </w:r>
    </w:p>
    <w:p w:rsidR="00F70F63" w:rsidRPr="008B548C" w:rsidRDefault="00F70F63" w:rsidP="00F70F63">
      <w:pPr>
        <w:autoSpaceDE w:val="0"/>
        <w:autoSpaceDN w:val="0"/>
        <w:adjustRightInd w:val="0"/>
        <w:jc w:val="both"/>
      </w:pPr>
    </w:p>
    <w:p w:rsidR="00F70F63" w:rsidRPr="008B548C" w:rsidRDefault="00F70F63" w:rsidP="00F70F63">
      <w:pPr>
        <w:autoSpaceDE w:val="0"/>
        <w:autoSpaceDN w:val="0"/>
        <w:adjustRightInd w:val="0"/>
        <w:jc w:val="both"/>
      </w:pPr>
      <w:r w:rsidRPr="008B548C">
        <w:t>As the literature review suggests, previous study are provide mixed resulton how exchange rate volatility impacts imports , exportsand trade deficits. However, most of the studies showed that exchange rate volatility negatively affectsimports, exports and trade volume. The purpose of the study is two-fold, descriptive and analytical. Firstly, we make a comparison betweenthree decades, 1980-90, 1990-00, 2000-10. Out of the three decades being analyzed are two are non-democratic and a democratic. The variables intended for comparison are exchange rate volatility, imports, exports, and trade deficit. Our study is different from the previous ones in that we exclude trade volume and include trade deficit instead.</w:t>
      </w:r>
    </w:p>
    <w:p w:rsidR="00F70F63" w:rsidRPr="008B548C" w:rsidRDefault="00F70F63" w:rsidP="00F70F63">
      <w:pPr>
        <w:autoSpaceDE w:val="0"/>
        <w:autoSpaceDN w:val="0"/>
        <w:adjustRightInd w:val="0"/>
        <w:jc w:val="both"/>
      </w:pPr>
      <w:r w:rsidRPr="008B548C">
        <w:lastRenderedPageBreak/>
        <w:t xml:space="preserve">Secondly, the second objective is to explore the impact of the volatility of exchange rate on imports, exports and trade deficit. For the purpose, we develop three different models.We prospect a negative impact of the volatility of exchange rate on imports and exports as suggested by the literature. </w:t>
      </w:r>
    </w:p>
    <w:p w:rsidR="00F70F63" w:rsidRPr="008B548C" w:rsidRDefault="00F70F63" w:rsidP="00F70F63">
      <w:pPr>
        <w:autoSpaceDE w:val="0"/>
        <w:autoSpaceDN w:val="0"/>
        <w:adjustRightInd w:val="0"/>
        <w:jc w:val="both"/>
      </w:pPr>
    </w:p>
    <w:p w:rsidR="00F70F63" w:rsidRPr="008B548C" w:rsidRDefault="00F70F63" w:rsidP="00F70F63">
      <w:pPr>
        <w:autoSpaceDE w:val="0"/>
        <w:autoSpaceDN w:val="0"/>
        <w:adjustRightInd w:val="0"/>
        <w:jc w:val="both"/>
        <w:rPr>
          <w:b/>
        </w:rPr>
      </w:pPr>
      <w:r w:rsidRPr="008B548C">
        <w:rPr>
          <w:b/>
        </w:rPr>
        <w:t xml:space="preserve">Data and Methodology: </w:t>
      </w:r>
    </w:p>
    <w:p w:rsidR="00F70F63" w:rsidRPr="008B548C" w:rsidRDefault="00F70F63" w:rsidP="00F70F63">
      <w:pPr>
        <w:autoSpaceDE w:val="0"/>
        <w:autoSpaceDN w:val="0"/>
        <w:adjustRightInd w:val="0"/>
        <w:jc w:val="both"/>
        <w:rPr>
          <w:b/>
        </w:rPr>
      </w:pPr>
    </w:p>
    <w:p w:rsidR="00F70F63" w:rsidRPr="008B548C" w:rsidRDefault="00F70F63" w:rsidP="00F70F63">
      <w:pPr>
        <w:autoSpaceDE w:val="0"/>
        <w:autoSpaceDN w:val="0"/>
        <w:adjustRightInd w:val="0"/>
        <w:jc w:val="both"/>
      </w:pPr>
      <w:r w:rsidRPr="008B548C">
        <w:t>As discussed earlier our purpose of the study has been For the purpose of performing the analysis, data related to exchange rate, imports, exports, and trade deficit has been collected from tow websites; State Bank of Pakistan(SBP) and Pakistan Bureau of Statistics(PBS). We have collected data for 30 years. Analysis was performed over a period of 30 years and the period was further subdivided into three decades; 1980-90, 1990-00, 2000-10. The analysis was conducted in phases i.e. descriptive and analytical. The analyses are performed by using SPSS 16.</w:t>
      </w:r>
    </w:p>
    <w:p w:rsidR="00F70F63" w:rsidRPr="008B548C" w:rsidRDefault="00F70F63" w:rsidP="00F70F63">
      <w:pPr>
        <w:autoSpaceDE w:val="0"/>
        <w:autoSpaceDN w:val="0"/>
        <w:adjustRightInd w:val="0"/>
        <w:jc w:val="both"/>
      </w:pPr>
      <w:r w:rsidRPr="008B548C">
        <w:t>In order to obtain the second objective of the study, we have appliedthree different ordinary least square models. The models which serve our purpose are given as below:</w:t>
      </w:r>
    </w:p>
    <w:p w:rsidR="00F70F63" w:rsidRPr="008B548C" w:rsidRDefault="00F70F63" w:rsidP="00F70F63">
      <w:pPr>
        <w:autoSpaceDE w:val="0"/>
        <w:autoSpaceDN w:val="0"/>
        <w:adjustRightInd w:val="0"/>
        <w:ind w:left="2160" w:firstLine="720"/>
        <w:jc w:val="both"/>
      </w:pPr>
      <w:r w:rsidRPr="008B548C">
        <w:t xml:space="preserve">TD = </w:t>
      </w:r>
      <w:r w:rsidRPr="008B548C">
        <w:rPr>
          <w:rFonts w:ascii="Cambria Math" w:hAnsi="Cambria Math"/>
        </w:rPr>
        <w:t>𝜶</w:t>
      </w:r>
      <w:r w:rsidRPr="008B548C">
        <w:rPr>
          <w:vertAlign w:val="subscript"/>
        </w:rPr>
        <w:t>1</w:t>
      </w:r>
      <w:r w:rsidRPr="008B548C">
        <w:t xml:space="preserve"> + </w:t>
      </w:r>
      <w:r w:rsidRPr="008B548C">
        <w:rPr>
          <w:rFonts w:ascii="Cambria Math" w:hAnsi="Cambria Math"/>
        </w:rPr>
        <w:t>𝜷</w:t>
      </w:r>
      <w:r w:rsidRPr="008B548C">
        <w:rPr>
          <w:vertAlign w:val="subscript"/>
        </w:rPr>
        <w:t>1</w:t>
      </w:r>
      <w:r w:rsidRPr="008B548C">
        <w:t>EV+ є</w:t>
      </w:r>
      <w:r w:rsidRPr="008B548C">
        <w:rPr>
          <w:vertAlign w:val="subscript"/>
        </w:rPr>
        <w:t xml:space="preserve">1   </w:t>
      </w:r>
      <w:r w:rsidRPr="008B548C">
        <w:t>………………………………..(a)</w:t>
      </w:r>
    </w:p>
    <w:p w:rsidR="00F70F63" w:rsidRPr="008B548C" w:rsidRDefault="00F70F63" w:rsidP="00F70F63">
      <w:pPr>
        <w:autoSpaceDE w:val="0"/>
        <w:autoSpaceDN w:val="0"/>
        <w:adjustRightInd w:val="0"/>
        <w:ind w:left="2880"/>
        <w:jc w:val="both"/>
      </w:pPr>
    </w:p>
    <w:p w:rsidR="00F70F63" w:rsidRPr="008B548C" w:rsidRDefault="00F70F63" w:rsidP="00F70F63">
      <w:pPr>
        <w:autoSpaceDE w:val="0"/>
        <w:autoSpaceDN w:val="0"/>
        <w:adjustRightInd w:val="0"/>
        <w:ind w:left="2880"/>
        <w:jc w:val="both"/>
      </w:pPr>
      <w:r w:rsidRPr="008B548C">
        <w:t xml:space="preserve">Imp = </w:t>
      </w:r>
      <w:r w:rsidRPr="008B548C">
        <w:rPr>
          <w:rFonts w:ascii="Cambria Math" w:hAnsi="Cambria Math"/>
        </w:rPr>
        <w:t>𝜶</w:t>
      </w:r>
      <w:r w:rsidRPr="008B548C">
        <w:rPr>
          <w:vertAlign w:val="subscript"/>
        </w:rPr>
        <w:t>2</w:t>
      </w:r>
      <w:r w:rsidRPr="008B548C">
        <w:t xml:space="preserve"> + </w:t>
      </w:r>
      <w:r w:rsidRPr="008B548C">
        <w:rPr>
          <w:rFonts w:ascii="Cambria Math" w:hAnsi="Cambria Math"/>
        </w:rPr>
        <w:t>𝜷</w:t>
      </w:r>
      <w:r w:rsidRPr="008B548C">
        <w:rPr>
          <w:vertAlign w:val="subscript"/>
        </w:rPr>
        <w:t>2</w:t>
      </w:r>
      <w:r w:rsidRPr="008B548C">
        <w:t>EV+ є</w:t>
      </w:r>
      <w:r w:rsidRPr="008B548C">
        <w:rPr>
          <w:vertAlign w:val="subscript"/>
        </w:rPr>
        <w:t xml:space="preserve">2  </w:t>
      </w:r>
      <w:r w:rsidRPr="008B548C">
        <w:t>………………………………..(b)</w:t>
      </w:r>
    </w:p>
    <w:p w:rsidR="00F70F63" w:rsidRPr="008B548C" w:rsidRDefault="00F70F63" w:rsidP="00F70F63">
      <w:pPr>
        <w:autoSpaceDE w:val="0"/>
        <w:autoSpaceDN w:val="0"/>
        <w:adjustRightInd w:val="0"/>
        <w:ind w:left="2880"/>
        <w:jc w:val="both"/>
      </w:pPr>
    </w:p>
    <w:p w:rsidR="00F70F63" w:rsidRPr="008B548C" w:rsidRDefault="00F70F63" w:rsidP="00F70F63">
      <w:pPr>
        <w:autoSpaceDE w:val="0"/>
        <w:autoSpaceDN w:val="0"/>
        <w:adjustRightInd w:val="0"/>
        <w:ind w:left="2880"/>
        <w:jc w:val="both"/>
      </w:pPr>
      <w:r w:rsidRPr="008B548C">
        <w:t xml:space="preserve">Exp = </w:t>
      </w:r>
      <w:r w:rsidRPr="008B548C">
        <w:rPr>
          <w:rFonts w:ascii="Cambria Math" w:hAnsi="Cambria Math"/>
        </w:rPr>
        <w:t>𝜶</w:t>
      </w:r>
      <w:r w:rsidRPr="008B548C">
        <w:rPr>
          <w:vertAlign w:val="subscript"/>
        </w:rPr>
        <w:t>3</w:t>
      </w:r>
      <w:r w:rsidRPr="008B548C">
        <w:t xml:space="preserve"> + </w:t>
      </w:r>
      <w:r w:rsidRPr="008B548C">
        <w:rPr>
          <w:rFonts w:ascii="Cambria Math" w:hAnsi="Cambria Math"/>
        </w:rPr>
        <w:t>𝜷</w:t>
      </w:r>
      <w:r w:rsidRPr="008B548C">
        <w:rPr>
          <w:vertAlign w:val="subscript"/>
        </w:rPr>
        <w:t>3</w:t>
      </w:r>
      <w:r w:rsidRPr="008B548C">
        <w:t>EV+ є</w:t>
      </w:r>
      <w:r w:rsidRPr="008B548C">
        <w:rPr>
          <w:vertAlign w:val="subscript"/>
        </w:rPr>
        <w:t xml:space="preserve">3  </w:t>
      </w:r>
      <w:r w:rsidRPr="008B548C">
        <w:t>………………………………..(c)</w:t>
      </w:r>
    </w:p>
    <w:p w:rsidR="00F70F63" w:rsidRPr="008B548C" w:rsidRDefault="00F70F63" w:rsidP="00F70F63">
      <w:pPr>
        <w:autoSpaceDE w:val="0"/>
        <w:autoSpaceDN w:val="0"/>
        <w:adjustRightInd w:val="0"/>
        <w:ind w:left="2880"/>
        <w:jc w:val="both"/>
      </w:pPr>
    </w:p>
    <w:p w:rsidR="00F70F63" w:rsidRPr="008B548C" w:rsidRDefault="00F70F63" w:rsidP="00F70F63">
      <w:pPr>
        <w:autoSpaceDE w:val="0"/>
        <w:autoSpaceDN w:val="0"/>
        <w:adjustRightInd w:val="0"/>
        <w:jc w:val="both"/>
      </w:pPr>
      <w:r w:rsidRPr="008B548C">
        <w:t xml:space="preserve">Where, in models, TD (trade deficit), Imp (imports), Exp (exports) are dependent variables and EV which represents exchange rate volatility as independent variable. The above models possess all the assumptions of classical linear regression models(CLRM).The parameters of the above models are estimated by using Ordinary Least Square technique. </w:t>
      </w:r>
    </w:p>
    <w:p w:rsidR="00F70F63" w:rsidRPr="00AE16B4" w:rsidRDefault="00F70F63" w:rsidP="00F70F63">
      <w:pPr>
        <w:autoSpaceDE w:val="0"/>
        <w:autoSpaceDN w:val="0"/>
        <w:adjustRightInd w:val="0"/>
        <w:jc w:val="both"/>
        <w:rPr>
          <w:rFonts w:eastAsiaTheme="minorEastAsia" w:hint="eastAsia"/>
          <w:b/>
          <w:lang w:eastAsia="zh-CN"/>
        </w:rPr>
      </w:pPr>
    </w:p>
    <w:p w:rsidR="00F70F63" w:rsidRPr="008B548C" w:rsidRDefault="00F70F63" w:rsidP="00F70F63">
      <w:pPr>
        <w:autoSpaceDE w:val="0"/>
        <w:autoSpaceDN w:val="0"/>
        <w:adjustRightInd w:val="0"/>
        <w:jc w:val="both"/>
        <w:rPr>
          <w:b/>
        </w:rPr>
      </w:pPr>
      <w:r w:rsidRPr="008B548C">
        <w:rPr>
          <w:b/>
        </w:rPr>
        <w:t>Descriptive Analysis:</w:t>
      </w:r>
    </w:p>
    <w:p w:rsidR="00F70F63" w:rsidRPr="008B548C" w:rsidRDefault="00F70F63" w:rsidP="00F70F63">
      <w:pPr>
        <w:autoSpaceDE w:val="0"/>
        <w:autoSpaceDN w:val="0"/>
        <w:adjustRightInd w:val="0"/>
        <w:jc w:val="both"/>
        <w:rPr>
          <w:b/>
        </w:rPr>
      </w:pPr>
    </w:p>
    <w:p w:rsidR="00F70F63" w:rsidRPr="008B548C" w:rsidRDefault="00F70F63" w:rsidP="00F70F63">
      <w:pPr>
        <w:autoSpaceDE w:val="0"/>
        <w:autoSpaceDN w:val="0"/>
        <w:adjustRightInd w:val="0"/>
        <w:jc w:val="both"/>
      </w:pPr>
      <w:r w:rsidRPr="008B548C">
        <w:t>Table 1 depicts the main descriptive features of the data for three decades respectively; 1981-90, 1990-00 and 2000-10, each of them is described as below:</w:t>
      </w:r>
    </w:p>
    <w:p w:rsidR="00F70F63" w:rsidRPr="008B548C" w:rsidRDefault="00F70F63" w:rsidP="00F70F63">
      <w:pPr>
        <w:autoSpaceDE w:val="0"/>
        <w:autoSpaceDN w:val="0"/>
        <w:adjustRightInd w:val="0"/>
        <w:jc w:val="both"/>
      </w:pPr>
    </w:p>
    <w:p w:rsidR="00F70F63" w:rsidRPr="008B548C" w:rsidRDefault="00F70F63" w:rsidP="00F70F63">
      <w:pPr>
        <w:autoSpaceDE w:val="0"/>
        <w:autoSpaceDN w:val="0"/>
        <w:adjustRightInd w:val="0"/>
        <w:jc w:val="both"/>
        <w:rPr>
          <w:b/>
        </w:rPr>
      </w:pPr>
      <w:r w:rsidRPr="008B548C">
        <w:rPr>
          <w:b/>
        </w:rPr>
        <w:t>First Decade(1980-90):</w:t>
      </w:r>
    </w:p>
    <w:p w:rsidR="00F70F63" w:rsidRPr="008B548C" w:rsidRDefault="00F70F63" w:rsidP="00F70F63">
      <w:pPr>
        <w:autoSpaceDE w:val="0"/>
        <w:autoSpaceDN w:val="0"/>
        <w:adjustRightInd w:val="0"/>
        <w:jc w:val="both"/>
        <w:rPr>
          <w:b/>
        </w:rPr>
      </w:pPr>
    </w:p>
    <w:p w:rsidR="00F70F63" w:rsidRPr="008B548C" w:rsidRDefault="00F70F63" w:rsidP="00F70F63">
      <w:pPr>
        <w:autoSpaceDE w:val="0"/>
        <w:autoSpaceDN w:val="0"/>
        <w:adjustRightInd w:val="0"/>
        <w:jc w:val="both"/>
      </w:pPr>
      <w:r w:rsidRPr="008B548C">
        <w:t xml:space="preserve">This era was first of two non-democratic ears included in our analysis. Zia-Ul-Haq was leading the country during the decade. Prior to 1982 the exchange rate was used to be fixed. But Pakistan adapted tomanaged floating exchange rate since 1982 through 2000. During the first decade the average annual exchange rate has fluctuated between Rs10.65 per dollar to Rs 22.53 per dollar with a mean and standard deviation of Rs16.65 per dollar and Rs 3.60 per dollar respectively. This shows an increase of 111.54 percent during the decade. Furthermore, coefficient of variation is 0.22 which further helps us in making a decade wise comparison. </w:t>
      </w:r>
    </w:p>
    <w:p w:rsidR="00F70F63" w:rsidRPr="008B548C" w:rsidRDefault="00F70F63" w:rsidP="00F70F63">
      <w:pPr>
        <w:autoSpaceDE w:val="0"/>
        <w:autoSpaceDN w:val="0"/>
        <w:adjustRightInd w:val="0"/>
        <w:jc w:val="both"/>
      </w:pPr>
    </w:p>
    <w:p w:rsidR="00F70F63" w:rsidRPr="008B548C" w:rsidRDefault="00F70F63" w:rsidP="00F70F63">
      <w:pPr>
        <w:autoSpaceDE w:val="0"/>
        <w:autoSpaceDN w:val="0"/>
        <w:adjustRightInd w:val="0"/>
        <w:jc w:val="both"/>
      </w:pPr>
      <w:r w:rsidRPr="008B548C">
        <w:t xml:space="preserve">The volatility of exchange rate which is scaled standard deviation of exchange rate plummeted between Rs 0.14 per dollar and Rs 1 per dollar with a mean and standard deviation of Rs 0.49 per dollar and Rs 0.32 per dollar respectively. The coefficient of variation was Rs 0.65 per dollar during the decade. </w:t>
      </w:r>
    </w:p>
    <w:p w:rsidR="00F70F63" w:rsidRPr="008B548C" w:rsidRDefault="00F70F63" w:rsidP="00F70F63">
      <w:pPr>
        <w:autoSpaceDE w:val="0"/>
        <w:autoSpaceDN w:val="0"/>
        <w:adjustRightInd w:val="0"/>
        <w:jc w:val="both"/>
      </w:pPr>
    </w:p>
    <w:p w:rsidR="00F70F63" w:rsidRPr="008B548C" w:rsidRDefault="00F70F63" w:rsidP="00F70F63">
      <w:pPr>
        <w:autoSpaceDE w:val="0"/>
        <w:autoSpaceDN w:val="0"/>
        <w:adjustRightInd w:val="0"/>
        <w:jc w:val="both"/>
      </w:pPr>
      <w:r w:rsidRPr="008B548C">
        <w:lastRenderedPageBreak/>
        <w:t>The exports and imports fluctuated between $2,489.20-$4,964.70 and $5,363.60-$7069.40 respectively. Exports increased by almost 100 percent whereas imports increased by 31.8 percent.  Exports and imports had means and standard deviationsof ($3,430.62, $5,943.77) and ($901.12, $605.11) respectively.coefficient of variation for exports was 0.26 and that of imports was 0.10.</w:t>
      </w:r>
    </w:p>
    <w:p w:rsidR="00F70F63" w:rsidRPr="008B548C" w:rsidRDefault="00F70F63" w:rsidP="00F70F63">
      <w:pPr>
        <w:autoSpaceDE w:val="0"/>
        <w:autoSpaceDN w:val="0"/>
        <w:adjustRightInd w:val="0"/>
        <w:jc w:val="both"/>
      </w:pPr>
      <w:r w:rsidRPr="008B548C">
        <w:t>Trade deficit moved between $</w:t>
      </w:r>
      <w:r w:rsidRPr="008B548C">
        <w:rPr>
          <w:color w:val="000000"/>
        </w:rPr>
        <w:t>-3,381.30-$-1,603.30 during the decade with a mean of $-2,471.28 and standard deviation of $534.83. the coefficient of variation was -0.22.</w:t>
      </w:r>
    </w:p>
    <w:p w:rsidR="00F70F63" w:rsidRPr="008B548C" w:rsidRDefault="00F70F63" w:rsidP="00F70F63">
      <w:pPr>
        <w:autoSpaceDE w:val="0"/>
        <w:autoSpaceDN w:val="0"/>
        <w:adjustRightInd w:val="0"/>
        <w:jc w:val="both"/>
      </w:pPr>
    </w:p>
    <w:p w:rsidR="00F70F63" w:rsidRPr="008B548C" w:rsidRDefault="00F70F63" w:rsidP="00F70F63">
      <w:pPr>
        <w:autoSpaceDE w:val="0"/>
        <w:autoSpaceDN w:val="0"/>
        <w:adjustRightInd w:val="0"/>
        <w:jc w:val="both"/>
        <w:rPr>
          <w:b/>
        </w:rPr>
      </w:pPr>
      <w:r w:rsidRPr="008B548C">
        <w:rPr>
          <w:b/>
        </w:rPr>
        <w:t>Second Decade (1990-00):</w:t>
      </w:r>
    </w:p>
    <w:p w:rsidR="00F70F63" w:rsidRPr="008B548C" w:rsidRDefault="00F70F63" w:rsidP="00F70F63">
      <w:pPr>
        <w:autoSpaceDE w:val="0"/>
        <w:autoSpaceDN w:val="0"/>
        <w:adjustRightInd w:val="0"/>
        <w:jc w:val="both"/>
        <w:rPr>
          <w:b/>
        </w:rPr>
      </w:pPr>
    </w:p>
    <w:p w:rsidR="00F70F63" w:rsidRPr="008B548C" w:rsidRDefault="00F70F63" w:rsidP="00F70F63">
      <w:pPr>
        <w:autoSpaceDE w:val="0"/>
        <w:autoSpaceDN w:val="0"/>
        <w:adjustRightInd w:val="0"/>
        <w:jc w:val="both"/>
      </w:pPr>
      <w:r w:rsidRPr="008B548C">
        <w:t>This the only democratic ears included in our analysis. It can jointly be tagged as Nawaz-Beanazir era. This era also followed managed floating exchange rate system. During the first decade the average annual exchange rate has fluctuated between Rs</w:t>
      </w:r>
      <w:r w:rsidRPr="008B548C">
        <w:rPr>
          <w:color w:val="000000"/>
        </w:rPr>
        <w:t>24.87</w:t>
      </w:r>
      <w:r w:rsidRPr="008B548C">
        <w:t xml:space="preserve"> per dollar to Rs</w:t>
      </w:r>
      <w:r w:rsidRPr="008B548C">
        <w:rPr>
          <w:color w:val="000000"/>
        </w:rPr>
        <w:t>59.08</w:t>
      </w:r>
      <w:r w:rsidRPr="008B548C">
        <w:t xml:space="preserve"> per dollar with a mean and standard deviation of Rs</w:t>
      </w:r>
      <w:r w:rsidRPr="008B548C">
        <w:rPr>
          <w:color w:val="000000"/>
        </w:rPr>
        <w:t>38.65</w:t>
      </w:r>
      <w:r w:rsidRPr="008B548C">
        <w:t xml:space="preserve"> per dollar and Rs</w:t>
      </w:r>
      <w:r w:rsidRPr="008B548C">
        <w:rPr>
          <w:color w:val="000000"/>
        </w:rPr>
        <w:t>10.89</w:t>
      </w:r>
      <w:r w:rsidRPr="008B548C">
        <w:t xml:space="preserve"> per dollar respectively. This shows an increase of 137.55 percent during the decade. Furthermore, coefficient of variation was </w:t>
      </w:r>
      <w:r w:rsidRPr="008B548C">
        <w:rPr>
          <w:color w:val="000000"/>
        </w:rPr>
        <w:t>0.28</w:t>
      </w:r>
      <w:r w:rsidRPr="008B548C">
        <w:t xml:space="preserve">which further helps us in making a decade wise comparison.  </w:t>
      </w:r>
    </w:p>
    <w:p w:rsidR="00F70F63" w:rsidRPr="008B548C" w:rsidRDefault="00F70F63" w:rsidP="00F70F63">
      <w:pPr>
        <w:autoSpaceDE w:val="0"/>
        <w:autoSpaceDN w:val="0"/>
        <w:adjustRightInd w:val="0"/>
        <w:jc w:val="both"/>
      </w:pPr>
    </w:p>
    <w:p w:rsidR="00F70F63" w:rsidRPr="008B548C" w:rsidRDefault="00F70F63" w:rsidP="00F70F63">
      <w:pPr>
        <w:autoSpaceDE w:val="0"/>
        <w:autoSpaceDN w:val="0"/>
        <w:adjustRightInd w:val="0"/>
        <w:jc w:val="both"/>
      </w:pPr>
      <w:r w:rsidRPr="008B548C">
        <w:t>The exchange rate volatility as measured by standard deviation of exchange rate plummeted between Rs</w:t>
      </w:r>
      <w:r w:rsidRPr="008B548C">
        <w:rPr>
          <w:color w:val="000000"/>
        </w:rPr>
        <w:t>0.13</w:t>
      </w:r>
      <w:r w:rsidRPr="008B548C">
        <w:t xml:space="preserve"> per dollar and Rs 3 per dollar with a mean and standard deviation of Rs 1.16 per dollar and Rs 0.95 per dollar respectively. The coefficient of variation was Rs 0.62 per dollar during the decade. </w:t>
      </w:r>
    </w:p>
    <w:p w:rsidR="00F70F63" w:rsidRPr="008B548C" w:rsidRDefault="00F70F63" w:rsidP="00F70F63">
      <w:pPr>
        <w:autoSpaceDE w:val="0"/>
        <w:autoSpaceDN w:val="0"/>
        <w:adjustRightInd w:val="0"/>
        <w:jc w:val="both"/>
      </w:pPr>
    </w:p>
    <w:p w:rsidR="00F70F63" w:rsidRPr="008B548C" w:rsidRDefault="00F70F63" w:rsidP="00F70F63">
      <w:pPr>
        <w:autoSpaceDE w:val="0"/>
        <w:autoSpaceDN w:val="0"/>
        <w:adjustRightInd w:val="0"/>
        <w:jc w:val="both"/>
      </w:pPr>
      <w:r w:rsidRPr="008B548C">
        <w:t>The exports and imports fluctuated between $</w:t>
      </w:r>
      <w:r w:rsidRPr="008B548C">
        <w:rPr>
          <w:color w:val="000000"/>
        </w:rPr>
        <w:t>6,167.00</w:t>
      </w:r>
      <w:r w:rsidRPr="008B548C">
        <w:t>-$</w:t>
      </w:r>
      <w:r w:rsidRPr="008B548C">
        <w:rPr>
          <w:color w:val="000000"/>
        </w:rPr>
        <w:t>8,707.10</w:t>
      </w:r>
      <w:r w:rsidRPr="008B548C">
        <w:t xml:space="preserve"> and $</w:t>
      </w:r>
      <w:r w:rsidRPr="008B548C">
        <w:rPr>
          <w:color w:val="000000"/>
        </w:rPr>
        <w:t>7,631.20</w:t>
      </w:r>
      <w:r w:rsidRPr="008B548C">
        <w:t>-$</w:t>
      </w:r>
      <w:r w:rsidRPr="008B548C">
        <w:rPr>
          <w:color w:val="000000"/>
        </w:rPr>
        <w:t>11,894.20</w:t>
      </w:r>
      <w:r w:rsidRPr="008B548C">
        <w:t xml:space="preserve"> respectively. Exports increased by almost 41.18 percent whereas imports increased by 55.86 percent.  Exports and imports had means and standard deviations of ($</w:t>
      </w:r>
      <w:r w:rsidRPr="008B548C">
        <w:rPr>
          <w:color w:val="000000"/>
        </w:rPr>
        <w:t>7,685.15</w:t>
      </w:r>
      <w:r w:rsidRPr="008B548C">
        <w:t>,  $</w:t>
      </w:r>
      <w:r w:rsidRPr="008B548C">
        <w:rPr>
          <w:color w:val="000000"/>
        </w:rPr>
        <w:t>9,936.19</w:t>
      </w:r>
      <w:r w:rsidRPr="008B548C">
        <w:t>) and ($</w:t>
      </w:r>
      <w:r w:rsidRPr="008B548C">
        <w:rPr>
          <w:color w:val="000000"/>
        </w:rPr>
        <w:t>879.93</w:t>
      </w:r>
      <w:r w:rsidRPr="008B548C">
        <w:t>, $</w:t>
      </w:r>
      <w:r w:rsidRPr="008B548C">
        <w:rPr>
          <w:color w:val="000000"/>
        </w:rPr>
        <w:t>1,250.29</w:t>
      </w:r>
      <w:r w:rsidRPr="008B548C">
        <w:t>) respectively. Coefficient of variation for exports was 0.11 and that of imports was 0.13.</w:t>
      </w:r>
    </w:p>
    <w:p w:rsidR="00F70F63" w:rsidRPr="008B548C" w:rsidRDefault="00F70F63" w:rsidP="00F70F63">
      <w:pPr>
        <w:autoSpaceDE w:val="0"/>
        <w:autoSpaceDN w:val="0"/>
        <w:adjustRightInd w:val="0"/>
        <w:jc w:val="both"/>
        <w:rPr>
          <w:color w:val="000000"/>
        </w:rPr>
      </w:pPr>
      <w:r w:rsidRPr="008B548C">
        <w:t>Trade deficit moved between $</w:t>
      </w:r>
      <w:r w:rsidRPr="008B548C">
        <w:rPr>
          <w:color w:val="000000"/>
        </w:rPr>
        <w:t>-3,522.10-$-1,415.70 during the decade with a mean of $-2,206.76and standard deviation of $ 7,35.31. The coefficient of variation was -0.33.</w:t>
      </w:r>
    </w:p>
    <w:p w:rsidR="00F70F63" w:rsidRPr="00AE16B4" w:rsidRDefault="00F70F63" w:rsidP="00F70F63">
      <w:pPr>
        <w:autoSpaceDE w:val="0"/>
        <w:autoSpaceDN w:val="0"/>
        <w:adjustRightInd w:val="0"/>
        <w:jc w:val="both"/>
        <w:rPr>
          <w:rFonts w:eastAsiaTheme="minorEastAsia" w:hint="eastAsia"/>
          <w:b/>
          <w:lang w:eastAsia="zh-CN"/>
        </w:rPr>
      </w:pPr>
    </w:p>
    <w:p w:rsidR="00F70F63" w:rsidRPr="008B548C" w:rsidRDefault="00F70F63" w:rsidP="00F70F63">
      <w:pPr>
        <w:autoSpaceDE w:val="0"/>
        <w:autoSpaceDN w:val="0"/>
        <w:adjustRightInd w:val="0"/>
        <w:jc w:val="both"/>
        <w:rPr>
          <w:b/>
        </w:rPr>
      </w:pPr>
      <w:r w:rsidRPr="008B548C">
        <w:rPr>
          <w:b/>
        </w:rPr>
        <w:t>Third Decade (2000-10):</w:t>
      </w:r>
    </w:p>
    <w:p w:rsidR="00F70F63" w:rsidRPr="008B548C" w:rsidRDefault="00F70F63" w:rsidP="00F70F63">
      <w:pPr>
        <w:autoSpaceDE w:val="0"/>
        <w:autoSpaceDN w:val="0"/>
        <w:adjustRightInd w:val="0"/>
        <w:jc w:val="both"/>
        <w:rPr>
          <w:b/>
        </w:rPr>
      </w:pPr>
    </w:p>
    <w:p w:rsidR="00F70F63" w:rsidRPr="008B548C" w:rsidRDefault="00F70F63" w:rsidP="00F70F63">
      <w:pPr>
        <w:autoSpaceDE w:val="0"/>
        <w:autoSpaceDN w:val="0"/>
        <w:adjustRightInd w:val="0"/>
        <w:jc w:val="both"/>
      </w:pPr>
      <w:r w:rsidRPr="008B548C">
        <w:t>This was the most interesting and second non-democratic era in our analysis. The exchange rate was pegged during this era. This period can be named as Musharraf era. During the decade the average annual exchange rate has fluctuated between Rs</w:t>
      </w:r>
      <w:r w:rsidRPr="008B548C">
        <w:rPr>
          <w:color w:val="000000"/>
        </w:rPr>
        <w:t>57.59</w:t>
      </w:r>
      <w:r w:rsidRPr="008B548C">
        <w:t xml:space="preserve"> per dollar to Rs</w:t>
      </w:r>
      <w:r w:rsidRPr="008B548C">
        <w:rPr>
          <w:color w:val="000000"/>
        </w:rPr>
        <w:t>85.61</w:t>
      </w:r>
      <w:r w:rsidRPr="008B548C">
        <w:t xml:space="preserve"> per dollar with a mean and standard deviation of Rs</w:t>
      </w:r>
      <w:r w:rsidRPr="008B548C">
        <w:rPr>
          <w:color w:val="000000"/>
        </w:rPr>
        <w:t>66.84</w:t>
      </w:r>
      <w:r w:rsidRPr="008B548C">
        <w:t xml:space="preserve"> per dollar and Rs</w:t>
      </w:r>
      <w:r w:rsidRPr="008B548C">
        <w:rPr>
          <w:color w:val="000000"/>
        </w:rPr>
        <w:t>10.67</w:t>
      </w:r>
      <w:r w:rsidRPr="008B548C">
        <w:t xml:space="preserve"> per dollar respectively. This shows an increase of 48.65 percent during the decade. Furthermore, coefficient of variation was </w:t>
      </w:r>
      <w:r w:rsidRPr="008B548C">
        <w:rPr>
          <w:color w:val="000000"/>
        </w:rPr>
        <w:t>0.16</w:t>
      </w:r>
      <w:r w:rsidRPr="008B548C">
        <w:t xml:space="preserve">which further helps us in making a decade wise comparison.  </w:t>
      </w:r>
    </w:p>
    <w:p w:rsidR="00F70F63" w:rsidRPr="008B548C" w:rsidRDefault="00F70F63" w:rsidP="00F70F63">
      <w:pPr>
        <w:autoSpaceDE w:val="0"/>
        <w:autoSpaceDN w:val="0"/>
        <w:adjustRightInd w:val="0"/>
        <w:jc w:val="both"/>
      </w:pPr>
      <w:r w:rsidRPr="008B548C">
        <w:t>The exchange rate volatility as measured by standard deviation of exchange rate plummeted between Rs</w:t>
      </w:r>
      <w:r w:rsidRPr="008B548C">
        <w:rPr>
          <w:color w:val="000000"/>
        </w:rPr>
        <w:t>0.16</w:t>
      </w:r>
      <w:r w:rsidRPr="008B548C">
        <w:t>per dollar and Rs</w:t>
      </w:r>
      <w:r w:rsidRPr="008B548C">
        <w:rPr>
          <w:color w:val="000000"/>
        </w:rPr>
        <w:t>2.69</w:t>
      </w:r>
      <w:r w:rsidRPr="008B548C">
        <w:t xml:space="preserve"> per dollar with a mean and standard deviation of Rs</w:t>
      </w:r>
      <w:r w:rsidRPr="008B548C">
        <w:rPr>
          <w:color w:val="000000"/>
        </w:rPr>
        <w:t>0.98</w:t>
      </w:r>
      <w:r w:rsidRPr="008B548C">
        <w:t xml:space="preserve"> per dollar and Rs</w:t>
      </w:r>
      <w:r w:rsidRPr="008B548C">
        <w:rPr>
          <w:color w:val="000000"/>
        </w:rPr>
        <w:t>0.89</w:t>
      </w:r>
      <w:r w:rsidRPr="008B548C">
        <w:t xml:space="preserve"> per dollar respectively. The coefficient of variation was Rs</w:t>
      </w:r>
      <w:r w:rsidRPr="008B548C">
        <w:rPr>
          <w:color w:val="000000"/>
        </w:rPr>
        <w:t>0.90</w:t>
      </w:r>
      <w:r w:rsidRPr="008B548C">
        <w:t xml:space="preserve"> per dollar during the decade. </w:t>
      </w:r>
    </w:p>
    <w:p w:rsidR="00F70F63" w:rsidRPr="008B548C" w:rsidRDefault="00F70F63" w:rsidP="00F70F63">
      <w:pPr>
        <w:autoSpaceDE w:val="0"/>
        <w:autoSpaceDN w:val="0"/>
        <w:adjustRightInd w:val="0"/>
        <w:jc w:val="both"/>
      </w:pPr>
      <w:r w:rsidRPr="008B548C">
        <w:t>The exports and imports fluctuated between $</w:t>
      </w:r>
      <w:r w:rsidRPr="008B548C">
        <w:rPr>
          <w:color w:val="000000"/>
        </w:rPr>
        <w:t>9,134.60</w:t>
      </w:r>
      <w:r w:rsidRPr="008B548C">
        <w:t>-$</w:t>
      </w:r>
      <w:r w:rsidRPr="008B548C">
        <w:rPr>
          <w:color w:val="000000"/>
        </w:rPr>
        <w:t>19,290.00</w:t>
      </w:r>
      <w:r w:rsidRPr="008B548C">
        <w:t xml:space="preserve"> and $</w:t>
      </w:r>
      <w:r w:rsidRPr="008B548C">
        <w:rPr>
          <w:color w:val="000000"/>
        </w:rPr>
        <w:t>10,339.50</w:t>
      </w:r>
      <w:r w:rsidRPr="008B548C">
        <w:t>-$</w:t>
      </w:r>
      <w:r w:rsidRPr="008B548C">
        <w:rPr>
          <w:color w:val="000000"/>
        </w:rPr>
        <w:t>39,965.50</w:t>
      </w:r>
      <w:r w:rsidRPr="008B548C">
        <w:t xml:space="preserve"> respectively. Exports increased by almost 111.17 percent whereas imports increased by 286.53 percent.  Exports and imports had means and standard deviations of ($</w:t>
      </w:r>
      <w:r w:rsidRPr="008B548C">
        <w:rPr>
          <w:color w:val="000000"/>
        </w:rPr>
        <w:t>14,565.85</w:t>
      </w:r>
      <w:r w:rsidRPr="008B548C">
        <w:t>, $</w:t>
      </w:r>
      <w:r w:rsidRPr="008B548C">
        <w:rPr>
          <w:color w:val="000000"/>
        </w:rPr>
        <w:t>23,809.68</w:t>
      </w:r>
      <w:r w:rsidRPr="008B548C">
        <w:t>) and ($</w:t>
      </w:r>
      <w:r w:rsidRPr="008B548C">
        <w:rPr>
          <w:color w:val="000000"/>
        </w:rPr>
        <w:t>3,695.06</w:t>
      </w:r>
      <w:r w:rsidRPr="008B548C">
        <w:t>, $</w:t>
      </w:r>
      <w:r w:rsidRPr="008B548C">
        <w:rPr>
          <w:color w:val="000000"/>
        </w:rPr>
        <w:t>10,648.35</w:t>
      </w:r>
      <w:r w:rsidRPr="008B548C">
        <w:t xml:space="preserve">) respectively. Coefficient of variation for exports was </w:t>
      </w:r>
      <w:r w:rsidRPr="008B548C">
        <w:rPr>
          <w:color w:val="000000"/>
        </w:rPr>
        <w:t>0.25</w:t>
      </w:r>
      <w:r w:rsidRPr="008B548C">
        <w:t xml:space="preserve"> and that of imports was </w:t>
      </w:r>
      <w:r w:rsidRPr="008B548C">
        <w:rPr>
          <w:color w:val="000000"/>
        </w:rPr>
        <w:t>0.45</w:t>
      </w:r>
      <w:r w:rsidRPr="008B548C">
        <w:t>.</w:t>
      </w:r>
    </w:p>
    <w:p w:rsidR="00F70F63" w:rsidRPr="008B548C" w:rsidRDefault="00F70F63" w:rsidP="00F70F63">
      <w:pPr>
        <w:autoSpaceDE w:val="0"/>
        <w:autoSpaceDN w:val="0"/>
        <w:adjustRightInd w:val="0"/>
        <w:jc w:val="both"/>
        <w:rPr>
          <w:color w:val="000000"/>
        </w:rPr>
      </w:pPr>
      <w:r w:rsidRPr="008B548C">
        <w:lastRenderedPageBreak/>
        <w:t>Trade deficit moved between $</w:t>
      </w:r>
      <w:r w:rsidRPr="008B548C">
        <w:rPr>
          <w:color w:val="000000"/>
        </w:rPr>
        <w:t>-20,196.70-$-1,415.70 during the decade with a mean of $-9,036.57 and standard deviation of $6,939.42. The coefficient of variation was -0.77.</w:t>
      </w:r>
    </w:p>
    <w:p w:rsidR="00F70F63" w:rsidRPr="008B548C" w:rsidRDefault="00F70F63" w:rsidP="00F70F63">
      <w:pPr>
        <w:autoSpaceDE w:val="0"/>
        <w:autoSpaceDN w:val="0"/>
        <w:adjustRightInd w:val="0"/>
        <w:jc w:val="both"/>
      </w:pPr>
      <w:r w:rsidRPr="008B548C">
        <w:t xml:space="preserve">The descriptive analysis shows the exchange rate has been very relatively stable during the last decade (2000-10) due to pegged exchange rate system. During the last decade, the increase in exchange rate was the lowest of the all decade whereas democratic decade had the highest increase in exchange rate. The part of reason may be the underlying political factor. The lowest coefficient of variation also depicts the same thing. The same phenomenon has been explained by </w:t>
      </w:r>
      <w:r w:rsidRPr="008B548C">
        <w:rPr>
          <w:b/>
        </w:rPr>
        <w:t>Graph-1.</w:t>
      </w:r>
      <w:r w:rsidRPr="008B548C">
        <w:t xml:space="preserve"> Although the average annual exchange rate seems to be very high but the when coupled with the mean of volatility of exchange rate yields the same results as discussed earlier.</w:t>
      </w:r>
    </w:p>
    <w:p w:rsidR="00F70F63" w:rsidRPr="008B548C" w:rsidRDefault="00F70F63" w:rsidP="00F70F63">
      <w:pPr>
        <w:autoSpaceDE w:val="0"/>
        <w:autoSpaceDN w:val="0"/>
        <w:adjustRightInd w:val="0"/>
        <w:jc w:val="both"/>
      </w:pPr>
      <w:r w:rsidRPr="008B548C">
        <w:t xml:space="preserve">While we analyze the exports and imports through the decades, we see that increase in average exports and imports were the highest during the last decade (2000-10). The reason for this increase seems to be moderate investment and trade policies during the Musharraf Regime and pegging of the exchange also played its role. </w:t>
      </w:r>
      <w:r w:rsidRPr="008B548C">
        <w:rPr>
          <w:b/>
        </w:rPr>
        <w:t>Graph-2</w:t>
      </w:r>
      <w:r w:rsidRPr="008B548C">
        <w:t xml:space="preserve"> enlightens the facts.  </w:t>
      </w:r>
      <w:r w:rsidRPr="008B548C">
        <w:rPr>
          <w:b/>
        </w:rPr>
        <w:t>Graph-3</w:t>
      </w:r>
      <w:r w:rsidRPr="008B548C">
        <w:t xml:space="preserve"> explains the trade deficit which was highest during the last decade (2000-10) mainly due to rise in imports during the era. </w:t>
      </w:r>
    </w:p>
    <w:p w:rsidR="00F70F63" w:rsidRPr="00AE16B4" w:rsidRDefault="00F70F63" w:rsidP="00F70F63">
      <w:pPr>
        <w:autoSpaceDE w:val="0"/>
        <w:autoSpaceDN w:val="0"/>
        <w:adjustRightInd w:val="0"/>
        <w:jc w:val="both"/>
        <w:rPr>
          <w:rFonts w:eastAsiaTheme="minorEastAsia" w:hint="eastAsia"/>
          <w:b/>
          <w:lang w:eastAsia="zh-CN"/>
        </w:rPr>
      </w:pPr>
    </w:p>
    <w:p w:rsidR="00F70F63" w:rsidRPr="008B548C" w:rsidRDefault="00F70F63" w:rsidP="00F70F63">
      <w:pPr>
        <w:autoSpaceDE w:val="0"/>
        <w:autoSpaceDN w:val="0"/>
        <w:adjustRightInd w:val="0"/>
        <w:jc w:val="both"/>
        <w:rPr>
          <w:b/>
        </w:rPr>
      </w:pPr>
      <w:r w:rsidRPr="008B548C">
        <w:rPr>
          <w:b/>
        </w:rPr>
        <w:t>Results:</w:t>
      </w:r>
    </w:p>
    <w:p w:rsidR="00F70F63" w:rsidRPr="008B548C" w:rsidRDefault="00F70F63" w:rsidP="00F70F63">
      <w:pPr>
        <w:autoSpaceDE w:val="0"/>
        <w:autoSpaceDN w:val="0"/>
        <w:adjustRightInd w:val="0"/>
        <w:jc w:val="both"/>
        <w:rPr>
          <w:b/>
        </w:rPr>
      </w:pPr>
    </w:p>
    <w:p w:rsidR="00F70F63" w:rsidRPr="008B548C" w:rsidRDefault="00F70F63" w:rsidP="00F70F63">
      <w:pPr>
        <w:autoSpaceDE w:val="0"/>
        <w:autoSpaceDN w:val="0"/>
        <w:adjustRightInd w:val="0"/>
        <w:jc w:val="both"/>
      </w:pPr>
      <w:r w:rsidRPr="008B548C">
        <w:t>The estimated forms of the models (a), (b) and (c) are given below with their explanations:</w:t>
      </w:r>
    </w:p>
    <w:p w:rsidR="00F70F63" w:rsidRPr="008B548C" w:rsidRDefault="00F70F63" w:rsidP="00F70F63">
      <w:pPr>
        <w:autoSpaceDE w:val="0"/>
        <w:autoSpaceDN w:val="0"/>
        <w:adjustRightInd w:val="0"/>
        <w:jc w:val="both"/>
        <w:rPr>
          <w:b/>
        </w:rPr>
      </w:pPr>
    </w:p>
    <w:p w:rsidR="00F70F63" w:rsidRPr="008B548C" w:rsidRDefault="00F70F63" w:rsidP="00F70F63">
      <w:pPr>
        <w:autoSpaceDE w:val="0"/>
        <w:autoSpaceDN w:val="0"/>
        <w:adjustRightInd w:val="0"/>
        <w:ind w:left="720" w:firstLine="720"/>
        <w:jc w:val="both"/>
      </w:pPr>
      <w:r w:rsidRPr="008B548C">
        <w:t>TD = -3,201.65 + (-1,558.69)EV………………………………..(1)</w:t>
      </w:r>
    </w:p>
    <w:p w:rsidR="00F70F63" w:rsidRPr="008B548C" w:rsidRDefault="00F70F63" w:rsidP="00F70F63">
      <w:pPr>
        <w:autoSpaceDE w:val="0"/>
        <w:autoSpaceDN w:val="0"/>
        <w:adjustRightInd w:val="0"/>
        <w:jc w:val="both"/>
      </w:pPr>
      <w:r w:rsidRPr="008B548C">
        <w:t xml:space="preserve">Equation-1howsthat whenever the exchange rate volatility is zero then trade deficit will be $ -3,201.65 and if we change exchange rate volatility with the rate of Rs1 per dollar then the trade deficit will decrease by 1,558.69 dollars. As the t-stat is -1.368( p-value 0.18) which is insignificant and the the value of R-square, which shows the explanatory power of the model, is 0.39 low hence the overall model is insignificant. Thus, it results in rejection of the hypothesis as exchange rate volatility plays no significant in determining trade deficit. </w:t>
      </w:r>
    </w:p>
    <w:p w:rsidR="00F70F63" w:rsidRPr="008B548C" w:rsidRDefault="00F70F63" w:rsidP="00F70F63">
      <w:pPr>
        <w:autoSpaceDE w:val="0"/>
        <w:autoSpaceDN w:val="0"/>
        <w:adjustRightInd w:val="0"/>
        <w:jc w:val="both"/>
        <w:rPr>
          <w:b/>
        </w:rPr>
      </w:pPr>
    </w:p>
    <w:p w:rsidR="00F70F63" w:rsidRPr="008B548C" w:rsidRDefault="00F70F63" w:rsidP="00F70F63">
      <w:pPr>
        <w:autoSpaceDE w:val="0"/>
        <w:autoSpaceDN w:val="0"/>
        <w:adjustRightInd w:val="0"/>
        <w:ind w:left="720" w:firstLine="720"/>
        <w:jc w:val="both"/>
      </w:pPr>
      <w:r w:rsidRPr="008B548C">
        <w:t>Imp = 6,855.23 + 1,940.35EV………………………………..(2)</w:t>
      </w:r>
    </w:p>
    <w:p w:rsidR="00F70F63" w:rsidRPr="008B548C" w:rsidRDefault="00F70F63" w:rsidP="00F70F63">
      <w:pPr>
        <w:autoSpaceDE w:val="0"/>
        <w:autoSpaceDN w:val="0"/>
        <w:adjustRightInd w:val="0"/>
        <w:jc w:val="both"/>
      </w:pPr>
      <w:r w:rsidRPr="008B548C">
        <w:t xml:space="preserve">Equation-2 shows that whenever the exchange rate volatility is zero then imports will be $ 6,855.23and if we change exchange rate volatility with the rate of Rs1 per dollar then the imports will increase by 1,940.35 dollars. As the t-stat is 11.74( p-value 0.00) which is significant and the value of R-square, which shows the explanatory power of the model, is 0.81 high hence the overall model is significant. Thus, it results in the acceptance of the hypothesis as exchange rate volatility plays significant positive in determining exports.  </w:t>
      </w:r>
    </w:p>
    <w:p w:rsidR="00F70F63" w:rsidRPr="008B548C" w:rsidRDefault="00F70F63" w:rsidP="00F70F63">
      <w:pPr>
        <w:autoSpaceDE w:val="0"/>
        <w:autoSpaceDN w:val="0"/>
        <w:adjustRightInd w:val="0"/>
        <w:jc w:val="both"/>
      </w:pPr>
    </w:p>
    <w:p w:rsidR="00F70F63" w:rsidRPr="008B548C" w:rsidRDefault="00F70F63" w:rsidP="00F70F63">
      <w:pPr>
        <w:autoSpaceDE w:val="0"/>
        <w:autoSpaceDN w:val="0"/>
        <w:adjustRightInd w:val="0"/>
        <w:jc w:val="both"/>
        <w:rPr>
          <w:b/>
        </w:rPr>
      </w:pPr>
    </w:p>
    <w:p w:rsidR="00F70F63" w:rsidRPr="008B548C" w:rsidRDefault="00F70F63" w:rsidP="00F70F63">
      <w:pPr>
        <w:autoSpaceDE w:val="0"/>
        <w:autoSpaceDN w:val="0"/>
        <w:adjustRightInd w:val="0"/>
        <w:ind w:left="720" w:firstLine="720"/>
        <w:jc w:val="both"/>
      </w:pPr>
      <w:r w:rsidRPr="008B548C">
        <w:t>Exp = 10,103.21 + 3,557.6EV………………………………..(3)</w:t>
      </w:r>
    </w:p>
    <w:p w:rsidR="00F70F63" w:rsidRPr="008B548C" w:rsidRDefault="00F70F63" w:rsidP="00F70F63">
      <w:pPr>
        <w:autoSpaceDE w:val="0"/>
        <w:autoSpaceDN w:val="0"/>
        <w:adjustRightInd w:val="0"/>
        <w:jc w:val="both"/>
      </w:pPr>
      <w:r w:rsidRPr="008B548C">
        <w:t>Equation-3 shows that whenever the exchange rate volatility is zero then exports will be $ 10,103.21and if we change exchange rate volatility with the rate of Rs1 per dollar then the exports will increase by 3,557.6 dollars.</w:t>
      </w:r>
    </w:p>
    <w:p w:rsidR="00F70F63" w:rsidRPr="008B548C" w:rsidRDefault="00F70F63" w:rsidP="00F70F63">
      <w:pPr>
        <w:autoSpaceDE w:val="0"/>
        <w:autoSpaceDN w:val="0"/>
        <w:adjustRightInd w:val="0"/>
        <w:jc w:val="both"/>
      </w:pPr>
      <w:r w:rsidRPr="008B548C">
        <w:t xml:space="preserve">As the t-stat is 9.65( p-value 0.03) which is significant and the value of R-square, which shows the explanatory power of the model, is 0.77 high hence the overall model is significant. Thus, it results in the acceptance of the hypothesis as exchange rate volatility plays significant positive in determining imports.  </w:t>
      </w:r>
    </w:p>
    <w:p w:rsidR="00F70F63" w:rsidRPr="008B548C" w:rsidRDefault="00F70F63" w:rsidP="00F70F63">
      <w:pPr>
        <w:autoSpaceDE w:val="0"/>
        <w:autoSpaceDN w:val="0"/>
        <w:adjustRightInd w:val="0"/>
        <w:jc w:val="both"/>
        <w:rPr>
          <w:b/>
        </w:rPr>
      </w:pPr>
    </w:p>
    <w:p w:rsidR="00F70F63" w:rsidRPr="008B548C" w:rsidRDefault="00F70F63" w:rsidP="00F70F63">
      <w:pPr>
        <w:autoSpaceDE w:val="0"/>
        <w:autoSpaceDN w:val="0"/>
        <w:adjustRightInd w:val="0"/>
        <w:jc w:val="both"/>
        <w:rPr>
          <w:b/>
        </w:rPr>
      </w:pPr>
    </w:p>
    <w:p w:rsidR="00F70F63" w:rsidRPr="008B548C" w:rsidRDefault="00F70F63" w:rsidP="00F70F63">
      <w:pPr>
        <w:autoSpaceDE w:val="0"/>
        <w:autoSpaceDN w:val="0"/>
        <w:adjustRightInd w:val="0"/>
        <w:jc w:val="both"/>
        <w:rPr>
          <w:b/>
        </w:rPr>
      </w:pPr>
      <w:r w:rsidRPr="008B548C">
        <w:rPr>
          <w:b/>
        </w:rPr>
        <w:t>Conclusion:</w:t>
      </w:r>
    </w:p>
    <w:p w:rsidR="00F70F63" w:rsidRPr="008B548C" w:rsidRDefault="00F70F63" w:rsidP="00F70F63">
      <w:pPr>
        <w:autoSpaceDE w:val="0"/>
        <w:autoSpaceDN w:val="0"/>
        <w:adjustRightInd w:val="0"/>
        <w:jc w:val="both"/>
      </w:pPr>
      <w:r w:rsidRPr="008B548C">
        <w:t xml:space="preserve">The study was an addition to the previous studies conducted on the topic in terms of a comparison between democratic and non-democratic regimes over last 30 years. The first part of the study was the comparison between three decades (1982-90, 1990-00, 2000-10). Out descriptive analysis showed that the last decade (2000-10) as consistent with respect to exchange rate volatility and also produced highest increase in exports and imports where the trade deficit was the maximum during the decade. The second part of study was to find out the relationship between exchange rate volatility and trade deficit, imports, and exports. Out the three models developed, the one including exchange rate volatility and trade deficit was insignificant. Our study was different from the previous studies in that it included trade deficit rather than the trade volume and the study made a comparison between democratic and non-democratic regimes. </w:t>
      </w:r>
    </w:p>
    <w:p w:rsidR="00F70F63" w:rsidRPr="008B548C" w:rsidRDefault="00F70F63" w:rsidP="00F70F63">
      <w:pPr>
        <w:autoSpaceDE w:val="0"/>
        <w:autoSpaceDN w:val="0"/>
        <w:adjustRightInd w:val="0"/>
        <w:jc w:val="both"/>
      </w:pPr>
    </w:p>
    <w:p w:rsidR="00F70F63" w:rsidRPr="008B548C" w:rsidRDefault="00F70F63" w:rsidP="00F70F63">
      <w:pPr>
        <w:autoSpaceDE w:val="0"/>
        <w:autoSpaceDN w:val="0"/>
        <w:adjustRightInd w:val="0"/>
        <w:jc w:val="both"/>
      </w:pPr>
      <w:r w:rsidRPr="008B548C">
        <w:t xml:space="preserve">Although the study is very valuable in its own way, its still has some limitations. Firstly, the duration of data variables can be extended. Secondly, imports, exports and trade deficit data was available on an annual basis, it would have been better if we had monthly data. </w:t>
      </w:r>
    </w:p>
    <w:p w:rsidR="00F70F63" w:rsidRPr="008B548C" w:rsidRDefault="00F70F63" w:rsidP="00F70F63">
      <w:pPr>
        <w:autoSpaceDE w:val="0"/>
        <w:autoSpaceDN w:val="0"/>
        <w:adjustRightInd w:val="0"/>
        <w:jc w:val="both"/>
      </w:pPr>
    </w:p>
    <w:p w:rsidR="00F70F63" w:rsidRPr="008B548C" w:rsidRDefault="00F70F63" w:rsidP="00F70F63">
      <w:pPr>
        <w:autoSpaceDE w:val="0"/>
        <w:autoSpaceDN w:val="0"/>
        <w:adjustRightInd w:val="0"/>
        <w:jc w:val="both"/>
      </w:pPr>
    </w:p>
    <w:p w:rsidR="00F70F63" w:rsidRPr="00AE16B4" w:rsidRDefault="00F70F63" w:rsidP="00F70F63">
      <w:pPr>
        <w:autoSpaceDE w:val="0"/>
        <w:autoSpaceDN w:val="0"/>
        <w:adjustRightInd w:val="0"/>
        <w:jc w:val="both"/>
        <w:rPr>
          <w:rFonts w:ascii="TimesNewRomanPSMT" w:eastAsiaTheme="minorEastAsia" w:hAnsi="TimesNewRomanPSMT" w:cs="TimesNewRomanPSMT" w:hint="eastAsia"/>
          <w:sz w:val="20"/>
          <w:szCs w:val="20"/>
          <w:lang w:eastAsia="zh-CN"/>
        </w:rPr>
      </w:pPr>
    </w:p>
    <w:p w:rsidR="00F70F63" w:rsidRDefault="00F70F63" w:rsidP="00F70F63">
      <w:pPr>
        <w:autoSpaceDE w:val="0"/>
        <w:autoSpaceDN w:val="0"/>
        <w:adjustRightInd w:val="0"/>
        <w:jc w:val="both"/>
        <w:rPr>
          <w:rFonts w:ascii="TimesNewRomanPSMT" w:hAnsi="TimesNewRomanPSMT" w:cs="TimesNewRomanPSMT"/>
          <w:sz w:val="20"/>
          <w:szCs w:val="20"/>
        </w:rPr>
      </w:pPr>
    </w:p>
    <w:p w:rsidR="00F70F63" w:rsidRPr="0029619E" w:rsidRDefault="00F70F63" w:rsidP="00F70F63">
      <w:pPr>
        <w:autoSpaceDE w:val="0"/>
        <w:autoSpaceDN w:val="0"/>
        <w:adjustRightInd w:val="0"/>
        <w:jc w:val="both"/>
        <w:rPr>
          <w:rFonts w:ascii="TimesNewRomanPSMT" w:hAnsi="TimesNewRomanPSMT" w:cs="TimesNewRomanPSMT"/>
          <w:b/>
          <w:i/>
          <w:sz w:val="20"/>
          <w:szCs w:val="20"/>
        </w:rPr>
      </w:pPr>
      <w:r w:rsidRPr="0029619E">
        <w:rPr>
          <w:rFonts w:ascii="TimesNewRomanPSMT" w:hAnsi="TimesNewRomanPSMT" w:cs="TimesNewRomanPSMT"/>
          <w:b/>
          <w:i/>
          <w:sz w:val="20"/>
          <w:szCs w:val="20"/>
        </w:rPr>
        <w:t>Table-I</w:t>
      </w:r>
    </w:p>
    <w:p w:rsidR="00F70F63" w:rsidRPr="001631CC" w:rsidRDefault="00F70F63" w:rsidP="00F70F63">
      <w:pPr>
        <w:autoSpaceDE w:val="0"/>
        <w:autoSpaceDN w:val="0"/>
        <w:adjustRightInd w:val="0"/>
        <w:jc w:val="both"/>
        <w:rPr>
          <w:rFonts w:ascii="TimesNewRomanPSMT" w:hAnsi="TimesNewRomanPSMT" w:cs="TimesNewRomanPSMT"/>
          <w:sz w:val="20"/>
          <w:szCs w:val="20"/>
        </w:rPr>
      </w:pPr>
    </w:p>
    <w:tbl>
      <w:tblPr>
        <w:tblW w:w="8138" w:type="dxa"/>
        <w:tblInd w:w="648" w:type="dxa"/>
        <w:tblLook w:val="04A0"/>
      </w:tblPr>
      <w:tblGrid>
        <w:gridCol w:w="1455"/>
        <w:gridCol w:w="1334"/>
        <w:gridCol w:w="1155"/>
        <w:gridCol w:w="1155"/>
        <w:gridCol w:w="1129"/>
        <w:gridCol w:w="1129"/>
        <w:gridCol w:w="1150"/>
      </w:tblGrid>
      <w:tr w:rsidR="00F70F63" w:rsidRPr="00E027BC" w:rsidTr="00D93564">
        <w:trPr>
          <w:trHeight w:val="102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F63" w:rsidRPr="00E027BC" w:rsidRDefault="00F70F63" w:rsidP="00D93564">
            <w:pPr>
              <w:rPr>
                <w:rFonts w:ascii="Calibri" w:hAnsi="Calibri" w:cs="Calibri"/>
                <w:b/>
                <w:bCs/>
                <w:color w:val="000000"/>
              </w:rPr>
            </w:pPr>
            <w:r w:rsidRPr="00E027BC">
              <w:rPr>
                <w:rFonts w:ascii="Calibri" w:hAnsi="Calibri" w:cs="Calibri"/>
                <w:b/>
                <w:bCs/>
                <w:color w:val="000000"/>
              </w:rPr>
              <w:t>Decade</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rsidR="00F70F63" w:rsidRPr="00E027BC" w:rsidRDefault="00F70F63" w:rsidP="00D93564">
            <w:pPr>
              <w:rPr>
                <w:rFonts w:ascii="Calibri" w:hAnsi="Calibri" w:cs="Calibri"/>
                <w:b/>
                <w:bCs/>
                <w:color w:val="000000"/>
              </w:rPr>
            </w:pPr>
            <w:r w:rsidRPr="00E027BC">
              <w:rPr>
                <w:rFonts w:ascii="Calibri" w:hAnsi="Calibri" w:cs="Calibri"/>
                <w:b/>
                <w:bCs/>
                <w:color w:val="000000"/>
              </w:rPr>
              <w:t>Descriptive</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F70F63" w:rsidRPr="00E027BC" w:rsidRDefault="00F70F63" w:rsidP="00D93564">
            <w:pPr>
              <w:rPr>
                <w:rFonts w:ascii="Calibri" w:hAnsi="Calibri" w:cs="Calibri"/>
                <w:b/>
                <w:bCs/>
                <w:color w:val="000000"/>
              </w:rPr>
            </w:pPr>
            <w:r>
              <w:rPr>
                <w:rFonts w:ascii="Calibri" w:hAnsi="Calibri" w:cs="Calibri"/>
                <w:b/>
                <w:bCs/>
                <w:color w:val="000000"/>
              </w:rPr>
              <w:t>Vo</w:t>
            </w:r>
            <w:r w:rsidRPr="00B04ECA">
              <w:rPr>
                <w:rFonts w:ascii="Calibri" w:hAnsi="Calibri" w:cs="Calibri"/>
                <w:b/>
                <w:bCs/>
                <w:color w:val="000000"/>
              </w:rPr>
              <w:t>latility</w:t>
            </w:r>
            <w:r w:rsidRPr="00E027BC">
              <w:rPr>
                <w:rFonts w:ascii="Calibri" w:hAnsi="Calibri" w:cs="Calibri"/>
                <w:b/>
                <w:bCs/>
                <w:color w:val="000000"/>
              </w:rPr>
              <w:t xml:space="preserve"> of Exchange Rate</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F70F63" w:rsidRPr="00E027BC" w:rsidRDefault="00F70F63" w:rsidP="00D93564">
            <w:pPr>
              <w:rPr>
                <w:rFonts w:ascii="Calibri" w:hAnsi="Calibri" w:cs="Calibri"/>
                <w:b/>
                <w:bCs/>
                <w:color w:val="000000"/>
              </w:rPr>
            </w:pPr>
            <w:r w:rsidRPr="00E027BC">
              <w:rPr>
                <w:rFonts w:ascii="Calibri" w:hAnsi="Calibri" w:cs="Calibri"/>
                <w:b/>
                <w:bCs/>
                <w:color w:val="000000"/>
              </w:rPr>
              <w:t>Avg Annual Exchange Rate</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F70F63" w:rsidRPr="00E027BC" w:rsidRDefault="00F70F63" w:rsidP="00D93564">
            <w:pPr>
              <w:rPr>
                <w:rFonts w:ascii="Calibri" w:hAnsi="Calibri" w:cs="Calibri"/>
                <w:b/>
                <w:bCs/>
                <w:color w:val="000000"/>
              </w:rPr>
            </w:pPr>
            <w:r w:rsidRPr="00E027BC">
              <w:rPr>
                <w:rFonts w:ascii="Calibri" w:hAnsi="Calibri" w:cs="Calibri"/>
                <w:b/>
                <w:bCs/>
                <w:color w:val="000000"/>
              </w:rPr>
              <w:t>Exports</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F70F63" w:rsidRPr="00E027BC" w:rsidRDefault="00F70F63" w:rsidP="00D93564">
            <w:pPr>
              <w:rPr>
                <w:rFonts w:ascii="Calibri" w:hAnsi="Calibri" w:cs="Calibri"/>
                <w:b/>
                <w:bCs/>
                <w:color w:val="000000"/>
              </w:rPr>
            </w:pPr>
            <w:r w:rsidRPr="00E027BC">
              <w:rPr>
                <w:rFonts w:ascii="Calibri" w:hAnsi="Calibri" w:cs="Calibri"/>
                <w:b/>
                <w:bCs/>
                <w:color w:val="000000"/>
              </w:rPr>
              <w:t>Imports</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F70F63" w:rsidRPr="00E027BC" w:rsidRDefault="00F70F63" w:rsidP="00D93564">
            <w:pPr>
              <w:rPr>
                <w:rFonts w:ascii="Calibri" w:hAnsi="Calibri" w:cs="Calibri"/>
                <w:b/>
                <w:bCs/>
                <w:color w:val="000000"/>
              </w:rPr>
            </w:pPr>
            <w:r w:rsidRPr="00E027BC">
              <w:rPr>
                <w:rFonts w:ascii="Calibri" w:hAnsi="Calibri" w:cs="Calibri"/>
                <w:b/>
                <w:bCs/>
                <w:color w:val="000000"/>
              </w:rPr>
              <w:t>Trade Deficit</w:t>
            </w:r>
          </w:p>
        </w:tc>
      </w:tr>
      <w:tr w:rsidR="00F70F63" w:rsidRPr="00E027BC" w:rsidTr="00D93564">
        <w:trPr>
          <w:trHeight w:val="330"/>
        </w:trPr>
        <w:tc>
          <w:tcPr>
            <w:tcW w:w="14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b/>
                <w:bCs/>
                <w:color w:val="000000"/>
              </w:rPr>
            </w:pPr>
            <w:r>
              <w:rPr>
                <w:rFonts w:ascii="Calibri" w:hAnsi="Calibri" w:cs="Calibri"/>
                <w:b/>
                <w:bCs/>
                <w:color w:val="000000"/>
              </w:rPr>
              <w:t>1981-90</w:t>
            </w:r>
          </w:p>
        </w:tc>
        <w:tc>
          <w:tcPr>
            <w:tcW w:w="1241"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Arial" w:hAnsi="Arial" w:cs="Arial"/>
                <w:b/>
                <w:bCs/>
                <w:sz w:val="20"/>
                <w:szCs w:val="20"/>
              </w:rPr>
            </w:pPr>
            <w:r w:rsidRPr="00E027BC">
              <w:rPr>
                <w:rFonts w:ascii="Arial" w:hAnsi="Arial" w:cs="Arial"/>
                <w:b/>
                <w:bCs/>
                <w:sz w:val="20"/>
                <w:szCs w:val="20"/>
              </w:rPr>
              <w:t>Min</w:t>
            </w:r>
          </w:p>
        </w:tc>
        <w:tc>
          <w:tcPr>
            <w:tcW w:w="1077"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0.14</w:t>
            </w:r>
          </w:p>
        </w:tc>
        <w:tc>
          <w:tcPr>
            <w:tcW w:w="1109"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10.65</w:t>
            </w:r>
          </w:p>
        </w:tc>
        <w:tc>
          <w:tcPr>
            <w:tcW w:w="1053"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2489.20</w:t>
            </w:r>
          </w:p>
        </w:tc>
        <w:tc>
          <w:tcPr>
            <w:tcW w:w="1053"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5363.60</w:t>
            </w:r>
          </w:p>
        </w:tc>
        <w:tc>
          <w:tcPr>
            <w:tcW w:w="1150"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-3381.30</w:t>
            </w:r>
          </w:p>
        </w:tc>
      </w:tr>
      <w:tr w:rsidR="00F70F63" w:rsidRPr="00E027BC" w:rsidTr="00D93564">
        <w:trPr>
          <w:trHeight w:val="330"/>
        </w:trPr>
        <w:tc>
          <w:tcPr>
            <w:tcW w:w="1455" w:type="dxa"/>
            <w:vMerge/>
            <w:tcBorders>
              <w:top w:val="nil"/>
              <w:left w:val="single" w:sz="4" w:space="0" w:color="auto"/>
              <w:bottom w:val="single" w:sz="4" w:space="0" w:color="auto"/>
              <w:right w:val="single" w:sz="4" w:space="0" w:color="auto"/>
            </w:tcBorders>
            <w:vAlign w:val="center"/>
            <w:hideMark/>
          </w:tcPr>
          <w:p w:rsidR="00F70F63" w:rsidRPr="00E027BC" w:rsidRDefault="00F70F63" w:rsidP="00D93564">
            <w:pPr>
              <w:rPr>
                <w:rFonts w:ascii="Calibri" w:hAnsi="Calibri" w:cs="Calibri"/>
                <w:b/>
                <w:bCs/>
                <w:color w:val="000000"/>
              </w:rPr>
            </w:pPr>
          </w:p>
        </w:tc>
        <w:tc>
          <w:tcPr>
            <w:tcW w:w="1241"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Arial" w:hAnsi="Arial" w:cs="Arial"/>
                <w:b/>
                <w:bCs/>
                <w:sz w:val="20"/>
                <w:szCs w:val="20"/>
              </w:rPr>
            </w:pPr>
            <w:r w:rsidRPr="00E027BC">
              <w:rPr>
                <w:rFonts w:ascii="Arial" w:hAnsi="Arial" w:cs="Arial"/>
                <w:b/>
                <w:bCs/>
                <w:sz w:val="20"/>
                <w:szCs w:val="20"/>
              </w:rPr>
              <w:t>Max</w:t>
            </w:r>
          </w:p>
        </w:tc>
        <w:tc>
          <w:tcPr>
            <w:tcW w:w="1077"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1.00</w:t>
            </w:r>
          </w:p>
        </w:tc>
        <w:tc>
          <w:tcPr>
            <w:tcW w:w="1109"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22.53</w:t>
            </w:r>
          </w:p>
        </w:tc>
        <w:tc>
          <w:tcPr>
            <w:tcW w:w="1053"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4964.70</w:t>
            </w:r>
          </w:p>
        </w:tc>
        <w:tc>
          <w:tcPr>
            <w:tcW w:w="1053"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7069.40</w:t>
            </w:r>
          </w:p>
        </w:tc>
        <w:tc>
          <w:tcPr>
            <w:tcW w:w="1150"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-1603.30</w:t>
            </w:r>
          </w:p>
        </w:tc>
      </w:tr>
      <w:tr w:rsidR="00F70F63" w:rsidRPr="00E027BC" w:rsidTr="00D93564">
        <w:trPr>
          <w:trHeight w:val="330"/>
        </w:trPr>
        <w:tc>
          <w:tcPr>
            <w:tcW w:w="1455" w:type="dxa"/>
            <w:vMerge/>
            <w:tcBorders>
              <w:top w:val="nil"/>
              <w:left w:val="single" w:sz="4" w:space="0" w:color="auto"/>
              <w:bottom w:val="single" w:sz="4" w:space="0" w:color="auto"/>
              <w:right w:val="single" w:sz="4" w:space="0" w:color="auto"/>
            </w:tcBorders>
            <w:vAlign w:val="center"/>
            <w:hideMark/>
          </w:tcPr>
          <w:p w:rsidR="00F70F63" w:rsidRPr="00E027BC" w:rsidRDefault="00F70F63" w:rsidP="00D93564">
            <w:pPr>
              <w:rPr>
                <w:rFonts w:ascii="Calibri" w:hAnsi="Calibri" w:cs="Calibri"/>
                <w:b/>
                <w:bCs/>
                <w:color w:val="000000"/>
              </w:rPr>
            </w:pPr>
          </w:p>
        </w:tc>
        <w:tc>
          <w:tcPr>
            <w:tcW w:w="1241"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Arial" w:hAnsi="Arial" w:cs="Arial"/>
                <w:b/>
                <w:bCs/>
                <w:sz w:val="20"/>
                <w:szCs w:val="20"/>
              </w:rPr>
            </w:pPr>
            <w:r w:rsidRPr="00E027BC">
              <w:rPr>
                <w:rFonts w:ascii="Arial" w:hAnsi="Arial" w:cs="Arial"/>
                <w:b/>
                <w:bCs/>
                <w:sz w:val="20"/>
                <w:szCs w:val="20"/>
              </w:rPr>
              <w:t>Mean</w:t>
            </w:r>
          </w:p>
        </w:tc>
        <w:tc>
          <w:tcPr>
            <w:tcW w:w="1077"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Arial" w:hAnsi="Arial" w:cs="Arial"/>
                <w:sz w:val="20"/>
                <w:szCs w:val="20"/>
              </w:rPr>
            </w:pPr>
            <w:r w:rsidRPr="00E027BC">
              <w:rPr>
                <w:rFonts w:ascii="Arial" w:hAnsi="Arial" w:cs="Arial"/>
                <w:sz w:val="20"/>
                <w:szCs w:val="20"/>
              </w:rPr>
              <w:t>0.49</w:t>
            </w:r>
          </w:p>
        </w:tc>
        <w:tc>
          <w:tcPr>
            <w:tcW w:w="1109"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Arial" w:hAnsi="Arial" w:cs="Arial"/>
                <w:sz w:val="20"/>
                <w:szCs w:val="20"/>
              </w:rPr>
            </w:pPr>
            <w:r w:rsidRPr="00E027BC">
              <w:rPr>
                <w:rFonts w:ascii="Arial" w:hAnsi="Arial" w:cs="Arial"/>
                <w:sz w:val="20"/>
                <w:szCs w:val="20"/>
              </w:rPr>
              <w:t>16.65</w:t>
            </w:r>
          </w:p>
        </w:tc>
        <w:tc>
          <w:tcPr>
            <w:tcW w:w="1053"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Arial" w:hAnsi="Arial" w:cs="Arial"/>
                <w:sz w:val="20"/>
                <w:szCs w:val="20"/>
              </w:rPr>
            </w:pPr>
            <w:r w:rsidRPr="00E027BC">
              <w:rPr>
                <w:rFonts w:ascii="Arial" w:hAnsi="Arial" w:cs="Arial"/>
                <w:sz w:val="20"/>
                <w:szCs w:val="20"/>
              </w:rPr>
              <w:t>3430.62</w:t>
            </w:r>
          </w:p>
        </w:tc>
        <w:tc>
          <w:tcPr>
            <w:tcW w:w="1053"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5943.77</w:t>
            </w:r>
          </w:p>
        </w:tc>
        <w:tc>
          <w:tcPr>
            <w:tcW w:w="1150"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-2471.28</w:t>
            </w:r>
          </w:p>
        </w:tc>
      </w:tr>
      <w:tr w:rsidR="00F70F63" w:rsidRPr="00E027BC" w:rsidTr="00D93564">
        <w:trPr>
          <w:trHeight w:val="330"/>
        </w:trPr>
        <w:tc>
          <w:tcPr>
            <w:tcW w:w="1455" w:type="dxa"/>
            <w:vMerge/>
            <w:tcBorders>
              <w:top w:val="nil"/>
              <w:left w:val="single" w:sz="4" w:space="0" w:color="auto"/>
              <w:bottom w:val="single" w:sz="4" w:space="0" w:color="auto"/>
              <w:right w:val="single" w:sz="4" w:space="0" w:color="auto"/>
            </w:tcBorders>
            <w:vAlign w:val="center"/>
            <w:hideMark/>
          </w:tcPr>
          <w:p w:rsidR="00F70F63" w:rsidRPr="00E027BC" w:rsidRDefault="00F70F63" w:rsidP="00D93564">
            <w:pPr>
              <w:rPr>
                <w:rFonts w:ascii="Calibri" w:hAnsi="Calibri" w:cs="Calibri"/>
                <w:b/>
                <w:bCs/>
                <w:color w:val="000000"/>
              </w:rPr>
            </w:pPr>
          </w:p>
        </w:tc>
        <w:tc>
          <w:tcPr>
            <w:tcW w:w="1241"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Arial" w:hAnsi="Arial" w:cs="Arial"/>
                <w:b/>
                <w:bCs/>
                <w:sz w:val="20"/>
                <w:szCs w:val="20"/>
              </w:rPr>
            </w:pPr>
            <w:r w:rsidRPr="00E027BC">
              <w:rPr>
                <w:rFonts w:ascii="Arial" w:hAnsi="Arial" w:cs="Arial"/>
                <w:b/>
                <w:bCs/>
                <w:sz w:val="20"/>
                <w:szCs w:val="20"/>
              </w:rPr>
              <w:t>S.D</w:t>
            </w:r>
          </w:p>
        </w:tc>
        <w:tc>
          <w:tcPr>
            <w:tcW w:w="1077"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0.32</w:t>
            </w:r>
          </w:p>
        </w:tc>
        <w:tc>
          <w:tcPr>
            <w:tcW w:w="1109"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3.60</w:t>
            </w:r>
          </w:p>
        </w:tc>
        <w:tc>
          <w:tcPr>
            <w:tcW w:w="1053"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901.12</w:t>
            </w:r>
          </w:p>
        </w:tc>
        <w:tc>
          <w:tcPr>
            <w:tcW w:w="1053"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605.11</w:t>
            </w:r>
          </w:p>
        </w:tc>
        <w:tc>
          <w:tcPr>
            <w:tcW w:w="1150"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534.83</w:t>
            </w:r>
          </w:p>
        </w:tc>
      </w:tr>
      <w:tr w:rsidR="00F70F63" w:rsidRPr="00E027BC" w:rsidTr="00D93564">
        <w:trPr>
          <w:trHeight w:val="330"/>
        </w:trPr>
        <w:tc>
          <w:tcPr>
            <w:tcW w:w="1455" w:type="dxa"/>
            <w:vMerge/>
            <w:tcBorders>
              <w:top w:val="nil"/>
              <w:left w:val="single" w:sz="4" w:space="0" w:color="auto"/>
              <w:bottom w:val="single" w:sz="4" w:space="0" w:color="auto"/>
              <w:right w:val="single" w:sz="4" w:space="0" w:color="auto"/>
            </w:tcBorders>
            <w:vAlign w:val="center"/>
            <w:hideMark/>
          </w:tcPr>
          <w:p w:rsidR="00F70F63" w:rsidRPr="00E027BC" w:rsidRDefault="00F70F63" w:rsidP="00D93564">
            <w:pPr>
              <w:rPr>
                <w:rFonts w:ascii="Calibri" w:hAnsi="Calibri" w:cs="Calibri"/>
                <w:b/>
                <w:bCs/>
                <w:color w:val="000000"/>
              </w:rPr>
            </w:pPr>
          </w:p>
        </w:tc>
        <w:tc>
          <w:tcPr>
            <w:tcW w:w="1241"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Arial" w:hAnsi="Arial" w:cs="Arial"/>
                <w:b/>
                <w:bCs/>
                <w:sz w:val="20"/>
                <w:szCs w:val="20"/>
              </w:rPr>
            </w:pPr>
            <w:r w:rsidRPr="00E027BC">
              <w:rPr>
                <w:rFonts w:ascii="Arial" w:hAnsi="Arial" w:cs="Arial"/>
                <w:b/>
                <w:bCs/>
                <w:sz w:val="20"/>
                <w:szCs w:val="20"/>
              </w:rPr>
              <w:t>C.V</w:t>
            </w:r>
          </w:p>
        </w:tc>
        <w:tc>
          <w:tcPr>
            <w:tcW w:w="1077"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0.65</w:t>
            </w:r>
          </w:p>
        </w:tc>
        <w:tc>
          <w:tcPr>
            <w:tcW w:w="1109"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0.22</w:t>
            </w:r>
          </w:p>
        </w:tc>
        <w:tc>
          <w:tcPr>
            <w:tcW w:w="1053"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0.26</w:t>
            </w:r>
          </w:p>
        </w:tc>
        <w:tc>
          <w:tcPr>
            <w:tcW w:w="1053"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0.10</w:t>
            </w:r>
          </w:p>
        </w:tc>
        <w:tc>
          <w:tcPr>
            <w:tcW w:w="1150"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-0.22</w:t>
            </w:r>
          </w:p>
        </w:tc>
      </w:tr>
      <w:tr w:rsidR="00F70F63" w:rsidRPr="00E027BC" w:rsidTr="00D93564">
        <w:trPr>
          <w:trHeight w:val="330"/>
        </w:trPr>
        <w:tc>
          <w:tcPr>
            <w:tcW w:w="14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b/>
                <w:bCs/>
                <w:color w:val="000000"/>
              </w:rPr>
            </w:pPr>
            <w:r>
              <w:rPr>
                <w:rFonts w:ascii="Calibri" w:hAnsi="Calibri" w:cs="Calibri"/>
                <w:b/>
                <w:bCs/>
                <w:color w:val="000000"/>
              </w:rPr>
              <w:t>1991-</w:t>
            </w:r>
            <w:r w:rsidRPr="00E027BC">
              <w:rPr>
                <w:rFonts w:ascii="Calibri" w:hAnsi="Calibri" w:cs="Calibri"/>
                <w:b/>
                <w:bCs/>
                <w:color w:val="000000"/>
              </w:rPr>
              <w:t>00</w:t>
            </w:r>
          </w:p>
        </w:tc>
        <w:tc>
          <w:tcPr>
            <w:tcW w:w="1241"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Arial" w:hAnsi="Arial" w:cs="Arial"/>
                <w:b/>
                <w:bCs/>
                <w:sz w:val="20"/>
                <w:szCs w:val="20"/>
              </w:rPr>
            </w:pPr>
            <w:r w:rsidRPr="00E027BC">
              <w:rPr>
                <w:rFonts w:ascii="Arial" w:hAnsi="Arial" w:cs="Arial"/>
                <w:b/>
                <w:bCs/>
                <w:sz w:val="20"/>
                <w:szCs w:val="20"/>
              </w:rPr>
              <w:t>Min</w:t>
            </w:r>
          </w:p>
        </w:tc>
        <w:tc>
          <w:tcPr>
            <w:tcW w:w="1077"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0.13</w:t>
            </w:r>
          </w:p>
        </w:tc>
        <w:tc>
          <w:tcPr>
            <w:tcW w:w="1109"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24.87</w:t>
            </w:r>
          </w:p>
        </w:tc>
        <w:tc>
          <w:tcPr>
            <w:tcW w:w="1053"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6167.00</w:t>
            </w:r>
          </w:p>
        </w:tc>
        <w:tc>
          <w:tcPr>
            <w:tcW w:w="1053"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7631.20</w:t>
            </w:r>
          </w:p>
        </w:tc>
        <w:tc>
          <w:tcPr>
            <w:tcW w:w="1150"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-3522.10</w:t>
            </w:r>
          </w:p>
        </w:tc>
      </w:tr>
      <w:tr w:rsidR="00F70F63" w:rsidRPr="00E027BC" w:rsidTr="00D93564">
        <w:trPr>
          <w:trHeight w:val="330"/>
        </w:trPr>
        <w:tc>
          <w:tcPr>
            <w:tcW w:w="1455" w:type="dxa"/>
            <w:vMerge/>
            <w:tcBorders>
              <w:top w:val="nil"/>
              <w:left w:val="single" w:sz="4" w:space="0" w:color="auto"/>
              <w:bottom w:val="single" w:sz="4" w:space="0" w:color="auto"/>
              <w:right w:val="single" w:sz="4" w:space="0" w:color="auto"/>
            </w:tcBorders>
            <w:vAlign w:val="center"/>
            <w:hideMark/>
          </w:tcPr>
          <w:p w:rsidR="00F70F63" w:rsidRPr="00E027BC" w:rsidRDefault="00F70F63" w:rsidP="00D93564">
            <w:pPr>
              <w:rPr>
                <w:rFonts w:ascii="Calibri" w:hAnsi="Calibri" w:cs="Calibri"/>
                <w:b/>
                <w:bCs/>
                <w:color w:val="000000"/>
              </w:rPr>
            </w:pPr>
          </w:p>
        </w:tc>
        <w:tc>
          <w:tcPr>
            <w:tcW w:w="1241"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Arial" w:hAnsi="Arial" w:cs="Arial"/>
                <w:b/>
                <w:bCs/>
                <w:sz w:val="20"/>
                <w:szCs w:val="20"/>
              </w:rPr>
            </w:pPr>
            <w:r w:rsidRPr="00E027BC">
              <w:rPr>
                <w:rFonts w:ascii="Arial" w:hAnsi="Arial" w:cs="Arial"/>
                <w:b/>
                <w:bCs/>
                <w:sz w:val="20"/>
                <w:szCs w:val="20"/>
              </w:rPr>
              <w:t>Max</w:t>
            </w:r>
          </w:p>
        </w:tc>
        <w:tc>
          <w:tcPr>
            <w:tcW w:w="1077"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3.00</w:t>
            </w:r>
          </w:p>
        </w:tc>
        <w:tc>
          <w:tcPr>
            <w:tcW w:w="1109"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59.08</w:t>
            </w:r>
          </w:p>
        </w:tc>
        <w:tc>
          <w:tcPr>
            <w:tcW w:w="1053"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8707.10</w:t>
            </w:r>
          </w:p>
        </w:tc>
        <w:tc>
          <w:tcPr>
            <w:tcW w:w="1053"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11894.20</w:t>
            </w:r>
          </w:p>
        </w:tc>
        <w:tc>
          <w:tcPr>
            <w:tcW w:w="1150"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-1415.70</w:t>
            </w:r>
          </w:p>
        </w:tc>
      </w:tr>
      <w:tr w:rsidR="00F70F63" w:rsidRPr="00E027BC" w:rsidTr="00D93564">
        <w:trPr>
          <w:trHeight w:val="330"/>
        </w:trPr>
        <w:tc>
          <w:tcPr>
            <w:tcW w:w="1455" w:type="dxa"/>
            <w:vMerge/>
            <w:tcBorders>
              <w:top w:val="nil"/>
              <w:left w:val="single" w:sz="4" w:space="0" w:color="auto"/>
              <w:bottom w:val="single" w:sz="4" w:space="0" w:color="auto"/>
              <w:right w:val="single" w:sz="4" w:space="0" w:color="auto"/>
            </w:tcBorders>
            <w:vAlign w:val="center"/>
            <w:hideMark/>
          </w:tcPr>
          <w:p w:rsidR="00F70F63" w:rsidRPr="00E027BC" w:rsidRDefault="00F70F63" w:rsidP="00D93564">
            <w:pPr>
              <w:rPr>
                <w:rFonts w:ascii="Calibri" w:hAnsi="Calibri" w:cs="Calibri"/>
                <w:b/>
                <w:bCs/>
                <w:color w:val="000000"/>
              </w:rPr>
            </w:pPr>
          </w:p>
        </w:tc>
        <w:tc>
          <w:tcPr>
            <w:tcW w:w="1241"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Arial" w:hAnsi="Arial" w:cs="Arial"/>
                <w:b/>
                <w:bCs/>
                <w:sz w:val="20"/>
                <w:szCs w:val="20"/>
              </w:rPr>
            </w:pPr>
            <w:r w:rsidRPr="00E027BC">
              <w:rPr>
                <w:rFonts w:ascii="Arial" w:hAnsi="Arial" w:cs="Arial"/>
                <w:b/>
                <w:bCs/>
                <w:sz w:val="20"/>
                <w:szCs w:val="20"/>
              </w:rPr>
              <w:t>Mean</w:t>
            </w:r>
          </w:p>
        </w:tc>
        <w:tc>
          <w:tcPr>
            <w:tcW w:w="1077"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1.16</w:t>
            </w:r>
          </w:p>
        </w:tc>
        <w:tc>
          <w:tcPr>
            <w:tcW w:w="1109"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38.65</w:t>
            </w:r>
          </w:p>
        </w:tc>
        <w:tc>
          <w:tcPr>
            <w:tcW w:w="1053"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7685.15</w:t>
            </w:r>
          </w:p>
        </w:tc>
        <w:tc>
          <w:tcPr>
            <w:tcW w:w="1053"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9936.19</w:t>
            </w:r>
          </w:p>
        </w:tc>
        <w:tc>
          <w:tcPr>
            <w:tcW w:w="1150"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-2206.76</w:t>
            </w:r>
          </w:p>
        </w:tc>
      </w:tr>
      <w:tr w:rsidR="00F70F63" w:rsidRPr="00E027BC" w:rsidTr="00D93564">
        <w:trPr>
          <w:trHeight w:val="330"/>
        </w:trPr>
        <w:tc>
          <w:tcPr>
            <w:tcW w:w="1455" w:type="dxa"/>
            <w:vMerge/>
            <w:tcBorders>
              <w:top w:val="nil"/>
              <w:left w:val="single" w:sz="4" w:space="0" w:color="auto"/>
              <w:bottom w:val="single" w:sz="4" w:space="0" w:color="auto"/>
              <w:right w:val="single" w:sz="4" w:space="0" w:color="auto"/>
            </w:tcBorders>
            <w:vAlign w:val="center"/>
            <w:hideMark/>
          </w:tcPr>
          <w:p w:rsidR="00F70F63" w:rsidRPr="00E027BC" w:rsidRDefault="00F70F63" w:rsidP="00D93564">
            <w:pPr>
              <w:rPr>
                <w:rFonts w:ascii="Calibri" w:hAnsi="Calibri" w:cs="Calibri"/>
                <w:b/>
                <w:bCs/>
                <w:color w:val="000000"/>
              </w:rPr>
            </w:pPr>
          </w:p>
        </w:tc>
        <w:tc>
          <w:tcPr>
            <w:tcW w:w="1241"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Arial" w:hAnsi="Arial" w:cs="Arial"/>
                <w:b/>
                <w:bCs/>
                <w:sz w:val="20"/>
                <w:szCs w:val="20"/>
              </w:rPr>
            </w:pPr>
            <w:r w:rsidRPr="00E027BC">
              <w:rPr>
                <w:rFonts w:ascii="Arial" w:hAnsi="Arial" w:cs="Arial"/>
                <w:b/>
                <w:bCs/>
                <w:sz w:val="20"/>
                <w:szCs w:val="20"/>
              </w:rPr>
              <w:t>S.D</w:t>
            </w:r>
          </w:p>
        </w:tc>
        <w:tc>
          <w:tcPr>
            <w:tcW w:w="1077"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0.95</w:t>
            </w:r>
          </w:p>
        </w:tc>
        <w:tc>
          <w:tcPr>
            <w:tcW w:w="1109"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10.89</w:t>
            </w:r>
          </w:p>
        </w:tc>
        <w:tc>
          <w:tcPr>
            <w:tcW w:w="1053"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879.93</w:t>
            </w:r>
          </w:p>
        </w:tc>
        <w:tc>
          <w:tcPr>
            <w:tcW w:w="1053"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1250.29</w:t>
            </w:r>
          </w:p>
        </w:tc>
        <w:tc>
          <w:tcPr>
            <w:tcW w:w="1150"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735.31</w:t>
            </w:r>
          </w:p>
        </w:tc>
      </w:tr>
      <w:tr w:rsidR="00F70F63" w:rsidRPr="00E027BC" w:rsidTr="00D93564">
        <w:trPr>
          <w:trHeight w:val="330"/>
        </w:trPr>
        <w:tc>
          <w:tcPr>
            <w:tcW w:w="1455" w:type="dxa"/>
            <w:vMerge/>
            <w:tcBorders>
              <w:top w:val="nil"/>
              <w:left w:val="single" w:sz="4" w:space="0" w:color="auto"/>
              <w:bottom w:val="single" w:sz="4" w:space="0" w:color="auto"/>
              <w:right w:val="single" w:sz="4" w:space="0" w:color="auto"/>
            </w:tcBorders>
            <w:vAlign w:val="center"/>
            <w:hideMark/>
          </w:tcPr>
          <w:p w:rsidR="00F70F63" w:rsidRPr="00E027BC" w:rsidRDefault="00F70F63" w:rsidP="00D93564">
            <w:pPr>
              <w:rPr>
                <w:rFonts w:ascii="Calibri" w:hAnsi="Calibri" w:cs="Calibri"/>
                <w:b/>
                <w:bCs/>
                <w:color w:val="000000"/>
              </w:rPr>
            </w:pPr>
          </w:p>
        </w:tc>
        <w:tc>
          <w:tcPr>
            <w:tcW w:w="1241"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Arial" w:hAnsi="Arial" w:cs="Arial"/>
                <w:b/>
                <w:bCs/>
                <w:sz w:val="20"/>
                <w:szCs w:val="20"/>
              </w:rPr>
            </w:pPr>
            <w:r w:rsidRPr="00E027BC">
              <w:rPr>
                <w:rFonts w:ascii="Arial" w:hAnsi="Arial" w:cs="Arial"/>
                <w:b/>
                <w:bCs/>
                <w:sz w:val="20"/>
                <w:szCs w:val="20"/>
              </w:rPr>
              <w:t>C.V</w:t>
            </w:r>
          </w:p>
        </w:tc>
        <w:tc>
          <w:tcPr>
            <w:tcW w:w="1077"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0.82</w:t>
            </w:r>
          </w:p>
        </w:tc>
        <w:tc>
          <w:tcPr>
            <w:tcW w:w="1109"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0.28</w:t>
            </w:r>
          </w:p>
        </w:tc>
        <w:tc>
          <w:tcPr>
            <w:tcW w:w="1053"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0.11</w:t>
            </w:r>
          </w:p>
        </w:tc>
        <w:tc>
          <w:tcPr>
            <w:tcW w:w="1053"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0.13</w:t>
            </w:r>
          </w:p>
        </w:tc>
        <w:tc>
          <w:tcPr>
            <w:tcW w:w="1150"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-0.33</w:t>
            </w:r>
          </w:p>
        </w:tc>
      </w:tr>
      <w:tr w:rsidR="00F70F63" w:rsidRPr="00E027BC" w:rsidTr="00D93564">
        <w:trPr>
          <w:trHeight w:val="330"/>
        </w:trPr>
        <w:tc>
          <w:tcPr>
            <w:tcW w:w="14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b/>
                <w:bCs/>
                <w:color w:val="000000"/>
              </w:rPr>
            </w:pPr>
            <w:r>
              <w:rPr>
                <w:rFonts w:ascii="Calibri" w:hAnsi="Calibri" w:cs="Calibri"/>
                <w:b/>
                <w:bCs/>
                <w:color w:val="000000"/>
              </w:rPr>
              <w:t>2001-</w:t>
            </w:r>
            <w:r w:rsidRPr="00E027BC">
              <w:rPr>
                <w:rFonts w:ascii="Calibri" w:hAnsi="Calibri" w:cs="Calibri"/>
                <w:b/>
                <w:bCs/>
                <w:color w:val="000000"/>
              </w:rPr>
              <w:t>10</w:t>
            </w:r>
          </w:p>
        </w:tc>
        <w:tc>
          <w:tcPr>
            <w:tcW w:w="1241"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Arial" w:hAnsi="Arial" w:cs="Arial"/>
                <w:b/>
                <w:bCs/>
                <w:sz w:val="20"/>
                <w:szCs w:val="20"/>
              </w:rPr>
            </w:pPr>
            <w:r w:rsidRPr="00E027BC">
              <w:rPr>
                <w:rFonts w:ascii="Arial" w:hAnsi="Arial" w:cs="Arial"/>
                <w:b/>
                <w:bCs/>
                <w:sz w:val="20"/>
                <w:szCs w:val="20"/>
              </w:rPr>
              <w:t>Min</w:t>
            </w:r>
          </w:p>
        </w:tc>
        <w:tc>
          <w:tcPr>
            <w:tcW w:w="1077"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0.16</w:t>
            </w:r>
          </w:p>
        </w:tc>
        <w:tc>
          <w:tcPr>
            <w:tcW w:w="1109"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57.59</w:t>
            </w:r>
          </w:p>
        </w:tc>
        <w:tc>
          <w:tcPr>
            <w:tcW w:w="1053"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9134.60</w:t>
            </w:r>
          </w:p>
        </w:tc>
        <w:tc>
          <w:tcPr>
            <w:tcW w:w="1053"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10339.50</w:t>
            </w:r>
          </w:p>
        </w:tc>
        <w:tc>
          <w:tcPr>
            <w:tcW w:w="1150"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-20196.70</w:t>
            </w:r>
          </w:p>
        </w:tc>
      </w:tr>
      <w:tr w:rsidR="00F70F63" w:rsidRPr="00E027BC" w:rsidTr="00D93564">
        <w:trPr>
          <w:trHeight w:val="330"/>
        </w:trPr>
        <w:tc>
          <w:tcPr>
            <w:tcW w:w="1455" w:type="dxa"/>
            <w:vMerge/>
            <w:tcBorders>
              <w:top w:val="nil"/>
              <w:left w:val="single" w:sz="4" w:space="0" w:color="auto"/>
              <w:bottom w:val="single" w:sz="4" w:space="0" w:color="auto"/>
              <w:right w:val="single" w:sz="4" w:space="0" w:color="auto"/>
            </w:tcBorders>
            <w:vAlign w:val="center"/>
            <w:hideMark/>
          </w:tcPr>
          <w:p w:rsidR="00F70F63" w:rsidRPr="00E027BC" w:rsidRDefault="00F70F63" w:rsidP="00D93564">
            <w:pPr>
              <w:rPr>
                <w:rFonts w:ascii="Calibri" w:hAnsi="Calibri" w:cs="Calibri"/>
                <w:b/>
                <w:bCs/>
                <w:color w:val="000000"/>
              </w:rPr>
            </w:pPr>
          </w:p>
        </w:tc>
        <w:tc>
          <w:tcPr>
            <w:tcW w:w="1241"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Arial" w:hAnsi="Arial" w:cs="Arial"/>
                <w:b/>
                <w:bCs/>
                <w:sz w:val="20"/>
                <w:szCs w:val="20"/>
              </w:rPr>
            </w:pPr>
            <w:r w:rsidRPr="00E027BC">
              <w:rPr>
                <w:rFonts w:ascii="Arial" w:hAnsi="Arial" w:cs="Arial"/>
                <w:b/>
                <w:bCs/>
                <w:sz w:val="20"/>
                <w:szCs w:val="20"/>
              </w:rPr>
              <w:t>Max</w:t>
            </w:r>
          </w:p>
        </w:tc>
        <w:tc>
          <w:tcPr>
            <w:tcW w:w="1077"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2.69</w:t>
            </w:r>
          </w:p>
        </w:tc>
        <w:tc>
          <w:tcPr>
            <w:tcW w:w="1109"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85.61</w:t>
            </w:r>
          </w:p>
        </w:tc>
        <w:tc>
          <w:tcPr>
            <w:tcW w:w="1053"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19290.00</w:t>
            </w:r>
          </w:p>
        </w:tc>
        <w:tc>
          <w:tcPr>
            <w:tcW w:w="1053"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39965.50</w:t>
            </w:r>
          </w:p>
        </w:tc>
        <w:tc>
          <w:tcPr>
            <w:tcW w:w="1150"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-1015.50</w:t>
            </w:r>
          </w:p>
        </w:tc>
      </w:tr>
      <w:tr w:rsidR="00F70F63" w:rsidRPr="00E027BC" w:rsidTr="00D93564">
        <w:trPr>
          <w:trHeight w:val="330"/>
        </w:trPr>
        <w:tc>
          <w:tcPr>
            <w:tcW w:w="1455" w:type="dxa"/>
            <w:vMerge/>
            <w:tcBorders>
              <w:top w:val="nil"/>
              <w:left w:val="single" w:sz="4" w:space="0" w:color="auto"/>
              <w:bottom w:val="single" w:sz="4" w:space="0" w:color="auto"/>
              <w:right w:val="single" w:sz="4" w:space="0" w:color="auto"/>
            </w:tcBorders>
            <w:vAlign w:val="center"/>
            <w:hideMark/>
          </w:tcPr>
          <w:p w:rsidR="00F70F63" w:rsidRPr="00E027BC" w:rsidRDefault="00F70F63" w:rsidP="00D93564">
            <w:pPr>
              <w:rPr>
                <w:rFonts w:ascii="Calibri" w:hAnsi="Calibri" w:cs="Calibri"/>
                <w:b/>
                <w:bCs/>
                <w:color w:val="000000"/>
              </w:rPr>
            </w:pPr>
          </w:p>
        </w:tc>
        <w:tc>
          <w:tcPr>
            <w:tcW w:w="1241"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Arial" w:hAnsi="Arial" w:cs="Arial"/>
                <w:b/>
                <w:bCs/>
                <w:sz w:val="20"/>
                <w:szCs w:val="20"/>
              </w:rPr>
            </w:pPr>
            <w:r w:rsidRPr="00E027BC">
              <w:rPr>
                <w:rFonts w:ascii="Arial" w:hAnsi="Arial" w:cs="Arial"/>
                <w:b/>
                <w:bCs/>
                <w:sz w:val="20"/>
                <w:szCs w:val="20"/>
              </w:rPr>
              <w:t>Mean</w:t>
            </w:r>
          </w:p>
        </w:tc>
        <w:tc>
          <w:tcPr>
            <w:tcW w:w="1077"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0.98</w:t>
            </w:r>
          </w:p>
        </w:tc>
        <w:tc>
          <w:tcPr>
            <w:tcW w:w="1109"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66.84</w:t>
            </w:r>
          </w:p>
        </w:tc>
        <w:tc>
          <w:tcPr>
            <w:tcW w:w="1053"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14565.85</w:t>
            </w:r>
          </w:p>
        </w:tc>
        <w:tc>
          <w:tcPr>
            <w:tcW w:w="1053"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23809.68</w:t>
            </w:r>
          </w:p>
        </w:tc>
        <w:tc>
          <w:tcPr>
            <w:tcW w:w="1150"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-9036.57</w:t>
            </w:r>
          </w:p>
        </w:tc>
      </w:tr>
      <w:tr w:rsidR="00F70F63" w:rsidRPr="00E027BC" w:rsidTr="00D93564">
        <w:trPr>
          <w:trHeight w:val="330"/>
        </w:trPr>
        <w:tc>
          <w:tcPr>
            <w:tcW w:w="1455" w:type="dxa"/>
            <w:vMerge/>
            <w:tcBorders>
              <w:top w:val="nil"/>
              <w:left w:val="single" w:sz="4" w:space="0" w:color="auto"/>
              <w:bottom w:val="single" w:sz="4" w:space="0" w:color="auto"/>
              <w:right w:val="single" w:sz="4" w:space="0" w:color="auto"/>
            </w:tcBorders>
            <w:vAlign w:val="center"/>
            <w:hideMark/>
          </w:tcPr>
          <w:p w:rsidR="00F70F63" w:rsidRPr="00E027BC" w:rsidRDefault="00F70F63" w:rsidP="00D93564">
            <w:pPr>
              <w:rPr>
                <w:rFonts w:ascii="Calibri" w:hAnsi="Calibri" w:cs="Calibri"/>
                <w:b/>
                <w:bCs/>
                <w:color w:val="000000"/>
              </w:rPr>
            </w:pPr>
          </w:p>
        </w:tc>
        <w:tc>
          <w:tcPr>
            <w:tcW w:w="1241"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Arial" w:hAnsi="Arial" w:cs="Arial"/>
                <w:b/>
                <w:bCs/>
                <w:sz w:val="20"/>
                <w:szCs w:val="20"/>
              </w:rPr>
            </w:pPr>
            <w:r w:rsidRPr="00E027BC">
              <w:rPr>
                <w:rFonts w:ascii="Arial" w:hAnsi="Arial" w:cs="Arial"/>
                <w:b/>
                <w:bCs/>
                <w:sz w:val="20"/>
                <w:szCs w:val="20"/>
              </w:rPr>
              <w:t>S.D</w:t>
            </w:r>
          </w:p>
        </w:tc>
        <w:tc>
          <w:tcPr>
            <w:tcW w:w="1077"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0.89</w:t>
            </w:r>
          </w:p>
        </w:tc>
        <w:tc>
          <w:tcPr>
            <w:tcW w:w="1109"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10.67</w:t>
            </w:r>
          </w:p>
        </w:tc>
        <w:tc>
          <w:tcPr>
            <w:tcW w:w="1053"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3695.06</w:t>
            </w:r>
          </w:p>
        </w:tc>
        <w:tc>
          <w:tcPr>
            <w:tcW w:w="1053"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10648.35</w:t>
            </w:r>
          </w:p>
        </w:tc>
        <w:tc>
          <w:tcPr>
            <w:tcW w:w="1150"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6939.42</w:t>
            </w:r>
          </w:p>
        </w:tc>
      </w:tr>
      <w:tr w:rsidR="00F70F63" w:rsidRPr="00E027BC" w:rsidTr="00D93564">
        <w:trPr>
          <w:trHeight w:val="330"/>
        </w:trPr>
        <w:tc>
          <w:tcPr>
            <w:tcW w:w="1455" w:type="dxa"/>
            <w:vMerge/>
            <w:tcBorders>
              <w:top w:val="nil"/>
              <w:left w:val="single" w:sz="4" w:space="0" w:color="auto"/>
              <w:bottom w:val="single" w:sz="4" w:space="0" w:color="auto"/>
              <w:right w:val="single" w:sz="4" w:space="0" w:color="auto"/>
            </w:tcBorders>
            <w:vAlign w:val="center"/>
            <w:hideMark/>
          </w:tcPr>
          <w:p w:rsidR="00F70F63" w:rsidRPr="00E027BC" w:rsidRDefault="00F70F63" w:rsidP="00D93564">
            <w:pPr>
              <w:rPr>
                <w:rFonts w:ascii="Calibri" w:hAnsi="Calibri" w:cs="Calibri"/>
                <w:b/>
                <w:bCs/>
                <w:color w:val="000000"/>
              </w:rPr>
            </w:pPr>
          </w:p>
        </w:tc>
        <w:tc>
          <w:tcPr>
            <w:tcW w:w="1241"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Arial" w:hAnsi="Arial" w:cs="Arial"/>
                <w:b/>
                <w:bCs/>
                <w:sz w:val="20"/>
                <w:szCs w:val="20"/>
              </w:rPr>
            </w:pPr>
            <w:r w:rsidRPr="00E027BC">
              <w:rPr>
                <w:rFonts w:ascii="Arial" w:hAnsi="Arial" w:cs="Arial"/>
                <w:b/>
                <w:bCs/>
                <w:sz w:val="20"/>
                <w:szCs w:val="20"/>
              </w:rPr>
              <w:t>C.V</w:t>
            </w:r>
          </w:p>
        </w:tc>
        <w:tc>
          <w:tcPr>
            <w:tcW w:w="1077"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0.90</w:t>
            </w:r>
          </w:p>
        </w:tc>
        <w:tc>
          <w:tcPr>
            <w:tcW w:w="1109"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0.16</w:t>
            </w:r>
          </w:p>
        </w:tc>
        <w:tc>
          <w:tcPr>
            <w:tcW w:w="1053"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0.25</w:t>
            </w:r>
          </w:p>
        </w:tc>
        <w:tc>
          <w:tcPr>
            <w:tcW w:w="1053"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0.45</w:t>
            </w:r>
          </w:p>
        </w:tc>
        <w:tc>
          <w:tcPr>
            <w:tcW w:w="1150" w:type="dxa"/>
            <w:tcBorders>
              <w:top w:val="nil"/>
              <w:left w:val="nil"/>
              <w:bottom w:val="single" w:sz="4" w:space="0" w:color="auto"/>
              <w:right w:val="single" w:sz="4" w:space="0" w:color="auto"/>
            </w:tcBorders>
            <w:shd w:val="clear" w:color="auto" w:fill="auto"/>
            <w:noWrap/>
            <w:vAlign w:val="center"/>
            <w:hideMark/>
          </w:tcPr>
          <w:p w:rsidR="00F70F63" w:rsidRPr="00E027BC" w:rsidRDefault="00F70F63" w:rsidP="00D93564">
            <w:pPr>
              <w:jc w:val="center"/>
              <w:rPr>
                <w:rFonts w:ascii="Calibri" w:hAnsi="Calibri" w:cs="Calibri"/>
                <w:color w:val="000000"/>
              </w:rPr>
            </w:pPr>
            <w:r w:rsidRPr="00E027BC">
              <w:rPr>
                <w:rFonts w:ascii="Calibri" w:hAnsi="Calibri" w:cs="Calibri"/>
                <w:color w:val="000000"/>
              </w:rPr>
              <w:t>-0.77</w:t>
            </w:r>
          </w:p>
        </w:tc>
      </w:tr>
    </w:tbl>
    <w:p w:rsidR="00F70F63" w:rsidRDefault="00F70F63" w:rsidP="00F70F63">
      <w:pPr>
        <w:autoSpaceDE w:val="0"/>
        <w:autoSpaceDN w:val="0"/>
        <w:adjustRightInd w:val="0"/>
        <w:jc w:val="both"/>
        <w:rPr>
          <w:rFonts w:ascii="TimesNewRomanPSMT" w:eastAsiaTheme="minorEastAsia" w:hAnsi="TimesNewRomanPSMT" w:cs="TimesNewRomanPSMT" w:hint="eastAsia"/>
          <w:sz w:val="20"/>
          <w:szCs w:val="20"/>
          <w:lang w:eastAsia="zh-CN"/>
        </w:rPr>
      </w:pPr>
    </w:p>
    <w:p w:rsidR="00AE16B4" w:rsidRPr="00AE16B4" w:rsidRDefault="00AE16B4" w:rsidP="00F70F63">
      <w:pPr>
        <w:autoSpaceDE w:val="0"/>
        <w:autoSpaceDN w:val="0"/>
        <w:adjustRightInd w:val="0"/>
        <w:jc w:val="both"/>
        <w:rPr>
          <w:rFonts w:ascii="TimesNewRomanPSMT" w:eastAsiaTheme="minorEastAsia" w:hAnsi="TimesNewRomanPSMT" w:cs="TimesNewRomanPSMT" w:hint="eastAsia"/>
          <w:sz w:val="20"/>
          <w:szCs w:val="20"/>
          <w:lang w:eastAsia="zh-CN"/>
        </w:rPr>
      </w:pPr>
    </w:p>
    <w:p w:rsidR="00F70F63" w:rsidRDefault="00F70F63" w:rsidP="00F70F63">
      <w:pPr>
        <w:autoSpaceDE w:val="0"/>
        <w:autoSpaceDN w:val="0"/>
        <w:adjustRightInd w:val="0"/>
        <w:jc w:val="both"/>
        <w:rPr>
          <w:rFonts w:ascii="TimesNewRomanPSMT" w:hAnsi="TimesNewRomanPSMT" w:cs="TimesNewRomanPSMT"/>
          <w:b/>
          <w:sz w:val="20"/>
          <w:szCs w:val="20"/>
        </w:rPr>
      </w:pPr>
      <w:r>
        <w:rPr>
          <w:rFonts w:ascii="TimesNewRomanPSMT" w:hAnsi="TimesNewRomanPSMT" w:cs="TimesNewRomanPSMT"/>
          <w:b/>
          <w:sz w:val="20"/>
          <w:szCs w:val="20"/>
        </w:rPr>
        <w:lastRenderedPageBreak/>
        <w:t>Graphical Explanation:</w:t>
      </w:r>
    </w:p>
    <w:p w:rsidR="00F70F63" w:rsidRDefault="00F70F63" w:rsidP="00F70F63">
      <w:pPr>
        <w:autoSpaceDE w:val="0"/>
        <w:autoSpaceDN w:val="0"/>
        <w:adjustRightInd w:val="0"/>
        <w:jc w:val="both"/>
        <w:rPr>
          <w:rFonts w:ascii="TimesNewRomanPSMT" w:hAnsi="TimesNewRomanPSMT" w:cs="TimesNewRomanPSMT"/>
          <w:b/>
          <w:i/>
          <w:sz w:val="20"/>
          <w:szCs w:val="20"/>
        </w:rPr>
      </w:pPr>
    </w:p>
    <w:p w:rsidR="00F70F63" w:rsidRDefault="00F70F63" w:rsidP="00F70F63">
      <w:pPr>
        <w:autoSpaceDE w:val="0"/>
        <w:autoSpaceDN w:val="0"/>
        <w:adjustRightInd w:val="0"/>
        <w:jc w:val="both"/>
        <w:rPr>
          <w:rFonts w:ascii="TimesNewRomanPSMT" w:hAnsi="TimesNewRomanPSMT" w:cs="TimesNewRomanPSMT"/>
          <w:b/>
          <w:i/>
          <w:sz w:val="20"/>
          <w:szCs w:val="20"/>
        </w:rPr>
      </w:pPr>
    </w:p>
    <w:p w:rsidR="00F70F63" w:rsidRPr="00A63B41" w:rsidRDefault="00F70F63" w:rsidP="00F70F63">
      <w:pPr>
        <w:autoSpaceDE w:val="0"/>
        <w:autoSpaceDN w:val="0"/>
        <w:adjustRightInd w:val="0"/>
        <w:jc w:val="both"/>
        <w:rPr>
          <w:rFonts w:ascii="TimesNewRomanPSMT" w:hAnsi="TimesNewRomanPSMT" w:cs="TimesNewRomanPSMT"/>
          <w:b/>
          <w:i/>
          <w:sz w:val="20"/>
          <w:szCs w:val="20"/>
        </w:rPr>
      </w:pPr>
      <w:r>
        <w:rPr>
          <w:rFonts w:ascii="TimesNewRomanPSMT" w:hAnsi="TimesNewRomanPSMT" w:cs="TimesNewRomanPSMT"/>
          <w:b/>
          <w:i/>
          <w:sz w:val="20"/>
          <w:szCs w:val="20"/>
        </w:rPr>
        <w:t>Graph-I</w:t>
      </w:r>
    </w:p>
    <w:p w:rsidR="00F70F63" w:rsidRDefault="00F70F63" w:rsidP="00F70F63">
      <w:pPr>
        <w:autoSpaceDE w:val="0"/>
        <w:autoSpaceDN w:val="0"/>
        <w:adjustRightInd w:val="0"/>
        <w:jc w:val="both"/>
        <w:rPr>
          <w:rFonts w:ascii="TimesNewRomanPSMT" w:hAnsi="TimesNewRomanPSMT" w:cs="TimesNewRomanPSMT"/>
          <w:b/>
          <w:sz w:val="20"/>
          <w:szCs w:val="20"/>
        </w:rPr>
      </w:pPr>
      <w:bookmarkStart w:id="0" w:name="_GoBack"/>
      <w:bookmarkEnd w:id="0"/>
    </w:p>
    <w:p w:rsidR="00F70F63" w:rsidRDefault="00F70F63" w:rsidP="00F70F63">
      <w:pPr>
        <w:autoSpaceDE w:val="0"/>
        <w:autoSpaceDN w:val="0"/>
        <w:adjustRightInd w:val="0"/>
        <w:jc w:val="both"/>
        <w:rPr>
          <w:rFonts w:ascii="TimesNewRomanPSMT" w:hAnsi="TimesNewRomanPSMT" w:cs="TimesNewRomanPSMT"/>
          <w:b/>
          <w:sz w:val="20"/>
          <w:szCs w:val="20"/>
        </w:rPr>
      </w:pPr>
      <w:r w:rsidRPr="00797266">
        <w:rPr>
          <w:noProof/>
          <w:lang w:val="en-US" w:eastAsia="zh-CN"/>
        </w:rPr>
        <w:drawing>
          <wp:inline distT="0" distB="0" distL="0" distR="0">
            <wp:extent cx="4568825" cy="2740025"/>
            <wp:effectExtent l="0" t="0" r="3175" b="3175"/>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70F63" w:rsidRDefault="00F70F63" w:rsidP="00F70F63">
      <w:pPr>
        <w:autoSpaceDE w:val="0"/>
        <w:autoSpaceDN w:val="0"/>
        <w:adjustRightInd w:val="0"/>
        <w:jc w:val="both"/>
        <w:rPr>
          <w:rFonts w:ascii="TimesNewRomanPSMT" w:hAnsi="TimesNewRomanPSMT" w:cs="TimesNewRomanPSMT"/>
          <w:b/>
          <w:sz w:val="20"/>
          <w:szCs w:val="20"/>
        </w:rPr>
      </w:pPr>
    </w:p>
    <w:p w:rsidR="00F70F63" w:rsidRDefault="00F70F63" w:rsidP="00F70F63">
      <w:pPr>
        <w:autoSpaceDE w:val="0"/>
        <w:autoSpaceDN w:val="0"/>
        <w:adjustRightInd w:val="0"/>
        <w:jc w:val="both"/>
        <w:rPr>
          <w:rFonts w:ascii="TimesNewRomanPSMT" w:hAnsi="TimesNewRomanPSMT" w:cs="TimesNewRomanPSMT"/>
          <w:b/>
          <w:sz w:val="20"/>
          <w:szCs w:val="20"/>
        </w:rPr>
      </w:pPr>
    </w:p>
    <w:p w:rsidR="00F70F63" w:rsidRDefault="00F70F63" w:rsidP="00F70F63">
      <w:pPr>
        <w:autoSpaceDE w:val="0"/>
        <w:autoSpaceDN w:val="0"/>
        <w:adjustRightInd w:val="0"/>
        <w:jc w:val="both"/>
        <w:rPr>
          <w:rFonts w:ascii="TimesNewRomanPSMT" w:hAnsi="TimesNewRomanPSMT" w:cs="TimesNewRomanPSMT"/>
          <w:b/>
          <w:sz w:val="20"/>
          <w:szCs w:val="20"/>
        </w:rPr>
      </w:pPr>
    </w:p>
    <w:p w:rsidR="00F70F63" w:rsidRPr="000376A0" w:rsidRDefault="00F70F63" w:rsidP="00F70F63">
      <w:pPr>
        <w:autoSpaceDE w:val="0"/>
        <w:autoSpaceDN w:val="0"/>
        <w:adjustRightInd w:val="0"/>
        <w:jc w:val="both"/>
        <w:rPr>
          <w:rFonts w:ascii="TimesNewRomanPSMT" w:hAnsi="TimesNewRomanPSMT" w:cs="TimesNewRomanPSMT"/>
          <w:b/>
          <w:i/>
          <w:sz w:val="20"/>
          <w:szCs w:val="20"/>
        </w:rPr>
      </w:pPr>
      <w:r>
        <w:rPr>
          <w:rFonts w:ascii="TimesNewRomanPSMT" w:hAnsi="TimesNewRomanPSMT" w:cs="TimesNewRomanPSMT"/>
          <w:b/>
          <w:i/>
          <w:sz w:val="20"/>
          <w:szCs w:val="20"/>
        </w:rPr>
        <w:t>Graph-II</w:t>
      </w:r>
    </w:p>
    <w:p w:rsidR="00F70F63" w:rsidRDefault="00F70F63" w:rsidP="00F70F63">
      <w:pPr>
        <w:autoSpaceDE w:val="0"/>
        <w:autoSpaceDN w:val="0"/>
        <w:adjustRightInd w:val="0"/>
        <w:jc w:val="both"/>
        <w:rPr>
          <w:rFonts w:ascii="TimesNewRomanPSMT" w:hAnsi="TimesNewRomanPSMT" w:cs="TimesNewRomanPSMT"/>
          <w:b/>
          <w:sz w:val="20"/>
          <w:szCs w:val="20"/>
        </w:rPr>
      </w:pPr>
    </w:p>
    <w:p w:rsidR="00F70F63" w:rsidRDefault="00F70F63" w:rsidP="00F70F63">
      <w:pPr>
        <w:autoSpaceDE w:val="0"/>
        <w:autoSpaceDN w:val="0"/>
        <w:adjustRightInd w:val="0"/>
        <w:jc w:val="both"/>
        <w:rPr>
          <w:rFonts w:ascii="TimesNewRomanPSMT" w:hAnsi="TimesNewRomanPSMT" w:cs="TimesNewRomanPSMT"/>
          <w:b/>
          <w:sz w:val="20"/>
          <w:szCs w:val="20"/>
        </w:rPr>
      </w:pPr>
      <w:r w:rsidRPr="00797266">
        <w:rPr>
          <w:noProof/>
          <w:lang w:val="en-US" w:eastAsia="zh-CN"/>
        </w:rPr>
        <w:drawing>
          <wp:inline distT="0" distB="0" distL="0" distR="0">
            <wp:extent cx="4568825" cy="2740025"/>
            <wp:effectExtent l="0" t="0" r="3175" b="3175"/>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70F63" w:rsidRDefault="00F70F63" w:rsidP="00F70F63">
      <w:pPr>
        <w:autoSpaceDE w:val="0"/>
        <w:autoSpaceDN w:val="0"/>
        <w:adjustRightInd w:val="0"/>
        <w:jc w:val="both"/>
        <w:rPr>
          <w:rFonts w:ascii="TimesNewRomanPSMT" w:hAnsi="TimesNewRomanPSMT" w:cs="TimesNewRomanPSMT"/>
          <w:b/>
          <w:sz w:val="20"/>
          <w:szCs w:val="20"/>
        </w:rPr>
      </w:pPr>
    </w:p>
    <w:p w:rsidR="00F70F63" w:rsidRDefault="00F70F63" w:rsidP="00F70F63">
      <w:pPr>
        <w:autoSpaceDE w:val="0"/>
        <w:autoSpaceDN w:val="0"/>
        <w:adjustRightInd w:val="0"/>
        <w:jc w:val="both"/>
        <w:rPr>
          <w:rFonts w:ascii="TimesNewRomanPSMT" w:hAnsi="TimesNewRomanPSMT" w:cs="TimesNewRomanPSMT"/>
          <w:b/>
          <w:sz w:val="20"/>
          <w:szCs w:val="20"/>
        </w:rPr>
      </w:pPr>
    </w:p>
    <w:p w:rsidR="00F70F63" w:rsidRDefault="00F70F63" w:rsidP="00F70F63">
      <w:pPr>
        <w:autoSpaceDE w:val="0"/>
        <w:autoSpaceDN w:val="0"/>
        <w:adjustRightInd w:val="0"/>
        <w:jc w:val="both"/>
        <w:rPr>
          <w:rFonts w:ascii="TimesNewRomanPSMT" w:hAnsi="TimesNewRomanPSMT" w:cs="TimesNewRomanPSMT"/>
          <w:b/>
          <w:i/>
          <w:sz w:val="20"/>
          <w:szCs w:val="20"/>
        </w:rPr>
      </w:pPr>
    </w:p>
    <w:p w:rsidR="00F70F63" w:rsidRDefault="00F70F63" w:rsidP="00F70F63">
      <w:pPr>
        <w:autoSpaceDE w:val="0"/>
        <w:autoSpaceDN w:val="0"/>
        <w:adjustRightInd w:val="0"/>
        <w:jc w:val="both"/>
        <w:rPr>
          <w:rFonts w:ascii="TimesNewRomanPSMT" w:eastAsiaTheme="minorEastAsia" w:hAnsi="TimesNewRomanPSMT" w:cs="TimesNewRomanPSMT" w:hint="eastAsia"/>
          <w:b/>
          <w:i/>
          <w:sz w:val="20"/>
          <w:szCs w:val="20"/>
          <w:lang w:eastAsia="zh-CN"/>
        </w:rPr>
      </w:pPr>
    </w:p>
    <w:p w:rsidR="00AE16B4" w:rsidRDefault="00AE16B4" w:rsidP="00F70F63">
      <w:pPr>
        <w:autoSpaceDE w:val="0"/>
        <w:autoSpaceDN w:val="0"/>
        <w:adjustRightInd w:val="0"/>
        <w:jc w:val="both"/>
        <w:rPr>
          <w:rFonts w:ascii="TimesNewRomanPSMT" w:eastAsiaTheme="minorEastAsia" w:hAnsi="TimesNewRomanPSMT" w:cs="TimesNewRomanPSMT" w:hint="eastAsia"/>
          <w:b/>
          <w:i/>
          <w:sz w:val="20"/>
          <w:szCs w:val="20"/>
          <w:lang w:eastAsia="zh-CN"/>
        </w:rPr>
      </w:pPr>
    </w:p>
    <w:p w:rsidR="00AE16B4" w:rsidRDefault="00AE16B4" w:rsidP="00F70F63">
      <w:pPr>
        <w:autoSpaceDE w:val="0"/>
        <w:autoSpaceDN w:val="0"/>
        <w:adjustRightInd w:val="0"/>
        <w:jc w:val="both"/>
        <w:rPr>
          <w:rFonts w:ascii="TimesNewRomanPSMT" w:eastAsiaTheme="minorEastAsia" w:hAnsi="TimesNewRomanPSMT" w:cs="TimesNewRomanPSMT" w:hint="eastAsia"/>
          <w:b/>
          <w:i/>
          <w:sz w:val="20"/>
          <w:szCs w:val="20"/>
          <w:lang w:eastAsia="zh-CN"/>
        </w:rPr>
      </w:pPr>
    </w:p>
    <w:p w:rsidR="00AE16B4" w:rsidRPr="00AE16B4" w:rsidRDefault="00AE16B4" w:rsidP="00F70F63">
      <w:pPr>
        <w:autoSpaceDE w:val="0"/>
        <w:autoSpaceDN w:val="0"/>
        <w:adjustRightInd w:val="0"/>
        <w:jc w:val="both"/>
        <w:rPr>
          <w:rFonts w:ascii="TimesNewRomanPSMT" w:eastAsiaTheme="minorEastAsia" w:hAnsi="TimesNewRomanPSMT" w:cs="TimesNewRomanPSMT" w:hint="eastAsia"/>
          <w:b/>
          <w:i/>
          <w:sz w:val="20"/>
          <w:szCs w:val="20"/>
          <w:lang w:eastAsia="zh-CN"/>
        </w:rPr>
      </w:pPr>
    </w:p>
    <w:p w:rsidR="00F70F63" w:rsidRDefault="00F70F63" w:rsidP="00F70F63">
      <w:pPr>
        <w:autoSpaceDE w:val="0"/>
        <w:autoSpaceDN w:val="0"/>
        <w:adjustRightInd w:val="0"/>
        <w:jc w:val="both"/>
        <w:rPr>
          <w:rFonts w:ascii="TimesNewRomanPSMT" w:hAnsi="TimesNewRomanPSMT" w:cs="TimesNewRomanPSMT"/>
          <w:b/>
          <w:i/>
          <w:sz w:val="20"/>
          <w:szCs w:val="20"/>
        </w:rPr>
      </w:pPr>
    </w:p>
    <w:p w:rsidR="00F70F63" w:rsidRPr="00F329BB" w:rsidRDefault="00F70F63" w:rsidP="00F70F63">
      <w:pPr>
        <w:autoSpaceDE w:val="0"/>
        <w:autoSpaceDN w:val="0"/>
        <w:adjustRightInd w:val="0"/>
        <w:jc w:val="both"/>
        <w:rPr>
          <w:rFonts w:ascii="TimesNewRomanPSMT" w:hAnsi="TimesNewRomanPSMT" w:cs="TimesNewRomanPSMT"/>
          <w:b/>
          <w:i/>
          <w:sz w:val="20"/>
          <w:szCs w:val="20"/>
        </w:rPr>
      </w:pPr>
      <w:r>
        <w:rPr>
          <w:rFonts w:ascii="TimesNewRomanPSMT" w:hAnsi="TimesNewRomanPSMT" w:cs="TimesNewRomanPSMT"/>
          <w:b/>
          <w:i/>
          <w:sz w:val="20"/>
          <w:szCs w:val="20"/>
        </w:rPr>
        <w:lastRenderedPageBreak/>
        <w:t>Graph-III</w:t>
      </w:r>
    </w:p>
    <w:p w:rsidR="00F70F63" w:rsidRDefault="00F70F63" w:rsidP="00F70F63">
      <w:pPr>
        <w:autoSpaceDE w:val="0"/>
        <w:autoSpaceDN w:val="0"/>
        <w:adjustRightInd w:val="0"/>
        <w:jc w:val="both"/>
        <w:rPr>
          <w:rFonts w:ascii="TimesNewRomanPSMT" w:hAnsi="TimesNewRomanPSMT" w:cs="TimesNewRomanPSMT"/>
          <w:b/>
          <w:sz w:val="20"/>
          <w:szCs w:val="20"/>
        </w:rPr>
      </w:pPr>
    </w:p>
    <w:p w:rsidR="00F70F63" w:rsidRDefault="00F70F63" w:rsidP="00F70F63">
      <w:pPr>
        <w:autoSpaceDE w:val="0"/>
        <w:autoSpaceDN w:val="0"/>
        <w:adjustRightInd w:val="0"/>
        <w:jc w:val="both"/>
        <w:rPr>
          <w:rFonts w:ascii="TimesNewRomanPSMT" w:hAnsi="TimesNewRomanPSMT" w:cs="TimesNewRomanPSMT"/>
          <w:b/>
          <w:sz w:val="20"/>
          <w:szCs w:val="20"/>
        </w:rPr>
      </w:pPr>
      <w:r w:rsidRPr="00797266">
        <w:rPr>
          <w:noProof/>
          <w:lang w:val="en-US" w:eastAsia="zh-CN"/>
        </w:rPr>
        <w:drawing>
          <wp:inline distT="0" distB="0" distL="0" distR="0">
            <wp:extent cx="4568825" cy="2740025"/>
            <wp:effectExtent l="0" t="0" r="3175" b="317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70F63" w:rsidRDefault="00F70F63" w:rsidP="00F70F63">
      <w:pPr>
        <w:autoSpaceDE w:val="0"/>
        <w:autoSpaceDN w:val="0"/>
        <w:adjustRightInd w:val="0"/>
        <w:jc w:val="both"/>
        <w:rPr>
          <w:rFonts w:ascii="TimesNewRomanPSMT" w:hAnsi="TimesNewRomanPSMT" w:cs="TimesNewRomanPSMT"/>
          <w:sz w:val="20"/>
          <w:szCs w:val="20"/>
        </w:rPr>
      </w:pPr>
    </w:p>
    <w:p w:rsidR="00F70F63" w:rsidRDefault="00F70F63" w:rsidP="00F70F63">
      <w:pPr>
        <w:autoSpaceDE w:val="0"/>
        <w:autoSpaceDN w:val="0"/>
        <w:adjustRightInd w:val="0"/>
        <w:jc w:val="both"/>
        <w:rPr>
          <w:rFonts w:ascii="TimesNewRomanPSMT" w:hAnsi="TimesNewRomanPSMT" w:cs="TimesNewRomanPSMT"/>
          <w:b/>
          <w:i/>
          <w:sz w:val="20"/>
          <w:szCs w:val="20"/>
        </w:rPr>
      </w:pPr>
    </w:p>
    <w:p w:rsidR="00F70F63" w:rsidRPr="00B659A8" w:rsidRDefault="00F70F63" w:rsidP="00F70F63">
      <w:pPr>
        <w:autoSpaceDE w:val="0"/>
        <w:autoSpaceDN w:val="0"/>
        <w:adjustRightInd w:val="0"/>
        <w:jc w:val="both"/>
        <w:rPr>
          <w:rFonts w:ascii="TimesNewRomanPSMT" w:hAnsi="TimesNewRomanPSMT" w:cs="TimesNewRomanPSMT"/>
          <w:b/>
          <w:i/>
          <w:sz w:val="20"/>
          <w:szCs w:val="20"/>
        </w:rPr>
      </w:pPr>
      <w:r>
        <w:rPr>
          <w:rFonts w:ascii="TimesNewRomanPSMT" w:hAnsi="TimesNewRomanPSMT" w:cs="TimesNewRomanPSMT"/>
          <w:b/>
          <w:i/>
          <w:sz w:val="20"/>
          <w:szCs w:val="20"/>
        </w:rPr>
        <w:t>Table-II</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1163"/>
        <w:gridCol w:w="1318"/>
        <w:gridCol w:w="990"/>
        <w:gridCol w:w="1191"/>
      </w:tblGrid>
      <w:tr w:rsidR="00F70F63" w:rsidTr="00D93564">
        <w:tc>
          <w:tcPr>
            <w:tcW w:w="1008" w:type="dxa"/>
            <w:shd w:val="clear" w:color="auto" w:fill="auto"/>
          </w:tcPr>
          <w:p w:rsidR="00F70F63" w:rsidRPr="0000346A" w:rsidRDefault="00F70F63" w:rsidP="00D93564">
            <w:pPr>
              <w:autoSpaceDE w:val="0"/>
              <w:autoSpaceDN w:val="0"/>
              <w:adjustRightInd w:val="0"/>
              <w:jc w:val="both"/>
              <w:rPr>
                <w:rFonts w:ascii="TimesNewRomanPSMT" w:eastAsia="Cambria" w:hAnsi="TimesNewRomanPSMT" w:cs="TimesNewRomanPSMT"/>
                <w:b/>
                <w:sz w:val="20"/>
                <w:szCs w:val="20"/>
              </w:rPr>
            </w:pPr>
            <w:r w:rsidRPr="0000346A">
              <w:rPr>
                <w:rFonts w:ascii="TimesNewRomanPSMT" w:eastAsia="Cambria" w:hAnsi="TimesNewRomanPSMT" w:cs="TimesNewRomanPSMT"/>
                <w:b/>
                <w:sz w:val="20"/>
                <w:szCs w:val="20"/>
              </w:rPr>
              <w:t>Model</w:t>
            </w:r>
          </w:p>
        </w:tc>
        <w:tc>
          <w:tcPr>
            <w:tcW w:w="1163" w:type="dxa"/>
            <w:shd w:val="clear" w:color="auto" w:fill="auto"/>
          </w:tcPr>
          <w:p w:rsidR="00F70F63" w:rsidRPr="0000346A" w:rsidRDefault="00F70F63" w:rsidP="00D93564">
            <w:pPr>
              <w:autoSpaceDE w:val="0"/>
              <w:autoSpaceDN w:val="0"/>
              <w:adjustRightInd w:val="0"/>
              <w:jc w:val="both"/>
              <w:rPr>
                <w:rFonts w:ascii="TimesNewRomanPSMT" w:eastAsia="Cambria" w:hAnsi="TimesNewRomanPSMT" w:cs="TimesNewRomanPSMT"/>
                <w:b/>
                <w:sz w:val="20"/>
                <w:szCs w:val="20"/>
              </w:rPr>
            </w:pPr>
            <w:r w:rsidRPr="0000346A">
              <w:rPr>
                <w:rFonts w:ascii="TimesNewRomanPSMT" w:eastAsia="Cambria" w:hAnsi="TimesNewRomanPSMT" w:cs="TimesNewRomanPSMT"/>
                <w:b/>
                <w:sz w:val="20"/>
                <w:szCs w:val="20"/>
              </w:rPr>
              <w:t>Intercepts</w:t>
            </w:r>
          </w:p>
        </w:tc>
        <w:tc>
          <w:tcPr>
            <w:tcW w:w="1318" w:type="dxa"/>
            <w:shd w:val="clear" w:color="auto" w:fill="auto"/>
          </w:tcPr>
          <w:p w:rsidR="00F70F63" w:rsidRPr="0000346A" w:rsidRDefault="00F70F63" w:rsidP="00D93564">
            <w:pPr>
              <w:autoSpaceDE w:val="0"/>
              <w:autoSpaceDN w:val="0"/>
              <w:adjustRightInd w:val="0"/>
              <w:jc w:val="both"/>
              <w:rPr>
                <w:rFonts w:ascii="TimesNewRomanPSMT" w:eastAsia="Cambria" w:hAnsi="TimesNewRomanPSMT" w:cs="TimesNewRomanPSMT"/>
                <w:b/>
                <w:sz w:val="20"/>
                <w:szCs w:val="20"/>
              </w:rPr>
            </w:pPr>
            <w:r w:rsidRPr="0000346A">
              <w:rPr>
                <w:rFonts w:ascii="TimesNewRomanPSMT" w:eastAsia="Cambria" w:hAnsi="TimesNewRomanPSMT" w:cs="TimesNewRomanPSMT"/>
                <w:b/>
                <w:sz w:val="20"/>
                <w:szCs w:val="20"/>
              </w:rPr>
              <w:t>Slopes</w:t>
            </w:r>
          </w:p>
        </w:tc>
        <w:tc>
          <w:tcPr>
            <w:tcW w:w="990" w:type="dxa"/>
            <w:shd w:val="clear" w:color="auto" w:fill="auto"/>
          </w:tcPr>
          <w:p w:rsidR="00F70F63" w:rsidRPr="0000346A" w:rsidRDefault="00F70F63" w:rsidP="00D93564">
            <w:pPr>
              <w:autoSpaceDE w:val="0"/>
              <w:autoSpaceDN w:val="0"/>
              <w:adjustRightInd w:val="0"/>
              <w:jc w:val="both"/>
              <w:rPr>
                <w:rFonts w:ascii="TimesNewRomanPSMT" w:eastAsia="Cambria" w:hAnsi="TimesNewRomanPSMT" w:cs="TimesNewRomanPSMT"/>
                <w:b/>
                <w:sz w:val="20"/>
                <w:szCs w:val="20"/>
              </w:rPr>
            </w:pPr>
            <w:r w:rsidRPr="0000346A">
              <w:rPr>
                <w:rFonts w:ascii="TimesNewRomanPSMT" w:eastAsia="Cambria" w:hAnsi="TimesNewRomanPSMT" w:cs="TimesNewRomanPSMT"/>
                <w:b/>
                <w:sz w:val="20"/>
                <w:szCs w:val="20"/>
              </w:rPr>
              <w:t>t-stats</w:t>
            </w:r>
          </w:p>
        </w:tc>
        <w:tc>
          <w:tcPr>
            <w:tcW w:w="1191" w:type="dxa"/>
            <w:shd w:val="clear" w:color="auto" w:fill="auto"/>
          </w:tcPr>
          <w:p w:rsidR="00F70F63" w:rsidRPr="0000346A" w:rsidRDefault="00F70F63" w:rsidP="00D93564">
            <w:pPr>
              <w:autoSpaceDE w:val="0"/>
              <w:autoSpaceDN w:val="0"/>
              <w:adjustRightInd w:val="0"/>
              <w:jc w:val="both"/>
              <w:rPr>
                <w:rFonts w:ascii="TimesNewRomanPSMT" w:eastAsia="Cambria" w:hAnsi="TimesNewRomanPSMT" w:cs="TimesNewRomanPSMT"/>
                <w:b/>
                <w:sz w:val="20"/>
                <w:szCs w:val="20"/>
              </w:rPr>
            </w:pPr>
            <w:r w:rsidRPr="0000346A">
              <w:rPr>
                <w:rFonts w:ascii="TimesNewRomanPSMT" w:eastAsia="Cambria" w:hAnsi="TimesNewRomanPSMT" w:cs="TimesNewRomanPSMT"/>
                <w:b/>
                <w:sz w:val="20"/>
                <w:szCs w:val="20"/>
              </w:rPr>
              <w:t>R-Squares</w:t>
            </w:r>
          </w:p>
        </w:tc>
      </w:tr>
      <w:tr w:rsidR="00F70F63" w:rsidTr="00D93564">
        <w:tc>
          <w:tcPr>
            <w:tcW w:w="1008" w:type="dxa"/>
            <w:shd w:val="clear" w:color="auto" w:fill="auto"/>
          </w:tcPr>
          <w:p w:rsidR="00F70F63" w:rsidRPr="0000346A" w:rsidRDefault="00F70F63" w:rsidP="00D93564">
            <w:pPr>
              <w:autoSpaceDE w:val="0"/>
              <w:autoSpaceDN w:val="0"/>
              <w:adjustRightInd w:val="0"/>
              <w:jc w:val="both"/>
              <w:rPr>
                <w:rFonts w:ascii="TimesNewRomanPSMT" w:eastAsia="Cambria" w:hAnsi="TimesNewRomanPSMT" w:cs="TimesNewRomanPSMT"/>
                <w:b/>
                <w:sz w:val="20"/>
                <w:szCs w:val="20"/>
              </w:rPr>
            </w:pPr>
            <w:r w:rsidRPr="0000346A">
              <w:rPr>
                <w:rFonts w:ascii="TimesNewRomanPSMT" w:eastAsia="Cambria" w:hAnsi="TimesNewRomanPSMT" w:cs="TimesNewRomanPSMT"/>
                <w:b/>
                <w:sz w:val="20"/>
                <w:szCs w:val="20"/>
              </w:rPr>
              <w:t>Model 1</w:t>
            </w:r>
          </w:p>
        </w:tc>
        <w:tc>
          <w:tcPr>
            <w:tcW w:w="1163" w:type="dxa"/>
            <w:shd w:val="clear" w:color="auto" w:fill="auto"/>
          </w:tcPr>
          <w:p w:rsidR="00F70F63" w:rsidRPr="0000346A" w:rsidRDefault="00F70F63" w:rsidP="00D93564">
            <w:pPr>
              <w:autoSpaceDE w:val="0"/>
              <w:autoSpaceDN w:val="0"/>
              <w:adjustRightInd w:val="0"/>
              <w:jc w:val="both"/>
              <w:rPr>
                <w:rFonts w:ascii="TimesNewRomanPSMT" w:eastAsia="Cambria" w:hAnsi="TimesNewRomanPSMT" w:cs="TimesNewRomanPSMT"/>
                <w:sz w:val="20"/>
                <w:szCs w:val="20"/>
              </w:rPr>
            </w:pPr>
            <w:r w:rsidRPr="0000346A">
              <w:rPr>
                <w:rFonts w:ascii="TimesNewRomanPSMT" w:eastAsia="Cambria" w:hAnsi="TimesNewRomanPSMT" w:cs="TimesNewRomanPSMT"/>
                <w:sz w:val="20"/>
                <w:szCs w:val="20"/>
              </w:rPr>
              <w:t>-3,201.65</w:t>
            </w:r>
          </w:p>
          <w:p w:rsidR="00F70F63" w:rsidRPr="0000346A" w:rsidRDefault="00F70F63" w:rsidP="00D93564">
            <w:pPr>
              <w:autoSpaceDE w:val="0"/>
              <w:autoSpaceDN w:val="0"/>
              <w:adjustRightInd w:val="0"/>
              <w:jc w:val="both"/>
              <w:rPr>
                <w:rFonts w:ascii="TimesNewRomanPSMT" w:eastAsia="Cambria" w:hAnsi="TimesNewRomanPSMT" w:cs="TimesNewRomanPSMT"/>
                <w:sz w:val="20"/>
                <w:szCs w:val="20"/>
              </w:rPr>
            </w:pPr>
            <w:r w:rsidRPr="0000346A">
              <w:rPr>
                <w:rFonts w:ascii="TimesNewRomanPSMT" w:eastAsia="Cambria" w:hAnsi="TimesNewRomanPSMT" w:cs="TimesNewRomanPSMT"/>
                <w:sz w:val="20"/>
                <w:szCs w:val="20"/>
              </w:rPr>
              <w:t>(1,371.93)</w:t>
            </w:r>
          </w:p>
        </w:tc>
        <w:tc>
          <w:tcPr>
            <w:tcW w:w="1318" w:type="dxa"/>
            <w:shd w:val="clear" w:color="auto" w:fill="auto"/>
          </w:tcPr>
          <w:p w:rsidR="00F70F63" w:rsidRPr="0000346A" w:rsidRDefault="00F70F63" w:rsidP="00D93564">
            <w:pPr>
              <w:autoSpaceDE w:val="0"/>
              <w:autoSpaceDN w:val="0"/>
              <w:adjustRightInd w:val="0"/>
              <w:jc w:val="both"/>
              <w:rPr>
                <w:rFonts w:ascii="TimesNewRomanPSMT" w:eastAsia="Cambria" w:hAnsi="TimesNewRomanPSMT" w:cs="TimesNewRomanPSMT"/>
                <w:sz w:val="20"/>
                <w:szCs w:val="20"/>
              </w:rPr>
            </w:pPr>
            <w:r w:rsidRPr="0000346A">
              <w:rPr>
                <w:rFonts w:ascii="TimesNewRomanPSMT" w:eastAsia="Cambria" w:hAnsi="TimesNewRomanPSMT" w:cs="TimesNewRomanPSMT"/>
                <w:sz w:val="20"/>
                <w:szCs w:val="20"/>
              </w:rPr>
              <w:t>-1,558.69</w:t>
            </w:r>
          </w:p>
          <w:p w:rsidR="00F70F63" w:rsidRPr="0000346A" w:rsidRDefault="00F70F63" w:rsidP="00D93564">
            <w:pPr>
              <w:autoSpaceDE w:val="0"/>
              <w:autoSpaceDN w:val="0"/>
              <w:adjustRightInd w:val="0"/>
              <w:jc w:val="both"/>
              <w:rPr>
                <w:rFonts w:ascii="TimesNewRomanPSMT" w:eastAsia="Cambria" w:hAnsi="TimesNewRomanPSMT" w:cs="TimesNewRomanPSMT"/>
                <w:sz w:val="20"/>
                <w:szCs w:val="20"/>
              </w:rPr>
            </w:pPr>
            <w:r w:rsidRPr="0000346A">
              <w:rPr>
                <w:rFonts w:ascii="TimesNewRomanPSMT" w:eastAsia="Cambria" w:hAnsi="TimesNewRomanPSMT" w:cs="TimesNewRomanPSMT"/>
                <w:sz w:val="20"/>
                <w:szCs w:val="20"/>
              </w:rPr>
              <w:t>(1,138)</w:t>
            </w:r>
          </w:p>
        </w:tc>
        <w:tc>
          <w:tcPr>
            <w:tcW w:w="990" w:type="dxa"/>
            <w:shd w:val="clear" w:color="auto" w:fill="auto"/>
          </w:tcPr>
          <w:p w:rsidR="00F70F63" w:rsidRPr="0000346A" w:rsidRDefault="00F70F63" w:rsidP="00D93564">
            <w:pPr>
              <w:autoSpaceDE w:val="0"/>
              <w:autoSpaceDN w:val="0"/>
              <w:adjustRightInd w:val="0"/>
              <w:jc w:val="both"/>
              <w:rPr>
                <w:rFonts w:ascii="TimesNewRomanPSMT" w:eastAsia="Cambria" w:hAnsi="TimesNewRomanPSMT" w:cs="TimesNewRomanPSMT"/>
                <w:sz w:val="20"/>
                <w:szCs w:val="20"/>
              </w:rPr>
            </w:pPr>
            <w:r w:rsidRPr="0000346A">
              <w:rPr>
                <w:rFonts w:ascii="TimesNewRomanPSMT" w:eastAsia="Cambria" w:hAnsi="TimesNewRomanPSMT" w:cs="TimesNewRomanPSMT"/>
                <w:sz w:val="20"/>
                <w:szCs w:val="20"/>
              </w:rPr>
              <w:t>-1.368</w:t>
            </w:r>
          </w:p>
          <w:p w:rsidR="00F70F63" w:rsidRPr="0000346A" w:rsidRDefault="00F70F63" w:rsidP="00D93564">
            <w:pPr>
              <w:autoSpaceDE w:val="0"/>
              <w:autoSpaceDN w:val="0"/>
              <w:adjustRightInd w:val="0"/>
              <w:jc w:val="both"/>
              <w:rPr>
                <w:rFonts w:ascii="TimesNewRomanPSMT" w:eastAsia="Cambria" w:hAnsi="TimesNewRomanPSMT" w:cs="TimesNewRomanPSMT"/>
                <w:sz w:val="20"/>
                <w:szCs w:val="20"/>
              </w:rPr>
            </w:pPr>
            <w:r w:rsidRPr="0000346A">
              <w:rPr>
                <w:rFonts w:ascii="TimesNewRomanPSMT" w:eastAsia="Cambria" w:hAnsi="TimesNewRomanPSMT" w:cs="TimesNewRomanPSMT"/>
                <w:sz w:val="20"/>
                <w:szCs w:val="20"/>
              </w:rPr>
              <w:t>(0.18)</w:t>
            </w:r>
          </w:p>
        </w:tc>
        <w:tc>
          <w:tcPr>
            <w:tcW w:w="1191" w:type="dxa"/>
            <w:shd w:val="clear" w:color="auto" w:fill="auto"/>
          </w:tcPr>
          <w:p w:rsidR="00F70F63" w:rsidRPr="0000346A" w:rsidRDefault="00F70F63" w:rsidP="00D93564">
            <w:pPr>
              <w:autoSpaceDE w:val="0"/>
              <w:autoSpaceDN w:val="0"/>
              <w:adjustRightInd w:val="0"/>
              <w:jc w:val="both"/>
              <w:rPr>
                <w:rFonts w:ascii="TimesNewRomanPSMT" w:eastAsia="Cambria" w:hAnsi="TimesNewRomanPSMT" w:cs="TimesNewRomanPSMT"/>
                <w:sz w:val="20"/>
                <w:szCs w:val="20"/>
              </w:rPr>
            </w:pPr>
            <w:r w:rsidRPr="0000346A">
              <w:rPr>
                <w:rFonts w:ascii="TimesNewRomanPSMT" w:eastAsia="Cambria" w:hAnsi="TimesNewRomanPSMT" w:cs="TimesNewRomanPSMT"/>
                <w:sz w:val="20"/>
                <w:szCs w:val="20"/>
              </w:rPr>
              <w:t>0.39</w:t>
            </w:r>
          </w:p>
        </w:tc>
      </w:tr>
      <w:tr w:rsidR="00F70F63" w:rsidTr="00D93564">
        <w:tc>
          <w:tcPr>
            <w:tcW w:w="1008" w:type="dxa"/>
            <w:shd w:val="clear" w:color="auto" w:fill="auto"/>
          </w:tcPr>
          <w:p w:rsidR="00F70F63" w:rsidRPr="0000346A" w:rsidRDefault="00F70F63" w:rsidP="00D93564">
            <w:pPr>
              <w:autoSpaceDE w:val="0"/>
              <w:autoSpaceDN w:val="0"/>
              <w:adjustRightInd w:val="0"/>
              <w:jc w:val="both"/>
              <w:rPr>
                <w:rFonts w:ascii="TimesNewRomanPSMT" w:eastAsia="Cambria" w:hAnsi="TimesNewRomanPSMT" w:cs="TimesNewRomanPSMT"/>
                <w:b/>
                <w:sz w:val="20"/>
                <w:szCs w:val="20"/>
              </w:rPr>
            </w:pPr>
            <w:r w:rsidRPr="0000346A">
              <w:rPr>
                <w:rFonts w:ascii="TimesNewRomanPSMT" w:eastAsia="Cambria" w:hAnsi="TimesNewRomanPSMT" w:cs="TimesNewRomanPSMT"/>
                <w:b/>
                <w:sz w:val="20"/>
                <w:szCs w:val="20"/>
              </w:rPr>
              <w:t>Model 2</w:t>
            </w:r>
          </w:p>
        </w:tc>
        <w:tc>
          <w:tcPr>
            <w:tcW w:w="1163" w:type="dxa"/>
            <w:shd w:val="clear" w:color="auto" w:fill="auto"/>
          </w:tcPr>
          <w:p w:rsidR="00F70F63" w:rsidRPr="0000346A" w:rsidRDefault="00F70F63" w:rsidP="00D93564">
            <w:pPr>
              <w:autoSpaceDE w:val="0"/>
              <w:autoSpaceDN w:val="0"/>
              <w:adjustRightInd w:val="0"/>
              <w:jc w:val="both"/>
              <w:rPr>
                <w:rFonts w:ascii="TimesNewRomanPSMT" w:eastAsia="Cambria" w:hAnsi="TimesNewRomanPSMT" w:cs="TimesNewRomanPSMT"/>
                <w:sz w:val="20"/>
                <w:szCs w:val="20"/>
              </w:rPr>
            </w:pPr>
            <w:r w:rsidRPr="0000346A">
              <w:rPr>
                <w:rFonts w:ascii="TimesNewRomanPSMT" w:eastAsia="Cambria" w:hAnsi="TimesNewRomanPSMT" w:cs="TimesNewRomanPSMT"/>
                <w:sz w:val="20"/>
                <w:szCs w:val="20"/>
              </w:rPr>
              <w:t>6,855.23</w:t>
            </w:r>
          </w:p>
          <w:p w:rsidR="00F70F63" w:rsidRPr="0000346A" w:rsidRDefault="00F70F63" w:rsidP="00D93564">
            <w:pPr>
              <w:autoSpaceDE w:val="0"/>
              <w:autoSpaceDN w:val="0"/>
              <w:adjustRightInd w:val="0"/>
              <w:jc w:val="both"/>
              <w:rPr>
                <w:rFonts w:ascii="TimesNewRomanPSMT" w:eastAsia="Cambria" w:hAnsi="TimesNewRomanPSMT" w:cs="TimesNewRomanPSMT"/>
                <w:sz w:val="20"/>
                <w:szCs w:val="20"/>
              </w:rPr>
            </w:pPr>
            <w:r w:rsidRPr="0000346A">
              <w:rPr>
                <w:rFonts w:ascii="TimesNewRomanPSMT" w:eastAsia="Cambria" w:hAnsi="TimesNewRomanPSMT" w:cs="TimesNewRomanPSMT"/>
                <w:sz w:val="20"/>
                <w:szCs w:val="20"/>
              </w:rPr>
              <w:t>(1,341.40)</w:t>
            </w:r>
          </w:p>
        </w:tc>
        <w:tc>
          <w:tcPr>
            <w:tcW w:w="1318" w:type="dxa"/>
            <w:shd w:val="clear" w:color="auto" w:fill="auto"/>
          </w:tcPr>
          <w:p w:rsidR="00F70F63" w:rsidRPr="0000346A" w:rsidRDefault="00F70F63" w:rsidP="00D93564">
            <w:pPr>
              <w:autoSpaceDE w:val="0"/>
              <w:autoSpaceDN w:val="0"/>
              <w:adjustRightInd w:val="0"/>
              <w:jc w:val="both"/>
              <w:rPr>
                <w:rFonts w:ascii="TimesNewRomanPSMT" w:eastAsia="Cambria" w:hAnsi="TimesNewRomanPSMT" w:cs="TimesNewRomanPSMT"/>
                <w:sz w:val="20"/>
                <w:szCs w:val="20"/>
              </w:rPr>
            </w:pPr>
            <w:r w:rsidRPr="0000346A">
              <w:rPr>
                <w:rFonts w:ascii="TimesNewRomanPSMT" w:eastAsia="Cambria" w:hAnsi="TimesNewRomanPSMT" w:cs="TimesNewRomanPSMT"/>
                <w:sz w:val="20"/>
                <w:szCs w:val="20"/>
              </w:rPr>
              <w:t>1,940.35</w:t>
            </w:r>
          </w:p>
          <w:p w:rsidR="00F70F63" w:rsidRPr="0000346A" w:rsidRDefault="00F70F63" w:rsidP="00D93564">
            <w:pPr>
              <w:autoSpaceDE w:val="0"/>
              <w:autoSpaceDN w:val="0"/>
              <w:adjustRightInd w:val="0"/>
              <w:jc w:val="both"/>
              <w:rPr>
                <w:rFonts w:ascii="TimesNewRomanPSMT" w:eastAsia="Cambria" w:hAnsi="TimesNewRomanPSMT" w:cs="TimesNewRomanPSMT"/>
                <w:sz w:val="20"/>
                <w:szCs w:val="20"/>
              </w:rPr>
            </w:pPr>
            <w:r w:rsidRPr="0000346A">
              <w:rPr>
                <w:rFonts w:ascii="TimesNewRomanPSMT" w:eastAsia="Cambria" w:hAnsi="TimesNewRomanPSMT" w:cs="TimesNewRomanPSMT"/>
                <w:sz w:val="20"/>
                <w:szCs w:val="20"/>
              </w:rPr>
              <w:t>(1,113.38)</w:t>
            </w:r>
          </w:p>
        </w:tc>
        <w:tc>
          <w:tcPr>
            <w:tcW w:w="990" w:type="dxa"/>
            <w:shd w:val="clear" w:color="auto" w:fill="auto"/>
          </w:tcPr>
          <w:p w:rsidR="00F70F63" w:rsidRPr="0000346A" w:rsidRDefault="00F70F63" w:rsidP="00D93564">
            <w:pPr>
              <w:autoSpaceDE w:val="0"/>
              <w:autoSpaceDN w:val="0"/>
              <w:adjustRightInd w:val="0"/>
              <w:jc w:val="both"/>
              <w:rPr>
                <w:rFonts w:ascii="TimesNewRomanPSMT" w:eastAsia="Cambria" w:hAnsi="TimesNewRomanPSMT" w:cs="TimesNewRomanPSMT"/>
                <w:sz w:val="20"/>
                <w:szCs w:val="20"/>
              </w:rPr>
            </w:pPr>
            <w:r w:rsidRPr="0000346A">
              <w:rPr>
                <w:rFonts w:ascii="TimesNewRomanPSMT" w:eastAsia="Cambria" w:hAnsi="TimesNewRomanPSMT" w:cs="TimesNewRomanPSMT"/>
                <w:sz w:val="20"/>
                <w:szCs w:val="20"/>
              </w:rPr>
              <w:t>11.74</w:t>
            </w:r>
          </w:p>
          <w:p w:rsidR="00F70F63" w:rsidRPr="0000346A" w:rsidRDefault="00F70F63" w:rsidP="00D93564">
            <w:pPr>
              <w:autoSpaceDE w:val="0"/>
              <w:autoSpaceDN w:val="0"/>
              <w:adjustRightInd w:val="0"/>
              <w:jc w:val="both"/>
              <w:rPr>
                <w:rFonts w:ascii="TimesNewRomanPSMT" w:eastAsia="Cambria" w:hAnsi="TimesNewRomanPSMT" w:cs="TimesNewRomanPSMT"/>
                <w:sz w:val="20"/>
                <w:szCs w:val="20"/>
              </w:rPr>
            </w:pPr>
            <w:r w:rsidRPr="0000346A">
              <w:rPr>
                <w:rFonts w:ascii="TimesNewRomanPSMT" w:eastAsia="Cambria" w:hAnsi="TimesNewRomanPSMT" w:cs="TimesNewRomanPSMT"/>
                <w:sz w:val="20"/>
                <w:szCs w:val="20"/>
              </w:rPr>
              <w:t>(0.00)</w:t>
            </w:r>
          </w:p>
        </w:tc>
        <w:tc>
          <w:tcPr>
            <w:tcW w:w="1191" w:type="dxa"/>
            <w:shd w:val="clear" w:color="auto" w:fill="auto"/>
          </w:tcPr>
          <w:p w:rsidR="00F70F63" w:rsidRPr="0000346A" w:rsidRDefault="00F70F63" w:rsidP="00D93564">
            <w:pPr>
              <w:autoSpaceDE w:val="0"/>
              <w:autoSpaceDN w:val="0"/>
              <w:adjustRightInd w:val="0"/>
              <w:jc w:val="both"/>
              <w:rPr>
                <w:rFonts w:ascii="TimesNewRomanPSMT" w:eastAsia="Cambria" w:hAnsi="TimesNewRomanPSMT" w:cs="TimesNewRomanPSMT"/>
                <w:sz w:val="20"/>
                <w:szCs w:val="20"/>
              </w:rPr>
            </w:pPr>
            <w:r w:rsidRPr="0000346A">
              <w:rPr>
                <w:rFonts w:ascii="TimesNewRomanPSMT" w:eastAsia="Cambria" w:hAnsi="TimesNewRomanPSMT" w:cs="TimesNewRomanPSMT"/>
                <w:sz w:val="20"/>
                <w:szCs w:val="20"/>
              </w:rPr>
              <w:t>0.81</w:t>
            </w:r>
          </w:p>
        </w:tc>
      </w:tr>
      <w:tr w:rsidR="00F70F63" w:rsidTr="00D93564">
        <w:tc>
          <w:tcPr>
            <w:tcW w:w="1008" w:type="dxa"/>
            <w:shd w:val="clear" w:color="auto" w:fill="auto"/>
          </w:tcPr>
          <w:p w:rsidR="00F70F63" w:rsidRPr="0000346A" w:rsidRDefault="00F70F63" w:rsidP="00D93564">
            <w:pPr>
              <w:autoSpaceDE w:val="0"/>
              <w:autoSpaceDN w:val="0"/>
              <w:adjustRightInd w:val="0"/>
              <w:jc w:val="both"/>
              <w:rPr>
                <w:rFonts w:ascii="TimesNewRomanPSMT" w:eastAsia="Cambria" w:hAnsi="TimesNewRomanPSMT" w:cs="TimesNewRomanPSMT"/>
                <w:b/>
                <w:sz w:val="20"/>
                <w:szCs w:val="20"/>
              </w:rPr>
            </w:pPr>
            <w:r w:rsidRPr="0000346A">
              <w:rPr>
                <w:rFonts w:ascii="TimesNewRomanPSMT" w:eastAsia="Cambria" w:hAnsi="TimesNewRomanPSMT" w:cs="TimesNewRomanPSMT"/>
                <w:b/>
                <w:sz w:val="20"/>
                <w:szCs w:val="20"/>
              </w:rPr>
              <w:t>Model 3</w:t>
            </w:r>
          </w:p>
        </w:tc>
        <w:tc>
          <w:tcPr>
            <w:tcW w:w="1163" w:type="dxa"/>
            <w:shd w:val="clear" w:color="auto" w:fill="auto"/>
          </w:tcPr>
          <w:p w:rsidR="00F70F63" w:rsidRPr="0000346A" w:rsidRDefault="00F70F63" w:rsidP="00D93564">
            <w:pPr>
              <w:autoSpaceDE w:val="0"/>
              <w:autoSpaceDN w:val="0"/>
              <w:adjustRightInd w:val="0"/>
              <w:jc w:val="both"/>
              <w:rPr>
                <w:rFonts w:ascii="TimesNewRomanPSMT" w:eastAsia="Cambria" w:hAnsi="TimesNewRomanPSMT" w:cs="TimesNewRomanPSMT"/>
                <w:sz w:val="20"/>
                <w:szCs w:val="20"/>
              </w:rPr>
            </w:pPr>
            <w:r w:rsidRPr="0000346A">
              <w:rPr>
                <w:rFonts w:ascii="TimesNewRomanPSMT" w:eastAsia="Cambria" w:hAnsi="TimesNewRomanPSMT" w:cs="TimesNewRomanPSMT"/>
                <w:sz w:val="20"/>
                <w:szCs w:val="20"/>
              </w:rPr>
              <w:t>10,103.21</w:t>
            </w:r>
          </w:p>
          <w:p w:rsidR="00F70F63" w:rsidRPr="0000346A" w:rsidRDefault="00F70F63" w:rsidP="00D93564">
            <w:pPr>
              <w:autoSpaceDE w:val="0"/>
              <w:autoSpaceDN w:val="0"/>
              <w:adjustRightInd w:val="0"/>
              <w:jc w:val="both"/>
              <w:rPr>
                <w:rFonts w:ascii="TimesNewRomanPSMT" w:eastAsia="Cambria" w:hAnsi="TimesNewRomanPSMT" w:cs="TimesNewRomanPSMT"/>
                <w:sz w:val="20"/>
                <w:szCs w:val="20"/>
              </w:rPr>
            </w:pPr>
            <w:r w:rsidRPr="0000346A">
              <w:rPr>
                <w:rFonts w:ascii="TimesNewRomanPSMT" w:eastAsia="Cambria" w:hAnsi="TimesNewRomanPSMT" w:cs="TimesNewRomanPSMT"/>
                <w:sz w:val="20"/>
                <w:szCs w:val="20"/>
              </w:rPr>
              <w:t>(2,598.66)</w:t>
            </w:r>
          </w:p>
        </w:tc>
        <w:tc>
          <w:tcPr>
            <w:tcW w:w="1318" w:type="dxa"/>
            <w:shd w:val="clear" w:color="auto" w:fill="auto"/>
          </w:tcPr>
          <w:p w:rsidR="00F70F63" w:rsidRPr="0000346A" w:rsidRDefault="00F70F63" w:rsidP="00D93564">
            <w:pPr>
              <w:autoSpaceDE w:val="0"/>
              <w:autoSpaceDN w:val="0"/>
              <w:adjustRightInd w:val="0"/>
              <w:jc w:val="both"/>
              <w:rPr>
                <w:rFonts w:ascii="TimesNewRomanPSMT" w:eastAsia="Cambria" w:hAnsi="TimesNewRomanPSMT" w:cs="TimesNewRomanPSMT"/>
                <w:sz w:val="20"/>
                <w:szCs w:val="20"/>
              </w:rPr>
            </w:pPr>
            <w:r w:rsidRPr="0000346A">
              <w:rPr>
                <w:rFonts w:ascii="TimesNewRomanPSMT" w:eastAsia="Cambria" w:hAnsi="TimesNewRomanPSMT" w:cs="TimesNewRomanPSMT"/>
                <w:sz w:val="20"/>
                <w:szCs w:val="20"/>
              </w:rPr>
              <w:t>3,557.6</w:t>
            </w:r>
          </w:p>
          <w:p w:rsidR="00F70F63" w:rsidRPr="0000346A" w:rsidRDefault="00F70F63" w:rsidP="00D93564">
            <w:pPr>
              <w:autoSpaceDE w:val="0"/>
              <w:autoSpaceDN w:val="0"/>
              <w:adjustRightInd w:val="0"/>
              <w:jc w:val="both"/>
              <w:rPr>
                <w:rFonts w:ascii="TimesNewRomanPSMT" w:eastAsia="Cambria" w:hAnsi="TimesNewRomanPSMT" w:cs="TimesNewRomanPSMT"/>
                <w:sz w:val="20"/>
                <w:szCs w:val="20"/>
              </w:rPr>
            </w:pPr>
            <w:r w:rsidRPr="0000346A">
              <w:rPr>
                <w:rFonts w:ascii="TimesNewRomanPSMT" w:eastAsia="Cambria" w:hAnsi="TimesNewRomanPSMT" w:cs="TimesNewRomanPSMT"/>
                <w:sz w:val="20"/>
                <w:szCs w:val="20"/>
              </w:rPr>
              <w:t>(2,156.93)</w:t>
            </w:r>
          </w:p>
        </w:tc>
        <w:tc>
          <w:tcPr>
            <w:tcW w:w="990" w:type="dxa"/>
            <w:shd w:val="clear" w:color="auto" w:fill="auto"/>
          </w:tcPr>
          <w:p w:rsidR="00F70F63" w:rsidRPr="0000346A" w:rsidRDefault="00F70F63" w:rsidP="00D93564">
            <w:pPr>
              <w:autoSpaceDE w:val="0"/>
              <w:autoSpaceDN w:val="0"/>
              <w:adjustRightInd w:val="0"/>
              <w:jc w:val="both"/>
              <w:rPr>
                <w:rFonts w:ascii="TimesNewRomanPSMT" w:eastAsia="Cambria" w:hAnsi="TimesNewRomanPSMT" w:cs="TimesNewRomanPSMT"/>
                <w:sz w:val="20"/>
                <w:szCs w:val="20"/>
              </w:rPr>
            </w:pPr>
            <w:r w:rsidRPr="0000346A">
              <w:rPr>
                <w:rFonts w:ascii="TimesNewRomanPSMT" w:eastAsia="Cambria" w:hAnsi="TimesNewRomanPSMT" w:cs="TimesNewRomanPSMT"/>
                <w:sz w:val="20"/>
                <w:szCs w:val="20"/>
              </w:rPr>
              <w:t>9.65</w:t>
            </w:r>
          </w:p>
          <w:p w:rsidR="00F70F63" w:rsidRPr="0000346A" w:rsidRDefault="00F70F63" w:rsidP="00D93564">
            <w:pPr>
              <w:autoSpaceDE w:val="0"/>
              <w:autoSpaceDN w:val="0"/>
              <w:adjustRightInd w:val="0"/>
              <w:jc w:val="both"/>
              <w:rPr>
                <w:rFonts w:ascii="TimesNewRomanPSMT" w:eastAsia="Cambria" w:hAnsi="TimesNewRomanPSMT" w:cs="TimesNewRomanPSMT"/>
                <w:sz w:val="20"/>
                <w:szCs w:val="20"/>
              </w:rPr>
            </w:pPr>
            <w:r w:rsidRPr="0000346A">
              <w:rPr>
                <w:rFonts w:ascii="TimesNewRomanPSMT" w:eastAsia="Cambria" w:hAnsi="TimesNewRomanPSMT" w:cs="TimesNewRomanPSMT"/>
                <w:sz w:val="20"/>
                <w:szCs w:val="20"/>
              </w:rPr>
              <w:t>(0.03)</w:t>
            </w:r>
          </w:p>
        </w:tc>
        <w:tc>
          <w:tcPr>
            <w:tcW w:w="1191" w:type="dxa"/>
            <w:shd w:val="clear" w:color="auto" w:fill="auto"/>
          </w:tcPr>
          <w:p w:rsidR="00F70F63" w:rsidRPr="0000346A" w:rsidRDefault="00F70F63" w:rsidP="00D93564">
            <w:pPr>
              <w:autoSpaceDE w:val="0"/>
              <w:autoSpaceDN w:val="0"/>
              <w:adjustRightInd w:val="0"/>
              <w:jc w:val="both"/>
              <w:rPr>
                <w:rFonts w:ascii="TimesNewRomanPSMT" w:eastAsia="Cambria" w:hAnsi="TimesNewRomanPSMT" w:cs="TimesNewRomanPSMT"/>
                <w:sz w:val="20"/>
                <w:szCs w:val="20"/>
              </w:rPr>
            </w:pPr>
            <w:r w:rsidRPr="0000346A">
              <w:rPr>
                <w:rFonts w:ascii="TimesNewRomanPSMT" w:eastAsia="Cambria" w:hAnsi="TimesNewRomanPSMT" w:cs="TimesNewRomanPSMT"/>
                <w:sz w:val="20"/>
                <w:szCs w:val="20"/>
              </w:rPr>
              <w:t>0.77</w:t>
            </w:r>
          </w:p>
        </w:tc>
      </w:tr>
    </w:tbl>
    <w:p w:rsidR="00F70F63" w:rsidRDefault="00F70F63" w:rsidP="00F70F63">
      <w:pPr>
        <w:autoSpaceDE w:val="0"/>
        <w:autoSpaceDN w:val="0"/>
        <w:adjustRightInd w:val="0"/>
        <w:jc w:val="both"/>
        <w:rPr>
          <w:rFonts w:ascii="TimesNewRomanPSMT" w:hAnsi="TimesNewRomanPSMT" w:cs="TimesNewRomanPSMT"/>
          <w:sz w:val="20"/>
          <w:szCs w:val="20"/>
        </w:rPr>
      </w:pPr>
    </w:p>
    <w:p w:rsidR="00F70F63" w:rsidRDefault="00F70F63" w:rsidP="00F70F63">
      <w:pPr>
        <w:autoSpaceDE w:val="0"/>
        <w:autoSpaceDN w:val="0"/>
        <w:adjustRightInd w:val="0"/>
        <w:jc w:val="both"/>
        <w:rPr>
          <w:rFonts w:ascii="TimesNewRomanPSMT" w:hAnsi="TimesNewRomanPSMT" w:cs="TimesNewRomanPSMT"/>
          <w:sz w:val="20"/>
          <w:szCs w:val="20"/>
        </w:rPr>
      </w:pPr>
    </w:p>
    <w:p w:rsidR="00F70F63" w:rsidRDefault="00F70F63" w:rsidP="00F70F63">
      <w:pPr>
        <w:autoSpaceDE w:val="0"/>
        <w:autoSpaceDN w:val="0"/>
        <w:adjustRightInd w:val="0"/>
        <w:jc w:val="both"/>
        <w:rPr>
          <w:rFonts w:ascii="TimesNewRomanPSMT" w:hAnsi="TimesNewRomanPSMT" w:cs="TimesNewRomanPSMT"/>
          <w:sz w:val="20"/>
          <w:szCs w:val="20"/>
        </w:rPr>
      </w:pPr>
    </w:p>
    <w:p w:rsidR="00F70F63" w:rsidRPr="00550EE6" w:rsidRDefault="00F70F63" w:rsidP="00F70F63">
      <w:pPr>
        <w:autoSpaceDE w:val="0"/>
        <w:autoSpaceDN w:val="0"/>
        <w:adjustRightInd w:val="0"/>
        <w:jc w:val="both"/>
        <w:rPr>
          <w:rFonts w:ascii="TimesNewRomanPSMT" w:hAnsi="TimesNewRomanPSMT" w:cs="TimesNewRomanPSMT"/>
          <w:b/>
          <w:sz w:val="20"/>
          <w:szCs w:val="20"/>
        </w:rPr>
      </w:pPr>
      <w:r>
        <w:rPr>
          <w:rFonts w:ascii="TimesNewRomanPSMT" w:hAnsi="TimesNewRomanPSMT" w:cs="TimesNewRomanPSMT"/>
          <w:b/>
          <w:sz w:val="20"/>
          <w:szCs w:val="20"/>
        </w:rPr>
        <w:t>References:</w:t>
      </w:r>
    </w:p>
    <w:p w:rsidR="00F70F63" w:rsidRPr="00BD3499" w:rsidRDefault="00F70F63" w:rsidP="00F70F63">
      <w:pPr>
        <w:pStyle w:val="a4"/>
        <w:autoSpaceDE w:val="0"/>
        <w:autoSpaceDN w:val="0"/>
        <w:adjustRightInd w:val="0"/>
        <w:spacing w:after="0" w:line="240" w:lineRule="auto"/>
        <w:jc w:val="both"/>
        <w:rPr>
          <w:rFonts w:ascii="TimesNewRomanPSMT" w:hAnsi="TimesNewRomanPSMT" w:cs="TimesNewRomanPSMT"/>
          <w:sz w:val="20"/>
          <w:szCs w:val="20"/>
        </w:rPr>
      </w:pPr>
    </w:p>
    <w:p w:rsidR="00F70F63" w:rsidRPr="002B4833" w:rsidRDefault="00F70F63" w:rsidP="00F70F63">
      <w:pPr>
        <w:pStyle w:val="a4"/>
        <w:numPr>
          <w:ilvl w:val="0"/>
          <w:numId w:val="1"/>
        </w:numPr>
        <w:autoSpaceDE w:val="0"/>
        <w:autoSpaceDN w:val="0"/>
        <w:adjustRightInd w:val="0"/>
        <w:spacing w:after="0" w:line="240" w:lineRule="auto"/>
        <w:jc w:val="both"/>
        <w:rPr>
          <w:rFonts w:ascii="TimesNewRomanPSMT" w:hAnsi="TimesNewRomanPSMT" w:cs="TimesNewRomanPSMT"/>
          <w:sz w:val="20"/>
          <w:szCs w:val="20"/>
        </w:rPr>
      </w:pPr>
      <w:r w:rsidRPr="002B4833">
        <w:rPr>
          <w:rFonts w:ascii="TimesNewRomanPSMT" w:hAnsi="TimesNewRomanPSMT" w:cs="TimesNewRomanPSMT"/>
          <w:sz w:val="20"/>
          <w:szCs w:val="20"/>
        </w:rPr>
        <w:t xml:space="preserve">Akhtar, M., and R. S. Hilton (1984) Effects of Exchange Rate Uncertainty on German and U.S. Trade. </w:t>
      </w:r>
      <w:r w:rsidRPr="002B4833">
        <w:rPr>
          <w:i/>
          <w:iCs/>
          <w:sz w:val="20"/>
          <w:szCs w:val="20"/>
        </w:rPr>
        <w:t xml:space="preserve">Federal Reserve Bank of New York Quarterly Review </w:t>
      </w:r>
      <w:r w:rsidRPr="002B4833">
        <w:rPr>
          <w:rFonts w:ascii="TimesNewRomanPSMT" w:hAnsi="TimesNewRomanPSMT" w:cs="TimesNewRomanPSMT"/>
          <w:sz w:val="20"/>
          <w:szCs w:val="20"/>
        </w:rPr>
        <w:t>9, 7–16.</w:t>
      </w:r>
    </w:p>
    <w:p w:rsidR="00F70F63" w:rsidRPr="002B4833" w:rsidRDefault="00F70F63" w:rsidP="00F70F63">
      <w:pPr>
        <w:pStyle w:val="a4"/>
        <w:numPr>
          <w:ilvl w:val="0"/>
          <w:numId w:val="1"/>
        </w:numPr>
        <w:autoSpaceDE w:val="0"/>
        <w:autoSpaceDN w:val="0"/>
        <w:adjustRightInd w:val="0"/>
        <w:spacing w:after="0" w:line="240" w:lineRule="auto"/>
        <w:jc w:val="both"/>
        <w:rPr>
          <w:rFonts w:ascii="TimesNewRomanPSMT" w:hAnsi="TimesNewRomanPSMT" w:cs="TimesNewRomanPSMT"/>
          <w:sz w:val="20"/>
          <w:szCs w:val="20"/>
        </w:rPr>
      </w:pPr>
      <w:r w:rsidRPr="002B4833">
        <w:rPr>
          <w:rFonts w:ascii="TimesNewRomanPSMT" w:hAnsi="TimesNewRomanPSMT" w:cs="TimesNewRomanPSMT"/>
          <w:sz w:val="20"/>
          <w:szCs w:val="20"/>
        </w:rPr>
        <w:t>Baak, S., A. Al-Mahmood, and S. Vixathep (2002) Exchange Rate Volatility and Exports from East Asian Countries to Japan and U.S. University of Japan. (Manuscript).</w:t>
      </w:r>
    </w:p>
    <w:p w:rsidR="00F70F63" w:rsidRPr="002B4833" w:rsidRDefault="00F70F63" w:rsidP="00F70F63">
      <w:pPr>
        <w:pStyle w:val="a4"/>
        <w:numPr>
          <w:ilvl w:val="0"/>
          <w:numId w:val="1"/>
        </w:numPr>
        <w:autoSpaceDE w:val="0"/>
        <w:autoSpaceDN w:val="0"/>
        <w:adjustRightInd w:val="0"/>
        <w:spacing w:after="0" w:line="240" w:lineRule="auto"/>
        <w:jc w:val="both"/>
        <w:rPr>
          <w:rFonts w:ascii="TimesNewRomanPSMT" w:hAnsi="TimesNewRomanPSMT" w:cs="TimesNewRomanPSMT"/>
          <w:sz w:val="20"/>
          <w:szCs w:val="20"/>
        </w:rPr>
      </w:pPr>
      <w:r w:rsidRPr="002B4833">
        <w:rPr>
          <w:rFonts w:ascii="TimesNewRomanPSMT" w:hAnsi="TimesNewRomanPSMT" w:cs="TimesNewRomanPSMT"/>
          <w:sz w:val="20"/>
          <w:szCs w:val="20"/>
        </w:rPr>
        <w:t xml:space="preserve">Bahmani-Oskooee, M. (1984) On the Effects of Effective Exchange Rates on Trade Flows. </w:t>
      </w:r>
      <w:r w:rsidRPr="002B4833">
        <w:rPr>
          <w:i/>
          <w:iCs/>
          <w:sz w:val="20"/>
          <w:szCs w:val="20"/>
        </w:rPr>
        <w:t xml:space="preserve">Indian Journal of Economics </w:t>
      </w:r>
      <w:r w:rsidRPr="002B4833">
        <w:rPr>
          <w:rFonts w:ascii="TimesNewRomanPSMT" w:hAnsi="TimesNewRomanPSMT" w:cs="TimesNewRomanPSMT"/>
          <w:sz w:val="20"/>
          <w:szCs w:val="20"/>
        </w:rPr>
        <w:t>256, 57–67</w:t>
      </w:r>
    </w:p>
    <w:p w:rsidR="00F70F63" w:rsidRPr="002B4833" w:rsidRDefault="00F70F63" w:rsidP="00F70F63">
      <w:pPr>
        <w:pStyle w:val="a4"/>
        <w:numPr>
          <w:ilvl w:val="0"/>
          <w:numId w:val="1"/>
        </w:numPr>
        <w:autoSpaceDE w:val="0"/>
        <w:autoSpaceDN w:val="0"/>
        <w:adjustRightInd w:val="0"/>
        <w:spacing w:after="0" w:line="240" w:lineRule="auto"/>
        <w:jc w:val="both"/>
        <w:rPr>
          <w:rFonts w:ascii="TimesNewRomanPSMT" w:hAnsi="TimesNewRomanPSMT" w:cs="TimesNewRomanPSMT"/>
          <w:sz w:val="20"/>
          <w:szCs w:val="20"/>
        </w:rPr>
      </w:pPr>
      <w:r w:rsidRPr="002B4833">
        <w:rPr>
          <w:rFonts w:ascii="TimesNewRomanPSMT" w:hAnsi="TimesNewRomanPSMT" w:cs="TimesNewRomanPSMT"/>
          <w:sz w:val="20"/>
          <w:szCs w:val="20"/>
        </w:rPr>
        <w:t xml:space="preserve">Chowdhury, A. R. (1993) Does Exchange Rate Volatility Depress Trade Flows? Evidence from Error-Correction Models. </w:t>
      </w:r>
      <w:r w:rsidRPr="002B4833">
        <w:rPr>
          <w:i/>
          <w:iCs/>
          <w:sz w:val="20"/>
          <w:szCs w:val="20"/>
        </w:rPr>
        <w:t xml:space="preserve">The Review of Economics and Statistics </w:t>
      </w:r>
      <w:r w:rsidRPr="002B4833">
        <w:rPr>
          <w:rFonts w:ascii="TimesNewRomanPSMT" w:hAnsi="TimesNewRomanPSMT" w:cs="TimesNewRomanPSMT"/>
          <w:sz w:val="20"/>
          <w:szCs w:val="20"/>
        </w:rPr>
        <w:t>75, 700–706.</w:t>
      </w:r>
    </w:p>
    <w:p w:rsidR="00F70F63" w:rsidRPr="002B4833" w:rsidRDefault="00F70F63" w:rsidP="00F70F63">
      <w:pPr>
        <w:pStyle w:val="a4"/>
        <w:numPr>
          <w:ilvl w:val="0"/>
          <w:numId w:val="1"/>
        </w:numPr>
        <w:autoSpaceDE w:val="0"/>
        <w:autoSpaceDN w:val="0"/>
        <w:adjustRightInd w:val="0"/>
        <w:spacing w:after="0" w:line="240" w:lineRule="auto"/>
        <w:jc w:val="both"/>
        <w:rPr>
          <w:rFonts w:ascii="TimesNewRomanPSMT" w:hAnsi="TimesNewRomanPSMT" w:cs="TimesNewRomanPSMT"/>
          <w:sz w:val="20"/>
          <w:szCs w:val="20"/>
        </w:rPr>
      </w:pPr>
      <w:r w:rsidRPr="002B4833">
        <w:rPr>
          <w:rFonts w:ascii="TimesNewRomanPSMT" w:hAnsi="TimesNewRomanPSMT" w:cs="TimesNewRomanPSMT"/>
          <w:sz w:val="20"/>
          <w:szCs w:val="20"/>
        </w:rPr>
        <w:t>Coes, D. (1981) The Crawling Peg and Exchange Rate Uncertainty. In J. Williamson (ed.). New York: SDT. Martin’s Press, 113–136.</w:t>
      </w:r>
    </w:p>
    <w:p w:rsidR="00F70F63" w:rsidRPr="002B4833" w:rsidRDefault="00F70F63" w:rsidP="00F70F63">
      <w:pPr>
        <w:pStyle w:val="a4"/>
        <w:numPr>
          <w:ilvl w:val="0"/>
          <w:numId w:val="1"/>
        </w:numPr>
        <w:autoSpaceDE w:val="0"/>
        <w:autoSpaceDN w:val="0"/>
        <w:adjustRightInd w:val="0"/>
        <w:spacing w:after="0" w:line="240" w:lineRule="auto"/>
        <w:jc w:val="both"/>
        <w:rPr>
          <w:rFonts w:ascii="TimesNewRomanPSMT" w:hAnsi="TimesNewRomanPSMT" w:cs="TimesNewRomanPSMT"/>
          <w:sz w:val="20"/>
          <w:szCs w:val="20"/>
        </w:rPr>
      </w:pPr>
      <w:r w:rsidRPr="002B4833">
        <w:rPr>
          <w:rFonts w:ascii="TimesNewRomanPSMT" w:hAnsi="TimesNewRomanPSMT" w:cs="TimesNewRomanPSMT"/>
          <w:sz w:val="20"/>
          <w:szCs w:val="20"/>
        </w:rPr>
        <w:t xml:space="preserve">Cushman, D. O. (1983) The Effects of Real Exchange Rate Risk on International Trade. </w:t>
      </w:r>
      <w:r w:rsidRPr="002B4833">
        <w:rPr>
          <w:i/>
          <w:iCs/>
          <w:sz w:val="20"/>
          <w:szCs w:val="20"/>
        </w:rPr>
        <w:t xml:space="preserve">Journal of International Economics </w:t>
      </w:r>
      <w:r w:rsidRPr="002B4833">
        <w:rPr>
          <w:rFonts w:ascii="TimesNewRomanPSMT" w:hAnsi="TimesNewRomanPSMT" w:cs="TimesNewRomanPSMT"/>
          <w:sz w:val="20"/>
          <w:szCs w:val="20"/>
        </w:rPr>
        <w:t>15, 45–63</w:t>
      </w:r>
    </w:p>
    <w:p w:rsidR="00F70F63" w:rsidRPr="002B4833" w:rsidRDefault="00F70F63" w:rsidP="00F70F63">
      <w:pPr>
        <w:pStyle w:val="a4"/>
        <w:numPr>
          <w:ilvl w:val="0"/>
          <w:numId w:val="1"/>
        </w:numPr>
        <w:autoSpaceDE w:val="0"/>
        <w:autoSpaceDN w:val="0"/>
        <w:adjustRightInd w:val="0"/>
        <w:spacing w:after="0" w:line="240" w:lineRule="auto"/>
        <w:jc w:val="both"/>
        <w:rPr>
          <w:rFonts w:ascii="TimesNewRomanPSMT" w:hAnsi="TimesNewRomanPSMT" w:cs="TimesNewRomanPSMT"/>
          <w:sz w:val="20"/>
          <w:szCs w:val="20"/>
        </w:rPr>
      </w:pPr>
      <w:r w:rsidRPr="002B4833">
        <w:rPr>
          <w:rFonts w:ascii="TimesNewRomanPSMT" w:hAnsi="TimesNewRomanPSMT" w:cs="TimesNewRomanPSMT"/>
          <w:sz w:val="20"/>
          <w:szCs w:val="20"/>
        </w:rPr>
        <w:t xml:space="preserve">Cushman, D. O. (1986) Has Exchange Risk Depressed International Trade? The Impact of Third Country Exchange Risk. </w:t>
      </w:r>
      <w:r w:rsidRPr="002B4833">
        <w:rPr>
          <w:i/>
          <w:iCs/>
          <w:sz w:val="20"/>
          <w:szCs w:val="20"/>
        </w:rPr>
        <w:t xml:space="preserve">Journal of International Money and Finance </w:t>
      </w:r>
      <w:r w:rsidRPr="002B4833">
        <w:rPr>
          <w:rFonts w:ascii="TimesNewRomanPSMT" w:hAnsi="TimesNewRomanPSMT" w:cs="TimesNewRomanPSMT"/>
          <w:sz w:val="20"/>
          <w:szCs w:val="20"/>
        </w:rPr>
        <w:t>5, 361–379.</w:t>
      </w:r>
    </w:p>
    <w:p w:rsidR="00F70F63" w:rsidRPr="002B4833" w:rsidRDefault="00F70F63" w:rsidP="00F70F63">
      <w:pPr>
        <w:pStyle w:val="a4"/>
        <w:numPr>
          <w:ilvl w:val="0"/>
          <w:numId w:val="1"/>
        </w:numPr>
        <w:autoSpaceDE w:val="0"/>
        <w:autoSpaceDN w:val="0"/>
        <w:adjustRightInd w:val="0"/>
        <w:spacing w:after="0" w:line="240" w:lineRule="auto"/>
        <w:jc w:val="both"/>
        <w:rPr>
          <w:rFonts w:ascii="TimesNewRomanPSMT" w:hAnsi="TimesNewRomanPSMT" w:cs="TimesNewRomanPSMT"/>
          <w:sz w:val="20"/>
          <w:szCs w:val="20"/>
        </w:rPr>
      </w:pPr>
      <w:r w:rsidRPr="002B4833">
        <w:rPr>
          <w:rFonts w:ascii="TimesNewRomanPSMT" w:hAnsi="TimesNewRomanPSMT" w:cs="TimesNewRomanPSMT"/>
          <w:sz w:val="20"/>
          <w:szCs w:val="20"/>
        </w:rPr>
        <w:t xml:space="preserve">Gotur, P. (1985) Effects of Exchange Rate Volatility on Trade: Some Further Evidence. </w:t>
      </w:r>
      <w:r w:rsidRPr="002B4833">
        <w:rPr>
          <w:i/>
          <w:iCs/>
          <w:sz w:val="20"/>
          <w:szCs w:val="20"/>
        </w:rPr>
        <w:t xml:space="preserve">IMF Staff Papers </w:t>
      </w:r>
      <w:r w:rsidRPr="002B4833">
        <w:rPr>
          <w:rFonts w:ascii="TimesNewRomanPSMT" w:hAnsi="TimesNewRomanPSMT" w:cs="TimesNewRomanPSMT"/>
          <w:sz w:val="20"/>
          <w:szCs w:val="20"/>
        </w:rPr>
        <w:t>32, 475–512.</w:t>
      </w:r>
    </w:p>
    <w:p w:rsidR="00F70F63" w:rsidRPr="002B4833" w:rsidRDefault="00F70F63" w:rsidP="00F70F63">
      <w:pPr>
        <w:pStyle w:val="a4"/>
        <w:numPr>
          <w:ilvl w:val="0"/>
          <w:numId w:val="1"/>
        </w:numPr>
        <w:autoSpaceDE w:val="0"/>
        <w:autoSpaceDN w:val="0"/>
        <w:adjustRightInd w:val="0"/>
        <w:spacing w:after="0" w:line="240" w:lineRule="auto"/>
        <w:jc w:val="both"/>
        <w:rPr>
          <w:rFonts w:ascii="TimesNewRomanPSMT" w:hAnsi="TimesNewRomanPSMT" w:cs="TimesNewRomanPSMT"/>
          <w:sz w:val="20"/>
          <w:szCs w:val="20"/>
        </w:rPr>
      </w:pPr>
      <w:r w:rsidRPr="002B4833">
        <w:rPr>
          <w:rFonts w:ascii="TimesNewRomanPSMT" w:hAnsi="TimesNewRomanPSMT" w:cs="TimesNewRomanPSMT"/>
          <w:sz w:val="20"/>
          <w:szCs w:val="20"/>
        </w:rPr>
        <w:t xml:space="preserve">Hooper, P., and S. W. Kohlhagen (1978) The Effects of Exchange Rate Uncertainty on the Price and Volume of International Trade. </w:t>
      </w:r>
      <w:r w:rsidRPr="002B4833">
        <w:rPr>
          <w:i/>
          <w:iCs/>
          <w:sz w:val="20"/>
          <w:szCs w:val="20"/>
        </w:rPr>
        <w:t xml:space="preserve">Journal of International Economics </w:t>
      </w:r>
      <w:r w:rsidRPr="002B4833">
        <w:rPr>
          <w:rFonts w:ascii="TimesNewRomanPSMT" w:hAnsi="TimesNewRomanPSMT" w:cs="TimesNewRomanPSMT"/>
          <w:sz w:val="20"/>
          <w:szCs w:val="20"/>
        </w:rPr>
        <w:t>8, 483–511.</w:t>
      </w:r>
    </w:p>
    <w:p w:rsidR="00F70F63" w:rsidRPr="002B4833" w:rsidRDefault="00F70F63" w:rsidP="00F70F63">
      <w:pPr>
        <w:pStyle w:val="a4"/>
        <w:numPr>
          <w:ilvl w:val="0"/>
          <w:numId w:val="1"/>
        </w:numPr>
        <w:autoSpaceDE w:val="0"/>
        <w:autoSpaceDN w:val="0"/>
        <w:adjustRightInd w:val="0"/>
        <w:spacing w:after="0" w:line="240" w:lineRule="auto"/>
        <w:jc w:val="both"/>
        <w:rPr>
          <w:i/>
          <w:iCs/>
          <w:sz w:val="20"/>
          <w:szCs w:val="20"/>
        </w:rPr>
      </w:pPr>
      <w:r w:rsidRPr="002B4833">
        <w:rPr>
          <w:rFonts w:ascii="TimesNewRomanPSMT" w:hAnsi="TimesNewRomanPSMT" w:cs="TimesNewRomanPSMT"/>
          <w:sz w:val="20"/>
          <w:szCs w:val="20"/>
        </w:rPr>
        <w:t xml:space="preserve">Rana, P. (1983) </w:t>
      </w:r>
      <w:r w:rsidRPr="002B4833">
        <w:rPr>
          <w:i/>
          <w:iCs/>
          <w:sz w:val="20"/>
          <w:szCs w:val="20"/>
        </w:rPr>
        <w:t xml:space="preserve">The Impact of Generalised Floating on Trade Flows and Reserve Needs: Selected Asian Developing Countries. </w:t>
      </w:r>
      <w:r w:rsidRPr="002B4833">
        <w:rPr>
          <w:rFonts w:ascii="TimesNewRomanPSMT" w:hAnsi="TimesNewRomanPSMT" w:cs="TimesNewRomanPSMT"/>
          <w:sz w:val="20"/>
          <w:szCs w:val="20"/>
        </w:rPr>
        <w:t>New York: Garland Publishers.</w:t>
      </w:r>
    </w:p>
    <w:p w:rsidR="00F70F63" w:rsidRPr="002B4833" w:rsidRDefault="00F70F63" w:rsidP="00F70F63">
      <w:pPr>
        <w:pStyle w:val="a4"/>
        <w:numPr>
          <w:ilvl w:val="0"/>
          <w:numId w:val="1"/>
        </w:numPr>
        <w:autoSpaceDE w:val="0"/>
        <w:autoSpaceDN w:val="0"/>
        <w:adjustRightInd w:val="0"/>
        <w:spacing w:after="0" w:line="240" w:lineRule="auto"/>
        <w:jc w:val="both"/>
        <w:rPr>
          <w:i/>
          <w:iCs/>
          <w:sz w:val="20"/>
          <w:szCs w:val="20"/>
        </w:rPr>
      </w:pPr>
      <w:r w:rsidRPr="002B4833">
        <w:rPr>
          <w:rFonts w:ascii="TimesNewRomanPSMT" w:hAnsi="TimesNewRomanPSMT" w:cs="TimesNewRomanPSMT"/>
          <w:sz w:val="20"/>
          <w:szCs w:val="20"/>
        </w:rPr>
        <w:lastRenderedPageBreak/>
        <w:t xml:space="preserve">S. Alam and Q. M. Ahmed(2010)Exchange Rate Volatility and Pakistan’s Import Demand: An Application of Autoregressive Distributed Lag Model. </w:t>
      </w:r>
      <w:r w:rsidRPr="002B4833">
        <w:rPr>
          <w:rFonts w:ascii="TimesNewRomanPSMT" w:hAnsi="TimesNewRomanPSMT" w:cs="TimesNewRomanPSMT"/>
          <w:i/>
          <w:sz w:val="20"/>
          <w:szCs w:val="20"/>
        </w:rPr>
        <w:t>International Research Journal of Finance and Economics</w:t>
      </w:r>
      <w:r w:rsidRPr="002B4833">
        <w:rPr>
          <w:rFonts w:ascii="TimesNewRomanPSMT" w:hAnsi="TimesNewRomanPSMT" w:cs="TimesNewRomanPSMT"/>
          <w:sz w:val="20"/>
          <w:szCs w:val="20"/>
        </w:rPr>
        <w:t xml:space="preserve"> 48, 7-22.</w:t>
      </w:r>
    </w:p>
    <w:p w:rsidR="00F70F63" w:rsidRPr="002B4833" w:rsidRDefault="00F70F63" w:rsidP="00F70F63">
      <w:pPr>
        <w:pStyle w:val="a4"/>
        <w:numPr>
          <w:ilvl w:val="0"/>
          <w:numId w:val="1"/>
        </w:numPr>
        <w:autoSpaceDE w:val="0"/>
        <w:autoSpaceDN w:val="0"/>
        <w:adjustRightInd w:val="0"/>
        <w:spacing w:after="0" w:line="240" w:lineRule="auto"/>
        <w:jc w:val="both"/>
        <w:rPr>
          <w:rFonts w:ascii="TimesNewRomanPSMT" w:hAnsi="TimesNewRomanPSMT" w:cs="TimesNewRomanPSMT"/>
          <w:sz w:val="20"/>
          <w:szCs w:val="20"/>
        </w:rPr>
      </w:pPr>
      <w:r w:rsidRPr="002B4833">
        <w:rPr>
          <w:rFonts w:ascii="TimesNewRomanPSMT" w:hAnsi="TimesNewRomanPSMT" w:cs="TimesNewRomanPSMT"/>
          <w:sz w:val="20"/>
          <w:szCs w:val="20"/>
        </w:rPr>
        <w:t xml:space="preserve">Mohammad Afzal(2007)  EXCHANGE RATE RESPONSE OF IMPORT DEMAND IN PAKISTAN. </w:t>
      </w:r>
      <w:r w:rsidRPr="002B4833">
        <w:rPr>
          <w:rFonts w:ascii="TimesNewRomanPSMT" w:hAnsi="TimesNewRomanPSMT" w:cs="TimesNewRomanPSMT"/>
          <w:i/>
          <w:sz w:val="20"/>
          <w:szCs w:val="20"/>
        </w:rPr>
        <w:t>Sarhad J. Agric.</w:t>
      </w:r>
      <w:r w:rsidRPr="002B4833">
        <w:rPr>
          <w:rFonts w:ascii="TimesNewRomanPSMT" w:hAnsi="TimesNewRomanPSMT" w:cs="TimesNewRomanPSMT"/>
          <w:sz w:val="20"/>
          <w:szCs w:val="20"/>
        </w:rPr>
        <w:t xml:space="preserve">  23, 1181-1186</w:t>
      </w:r>
    </w:p>
    <w:p w:rsidR="00F70F63" w:rsidRPr="002B4833" w:rsidRDefault="00F70F63" w:rsidP="00F70F63">
      <w:pPr>
        <w:pStyle w:val="a4"/>
        <w:numPr>
          <w:ilvl w:val="0"/>
          <w:numId w:val="1"/>
        </w:numPr>
        <w:autoSpaceDE w:val="0"/>
        <w:autoSpaceDN w:val="0"/>
        <w:adjustRightInd w:val="0"/>
        <w:spacing w:after="0" w:line="240" w:lineRule="auto"/>
        <w:rPr>
          <w:rFonts w:ascii="TimesNewRomanPSMT" w:hAnsi="TimesNewRomanPSMT" w:cs="TimesNewRomanPSMT"/>
          <w:sz w:val="20"/>
          <w:szCs w:val="20"/>
        </w:rPr>
      </w:pPr>
      <w:r w:rsidRPr="002B4833">
        <w:rPr>
          <w:rFonts w:ascii="TimesNewRomanPSMT" w:hAnsi="TimesNewRomanPSMT" w:cs="TimesNewRomanPSMT"/>
          <w:sz w:val="20"/>
          <w:szCs w:val="20"/>
        </w:rPr>
        <w:t xml:space="preserve">S.Alam and Q.M. Ahmad(2011)Exchange Rate Volatility and Pakistan’s Bilateral Imports from Major Sources: An Application of ARDL Approach. </w:t>
      </w:r>
      <w:r w:rsidRPr="002B4833">
        <w:rPr>
          <w:rFonts w:ascii="TimesNewRomanPSMT" w:hAnsi="TimesNewRomanPSMT" w:cs="TimesNewRomanPSMT"/>
          <w:i/>
          <w:sz w:val="20"/>
          <w:szCs w:val="20"/>
        </w:rPr>
        <w:t>International Journal of Economics and Finance</w:t>
      </w:r>
      <w:r w:rsidRPr="002B4833">
        <w:rPr>
          <w:rFonts w:ascii="TimesNewRomanPSMT" w:hAnsi="TimesNewRomanPSMT" w:cs="TimesNewRomanPSMT"/>
          <w:sz w:val="20"/>
          <w:szCs w:val="20"/>
        </w:rPr>
        <w:t xml:space="preserve"> 3, 245-254.</w:t>
      </w:r>
    </w:p>
    <w:p w:rsidR="00671EF1" w:rsidRDefault="00671EF1"/>
    <w:sectPr w:rsidR="00671EF1" w:rsidSect="00DB4A7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5D3" w:rsidRDefault="00BD15D3" w:rsidP="00AE16B4">
      <w:r>
        <w:separator/>
      </w:r>
    </w:p>
  </w:endnote>
  <w:endnote w:type="continuationSeparator" w:id="1">
    <w:p w:rsidR="00BD15D3" w:rsidRDefault="00BD15D3" w:rsidP="00AE16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5D3" w:rsidRDefault="00BD15D3" w:rsidP="00AE16B4">
      <w:r>
        <w:separator/>
      </w:r>
    </w:p>
  </w:footnote>
  <w:footnote w:type="continuationSeparator" w:id="1">
    <w:p w:rsidR="00BD15D3" w:rsidRDefault="00BD15D3" w:rsidP="00AE16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30ACD"/>
    <w:multiLevelType w:val="hybridMultilevel"/>
    <w:tmpl w:val="0C7E7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5F5552"/>
    <w:rsid w:val="005F5552"/>
    <w:rsid w:val="00671EF1"/>
    <w:rsid w:val="00AE16B4"/>
    <w:rsid w:val="00BD15D3"/>
    <w:rsid w:val="00DB4A78"/>
    <w:rsid w:val="00F70F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F63"/>
    <w:pPr>
      <w:spacing w:after="0" w:line="240" w:lineRule="auto"/>
    </w:pPr>
    <w:rPr>
      <w:rFonts w:ascii="Times New Roman" w:eastAsia="Times New Roman" w:hAnsi="Times New Roman" w:cs="Times New Roman"/>
      <w:sz w:val="24"/>
      <w:szCs w:val="24"/>
      <w:lang w:val="tr-TR" w:eastAsia="tr-TR"/>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70F63"/>
    <w:rPr>
      <w:color w:val="0000FF"/>
      <w:u w:val="single"/>
    </w:rPr>
  </w:style>
  <w:style w:type="paragraph" w:styleId="a4">
    <w:name w:val="List Paragraph"/>
    <w:basedOn w:val="a"/>
    <w:uiPriority w:val="34"/>
    <w:qFormat/>
    <w:rsid w:val="00F70F63"/>
    <w:pPr>
      <w:spacing w:after="200" w:line="276" w:lineRule="auto"/>
      <w:ind w:left="720"/>
      <w:contextualSpacing/>
    </w:pPr>
    <w:rPr>
      <w:rFonts w:eastAsia="Cambria"/>
      <w:szCs w:val="22"/>
      <w:lang w:val="en-US" w:eastAsia="en-US"/>
    </w:rPr>
  </w:style>
  <w:style w:type="paragraph" w:styleId="a5">
    <w:name w:val="header"/>
    <w:basedOn w:val="a"/>
    <w:link w:val="Char"/>
    <w:uiPriority w:val="99"/>
    <w:semiHidden/>
    <w:unhideWhenUsed/>
    <w:rsid w:val="00AE16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AE16B4"/>
    <w:rPr>
      <w:rFonts w:ascii="Times New Roman" w:eastAsia="Times New Roman" w:hAnsi="Times New Roman" w:cs="Times New Roman"/>
      <w:sz w:val="18"/>
      <w:szCs w:val="18"/>
      <w:lang w:val="tr-TR" w:eastAsia="tr-TR"/>
    </w:rPr>
  </w:style>
  <w:style w:type="paragraph" w:styleId="a6">
    <w:name w:val="footer"/>
    <w:basedOn w:val="a"/>
    <w:link w:val="Char0"/>
    <w:uiPriority w:val="99"/>
    <w:semiHidden/>
    <w:unhideWhenUsed/>
    <w:rsid w:val="00AE16B4"/>
    <w:pPr>
      <w:tabs>
        <w:tab w:val="center" w:pos="4153"/>
        <w:tab w:val="right" w:pos="8306"/>
      </w:tabs>
      <w:snapToGrid w:val="0"/>
    </w:pPr>
    <w:rPr>
      <w:sz w:val="18"/>
      <w:szCs w:val="18"/>
    </w:rPr>
  </w:style>
  <w:style w:type="character" w:customStyle="1" w:styleId="Char0">
    <w:name w:val="页脚 Char"/>
    <w:basedOn w:val="a0"/>
    <w:link w:val="a6"/>
    <w:uiPriority w:val="99"/>
    <w:semiHidden/>
    <w:rsid w:val="00AE16B4"/>
    <w:rPr>
      <w:rFonts w:ascii="Times New Roman" w:eastAsia="Times New Roman" w:hAnsi="Times New Roman" w:cs="Times New Roman"/>
      <w:sz w:val="18"/>
      <w:szCs w:val="18"/>
      <w:lang w:val="tr-TR" w:eastAsia="tr-TR"/>
    </w:rPr>
  </w:style>
  <w:style w:type="paragraph" w:styleId="a7">
    <w:name w:val="Balloon Text"/>
    <w:basedOn w:val="a"/>
    <w:link w:val="Char1"/>
    <w:uiPriority w:val="99"/>
    <w:semiHidden/>
    <w:unhideWhenUsed/>
    <w:rsid w:val="00AE16B4"/>
    <w:rPr>
      <w:sz w:val="16"/>
      <w:szCs w:val="16"/>
    </w:rPr>
  </w:style>
  <w:style w:type="character" w:customStyle="1" w:styleId="Char1">
    <w:name w:val="批注框文本 Char"/>
    <w:basedOn w:val="a0"/>
    <w:link w:val="a7"/>
    <w:uiPriority w:val="99"/>
    <w:semiHidden/>
    <w:rsid w:val="00AE16B4"/>
    <w:rPr>
      <w:rFonts w:ascii="Times New Roman" w:eastAsia="Times New Roman" w:hAnsi="Times New Roman" w:cs="Times New Roman"/>
      <w:sz w:val="16"/>
      <w:szCs w:val="16"/>
      <w:lang w:val="tr-TR"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xyw.gh@163.com" TargetMode="External"/><Relationship Id="rId13"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hyperlink" Target="mailto:m_ishfaq452@yahoo.com" TargetMode="External"/><Relationship Id="rId12"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miz_rehman@hot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nikasattar@yahoo.com" TargetMode="External"/><Relationship Id="rId4" Type="http://schemas.openxmlformats.org/officeDocument/2006/relationships/webSettings" Target="webSettings.xml"/><Relationship Id="rId9" Type="http://schemas.openxmlformats.org/officeDocument/2006/relationships/hyperlink" Target="mailto:mudassar.hassan@lbs.uol.edu.pk"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oleObject" Target="file:///G:\International\Final%20Data.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G:\International\Final%20Data.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G:\International\Final%20Data.xls"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lang val="zh-CN"/>
  <c:clrMapOvr bg1="lt1" tx1="dk1" bg2="lt2" tx2="dk2" accent1="accent1" accent2="accent2" accent3="accent3" accent4="accent4" accent5="accent5" accent6="accent6" hlink="hlink" folHlink="folHlink"/>
  <c:chart>
    <c:title>
      <c:tx>
        <c:rich>
          <a:bodyPr/>
          <a:lstStyle/>
          <a:p>
            <a:pPr>
              <a:defRPr lang="en-US"/>
            </a:pPr>
            <a:r>
              <a:rPr lang="en-US" baseline="0"/>
              <a:t>Exchange Rate Volatility and Avg Annual Exchange Rate </a:t>
            </a:r>
            <a:endParaRPr lang="en-US"/>
          </a:p>
        </c:rich>
      </c:tx>
    </c:title>
    <c:plotArea>
      <c:layout/>
      <c:barChart>
        <c:barDir val="col"/>
        <c:grouping val="clustered"/>
        <c:ser>
          <c:idx val="0"/>
          <c:order val="0"/>
          <c:tx>
            <c:strRef>
              <c:f>'decade wise descriptive'!$J$3</c:f>
              <c:strCache>
                <c:ptCount val="1"/>
                <c:pt idx="0">
                  <c:v>Volatality of exchange rate</c:v>
                </c:pt>
              </c:strCache>
            </c:strRef>
          </c:tx>
          <c:dLbls>
            <c:spPr>
              <a:noFill/>
              <a:ln>
                <a:noFill/>
              </a:ln>
              <a:effectLst/>
            </c:spPr>
            <c:txPr>
              <a:bodyPr/>
              <a:lstStyle/>
              <a:p>
                <a:pPr>
                  <a:defRPr lang="en-US"/>
                </a:pPr>
                <a:endParaRPr lang="zh-CN"/>
              </a:p>
            </c:txPr>
            <c:showVal val="1"/>
            <c:extLst>
              <c:ext xmlns:c15="http://schemas.microsoft.com/office/drawing/2012/chart" uri="{CE6537A1-D6FC-4f65-9D91-7224C49458BB}">
                <c15:showLeaderLines val="0"/>
              </c:ext>
            </c:extLst>
          </c:dLbls>
          <c:cat>
            <c:strRef>
              <c:f>'decade wise descriptive'!$I$5:$I$7</c:f>
              <c:strCache>
                <c:ptCount val="3"/>
                <c:pt idx="0">
                  <c:v>1981-90</c:v>
                </c:pt>
                <c:pt idx="1">
                  <c:v>1991-2000</c:v>
                </c:pt>
                <c:pt idx="2">
                  <c:v>2001-2010</c:v>
                </c:pt>
              </c:strCache>
            </c:strRef>
          </c:cat>
          <c:val>
            <c:numRef>
              <c:f>'decade wise descriptive'!$J$5:$J$7</c:f>
              <c:numCache>
                <c:formatCode>0.00</c:formatCode>
                <c:ptCount val="3"/>
                <c:pt idx="0">
                  <c:v>0.49065628770969644</c:v>
                </c:pt>
                <c:pt idx="1">
                  <c:v>1.1625678670890269</c:v>
                </c:pt>
                <c:pt idx="2">
                  <c:v>0.98338364025834557</c:v>
                </c:pt>
              </c:numCache>
            </c:numRef>
          </c:val>
        </c:ser>
        <c:ser>
          <c:idx val="1"/>
          <c:order val="1"/>
          <c:tx>
            <c:strRef>
              <c:f>'decade wise descriptive'!$K$3</c:f>
              <c:strCache>
                <c:ptCount val="1"/>
                <c:pt idx="0">
                  <c:v>Avg Annual Exchange Rate</c:v>
                </c:pt>
              </c:strCache>
            </c:strRef>
          </c:tx>
          <c:dLbls>
            <c:spPr>
              <a:noFill/>
              <a:ln>
                <a:noFill/>
              </a:ln>
              <a:effectLst/>
            </c:spPr>
            <c:txPr>
              <a:bodyPr/>
              <a:lstStyle/>
              <a:p>
                <a:pPr>
                  <a:defRPr lang="en-US"/>
                </a:pPr>
                <a:endParaRPr lang="zh-CN"/>
              </a:p>
            </c:txPr>
            <c:showVal val="1"/>
            <c:extLst>
              <c:ext xmlns:c15="http://schemas.microsoft.com/office/drawing/2012/chart" uri="{CE6537A1-D6FC-4f65-9D91-7224C49458BB}">
                <c15:showLeaderLines val="0"/>
              </c:ext>
            </c:extLst>
          </c:dLbls>
          <c:cat>
            <c:strRef>
              <c:f>'decade wise descriptive'!$I$5:$I$7</c:f>
              <c:strCache>
                <c:ptCount val="3"/>
                <c:pt idx="0">
                  <c:v>1981-90</c:v>
                </c:pt>
                <c:pt idx="1">
                  <c:v>1991-2000</c:v>
                </c:pt>
                <c:pt idx="2">
                  <c:v>2001-2010</c:v>
                </c:pt>
              </c:strCache>
            </c:strRef>
          </c:cat>
          <c:val>
            <c:numRef>
              <c:f>'decade wise descriptive'!$K$5:$K$7</c:f>
              <c:numCache>
                <c:formatCode>0.00</c:formatCode>
                <c:ptCount val="3"/>
                <c:pt idx="0">
                  <c:v>16.645464166666695</c:v>
                </c:pt>
                <c:pt idx="1">
                  <c:v>38.650314366666571</c:v>
                </c:pt>
                <c:pt idx="2">
                  <c:v>66.842658028463148</c:v>
                </c:pt>
              </c:numCache>
            </c:numRef>
          </c:val>
        </c:ser>
        <c:overlap val="-25"/>
        <c:axId val="110688896"/>
        <c:axId val="110972288"/>
      </c:barChart>
      <c:catAx>
        <c:axId val="110688896"/>
        <c:scaling>
          <c:orientation val="minMax"/>
        </c:scaling>
        <c:axPos val="b"/>
        <c:numFmt formatCode="General" sourceLinked="1"/>
        <c:majorTickMark val="none"/>
        <c:tickLblPos val="nextTo"/>
        <c:txPr>
          <a:bodyPr/>
          <a:lstStyle/>
          <a:p>
            <a:pPr>
              <a:defRPr lang="en-US"/>
            </a:pPr>
            <a:endParaRPr lang="zh-CN"/>
          </a:p>
        </c:txPr>
        <c:crossAx val="110972288"/>
        <c:crosses val="autoZero"/>
        <c:auto val="1"/>
        <c:lblAlgn val="ctr"/>
        <c:lblOffset val="100"/>
      </c:catAx>
      <c:valAx>
        <c:axId val="110972288"/>
        <c:scaling>
          <c:orientation val="minMax"/>
        </c:scaling>
        <c:delete val="1"/>
        <c:axPos val="l"/>
        <c:numFmt formatCode="0.00" sourceLinked="1"/>
        <c:tickLblPos val="none"/>
        <c:crossAx val="110688896"/>
        <c:crosses val="autoZero"/>
        <c:crossBetween val="between"/>
      </c:valAx>
    </c:plotArea>
    <c:legend>
      <c:legendPos val="t"/>
      <c:txPr>
        <a:bodyPr/>
        <a:lstStyle/>
        <a:p>
          <a:pPr>
            <a:defRPr lang="en-US"/>
          </a:pPr>
          <a:endParaRPr lang="zh-CN"/>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a:lstStyle/>
          <a:p>
            <a:pPr>
              <a:defRPr lang="en-US"/>
            </a:pPr>
            <a:r>
              <a:rPr lang="en-US" sz="1600"/>
              <a:t>Import</a:t>
            </a:r>
            <a:r>
              <a:rPr lang="en-US" sz="1600" baseline="0"/>
              <a:t> &amp; Export(Million $)</a:t>
            </a:r>
            <a:endParaRPr lang="en-US" sz="1600"/>
          </a:p>
        </c:rich>
      </c:tx>
      <c:layout>
        <c:manualLayout>
          <c:xMode val="edge"/>
          <c:yMode val="edge"/>
          <c:x val="0.13642366579177603"/>
          <c:y val="3.2407407407407503E-2"/>
        </c:manualLayout>
      </c:layout>
    </c:title>
    <c:plotArea>
      <c:layout>
        <c:manualLayout>
          <c:layoutTarget val="inner"/>
          <c:xMode val="edge"/>
          <c:yMode val="edge"/>
          <c:x val="0.19247462817147856"/>
          <c:y val="0.17885425780110828"/>
          <c:w val="0.65538779527559088"/>
          <c:h val="0.6661417322834654"/>
        </c:manualLayout>
      </c:layout>
      <c:barChart>
        <c:barDir val="col"/>
        <c:grouping val="stacked"/>
        <c:ser>
          <c:idx val="0"/>
          <c:order val="0"/>
          <c:tx>
            <c:strRef>
              <c:f>'decade wise descriptive'!$J$10</c:f>
              <c:strCache>
                <c:ptCount val="1"/>
                <c:pt idx="0">
                  <c:v>Exports</c:v>
                </c:pt>
              </c:strCache>
            </c:strRef>
          </c:tx>
          <c:dLbls>
            <c:spPr>
              <a:noFill/>
              <a:ln>
                <a:noFill/>
              </a:ln>
              <a:effectLst/>
            </c:spPr>
            <c:txPr>
              <a:bodyPr/>
              <a:lstStyle/>
              <a:p>
                <a:pPr>
                  <a:defRPr lang="en-US"/>
                </a:pPr>
                <a:endParaRPr lang="zh-CN"/>
              </a:p>
            </c:txPr>
            <c:showVal val="1"/>
            <c:extLst>
              <c:ext xmlns:c15="http://schemas.microsoft.com/office/drawing/2012/chart" uri="{CE6537A1-D6FC-4f65-9D91-7224C49458BB}">
                <c15:showLeaderLines val="0"/>
              </c:ext>
            </c:extLst>
          </c:dLbls>
          <c:cat>
            <c:strRef>
              <c:f>'decade wise descriptive'!$I$11:$I$13</c:f>
              <c:strCache>
                <c:ptCount val="3"/>
                <c:pt idx="0">
                  <c:v>1981-90</c:v>
                </c:pt>
                <c:pt idx="1">
                  <c:v>1991-2000</c:v>
                </c:pt>
                <c:pt idx="2">
                  <c:v>2001-2010</c:v>
                </c:pt>
              </c:strCache>
            </c:strRef>
          </c:cat>
          <c:val>
            <c:numRef>
              <c:f>'decade wise descriptive'!$J$11:$J$13</c:f>
              <c:numCache>
                <c:formatCode>0.00</c:formatCode>
                <c:ptCount val="3"/>
                <c:pt idx="0">
                  <c:v>3430.62</c:v>
                </c:pt>
                <c:pt idx="1">
                  <c:v>7685.1500000000024</c:v>
                </c:pt>
                <c:pt idx="2">
                  <c:v>14565.849999999979</c:v>
                </c:pt>
              </c:numCache>
            </c:numRef>
          </c:val>
        </c:ser>
        <c:ser>
          <c:idx val="1"/>
          <c:order val="1"/>
          <c:tx>
            <c:strRef>
              <c:f>'decade wise descriptive'!$K$10</c:f>
              <c:strCache>
                <c:ptCount val="1"/>
                <c:pt idx="0">
                  <c:v>Imports</c:v>
                </c:pt>
              </c:strCache>
            </c:strRef>
          </c:tx>
          <c:dLbls>
            <c:spPr>
              <a:noFill/>
              <a:ln>
                <a:noFill/>
              </a:ln>
              <a:effectLst/>
            </c:spPr>
            <c:txPr>
              <a:bodyPr/>
              <a:lstStyle/>
              <a:p>
                <a:pPr>
                  <a:defRPr lang="en-US"/>
                </a:pPr>
                <a:endParaRPr lang="zh-CN"/>
              </a:p>
            </c:txPr>
            <c:showVal val="1"/>
            <c:extLst>
              <c:ext xmlns:c15="http://schemas.microsoft.com/office/drawing/2012/chart" uri="{CE6537A1-D6FC-4f65-9D91-7224C49458BB}">
                <c15:showLeaderLines val="0"/>
              </c:ext>
            </c:extLst>
          </c:dLbls>
          <c:cat>
            <c:strRef>
              <c:f>'decade wise descriptive'!$I$11:$I$13</c:f>
              <c:strCache>
                <c:ptCount val="3"/>
                <c:pt idx="0">
                  <c:v>1981-90</c:v>
                </c:pt>
                <c:pt idx="1">
                  <c:v>1991-2000</c:v>
                </c:pt>
                <c:pt idx="2">
                  <c:v>2001-2010</c:v>
                </c:pt>
              </c:strCache>
            </c:strRef>
          </c:cat>
          <c:val>
            <c:numRef>
              <c:f>'decade wise descriptive'!$K$11:$K$13</c:f>
              <c:numCache>
                <c:formatCode>0.00</c:formatCode>
                <c:ptCount val="3"/>
                <c:pt idx="0">
                  <c:v>5943.7699999999995</c:v>
                </c:pt>
                <c:pt idx="1">
                  <c:v>9936.1899999999732</c:v>
                </c:pt>
                <c:pt idx="2">
                  <c:v>23809.68</c:v>
                </c:pt>
              </c:numCache>
            </c:numRef>
          </c:val>
        </c:ser>
        <c:gapWidth val="55"/>
        <c:overlap val="100"/>
        <c:axId val="118143616"/>
        <c:axId val="118161792"/>
      </c:barChart>
      <c:catAx>
        <c:axId val="118143616"/>
        <c:scaling>
          <c:orientation val="minMax"/>
        </c:scaling>
        <c:axPos val="b"/>
        <c:numFmt formatCode="General" sourceLinked="1"/>
        <c:majorTickMark val="none"/>
        <c:tickLblPos val="nextTo"/>
        <c:txPr>
          <a:bodyPr/>
          <a:lstStyle/>
          <a:p>
            <a:pPr>
              <a:defRPr lang="en-US"/>
            </a:pPr>
            <a:endParaRPr lang="zh-CN"/>
          </a:p>
        </c:txPr>
        <c:crossAx val="118161792"/>
        <c:crosses val="autoZero"/>
        <c:auto val="1"/>
        <c:lblAlgn val="ctr"/>
        <c:lblOffset val="100"/>
      </c:catAx>
      <c:valAx>
        <c:axId val="118161792"/>
        <c:scaling>
          <c:orientation val="minMax"/>
        </c:scaling>
        <c:axPos val="l"/>
        <c:majorGridlines/>
        <c:numFmt formatCode="0.00" sourceLinked="1"/>
        <c:majorTickMark val="none"/>
        <c:tickLblPos val="nextTo"/>
        <c:txPr>
          <a:bodyPr/>
          <a:lstStyle/>
          <a:p>
            <a:pPr>
              <a:defRPr lang="en-US"/>
            </a:pPr>
            <a:endParaRPr lang="zh-CN"/>
          </a:p>
        </c:txPr>
        <c:crossAx val="118143616"/>
        <c:crosses val="autoZero"/>
        <c:crossBetween val="between"/>
      </c:valAx>
    </c:plotArea>
    <c:legend>
      <c:legendPos val="r"/>
      <c:txPr>
        <a:bodyPr/>
        <a:lstStyle/>
        <a:p>
          <a:pPr>
            <a:defRPr lang="en-US"/>
          </a:pPr>
          <a:endParaRPr lang="zh-CN"/>
        </a:p>
      </c:txP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a:lstStyle/>
          <a:p>
            <a:pPr>
              <a:defRPr lang="en-US"/>
            </a:pPr>
            <a:r>
              <a:rPr lang="en-US"/>
              <a:t>Imports,</a:t>
            </a:r>
            <a:r>
              <a:rPr lang="en-US" baseline="0"/>
              <a:t> Exports and Trade Deficit</a:t>
            </a:r>
            <a:endParaRPr lang="en-US"/>
          </a:p>
        </c:rich>
      </c:tx>
    </c:title>
    <c:plotArea>
      <c:layout/>
      <c:barChart>
        <c:barDir val="col"/>
        <c:grouping val="clustered"/>
        <c:ser>
          <c:idx val="0"/>
          <c:order val="0"/>
          <c:tx>
            <c:strRef>
              <c:f>'decade wise descriptive'!$I$11</c:f>
              <c:strCache>
                <c:ptCount val="1"/>
                <c:pt idx="0">
                  <c:v>1981-90</c:v>
                </c:pt>
              </c:strCache>
            </c:strRef>
          </c:tx>
          <c:cat>
            <c:strRef>
              <c:f>'decade wise descriptive'!$J$10:$L$10</c:f>
              <c:strCache>
                <c:ptCount val="3"/>
                <c:pt idx="0">
                  <c:v>Exports</c:v>
                </c:pt>
                <c:pt idx="1">
                  <c:v>Imports</c:v>
                </c:pt>
                <c:pt idx="2">
                  <c:v>Trade Deficit</c:v>
                </c:pt>
              </c:strCache>
            </c:strRef>
          </c:cat>
          <c:val>
            <c:numRef>
              <c:f>'decade wise descriptive'!$J$11:$L$11</c:f>
              <c:numCache>
                <c:formatCode>0.00</c:formatCode>
                <c:ptCount val="3"/>
                <c:pt idx="0">
                  <c:v>3430.62</c:v>
                </c:pt>
                <c:pt idx="1">
                  <c:v>5943.7699999999995</c:v>
                </c:pt>
                <c:pt idx="2">
                  <c:v>-2471.2799999999997</c:v>
                </c:pt>
              </c:numCache>
            </c:numRef>
          </c:val>
        </c:ser>
        <c:ser>
          <c:idx val="1"/>
          <c:order val="1"/>
          <c:tx>
            <c:strRef>
              <c:f>'decade wise descriptive'!$I$12</c:f>
              <c:strCache>
                <c:ptCount val="1"/>
                <c:pt idx="0">
                  <c:v>1991-2000</c:v>
                </c:pt>
              </c:strCache>
            </c:strRef>
          </c:tx>
          <c:cat>
            <c:strRef>
              <c:f>'decade wise descriptive'!$J$10:$L$10</c:f>
              <c:strCache>
                <c:ptCount val="3"/>
                <c:pt idx="0">
                  <c:v>Exports</c:v>
                </c:pt>
                <c:pt idx="1">
                  <c:v>Imports</c:v>
                </c:pt>
                <c:pt idx="2">
                  <c:v>Trade Deficit</c:v>
                </c:pt>
              </c:strCache>
            </c:strRef>
          </c:cat>
          <c:val>
            <c:numRef>
              <c:f>'decade wise descriptive'!$J$12:$L$12</c:f>
              <c:numCache>
                <c:formatCode>0.00</c:formatCode>
                <c:ptCount val="3"/>
                <c:pt idx="0">
                  <c:v>7685.1500000000024</c:v>
                </c:pt>
                <c:pt idx="1">
                  <c:v>9936.1899999999732</c:v>
                </c:pt>
                <c:pt idx="2">
                  <c:v>-2206.7599999999993</c:v>
                </c:pt>
              </c:numCache>
            </c:numRef>
          </c:val>
        </c:ser>
        <c:ser>
          <c:idx val="2"/>
          <c:order val="2"/>
          <c:tx>
            <c:strRef>
              <c:f>'decade wise descriptive'!$I$13</c:f>
              <c:strCache>
                <c:ptCount val="1"/>
                <c:pt idx="0">
                  <c:v>2001-2010</c:v>
                </c:pt>
              </c:strCache>
            </c:strRef>
          </c:tx>
          <c:cat>
            <c:strRef>
              <c:f>'decade wise descriptive'!$J$10:$L$10</c:f>
              <c:strCache>
                <c:ptCount val="3"/>
                <c:pt idx="0">
                  <c:v>Exports</c:v>
                </c:pt>
                <c:pt idx="1">
                  <c:v>Imports</c:v>
                </c:pt>
                <c:pt idx="2">
                  <c:v>Trade Deficit</c:v>
                </c:pt>
              </c:strCache>
            </c:strRef>
          </c:cat>
          <c:val>
            <c:numRef>
              <c:f>'decade wise descriptive'!$J$13:$L$13</c:f>
              <c:numCache>
                <c:formatCode>0.00</c:formatCode>
                <c:ptCount val="3"/>
                <c:pt idx="0">
                  <c:v>14565.849999999979</c:v>
                </c:pt>
                <c:pt idx="1">
                  <c:v>23809.68</c:v>
                </c:pt>
                <c:pt idx="2">
                  <c:v>-9036.57</c:v>
                </c:pt>
              </c:numCache>
            </c:numRef>
          </c:val>
        </c:ser>
        <c:axId val="118994816"/>
        <c:axId val="118996352"/>
      </c:barChart>
      <c:catAx>
        <c:axId val="118994816"/>
        <c:scaling>
          <c:orientation val="minMax"/>
        </c:scaling>
        <c:axPos val="b"/>
        <c:numFmt formatCode="General" sourceLinked="1"/>
        <c:majorTickMark val="none"/>
        <c:tickLblPos val="nextTo"/>
        <c:txPr>
          <a:bodyPr/>
          <a:lstStyle/>
          <a:p>
            <a:pPr>
              <a:defRPr lang="en-US"/>
            </a:pPr>
            <a:endParaRPr lang="zh-CN"/>
          </a:p>
        </c:txPr>
        <c:crossAx val="118996352"/>
        <c:crosses val="autoZero"/>
        <c:auto val="1"/>
        <c:lblAlgn val="ctr"/>
        <c:lblOffset val="100"/>
      </c:catAx>
      <c:valAx>
        <c:axId val="118996352"/>
        <c:scaling>
          <c:orientation val="minMax"/>
        </c:scaling>
        <c:axPos val="l"/>
        <c:majorGridlines/>
        <c:numFmt formatCode="#,##0.00" sourceLinked="0"/>
        <c:majorTickMark val="none"/>
        <c:tickLblPos val="nextTo"/>
        <c:txPr>
          <a:bodyPr/>
          <a:lstStyle/>
          <a:p>
            <a:pPr>
              <a:defRPr lang="en-US"/>
            </a:pPr>
            <a:endParaRPr lang="zh-CN"/>
          </a:p>
        </c:txPr>
        <c:crossAx val="118994816"/>
        <c:crosses val="autoZero"/>
        <c:crossBetween val="between"/>
      </c:valAx>
    </c:plotArea>
    <c:legend>
      <c:legendPos val="r"/>
      <c:txPr>
        <a:bodyPr/>
        <a:lstStyle/>
        <a:p>
          <a:pPr>
            <a:defRPr lang="en-US"/>
          </a:pPr>
          <a:endParaRPr lang="zh-CN"/>
        </a:p>
      </c:txP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TotalTime>
  <Pages>11</Pages>
  <Words>3663</Words>
  <Characters>20883</Characters>
  <Application>Microsoft Office Word</Application>
  <DocSecurity>0</DocSecurity>
  <Lines>174</Lines>
  <Paragraphs>48</Paragraphs>
  <ScaleCrop>false</ScaleCrop>
  <Company/>
  <LinksUpToDate>false</LinksUpToDate>
  <CharactersWithSpaces>24498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3</cp:revision>
  <dcterms:created xsi:type="dcterms:W3CDTF">2014-08-19T07:16:00Z</dcterms:created>
  <dcterms:modified xsi:type="dcterms:W3CDTF">2016-07-04T19:20:00Z</dcterms:modified>
</cp:coreProperties>
</file>