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AE4" w:rsidRDefault="00BC1AE4" w:rsidP="00834B50">
      <w:pPr>
        <w:jc w:val="center"/>
        <w:rPr>
          <w:rStyle w:val="Strong"/>
          <w:rFonts w:ascii="Arial" w:hAnsi="Arial" w:cs="Arial"/>
          <w:color w:val="000000"/>
          <w:sz w:val="27"/>
          <w:szCs w:val="27"/>
        </w:rPr>
      </w:pPr>
    </w:p>
    <w:p w:rsidR="00BC1AE4" w:rsidRDefault="00BC1AE4" w:rsidP="00834B50">
      <w:pPr>
        <w:jc w:val="center"/>
        <w:rPr>
          <w:rStyle w:val="Strong"/>
          <w:rFonts w:ascii="Arial" w:hAnsi="Arial" w:cs="Arial"/>
          <w:color w:val="000000"/>
          <w:sz w:val="27"/>
          <w:szCs w:val="27"/>
        </w:rPr>
      </w:pPr>
    </w:p>
    <w:p w:rsidR="00BC1AE4" w:rsidRDefault="00BC1AE4" w:rsidP="00834B50">
      <w:pPr>
        <w:jc w:val="center"/>
        <w:rPr>
          <w:rStyle w:val="Strong"/>
          <w:rFonts w:ascii="Arial" w:hAnsi="Arial" w:cs="Arial"/>
          <w:color w:val="000000"/>
          <w:sz w:val="27"/>
          <w:szCs w:val="27"/>
        </w:rPr>
      </w:pPr>
    </w:p>
    <w:p w:rsidR="00BC1AE4" w:rsidRDefault="00BC1AE4" w:rsidP="00834B50">
      <w:pPr>
        <w:jc w:val="center"/>
        <w:rPr>
          <w:rStyle w:val="Strong"/>
          <w:rFonts w:ascii="Arial" w:hAnsi="Arial" w:cs="Arial"/>
          <w:color w:val="000000"/>
          <w:sz w:val="27"/>
          <w:szCs w:val="27"/>
        </w:rPr>
      </w:pPr>
    </w:p>
    <w:p w:rsidR="00BC1AE4" w:rsidRDefault="00BC1AE4" w:rsidP="00834B50">
      <w:pPr>
        <w:jc w:val="center"/>
        <w:rPr>
          <w:rStyle w:val="Strong"/>
          <w:rFonts w:ascii="Arial" w:hAnsi="Arial" w:cs="Arial"/>
          <w:color w:val="000000"/>
          <w:sz w:val="32"/>
          <w:szCs w:val="32"/>
        </w:rPr>
      </w:pPr>
    </w:p>
    <w:p w:rsidR="00BC1AE4" w:rsidRDefault="00BC1AE4" w:rsidP="00834B50">
      <w:pPr>
        <w:jc w:val="center"/>
        <w:rPr>
          <w:rStyle w:val="Strong"/>
          <w:rFonts w:ascii="Arial" w:hAnsi="Arial" w:cs="Arial"/>
          <w:color w:val="000000"/>
          <w:sz w:val="32"/>
          <w:szCs w:val="32"/>
        </w:rPr>
      </w:pPr>
    </w:p>
    <w:p w:rsidR="00BC1AE4" w:rsidRDefault="00BC1AE4" w:rsidP="00834B50">
      <w:pPr>
        <w:jc w:val="center"/>
        <w:rPr>
          <w:rStyle w:val="Strong"/>
          <w:rFonts w:ascii="Arial" w:hAnsi="Arial" w:cs="Arial"/>
          <w:color w:val="000000"/>
          <w:sz w:val="32"/>
          <w:szCs w:val="32"/>
        </w:rPr>
      </w:pPr>
    </w:p>
    <w:p w:rsidR="004D369E" w:rsidRPr="00996408" w:rsidRDefault="00BC1AE4" w:rsidP="00834B50">
      <w:pPr>
        <w:jc w:val="center"/>
        <w:rPr>
          <w:sz w:val="40"/>
          <w:szCs w:val="40"/>
        </w:rPr>
      </w:pPr>
      <w:r w:rsidRPr="00996408">
        <w:rPr>
          <w:rStyle w:val="Strong"/>
          <w:color w:val="000000"/>
          <w:sz w:val="40"/>
          <w:szCs w:val="40"/>
        </w:rPr>
        <w:t>M</w:t>
      </w:r>
      <w:r w:rsidR="00B9579D" w:rsidRPr="00996408">
        <w:rPr>
          <w:rStyle w:val="Strong"/>
          <w:color w:val="000000"/>
          <w:sz w:val="40"/>
          <w:szCs w:val="40"/>
        </w:rPr>
        <w:t>omentum</w:t>
      </w:r>
      <w:r w:rsidR="00376C50" w:rsidRPr="00996408">
        <w:rPr>
          <w:rStyle w:val="Strong"/>
          <w:color w:val="000000"/>
          <w:sz w:val="40"/>
          <w:szCs w:val="40"/>
        </w:rPr>
        <w:t xml:space="preserve"> Strategies on Global ETFs</w:t>
      </w:r>
    </w:p>
    <w:p w:rsidR="00002736" w:rsidRDefault="00002736"/>
    <w:p w:rsidR="003258FC" w:rsidRDefault="003258FC" w:rsidP="00834B50">
      <w:pPr>
        <w:jc w:val="center"/>
      </w:pPr>
    </w:p>
    <w:p w:rsidR="00BC1AE4" w:rsidRDefault="00BC1AE4" w:rsidP="00834B50">
      <w:pPr>
        <w:jc w:val="center"/>
        <w:rPr>
          <w:sz w:val="28"/>
          <w:szCs w:val="28"/>
        </w:rPr>
      </w:pPr>
    </w:p>
    <w:p w:rsidR="008C03BA" w:rsidRPr="008C03BA" w:rsidRDefault="008C03BA" w:rsidP="008C03BA">
      <w:pPr>
        <w:jc w:val="center"/>
        <w:rPr>
          <w:sz w:val="28"/>
          <w:szCs w:val="28"/>
          <w:vertAlign w:val="superscript"/>
        </w:rPr>
      </w:pPr>
      <w:r w:rsidRPr="008C03BA">
        <w:rPr>
          <w:rFonts w:hint="eastAsia"/>
          <w:sz w:val="28"/>
          <w:szCs w:val="28"/>
        </w:rPr>
        <w:t>Jun Wang</w:t>
      </w:r>
    </w:p>
    <w:p w:rsidR="008C03BA" w:rsidRDefault="008C03BA" w:rsidP="008C03BA">
      <w:pPr>
        <w:jc w:val="center"/>
        <w:rPr>
          <w:sz w:val="28"/>
          <w:szCs w:val="28"/>
        </w:rPr>
      </w:pPr>
      <w:r w:rsidRPr="008C03BA">
        <w:rPr>
          <w:sz w:val="28"/>
          <w:szCs w:val="28"/>
        </w:rPr>
        <w:t>University of Montevallo</w:t>
      </w:r>
    </w:p>
    <w:p w:rsidR="00FE593E" w:rsidRDefault="00FE593E" w:rsidP="008C03BA">
      <w:pPr>
        <w:jc w:val="center"/>
        <w:rPr>
          <w:sz w:val="28"/>
          <w:szCs w:val="28"/>
        </w:rPr>
      </w:pPr>
      <w:r>
        <w:rPr>
          <w:sz w:val="28"/>
          <w:szCs w:val="28"/>
        </w:rPr>
        <w:t>(205)665-6533</w:t>
      </w:r>
    </w:p>
    <w:p w:rsidR="00FE593E" w:rsidRPr="008C03BA" w:rsidRDefault="00FE593E" w:rsidP="008C03BA">
      <w:pPr>
        <w:jc w:val="center"/>
        <w:rPr>
          <w:sz w:val="28"/>
          <w:szCs w:val="28"/>
        </w:rPr>
      </w:pPr>
      <w:r>
        <w:rPr>
          <w:sz w:val="28"/>
          <w:szCs w:val="28"/>
        </w:rPr>
        <w:t>Jwang1@montevallo.edu</w:t>
      </w:r>
    </w:p>
    <w:p w:rsidR="008C03BA" w:rsidRPr="008C03BA" w:rsidRDefault="008C03BA" w:rsidP="008C03BA">
      <w:pPr>
        <w:jc w:val="center"/>
        <w:rPr>
          <w:sz w:val="28"/>
          <w:szCs w:val="28"/>
        </w:rPr>
      </w:pPr>
    </w:p>
    <w:p w:rsidR="008C03BA" w:rsidRPr="008C03BA" w:rsidRDefault="008C03BA" w:rsidP="008C03BA">
      <w:pPr>
        <w:jc w:val="center"/>
        <w:rPr>
          <w:sz w:val="28"/>
          <w:szCs w:val="28"/>
        </w:rPr>
      </w:pPr>
      <w:r w:rsidRPr="008C03BA">
        <w:rPr>
          <w:sz w:val="28"/>
          <w:szCs w:val="28"/>
        </w:rPr>
        <w:t>Xing Lu</w:t>
      </w:r>
    </w:p>
    <w:p w:rsidR="008C03BA" w:rsidRDefault="008C03BA" w:rsidP="008C03BA">
      <w:pPr>
        <w:jc w:val="center"/>
        <w:rPr>
          <w:sz w:val="28"/>
          <w:szCs w:val="28"/>
        </w:rPr>
      </w:pPr>
      <w:r w:rsidRPr="008C03BA">
        <w:rPr>
          <w:sz w:val="28"/>
          <w:szCs w:val="28"/>
        </w:rPr>
        <w:t xml:space="preserve"> Indiana University South Bend</w:t>
      </w:r>
    </w:p>
    <w:p w:rsidR="003B552A" w:rsidRDefault="003B552A" w:rsidP="008C03BA">
      <w:pPr>
        <w:jc w:val="center"/>
        <w:rPr>
          <w:sz w:val="28"/>
          <w:szCs w:val="28"/>
        </w:rPr>
      </w:pPr>
      <w:r>
        <w:rPr>
          <w:sz w:val="28"/>
          <w:szCs w:val="28"/>
        </w:rPr>
        <w:t>(574)</w:t>
      </w:r>
      <w:r w:rsidRPr="003B552A">
        <w:rPr>
          <w:sz w:val="28"/>
          <w:szCs w:val="28"/>
        </w:rPr>
        <w:t>520-4246</w:t>
      </w:r>
    </w:p>
    <w:p w:rsidR="003B552A" w:rsidRPr="008C03BA" w:rsidRDefault="003B552A" w:rsidP="008C03BA">
      <w:pPr>
        <w:jc w:val="center"/>
        <w:rPr>
          <w:sz w:val="28"/>
          <w:szCs w:val="28"/>
        </w:rPr>
      </w:pPr>
      <w:r>
        <w:rPr>
          <w:sz w:val="28"/>
          <w:szCs w:val="28"/>
        </w:rPr>
        <w:t>lu35@iusb.edu</w:t>
      </w:r>
    </w:p>
    <w:p w:rsidR="008C03BA" w:rsidRPr="008C03BA" w:rsidRDefault="008C03BA" w:rsidP="008C03BA">
      <w:pPr>
        <w:jc w:val="center"/>
        <w:rPr>
          <w:sz w:val="28"/>
          <w:szCs w:val="28"/>
        </w:rPr>
      </w:pPr>
    </w:p>
    <w:p w:rsidR="008C03BA" w:rsidRPr="008C03BA" w:rsidRDefault="008C03BA" w:rsidP="008C03BA">
      <w:pPr>
        <w:jc w:val="center"/>
        <w:rPr>
          <w:sz w:val="28"/>
          <w:szCs w:val="28"/>
        </w:rPr>
      </w:pPr>
      <w:r w:rsidRPr="008C03BA">
        <w:rPr>
          <w:sz w:val="28"/>
          <w:szCs w:val="28"/>
        </w:rPr>
        <w:t>Cheng-</w:t>
      </w:r>
      <w:proofErr w:type="spellStart"/>
      <w:r w:rsidRPr="008C03BA">
        <w:rPr>
          <w:sz w:val="28"/>
          <w:szCs w:val="28"/>
        </w:rPr>
        <w:t>Huei</w:t>
      </w:r>
      <w:proofErr w:type="spellEnd"/>
      <w:r w:rsidRPr="008C03BA">
        <w:rPr>
          <w:sz w:val="28"/>
          <w:szCs w:val="28"/>
        </w:rPr>
        <w:t xml:space="preserve"> </w:t>
      </w:r>
      <w:proofErr w:type="spellStart"/>
      <w:r w:rsidRPr="008C03BA">
        <w:rPr>
          <w:sz w:val="28"/>
          <w:szCs w:val="28"/>
        </w:rPr>
        <w:t>Chiao</w:t>
      </w:r>
      <w:proofErr w:type="spellEnd"/>
    </w:p>
    <w:p w:rsidR="008C03BA" w:rsidRDefault="008C03BA" w:rsidP="008C03BA">
      <w:pPr>
        <w:jc w:val="center"/>
        <w:rPr>
          <w:sz w:val="28"/>
          <w:szCs w:val="28"/>
        </w:rPr>
      </w:pPr>
      <w:r w:rsidRPr="008C03BA">
        <w:rPr>
          <w:sz w:val="28"/>
          <w:szCs w:val="28"/>
        </w:rPr>
        <w:t>Missouri Western State University</w:t>
      </w:r>
    </w:p>
    <w:p w:rsidR="008C03BA" w:rsidRPr="008C03BA" w:rsidRDefault="00FE593E" w:rsidP="008C03BA">
      <w:pPr>
        <w:jc w:val="center"/>
        <w:rPr>
          <w:sz w:val="28"/>
          <w:szCs w:val="28"/>
        </w:rPr>
      </w:pPr>
      <w:r>
        <w:rPr>
          <w:sz w:val="28"/>
          <w:szCs w:val="28"/>
        </w:rPr>
        <w:t xml:space="preserve"> </w:t>
      </w:r>
      <w:r w:rsidR="003B552A">
        <w:rPr>
          <w:sz w:val="28"/>
          <w:szCs w:val="28"/>
        </w:rPr>
        <w:t>(816)</w:t>
      </w:r>
      <w:r w:rsidR="008C03BA" w:rsidRPr="008C03BA">
        <w:rPr>
          <w:sz w:val="28"/>
          <w:szCs w:val="28"/>
        </w:rPr>
        <w:t>271-5954</w:t>
      </w:r>
    </w:p>
    <w:p w:rsidR="008C03BA" w:rsidRPr="008C03BA" w:rsidRDefault="008C03BA" w:rsidP="008C03BA">
      <w:pPr>
        <w:jc w:val="center"/>
        <w:rPr>
          <w:sz w:val="28"/>
          <w:szCs w:val="28"/>
        </w:rPr>
      </w:pPr>
      <w:r w:rsidRPr="008C03BA">
        <w:rPr>
          <w:sz w:val="28"/>
          <w:szCs w:val="28"/>
        </w:rPr>
        <w:t>cchiao@missouriwestern.edu</w:t>
      </w:r>
    </w:p>
    <w:p w:rsidR="008C03BA" w:rsidRPr="008C03BA" w:rsidRDefault="008C03BA" w:rsidP="008C03BA">
      <w:pPr>
        <w:jc w:val="center"/>
        <w:rPr>
          <w:sz w:val="28"/>
          <w:szCs w:val="28"/>
        </w:rPr>
      </w:pPr>
    </w:p>
    <w:p w:rsidR="008C03BA" w:rsidRPr="008C03BA" w:rsidRDefault="008C03BA" w:rsidP="008C03BA">
      <w:pPr>
        <w:jc w:val="center"/>
        <w:rPr>
          <w:sz w:val="28"/>
          <w:szCs w:val="28"/>
        </w:rPr>
      </w:pPr>
      <w:r w:rsidRPr="008C03BA">
        <w:rPr>
          <w:sz w:val="28"/>
          <w:szCs w:val="28"/>
        </w:rPr>
        <w:t xml:space="preserve">Hunter M. </w:t>
      </w:r>
      <w:proofErr w:type="spellStart"/>
      <w:r w:rsidRPr="008C03BA">
        <w:rPr>
          <w:sz w:val="28"/>
          <w:szCs w:val="28"/>
        </w:rPr>
        <w:t>Holzhauer</w:t>
      </w:r>
      <w:proofErr w:type="spellEnd"/>
      <w:r w:rsidRPr="008C03BA">
        <w:rPr>
          <w:sz w:val="28"/>
          <w:szCs w:val="28"/>
        </w:rPr>
        <w:t xml:space="preserve"> </w:t>
      </w:r>
    </w:p>
    <w:p w:rsidR="008C03BA" w:rsidRDefault="008C03BA" w:rsidP="008C03BA">
      <w:pPr>
        <w:jc w:val="center"/>
        <w:rPr>
          <w:sz w:val="28"/>
          <w:szCs w:val="28"/>
          <w:lang w:val="en"/>
        </w:rPr>
      </w:pPr>
      <w:r w:rsidRPr="008C03BA">
        <w:rPr>
          <w:sz w:val="28"/>
          <w:szCs w:val="28"/>
          <w:lang w:val="en"/>
        </w:rPr>
        <w:t>The University of Tennessee at Chattanooga</w:t>
      </w:r>
    </w:p>
    <w:p w:rsidR="005A78DE" w:rsidRDefault="005A78DE" w:rsidP="008C03BA">
      <w:pPr>
        <w:jc w:val="center"/>
        <w:rPr>
          <w:sz w:val="28"/>
          <w:szCs w:val="28"/>
        </w:rPr>
      </w:pPr>
      <w:r>
        <w:rPr>
          <w:sz w:val="28"/>
          <w:szCs w:val="28"/>
        </w:rPr>
        <w:t>(423)</w:t>
      </w:r>
      <w:r w:rsidRPr="005A78DE">
        <w:rPr>
          <w:sz w:val="28"/>
          <w:szCs w:val="28"/>
        </w:rPr>
        <w:t>425-4531</w:t>
      </w:r>
    </w:p>
    <w:p w:rsidR="005A78DE" w:rsidRPr="008C03BA" w:rsidRDefault="005A78DE" w:rsidP="008C03BA">
      <w:pPr>
        <w:jc w:val="center"/>
        <w:rPr>
          <w:sz w:val="28"/>
          <w:szCs w:val="28"/>
        </w:rPr>
      </w:pPr>
      <w:r w:rsidRPr="005A78DE">
        <w:rPr>
          <w:sz w:val="28"/>
          <w:szCs w:val="28"/>
        </w:rPr>
        <w:t>hunter-holzhauer@utc.edu</w:t>
      </w:r>
    </w:p>
    <w:p w:rsidR="008C03BA" w:rsidRPr="008C03BA" w:rsidRDefault="008C03BA" w:rsidP="008C03BA">
      <w:pPr>
        <w:jc w:val="center"/>
        <w:rPr>
          <w:sz w:val="28"/>
          <w:szCs w:val="28"/>
        </w:rPr>
      </w:pPr>
    </w:p>
    <w:p w:rsidR="008C03BA" w:rsidRDefault="008C03BA" w:rsidP="008C03BA">
      <w:pPr>
        <w:jc w:val="center"/>
        <w:rPr>
          <w:sz w:val="28"/>
          <w:szCs w:val="28"/>
        </w:rPr>
      </w:pPr>
    </w:p>
    <w:p w:rsidR="005A78DE" w:rsidRPr="008C03BA" w:rsidRDefault="005A78DE" w:rsidP="008C03BA">
      <w:pPr>
        <w:jc w:val="center"/>
        <w:rPr>
          <w:sz w:val="28"/>
          <w:szCs w:val="28"/>
        </w:rPr>
      </w:pPr>
    </w:p>
    <w:p w:rsidR="008C03BA" w:rsidRPr="008C03BA" w:rsidRDefault="008C03BA" w:rsidP="008C03BA">
      <w:pPr>
        <w:jc w:val="center"/>
        <w:rPr>
          <w:sz w:val="28"/>
          <w:szCs w:val="28"/>
        </w:rPr>
      </w:pPr>
      <w:r w:rsidRPr="008C03BA">
        <w:rPr>
          <w:sz w:val="28"/>
          <w:szCs w:val="28"/>
        </w:rPr>
        <w:t xml:space="preserve">October </w:t>
      </w:r>
      <w:r w:rsidRPr="008C03BA">
        <w:rPr>
          <w:rFonts w:hint="eastAsia"/>
          <w:sz w:val="28"/>
          <w:szCs w:val="28"/>
        </w:rPr>
        <w:t>20</w:t>
      </w:r>
      <w:r w:rsidRPr="008C03BA">
        <w:rPr>
          <w:sz w:val="28"/>
          <w:szCs w:val="28"/>
        </w:rPr>
        <w:t>15</w:t>
      </w:r>
    </w:p>
    <w:p w:rsidR="008C03BA" w:rsidRPr="008C03BA" w:rsidRDefault="008C03BA" w:rsidP="008C03BA">
      <w:pPr>
        <w:jc w:val="center"/>
        <w:rPr>
          <w:sz w:val="28"/>
          <w:szCs w:val="28"/>
        </w:rPr>
      </w:pPr>
    </w:p>
    <w:p w:rsidR="008C03BA" w:rsidRPr="008C03BA" w:rsidRDefault="008C03BA" w:rsidP="008C03BA">
      <w:pPr>
        <w:jc w:val="center"/>
        <w:rPr>
          <w:sz w:val="28"/>
          <w:szCs w:val="28"/>
        </w:rPr>
      </w:pPr>
    </w:p>
    <w:p w:rsidR="00834B50" w:rsidRDefault="00834B50" w:rsidP="003258FC">
      <w:pPr>
        <w:jc w:val="center"/>
      </w:pPr>
    </w:p>
    <w:p w:rsidR="00834B50" w:rsidRDefault="00834B50" w:rsidP="003258FC">
      <w:pPr>
        <w:jc w:val="center"/>
      </w:pPr>
    </w:p>
    <w:p w:rsidR="00834B50" w:rsidRDefault="00834B50" w:rsidP="003258FC">
      <w:pPr>
        <w:jc w:val="center"/>
      </w:pPr>
    </w:p>
    <w:p w:rsidR="00834B50" w:rsidRDefault="00834B50" w:rsidP="003258FC">
      <w:pPr>
        <w:jc w:val="center"/>
      </w:pPr>
    </w:p>
    <w:p w:rsidR="00834B50" w:rsidRDefault="00834B50" w:rsidP="003258FC">
      <w:pPr>
        <w:jc w:val="center"/>
      </w:pPr>
    </w:p>
    <w:p w:rsidR="00834B50" w:rsidRDefault="00834B50" w:rsidP="003258FC">
      <w:pPr>
        <w:jc w:val="center"/>
      </w:pPr>
    </w:p>
    <w:p w:rsidR="00834B50" w:rsidRDefault="00834B50" w:rsidP="003258FC">
      <w:pPr>
        <w:jc w:val="center"/>
      </w:pPr>
    </w:p>
    <w:p w:rsidR="00834B50" w:rsidRDefault="00834B50" w:rsidP="003258FC">
      <w:pPr>
        <w:jc w:val="center"/>
      </w:pPr>
    </w:p>
    <w:p w:rsidR="00834B50" w:rsidRDefault="00834B50" w:rsidP="003258FC">
      <w:pPr>
        <w:jc w:val="center"/>
      </w:pPr>
    </w:p>
    <w:p w:rsidR="00376C50" w:rsidRPr="00996408" w:rsidRDefault="00376C50" w:rsidP="00376C50">
      <w:pPr>
        <w:jc w:val="center"/>
        <w:rPr>
          <w:sz w:val="36"/>
          <w:szCs w:val="36"/>
        </w:rPr>
      </w:pPr>
      <w:r w:rsidRPr="00996408">
        <w:rPr>
          <w:rStyle w:val="Strong"/>
          <w:color w:val="000000"/>
          <w:sz w:val="36"/>
          <w:szCs w:val="36"/>
        </w:rPr>
        <w:t>Momentum Strategies on Global ETFs</w:t>
      </w:r>
    </w:p>
    <w:p w:rsidR="00834B50" w:rsidRPr="00996408" w:rsidRDefault="00834B50" w:rsidP="003258FC">
      <w:pPr>
        <w:jc w:val="center"/>
      </w:pPr>
    </w:p>
    <w:p w:rsidR="00C87B1C" w:rsidRPr="00996408" w:rsidRDefault="00C87B1C" w:rsidP="003258FC">
      <w:pPr>
        <w:jc w:val="center"/>
      </w:pPr>
    </w:p>
    <w:p w:rsidR="00C87B1C" w:rsidRPr="00996408" w:rsidRDefault="00C87B1C" w:rsidP="003258FC">
      <w:pPr>
        <w:jc w:val="center"/>
      </w:pPr>
    </w:p>
    <w:p w:rsidR="00C87B1C" w:rsidRPr="00996408" w:rsidRDefault="00C87B1C" w:rsidP="003258FC">
      <w:pPr>
        <w:jc w:val="center"/>
      </w:pPr>
    </w:p>
    <w:p w:rsidR="003258FC" w:rsidRPr="006B135D" w:rsidRDefault="003258FC" w:rsidP="003258FC">
      <w:pPr>
        <w:jc w:val="center"/>
      </w:pPr>
      <w:r w:rsidRPr="006B135D">
        <w:t>Abstract</w:t>
      </w:r>
    </w:p>
    <w:p w:rsidR="003258FC" w:rsidRPr="00996408" w:rsidRDefault="003258FC" w:rsidP="002B0CDA"/>
    <w:p w:rsidR="00834B50" w:rsidRPr="00996408" w:rsidRDefault="00834B50" w:rsidP="00F10240">
      <w:pPr>
        <w:autoSpaceDE w:val="0"/>
        <w:autoSpaceDN w:val="0"/>
        <w:adjustRightInd w:val="0"/>
        <w:spacing w:line="480" w:lineRule="auto"/>
      </w:pPr>
    </w:p>
    <w:p w:rsidR="002B0CDA" w:rsidRPr="00996408" w:rsidRDefault="002353FA" w:rsidP="0083145D">
      <w:pPr>
        <w:autoSpaceDE w:val="0"/>
        <w:autoSpaceDN w:val="0"/>
        <w:adjustRightInd w:val="0"/>
        <w:spacing w:line="480" w:lineRule="auto"/>
        <w:jc w:val="both"/>
      </w:pPr>
      <w:r>
        <w:rPr>
          <w:color w:val="000000"/>
        </w:rPr>
        <w:t>Domestic investors may</w:t>
      </w:r>
      <w:r w:rsidR="00526E50" w:rsidRPr="00996408">
        <w:rPr>
          <w:color w:val="000000"/>
        </w:rPr>
        <w:t xml:space="preserve"> use </w:t>
      </w:r>
      <w:r w:rsidR="00DD23B8" w:rsidRPr="00996408">
        <w:rPr>
          <w:rStyle w:val="norm1"/>
          <w:rFonts w:ascii="Times New Roman" w:hAnsi="Times New Roman"/>
          <w:color w:val="000000"/>
          <w:sz w:val="24"/>
          <w:szCs w:val="24"/>
        </w:rPr>
        <w:t xml:space="preserve">iShares MSCI Index </w:t>
      </w:r>
      <w:r w:rsidR="007E1565" w:rsidRPr="00996408">
        <w:rPr>
          <w:rStyle w:val="norm1"/>
          <w:rFonts w:ascii="Times New Roman" w:hAnsi="Times New Roman"/>
          <w:color w:val="000000"/>
          <w:sz w:val="24"/>
          <w:szCs w:val="24"/>
        </w:rPr>
        <w:t>ETFs</w:t>
      </w:r>
      <w:r w:rsidR="00FB600A" w:rsidRPr="00996408">
        <w:rPr>
          <w:rStyle w:val="norm1"/>
          <w:rFonts w:ascii="Times New Roman" w:hAnsi="Times New Roman"/>
          <w:color w:val="000000"/>
          <w:sz w:val="24"/>
          <w:szCs w:val="24"/>
        </w:rPr>
        <w:t xml:space="preserve"> </w:t>
      </w:r>
      <w:r w:rsidR="00526E50" w:rsidRPr="00996408">
        <w:rPr>
          <w:color w:val="000000"/>
        </w:rPr>
        <w:t xml:space="preserve">to </w:t>
      </w:r>
      <w:r w:rsidR="00DB753E" w:rsidRPr="00996408">
        <w:rPr>
          <w:color w:val="000000"/>
        </w:rPr>
        <w:t>exploit the momentum profit across</w:t>
      </w:r>
      <w:r w:rsidR="007E1565" w:rsidRPr="00996408">
        <w:rPr>
          <w:color w:val="000000"/>
        </w:rPr>
        <w:t xml:space="preserve"> </w:t>
      </w:r>
      <w:r w:rsidR="00376C50" w:rsidRPr="00996408">
        <w:rPr>
          <w:color w:val="000000"/>
        </w:rPr>
        <w:t>country portfolios</w:t>
      </w:r>
      <w:r w:rsidR="00526E50" w:rsidRPr="00996408">
        <w:rPr>
          <w:color w:val="000000"/>
        </w:rPr>
        <w:t xml:space="preserve">. </w:t>
      </w:r>
      <w:r w:rsidR="002B0CDA" w:rsidRPr="00996408">
        <w:rPr>
          <w:color w:val="000000"/>
        </w:rPr>
        <w:t xml:space="preserve">This paper </w:t>
      </w:r>
      <w:r w:rsidR="00526E50" w:rsidRPr="00996408">
        <w:rPr>
          <w:color w:val="000000"/>
        </w:rPr>
        <w:t>examines</w:t>
      </w:r>
      <w:r w:rsidR="00F10240" w:rsidRPr="00996408">
        <w:rPr>
          <w:color w:val="000000"/>
        </w:rPr>
        <w:t xml:space="preserve"> the price</w:t>
      </w:r>
      <w:r w:rsidR="00F10240" w:rsidRPr="00996408">
        <w:t xml:space="preserve"> </w:t>
      </w:r>
      <w:r w:rsidR="00430673" w:rsidRPr="00996408">
        <w:t xml:space="preserve">momentum on </w:t>
      </w:r>
      <w:r w:rsidR="00526E50" w:rsidRPr="00996408">
        <w:t>15</w:t>
      </w:r>
      <w:r w:rsidR="002B0CDA" w:rsidRPr="00996408">
        <w:t xml:space="preserve"> </w:t>
      </w:r>
      <w:r w:rsidR="00526E50" w:rsidRPr="00996408">
        <w:t xml:space="preserve">well-diversified </w:t>
      </w:r>
      <w:r w:rsidR="004F4135" w:rsidRPr="00996408">
        <w:t xml:space="preserve">iShares </w:t>
      </w:r>
      <w:r w:rsidR="00B20C2F">
        <w:t xml:space="preserve">country </w:t>
      </w:r>
      <w:r w:rsidR="002B0CDA" w:rsidRPr="00996408">
        <w:t>ETFs</w:t>
      </w:r>
      <w:r w:rsidR="00955723">
        <w:t xml:space="preserve"> from April 1996 to October</w:t>
      </w:r>
      <w:r w:rsidR="00146128" w:rsidRPr="00996408">
        <w:t xml:space="preserve"> </w:t>
      </w:r>
      <w:r w:rsidR="00955723">
        <w:t>2015</w:t>
      </w:r>
      <w:r w:rsidR="0090123B">
        <w:t>. We</w:t>
      </w:r>
      <w:r w:rsidR="002B0CDA" w:rsidRPr="00996408">
        <w:t xml:space="preserve"> find statistically and economically </w:t>
      </w:r>
      <w:r w:rsidR="007E1565" w:rsidRPr="00996408">
        <w:t xml:space="preserve">significant </w:t>
      </w:r>
      <w:r w:rsidR="002B0CDA" w:rsidRPr="00996408">
        <w:t>profits for some momentum strategies</w:t>
      </w:r>
      <w:r w:rsidR="004F4135" w:rsidRPr="00996408">
        <w:t>: long past winners and short past lose</w:t>
      </w:r>
      <w:r w:rsidR="00376C50" w:rsidRPr="00996408">
        <w:t>rs. The result</w:t>
      </w:r>
      <w:r w:rsidR="00430673" w:rsidRPr="00996408">
        <w:t>s are</w:t>
      </w:r>
      <w:r w:rsidR="00376C50" w:rsidRPr="00996408">
        <w:t xml:space="preserve"> robust to </w:t>
      </w:r>
      <w:r w:rsidR="0006743B" w:rsidRPr="00996408">
        <w:t>trading costs and excessive</w:t>
      </w:r>
      <w:r w:rsidR="004F4135" w:rsidRPr="00996408">
        <w:t xml:space="preserve"> risks</w:t>
      </w:r>
      <w:r w:rsidR="0006743B" w:rsidRPr="00996408">
        <w:t xml:space="preserve">. </w:t>
      </w:r>
      <w:r w:rsidR="008C03BA" w:rsidRPr="008C03BA">
        <w:t>Thus, investors</w:t>
      </w:r>
      <w:r w:rsidR="008C03BA" w:rsidRPr="008C03BA">
        <w:rPr>
          <w:rFonts w:hint="eastAsia"/>
        </w:rPr>
        <w:t xml:space="preserve"> may</w:t>
      </w:r>
      <w:r w:rsidR="008C03BA" w:rsidRPr="008C03BA">
        <w:t xml:space="preserve"> seek outperformance by implementing </w:t>
      </w:r>
      <w:r>
        <w:t xml:space="preserve">global </w:t>
      </w:r>
      <w:r w:rsidR="008C03BA" w:rsidRPr="008C03BA">
        <w:t xml:space="preserve">momentum strategies on </w:t>
      </w:r>
      <w:r w:rsidR="008C03BA">
        <w:rPr>
          <w:rStyle w:val="norm1"/>
          <w:rFonts w:ascii="Times New Roman" w:hAnsi="Times New Roman"/>
          <w:color w:val="000000"/>
          <w:sz w:val="24"/>
          <w:szCs w:val="24"/>
        </w:rPr>
        <w:t>iShares MSCI country</w:t>
      </w:r>
      <w:r w:rsidR="008C03BA" w:rsidRPr="00996408">
        <w:rPr>
          <w:rStyle w:val="norm1"/>
          <w:rFonts w:ascii="Times New Roman" w:hAnsi="Times New Roman"/>
          <w:color w:val="000000"/>
          <w:sz w:val="24"/>
          <w:szCs w:val="24"/>
        </w:rPr>
        <w:t xml:space="preserve"> ETFs</w:t>
      </w:r>
      <w:r w:rsidR="008C03BA" w:rsidRPr="008C03BA">
        <w:rPr>
          <w:rFonts w:hint="eastAsia"/>
        </w:rPr>
        <w:t>.</w:t>
      </w:r>
      <w:r w:rsidR="00DB753E" w:rsidRPr="00996408">
        <w:t xml:space="preserve"> </w:t>
      </w:r>
    </w:p>
    <w:p w:rsidR="002B0CDA" w:rsidRPr="00996408" w:rsidRDefault="002B0CDA" w:rsidP="00F10240">
      <w:pPr>
        <w:spacing w:line="480" w:lineRule="auto"/>
      </w:pPr>
    </w:p>
    <w:p w:rsidR="00834B50" w:rsidRDefault="00834B50" w:rsidP="00F10240">
      <w:pPr>
        <w:spacing w:line="480" w:lineRule="auto"/>
        <w:rPr>
          <w:b/>
          <w:sz w:val="28"/>
          <w:szCs w:val="28"/>
        </w:rPr>
      </w:pPr>
    </w:p>
    <w:p w:rsidR="00834B50" w:rsidRDefault="00834B50" w:rsidP="00F10240">
      <w:pPr>
        <w:spacing w:line="480" w:lineRule="auto"/>
        <w:rPr>
          <w:b/>
          <w:sz w:val="28"/>
          <w:szCs w:val="28"/>
        </w:rPr>
      </w:pPr>
    </w:p>
    <w:p w:rsidR="00834B50" w:rsidRDefault="00834B50" w:rsidP="00F10240">
      <w:pPr>
        <w:spacing w:line="480" w:lineRule="auto"/>
        <w:rPr>
          <w:b/>
          <w:sz w:val="28"/>
          <w:szCs w:val="28"/>
        </w:rPr>
      </w:pPr>
    </w:p>
    <w:p w:rsidR="00834B50" w:rsidRDefault="00834B50" w:rsidP="00F10240">
      <w:pPr>
        <w:spacing w:line="480" w:lineRule="auto"/>
        <w:rPr>
          <w:b/>
          <w:sz w:val="28"/>
          <w:szCs w:val="28"/>
        </w:rPr>
      </w:pPr>
    </w:p>
    <w:p w:rsidR="00C87B1C" w:rsidRDefault="00C87B1C" w:rsidP="00C87B1C">
      <w:r>
        <w:t xml:space="preserve">JEL Classification Number: G11, </w:t>
      </w:r>
      <w:r w:rsidR="00BE7A47">
        <w:t>G12,</w:t>
      </w:r>
      <w:r>
        <w:t xml:space="preserve"> G15</w:t>
      </w:r>
    </w:p>
    <w:p w:rsidR="006F2A9F" w:rsidRDefault="006F2A9F" w:rsidP="00C87B1C"/>
    <w:p w:rsidR="00C87B1C" w:rsidRDefault="00C87B1C" w:rsidP="00C87B1C">
      <w:r>
        <w:t>Keywords: Momen</w:t>
      </w:r>
      <w:r w:rsidR="000A6B61">
        <w:t xml:space="preserve">tum, </w:t>
      </w:r>
      <w:r>
        <w:t>E</w:t>
      </w:r>
      <w:r w:rsidR="000A6B61">
        <w:t>TF, International</w:t>
      </w:r>
      <w:r w:rsidR="00303D7F">
        <w:t>,</w:t>
      </w:r>
      <w:r>
        <w:t xml:space="preserve"> Investment Strategies</w:t>
      </w:r>
    </w:p>
    <w:p w:rsidR="00C87B1C" w:rsidRDefault="00C87B1C" w:rsidP="00C87B1C">
      <w:pPr>
        <w:jc w:val="center"/>
      </w:pPr>
    </w:p>
    <w:p w:rsidR="007A5596" w:rsidRDefault="007A5596" w:rsidP="00376C50">
      <w:pPr>
        <w:spacing w:line="480" w:lineRule="auto"/>
        <w:jc w:val="center"/>
        <w:rPr>
          <w:rStyle w:val="Strong"/>
          <w:rFonts w:ascii="Arial" w:hAnsi="Arial" w:cs="Arial"/>
          <w:color w:val="000000"/>
          <w:sz w:val="32"/>
          <w:szCs w:val="32"/>
        </w:rPr>
      </w:pPr>
    </w:p>
    <w:p w:rsidR="00576C32" w:rsidRPr="00996408" w:rsidRDefault="00376C50" w:rsidP="00376C50">
      <w:pPr>
        <w:spacing w:line="480" w:lineRule="auto"/>
        <w:jc w:val="center"/>
        <w:rPr>
          <w:b/>
          <w:sz w:val="36"/>
          <w:szCs w:val="36"/>
        </w:rPr>
      </w:pPr>
      <w:r w:rsidRPr="00996408">
        <w:rPr>
          <w:rStyle w:val="Strong"/>
          <w:color w:val="000000"/>
          <w:sz w:val="36"/>
          <w:szCs w:val="36"/>
        </w:rPr>
        <w:lastRenderedPageBreak/>
        <w:t>Momentum Strategies on Global ETFs</w:t>
      </w:r>
    </w:p>
    <w:p w:rsidR="008269DD" w:rsidRDefault="007E1565" w:rsidP="00AE3744">
      <w:pPr>
        <w:adjustRightInd w:val="0"/>
        <w:spacing w:line="480" w:lineRule="auto"/>
        <w:ind w:firstLine="720"/>
        <w:jc w:val="both"/>
      </w:pPr>
      <w:r w:rsidRPr="00AE3744">
        <w:t>I</w:t>
      </w:r>
      <w:r w:rsidRPr="0092123A">
        <w:t xml:space="preserve">ndex </w:t>
      </w:r>
      <w:r w:rsidR="00796761" w:rsidRPr="0092123A">
        <w:t>Exchange Traded Funds (ETFs) are rapidly becoming a staple investment tool for a wide spectrum of investors, both individ</w:t>
      </w:r>
      <w:r w:rsidR="00AE3E14" w:rsidRPr="0092123A">
        <w:t xml:space="preserve">ual and institutional. There are </w:t>
      </w:r>
      <w:r w:rsidR="00796761" w:rsidRPr="0092123A">
        <w:t>several reasons: Firstly, Index ETFs tend to have lower expense ratios than most actively managed funds.</w:t>
      </w:r>
      <w:r w:rsidR="0064257A" w:rsidRPr="0092123A">
        <w:t xml:space="preserve"> </w:t>
      </w:r>
      <w:r w:rsidRPr="0092123A">
        <w:t xml:space="preserve">They </w:t>
      </w:r>
      <w:r w:rsidR="00405E57" w:rsidRPr="0092123A">
        <w:t>do not incur the usual expensive operational and research costs found in actively managed funds.</w:t>
      </w:r>
      <w:r w:rsidR="0064257A" w:rsidRPr="0092123A">
        <w:t xml:space="preserve"> According to </w:t>
      </w:r>
      <w:proofErr w:type="spellStart"/>
      <w:r w:rsidR="0064257A" w:rsidRPr="0092123A">
        <w:t>ETFZone</w:t>
      </w:r>
      <w:proofErr w:type="spellEnd"/>
      <w:r w:rsidR="0064257A" w:rsidRPr="0092123A">
        <w:t>, annual fees for ETF</w:t>
      </w:r>
      <w:r w:rsidR="006B00F6" w:rsidRPr="0092123A">
        <w:t>s</w:t>
      </w:r>
      <w:r w:rsidR="0064257A" w:rsidRPr="0092123A">
        <w:t xml:space="preserve"> are as low as .09% of assets, which is breathtakingly low compared to the average mutual fund fees of 1.4%.</w:t>
      </w:r>
      <w:r w:rsidR="0064257A" w:rsidRPr="0092123A">
        <w:rPr>
          <w:vertAlign w:val="superscript"/>
        </w:rPr>
        <w:t xml:space="preserve"> </w:t>
      </w:r>
      <w:r w:rsidR="00796761" w:rsidRPr="0092123A">
        <w:t>Secondly, Index</w:t>
      </w:r>
      <w:r w:rsidR="00405E57" w:rsidRPr="0092123A">
        <w:t xml:space="preserve"> ETFs tend to have lower portfolio turnover and therefore are less likely to realize capital gains than</w:t>
      </w:r>
      <w:r w:rsidR="00796761" w:rsidRPr="0092123A">
        <w:t xml:space="preserve"> heavily traded active funds. </w:t>
      </w:r>
      <w:r w:rsidR="007F4187" w:rsidRPr="0092123A">
        <w:rPr>
          <w:rFonts w:eastAsia="Times New Roman"/>
        </w:rPr>
        <w:t xml:space="preserve">Poterba and </w:t>
      </w:r>
      <w:proofErr w:type="spellStart"/>
      <w:r w:rsidR="007F4187" w:rsidRPr="0092123A">
        <w:rPr>
          <w:rFonts w:eastAsia="Times New Roman"/>
        </w:rPr>
        <w:t>Shoven</w:t>
      </w:r>
      <w:proofErr w:type="spellEnd"/>
      <w:r w:rsidR="007F4187" w:rsidRPr="0092123A">
        <w:rPr>
          <w:rFonts w:eastAsia="Times New Roman"/>
        </w:rPr>
        <w:t xml:space="preserve"> (2002) find </w:t>
      </w:r>
      <w:r w:rsidR="00EA4B19" w:rsidRPr="0092123A">
        <w:rPr>
          <w:rFonts w:eastAsia="Times New Roman"/>
        </w:rPr>
        <w:t xml:space="preserve">that </w:t>
      </w:r>
      <w:r w:rsidR="00DD23B8" w:rsidRPr="0092123A">
        <w:rPr>
          <w:rFonts w:eastAsia="Times New Roman"/>
        </w:rPr>
        <w:t xml:space="preserve">the tax liabilities are less for </w:t>
      </w:r>
      <w:r w:rsidR="007F4187" w:rsidRPr="0092123A">
        <w:rPr>
          <w:rFonts w:eastAsia="Times New Roman"/>
        </w:rPr>
        <w:t>i</w:t>
      </w:r>
      <w:r w:rsidRPr="0092123A">
        <w:t xml:space="preserve">ndex </w:t>
      </w:r>
      <w:r w:rsidR="00405E57" w:rsidRPr="0092123A">
        <w:t xml:space="preserve">ETFs </w:t>
      </w:r>
      <w:r w:rsidR="00DD23B8" w:rsidRPr="0092123A">
        <w:t>than</w:t>
      </w:r>
      <w:r w:rsidR="00EA4B19" w:rsidRPr="0092123A">
        <w:t xml:space="preserve"> average mutual funds since </w:t>
      </w:r>
      <w:r w:rsidR="00E541A2" w:rsidRPr="0092123A">
        <w:t>they</w:t>
      </w:r>
      <w:r w:rsidR="00405E57" w:rsidRPr="0092123A">
        <w:t xml:space="preserve"> are not impacted by other shareholders' activities. In contrast, </w:t>
      </w:r>
      <w:r w:rsidRPr="0092123A">
        <w:t>i</w:t>
      </w:r>
      <w:r w:rsidR="00405E57" w:rsidRPr="0092123A">
        <w:t>f a mut</w:t>
      </w:r>
      <w:r w:rsidR="00EA4B19" w:rsidRPr="0092123A">
        <w:t>ual fund realizes capital gains,</w:t>
      </w:r>
      <w:r w:rsidR="00405E57" w:rsidRPr="0092123A">
        <w:t xml:space="preserve"> it is obligated to distribute th</w:t>
      </w:r>
      <w:r w:rsidRPr="0092123A">
        <w:t xml:space="preserve">ose gains to every shareholder. </w:t>
      </w:r>
      <w:r w:rsidR="00405E57" w:rsidRPr="0092123A">
        <w:t>Essentially, shareholders remaining in the fund may re</w:t>
      </w:r>
      <w:r w:rsidR="00EA4B19" w:rsidRPr="0092123A">
        <w:t>ceive capital gains for activities</w:t>
      </w:r>
      <w:r w:rsidR="00405E57" w:rsidRPr="0092123A">
        <w:t xml:space="preserve"> they may not have initiated.</w:t>
      </w:r>
      <w:r w:rsidR="00796761" w:rsidRPr="0092123A">
        <w:t xml:space="preserve"> Thirdly, </w:t>
      </w:r>
      <w:r w:rsidRPr="0092123A">
        <w:t xml:space="preserve">Index </w:t>
      </w:r>
      <w:r w:rsidR="00796761" w:rsidRPr="0092123A">
        <w:t xml:space="preserve">ETFs </w:t>
      </w:r>
      <w:r w:rsidRPr="0092123A">
        <w:t xml:space="preserve">allow the investors to more </w:t>
      </w:r>
      <w:r w:rsidR="00796761" w:rsidRPr="0092123A">
        <w:t>extensive</w:t>
      </w:r>
      <w:r w:rsidRPr="0092123A">
        <w:t>ly</w:t>
      </w:r>
      <w:r w:rsidR="00EA4B19" w:rsidRPr="0092123A">
        <w:t xml:space="preserve"> access </w:t>
      </w:r>
      <w:r w:rsidR="00796761" w:rsidRPr="0092123A">
        <w:t>the market across</w:t>
      </w:r>
      <w:r w:rsidRPr="0092123A">
        <w:t xml:space="preserve"> asset classes, sectors, styles, </w:t>
      </w:r>
      <w:r w:rsidR="00796761" w:rsidRPr="0092123A">
        <w:t>regions</w:t>
      </w:r>
      <w:r w:rsidRPr="0092123A">
        <w:t>, or even nations.</w:t>
      </w:r>
    </w:p>
    <w:p w:rsidR="00070114" w:rsidRPr="00070114" w:rsidRDefault="00C066F7" w:rsidP="00AE3744">
      <w:pPr>
        <w:adjustRightInd w:val="0"/>
        <w:spacing w:line="480" w:lineRule="auto"/>
        <w:ind w:firstLineChars="300" w:firstLine="720"/>
        <w:jc w:val="both"/>
      </w:pPr>
      <w:r w:rsidRPr="0092123A">
        <w:t>In 1996,</w:t>
      </w:r>
      <w:r w:rsidR="00F14A1F" w:rsidRPr="0092123A">
        <w:t xml:space="preserve"> American Stock Exchange began to list</w:t>
      </w:r>
      <w:r w:rsidR="00FB600A" w:rsidRPr="0092123A">
        <w:t xml:space="preserve"> iShares MSCI Index Funds</w:t>
      </w:r>
      <w:r w:rsidR="00F14A1F" w:rsidRPr="0092123A">
        <w:t xml:space="preserve"> for</w:t>
      </w:r>
      <w:r w:rsidR="00FB600A" w:rsidRPr="0092123A">
        <w:t xml:space="preserve"> many</w:t>
      </w:r>
      <w:r w:rsidR="006B135D">
        <w:t xml:space="preserve"> </w:t>
      </w:r>
      <w:r w:rsidR="009D0C03" w:rsidRPr="0092123A">
        <w:t>different foreign countries. These ETFs represent the MSCI (Morgan Stanley Capital</w:t>
      </w:r>
      <w:r w:rsidR="0092123A" w:rsidRPr="0092123A">
        <w:t xml:space="preserve"> </w:t>
      </w:r>
      <w:r w:rsidR="00E676D4" w:rsidRPr="0092123A">
        <w:t>International) co</w:t>
      </w:r>
      <w:r w:rsidR="00F04F5A">
        <w:t>untry equity indices. As of 2015</w:t>
      </w:r>
      <w:r w:rsidR="00E676D4" w:rsidRPr="0092123A">
        <w:t>, t</w:t>
      </w:r>
      <w:r w:rsidR="00F04F5A">
        <w:t>here are 1</w:t>
      </w:r>
      <w:r w:rsidR="00E676D4" w:rsidRPr="0092123A">
        <w:t xml:space="preserve">5 iShares MSCI series for </w:t>
      </w:r>
      <w:r w:rsidR="0090123B">
        <w:t>developed markets</w:t>
      </w:r>
      <w:r w:rsidR="00645AAD" w:rsidRPr="0092123A">
        <w:t xml:space="preserve"> and </w:t>
      </w:r>
      <w:r w:rsidR="00F04F5A">
        <w:t>18</w:t>
      </w:r>
      <w:r w:rsidR="00F04F5A" w:rsidRPr="0092123A">
        <w:t xml:space="preserve"> iShares MSCI series for </w:t>
      </w:r>
      <w:r w:rsidR="0090123B">
        <w:t>emerging markets</w:t>
      </w:r>
      <w:r w:rsidR="00645AAD" w:rsidRPr="0092123A">
        <w:t xml:space="preserve">. Investors can buy and </w:t>
      </w:r>
      <w:r w:rsidR="00973B03" w:rsidRPr="0092123A">
        <w:t xml:space="preserve">short sell these ETFs. To avoid </w:t>
      </w:r>
      <w:r w:rsidR="000454FE" w:rsidRPr="0092123A">
        <w:t>sample s</w:t>
      </w:r>
      <w:r w:rsidR="00E676D4" w:rsidRPr="0092123A">
        <w:t xml:space="preserve">election bias, in </w:t>
      </w:r>
      <w:r w:rsidRPr="0092123A">
        <w:t>this paper</w:t>
      </w:r>
      <w:r w:rsidR="00E676D4" w:rsidRPr="0092123A">
        <w:t>,</w:t>
      </w:r>
      <w:r w:rsidRPr="0092123A">
        <w:t xml:space="preserve"> </w:t>
      </w:r>
      <w:r w:rsidR="000454FE" w:rsidRPr="0092123A">
        <w:t xml:space="preserve">all </w:t>
      </w:r>
      <w:r w:rsidR="00576C32" w:rsidRPr="0092123A">
        <w:t xml:space="preserve">of the 15 </w:t>
      </w:r>
      <w:r w:rsidR="00576C32">
        <w:t>iShares MSCI Index ETFs for</w:t>
      </w:r>
      <w:r w:rsidR="00212F55">
        <w:t xml:space="preserve"> the developed markets</w:t>
      </w:r>
      <w:r>
        <w:t xml:space="preserve"> are used</w:t>
      </w:r>
      <w:r w:rsidR="00212F55">
        <w:t xml:space="preserve"> to test</w:t>
      </w:r>
      <w:r>
        <w:t xml:space="preserve"> for momentum in </w:t>
      </w:r>
      <w:r w:rsidR="00212F55">
        <w:t>the portfolio returns.</w:t>
      </w:r>
    </w:p>
    <w:p w:rsidR="00070114" w:rsidRDefault="00FA5714" w:rsidP="00AE3744">
      <w:pPr>
        <w:adjustRightInd w:val="0"/>
        <w:spacing w:line="480" w:lineRule="auto"/>
        <w:ind w:firstLineChars="300" w:firstLine="720"/>
        <w:jc w:val="both"/>
        <w:rPr>
          <w:rFonts w:ascii="Verdana" w:hAnsi="Verdana"/>
          <w:b/>
          <w:bCs/>
          <w:color w:val="000000"/>
        </w:rPr>
      </w:pPr>
      <w:r w:rsidRPr="00FA5714">
        <w:lastRenderedPageBreak/>
        <w:t>Momentum</w:t>
      </w:r>
      <w:r w:rsidR="00912C5C" w:rsidRPr="00FA5714">
        <w:t xml:space="preserve"> refers to the tendency of stock prices to continue moving in the same direction for several months after an initial impulse</w:t>
      </w:r>
      <w:r w:rsidR="008E7EF3">
        <w:t xml:space="preserve">, which is </w:t>
      </w:r>
      <w:r w:rsidR="008E7EF3" w:rsidRPr="00FA5714">
        <w:t>simply a change in the price itself</w:t>
      </w:r>
      <w:r w:rsidR="00912C5C" w:rsidRPr="00FA5714">
        <w:t xml:space="preserve">. The most basic form of momentum is price momentum, </w:t>
      </w:r>
      <w:r w:rsidRPr="00FA5714">
        <w:t xml:space="preserve">while earnings momentum is momentum following a revision in analysts’ earnings forecasts (Chan, </w:t>
      </w:r>
      <w:proofErr w:type="spellStart"/>
      <w:r w:rsidRPr="00FA5714">
        <w:t>Jegadeesh</w:t>
      </w:r>
      <w:proofErr w:type="spellEnd"/>
      <w:r w:rsidRPr="00FA5714">
        <w:t xml:space="preserve">, and </w:t>
      </w:r>
      <w:proofErr w:type="spellStart"/>
      <w:r w:rsidRPr="00FA5714">
        <w:t>Lakonishok</w:t>
      </w:r>
      <w:proofErr w:type="spellEnd"/>
      <w:r w:rsidRPr="00FA5714">
        <w:t xml:space="preserve"> 1996).</w:t>
      </w:r>
      <w:r>
        <w:t xml:space="preserve"> </w:t>
      </w:r>
      <w:r w:rsidRPr="00FA5714">
        <w:t>An extensive body of finance literature documents that past stock returns can predict</w:t>
      </w:r>
      <w:r>
        <w:t xml:space="preserve"> </w:t>
      </w:r>
      <w:r w:rsidRPr="00FA5714">
        <w:t>the future stock</w:t>
      </w:r>
      <w:r w:rsidR="008E7EF3">
        <w:t xml:space="preserve"> return</w:t>
      </w:r>
      <w:r w:rsidR="009E073B">
        <w:t>s</w:t>
      </w:r>
      <w:r w:rsidR="008E7EF3">
        <w:t>.</w:t>
      </w:r>
      <w:r>
        <w:t xml:space="preserve"> </w:t>
      </w:r>
      <w:r w:rsidR="00912C5C" w:rsidRPr="00FA5714">
        <w:t xml:space="preserve">Price momentum was noted in aggregate US stock prices in the late 1980’s (Poterba and Summers </w:t>
      </w:r>
      <w:r w:rsidR="006B135D">
        <w:t>(</w:t>
      </w:r>
      <w:r w:rsidR="00912C5C" w:rsidRPr="00FA5714">
        <w:t>1988</w:t>
      </w:r>
      <w:r w:rsidR="006B135D">
        <w:t>)</w:t>
      </w:r>
      <w:r w:rsidR="00912C5C" w:rsidRPr="00FA5714">
        <w:t>), in individual US stock prices in the early 1990’s (</w:t>
      </w:r>
      <w:proofErr w:type="spellStart"/>
      <w:r w:rsidR="00912C5C" w:rsidRPr="00FA5714">
        <w:t>Jegadeesh</w:t>
      </w:r>
      <w:proofErr w:type="spellEnd"/>
      <w:r w:rsidR="00912C5C" w:rsidRPr="00FA5714">
        <w:t xml:space="preserve"> and Titman </w:t>
      </w:r>
      <w:r w:rsidR="006B135D">
        <w:t>(</w:t>
      </w:r>
      <w:r w:rsidR="00912C5C" w:rsidRPr="00FA5714">
        <w:t>1993</w:t>
      </w:r>
      <w:r w:rsidR="006B135D">
        <w:t>)</w:t>
      </w:r>
      <w:r w:rsidR="00912C5C" w:rsidRPr="00FA5714">
        <w:t>), and in international markets later in the 1990’s (</w:t>
      </w:r>
      <w:proofErr w:type="spellStart"/>
      <w:r w:rsidR="00912C5C" w:rsidRPr="00FA5714">
        <w:t>Rouwenhorst</w:t>
      </w:r>
      <w:proofErr w:type="spellEnd"/>
      <w:r w:rsidR="00912C5C" w:rsidRPr="00FA5714">
        <w:t xml:space="preserve"> </w:t>
      </w:r>
      <w:r w:rsidR="006B135D">
        <w:t>(</w:t>
      </w:r>
      <w:r w:rsidR="00912C5C" w:rsidRPr="00FA5714">
        <w:t>1998</w:t>
      </w:r>
      <w:r w:rsidR="006B135D">
        <w:t>)</w:t>
      </w:r>
      <w:r w:rsidR="00912C5C" w:rsidRPr="00FA5714">
        <w:t xml:space="preserve">, </w:t>
      </w:r>
      <w:r w:rsidR="006B135D">
        <w:t>(</w:t>
      </w:r>
      <w:r w:rsidR="00912C5C" w:rsidRPr="00FA5714">
        <w:t>1999</w:t>
      </w:r>
      <w:r w:rsidR="006B135D">
        <w:t>)</w:t>
      </w:r>
      <w:r w:rsidR="009E073B">
        <w:t xml:space="preserve">). </w:t>
      </w:r>
    </w:p>
    <w:p w:rsidR="00070114" w:rsidRDefault="006C429B" w:rsidP="00AE3744">
      <w:pPr>
        <w:adjustRightInd w:val="0"/>
        <w:spacing w:line="480" w:lineRule="auto"/>
        <w:ind w:firstLineChars="300" w:firstLine="720"/>
        <w:jc w:val="both"/>
        <w:rPr>
          <w:rFonts w:ascii="Verdana" w:hAnsi="Verdana"/>
          <w:b/>
          <w:bCs/>
          <w:color w:val="000000"/>
        </w:rPr>
      </w:pPr>
      <w:r w:rsidRPr="00FA5714">
        <w:t xml:space="preserve">The momentum anomaly documented by </w:t>
      </w:r>
      <w:proofErr w:type="spellStart"/>
      <w:r w:rsidRPr="00FA5714">
        <w:t>Jegadeesh</w:t>
      </w:r>
      <w:proofErr w:type="spellEnd"/>
      <w:r w:rsidRPr="00FA5714">
        <w:t xml:space="preserve"> and Titman (1993) remains one</w:t>
      </w:r>
      <w:r w:rsidR="00FA5714">
        <w:t xml:space="preserve"> </w:t>
      </w:r>
      <w:r w:rsidRPr="00FA5714">
        <w:t>of the most intriguing puzzles in empirical asset pricing. It constitutes perhaps the</w:t>
      </w:r>
      <w:r w:rsidR="00FA5714">
        <w:t xml:space="preserve"> </w:t>
      </w:r>
      <w:r w:rsidRPr="00FA5714">
        <w:t>toughest challenge for rational theories of the cross-section of stock returns. Stocks</w:t>
      </w:r>
      <w:r w:rsidR="00FA5714">
        <w:t xml:space="preserve"> </w:t>
      </w:r>
      <w:r w:rsidRPr="00FA5714">
        <w:t xml:space="preserve">that </w:t>
      </w:r>
      <w:r w:rsidR="008E7EF3">
        <w:t xml:space="preserve">have </w:t>
      </w:r>
      <w:r w:rsidRPr="00FA5714">
        <w:t>performed extraordinarily well over the l</w:t>
      </w:r>
      <w:r w:rsidR="00C066F7">
        <w:t>ast 6 to</w:t>
      </w:r>
      <w:r w:rsidR="003A468D">
        <w:t xml:space="preserve"> 1</w:t>
      </w:r>
      <w:r w:rsidR="00E25E10">
        <w:t>2</w:t>
      </w:r>
      <w:r w:rsidR="00C066F7">
        <w:t xml:space="preserve"> months continue to per</w:t>
      </w:r>
      <w:r w:rsidRPr="00FA5714">
        <w:t>form wel</w:t>
      </w:r>
      <w:r w:rsidR="00446731">
        <w:t>l over the following 6 to</w:t>
      </w:r>
      <w:r w:rsidR="006B00F6">
        <w:t xml:space="preserve"> </w:t>
      </w:r>
      <w:r w:rsidR="009E073B">
        <w:t>12</w:t>
      </w:r>
      <w:r w:rsidRPr="00FA5714">
        <w:t xml:space="preserve"> months. Stocks that have </w:t>
      </w:r>
      <w:r w:rsidR="00446731">
        <w:t>declined</w:t>
      </w:r>
      <w:r w:rsidRPr="00FA5714">
        <w:t xml:space="preserve"> continue</w:t>
      </w:r>
      <w:r w:rsidR="00FA5714">
        <w:t xml:space="preserve"> to do so. These </w:t>
      </w:r>
      <w:r w:rsidR="008E7EF3">
        <w:t>fin</w:t>
      </w:r>
      <w:r w:rsidRPr="00FA5714">
        <w:t xml:space="preserve">dings appear to be very robust. </w:t>
      </w:r>
      <w:proofErr w:type="spellStart"/>
      <w:r w:rsidRPr="00FA5714">
        <w:t>Jegadeesh</w:t>
      </w:r>
      <w:proofErr w:type="spellEnd"/>
      <w:r w:rsidRPr="00FA5714">
        <w:t xml:space="preserve"> and Titman (2001)</w:t>
      </w:r>
      <w:r w:rsidR="00FA5714">
        <w:t xml:space="preserve"> </w:t>
      </w:r>
      <w:r w:rsidRPr="00FA5714">
        <w:t>report that momentum strategies remai</w:t>
      </w:r>
      <w:r w:rsidR="008E7EF3">
        <w:t>ned profitabl</w:t>
      </w:r>
      <w:r w:rsidRPr="00FA5714">
        <w:t>e even after the publication of</w:t>
      </w:r>
      <w:r w:rsidR="00FA5714">
        <w:t xml:space="preserve"> </w:t>
      </w:r>
      <w:r w:rsidRPr="00FA5714">
        <w:t>their origina</w:t>
      </w:r>
      <w:r w:rsidR="008E7EF3">
        <w:t xml:space="preserve">l study. </w:t>
      </w:r>
      <w:r w:rsidR="008E7EF3" w:rsidRPr="00FA5714">
        <w:t>Abnormal profits of momentum strategies are also documented in</w:t>
      </w:r>
      <w:r w:rsidR="008E7EF3">
        <w:t xml:space="preserve"> </w:t>
      </w:r>
      <w:r w:rsidR="008E7EF3" w:rsidRPr="00FA5714">
        <w:t xml:space="preserve">non-US equity markets. For example, Ahmet and </w:t>
      </w:r>
      <w:proofErr w:type="spellStart"/>
      <w:r w:rsidR="008E7EF3" w:rsidRPr="00FA5714">
        <w:t>Nusret</w:t>
      </w:r>
      <w:proofErr w:type="spellEnd"/>
      <w:r w:rsidR="008E7EF3" w:rsidRPr="00FA5714">
        <w:t xml:space="preserve"> (1999) find abnormal profits</w:t>
      </w:r>
      <w:r w:rsidR="008E7EF3">
        <w:t xml:space="preserve"> </w:t>
      </w:r>
      <w:r w:rsidR="008E7EF3" w:rsidRPr="00FA5714">
        <w:t>of long-term contrarian strategies in the stock markets of seven non-US industrialized</w:t>
      </w:r>
      <w:r w:rsidR="008E7EF3">
        <w:t xml:space="preserve"> </w:t>
      </w:r>
      <w:r w:rsidR="008E7EF3" w:rsidRPr="00FA5714">
        <w:t xml:space="preserve">countries. </w:t>
      </w:r>
      <w:r w:rsidR="00645AAD">
        <w:t xml:space="preserve">Chang, </w:t>
      </w:r>
      <w:proofErr w:type="spellStart"/>
      <w:r w:rsidR="00645AAD">
        <w:t>McLeavey</w:t>
      </w:r>
      <w:proofErr w:type="spellEnd"/>
      <w:r w:rsidR="0062225D" w:rsidRPr="00FA370E">
        <w:t>,</w:t>
      </w:r>
      <w:r w:rsidR="0062225D">
        <w:t xml:space="preserve"> and</w:t>
      </w:r>
      <w:r w:rsidR="00645AAD">
        <w:t xml:space="preserve"> Rhee </w:t>
      </w:r>
      <w:r w:rsidR="003A0717">
        <w:t>(1995) document</w:t>
      </w:r>
      <w:r w:rsidR="008E7EF3" w:rsidRPr="00FA5714">
        <w:t xml:space="preserve"> abnormal profits of short-term </w:t>
      </w:r>
      <w:r w:rsidR="008E7EF3">
        <w:t>momentum</w:t>
      </w:r>
      <w:r w:rsidR="008E7EF3" w:rsidRPr="00FA5714">
        <w:t xml:space="preserve"> strategies</w:t>
      </w:r>
      <w:r w:rsidR="008E7EF3">
        <w:t xml:space="preserve"> </w:t>
      </w:r>
      <w:r w:rsidR="008E7EF3" w:rsidRPr="00FA5714">
        <w:t xml:space="preserve">in the </w:t>
      </w:r>
      <w:smartTag w:uri="urn:schemas-microsoft-com:office:smarttags" w:element="country-region">
        <w:smartTag w:uri="urn:schemas-microsoft-com:office:smarttags" w:element="place">
          <w:r w:rsidR="008E7EF3" w:rsidRPr="00FA5714">
            <w:t>Japan</w:t>
          </w:r>
        </w:smartTag>
      </w:smartTag>
      <w:r w:rsidR="008E7EF3" w:rsidRPr="00FA5714">
        <w:t xml:space="preserve"> stock market. Hameed and Ting (2000) </w:t>
      </w:r>
      <w:r w:rsidR="002439D5">
        <w:t>notice</w:t>
      </w:r>
      <w:r w:rsidR="008E7EF3" w:rsidRPr="00FA5714">
        <w:t xml:space="preserve"> the same in the </w:t>
      </w:r>
      <w:smartTag w:uri="urn:schemas-microsoft-com:office:smarttags" w:element="country-region">
        <w:smartTag w:uri="urn:schemas-microsoft-com:office:smarttags" w:element="place">
          <w:r w:rsidR="008E7EF3" w:rsidRPr="00FA5714">
            <w:t>Malaysia</w:t>
          </w:r>
        </w:smartTag>
      </w:smartTag>
      <w:r w:rsidR="008E7EF3">
        <w:t xml:space="preserve"> </w:t>
      </w:r>
      <w:r w:rsidR="00A05D37">
        <w:t xml:space="preserve">stock market. </w:t>
      </w:r>
      <w:proofErr w:type="spellStart"/>
      <w:r w:rsidR="008E7EF3" w:rsidRPr="00FA5714">
        <w:t>Rouwenhorst</w:t>
      </w:r>
      <w:proofErr w:type="spellEnd"/>
      <w:r w:rsidR="008E7EF3" w:rsidRPr="00FA5714">
        <w:t xml:space="preserve"> (1998</w:t>
      </w:r>
      <w:r w:rsidR="00A807BD">
        <w:t>, 1999</w:t>
      </w:r>
      <w:r w:rsidR="008E7EF3" w:rsidRPr="00FA5714">
        <w:t>) finds momentum profits in 12 European equity</w:t>
      </w:r>
      <w:r w:rsidR="008E7EF3">
        <w:t xml:space="preserve"> </w:t>
      </w:r>
      <w:r w:rsidR="00A807BD">
        <w:t xml:space="preserve">markets and </w:t>
      </w:r>
      <w:r w:rsidR="008E7EF3" w:rsidRPr="00FA5714">
        <w:t>in six (out</w:t>
      </w:r>
      <w:r w:rsidR="008E7EF3">
        <w:t xml:space="preserve"> </w:t>
      </w:r>
      <w:r w:rsidR="008E7EF3" w:rsidRPr="00FA5714">
        <w:t>of 20) emerging equity market</w:t>
      </w:r>
      <w:r w:rsidR="0083145D">
        <w:t xml:space="preserve">s. Hameed and </w:t>
      </w:r>
      <w:proofErr w:type="spellStart"/>
      <w:r w:rsidR="003A0717">
        <w:t>Yuanto</w:t>
      </w:r>
      <w:proofErr w:type="spellEnd"/>
      <w:r w:rsidR="003A0717">
        <w:t xml:space="preserve"> (2000)</w:t>
      </w:r>
      <w:r w:rsidR="002439D5">
        <w:t xml:space="preserve"> report that </w:t>
      </w:r>
      <w:r w:rsidR="008E7EF3" w:rsidRPr="00FA5714">
        <w:t>momentum</w:t>
      </w:r>
      <w:r w:rsidR="008E7EF3">
        <w:t xml:space="preserve"> </w:t>
      </w:r>
      <w:r w:rsidR="00BD716A">
        <w:t>strategies</w:t>
      </w:r>
      <w:r w:rsidR="008E7EF3" w:rsidRPr="00FA5714">
        <w:t xml:space="preserve"> </w:t>
      </w:r>
      <w:r w:rsidR="008E7EF3" w:rsidRPr="00FA5714">
        <w:lastRenderedPageBreak/>
        <w:t>generate small but statistically significant profits in six Asian stock markets.</w:t>
      </w:r>
      <w:r w:rsidR="008E7EF3">
        <w:t xml:space="preserve"> </w:t>
      </w:r>
      <w:proofErr w:type="spellStart"/>
      <w:r w:rsidR="00645AAD">
        <w:rPr>
          <w:lang w:eastAsia="zh-CN"/>
        </w:rPr>
        <w:t>Schiereck</w:t>
      </w:r>
      <w:proofErr w:type="spellEnd"/>
      <w:r w:rsidR="00912709">
        <w:rPr>
          <w:lang w:eastAsia="zh-CN"/>
        </w:rPr>
        <w:t xml:space="preserve">, </w:t>
      </w:r>
      <w:proofErr w:type="spellStart"/>
      <w:r w:rsidR="00912709">
        <w:rPr>
          <w:lang w:eastAsia="zh-CN"/>
        </w:rPr>
        <w:t>DeBondt</w:t>
      </w:r>
      <w:proofErr w:type="spellEnd"/>
      <w:r w:rsidR="00912709">
        <w:rPr>
          <w:lang w:eastAsia="zh-CN"/>
        </w:rPr>
        <w:t>, and</w:t>
      </w:r>
      <w:r w:rsidR="00645AAD">
        <w:rPr>
          <w:lang w:eastAsia="zh-CN"/>
        </w:rPr>
        <w:t xml:space="preserve"> Weber </w:t>
      </w:r>
      <w:r w:rsidR="002439D5">
        <w:t>(1999) discover</w:t>
      </w:r>
      <w:r w:rsidR="008E7EF3" w:rsidRPr="00FA5714">
        <w:t xml:space="preserve"> abnormal profits for interm</w:t>
      </w:r>
      <w:r w:rsidR="002439D5">
        <w:t>ediate-term momentum strategies</w:t>
      </w:r>
      <w:r w:rsidR="008E7EF3">
        <w:t xml:space="preserve"> </w:t>
      </w:r>
      <w:r w:rsidR="008E7EF3" w:rsidRPr="00FA5714">
        <w:t xml:space="preserve">in the </w:t>
      </w:r>
      <w:smartTag w:uri="urn:schemas-microsoft-com:office:smarttags" w:element="place">
        <w:smartTag w:uri="urn:schemas-microsoft-com:office:smarttags" w:element="country-region">
          <w:r w:rsidR="008E7EF3" w:rsidRPr="00FA5714">
            <w:t>Germany</w:t>
          </w:r>
        </w:smartTag>
      </w:smartTag>
      <w:r w:rsidR="008E7EF3" w:rsidRPr="00FA5714">
        <w:t xml:space="preserve"> equity</w:t>
      </w:r>
      <w:r w:rsidR="008E7EF3">
        <w:t xml:space="preserve"> </w:t>
      </w:r>
      <w:r w:rsidR="008E7EF3" w:rsidRPr="00FA5714">
        <w:t>market.</w:t>
      </w:r>
      <w:r w:rsidR="009E073B" w:rsidRPr="00FA5714">
        <w:t xml:space="preserve"> </w:t>
      </w:r>
    </w:p>
    <w:p w:rsidR="00070114" w:rsidRDefault="009E073B" w:rsidP="00AE3744">
      <w:pPr>
        <w:adjustRightInd w:val="0"/>
        <w:spacing w:line="480" w:lineRule="auto"/>
        <w:ind w:firstLineChars="300" w:firstLine="720"/>
        <w:jc w:val="both"/>
        <w:rPr>
          <w:rFonts w:ascii="Verdana" w:hAnsi="Verdana"/>
          <w:b/>
          <w:bCs/>
          <w:color w:val="000000"/>
        </w:rPr>
      </w:pPr>
      <w:r w:rsidRPr="00656A51">
        <w:t>Momen</w:t>
      </w:r>
      <w:r w:rsidR="009A4FDA">
        <w:t xml:space="preserve">tum is </w:t>
      </w:r>
      <w:r w:rsidR="00E94761">
        <w:t xml:space="preserve">hardly </w:t>
      </w:r>
      <w:r w:rsidRPr="00656A51">
        <w:t>explain</w:t>
      </w:r>
      <w:r w:rsidR="002920E2">
        <w:t>ed</w:t>
      </w:r>
      <w:r w:rsidR="00E94761">
        <w:t xml:space="preserve"> by</w:t>
      </w:r>
      <w:r w:rsidR="00805BF6">
        <w:t xml:space="preserve"> a</w:t>
      </w:r>
      <w:r w:rsidRPr="00656A51">
        <w:t xml:space="preserve"> traditional asset pricing model. Such a model requires that high average returns are simply compensation for some form of risk; but </w:t>
      </w:r>
      <w:r w:rsidR="00212F55">
        <w:t>stocks that have risen recently</w:t>
      </w:r>
      <w:r w:rsidRPr="00656A51">
        <w:t xml:space="preserve"> typically seem to have lower risk, not higher risk</w:t>
      </w:r>
      <w:r w:rsidR="00BD12BB">
        <w:t xml:space="preserve"> </w:t>
      </w:r>
      <w:r w:rsidRPr="00656A51">
        <w:t xml:space="preserve">as would be required for risk to explain momentum (Grundy and Martin </w:t>
      </w:r>
      <w:r w:rsidR="00713CAC">
        <w:t>(</w:t>
      </w:r>
      <w:r w:rsidRPr="00656A51">
        <w:t>2001</w:t>
      </w:r>
      <w:r w:rsidR="00713CAC">
        <w:t>)</w:t>
      </w:r>
      <w:r w:rsidR="00CD1DB8">
        <w:t xml:space="preserve">; </w:t>
      </w:r>
      <w:r w:rsidRPr="00656A51">
        <w:t xml:space="preserve">Griffin, Ji, and Martin </w:t>
      </w:r>
      <w:r w:rsidR="00713CAC">
        <w:t>(</w:t>
      </w:r>
      <w:r w:rsidRPr="00656A51">
        <w:t>2003</w:t>
      </w:r>
      <w:r w:rsidR="00713CAC">
        <w:t>)</w:t>
      </w:r>
      <w:r w:rsidRPr="00656A51">
        <w:t xml:space="preserve">). </w:t>
      </w:r>
    </w:p>
    <w:p w:rsidR="00070114" w:rsidRDefault="00212F55" w:rsidP="00AE3744">
      <w:pPr>
        <w:adjustRightInd w:val="0"/>
        <w:spacing w:line="480" w:lineRule="auto"/>
        <w:ind w:firstLineChars="300" w:firstLine="720"/>
        <w:jc w:val="both"/>
        <w:rPr>
          <w:rFonts w:ascii="Verdana" w:hAnsi="Verdana"/>
          <w:b/>
          <w:bCs/>
          <w:color w:val="000000"/>
        </w:rPr>
      </w:pPr>
      <w:proofErr w:type="spellStart"/>
      <w:r w:rsidRPr="00FA5714">
        <w:t>Fama</w:t>
      </w:r>
      <w:proofErr w:type="spellEnd"/>
      <w:r w:rsidRPr="00FA5714">
        <w:t xml:space="preserve"> (1991) notes that the predictability of stock returns over time is among the most</w:t>
      </w:r>
      <w:r>
        <w:t xml:space="preserve"> </w:t>
      </w:r>
      <w:r w:rsidRPr="00FA5714">
        <w:t>controversial issues on stock market efficiency.</w:t>
      </w:r>
      <w:r w:rsidR="00A96A3B">
        <w:t xml:space="preserve"> </w:t>
      </w:r>
      <w:r w:rsidR="00715FCD" w:rsidRPr="00715FCD">
        <w:t>Strict market efficiency requires that security prices fully reflect all available information. Evidence of momentum in stock returns certainly seems inconsistent with strict market eff</w:t>
      </w:r>
      <w:r w:rsidR="00BB571C">
        <w:t xml:space="preserve">iciency since current prices do </w:t>
      </w:r>
      <w:r w:rsidR="00715FCD" w:rsidRPr="00715FCD">
        <w:t xml:space="preserve">not reflect past prices. </w:t>
      </w:r>
      <w:r w:rsidRPr="00715FCD">
        <w:t>The controversy has led to various</w:t>
      </w:r>
      <w:r w:rsidR="00B33AD5" w:rsidRPr="00715FCD">
        <w:t xml:space="preserve"> </w:t>
      </w:r>
      <w:r w:rsidRPr="00715FCD">
        <w:t xml:space="preserve">explanations on the possibility and the sources of abnormal profits of momentum strategies. </w:t>
      </w:r>
    </w:p>
    <w:p w:rsidR="00070114" w:rsidRDefault="00BB571C" w:rsidP="00AE3744">
      <w:pPr>
        <w:adjustRightInd w:val="0"/>
        <w:spacing w:line="480" w:lineRule="auto"/>
        <w:ind w:firstLineChars="300" w:firstLine="720"/>
        <w:jc w:val="both"/>
        <w:rPr>
          <w:rFonts w:ascii="Verdana" w:hAnsi="Verdana"/>
          <w:b/>
          <w:bCs/>
          <w:color w:val="000000"/>
        </w:rPr>
      </w:pPr>
      <w:r>
        <w:t>B</w:t>
      </w:r>
      <w:r w:rsidRPr="00FA5714">
        <w:t>ased on behavioral irrationality of</w:t>
      </w:r>
      <w:r>
        <w:t xml:space="preserve"> </w:t>
      </w:r>
      <w:r w:rsidRPr="00FA5714">
        <w:t>investors</w:t>
      </w:r>
      <w:r w:rsidR="00002736" w:rsidRPr="00FA5714">
        <w:t>,</w:t>
      </w:r>
      <w:r w:rsidR="00735F5D">
        <w:t xml:space="preserve"> </w:t>
      </w:r>
      <w:r>
        <w:t>researchers argue that</w:t>
      </w:r>
      <w:r w:rsidR="00002736" w:rsidRPr="00FA5714">
        <w:t xml:space="preserve"> momentum profits are due to market inefficiency and</w:t>
      </w:r>
      <w:r w:rsidR="00252050">
        <w:t xml:space="preserve"> </w:t>
      </w:r>
      <w:r w:rsidR="007137A5">
        <w:t>r</w:t>
      </w:r>
      <w:r w:rsidR="00002736" w:rsidRPr="00FA5714">
        <w:t>esult from stock prices’ irrational reactions to information and investors’ herding</w:t>
      </w:r>
      <w:r w:rsidR="00252050">
        <w:t xml:space="preserve"> </w:t>
      </w:r>
      <w:r w:rsidR="0006743B">
        <w:t>b</w:t>
      </w:r>
      <w:r w:rsidR="00002736" w:rsidRPr="00FA5714">
        <w:t xml:space="preserve">ehavior. For example, </w:t>
      </w:r>
      <w:proofErr w:type="spellStart"/>
      <w:r w:rsidR="00A05D37">
        <w:t>Barberis</w:t>
      </w:r>
      <w:proofErr w:type="spellEnd"/>
      <w:r w:rsidR="00A05D37">
        <w:t xml:space="preserve">, Shleifer, </w:t>
      </w:r>
      <w:r w:rsidR="00B33AD5">
        <w:t>and</w:t>
      </w:r>
      <w:r w:rsidR="00A05D37">
        <w:t xml:space="preserve"> </w:t>
      </w:r>
      <w:proofErr w:type="spellStart"/>
      <w:r w:rsidR="00A05D37">
        <w:t>Vishny</w:t>
      </w:r>
      <w:proofErr w:type="spellEnd"/>
      <w:r w:rsidR="00A05D37">
        <w:t xml:space="preserve"> </w:t>
      </w:r>
      <w:r w:rsidR="00002736" w:rsidRPr="00FA5714">
        <w:t xml:space="preserve">(1998), </w:t>
      </w:r>
      <w:r w:rsidR="00A05D37">
        <w:t xml:space="preserve">Daniel, </w:t>
      </w:r>
      <w:proofErr w:type="spellStart"/>
      <w:r w:rsidR="00A05D37">
        <w:t>Hirshleifer</w:t>
      </w:r>
      <w:proofErr w:type="spellEnd"/>
      <w:r w:rsidR="00A05D37">
        <w:t xml:space="preserve">, </w:t>
      </w:r>
      <w:r w:rsidR="00687D89">
        <w:t xml:space="preserve">and </w:t>
      </w:r>
      <w:proofErr w:type="spellStart"/>
      <w:r w:rsidR="00A05D37">
        <w:t>Subrahmanyam</w:t>
      </w:r>
      <w:proofErr w:type="spellEnd"/>
      <w:r w:rsidR="00A05D37">
        <w:t xml:space="preserve">, </w:t>
      </w:r>
      <w:r w:rsidR="00002736" w:rsidRPr="00FA5714">
        <w:t>(1998) and Hong and Stein</w:t>
      </w:r>
      <w:r w:rsidR="00252050">
        <w:t xml:space="preserve"> (1</w:t>
      </w:r>
      <w:r w:rsidR="000C5931">
        <w:t>999</w:t>
      </w:r>
      <w:r w:rsidR="00002736" w:rsidRPr="00FA5714">
        <w:t>) develop models that are based on behavioral bias. In these models, the human</w:t>
      </w:r>
      <w:r w:rsidR="00252050">
        <w:t xml:space="preserve"> </w:t>
      </w:r>
      <w:r w:rsidR="00002736" w:rsidRPr="00FA5714">
        <w:t>cognitive bias leads investors either to underreact to information or to adopt positive</w:t>
      </w:r>
      <w:r w:rsidR="00F46873">
        <w:t xml:space="preserve"> </w:t>
      </w:r>
      <w:r w:rsidR="00002736" w:rsidRPr="00FA5714">
        <w:t>feedback</w:t>
      </w:r>
      <w:r w:rsidR="00252050">
        <w:t xml:space="preserve"> </w:t>
      </w:r>
      <w:r w:rsidR="00002736" w:rsidRPr="00FA5714">
        <w:t>strategies that result in delayed overreaction to information. The tendency to</w:t>
      </w:r>
      <w:r w:rsidR="00252050">
        <w:t xml:space="preserve"> </w:t>
      </w:r>
      <w:r w:rsidR="00002736" w:rsidRPr="00FA5714">
        <w:t>herd among investors (for example, among fund managers) is a well-documented fact,</w:t>
      </w:r>
      <w:r w:rsidR="00252050">
        <w:t xml:space="preserve"> </w:t>
      </w:r>
      <w:r w:rsidR="00002736" w:rsidRPr="00FA5714">
        <w:t xml:space="preserve">which helps </w:t>
      </w:r>
      <w:r w:rsidR="00002736" w:rsidRPr="00FA5714">
        <w:lastRenderedPageBreak/>
        <w:t>explain the profits of intermediate-term momentum strategies (see, e.g.,</w:t>
      </w:r>
      <w:r w:rsidR="00252050">
        <w:t xml:space="preserve"> </w:t>
      </w:r>
      <w:proofErr w:type="spellStart"/>
      <w:r w:rsidR="00A05D37">
        <w:rPr>
          <w:lang w:eastAsia="zh-CN"/>
        </w:rPr>
        <w:t>Grinblatt</w:t>
      </w:r>
      <w:proofErr w:type="spellEnd"/>
      <w:r w:rsidR="00A05D37">
        <w:rPr>
          <w:lang w:eastAsia="zh-CN"/>
        </w:rPr>
        <w:t xml:space="preserve">, Titman, </w:t>
      </w:r>
      <w:r w:rsidR="00F46873">
        <w:rPr>
          <w:lang w:eastAsia="zh-CN"/>
        </w:rPr>
        <w:t xml:space="preserve">and </w:t>
      </w:r>
      <w:proofErr w:type="spellStart"/>
      <w:r w:rsidR="00A05D37">
        <w:rPr>
          <w:lang w:eastAsia="zh-CN"/>
        </w:rPr>
        <w:t>Wermers</w:t>
      </w:r>
      <w:proofErr w:type="spellEnd"/>
      <w:r w:rsidR="00A05D37">
        <w:rPr>
          <w:lang w:eastAsia="zh-CN"/>
        </w:rPr>
        <w:t xml:space="preserve"> (</w:t>
      </w:r>
      <w:r w:rsidR="00002736" w:rsidRPr="00FA5714">
        <w:t>1995</w:t>
      </w:r>
      <w:r w:rsidR="00A05D37">
        <w:t>)</w:t>
      </w:r>
      <w:r w:rsidR="00002736" w:rsidRPr="00FA5714">
        <w:t xml:space="preserve">; </w:t>
      </w:r>
      <w:proofErr w:type="spellStart"/>
      <w:r w:rsidR="00A05D37">
        <w:rPr>
          <w:lang w:eastAsia="zh-CN"/>
        </w:rPr>
        <w:t>Lakonishok</w:t>
      </w:r>
      <w:proofErr w:type="spellEnd"/>
      <w:r w:rsidR="00A05D37">
        <w:rPr>
          <w:lang w:eastAsia="zh-CN"/>
        </w:rPr>
        <w:t xml:space="preserve">, Shleifer, </w:t>
      </w:r>
      <w:r w:rsidR="006F64F3">
        <w:rPr>
          <w:lang w:eastAsia="zh-CN"/>
        </w:rPr>
        <w:t xml:space="preserve">and </w:t>
      </w:r>
      <w:proofErr w:type="spellStart"/>
      <w:r w:rsidR="00A05D37">
        <w:rPr>
          <w:lang w:eastAsia="zh-CN"/>
        </w:rPr>
        <w:t>Vishny</w:t>
      </w:r>
      <w:proofErr w:type="spellEnd"/>
      <w:r w:rsidR="00A05D37">
        <w:rPr>
          <w:lang w:eastAsia="zh-CN"/>
        </w:rPr>
        <w:t xml:space="preserve"> (</w:t>
      </w:r>
      <w:r w:rsidR="00002736" w:rsidRPr="00FA5714">
        <w:t>1994)</w:t>
      </w:r>
      <w:r w:rsidR="00A05D37">
        <w:t>).</w:t>
      </w:r>
    </w:p>
    <w:p w:rsidR="00070114" w:rsidRPr="00070114" w:rsidRDefault="00002736" w:rsidP="00AE3744">
      <w:pPr>
        <w:adjustRightInd w:val="0"/>
        <w:spacing w:line="480" w:lineRule="auto"/>
        <w:ind w:firstLineChars="300" w:firstLine="720"/>
        <w:jc w:val="both"/>
        <w:rPr>
          <w:rFonts w:ascii="Verdana" w:hAnsi="Verdana"/>
          <w:b/>
          <w:bCs/>
          <w:color w:val="000000"/>
        </w:rPr>
      </w:pPr>
      <w:r w:rsidRPr="00FA5714">
        <w:t xml:space="preserve">The market-efficiency </w:t>
      </w:r>
      <w:r w:rsidR="008455C7">
        <w:t>supporters, on the other hand, argue</w:t>
      </w:r>
      <w:r w:rsidRPr="00FA5714">
        <w:t xml:space="preserve"> that time-varying common</w:t>
      </w:r>
      <w:r w:rsidR="00252050">
        <w:t xml:space="preserve"> </w:t>
      </w:r>
      <w:r w:rsidR="008455C7">
        <w:t>factors or</w:t>
      </w:r>
      <w:r w:rsidRPr="00FA5714">
        <w:t xml:space="preserve"> data mining lead to the existence of intermediate-term momentum profits.</w:t>
      </w:r>
      <w:r w:rsidR="00252050">
        <w:t xml:space="preserve"> </w:t>
      </w:r>
      <w:r w:rsidRPr="00FA5714">
        <w:t>According to this explanation, the abnormal returns of momentum strategies are</w:t>
      </w:r>
      <w:r w:rsidR="00252050">
        <w:t xml:space="preserve"> </w:t>
      </w:r>
      <w:r w:rsidRPr="00FA5714">
        <w:t>attributable to common factors that are not accounted for in, for example, CAPM or a</w:t>
      </w:r>
      <w:r w:rsidR="00252050">
        <w:t xml:space="preserve"> </w:t>
      </w:r>
      <w:r w:rsidRPr="00FA5714">
        <w:t xml:space="preserve">three-factor model. As </w:t>
      </w:r>
      <w:proofErr w:type="spellStart"/>
      <w:r w:rsidRPr="00FA5714">
        <w:t>Jegadeesh</w:t>
      </w:r>
      <w:proofErr w:type="spellEnd"/>
      <w:r w:rsidRPr="00FA5714">
        <w:t xml:space="preserve"> and Titman (1993) point out, to the extent that high past</w:t>
      </w:r>
      <w:r w:rsidR="00252050">
        <w:t xml:space="preserve"> </w:t>
      </w:r>
      <w:r w:rsidRPr="00FA5714">
        <w:t>returns are partly due to high expected returns, winner portfolios will contain high-risk</w:t>
      </w:r>
      <w:r w:rsidR="00252050">
        <w:t xml:space="preserve"> </w:t>
      </w:r>
      <w:r w:rsidRPr="00FA5714">
        <w:t xml:space="preserve">stocks that would also generate higher expected returns in the future. Conrad and </w:t>
      </w:r>
      <w:proofErr w:type="spellStart"/>
      <w:r w:rsidRPr="00FA5714">
        <w:t>Kaul</w:t>
      </w:r>
      <w:proofErr w:type="spellEnd"/>
      <w:r w:rsidR="00070114">
        <w:rPr>
          <w:rFonts w:ascii="Verdana" w:hAnsi="Verdana"/>
          <w:b/>
          <w:bCs/>
          <w:color w:val="000000"/>
        </w:rPr>
        <w:t xml:space="preserve"> </w:t>
      </w:r>
      <w:r w:rsidRPr="00FA5714">
        <w:t>(1998) examine this possibility and conclude that momentum profits can be explained by</w:t>
      </w:r>
      <w:r w:rsidR="00252050">
        <w:t xml:space="preserve"> </w:t>
      </w:r>
      <w:r w:rsidRPr="00FA5714">
        <w:t>the cross-sectional difference in individual stocks’ expected returns. Chordia and</w:t>
      </w:r>
      <w:r w:rsidR="006D7E18">
        <w:t xml:space="preserve"> </w:t>
      </w:r>
      <w:proofErr w:type="spellStart"/>
      <w:r w:rsidRPr="00FA5714">
        <w:t>Shivakumar</w:t>
      </w:r>
      <w:proofErr w:type="spellEnd"/>
      <w:r w:rsidRPr="00FA5714">
        <w:t xml:space="preserve"> (2000) also show that momentum profits can be driven by time-varying</w:t>
      </w:r>
      <w:r w:rsidR="00252050">
        <w:t xml:space="preserve"> </w:t>
      </w:r>
      <w:r w:rsidRPr="00FA5714">
        <w:t>expected returns.</w:t>
      </w:r>
    </w:p>
    <w:p w:rsidR="00070114" w:rsidRDefault="0086185C" w:rsidP="00AE3744">
      <w:pPr>
        <w:adjustRightInd w:val="0"/>
        <w:spacing w:line="480" w:lineRule="auto"/>
        <w:ind w:firstLineChars="300" w:firstLine="720"/>
        <w:jc w:val="both"/>
      </w:pPr>
      <w:r w:rsidRPr="00FA5714">
        <w:t xml:space="preserve">In this paper, </w:t>
      </w:r>
      <w:r w:rsidR="00ED0C17">
        <w:t>we</w:t>
      </w:r>
      <w:r w:rsidR="00656A51">
        <w:t xml:space="preserve"> employ </w:t>
      </w:r>
      <w:r w:rsidR="007137A5">
        <w:t>iShares ETF</w:t>
      </w:r>
      <w:r w:rsidRPr="00FA5714">
        <w:t xml:space="preserve"> </w:t>
      </w:r>
      <w:r w:rsidR="007C0F52">
        <w:t>monthly data</w:t>
      </w:r>
      <w:r w:rsidRPr="00FA5714">
        <w:t xml:space="preserve"> for </w:t>
      </w:r>
      <w:r w:rsidR="007137A5">
        <w:t>15</w:t>
      </w:r>
      <w:r w:rsidRPr="00FA5714">
        <w:t xml:space="preserve"> </w:t>
      </w:r>
      <w:r w:rsidR="008455C7">
        <w:t>developed markets</w:t>
      </w:r>
      <w:r w:rsidRPr="00FA5714">
        <w:t xml:space="preserve"> for the</w:t>
      </w:r>
      <w:r w:rsidR="00736B15">
        <w:t xml:space="preserve"> period April </w:t>
      </w:r>
      <w:r w:rsidR="007137A5">
        <w:t>1996</w:t>
      </w:r>
      <w:r w:rsidR="00252050">
        <w:t xml:space="preserve"> to </w:t>
      </w:r>
      <w:r w:rsidR="00F04F5A">
        <w:t>October</w:t>
      </w:r>
      <w:r w:rsidR="00736B15">
        <w:t xml:space="preserve"> </w:t>
      </w:r>
      <w:r w:rsidR="00F04F5A">
        <w:t>2015</w:t>
      </w:r>
      <w:r w:rsidRPr="00FA5714">
        <w:t xml:space="preserve"> to test for</w:t>
      </w:r>
      <w:r w:rsidR="00656A51">
        <w:t xml:space="preserve"> the </w:t>
      </w:r>
      <w:r w:rsidR="00252050">
        <w:t>price momentum</w:t>
      </w:r>
      <w:r w:rsidRPr="00FA5714">
        <w:t xml:space="preserve">. </w:t>
      </w:r>
      <w:r w:rsidR="0069269B">
        <w:t xml:space="preserve">The remainder of this paper is organized as follows. Section 2 describes </w:t>
      </w:r>
      <w:r w:rsidR="00736B15">
        <w:t xml:space="preserve">the </w:t>
      </w:r>
      <w:r w:rsidR="0069269B">
        <w:t xml:space="preserve">data and the methodology employed for portfolio formation and investment strategies. Section 3 documents the profitability of various momentum strategies. Section 4 </w:t>
      </w:r>
      <w:r w:rsidR="008455C7">
        <w:t>conducts some</w:t>
      </w:r>
      <w:r w:rsidR="007C0F52">
        <w:t xml:space="preserve"> robustness checks. </w:t>
      </w:r>
      <w:r w:rsidR="0069269B">
        <w:t xml:space="preserve">Section 5 </w:t>
      </w:r>
      <w:r w:rsidR="002C306A">
        <w:t>provides some possible</w:t>
      </w:r>
      <w:r w:rsidR="007C0F52">
        <w:t xml:space="preserve"> behavioral explanation</w:t>
      </w:r>
      <w:r w:rsidR="006D7E18">
        <w:t>s</w:t>
      </w:r>
      <w:r w:rsidR="007C0F52">
        <w:t xml:space="preserve"> to the momentum profits. </w:t>
      </w:r>
      <w:r w:rsidR="0069269B">
        <w:t>Section 6 concl</w:t>
      </w:r>
      <w:r w:rsidR="00070114">
        <w:t>udes the study.</w:t>
      </w:r>
    </w:p>
    <w:p w:rsidR="00AE3744" w:rsidRDefault="00AE3744" w:rsidP="00070114">
      <w:pPr>
        <w:adjustRightInd w:val="0"/>
        <w:spacing w:line="480" w:lineRule="auto"/>
        <w:jc w:val="both"/>
        <w:rPr>
          <w:b/>
        </w:rPr>
      </w:pPr>
    </w:p>
    <w:p w:rsidR="00070114" w:rsidRPr="00AE3744" w:rsidRDefault="00AE3744" w:rsidP="00070114">
      <w:pPr>
        <w:adjustRightInd w:val="0"/>
        <w:spacing w:line="480" w:lineRule="auto"/>
        <w:jc w:val="both"/>
      </w:pPr>
      <w:r w:rsidRPr="00AE3744">
        <w:rPr>
          <w:b/>
        </w:rPr>
        <w:t xml:space="preserve">I. </w:t>
      </w:r>
      <w:r w:rsidR="00776997" w:rsidRPr="00AE3744">
        <w:rPr>
          <w:b/>
        </w:rPr>
        <w:t>Data</w:t>
      </w:r>
      <w:r w:rsidR="007E705F" w:rsidRPr="00AE3744">
        <w:rPr>
          <w:b/>
        </w:rPr>
        <w:t xml:space="preserve"> and Methodology</w:t>
      </w:r>
    </w:p>
    <w:p w:rsidR="00C20486" w:rsidRDefault="00776997" w:rsidP="00AE3744">
      <w:pPr>
        <w:adjustRightInd w:val="0"/>
        <w:spacing w:line="480" w:lineRule="auto"/>
        <w:ind w:firstLineChars="300" w:firstLine="720"/>
        <w:jc w:val="both"/>
      </w:pPr>
      <w:r w:rsidRPr="00FA5714">
        <w:t xml:space="preserve">The data used in this study are </w:t>
      </w:r>
      <w:r w:rsidR="007137A5">
        <w:t xml:space="preserve">the </w:t>
      </w:r>
      <w:r w:rsidR="00971AD5">
        <w:t>monthly</w:t>
      </w:r>
      <w:r w:rsidR="007137A5">
        <w:t xml:space="preserve"> prices</w:t>
      </w:r>
      <w:r w:rsidR="00971AD5">
        <w:t xml:space="preserve"> of </w:t>
      </w:r>
      <w:r w:rsidR="007137A5">
        <w:t xml:space="preserve">iShares ETF </w:t>
      </w:r>
      <w:r w:rsidR="00605055">
        <w:t xml:space="preserve">Morgan Stanley </w:t>
      </w:r>
      <w:r w:rsidR="00605055" w:rsidRPr="00FA5714">
        <w:t>Capital Internat</w:t>
      </w:r>
      <w:r w:rsidR="00605055">
        <w:t xml:space="preserve">ional (MSCI) </w:t>
      </w:r>
      <w:r w:rsidR="003874B0">
        <w:t>Index ETFs</w:t>
      </w:r>
      <w:r w:rsidRPr="00FA5714">
        <w:t xml:space="preserve"> </w:t>
      </w:r>
      <w:r w:rsidR="003874B0">
        <w:t>for 15</w:t>
      </w:r>
      <w:r w:rsidR="003874B0" w:rsidRPr="00FA5714">
        <w:t xml:space="preserve"> developed countries</w:t>
      </w:r>
      <w:r w:rsidR="003874B0">
        <w:t xml:space="preserve">. </w:t>
      </w:r>
      <w:r w:rsidR="003874B0" w:rsidRPr="00FA5714">
        <w:t>The</w:t>
      </w:r>
      <w:r w:rsidR="003874B0">
        <w:t>se</w:t>
      </w:r>
      <w:r w:rsidR="007E705F">
        <w:t xml:space="preserve"> country index</w:t>
      </w:r>
      <w:r w:rsidR="003874B0" w:rsidRPr="00FA5714">
        <w:t xml:space="preserve"> </w:t>
      </w:r>
      <w:r w:rsidR="003874B0">
        <w:lastRenderedPageBreak/>
        <w:t>ETF</w:t>
      </w:r>
      <w:r w:rsidR="007E705F">
        <w:t>s</w:t>
      </w:r>
      <w:r w:rsidR="00247C7B">
        <w:t xml:space="preserve"> have been traded in AMEX</w:t>
      </w:r>
      <w:r w:rsidR="00A36E00">
        <w:t xml:space="preserve"> since April </w:t>
      </w:r>
      <w:r w:rsidR="003874B0">
        <w:t>1996. The data are available</w:t>
      </w:r>
      <w:r w:rsidR="003874B0" w:rsidRPr="00FA5714">
        <w:t xml:space="preserve"> </w:t>
      </w:r>
      <w:r w:rsidRPr="00FA5714">
        <w:t>from</w:t>
      </w:r>
      <w:r w:rsidR="00605055">
        <w:t xml:space="preserve"> Bloomberg</w:t>
      </w:r>
      <w:r w:rsidR="007137A5">
        <w:t xml:space="preserve"> and Yahoo Finance</w:t>
      </w:r>
      <w:r w:rsidR="00024689">
        <w:t>, but Yahoo Finance provides dividend-adjusted price</w:t>
      </w:r>
      <w:r w:rsidR="00B6683A">
        <w:t xml:space="preserve">s </w:t>
      </w:r>
      <w:r w:rsidR="00806F6F">
        <w:t>which are u</w:t>
      </w:r>
      <w:r w:rsidR="00024689">
        <w:t xml:space="preserve">sed for this study. </w:t>
      </w:r>
      <w:r w:rsidR="003874B0">
        <w:t>T</w:t>
      </w:r>
      <w:r w:rsidR="00C117FE">
        <w:t xml:space="preserve">he </w:t>
      </w:r>
      <w:r w:rsidR="00485F6B">
        <w:t xml:space="preserve">iShares </w:t>
      </w:r>
      <w:r w:rsidR="003874B0">
        <w:t xml:space="preserve">International </w:t>
      </w:r>
      <w:r w:rsidR="00485F6B">
        <w:t>Index ETF</w:t>
      </w:r>
      <w:r w:rsidR="003874B0">
        <w:t>s</w:t>
      </w:r>
      <w:r w:rsidR="00B6683A">
        <w:t xml:space="preserve"> have wide</w:t>
      </w:r>
      <w:r w:rsidR="00C117FE" w:rsidRPr="00FA5714">
        <w:t xml:space="preserve"> mar</w:t>
      </w:r>
      <w:r w:rsidR="00B6683A">
        <w:t xml:space="preserve">ket coverage and are </w:t>
      </w:r>
      <w:r w:rsidR="00C117FE" w:rsidRPr="00FA5714">
        <w:t xml:space="preserve">diversified. </w:t>
      </w:r>
      <w:r w:rsidR="003874B0">
        <w:t>MSCI</w:t>
      </w:r>
      <w:r w:rsidR="00C117FE" w:rsidRPr="00FA5714">
        <w:t xml:space="preserve"> indices are</w:t>
      </w:r>
      <w:r w:rsidR="00C117FE">
        <w:t xml:space="preserve"> </w:t>
      </w:r>
      <w:r w:rsidR="00C117FE" w:rsidRPr="00FA5714">
        <w:t>computed consistently across markets, thereby allowing for a direct comparison across</w:t>
      </w:r>
      <w:r w:rsidR="00C117FE">
        <w:t xml:space="preserve"> </w:t>
      </w:r>
      <w:r w:rsidR="00C117FE" w:rsidRPr="00FA5714">
        <w:t>countries</w:t>
      </w:r>
      <w:r w:rsidR="00C117FE">
        <w:t xml:space="preserve">. </w:t>
      </w:r>
      <w:r w:rsidRPr="00FA5714">
        <w:t>The</w:t>
      </w:r>
      <w:r w:rsidR="00252050">
        <w:t xml:space="preserve"> </w:t>
      </w:r>
      <w:r w:rsidR="00B6683A">
        <w:t>indices</w:t>
      </w:r>
      <w:r w:rsidRPr="00FA5714">
        <w:t xml:space="preserve"> are </w:t>
      </w:r>
      <w:r w:rsidR="00485F6B">
        <w:t xml:space="preserve">calculated on the </w:t>
      </w:r>
      <w:r w:rsidRPr="00FA5714">
        <w:t>end-of-period value-weighted indices of a large sample of companies</w:t>
      </w:r>
      <w:r w:rsidR="00252050">
        <w:t xml:space="preserve"> </w:t>
      </w:r>
      <w:r w:rsidRPr="00FA5714">
        <w:t xml:space="preserve">in each country. </w:t>
      </w:r>
      <w:r w:rsidR="00B6683A">
        <w:t>The</w:t>
      </w:r>
      <w:r w:rsidR="005C14C0">
        <w:t xml:space="preserve"> countries</w:t>
      </w:r>
      <w:r w:rsidR="00581D87">
        <w:t xml:space="preserve"> </w:t>
      </w:r>
      <w:r w:rsidR="00B6683A">
        <w:t>examined in this paper include</w:t>
      </w:r>
      <w:r w:rsidR="00C117FE" w:rsidRPr="00FA5714">
        <w:t xml:space="preserve"> Australia (</w:t>
      </w:r>
      <w:r w:rsidR="00196694">
        <w:t xml:space="preserve">Symbol: </w:t>
      </w:r>
      <w:r w:rsidR="007E705F">
        <w:t>EWA</w:t>
      </w:r>
      <w:r w:rsidR="00C117FE" w:rsidRPr="00FA5714">
        <w:t>), Austria (</w:t>
      </w:r>
      <w:r w:rsidR="007E705F">
        <w:t>EWO), Belgium (EWK), France (EWQ), Germany (EWG</w:t>
      </w:r>
      <w:r w:rsidR="00C117FE" w:rsidRPr="00FA5714">
        <w:t>), Ho</w:t>
      </w:r>
      <w:r w:rsidR="007E705F">
        <w:t>ng Kong (EWH</w:t>
      </w:r>
      <w:r w:rsidR="00C117FE" w:rsidRPr="00FA5714">
        <w:t xml:space="preserve">), </w:t>
      </w:r>
      <w:r w:rsidR="007E705F">
        <w:t>Italy (EWI), Japan (EWJ</w:t>
      </w:r>
      <w:r w:rsidR="00196694">
        <w:t xml:space="preserve">), </w:t>
      </w:r>
      <w:r w:rsidR="007E705F">
        <w:t>Netherlands (EWN</w:t>
      </w:r>
      <w:r w:rsidR="00C117FE" w:rsidRPr="00FA5714">
        <w:t xml:space="preserve">), </w:t>
      </w:r>
      <w:r w:rsidR="00C117FE">
        <w:t xml:space="preserve">Singapore </w:t>
      </w:r>
      <w:r w:rsidR="007E705F">
        <w:t>(EWS), Spain (EWP), Sweden (EWD</w:t>
      </w:r>
      <w:r w:rsidR="00C117FE" w:rsidRPr="00FA5714">
        <w:t xml:space="preserve">), Switzerland </w:t>
      </w:r>
      <w:r w:rsidR="007E705F">
        <w:t>(EWL), the United Kingdom (EWU</w:t>
      </w:r>
      <w:r w:rsidR="00C117FE">
        <w:t xml:space="preserve">), </w:t>
      </w:r>
      <w:r w:rsidR="00C117FE" w:rsidRPr="00FA5714">
        <w:t>and the</w:t>
      </w:r>
      <w:r w:rsidR="00C117FE">
        <w:t xml:space="preserve"> </w:t>
      </w:r>
      <w:r w:rsidR="007E705F">
        <w:t>United States (SPY</w:t>
      </w:r>
      <w:r w:rsidR="00247C7B">
        <w:t xml:space="preserve">). </w:t>
      </w:r>
      <w:r w:rsidRPr="00FA5714">
        <w:t>Because</w:t>
      </w:r>
      <w:r w:rsidR="000B2D49">
        <w:t xml:space="preserve"> </w:t>
      </w:r>
      <w:r w:rsidRPr="00FA5714">
        <w:t>the focus of this paper</w:t>
      </w:r>
      <w:r w:rsidR="00C117FE">
        <w:t xml:space="preserve"> </w:t>
      </w:r>
      <w:r w:rsidRPr="00FA5714">
        <w:t xml:space="preserve">is on </w:t>
      </w:r>
      <w:r w:rsidR="00C117FE">
        <w:t>intermediate-term</w:t>
      </w:r>
      <w:r w:rsidR="007E705F">
        <w:t xml:space="preserve"> returns, </w:t>
      </w:r>
      <w:r w:rsidR="00196694">
        <w:t>the complete history of monthly</w:t>
      </w:r>
      <w:r w:rsidR="00A807BD">
        <w:t xml:space="preserve"> </w:t>
      </w:r>
      <w:r w:rsidR="00196694">
        <w:t>data from April 1, 1996</w:t>
      </w:r>
      <w:r w:rsidRPr="00FA5714">
        <w:t xml:space="preserve"> to </w:t>
      </w:r>
      <w:r w:rsidR="00627611">
        <w:t>October 1</w:t>
      </w:r>
      <w:r w:rsidR="00196694">
        <w:t>,</w:t>
      </w:r>
      <w:r w:rsidR="00627611">
        <w:t xml:space="preserve"> 2015</w:t>
      </w:r>
      <w:r w:rsidR="00B6683A" w:rsidRPr="00B6683A">
        <w:t xml:space="preserve"> </w:t>
      </w:r>
      <w:r w:rsidR="00B6683A">
        <w:t xml:space="preserve">is used. </w:t>
      </w:r>
    </w:p>
    <w:tbl>
      <w:tblPr>
        <w:tblW w:w="9267" w:type="dxa"/>
        <w:tblInd w:w="93" w:type="dxa"/>
        <w:tblLook w:val="0000" w:firstRow="0" w:lastRow="0" w:firstColumn="0" w:lastColumn="0" w:noHBand="0" w:noVBand="0"/>
      </w:tblPr>
      <w:tblGrid>
        <w:gridCol w:w="1351"/>
        <w:gridCol w:w="1346"/>
        <w:gridCol w:w="373"/>
        <w:gridCol w:w="272"/>
        <w:gridCol w:w="975"/>
        <w:gridCol w:w="270"/>
        <w:gridCol w:w="357"/>
        <w:gridCol w:w="290"/>
        <w:gridCol w:w="378"/>
        <w:gridCol w:w="1333"/>
        <w:gridCol w:w="29"/>
        <w:gridCol w:w="325"/>
        <w:gridCol w:w="27"/>
        <w:gridCol w:w="1941"/>
      </w:tblGrid>
      <w:tr w:rsidR="008C53D3" w:rsidRPr="0049161E" w:rsidTr="001C76B2">
        <w:trPr>
          <w:trHeight w:val="255"/>
        </w:trPr>
        <w:tc>
          <w:tcPr>
            <w:tcW w:w="9267" w:type="dxa"/>
            <w:gridSpan w:val="14"/>
            <w:tcBorders>
              <w:top w:val="nil"/>
              <w:left w:val="nil"/>
              <w:bottom w:val="nil"/>
              <w:right w:val="nil"/>
            </w:tcBorders>
            <w:shd w:val="clear" w:color="auto" w:fill="auto"/>
            <w:noWrap/>
            <w:vAlign w:val="bottom"/>
          </w:tcPr>
          <w:p w:rsidR="008C53D3" w:rsidRPr="000D4135" w:rsidRDefault="008C53D3" w:rsidP="00E14292">
            <w:pPr>
              <w:rPr>
                <w:rFonts w:eastAsia="Times New Roman"/>
                <w:b/>
                <w:bCs/>
                <w:sz w:val="20"/>
                <w:szCs w:val="20"/>
              </w:rPr>
            </w:pPr>
            <w:r w:rsidRPr="000D4135">
              <w:rPr>
                <w:rFonts w:eastAsia="Times New Roman"/>
                <w:b/>
                <w:bCs/>
                <w:sz w:val="20"/>
                <w:szCs w:val="20"/>
              </w:rPr>
              <w:t>Exhibit 1: Summary Statistics for Average Monthly Returns on 15 iShares MSCI Index ETFs</w:t>
            </w:r>
          </w:p>
        </w:tc>
      </w:tr>
      <w:tr w:rsidR="008C53D3" w:rsidRPr="0049161E" w:rsidTr="001C76B2">
        <w:trPr>
          <w:trHeight w:val="144"/>
        </w:trPr>
        <w:tc>
          <w:tcPr>
            <w:tcW w:w="1351" w:type="dxa"/>
            <w:tcBorders>
              <w:top w:val="nil"/>
              <w:left w:val="nil"/>
              <w:bottom w:val="double" w:sz="6" w:space="0" w:color="auto"/>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 </w:t>
            </w:r>
          </w:p>
        </w:tc>
        <w:tc>
          <w:tcPr>
            <w:tcW w:w="1346" w:type="dxa"/>
            <w:tcBorders>
              <w:top w:val="nil"/>
              <w:left w:val="nil"/>
              <w:bottom w:val="double" w:sz="6" w:space="0" w:color="auto"/>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 </w:t>
            </w:r>
          </w:p>
        </w:tc>
        <w:tc>
          <w:tcPr>
            <w:tcW w:w="373" w:type="dxa"/>
            <w:tcBorders>
              <w:top w:val="nil"/>
              <w:left w:val="nil"/>
              <w:bottom w:val="double" w:sz="6" w:space="0" w:color="auto"/>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 </w:t>
            </w:r>
          </w:p>
        </w:tc>
        <w:tc>
          <w:tcPr>
            <w:tcW w:w="272" w:type="dxa"/>
            <w:tcBorders>
              <w:top w:val="nil"/>
              <w:left w:val="nil"/>
              <w:bottom w:val="double" w:sz="6" w:space="0" w:color="auto"/>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 </w:t>
            </w:r>
          </w:p>
        </w:tc>
        <w:tc>
          <w:tcPr>
            <w:tcW w:w="1892" w:type="dxa"/>
            <w:gridSpan w:val="4"/>
            <w:tcBorders>
              <w:top w:val="nil"/>
              <w:left w:val="nil"/>
              <w:bottom w:val="double" w:sz="6" w:space="0" w:color="auto"/>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 </w:t>
            </w:r>
          </w:p>
        </w:tc>
        <w:tc>
          <w:tcPr>
            <w:tcW w:w="378" w:type="dxa"/>
            <w:tcBorders>
              <w:top w:val="nil"/>
              <w:left w:val="nil"/>
              <w:bottom w:val="double" w:sz="6" w:space="0" w:color="auto"/>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 </w:t>
            </w:r>
          </w:p>
        </w:tc>
        <w:tc>
          <w:tcPr>
            <w:tcW w:w="3655" w:type="dxa"/>
            <w:gridSpan w:val="5"/>
            <w:tcBorders>
              <w:top w:val="nil"/>
              <w:left w:val="nil"/>
              <w:bottom w:val="double" w:sz="6" w:space="0" w:color="auto"/>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 </w:t>
            </w:r>
          </w:p>
        </w:tc>
      </w:tr>
      <w:tr w:rsidR="001C76B2" w:rsidRPr="0049161E" w:rsidTr="001C76B2">
        <w:trPr>
          <w:trHeight w:val="270"/>
        </w:trPr>
        <w:tc>
          <w:tcPr>
            <w:tcW w:w="1351" w:type="dxa"/>
            <w:tcBorders>
              <w:top w:val="nil"/>
              <w:left w:val="nil"/>
              <w:bottom w:val="single" w:sz="4" w:space="0" w:color="auto"/>
              <w:right w:val="nil"/>
            </w:tcBorders>
            <w:shd w:val="clear" w:color="auto" w:fill="auto"/>
            <w:noWrap/>
            <w:vAlign w:val="bottom"/>
          </w:tcPr>
          <w:p w:rsidR="001C76B2" w:rsidRPr="000D4135" w:rsidRDefault="001C76B2" w:rsidP="00E14292">
            <w:pPr>
              <w:rPr>
                <w:rFonts w:eastAsia="Times New Roman"/>
                <w:sz w:val="20"/>
                <w:szCs w:val="20"/>
              </w:rPr>
            </w:pPr>
            <w:r w:rsidRPr="000D4135">
              <w:rPr>
                <w:rFonts w:eastAsia="Times New Roman"/>
                <w:sz w:val="20"/>
                <w:szCs w:val="20"/>
              </w:rPr>
              <w:t>Country</w:t>
            </w:r>
          </w:p>
        </w:tc>
        <w:tc>
          <w:tcPr>
            <w:tcW w:w="1346" w:type="dxa"/>
            <w:tcBorders>
              <w:top w:val="nil"/>
              <w:left w:val="nil"/>
              <w:bottom w:val="single" w:sz="4" w:space="0" w:color="auto"/>
              <w:right w:val="nil"/>
            </w:tcBorders>
            <w:shd w:val="clear" w:color="auto" w:fill="auto"/>
            <w:noWrap/>
            <w:vAlign w:val="bottom"/>
          </w:tcPr>
          <w:p w:rsidR="001C76B2" w:rsidRPr="000D4135" w:rsidRDefault="001C76B2" w:rsidP="00E14292">
            <w:pPr>
              <w:rPr>
                <w:rFonts w:eastAsia="Times New Roman"/>
                <w:sz w:val="20"/>
                <w:szCs w:val="20"/>
              </w:rPr>
            </w:pPr>
            <w:r w:rsidRPr="000D4135">
              <w:rPr>
                <w:rFonts w:eastAsia="Times New Roman"/>
                <w:sz w:val="20"/>
                <w:szCs w:val="20"/>
              </w:rPr>
              <w:t>ETF Symbol</w:t>
            </w:r>
          </w:p>
        </w:tc>
        <w:tc>
          <w:tcPr>
            <w:tcW w:w="373" w:type="dxa"/>
            <w:tcBorders>
              <w:top w:val="nil"/>
              <w:left w:val="nil"/>
              <w:bottom w:val="single" w:sz="4" w:space="0" w:color="auto"/>
              <w:right w:val="nil"/>
            </w:tcBorders>
            <w:shd w:val="clear" w:color="auto" w:fill="auto"/>
            <w:vAlign w:val="bottom"/>
          </w:tcPr>
          <w:p w:rsidR="001C76B2" w:rsidRPr="000D4135" w:rsidRDefault="001C76B2" w:rsidP="00E14292">
            <w:pPr>
              <w:rPr>
                <w:rFonts w:eastAsia="Times New Roman"/>
                <w:sz w:val="20"/>
                <w:szCs w:val="20"/>
              </w:rPr>
            </w:pPr>
          </w:p>
        </w:tc>
        <w:tc>
          <w:tcPr>
            <w:tcW w:w="1247" w:type="dxa"/>
            <w:gridSpan w:val="2"/>
            <w:tcBorders>
              <w:top w:val="nil"/>
              <w:left w:val="nil"/>
              <w:bottom w:val="single" w:sz="4" w:space="0" w:color="auto"/>
              <w:right w:val="nil"/>
            </w:tcBorders>
            <w:shd w:val="clear" w:color="auto" w:fill="auto"/>
            <w:noWrap/>
            <w:vAlign w:val="bottom"/>
          </w:tcPr>
          <w:p w:rsidR="001C76B2" w:rsidRPr="000D4135" w:rsidRDefault="001C76B2" w:rsidP="001C76B2">
            <w:pPr>
              <w:rPr>
                <w:rFonts w:eastAsia="Times New Roman"/>
                <w:sz w:val="20"/>
                <w:szCs w:val="20"/>
              </w:rPr>
            </w:pPr>
            <w:r w:rsidRPr="000D4135">
              <w:rPr>
                <w:rFonts w:eastAsia="Times New Roman"/>
                <w:sz w:val="20"/>
                <w:szCs w:val="20"/>
              </w:rPr>
              <w:t xml:space="preserve">Mean (%) </w:t>
            </w:r>
          </w:p>
        </w:tc>
        <w:tc>
          <w:tcPr>
            <w:tcW w:w="270" w:type="dxa"/>
            <w:tcBorders>
              <w:top w:val="nil"/>
              <w:left w:val="nil"/>
              <w:bottom w:val="single" w:sz="4" w:space="0" w:color="auto"/>
              <w:right w:val="nil"/>
            </w:tcBorders>
            <w:shd w:val="clear" w:color="auto" w:fill="auto"/>
            <w:noWrap/>
            <w:vAlign w:val="bottom"/>
          </w:tcPr>
          <w:p w:rsidR="001C76B2" w:rsidRPr="000D4135" w:rsidRDefault="001C76B2" w:rsidP="00E14292">
            <w:pPr>
              <w:rPr>
                <w:rFonts w:eastAsia="Times New Roman"/>
                <w:sz w:val="20"/>
                <w:szCs w:val="20"/>
              </w:rPr>
            </w:pPr>
          </w:p>
        </w:tc>
        <w:tc>
          <w:tcPr>
            <w:tcW w:w="2387" w:type="dxa"/>
            <w:gridSpan w:val="5"/>
            <w:tcBorders>
              <w:top w:val="nil"/>
              <w:left w:val="nil"/>
              <w:bottom w:val="single" w:sz="4" w:space="0" w:color="auto"/>
              <w:right w:val="nil"/>
            </w:tcBorders>
            <w:shd w:val="clear" w:color="auto" w:fill="auto"/>
            <w:noWrap/>
            <w:vAlign w:val="bottom"/>
          </w:tcPr>
          <w:p w:rsidR="001C76B2" w:rsidRPr="000D4135" w:rsidRDefault="001C76B2" w:rsidP="008C53D3">
            <w:pPr>
              <w:rPr>
                <w:rFonts w:eastAsia="Times New Roman"/>
                <w:sz w:val="20"/>
                <w:szCs w:val="20"/>
              </w:rPr>
            </w:pPr>
            <w:r w:rsidRPr="000D4135">
              <w:rPr>
                <w:rFonts w:eastAsia="Times New Roman"/>
                <w:sz w:val="20"/>
                <w:szCs w:val="20"/>
              </w:rPr>
              <w:t>Standard Deviation (%)</w:t>
            </w:r>
          </w:p>
        </w:tc>
        <w:tc>
          <w:tcPr>
            <w:tcW w:w="352" w:type="dxa"/>
            <w:gridSpan w:val="2"/>
            <w:tcBorders>
              <w:top w:val="nil"/>
              <w:left w:val="nil"/>
              <w:bottom w:val="single" w:sz="4" w:space="0" w:color="auto"/>
              <w:right w:val="nil"/>
            </w:tcBorders>
            <w:shd w:val="clear" w:color="auto" w:fill="auto"/>
            <w:noWrap/>
            <w:vAlign w:val="bottom"/>
          </w:tcPr>
          <w:p w:rsidR="001C76B2" w:rsidRPr="000D4135" w:rsidRDefault="001C76B2" w:rsidP="00E14292">
            <w:pPr>
              <w:rPr>
                <w:rFonts w:eastAsia="Times New Roman"/>
                <w:sz w:val="20"/>
                <w:szCs w:val="20"/>
              </w:rPr>
            </w:pPr>
          </w:p>
        </w:tc>
        <w:tc>
          <w:tcPr>
            <w:tcW w:w="1941" w:type="dxa"/>
            <w:tcBorders>
              <w:top w:val="nil"/>
              <w:left w:val="nil"/>
              <w:bottom w:val="single" w:sz="4" w:space="0" w:color="auto"/>
              <w:right w:val="nil"/>
            </w:tcBorders>
            <w:shd w:val="clear" w:color="auto" w:fill="auto"/>
            <w:noWrap/>
            <w:vAlign w:val="bottom"/>
          </w:tcPr>
          <w:p w:rsidR="001C76B2" w:rsidRPr="000D4135" w:rsidRDefault="001C76B2" w:rsidP="00E14292">
            <w:pPr>
              <w:rPr>
                <w:rFonts w:eastAsia="Times New Roman"/>
                <w:sz w:val="20"/>
                <w:szCs w:val="20"/>
              </w:rPr>
            </w:pPr>
            <w:r w:rsidRPr="000D4135">
              <w:rPr>
                <w:rFonts w:eastAsia="Times New Roman"/>
                <w:sz w:val="20"/>
                <w:szCs w:val="20"/>
              </w:rPr>
              <w:t>β with World Index</w:t>
            </w:r>
          </w:p>
        </w:tc>
      </w:tr>
      <w:tr w:rsidR="008C53D3" w:rsidRPr="0049161E" w:rsidTr="001C76B2">
        <w:trPr>
          <w:trHeight w:val="255"/>
        </w:trPr>
        <w:tc>
          <w:tcPr>
            <w:tcW w:w="1351"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Austria</w:t>
            </w:r>
          </w:p>
        </w:tc>
        <w:tc>
          <w:tcPr>
            <w:tcW w:w="1346"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EWO</w:t>
            </w:r>
          </w:p>
        </w:tc>
        <w:tc>
          <w:tcPr>
            <w:tcW w:w="1890" w:type="dxa"/>
            <w:gridSpan w:val="4"/>
            <w:tcBorders>
              <w:top w:val="nil"/>
              <w:left w:val="nil"/>
              <w:bottom w:val="nil"/>
              <w:right w:val="nil"/>
            </w:tcBorders>
            <w:shd w:val="clear" w:color="auto" w:fill="auto"/>
            <w:noWrap/>
            <w:vAlign w:val="bottom"/>
          </w:tcPr>
          <w:p w:rsidR="008C53D3" w:rsidRPr="000D4135" w:rsidRDefault="001C76B2" w:rsidP="001C76B2">
            <w:pPr>
              <w:rPr>
                <w:rFonts w:eastAsia="Times New Roman"/>
                <w:sz w:val="20"/>
                <w:szCs w:val="20"/>
              </w:rPr>
            </w:pPr>
            <w:r w:rsidRPr="000D4135">
              <w:rPr>
                <w:rFonts w:eastAsia="Times New Roman"/>
                <w:sz w:val="20"/>
                <w:szCs w:val="20"/>
              </w:rPr>
              <w:t xml:space="preserve">            </w:t>
            </w:r>
            <w:r w:rsidR="008C53D3" w:rsidRPr="000D4135">
              <w:rPr>
                <w:rFonts w:eastAsia="Times New Roman"/>
                <w:sz w:val="20"/>
                <w:szCs w:val="20"/>
              </w:rPr>
              <w:t>0.64</w:t>
            </w:r>
          </w:p>
        </w:tc>
        <w:tc>
          <w:tcPr>
            <w:tcW w:w="357" w:type="dxa"/>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2001" w:type="dxa"/>
            <w:gridSpan w:val="3"/>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7.26</w:t>
            </w:r>
          </w:p>
        </w:tc>
        <w:tc>
          <w:tcPr>
            <w:tcW w:w="354"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1968"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1.20</w:t>
            </w:r>
          </w:p>
        </w:tc>
      </w:tr>
      <w:tr w:rsidR="008C53D3" w:rsidRPr="0049161E" w:rsidTr="001C76B2">
        <w:trPr>
          <w:trHeight w:val="255"/>
        </w:trPr>
        <w:tc>
          <w:tcPr>
            <w:tcW w:w="1351"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Australia</w:t>
            </w:r>
          </w:p>
        </w:tc>
        <w:tc>
          <w:tcPr>
            <w:tcW w:w="1346"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EWA</w:t>
            </w:r>
          </w:p>
        </w:tc>
        <w:tc>
          <w:tcPr>
            <w:tcW w:w="1890" w:type="dxa"/>
            <w:gridSpan w:val="4"/>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0.80</w:t>
            </w:r>
          </w:p>
        </w:tc>
        <w:tc>
          <w:tcPr>
            <w:tcW w:w="357" w:type="dxa"/>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2001" w:type="dxa"/>
            <w:gridSpan w:val="3"/>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6.63</w:t>
            </w:r>
          </w:p>
        </w:tc>
        <w:tc>
          <w:tcPr>
            <w:tcW w:w="354"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1968"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1.19</w:t>
            </w:r>
          </w:p>
        </w:tc>
      </w:tr>
      <w:tr w:rsidR="008C53D3" w:rsidRPr="0049161E" w:rsidTr="001C76B2">
        <w:trPr>
          <w:trHeight w:val="255"/>
        </w:trPr>
        <w:tc>
          <w:tcPr>
            <w:tcW w:w="1351"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Belgium</w:t>
            </w:r>
          </w:p>
        </w:tc>
        <w:tc>
          <w:tcPr>
            <w:tcW w:w="1346"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EWK</w:t>
            </w:r>
          </w:p>
        </w:tc>
        <w:tc>
          <w:tcPr>
            <w:tcW w:w="1890" w:type="dxa"/>
            <w:gridSpan w:val="4"/>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0.68</w:t>
            </w:r>
          </w:p>
        </w:tc>
        <w:tc>
          <w:tcPr>
            <w:tcW w:w="357" w:type="dxa"/>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2001" w:type="dxa"/>
            <w:gridSpan w:val="3"/>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6.24</w:t>
            </w:r>
          </w:p>
        </w:tc>
        <w:tc>
          <w:tcPr>
            <w:tcW w:w="354"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1968"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1.11</w:t>
            </w:r>
          </w:p>
        </w:tc>
      </w:tr>
      <w:tr w:rsidR="008C53D3" w:rsidRPr="0049161E" w:rsidTr="001C76B2">
        <w:trPr>
          <w:trHeight w:val="255"/>
        </w:trPr>
        <w:tc>
          <w:tcPr>
            <w:tcW w:w="1351"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France</w:t>
            </w:r>
          </w:p>
        </w:tc>
        <w:tc>
          <w:tcPr>
            <w:tcW w:w="1346"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EWQ</w:t>
            </w:r>
          </w:p>
        </w:tc>
        <w:tc>
          <w:tcPr>
            <w:tcW w:w="1890" w:type="dxa"/>
            <w:gridSpan w:val="4"/>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0.73</w:t>
            </w:r>
          </w:p>
        </w:tc>
        <w:tc>
          <w:tcPr>
            <w:tcW w:w="357" w:type="dxa"/>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2001" w:type="dxa"/>
            <w:gridSpan w:val="3"/>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6.23</w:t>
            </w:r>
          </w:p>
        </w:tc>
        <w:tc>
          <w:tcPr>
            <w:tcW w:w="354"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1968"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1.24</w:t>
            </w:r>
          </w:p>
        </w:tc>
      </w:tr>
      <w:tr w:rsidR="008C53D3" w:rsidRPr="0049161E" w:rsidTr="001C76B2">
        <w:trPr>
          <w:trHeight w:val="255"/>
        </w:trPr>
        <w:tc>
          <w:tcPr>
            <w:tcW w:w="1351"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Germany</w:t>
            </w:r>
          </w:p>
        </w:tc>
        <w:tc>
          <w:tcPr>
            <w:tcW w:w="1346"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EWG</w:t>
            </w:r>
          </w:p>
        </w:tc>
        <w:tc>
          <w:tcPr>
            <w:tcW w:w="1890" w:type="dxa"/>
            <w:gridSpan w:val="4"/>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0.75</w:t>
            </w:r>
          </w:p>
        </w:tc>
        <w:tc>
          <w:tcPr>
            <w:tcW w:w="357" w:type="dxa"/>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2001" w:type="dxa"/>
            <w:gridSpan w:val="3"/>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7.07</w:t>
            </w:r>
          </w:p>
        </w:tc>
        <w:tc>
          <w:tcPr>
            <w:tcW w:w="354"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1968"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1.38</w:t>
            </w:r>
          </w:p>
        </w:tc>
      </w:tr>
      <w:tr w:rsidR="008C53D3" w:rsidRPr="0049161E" w:rsidTr="001C76B2">
        <w:trPr>
          <w:trHeight w:val="255"/>
        </w:trPr>
        <w:tc>
          <w:tcPr>
            <w:tcW w:w="1351"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Hong Kong</w:t>
            </w:r>
          </w:p>
        </w:tc>
        <w:tc>
          <w:tcPr>
            <w:tcW w:w="1346"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EWH</w:t>
            </w:r>
          </w:p>
        </w:tc>
        <w:tc>
          <w:tcPr>
            <w:tcW w:w="1890" w:type="dxa"/>
            <w:gridSpan w:val="4"/>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0.70</w:t>
            </w:r>
          </w:p>
        </w:tc>
        <w:tc>
          <w:tcPr>
            <w:tcW w:w="357" w:type="dxa"/>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2001" w:type="dxa"/>
            <w:gridSpan w:val="3"/>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7.52</w:t>
            </w:r>
          </w:p>
        </w:tc>
        <w:tc>
          <w:tcPr>
            <w:tcW w:w="354"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1968"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1.20</w:t>
            </w:r>
          </w:p>
        </w:tc>
      </w:tr>
      <w:tr w:rsidR="008C53D3" w:rsidRPr="0049161E" w:rsidTr="001C76B2">
        <w:trPr>
          <w:trHeight w:val="255"/>
        </w:trPr>
        <w:tc>
          <w:tcPr>
            <w:tcW w:w="1351"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Italy</w:t>
            </w:r>
          </w:p>
        </w:tc>
        <w:tc>
          <w:tcPr>
            <w:tcW w:w="1346"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EWI</w:t>
            </w:r>
          </w:p>
        </w:tc>
        <w:tc>
          <w:tcPr>
            <w:tcW w:w="1890" w:type="dxa"/>
            <w:gridSpan w:val="4"/>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0.62</w:t>
            </w:r>
          </w:p>
        </w:tc>
        <w:tc>
          <w:tcPr>
            <w:tcW w:w="357" w:type="dxa"/>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2001" w:type="dxa"/>
            <w:gridSpan w:val="3"/>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7.07</w:t>
            </w:r>
          </w:p>
        </w:tc>
        <w:tc>
          <w:tcPr>
            <w:tcW w:w="354"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1968"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1.26</w:t>
            </w:r>
          </w:p>
        </w:tc>
      </w:tr>
      <w:tr w:rsidR="008C53D3" w:rsidRPr="0049161E" w:rsidTr="001C76B2">
        <w:trPr>
          <w:trHeight w:val="255"/>
        </w:trPr>
        <w:tc>
          <w:tcPr>
            <w:tcW w:w="1351"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Japan</w:t>
            </w:r>
          </w:p>
        </w:tc>
        <w:tc>
          <w:tcPr>
            <w:tcW w:w="1346"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EWJ</w:t>
            </w:r>
          </w:p>
        </w:tc>
        <w:tc>
          <w:tcPr>
            <w:tcW w:w="1890" w:type="dxa"/>
            <w:gridSpan w:val="4"/>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0.12</w:t>
            </w:r>
          </w:p>
        </w:tc>
        <w:tc>
          <w:tcPr>
            <w:tcW w:w="357" w:type="dxa"/>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2001" w:type="dxa"/>
            <w:gridSpan w:val="3"/>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5.59</w:t>
            </w:r>
          </w:p>
        </w:tc>
        <w:tc>
          <w:tcPr>
            <w:tcW w:w="354"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1968"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0.86</w:t>
            </w:r>
          </w:p>
        </w:tc>
      </w:tr>
      <w:tr w:rsidR="008C53D3" w:rsidRPr="0049161E" w:rsidTr="001C76B2">
        <w:trPr>
          <w:trHeight w:val="255"/>
        </w:trPr>
        <w:tc>
          <w:tcPr>
            <w:tcW w:w="1351"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Netherlands</w:t>
            </w:r>
          </w:p>
        </w:tc>
        <w:tc>
          <w:tcPr>
            <w:tcW w:w="1346"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EWN</w:t>
            </w:r>
          </w:p>
        </w:tc>
        <w:tc>
          <w:tcPr>
            <w:tcW w:w="1890" w:type="dxa"/>
            <w:gridSpan w:val="4"/>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0.62</w:t>
            </w:r>
          </w:p>
        </w:tc>
        <w:tc>
          <w:tcPr>
            <w:tcW w:w="357" w:type="dxa"/>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2001" w:type="dxa"/>
            <w:gridSpan w:val="3"/>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6.13</w:t>
            </w:r>
          </w:p>
        </w:tc>
        <w:tc>
          <w:tcPr>
            <w:tcW w:w="354"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1968"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1.22</w:t>
            </w:r>
          </w:p>
        </w:tc>
      </w:tr>
      <w:tr w:rsidR="008C53D3" w:rsidRPr="0049161E" w:rsidTr="001C76B2">
        <w:trPr>
          <w:trHeight w:val="255"/>
        </w:trPr>
        <w:tc>
          <w:tcPr>
            <w:tcW w:w="1351"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Singapore</w:t>
            </w:r>
          </w:p>
        </w:tc>
        <w:tc>
          <w:tcPr>
            <w:tcW w:w="1346"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EWS</w:t>
            </w:r>
          </w:p>
        </w:tc>
        <w:tc>
          <w:tcPr>
            <w:tcW w:w="1890" w:type="dxa"/>
            <w:gridSpan w:val="4"/>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0.50</w:t>
            </w:r>
          </w:p>
        </w:tc>
        <w:tc>
          <w:tcPr>
            <w:tcW w:w="357" w:type="dxa"/>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2001" w:type="dxa"/>
            <w:gridSpan w:val="3"/>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7.99</w:t>
            </w:r>
          </w:p>
        </w:tc>
        <w:tc>
          <w:tcPr>
            <w:tcW w:w="354"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1968"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1.31</w:t>
            </w:r>
          </w:p>
        </w:tc>
      </w:tr>
      <w:tr w:rsidR="008C53D3" w:rsidRPr="0049161E" w:rsidTr="001C76B2">
        <w:trPr>
          <w:trHeight w:val="255"/>
        </w:trPr>
        <w:tc>
          <w:tcPr>
            <w:tcW w:w="1351"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Spain</w:t>
            </w:r>
          </w:p>
        </w:tc>
        <w:tc>
          <w:tcPr>
            <w:tcW w:w="1346"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EWP</w:t>
            </w:r>
          </w:p>
        </w:tc>
        <w:tc>
          <w:tcPr>
            <w:tcW w:w="1890" w:type="dxa"/>
            <w:gridSpan w:val="4"/>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0.93</w:t>
            </w:r>
          </w:p>
        </w:tc>
        <w:tc>
          <w:tcPr>
            <w:tcW w:w="357" w:type="dxa"/>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2001" w:type="dxa"/>
            <w:gridSpan w:val="3"/>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7.16</w:t>
            </w:r>
          </w:p>
        </w:tc>
        <w:tc>
          <w:tcPr>
            <w:tcW w:w="354"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1968"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1.26</w:t>
            </w:r>
          </w:p>
        </w:tc>
      </w:tr>
      <w:tr w:rsidR="008C53D3" w:rsidRPr="0049161E" w:rsidTr="001C76B2">
        <w:trPr>
          <w:trHeight w:val="255"/>
        </w:trPr>
        <w:tc>
          <w:tcPr>
            <w:tcW w:w="1351"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Sweden</w:t>
            </w:r>
          </w:p>
        </w:tc>
        <w:tc>
          <w:tcPr>
            <w:tcW w:w="1346"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EWD</w:t>
            </w:r>
          </w:p>
        </w:tc>
        <w:tc>
          <w:tcPr>
            <w:tcW w:w="1890" w:type="dxa"/>
            <w:gridSpan w:val="4"/>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0.98</w:t>
            </w:r>
          </w:p>
        </w:tc>
        <w:tc>
          <w:tcPr>
            <w:tcW w:w="357" w:type="dxa"/>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2001" w:type="dxa"/>
            <w:gridSpan w:val="3"/>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7.57</w:t>
            </w:r>
          </w:p>
        </w:tc>
        <w:tc>
          <w:tcPr>
            <w:tcW w:w="354"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1968"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1.45</w:t>
            </w:r>
          </w:p>
        </w:tc>
      </w:tr>
      <w:tr w:rsidR="008C53D3" w:rsidRPr="0049161E" w:rsidTr="001C76B2">
        <w:trPr>
          <w:trHeight w:val="255"/>
        </w:trPr>
        <w:tc>
          <w:tcPr>
            <w:tcW w:w="1351"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Switzerland</w:t>
            </w:r>
          </w:p>
        </w:tc>
        <w:tc>
          <w:tcPr>
            <w:tcW w:w="1346"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EWL</w:t>
            </w:r>
          </w:p>
        </w:tc>
        <w:tc>
          <w:tcPr>
            <w:tcW w:w="1890" w:type="dxa"/>
            <w:gridSpan w:val="4"/>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0.72</w:t>
            </w:r>
          </w:p>
        </w:tc>
        <w:tc>
          <w:tcPr>
            <w:tcW w:w="357" w:type="dxa"/>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2001" w:type="dxa"/>
            <w:gridSpan w:val="3"/>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5.08</w:t>
            </w:r>
          </w:p>
        </w:tc>
        <w:tc>
          <w:tcPr>
            <w:tcW w:w="354"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1968"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0.93</w:t>
            </w:r>
          </w:p>
        </w:tc>
      </w:tr>
      <w:tr w:rsidR="008C53D3" w:rsidRPr="0049161E" w:rsidTr="001C76B2">
        <w:trPr>
          <w:trHeight w:val="255"/>
        </w:trPr>
        <w:tc>
          <w:tcPr>
            <w:tcW w:w="1351"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UK</w:t>
            </w:r>
          </w:p>
        </w:tc>
        <w:tc>
          <w:tcPr>
            <w:tcW w:w="1346"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EWU</w:t>
            </w:r>
          </w:p>
        </w:tc>
        <w:tc>
          <w:tcPr>
            <w:tcW w:w="1890" w:type="dxa"/>
            <w:gridSpan w:val="4"/>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0.57</w:t>
            </w:r>
          </w:p>
        </w:tc>
        <w:tc>
          <w:tcPr>
            <w:tcW w:w="357" w:type="dxa"/>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2001" w:type="dxa"/>
            <w:gridSpan w:val="3"/>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4.91</w:t>
            </w:r>
          </w:p>
        </w:tc>
        <w:tc>
          <w:tcPr>
            <w:tcW w:w="354"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1968"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0.99</w:t>
            </w:r>
          </w:p>
        </w:tc>
      </w:tr>
      <w:tr w:rsidR="008C53D3" w:rsidRPr="0049161E" w:rsidTr="001C76B2">
        <w:trPr>
          <w:trHeight w:val="255"/>
        </w:trPr>
        <w:tc>
          <w:tcPr>
            <w:tcW w:w="1351"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US</w:t>
            </w:r>
          </w:p>
        </w:tc>
        <w:tc>
          <w:tcPr>
            <w:tcW w:w="1346"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SPY</w:t>
            </w:r>
          </w:p>
        </w:tc>
        <w:tc>
          <w:tcPr>
            <w:tcW w:w="1890" w:type="dxa"/>
            <w:gridSpan w:val="4"/>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0.73</w:t>
            </w:r>
          </w:p>
        </w:tc>
        <w:tc>
          <w:tcPr>
            <w:tcW w:w="357" w:type="dxa"/>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2001" w:type="dxa"/>
            <w:gridSpan w:val="3"/>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4.43</w:t>
            </w:r>
          </w:p>
        </w:tc>
        <w:tc>
          <w:tcPr>
            <w:tcW w:w="354"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p>
        </w:tc>
        <w:tc>
          <w:tcPr>
            <w:tcW w:w="1968" w:type="dxa"/>
            <w:gridSpan w:val="2"/>
            <w:tcBorders>
              <w:top w:val="nil"/>
              <w:left w:val="nil"/>
              <w:bottom w:val="nil"/>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0.95</w:t>
            </w:r>
          </w:p>
        </w:tc>
      </w:tr>
      <w:tr w:rsidR="008C53D3" w:rsidRPr="0049161E" w:rsidTr="001C76B2">
        <w:trPr>
          <w:trHeight w:val="270"/>
        </w:trPr>
        <w:tc>
          <w:tcPr>
            <w:tcW w:w="1351" w:type="dxa"/>
            <w:tcBorders>
              <w:top w:val="nil"/>
              <w:left w:val="nil"/>
              <w:bottom w:val="double" w:sz="6" w:space="0" w:color="auto"/>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World</w:t>
            </w:r>
          </w:p>
        </w:tc>
        <w:tc>
          <w:tcPr>
            <w:tcW w:w="1346" w:type="dxa"/>
            <w:tcBorders>
              <w:top w:val="nil"/>
              <w:left w:val="nil"/>
              <w:bottom w:val="double" w:sz="6" w:space="0" w:color="auto"/>
              <w:right w:val="nil"/>
            </w:tcBorders>
            <w:shd w:val="clear" w:color="auto" w:fill="auto"/>
            <w:noWrap/>
            <w:vAlign w:val="bottom"/>
          </w:tcPr>
          <w:p w:rsidR="008C53D3" w:rsidRPr="000D4135" w:rsidRDefault="008C53D3" w:rsidP="00E14292">
            <w:pPr>
              <w:rPr>
                <w:rFonts w:eastAsia="Times New Roman"/>
                <w:sz w:val="20"/>
                <w:szCs w:val="20"/>
              </w:rPr>
            </w:pPr>
            <w:r w:rsidRPr="000D4135">
              <w:rPr>
                <w:rFonts w:eastAsia="Times New Roman"/>
                <w:sz w:val="20"/>
                <w:szCs w:val="20"/>
              </w:rPr>
              <w:t> </w:t>
            </w:r>
          </w:p>
        </w:tc>
        <w:tc>
          <w:tcPr>
            <w:tcW w:w="1890" w:type="dxa"/>
            <w:gridSpan w:val="4"/>
            <w:tcBorders>
              <w:top w:val="nil"/>
              <w:left w:val="nil"/>
              <w:bottom w:val="double" w:sz="6" w:space="0" w:color="auto"/>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0.67</w:t>
            </w:r>
          </w:p>
        </w:tc>
        <w:tc>
          <w:tcPr>
            <w:tcW w:w="357" w:type="dxa"/>
            <w:tcBorders>
              <w:top w:val="nil"/>
              <w:left w:val="nil"/>
              <w:bottom w:val="double" w:sz="6" w:space="0" w:color="auto"/>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 </w:t>
            </w:r>
          </w:p>
        </w:tc>
        <w:tc>
          <w:tcPr>
            <w:tcW w:w="2001" w:type="dxa"/>
            <w:gridSpan w:val="3"/>
            <w:tcBorders>
              <w:top w:val="nil"/>
              <w:left w:val="nil"/>
              <w:bottom w:val="double" w:sz="6" w:space="0" w:color="auto"/>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6.46</w:t>
            </w:r>
          </w:p>
        </w:tc>
        <w:tc>
          <w:tcPr>
            <w:tcW w:w="354" w:type="dxa"/>
            <w:gridSpan w:val="2"/>
            <w:tcBorders>
              <w:top w:val="nil"/>
              <w:left w:val="nil"/>
              <w:bottom w:val="double" w:sz="6" w:space="0" w:color="auto"/>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 </w:t>
            </w:r>
          </w:p>
        </w:tc>
        <w:tc>
          <w:tcPr>
            <w:tcW w:w="1968" w:type="dxa"/>
            <w:gridSpan w:val="2"/>
            <w:tcBorders>
              <w:top w:val="nil"/>
              <w:left w:val="nil"/>
              <w:bottom w:val="double" w:sz="6" w:space="0" w:color="auto"/>
              <w:right w:val="nil"/>
            </w:tcBorders>
            <w:shd w:val="clear" w:color="auto" w:fill="auto"/>
            <w:noWrap/>
            <w:vAlign w:val="bottom"/>
          </w:tcPr>
          <w:p w:rsidR="008C53D3" w:rsidRPr="000D4135" w:rsidRDefault="008C53D3" w:rsidP="00E14292">
            <w:pPr>
              <w:jc w:val="center"/>
              <w:rPr>
                <w:rFonts w:eastAsia="Times New Roman"/>
                <w:sz w:val="20"/>
                <w:szCs w:val="20"/>
              </w:rPr>
            </w:pPr>
            <w:r w:rsidRPr="000D4135">
              <w:rPr>
                <w:rFonts w:eastAsia="Times New Roman"/>
                <w:sz w:val="20"/>
                <w:szCs w:val="20"/>
              </w:rPr>
              <w:t>1.00</w:t>
            </w:r>
          </w:p>
        </w:tc>
      </w:tr>
      <w:tr w:rsidR="008C53D3" w:rsidRPr="0049161E" w:rsidTr="001C76B2">
        <w:trPr>
          <w:trHeight w:val="255"/>
        </w:trPr>
        <w:tc>
          <w:tcPr>
            <w:tcW w:w="1351"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p>
        </w:tc>
        <w:tc>
          <w:tcPr>
            <w:tcW w:w="1346"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p>
        </w:tc>
        <w:tc>
          <w:tcPr>
            <w:tcW w:w="1890" w:type="dxa"/>
            <w:gridSpan w:val="4"/>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p>
        </w:tc>
        <w:tc>
          <w:tcPr>
            <w:tcW w:w="357" w:type="dxa"/>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p>
        </w:tc>
        <w:tc>
          <w:tcPr>
            <w:tcW w:w="2001" w:type="dxa"/>
            <w:gridSpan w:val="3"/>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p>
        </w:tc>
        <w:tc>
          <w:tcPr>
            <w:tcW w:w="354" w:type="dxa"/>
            <w:gridSpan w:val="2"/>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p>
        </w:tc>
        <w:tc>
          <w:tcPr>
            <w:tcW w:w="1968" w:type="dxa"/>
            <w:gridSpan w:val="2"/>
            <w:tcBorders>
              <w:top w:val="nil"/>
              <w:left w:val="nil"/>
              <w:bottom w:val="nil"/>
              <w:right w:val="nil"/>
            </w:tcBorders>
            <w:shd w:val="clear" w:color="auto" w:fill="auto"/>
            <w:noWrap/>
            <w:vAlign w:val="bottom"/>
          </w:tcPr>
          <w:p w:rsidR="008C53D3" w:rsidRPr="000D4135" w:rsidRDefault="008C53D3" w:rsidP="00E14292">
            <w:pPr>
              <w:rPr>
                <w:rFonts w:eastAsia="Times New Roman"/>
                <w:sz w:val="20"/>
                <w:szCs w:val="20"/>
              </w:rPr>
            </w:pPr>
          </w:p>
        </w:tc>
      </w:tr>
      <w:tr w:rsidR="008C53D3" w:rsidRPr="00CE50A9" w:rsidTr="001C76B2">
        <w:trPr>
          <w:trHeight w:val="255"/>
        </w:trPr>
        <w:tc>
          <w:tcPr>
            <w:tcW w:w="9267" w:type="dxa"/>
            <w:gridSpan w:val="14"/>
            <w:vMerge w:val="restart"/>
            <w:tcBorders>
              <w:top w:val="nil"/>
              <w:left w:val="nil"/>
              <w:bottom w:val="nil"/>
              <w:right w:val="nil"/>
            </w:tcBorders>
            <w:shd w:val="clear" w:color="auto" w:fill="auto"/>
          </w:tcPr>
          <w:p w:rsidR="008C53D3" w:rsidRPr="000D4135" w:rsidRDefault="008C53D3" w:rsidP="00E14292">
            <w:pPr>
              <w:jc w:val="both"/>
              <w:rPr>
                <w:rFonts w:eastAsia="Times New Roman"/>
                <w:sz w:val="20"/>
                <w:szCs w:val="20"/>
              </w:rPr>
            </w:pPr>
            <w:r w:rsidRPr="000D4135">
              <w:rPr>
                <w:rFonts w:eastAsia="Times New Roman"/>
                <w:sz w:val="20"/>
                <w:szCs w:val="20"/>
              </w:rPr>
              <w:t>This table reports the average monthly returns on iShares ETF Morgan Stanley Capital International (MSCI) Index ETFs for 15 developed countries from April 1, 1996 to October 1, 2015. These 15 ETFs have been traded on AMEX since April of 1996. World is MSCI world index. We use 1 month T-bill rate fo</w:t>
            </w:r>
            <w:r w:rsidR="001C76B2" w:rsidRPr="000D4135">
              <w:rPr>
                <w:rFonts w:eastAsia="Times New Roman"/>
                <w:sz w:val="20"/>
                <w:szCs w:val="20"/>
              </w:rPr>
              <w:t xml:space="preserve">r risk-free rate to compute </w:t>
            </w:r>
            <w:r w:rsidRPr="000D4135">
              <w:rPr>
                <w:rFonts w:eastAsia="Times New Roman"/>
                <w:sz w:val="20"/>
                <w:szCs w:val="20"/>
              </w:rPr>
              <w:t xml:space="preserve">β with world index. </w:t>
            </w:r>
          </w:p>
        </w:tc>
      </w:tr>
      <w:tr w:rsidR="008C53D3" w:rsidRPr="0049161E" w:rsidTr="001C76B2">
        <w:trPr>
          <w:trHeight w:val="255"/>
        </w:trPr>
        <w:tc>
          <w:tcPr>
            <w:tcW w:w="9267" w:type="dxa"/>
            <w:gridSpan w:val="14"/>
            <w:vMerge/>
            <w:tcBorders>
              <w:top w:val="nil"/>
              <w:left w:val="nil"/>
              <w:bottom w:val="nil"/>
              <w:right w:val="nil"/>
            </w:tcBorders>
            <w:vAlign w:val="center"/>
          </w:tcPr>
          <w:p w:rsidR="008C53D3" w:rsidRPr="0049161E" w:rsidRDefault="008C53D3" w:rsidP="00E14292">
            <w:pPr>
              <w:rPr>
                <w:rFonts w:ascii="Arial" w:eastAsia="Times New Roman" w:hAnsi="Arial" w:cs="Arial"/>
                <w:sz w:val="20"/>
                <w:szCs w:val="20"/>
              </w:rPr>
            </w:pPr>
          </w:p>
        </w:tc>
      </w:tr>
      <w:tr w:rsidR="008C53D3" w:rsidRPr="0049161E" w:rsidTr="001C76B2">
        <w:trPr>
          <w:trHeight w:val="255"/>
        </w:trPr>
        <w:tc>
          <w:tcPr>
            <w:tcW w:w="9267" w:type="dxa"/>
            <w:gridSpan w:val="14"/>
            <w:vMerge/>
            <w:tcBorders>
              <w:top w:val="nil"/>
              <w:left w:val="nil"/>
              <w:bottom w:val="nil"/>
              <w:right w:val="nil"/>
            </w:tcBorders>
            <w:vAlign w:val="center"/>
          </w:tcPr>
          <w:p w:rsidR="008C53D3" w:rsidRPr="0049161E" w:rsidRDefault="008C53D3" w:rsidP="00E14292">
            <w:pPr>
              <w:rPr>
                <w:rFonts w:ascii="Arial" w:eastAsia="Times New Roman" w:hAnsi="Arial" w:cs="Arial"/>
                <w:sz w:val="20"/>
                <w:szCs w:val="20"/>
              </w:rPr>
            </w:pPr>
          </w:p>
        </w:tc>
      </w:tr>
      <w:tr w:rsidR="008C53D3" w:rsidRPr="0049161E" w:rsidTr="001C76B2">
        <w:trPr>
          <w:trHeight w:val="255"/>
        </w:trPr>
        <w:tc>
          <w:tcPr>
            <w:tcW w:w="9267" w:type="dxa"/>
            <w:gridSpan w:val="14"/>
            <w:vMerge/>
            <w:tcBorders>
              <w:top w:val="nil"/>
              <w:left w:val="nil"/>
              <w:bottom w:val="nil"/>
              <w:right w:val="nil"/>
            </w:tcBorders>
            <w:vAlign w:val="center"/>
          </w:tcPr>
          <w:p w:rsidR="008C53D3" w:rsidRPr="0049161E" w:rsidRDefault="008C53D3" w:rsidP="00E14292">
            <w:pPr>
              <w:rPr>
                <w:rFonts w:ascii="Arial" w:eastAsia="Times New Roman" w:hAnsi="Arial" w:cs="Arial"/>
                <w:sz w:val="20"/>
                <w:szCs w:val="20"/>
              </w:rPr>
            </w:pPr>
          </w:p>
        </w:tc>
      </w:tr>
    </w:tbl>
    <w:p w:rsidR="00B06545" w:rsidRPr="007E705F" w:rsidRDefault="00165D19" w:rsidP="00AE3744">
      <w:pPr>
        <w:adjustRightInd w:val="0"/>
        <w:snapToGrid w:val="0"/>
        <w:spacing w:line="480" w:lineRule="auto"/>
        <w:ind w:firstLineChars="300" w:firstLine="720"/>
        <w:jc w:val="both"/>
      </w:pPr>
      <w:r>
        <w:lastRenderedPageBreak/>
        <w:t>The</w:t>
      </w:r>
      <w:r w:rsidR="00776997" w:rsidRPr="00FA5714">
        <w:t xml:space="preserve"> </w:t>
      </w:r>
      <w:r w:rsidR="00196694">
        <w:t xml:space="preserve">trading </w:t>
      </w:r>
      <w:r>
        <w:t>strategies examined in this paper are</w:t>
      </w:r>
      <w:r w:rsidR="00776997" w:rsidRPr="00FA5714">
        <w:t xml:space="preserve"> designed in a way similar to </w:t>
      </w:r>
      <w:proofErr w:type="spellStart"/>
      <w:r w:rsidR="00776997" w:rsidRPr="007E705F">
        <w:rPr>
          <w:color w:val="000000"/>
        </w:rPr>
        <w:t>Jegadeesh</w:t>
      </w:r>
      <w:proofErr w:type="spellEnd"/>
      <w:r w:rsidR="00776997" w:rsidRPr="007E705F">
        <w:rPr>
          <w:color w:val="000000"/>
        </w:rPr>
        <w:t xml:space="preserve"> and Titman (1993).</w:t>
      </w:r>
      <w:r w:rsidR="00776997" w:rsidRPr="00FA5714">
        <w:t xml:space="preserve"> Specificall</w:t>
      </w:r>
      <w:r w:rsidR="007E705F">
        <w:t>y, at the end of each month</w:t>
      </w:r>
      <w:r w:rsidR="00196694">
        <w:t xml:space="preserve">, </w:t>
      </w:r>
      <w:r w:rsidR="00776997" w:rsidRPr="00FA5714">
        <w:t>the return of the p</w:t>
      </w:r>
      <w:r w:rsidR="00B06545">
        <w:t>ast J months</w:t>
      </w:r>
      <w:r w:rsidR="00C117FE">
        <w:t xml:space="preserve"> </w:t>
      </w:r>
      <w:r w:rsidR="0071417A">
        <w:t>(J = 1, 3, 6, 9 or</w:t>
      </w:r>
      <w:r w:rsidR="00B06545">
        <w:t xml:space="preserve"> 12</w:t>
      </w:r>
      <w:r w:rsidR="0071417A">
        <w:t xml:space="preserve">) </w:t>
      </w:r>
      <w:r w:rsidR="00C117FE">
        <w:t xml:space="preserve">for each of the </w:t>
      </w:r>
      <w:r w:rsidR="00196694">
        <w:t xml:space="preserve">15 ETFs </w:t>
      </w:r>
      <w:r>
        <w:t xml:space="preserve">are calculated </w:t>
      </w:r>
      <w:r w:rsidR="00776997" w:rsidRPr="00FA5714">
        <w:t>and rank</w:t>
      </w:r>
      <w:r>
        <w:t xml:space="preserve">ed </w:t>
      </w:r>
      <w:r w:rsidR="00776997" w:rsidRPr="00FA5714">
        <w:t xml:space="preserve">in </w:t>
      </w:r>
      <w:r w:rsidR="00FA3E1B">
        <w:t>desc</w:t>
      </w:r>
      <w:r w:rsidR="00776997" w:rsidRPr="00FA5714">
        <w:t>ending</w:t>
      </w:r>
      <w:r w:rsidR="00C117FE">
        <w:t xml:space="preserve"> </w:t>
      </w:r>
      <w:r w:rsidR="00776997" w:rsidRPr="00FA5714">
        <w:t xml:space="preserve">order. </w:t>
      </w:r>
      <w:r w:rsidR="00ED0C17">
        <w:t>We</w:t>
      </w:r>
      <w:r w:rsidR="00196694">
        <w:t xml:space="preserve"> assign the top three ETFs</w:t>
      </w:r>
      <w:r w:rsidR="00776997" w:rsidRPr="00FA5714">
        <w:t xml:space="preserve"> (with t</w:t>
      </w:r>
      <w:r w:rsidR="00FA3E1B">
        <w:t>he high</w:t>
      </w:r>
      <w:r w:rsidR="00196694">
        <w:t>est</w:t>
      </w:r>
      <w:r w:rsidR="00776997" w:rsidRPr="00FA5714">
        <w:t xml:space="preserve"> </w:t>
      </w:r>
      <w:r w:rsidR="00FA3E1B">
        <w:t>returns) to the ‘‘winner</w:t>
      </w:r>
      <w:r w:rsidR="00C117FE">
        <w:t xml:space="preserve"> </w:t>
      </w:r>
      <w:r w:rsidR="00776997" w:rsidRPr="00FA5714">
        <w:t>portfolio’’ and the bot</w:t>
      </w:r>
      <w:r w:rsidR="00196694">
        <w:t xml:space="preserve">tom three ETFs (with the </w:t>
      </w:r>
      <w:r w:rsidR="00FA3E1B">
        <w:t>low</w:t>
      </w:r>
      <w:r w:rsidR="00196694">
        <w:t>est returns) t</w:t>
      </w:r>
      <w:r w:rsidR="00FA3E1B">
        <w:t>o the ‘‘loser</w:t>
      </w:r>
      <w:r w:rsidR="00EF67F9">
        <w:t xml:space="preserve"> portfolio’’. </w:t>
      </w:r>
      <w:r w:rsidR="00776997" w:rsidRPr="00FA5714">
        <w:t>These portfolios are</w:t>
      </w:r>
      <w:r w:rsidR="00C117FE">
        <w:t xml:space="preserve"> </w:t>
      </w:r>
      <w:r w:rsidR="00196694">
        <w:t>equally weighted at formation. I</w:t>
      </w:r>
      <w:r w:rsidR="002552FD">
        <w:t xml:space="preserve"> then buy the winner portfolio, </w:t>
      </w:r>
      <w:r w:rsidR="00776997" w:rsidRPr="00FA5714">
        <w:t>simultaneously sell short</w:t>
      </w:r>
      <w:r w:rsidR="00C117FE">
        <w:t xml:space="preserve"> </w:t>
      </w:r>
      <w:r w:rsidR="00776997" w:rsidRPr="00FA5714">
        <w:t>the loser portfolio, and hold t</w:t>
      </w:r>
      <w:r w:rsidR="00FA3E1B">
        <w:t>he position for K</w:t>
      </w:r>
      <w:r w:rsidR="00B06545">
        <w:t xml:space="preserve"> months</w:t>
      </w:r>
      <w:r w:rsidR="00776997" w:rsidRPr="00FA5714">
        <w:t xml:space="preserve"> </w:t>
      </w:r>
      <w:r w:rsidR="00A36E00">
        <w:t>(K = 1, 3, 6, 9 or 12)</w:t>
      </w:r>
      <w:r w:rsidR="00776997" w:rsidRPr="00FA5714">
        <w:t>. When the</w:t>
      </w:r>
      <w:r w:rsidR="00C117FE">
        <w:t xml:space="preserve"> </w:t>
      </w:r>
      <w:r w:rsidR="00FA3E1B">
        <w:t>holding horizon K</w:t>
      </w:r>
      <w:r w:rsidR="00776997" w:rsidRPr="00FA5714">
        <w:t xml:space="preserve"> is longer than one period, this creates an overlap in the holding period</w:t>
      </w:r>
      <w:r w:rsidR="00C117FE">
        <w:t xml:space="preserve"> </w:t>
      </w:r>
      <w:r w:rsidR="00196694">
        <w:t xml:space="preserve">return. </w:t>
      </w:r>
      <w:r w:rsidR="00ED0C17">
        <w:t>We</w:t>
      </w:r>
      <w:r w:rsidR="00776997" w:rsidRPr="00FA5714">
        <w:t xml:space="preserve"> follow </w:t>
      </w:r>
      <w:proofErr w:type="spellStart"/>
      <w:r w:rsidR="00776997" w:rsidRPr="007E705F">
        <w:rPr>
          <w:color w:val="000000"/>
        </w:rPr>
        <w:t>Jegadeesh</w:t>
      </w:r>
      <w:proofErr w:type="spellEnd"/>
      <w:r w:rsidR="00776997" w:rsidRPr="007E705F">
        <w:rPr>
          <w:color w:val="000000"/>
        </w:rPr>
        <w:t xml:space="preserve"> and Titman (1993)</w:t>
      </w:r>
      <w:r w:rsidR="00776997" w:rsidRPr="00FA5714">
        <w:rPr>
          <w:color w:val="0000FF"/>
        </w:rPr>
        <w:t xml:space="preserve"> </w:t>
      </w:r>
      <w:r w:rsidR="00776997" w:rsidRPr="00FA5714">
        <w:t>to compute the</w:t>
      </w:r>
      <w:r w:rsidR="00C117FE">
        <w:t xml:space="preserve"> </w:t>
      </w:r>
      <w:r w:rsidR="00776997" w:rsidRPr="00FA5714">
        <w:t>period aver</w:t>
      </w:r>
      <w:r w:rsidR="0071417A">
        <w:t>age return of K</w:t>
      </w:r>
      <w:r w:rsidR="00776997" w:rsidRPr="00FA5714">
        <w:t xml:space="preserve"> strategies, each starting one period apart. In other words, this</w:t>
      </w:r>
      <w:r w:rsidR="00C117FE">
        <w:t xml:space="preserve"> </w:t>
      </w:r>
      <w:r w:rsidR="00776997" w:rsidRPr="00FA5714">
        <w:t xml:space="preserve">return is equivalent to the return of a composite </w:t>
      </w:r>
      <w:r w:rsidR="00FA3E1B">
        <w:t>portfolio in which 1/K</w:t>
      </w:r>
      <w:r w:rsidR="00776997" w:rsidRPr="00FA5714">
        <w:t xml:space="preserve"> of the holdings is</w:t>
      </w:r>
      <w:r w:rsidR="00C117FE">
        <w:t xml:space="preserve"> </w:t>
      </w:r>
      <w:r w:rsidR="00776997" w:rsidRPr="00FA5714">
        <w:t>updated each period and the remaining from the previous period is carried over.</w:t>
      </w:r>
      <w:r w:rsidR="00B06545">
        <w:t xml:space="preserve"> </w:t>
      </w:r>
      <w:r w:rsidR="00B06545" w:rsidRPr="007E705F">
        <w:t>For example, at the end of month t, the J = 6, K = 3 portfolio of winners consists of three parts: a position carried over from the investment at the end of month t-3 and two similar positions resulting from the portfolios at the end of months t-2 and t-1. At the end of month t, the first of these holdings will be liquidat</w:t>
      </w:r>
      <w:r w:rsidR="005C10A0">
        <w:t>ed and replaced with the ETFs</w:t>
      </w:r>
      <w:r w:rsidR="00B06545" w:rsidRPr="007E705F">
        <w:t xml:space="preserve"> with highest six-month performance as of time t.  </w:t>
      </w:r>
    </w:p>
    <w:p w:rsidR="00AE3744" w:rsidRDefault="00AE3744" w:rsidP="00D86D22">
      <w:pPr>
        <w:autoSpaceDE w:val="0"/>
        <w:autoSpaceDN w:val="0"/>
        <w:adjustRightInd w:val="0"/>
        <w:spacing w:line="480" w:lineRule="auto"/>
        <w:jc w:val="both"/>
        <w:rPr>
          <w:b/>
        </w:rPr>
      </w:pPr>
    </w:p>
    <w:p w:rsidR="00903786" w:rsidRPr="00AE3744" w:rsidRDefault="00AE3744" w:rsidP="00D86D22">
      <w:pPr>
        <w:autoSpaceDE w:val="0"/>
        <w:autoSpaceDN w:val="0"/>
        <w:adjustRightInd w:val="0"/>
        <w:spacing w:line="480" w:lineRule="auto"/>
        <w:jc w:val="both"/>
      </w:pPr>
      <w:r w:rsidRPr="00AE3744">
        <w:rPr>
          <w:b/>
        </w:rPr>
        <w:t xml:space="preserve">II. </w:t>
      </w:r>
      <w:r w:rsidR="001E0083" w:rsidRPr="00AE3744">
        <w:rPr>
          <w:b/>
        </w:rPr>
        <w:t xml:space="preserve">Profitability of </w:t>
      </w:r>
      <w:r w:rsidR="007E705F" w:rsidRPr="00AE3744">
        <w:rPr>
          <w:b/>
        </w:rPr>
        <w:t>Momentum S</w:t>
      </w:r>
      <w:r w:rsidR="001E0083" w:rsidRPr="00AE3744">
        <w:rPr>
          <w:b/>
        </w:rPr>
        <w:t>trategies</w:t>
      </w:r>
    </w:p>
    <w:p w:rsidR="00451C7B" w:rsidRDefault="00C274DD" w:rsidP="00AE3744">
      <w:pPr>
        <w:autoSpaceDE w:val="0"/>
        <w:autoSpaceDN w:val="0"/>
        <w:adjustRightInd w:val="0"/>
        <w:spacing w:line="480" w:lineRule="auto"/>
        <w:ind w:firstLineChars="300" w:firstLine="720"/>
        <w:jc w:val="both"/>
      </w:pPr>
      <w:r>
        <w:t>Exhibit 2</w:t>
      </w:r>
      <w:r w:rsidR="00C34A36">
        <w:t xml:space="preserve"> reports equal-weighted average</w:t>
      </w:r>
      <w:r w:rsidR="001E0083" w:rsidRPr="001E0083">
        <w:t xml:space="preserve"> </w:t>
      </w:r>
      <w:r>
        <w:t xml:space="preserve">monthly </w:t>
      </w:r>
      <w:r w:rsidR="001E0083" w:rsidRPr="001E0083">
        <w:t xml:space="preserve">returns of the </w:t>
      </w:r>
      <w:r w:rsidR="001E0083">
        <w:t xml:space="preserve">winner </w:t>
      </w:r>
      <w:r w:rsidR="001E0083" w:rsidRPr="001E0083">
        <w:t xml:space="preserve">and </w:t>
      </w:r>
      <w:r w:rsidR="001E0083">
        <w:t xml:space="preserve">loser </w:t>
      </w:r>
      <w:r>
        <w:t>portfolios,</w:t>
      </w:r>
      <w:r w:rsidR="00944E50">
        <w:t xml:space="preserve"> </w:t>
      </w:r>
      <w:r w:rsidR="001E0083" w:rsidRPr="001E0083">
        <w:t xml:space="preserve">as </w:t>
      </w:r>
      <w:r>
        <w:t xml:space="preserve">well </w:t>
      </w:r>
      <w:r w:rsidR="001E0083" w:rsidRPr="001E0083">
        <w:t>as the difference between winner and loser portfolios, over</w:t>
      </w:r>
      <w:r w:rsidR="001E0083">
        <w:t xml:space="preserve"> </w:t>
      </w:r>
      <w:r w:rsidR="001E0083" w:rsidRPr="001E0083">
        <w:t>va</w:t>
      </w:r>
      <w:r w:rsidR="001E0083">
        <w:t>rious</w:t>
      </w:r>
      <w:r w:rsidR="00F16603">
        <w:t xml:space="preserve"> </w:t>
      </w:r>
      <w:r w:rsidR="002552FD">
        <w:t>h</w:t>
      </w:r>
      <w:r w:rsidR="001E0083">
        <w:t>olding periods for the 25</w:t>
      </w:r>
      <w:r w:rsidR="00741C6B">
        <w:t xml:space="preserve"> strategies.</w:t>
      </w:r>
      <w:r w:rsidR="00451C7B">
        <w:t xml:space="preserve"> Returns are annualized. </w:t>
      </w:r>
      <w:r w:rsidR="001E0083" w:rsidRPr="001E0083">
        <w:t xml:space="preserve">There are </w:t>
      </w:r>
      <w:r w:rsidR="004E2992">
        <w:t>5 parts in Exhibit 2</w:t>
      </w:r>
      <w:r w:rsidR="001E0083" w:rsidRPr="001E0083">
        <w:t xml:space="preserve">, </w:t>
      </w:r>
      <w:r w:rsidR="00451C7B" w:rsidRPr="001E0083">
        <w:t>which differ</w:t>
      </w:r>
      <w:r w:rsidR="00451C7B">
        <w:t xml:space="preserve"> </w:t>
      </w:r>
      <w:r w:rsidR="00451C7B" w:rsidRPr="001E0083">
        <w:t>by formation period</w:t>
      </w:r>
      <w:r w:rsidR="00451C7B">
        <w:t>s</w:t>
      </w:r>
      <w:r w:rsidR="00451C7B" w:rsidRPr="001E0083">
        <w:t xml:space="preserve">, and each part has </w:t>
      </w:r>
      <w:r w:rsidR="00451C7B">
        <w:t>5</w:t>
      </w:r>
      <w:r w:rsidR="00451C7B" w:rsidRPr="001E0083">
        <w:t xml:space="preserve"> strategies with different holding</w:t>
      </w:r>
      <w:r w:rsidR="00F16603">
        <w:t xml:space="preserve"> </w:t>
      </w:r>
      <w:r w:rsidR="001E0083" w:rsidRPr="001E0083">
        <w:lastRenderedPageBreak/>
        <w:t>periods. The</w:t>
      </w:r>
      <w:r w:rsidR="00741C6B">
        <w:t xml:space="preserve"> </w:t>
      </w:r>
      <w:r w:rsidR="001E0083" w:rsidRPr="001E0083">
        <w:t>first row in each part refers to the specific strategy. For example,</w:t>
      </w:r>
      <w:r w:rsidR="00741C6B">
        <w:t xml:space="preserve"> Strategy 6-6</w:t>
      </w:r>
      <w:r w:rsidR="001E0083" w:rsidRPr="001E0083">
        <w:t xml:space="preserve"> (that is,</w:t>
      </w:r>
      <w:r w:rsidR="00451C7B">
        <w:t xml:space="preserve"> </w:t>
      </w:r>
      <w:r w:rsidR="00741C6B">
        <w:t>Strategy with J</w:t>
      </w:r>
      <w:r w:rsidR="00944E50">
        <w:t xml:space="preserve"> = 6</w:t>
      </w:r>
      <w:r w:rsidR="00741C6B">
        <w:t xml:space="preserve"> and K= 6</w:t>
      </w:r>
      <w:r w:rsidR="001E0083" w:rsidRPr="001E0083">
        <w:t xml:space="preserve">) represents the strategy that </w:t>
      </w:r>
      <w:r w:rsidR="00BF0BFE">
        <w:t>ETFs</w:t>
      </w:r>
      <w:r w:rsidR="001E0083" w:rsidRPr="001E0083">
        <w:t xml:space="preserve"> are ranked according to</w:t>
      </w:r>
      <w:r w:rsidR="00BF0BFE">
        <w:t xml:space="preserve"> </w:t>
      </w:r>
      <w:r w:rsidR="001E0083" w:rsidRPr="001E0083">
        <w:t xml:space="preserve">their previous </w:t>
      </w:r>
      <w:r w:rsidR="00944E50">
        <w:t>6</w:t>
      </w:r>
      <w:r w:rsidR="00BF0BFE">
        <w:t xml:space="preserve"> month</w:t>
      </w:r>
      <w:r w:rsidR="001E0083" w:rsidRPr="001E0083">
        <w:t xml:space="preserve"> retu</w:t>
      </w:r>
      <w:r w:rsidR="00BF0BFE">
        <w:t>rns and then held for the next 6 month</w:t>
      </w:r>
      <w:r w:rsidR="001E0083" w:rsidRPr="001E0083">
        <w:t>s. To examine whether</w:t>
      </w:r>
      <w:r w:rsidR="004F6757">
        <w:t xml:space="preserve"> </w:t>
      </w:r>
      <w:r w:rsidR="00ED0C17">
        <w:t>momentum profits exist, we</w:t>
      </w:r>
      <w:r w:rsidR="00982D6D">
        <w:t xml:space="preserve"> calculate the average</w:t>
      </w:r>
      <w:r w:rsidR="001E0083" w:rsidRPr="001E0083">
        <w:t xml:space="preserve"> </w:t>
      </w:r>
      <w:r w:rsidR="00ED0C17">
        <w:t xml:space="preserve">monthly </w:t>
      </w:r>
      <w:r w:rsidR="001E0083" w:rsidRPr="001E0083">
        <w:t>returns of winner and</w:t>
      </w:r>
      <w:r w:rsidR="00BF0BFE">
        <w:t xml:space="preserve"> </w:t>
      </w:r>
      <w:r w:rsidR="001E0083" w:rsidRPr="001E0083">
        <w:t>loser portfolios, and the difference between their</w:t>
      </w:r>
      <w:r w:rsidR="00BF0BFE">
        <w:t xml:space="preserve"> </w:t>
      </w:r>
      <w:r w:rsidR="001E0083" w:rsidRPr="001E0083">
        <w:t xml:space="preserve">returns. If </w:t>
      </w:r>
      <w:r w:rsidR="00BF0BFE">
        <w:t>the difference between the winner’s return and loser</w:t>
      </w:r>
      <w:r w:rsidR="001E0083" w:rsidRPr="001E0083">
        <w:t>’s return</w:t>
      </w:r>
      <w:r w:rsidR="00BF0BFE">
        <w:t xml:space="preserve"> </w:t>
      </w:r>
      <w:r w:rsidR="001E0083" w:rsidRPr="001E0083">
        <w:t xml:space="preserve">is statistically significantly larger than zero, then there exists a </w:t>
      </w:r>
      <w:r w:rsidR="00BF0BFE">
        <w:t>momentum</w:t>
      </w:r>
      <w:r w:rsidR="00944E50">
        <w:t xml:space="preserve"> profit.</w:t>
      </w:r>
      <w:r w:rsidR="001E0083" w:rsidRPr="001E0083">
        <w:t xml:space="preserve"> Otherwise, </w:t>
      </w:r>
      <w:r w:rsidR="00BF0BFE">
        <w:t>no</w:t>
      </w:r>
      <w:r w:rsidR="001E0083" w:rsidRPr="001E0083">
        <w:t xml:space="preserve"> profit exists.</w:t>
      </w:r>
      <w:r w:rsidR="005C5B02">
        <w:t xml:space="preserve"> Exhibit 2</w:t>
      </w:r>
      <w:r w:rsidR="00ED0C17">
        <w:t xml:space="preserve"> shows that 24</w:t>
      </w:r>
      <w:r w:rsidR="00BF0BFE">
        <w:t xml:space="preserve"> of 25 momentum strategies have positive profit</w:t>
      </w:r>
      <w:r w:rsidR="003A4332">
        <w:t>s</w:t>
      </w:r>
      <w:r w:rsidR="00BF0BFE">
        <w:t xml:space="preserve"> and some </w:t>
      </w:r>
      <w:r w:rsidR="001E0083" w:rsidRPr="001E0083">
        <w:t>momentum profit</w:t>
      </w:r>
      <w:r w:rsidR="00BF0BFE">
        <w:t>s are statistically significant.</w:t>
      </w:r>
      <w:r w:rsidR="001E0083" w:rsidRPr="001E0083">
        <w:t xml:space="preserve"> Statistically</w:t>
      </w:r>
      <w:r w:rsidR="005F69CA">
        <w:t xml:space="preserve"> </w:t>
      </w:r>
      <w:r w:rsidR="001E0083" w:rsidRPr="001E0083">
        <w:t>significant</w:t>
      </w:r>
      <w:r w:rsidR="00ED0C17">
        <w:t xml:space="preserve"> profits are available for 5</w:t>
      </w:r>
      <w:r w:rsidR="001E0083" w:rsidRPr="001E0083">
        <w:t xml:space="preserve"> strategies whose formation periods are </w:t>
      </w:r>
      <w:r w:rsidR="00BF0BFE">
        <w:t>mostly</w:t>
      </w:r>
      <w:r w:rsidR="00581D87">
        <w:rPr>
          <w:b/>
          <w:sz w:val="28"/>
          <w:szCs w:val="28"/>
        </w:rPr>
        <w:t xml:space="preserve"> </w:t>
      </w:r>
      <w:r w:rsidR="001E0083" w:rsidRPr="001E0083">
        <w:t xml:space="preserve">among </w:t>
      </w:r>
      <w:r w:rsidR="00BF0BFE">
        <w:t>3 and 6 months</w:t>
      </w:r>
      <w:r w:rsidR="001E0083" w:rsidRPr="001E0083">
        <w:t xml:space="preserve"> whereas </w:t>
      </w:r>
      <w:r w:rsidR="00BF0BFE">
        <w:t xml:space="preserve">the </w:t>
      </w:r>
      <w:r w:rsidR="00AA36A7">
        <w:t xml:space="preserve">statistically </w:t>
      </w:r>
      <w:r w:rsidR="00BF0BFE">
        <w:t xml:space="preserve">weakest </w:t>
      </w:r>
      <w:r w:rsidR="001E0083" w:rsidRPr="001E0083">
        <w:t xml:space="preserve">momentum profits are available </w:t>
      </w:r>
      <w:r w:rsidR="00AA74FA" w:rsidRPr="001E0083">
        <w:t xml:space="preserve">for </w:t>
      </w:r>
      <w:r w:rsidR="00AA74FA">
        <w:t>K = 12 strategies. For 1-K strategies (Panel A</w:t>
      </w:r>
      <w:r w:rsidR="00AA74FA" w:rsidRPr="001E0083">
        <w:t xml:space="preserve">), </w:t>
      </w:r>
      <w:r w:rsidR="00ED0C17">
        <w:t>no strategy has</w:t>
      </w:r>
      <w:r w:rsidR="00AA74FA">
        <w:t xml:space="preserve"> a significant</w:t>
      </w:r>
      <w:r w:rsidR="00AA74FA" w:rsidRPr="001E0083">
        <w:t xml:space="preserve"> </w:t>
      </w:r>
      <w:r w:rsidR="00ED0C17">
        <w:t>profit</w:t>
      </w:r>
      <w:r w:rsidR="00AA74FA">
        <w:t>. For 3-K strategies (Panel B), the</w:t>
      </w:r>
      <w:r w:rsidR="00AA74FA" w:rsidRPr="001E0083">
        <w:t xml:space="preserve"> profits for </w:t>
      </w:r>
      <w:r w:rsidR="00ED0C17">
        <w:t>1-</w:t>
      </w:r>
      <w:r w:rsidR="00AA74FA">
        <w:t xml:space="preserve"> </w:t>
      </w:r>
      <w:r w:rsidR="00AA74FA" w:rsidRPr="00AA36A7">
        <w:t xml:space="preserve">and </w:t>
      </w:r>
      <w:r w:rsidR="00ED0C17">
        <w:t>6</w:t>
      </w:r>
      <w:r w:rsidR="00AA74FA">
        <w:t>-</w:t>
      </w:r>
      <w:r w:rsidR="00FA37B3">
        <w:t xml:space="preserve"> </w:t>
      </w:r>
      <w:r w:rsidR="00AA36A7">
        <w:t>month</w:t>
      </w:r>
      <w:r w:rsidR="00AA36A7" w:rsidRPr="00AA36A7">
        <w:t xml:space="preserve"> holding periods are</w:t>
      </w:r>
      <w:r w:rsidR="00AA36A7">
        <w:t xml:space="preserve"> statistically significant at 5% level. For 6</w:t>
      </w:r>
      <w:r w:rsidR="00AA36A7" w:rsidRPr="00AA36A7">
        <w:t>-</w:t>
      </w:r>
      <w:r w:rsidR="00AA36A7">
        <w:t>K</w:t>
      </w:r>
      <w:r w:rsidR="00AA36A7" w:rsidRPr="00AA36A7">
        <w:t xml:space="preserve"> </w:t>
      </w:r>
      <w:r w:rsidR="00AA36A7">
        <w:t>strategies (Panel C</w:t>
      </w:r>
      <w:r w:rsidR="00AA36A7" w:rsidRPr="00AA36A7">
        <w:t xml:space="preserve">), </w:t>
      </w:r>
      <w:r w:rsidR="00ED0C17">
        <w:t xml:space="preserve">the profits for 3- and </w:t>
      </w:r>
      <w:r w:rsidR="00AA36A7">
        <w:t>6</w:t>
      </w:r>
      <w:r w:rsidR="00AA36A7" w:rsidRPr="00AA36A7">
        <w:t>-</w:t>
      </w:r>
      <w:r w:rsidR="00AA36A7">
        <w:t xml:space="preserve"> month</w:t>
      </w:r>
      <w:r w:rsidR="00AA36A7" w:rsidRPr="00AA36A7">
        <w:t xml:space="preserve"> holding period</w:t>
      </w:r>
      <w:r w:rsidR="00AA36A7">
        <w:t>s</w:t>
      </w:r>
      <w:r w:rsidR="0098546A">
        <w:t xml:space="preserve"> are statistically significant</w:t>
      </w:r>
      <w:r w:rsidR="00ED0C17">
        <w:t xml:space="preserve"> at 10% level.</w:t>
      </w:r>
      <w:r w:rsidR="0098546A">
        <w:t xml:space="preserve"> </w:t>
      </w:r>
      <w:r w:rsidR="00FA37B3">
        <w:t>F</w:t>
      </w:r>
      <w:r w:rsidR="0098546A">
        <w:t>or 9</w:t>
      </w:r>
      <w:r w:rsidR="0098546A" w:rsidRPr="00AA36A7">
        <w:t>-</w:t>
      </w:r>
      <w:r w:rsidR="0098546A">
        <w:t>K</w:t>
      </w:r>
      <w:r w:rsidR="0098546A" w:rsidRPr="00AA36A7">
        <w:t xml:space="preserve"> </w:t>
      </w:r>
      <w:r w:rsidR="0098546A">
        <w:t>strategies (Panel D</w:t>
      </w:r>
      <w:r w:rsidR="00ED0C17">
        <w:t>), the</w:t>
      </w:r>
      <w:r w:rsidR="00AA74FA">
        <w:rPr>
          <w:sz w:val="18"/>
          <w:szCs w:val="18"/>
        </w:rPr>
        <w:t xml:space="preserve"> </w:t>
      </w:r>
      <w:r w:rsidR="00ED0C17">
        <w:t>strategy with 12</w:t>
      </w:r>
      <w:r w:rsidR="0098546A">
        <w:t xml:space="preserve"> month</w:t>
      </w:r>
      <w:r w:rsidR="0098546A" w:rsidRPr="00AA36A7">
        <w:t xml:space="preserve"> holding</w:t>
      </w:r>
      <w:r w:rsidR="0098546A">
        <w:t xml:space="preserve"> </w:t>
      </w:r>
      <w:r w:rsidR="0098546A" w:rsidRPr="00AA36A7">
        <w:t>periods generate statistically significant</w:t>
      </w:r>
      <w:r w:rsidR="00AA74FA">
        <w:rPr>
          <w:sz w:val="18"/>
          <w:szCs w:val="18"/>
        </w:rPr>
        <w:t xml:space="preserve"> </w:t>
      </w:r>
      <w:r w:rsidR="008E4DF9">
        <w:t>profit</w:t>
      </w:r>
      <w:r w:rsidR="00AA36A7" w:rsidRPr="00AA36A7">
        <w:t>. For 12-</w:t>
      </w:r>
      <w:r w:rsidR="008E4DF9">
        <w:t>K</w:t>
      </w:r>
      <w:r w:rsidR="00AA36A7" w:rsidRPr="00AA36A7">
        <w:t xml:space="preserve"> </w:t>
      </w:r>
      <w:r w:rsidR="008E4DF9">
        <w:t>strategies (Panel E</w:t>
      </w:r>
      <w:r w:rsidR="00AA36A7" w:rsidRPr="00AA36A7">
        <w:t>),</w:t>
      </w:r>
      <w:r w:rsidR="00AC7113">
        <w:t xml:space="preserve"> all the strategies are in</w:t>
      </w:r>
      <w:r w:rsidR="00944E50">
        <w:t>significant.</w:t>
      </w:r>
      <w:r w:rsidR="00944E50" w:rsidRPr="00AA36A7">
        <w:t xml:space="preserve"> </w:t>
      </w:r>
      <w:r w:rsidR="00944E50">
        <w:t xml:space="preserve">The result shows </w:t>
      </w:r>
      <w:r w:rsidR="00FF0B5D">
        <w:t>t</w:t>
      </w:r>
      <w:r w:rsidR="00944E50">
        <w:t>he strategies based on the</w:t>
      </w:r>
      <w:r w:rsidR="0083145D">
        <w:t xml:space="preserve"> </w:t>
      </w:r>
      <w:r w:rsidR="00944E50">
        <w:t xml:space="preserve">previous </w:t>
      </w:r>
      <w:r w:rsidR="00FF0B5D">
        <w:t xml:space="preserve">3 or </w:t>
      </w:r>
      <w:r w:rsidR="00944E50">
        <w:t>6</w:t>
      </w:r>
      <w:r w:rsidR="00D92ED7">
        <w:t xml:space="preserve"> </w:t>
      </w:r>
      <w:r w:rsidR="00944E50">
        <w:t>month returns are more</w:t>
      </w:r>
      <w:r w:rsidR="00AC7113">
        <w:rPr>
          <w:sz w:val="18"/>
          <w:szCs w:val="18"/>
        </w:rPr>
        <w:t xml:space="preserve"> </w:t>
      </w:r>
      <w:r w:rsidR="008E4DF9">
        <w:t xml:space="preserve">profitable than any other momentum strategies, which is consistent with </w:t>
      </w:r>
      <w:proofErr w:type="spellStart"/>
      <w:r w:rsidR="008E4DF9" w:rsidRPr="008E4DF9">
        <w:t>Jegadeesh</w:t>
      </w:r>
      <w:proofErr w:type="spellEnd"/>
      <w:r w:rsidR="008E4DF9" w:rsidRPr="008E4DF9">
        <w:t xml:space="preserve"> and Titman</w:t>
      </w:r>
      <w:r w:rsidR="008E4DF9">
        <w:t>’s (1993</w:t>
      </w:r>
      <w:r w:rsidR="008E4DF9" w:rsidRPr="008E4DF9">
        <w:t>)</w:t>
      </w:r>
      <w:r w:rsidR="008E4DF9">
        <w:t xml:space="preserve"> finding. </w:t>
      </w:r>
    </w:p>
    <w:tbl>
      <w:tblPr>
        <w:tblW w:w="8680" w:type="dxa"/>
        <w:tblInd w:w="93" w:type="dxa"/>
        <w:tblLook w:val="0000" w:firstRow="0" w:lastRow="0" w:firstColumn="0" w:lastColumn="0" w:noHBand="0" w:noVBand="0"/>
      </w:tblPr>
      <w:tblGrid>
        <w:gridCol w:w="1680"/>
        <w:gridCol w:w="1400"/>
        <w:gridCol w:w="1400"/>
        <w:gridCol w:w="1400"/>
        <w:gridCol w:w="1400"/>
        <w:gridCol w:w="1400"/>
      </w:tblGrid>
      <w:tr w:rsidR="000D4135" w:rsidRPr="0067028D" w:rsidTr="00E14292">
        <w:trPr>
          <w:trHeight w:val="255"/>
        </w:trPr>
        <w:tc>
          <w:tcPr>
            <w:tcW w:w="8680" w:type="dxa"/>
            <w:gridSpan w:val="6"/>
            <w:tcBorders>
              <w:top w:val="nil"/>
              <w:left w:val="nil"/>
              <w:bottom w:val="nil"/>
              <w:right w:val="nil"/>
            </w:tcBorders>
            <w:shd w:val="clear" w:color="auto" w:fill="auto"/>
            <w:noWrap/>
            <w:vAlign w:val="bottom"/>
          </w:tcPr>
          <w:p w:rsidR="000D4135" w:rsidRDefault="000D4135" w:rsidP="00E14292">
            <w:pPr>
              <w:rPr>
                <w:rFonts w:ascii="Arial" w:eastAsia="Times New Roman" w:hAnsi="Arial" w:cs="Arial"/>
                <w:b/>
                <w:bCs/>
                <w:sz w:val="20"/>
                <w:szCs w:val="20"/>
              </w:rPr>
            </w:pPr>
            <w:r>
              <w:rPr>
                <w:rFonts w:ascii="Arial" w:eastAsia="Times New Roman" w:hAnsi="Arial" w:cs="Arial"/>
                <w:b/>
                <w:bCs/>
                <w:sz w:val="20"/>
                <w:szCs w:val="20"/>
              </w:rPr>
              <w:t>Exhibit 2: Monthly Returns</w:t>
            </w:r>
            <w:r w:rsidRPr="0067028D">
              <w:rPr>
                <w:rFonts w:ascii="Arial" w:eastAsia="Times New Roman" w:hAnsi="Arial" w:cs="Arial"/>
                <w:b/>
                <w:bCs/>
                <w:sz w:val="20"/>
                <w:szCs w:val="20"/>
              </w:rPr>
              <w:t xml:space="preserve"> of Momentum Strategies</w:t>
            </w:r>
          </w:p>
          <w:p w:rsidR="000D4135" w:rsidRPr="0067028D" w:rsidRDefault="000D4135" w:rsidP="00E14292">
            <w:pPr>
              <w:rPr>
                <w:rFonts w:ascii="Arial" w:eastAsia="Times New Roman" w:hAnsi="Arial" w:cs="Arial"/>
                <w:b/>
                <w:bCs/>
                <w:sz w:val="20"/>
                <w:szCs w:val="20"/>
              </w:rPr>
            </w:pPr>
            <w:r w:rsidRPr="0067028D">
              <w:rPr>
                <w:rFonts w:ascii="Arial" w:eastAsia="Times New Roman" w:hAnsi="Arial" w:cs="Arial"/>
                <w:b/>
                <w:bCs/>
                <w:sz w:val="20"/>
                <w:szCs w:val="20"/>
              </w:rPr>
              <w:t xml:space="preserve"> </w:t>
            </w:r>
          </w:p>
        </w:tc>
      </w:tr>
      <w:tr w:rsidR="000D4135" w:rsidRPr="000D4135" w:rsidTr="00E14292">
        <w:trPr>
          <w:trHeight w:val="270"/>
        </w:trPr>
        <w:tc>
          <w:tcPr>
            <w:tcW w:w="8680" w:type="dxa"/>
            <w:gridSpan w:val="6"/>
            <w:tcBorders>
              <w:top w:val="nil"/>
              <w:left w:val="nil"/>
              <w:bottom w:val="single" w:sz="4" w:space="0" w:color="auto"/>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Panel A: Portfolios based on previous 1 month returns and held over 5 different horizons (1-K)</w:t>
            </w:r>
          </w:p>
        </w:tc>
      </w:tr>
      <w:tr w:rsidR="000D4135" w:rsidRPr="000D4135" w:rsidTr="00E14292">
        <w:trPr>
          <w:trHeight w:val="255"/>
        </w:trPr>
        <w:tc>
          <w:tcPr>
            <w:tcW w:w="1680" w:type="dxa"/>
            <w:tcBorders>
              <w:top w:val="nil"/>
              <w:left w:val="nil"/>
              <w:bottom w:val="single" w:sz="4" w:space="0" w:color="auto"/>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Portfolio</w:t>
            </w:r>
          </w:p>
        </w:tc>
        <w:tc>
          <w:tcPr>
            <w:tcW w:w="1400" w:type="dxa"/>
            <w:tcBorders>
              <w:top w:val="nil"/>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1-1</w:t>
            </w:r>
          </w:p>
        </w:tc>
        <w:tc>
          <w:tcPr>
            <w:tcW w:w="1400" w:type="dxa"/>
            <w:tcBorders>
              <w:top w:val="nil"/>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1-3</w:t>
            </w:r>
          </w:p>
        </w:tc>
        <w:tc>
          <w:tcPr>
            <w:tcW w:w="1400" w:type="dxa"/>
            <w:tcBorders>
              <w:top w:val="nil"/>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1-6</w:t>
            </w:r>
          </w:p>
        </w:tc>
        <w:tc>
          <w:tcPr>
            <w:tcW w:w="1400" w:type="dxa"/>
            <w:tcBorders>
              <w:top w:val="nil"/>
              <w:left w:val="nil"/>
              <w:bottom w:val="single" w:sz="4" w:space="0" w:color="auto"/>
              <w:right w:val="nil"/>
            </w:tcBorders>
            <w:shd w:val="clear" w:color="auto" w:fill="auto"/>
            <w:noWrap/>
            <w:vAlign w:val="bottom"/>
          </w:tcPr>
          <w:p w:rsidR="000D4135" w:rsidRPr="000D4135" w:rsidRDefault="000D4135" w:rsidP="00E14292">
            <w:pPr>
              <w:ind w:right="100"/>
              <w:jc w:val="right"/>
              <w:rPr>
                <w:rFonts w:eastAsia="Times New Roman"/>
                <w:sz w:val="20"/>
                <w:szCs w:val="20"/>
              </w:rPr>
            </w:pPr>
            <w:r w:rsidRPr="000D4135">
              <w:rPr>
                <w:rFonts w:eastAsia="Times New Roman"/>
                <w:sz w:val="20"/>
                <w:szCs w:val="20"/>
              </w:rPr>
              <w:t xml:space="preserve">     1-9</w:t>
            </w:r>
          </w:p>
        </w:tc>
        <w:tc>
          <w:tcPr>
            <w:tcW w:w="1400" w:type="dxa"/>
            <w:tcBorders>
              <w:top w:val="nil"/>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1-12</w:t>
            </w:r>
          </w:p>
        </w:tc>
      </w:tr>
      <w:tr w:rsidR="000D4135" w:rsidRPr="000D4135" w:rsidTr="00E14292">
        <w:trPr>
          <w:trHeight w:val="255"/>
        </w:trPr>
        <w:tc>
          <w:tcPr>
            <w:tcW w:w="1680" w:type="dxa"/>
            <w:tcBorders>
              <w:top w:val="nil"/>
              <w:left w:val="nil"/>
              <w:bottom w:val="nil"/>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Winner</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0.66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0.78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0.82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0.86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0.83 </w:t>
            </w:r>
          </w:p>
        </w:tc>
      </w:tr>
      <w:tr w:rsidR="000D4135" w:rsidRPr="000D4135" w:rsidTr="00E14292">
        <w:trPr>
          <w:trHeight w:val="255"/>
        </w:trPr>
        <w:tc>
          <w:tcPr>
            <w:tcW w:w="1680" w:type="dxa"/>
            <w:tcBorders>
              <w:top w:val="nil"/>
              <w:left w:val="nil"/>
              <w:bottom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(5.89)</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(3.57)</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(2.74)</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(2.34)</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(1.98)</w:t>
            </w:r>
          </w:p>
        </w:tc>
      </w:tr>
      <w:tr w:rsidR="000D4135" w:rsidRPr="000D4135" w:rsidTr="00E14292">
        <w:trPr>
          <w:trHeight w:val="255"/>
        </w:trPr>
        <w:tc>
          <w:tcPr>
            <w:tcW w:w="1680" w:type="dxa"/>
            <w:tcBorders>
              <w:top w:val="nil"/>
              <w:left w:val="nil"/>
              <w:bottom w:val="nil"/>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Loser</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0.62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0.54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0.70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0.70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0.73</w:t>
            </w:r>
          </w:p>
        </w:tc>
      </w:tr>
      <w:tr w:rsidR="000D4135" w:rsidRPr="000D4135" w:rsidTr="00E14292">
        <w:trPr>
          <w:trHeight w:val="255"/>
        </w:trPr>
        <w:tc>
          <w:tcPr>
            <w:tcW w:w="1680" w:type="dxa"/>
            <w:tcBorders>
              <w:top w:val="nil"/>
              <w:left w:val="nil"/>
              <w:bottom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(6.16)</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(3.94)</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(2.85)</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(2.29)</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(1.99)</w:t>
            </w:r>
          </w:p>
        </w:tc>
      </w:tr>
      <w:tr w:rsidR="000D4135" w:rsidRPr="000D4135" w:rsidTr="00E14292">
        <w:trPr>
          <w:trHeight w:val="255"/>
        </w:trPr>
        <w:tc>
          <w:tcPr>
            <w:tcW w:w="1680" w:type="dxa"/>
            <w:tcBorders>
              <w:top w:val="nil"/>
              <w:left w:val="nil"/>
              <w:bottom w:val="nil"/>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Winner - Loser</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0.04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0.24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0.13</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0.15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0.10 </w:t>
            </w:r>
          </w:p>
        </w:tc>
      </w:tr>
      <w:tr w:rsidR="000D4135" w:rsidRPr="000D4135" w:rsidTr="00E14292">
        <w:trPr>
          <w:trHeight w:val="255"/>
        </w:trPr>
        <w:tc>
          <w:tcPr>
            <w:tcW w:w="1680" w:type="dxa"/>
            <w:tcBorders>
              <w:top w:val="nil"/>
              <w:left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nil"/>
              <w:left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(3.90)</w:t>
            </w:r>
          </w:p>
        </w:tc>
        <w:tc>
          <w:tcPr>
            <w:tcW w:w="1400" w:type="dxa"/>
            <w:tcBorders>
              <w:top w:val="nil"/>
              <w:left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(2.32)</w:t>
            </w:r>
          </w:p>
        </w:tc>
        <w:tc>
          <w:tcPr>
            <w:tcW w:w="1400" w:type="dxa"/>
            <w:tcBorders>
              <w:top w:val="nil"/>
              <w:left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(1.70)</w:t>
            </w:r>
          </w:p>
        </w:tc>
        <w:tc>
          <w:tcPr>
            <w:tcW w:w="1400" w:type="dxa"/>
            <w:tcBorders>
              <w:top w:val="nil"/>
              <w:left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(1.53)</w:t>
            </w:r>
          </w:p>
        </w:tc>
        <w:tc>
          <w:tcPr>
            <w:tcW w:w="1400" w:type="dxa"/>
            <w:tcBorders>
              <w:top w:val="nil"/>
              <w:left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(1.37)</w:t>
            </w:r>
          </w:p>
        </w:tc>
      </w:tr>
      <w:tr w:rsidR="000D4135" w:rsidRPr="000D4135" w:rsidTr="00E14292">
        <w:trPr>
          <w:trHeight w:val="255"/>
        </w:trPr>
        <w:tc>
          <w:tcPr>
            <w:tcW w:w="1680" w:type="dxa"/>
            <w:tcBorders>
              <w:top w:val="nil"/>
              <w:left w:val="nil"/>
              <w:bottom w:val="single" w:sz="4" w:space="0" w:color="auto"/>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t-Stat</w:t>
            </w:r>
          </w:p>
        </w:tc>
        <w:tc>
          <w:tcPr>
            <w:tcW w:w="1400" w:type="dxa"/>
            <w:tcBorders>
              <w:top w:val="nil"/>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0.16 </w:t>
            </w:r>
          </w:p>
        </w:tc>
        <w:tc>
          <w:tcPr>
            <w:tcW w:w="1400" w:type="dxa"/>
            <w:tcBorders>
              <w:top w:val="nil"/>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1.60 </w:t>
            </w:r>
          </w:p>
        </w:tc>
        <w:tc>
          <w:tcPr>
            <w:tcW w:w="1400" w:type="dxa"/>
            <w:tcBorders>
              <w:top w:val="nil"/>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1.13 </w:t>
            </w:r>
          </w:p>
        </w:tc>
        <w:tc>
          <w:tcPr>
            <w:tcW w:w="1400" w:type="dxa"/>
            <w:tcBorders>
              <w:top w:val="nil"/>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1.51</w:t>
            </w:r>
          </w:p>
        </w:tc>
        <w:tc>
          <w:tcPr>
            <w:tcW w:w="1400" w:type="dxa"/>
            <w:tcBorders>
              <w:top w:val="nil"/>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1.08 </w:t>
            </w:r>
          </w:p>
        </w:tc>
      </w:tr>
      <w:tr w:rsidR="000D4135" w:rsidRPr="000D4135" w:rsidTr="00E14292">
        <w:trPr>
          <w:trHeight w:val="255"/>
        </w:trPr>
        <w:tc>
          <w:tcPr>
            <w:tcW w:w="1680" w:type="dxa"/>
            <w:tcBorders>
              <w:top w:val="single" w:sz="4" w:space="0" w:color="auto"/>
              <w:left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single" w:sz="4" w:space="0" w:color="auto"/>
              <w:left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single" w:sz="4" w:space="0" w:color="auto"/>
              <w:left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single" w:sz="4" w:space="0" w:color="auto"/>
              <w:left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single" w:sz="4" w:space="0" w:color="auto"/>
              <w:left w:val="nil"/>
              <w:right w:val="nil"/>
            </w:tcBorders>
            <w:shd w:val="clear" w:color="auto" w:fill="auto"/>
            <w:noWrap/>
            <w:vAlign w:val="bottom"/>
          </w:tcPr>
          <w:p w:rsidR="000D4135" w:rsidRDefault="000D4135" w:rsidP="00E14292">
            <w:pPr>
              <w:rPr>
                <w:rFonts w:eastAsia="Times New Roman"/>
                <w:sz w:val="20"/>
                <w:szCs w:val="20"/>
              </w:rPr>
            </w:pPr>
          </w:p>
          <w:p w:rsidR="00920AD9" w:rsidRDefault="00920AD9" w:rsidP="00E14292">
            <w:pPr>
              <w:rPr>
                <w:rFonts w:eastAsia="Times New Roman"/>
                <w:sz w:val="20"/>
                <w:szCs w:val="20"/>
              </w:rPr>
            </w:pPr>
          </w:p>
          <w:p w:rsidR="00920AD9" w:rsidRPr="000D4135" w:rsidRDefault="00920AD9" w:rsidP="00E14292">
            <w:pPr>
              <w:rPr>
                <w:rFonts w:eastAsia="Times New Roman"/>
                <w:sz w:val="20"/>
                <w:szCs w:val="20"/>
              </w:rPr>
            </w:pPr>
          </w:p>
        </w:tc>
        <w:tc>
          <w:tcPr>
            <w:tcW w:w="1400" w:type="dxa"/>
            <w:tcBorders>
              <w:top w:val="single" w:sz="4" w:space="0" w:color="auto"/>
              <w:left w:val="nil"/>
              <w:right w:val="nil"/>
            </w:tcBorders>
            <w:shd w:val="clear" w:color="auto" w:fill="auto"/>
            <w:noWrap/>
            <w:vAlign w:val="bottom"/>
          </w:tcPr>
          <w:p w:rsidR="000D4135" w:rsidRPr="000D4135" w:rsidRDefault="000D4135" w:rsidP="00E14292">
            <w:pPr>
              <w:rPr>
                <w:rFonts w:eastAsia="Times New Roman"/>
                <w:sz w:val="20"/>
                <w:szCs w:val="20"/>
              </w:rPr>
            </w:pPr>
          </w:p>
        </w:tc>
      </w:tr>
      <w:tr w:rsidR="000D4135" w:rsidRPr="000D4135" w:rsidTr="00E14292">
        <w:trPr>
          <w:trHeight w:val="255"/>
        </w:trPr>
        <w:tc>
          <w:tcPr>
            <w:tcW w:w="8680" w:type="dxa"/>
            <w:gridSpan w:val="6"/>
            <w:tcBorders>
              <w:left w:val="nil"/>
              <w:bottom w:val="single" w:sz="4" w:space="0" w:color="auto"/>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Panel B: Portfolios based on previous 3 month returns and held over 5 different horizons (3-K)</w:t>
            </w:r>
          </w:p>
        </w:tc>
      </w:tr>
      <w:tr w:rsidR="000D4135" w:rsidRPr="000D4135" w:rsidTr="00E14292">
        <w:trPr>
          <w:trHeight w:val="255"/>
        </w:trPr>
        <w:tc>
          <w:tcPr>
            <w:tcW w:w="1680" w:type="dxa"/>
            <w:tcBorders>
              <w:top w:val="single" w:sz="4" w:space="0" w:color="auto"/>
              <w:left w:val="nil"/>
              <w:bottom w:val="single" w:sz="4" w:space="0" w:color="auto"/>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Portfolio</w:t>
            </w:r>
          </w:p>
        </w:tc>
        <w:tc>
          <w:tcPr>
            <w:tcW w:w="1400" w:type="dxa"/>
            <w:tcBorders>
              <w:top w:val="single" w:sz="4" w:space="0" w:color="auto"/>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3-1**</w:t>
            </w:r>
          </w:p>
        </w:tc>
        <w:tc>
          <w:tcPr>
            <w:tcW w:w="1400" w:type="dxa"/>
            <w:tcBorders>
              <w:top w:val="single" w:sz="4" w:space="0" w:color="auto"/>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3-3</w:t>
            </w:r>
          </w:p>
        </w:tc>
        <w:tc>
          <w:tcPr>
            <w:tcW w:w="1400" w:type="dxa"/>
            <w:tcBorders>
              <w:top w:val="single" w:sz="4" w:space="0" w:color="auto"/>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3-6**</w:t>
            </w:r>
          </w:p>
        </w:tc>
        <w:tc>
          <w:tcPr>
            <w:tcW w:w="1400" w:type="dxa"/>
            <w:tcBorders>
              <w:top w:val="single" w:sz="4" w:space="0" w:color="auto"/>
              <w:left w:val="nil"/>
              <w:bottom w:val="single" w:sz="4" w:space="0" w:color="auto"/>
              <w:right w:val="nil"/>
            </w:tcBorders>
            <w:shd w:val="clear" w:color="auto" w:fill="auto"/>
            <w:noWrap/>
            <w:vAlign w:val="bottom"/>
          </w:tcPr>
          <w:p w:rsidR="000D4135" w:rsidRPr="000D4135" w:rsidRDefault="000D4135" w:rsidP="00E14292">
            <w:pPr>
              <w:ind w:right="100"/>
              <w:jc w:val="right"/>
              <w:rPr>
                <w:rFonts w:eastAsia="Times New Roman"/>
                <w:sz w:val="20"/>
                <w:szCs w:val="20"/>
              </w:rPr>
            </w:pPr>
            <w:r w:rsidRPr="000D4135">
              <w:rPr>
                <w:rFonts w:eastAsia="Times New Roman"/>
                <w:sz w:val="20"/>
                <w:szCs w:val="20"/>
              </w:rPr>
              <w:t>3-9</w:t>
            </w:r>
          </w:p>
        </w:tc>
        <w:tc>
          <w:tcPr>
            <w:tcW w:w="1400" w:type="dxa"/>
            <w:tcBorders>
              <w:top w:val="single" w:sz="4" w:space="0" w:color="auto"/>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3-12</w:t>
            </w:r>
          </w:p>
        </w:tc>
      </w:tr>
      <w:tr w:rsidR="000D4135" w:rsidRPr="000D4135" w:rsidTr="00E14292">
        <w:trPr>
          <w:trHeight w:val="255"/>
        </w:trPr>
        <w:tc>
          <w:tcPr>
            <w:tcW w:w="1680" w:type="dxa"/>
            <w:tcBorders>
              <w:top w:val="nil"/>
              <w:left w:val="nil"/>
              <w:bottom w:val="nil"/>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Winner</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0.88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0.79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0.89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0.83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0.78 </w:t>
            </w:r>
          </w:p>
        </w:tc>
      </w:tr>
      <w:tr w:rsidR="000D4135" w:rsidRPr="000D4135" w:rsidTr="00E14292">
        <w:trPr>
          <w:trHeight w:val="255"/>
        </w:trPr>
        <w:tc>
          <w:tcPr>
            <w:tcW w:w="1680" w:type="dxa"/>
            <w:tcBorders>
              <w:top w:val="nil"/>
              <w:left w:val="nil"/>
              <w:bottom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(5.77)</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(3.63)</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(2.82)</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(2.24)</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(1.96)</w:t>
            </w:r>
          </w:p>
        </w:tc>
      </w:tr>
      <w:tr w:rsidR="000D4135" w:rsidRPr="000D4135" w:rsidTr="00E14292">
        <w:trPr>
          <w:trHeight w:val="255"/>
        </w:trPr>
        <w:tc>
          <w:tcPr>
            <w:tcW w:w="1680" w:type="dxa"/>
            <w:tcBorders>
              <w:top w:val="nil"/>
              <w:left w:val="nil"/>
              <w:bottom w:val="nil"/>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Loser</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0.33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0.60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0.58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0.63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0.67 </w:t>
            </w:r>
          </w:p>
        </w:tc>
      </w:tr>
      <w:tr w:rsidR="000D4135" w:rsidRPr="000D4135" w:rsidTr="00E14292">
        <w:trPr>
          <w:trHeight w:val="255"/>
        </w:trPr>
        <w:tc>
          <w:tcPr>
            <w:tcW w:w="1680" w:type="dxa"/>
            <w:tcBorders>
              <w:top w:val="nil"/>
              <w:left w:val="nil"/>
              <w:bottom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(6.60)</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(4.16)</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(2.94)</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(2.43)</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(2.03)</w:t>
            </w:r>
          </w:p>
        </w:tc>
      </w:tr>
      <w:tr w:rsidR="000D4135" w:rsidRPr="000D4135" w:rsidTr="00E14292">
        <w:trPr>
          <w:trHeight w:val="255"/>
        </w:trPr>
        <w:tc>
          <w:tcPr>
            <w:tcW w:w="1680" w:type="dxa"/>
            <w:tcBorders>
              <w:top w:val="nil"/>
              <w:left w:val="nil"/>
              <w:bottom w:val="nil"/>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Winner - Loser</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0.55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0.19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0.31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0.20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0.11 </w:t>
            </w:r>
          </w:p>
        </w:tc>
      </w:tr>
      <w:tr w:rsidR="000D4135" w:rsidRPr="000D4135" w:rsidTr="00E14292">
        <w:trPr>
          <w:trHeight w:val="255"/>
        </w:trPr>
        <w:tc>
          <w:tcPr>
            <w:tcW w:w="1680" w:type="dxa"/>
            <w:tcBorders>
              <w:top w:val="nil"/>
              <w:left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nil"/>
              <w:left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(4.26)</w:t>
            </w:r>
          </w:p>
        </w:tc>
        <w:tc>
          <w:tcPr>
            <w:tcW w:w="1400" w:type="dxa"/>
            <w:tcBorders>
              <w:top w:val="nil"/>
              <w:left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(2.99)</w:t>
            </w:r>
          </w:p>
        </w:tc>
        <w:tc>
          <w:tcPr>
            <w:tcW w:w="1400" w:type="dxa"/>
            <w:tcBorders>
              <w:top w:val="nil"/>
              <w:left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(2.22)</w:t>
            </w:r>
          </w:p>
        </w:tc>
        <w:tc>
          <w:tcPr>
            <w:tcW w:w="1400" w:type="dxa"/>
            <w:tcBorders>
              <w:top w:val="nil"/>
              <w:left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(1.84)</w:t>
            </w:r>
          </w:p>
        </w:tc>
        <w:tc>
          <w:tcPr>
            <w:tcW w:w="1400" w:type="dxa"/>
            <w:tcBorders>
              <w:top w:val="nil"/>
              <w:left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(1.54)</w:t>
            </w:r>
          </w:p>
        </w:tc>
      </w:tr>
      <w:tr w:rsidR="000D4135" w:rsidRPr="000D4135" w:rsidTr="00E14292">
        <w:trPr>
          <w:trHeight w:val="255"/>
        </w:trPr>
        <w:tc>
          <w:tcPr>
            <w:tcW w:w="1680" w:type="dxa"/>
            <w:tcBorders>
              <w:top w:val="nil"/>
              <w:left w:val="nil"/>
              <w:bottom w:val="single" w:sz="4" w:space="0" w:color="auto"/>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t-Stat</w:t>
            </w:r>
          </w:p>
        </w:tc>
        <w:tc>
          <w:tcPr>
            <w:tcW w:w="1400" w:type="dxa"/>
            <w:tcBorders>
              <w:top w:val="nil"/>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1.96</w:t>
            </w:r>
          </w:p>
        </w:tc>
        <w:tc>
          <w:tcPr>
            <w:tcW w:w="1400" w:type="dxa"/>
            <w:tcBorders>
              <w:top w:val="nil"/>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0.96 </w:t>
            </w:r>
          </w:p>
        </w:tc>
        <w:tc>
          <w:tcPr>
            <w:tcW w:w="1400" w:type="dxa"/>
            <w:tcBorders>
              <w:top w:val="nil"/>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2.10</w:t>
            </w:r>
          </w:p>
        </w:tc>
        <w:tc>
          <w:tcPr>
            <w:tcW w:w="1400" w:type="dxa"/>
            <w:tcBorders>
              <w:top w:val="nil"/>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1.63</w:t>
            </w:r>
          </w:p>
        </w:tc>
        <w:tc>
          <w:tcPr>
            <w:tcW w:w="1400" w:type="dxa"/>
            <w:tcBorders>
              <w:top w:val="nil"/>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1.09 </w:t>
            </w:r>
          </w:p>
        </w:tc>
      </w:tr>
      <w:tr w:rsidR="000D4135" w:rsidRPr="000D4135" w:rsidTr="00E14292">
        <w:trPr>
          <w:trHeight w:val="255"/>
        </w:trPr>
        <w:tc>
          <w:tcPr>
            <w:tcW w:w="1680" w:type="dxa"/>
            <w:tcBorders>
              <w:top w:val="single" w:sz="4" w:space="0" w:color="auto"/>
              <w:left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single" w:sz="4" w:space="0" w:color="auto"/>
              <w:left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single" w:sz="4" w:space="0" w:color="auto"/>
              <w:left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single" w:sz="4" w:space="0" w:color="auto"/>
              <w:left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single" w:sz="4" w:space="0" w:color="auto"/>
              <w:left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single" w:sz="4" w:space="0" w:color="auto"/>
              <w:left w:val="nil"/>
              <w:right w:val="nil"/>
            </w:tcBorders>
            <w:shd w:val="clear" w:color="auto" w:fill="auto"/>
            <w:noWrap/>
            <w:vAlign w:val="bottom"/>
          </w:tcPr>
          <w:p w:rsidR="000D4135" w:rsidRPr="000D4135" w:rsidRDefault="000D4135" w:rsidP="00E14292">
            <w:pPr>
              <w:rPr>
                <w:rFonts w:eastAsia="Times New Roman"/>
                <w:sz w:val="20"/>
                <w:szCs w:val="20"/>
              </w:rPr>
            </w:pPr>
          </w:p>
        </w:tc>
      </w:tr>
      <w:tr w:rsidR="000D4135" w:rsidRPr="000D4135" w:rsidTr="00E14292">
        <w:trPr>
          <w:trHeight w:val="255"/>
        </w:trPr>
        <w:tc>
          <w:tcPr>
            <w:tcW w:w="8680" w:type="dxa"/>
            <w:gridSpan w:val="6"/>
            <w:tcBorders>
              <w:left w:val="nil"/>
              <w:bottom w:val="single" w:sz="4" w:space="0" w:color="auto"/>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Panel C: Portfolios based on previous 6 month returns and held over 5 different horizons (6-K)</w:t>
            </w:r>
          </w:p>
        </w:tc>
      </w:tr>
      <w:tr w:rsidR="000D4135" w:rsidRPr="000D4135" w:rsidTr="00E14292">
        <w:trPr>
          <w:trHeight w:val="255"/>
        </w:trPr>
        <w:tc>
          <w:tcPr>
            <w:tcW w:w="1680" w:type="dxa"/>
            <w:tcBorders>
              <w:top w:val="single" w:sz="4" w:space="0" w:color="auto"/>
              <w:left w:val="nil"/>
              <w:bottom w:val="single" w:sz="4" w:space="0" w:color="auto"/>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Portfolio</w:t>
            </w:r>
          </w:p>
        </w:tc>
        <w:tc>
          <w:tcPr>
            <w:tcW w:w="1400" w:type="dxa"/>
            <w:tcBorders>
              <w:top w:val="single" w:sz="4" w:space="0" w:color="auto"/>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6-1</w:t>
            </w:r>
          </w:p>
        </w:tc>
        <w:tc>
          <w:tcPr>
            <w:tcW w:w="1400" w:type="dxa"/>
            <w:tcBorders>
              <w:top w:val="single" w:sz="4" w:space="0" w:color="auto"/>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6-3*</w:t>
            </w:r>
          </w:p>
        </w:tc>
        <w:tc>
          <w:tcPr>
            <w:tcW w:w="1400" w:type="dxa"/>
            <w:tcBorders>
              <w:top w:val="single" w:sz="4" w:space="0" w:color="auto"/>
              <w:left w:val="nil"/>
              <w:bottom w:val="single" w:sz="4" w:space="0" w:color="auto"/>
              <w:right w:val="nil"/>
            </w:tcBorders>
            <w:shd w:val="clear" w:color="auto" w:fill="auto"/>
            <w:noWrap/>
            <w:vAlign w:val="bottom"/>
          </w:tcPr>
          <w:p w:rsidR="000D4135" w:rsidRPr="000D4135" w:rsidRDefault="000D4135" w:rsidP="00E14292">
            <w:pPr>
              <w:ind w:right="100"/>
              <w:jc w:val="right"/>
              <w:rPr>
                <w:rFonts w:eastAsia="Times New Roman"/>
                <w:sz w:val="20"/>
                <w:szCs w:val="20"/>
              </w:rPr>
            </w:pPr>
            <w:r w:rsidRPr="000D4135">
              <w:rPr>
                <w:rFonts w:eastAsia="Times New Roman"/>
                <w:sz w:val="20"/>
                <w:szCs w:val="20"/>
              </w:rPr>
              <w:t xml:space="preserve">    6-6*</w:t>
            </w:r>
          </w:p>
        </w:tc>
        <w:tc>
          <w:tcPr>
            <w:tcW w:w="1400" w:type="dxa"/>
            <w:tcBorders>
              <w:top w:val="single" w:sz="4" w:space="0" w:color="auto"/>
              <w:left w:val="nil"/>
              <w:bottom w:val="single" w:sz="4" w:space="0" w:color="auto"/>
              <w:right w:val="nil"/>
            </w:tcBorders>
            <w:shd w:val="clear" w:color="auto" w:fill="auto"/>
            <w:noWrap/>
            <w:vAlign w:val="bottom"/>
          </w:tcPr>
          <w:p w:rsidR="000D4135" w:rsidRPr="000D4135" w:rsidRDefault="000D4135" w:rsidP="00E14292">
            <w:pPr>
              <w:ind w:right="100"/>
              <w:jc w:val="right"/>
              <w:rPr>
                <w:rFonts w:eastAsia="Times New Roman"/>
                <w:sz w:val="20"/>
                <w:szCs w:val="20"/>
              </w:rPr>
            </w:pPr>
            <w:r w:rsidRPr="000D4135">
              <w:rPr>
                <w:rFonts w:eastAsia="Times New Roman"/>
                <w:sz w:val="20"/>
                <w:szCs w:val="20"/>
              </w:rPr>
              <w:t>6-9</w:t>
            </w:r>
          </w:p>
        </w:tc>
        <w:tc>
          <w:tcPr>
            <w:tcW w:w="1400" w:type="dxa"/>
            <w:tcBorders>
              <w:top w:val="single" w:sz="4" w:space="0" w:color="auto"/>
              <w:left w:val="nil"/>
              <w:bottom w:val="single" w:sz="4" w:space="0" w:color="auto"/>
              <w:right w:val="nil"/>
            </w:tcBorders>
            <w:shd w:val="clear" w:color="auto" w:fill="auto"/>
            <w:noWrap/>
            <w:vAlign w:val="bottom"/>
          </w:tcPr>
          <w:p w:rsidR="000D4135" w:rsidRPr="000D4135" w:rsidRDefault="000D4135" w:rsidP="00E14292">
            <w:pPr>
              <w:ind w:right="100"/>
              <w:jc w:val="right"/>
              <w:rPr>
                <w:rFonts w:eastAsia="Times New Roman"/>
                <w:sz w:val="20"/>
                <w:szCs w:val="20"/>
              </w:rPr>
            </w:pPr>
            <w:r w:rsidRPr="000D4135">
              <w:rPr>
                <w:rFonts w:eastAsia="Times New Roman"/>
                <w:sz w:val="20"/>
                <w:szCs w:val="20"/>
              </w:rPr>
              <w:t>6-12</w:t>
            </w:r>
          </w:p>
        </w:tc>
      </w:tr>
      <w:tr w:rsidR="000D4135" w:rsidRPr="000D4135" w:rsidTr="00E14292">
        <w:trPr>
          <w:trHeight w:val="255"/>
        </w:trPr>
        <w:tc>
          <w:tcPr>
            <w:tcW w:w="1680" w:type="dxa"/>
            <w:tcBorders>
              <w:top w:val="nil"/>
              <w:left w:val="nil"/>
              <w:bottom w:val="nil"/>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Winner</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0.76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0.88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0.85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0.80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0.77 </w:t>
            </w:r>
          </w:p>
        </w:tc>
      </w:tr>
      <w:tr w:rsidR="000D4135" w:rsidRPr="000D4135" w:rsidTr="00E14292">
        <w:trPr>
          <w:trHeight w:val="255"/>
        </w:trPr>
        <w:tc>
          <w:tcPr>
            <w:tcW w:w="1680" w:type="dxa"/>
            <w:tcBorders>
              <w:top w:val="nil"/>
              <w:left w:val="nil"/>
              <w:bottom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(5.82)</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(3.67)</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(2.62)</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(2.17)</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(1.92)</w:t>
            </w:r>
          </w:p>
        </w:tc>
      </w:tr>
      <w:tr w:rsidR="000D4135" w:rsidRPr="000D4135" w:rsidTr="00E14292">
        <w:trPr>
          <w:trHeight w:val="255"/>
        </w:trPr>
        <w:tc>
          <w:tcPr>
            <w:tcW w:w="1680" w:type="dxa"/>
            <w:tcBorders>
              <w:top w:val="nil"/>
              <w:left w:val="nil"/>
              <w:bottom w:val="nil"/>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Loser</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0.42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0.52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0.58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0.64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0.65 </w:t>
            </w:r>
          </w:p>
        </w:tc>
      </w:tr>
      <w:tr w:rsidR="000D4135" w:rsidRPr="000D4135" w:rsidTr="00E14292">
        <w:trPr>
          <w:trHeight w:val="255"/>
        </w:trPr>
        <w:tc>
          <w:tcPr>
            <w:tcW w:w="1680" w:type="dxa"/>
            <w:tcBorders>
              <w:top w:val="nil"/>
              <w:left w:val="nil"/>
              <w:bottom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(6.87)</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(4.24)</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(2.98)</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(2.58)</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(2.19)</w:t>
            </w:r>
          </w:p>
        </w:tc>
      </w:tr>
      <w:tr w:rsidR="000D4135" w:rsidRPr="000D4135" w:rsidTr="00E14292">
        <w:trPr>
          <w:trHeight w:val="255"/>
        </w:trPr>
        <w:tc>
          <w:tcPr>
            <w:tcW w:w="1680" w:type="dxa"/>
            <w:tcBorders>
              <w:top w:val="nil"/>
              <w:left w:val="nil"/>
              <w:bottom w:val="nil"/>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Winner - Loser</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0.34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0.36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0.27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0.16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0.12 </w:t>
            </w:r>
          </w:p>
        </w:tc>
      </w:tr>
      <w:tr w:rsidR="000D4135" w:rsidRPr="000D4135" w:rsidTr="00E14292">
        <w:trPr>
          <w:trHeight w:val="255"/>
        </w:trPr>
        <w:tc>
          <w:tcPr>
            <w:tcW w:w="1680" w:type="dxa"/>
            <w:tcBorders>
              <w:top w:val="nil"/>
              <w:left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nil"/>
              <w:left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(4.83)</w:t>
            </w:r>
          </w:p>
        </w:tc>
        <w:tc>
          <w:tcPr>
            <w:tcW w:w="1400" w:type="dxa"/>
            <w:tcBorders>
              <w:top w:val="nil"/>
              <w:left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(3.18)</w:t>
            </w:r>
          </w:p>
        </w:tc>
        <w:tc>
          <w:tcPr>
            <w:tcW w:w="1400" w:type="dxa"/>
            <w:tcBorders>
              <w:top w:val="nil"/>
              <w:left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(2.21)</w:t>
            </w:r>
          </w:p>
        </w:tc>
        <w:tc>
          <w:tcPr>
            <w:tcW w:w="1400" w:type="dxa"/>
            <w:tcBorders>
              <w:top w:val="nil"/>
              <w:left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(1.97)</w:t>
            </w:r>
          </w:p>
        </w:tc>
        <w:tc>
          <w:tcPr>
            <w:tcW w:w="1400" w:type="dxa"/>
            <w:tcBorders>
              <w:top w:val="nil"/>
              <w:left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(1.68)</w:t>
            </w:r>
          </w:p>
        </w:tc>
      </w:tr>
      <w:tr w:rsidR="000D4135" w:rsidRPr="000D4135" w:rsidTr="00E14292">
        <w:trPr>
          <w:trHeight w:val="255"/>
        </w:trPr>
        <w:tc>
          <w:tcPr>
            <w:tcW w:w="1680" w:type="dxa"/>
            <w:tcBorders>
              <w:top w:val="nil"/>
              <w:left w:val="nil"/>
              <w:bottom w:val="single" w:sz="4" w:space="0" w:color="auto"/>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t-Stat</w:t>
            </w:r>
          </w:p>
        </w:tc>
        <w:tc>
          <w:tcPr>
            <w:tcW w:w="1400" w:type="dxa"/>
            <w:tcBorders>
              <w:top w:val="nil"/>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1.05 </w:t>
            </w:r>
          </w:p>
        </w:tc>
        <w:tc>
          <w:tcPr>
            <w:tcW w:w="1400" w:type="dxa"/>
            <w:tcBorders>
              <w:top w:val="nil"/>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1.71</w:t>
            </w:r>
          </w:p>
        </w:tc>
        <w:tc>
          <w:tcPr>
            <w:tcW w:w="1400" w:type="dxa"/>
            <w:tcBorders>
              <w:top w:val="nil"/>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1.82</w:t>
            </w:r>
          </w:p>
        </w:tc>
        <w:tc>
          <w:tcPr>
            <w:tcW w:w="1400" w:type="dxa"/>
            <w:tcBorders>
              <w:top w:val="nil"/>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1.23</w:t>
            </w:r>
          </w:p>
        </w:tc>
        <w:tc>
          <w:tcPr>
            <w:tcW w:w="1400" w:type="dxa"/>
            <w:tcBorders>
              <w:top w:val="nil"/>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1.05</w:t>
            </w:r>
          </w:p>
        </w:tc>
      </w:tr>
      <w:tr w:rsidR="000D4135" w:rsidRPr="000D4135" w:rsidTr="00E14292">
        <w:trPr>
          <w:trHeight w:val="255"/>
        </w:trPr>
        <w:tc>
          <w:tcPr>
            <w:tcW w:w="1680" w:type="dxa"/>
            <w:tcBorders>
              <w:top w:val="single" w:sz="4" w:space="0" w:color="auto"/>
              <w:left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single" w:sz="4" w:space="0" w:color="auto"/>
              <w:left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single" w:sz="4" w:space="0" w:color="auto"/>
              <w:left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single" w:sz="4" w:space="0" w:color="auto"/>
              <w:left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single" w:sz="4" w:space="0" w:color="auto"/>
              <w:left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single" w:sz="4" w:space="0" w:color="auto"/>
              <w:left w:val="nil"/>
              <w:right w:val="nil"/>
            </w:tcBorders>
            <w:shd w:val="clear" w:color="auto" w:fill="auto"/>
            <w:noWrap/>
            <w:vAlign w:val="bottom"/>
          </w:tcPr>
          <w:p w:rsidR="000D4135" w:rsidRPr="000D4135" w:rsidRDefault="000D4135" w:rsidP="00E14292">
            <w:pPr>
              <w:rPr>
                <w:rFonts w:eastAsia="Times New Roman"/>
                <w:sz w:val="20"/>
                <w:szCs w:val="20"/>
              </w:rPr>
            </w:pPr>
          </w:p>
        </w:tc>
      </w:tr>
      <w:tr w:rsidR="000D4135" w:rsidRPr="000D4135" w:rsidTr="00E14292">
        <w:trPr>
          <w:trHeight w:val="255"/>
        </w:trPr>
        <w:tc>
          <w:tcPr>
            <w:tcW w:w="8680" w:type="dxa"/>
            <w:gridSpan w:val="6"/>
            <w:tcBorders>
              <w:left w:val="nil"/>
              <w:bottom w:val="single" w:sz="4" w:space="0" w:color="auto"/>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Panel D: Portfolios based on previous 9 month returns and held over 5 different horizons (9-K)</w:t>
            </w:r>
          </w:p>
        </w:tc>
      </w:tr>
      <w:tr w:rsidR="000D4135" w:rsidRPr="000D4135" w:rsidTr="00E14292">
        <w:trPr>
          <w:trHeight w:val="255"/>
        </w:trPr>
        <w:tc>
          <w:tcPr>
            <w:tcW w:w="1680" w:type="dxa"/>
            <w:tcBorders>
              <w:top w:val="single" w:sz="4" w:space="0" w:color="auto"/>
              <w:left w:val="nil"/>
              <w:bottom w:val="single" w:sz="4" w:space="0" w:color="auto"/>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Portfolio</w:t>
            </w:r>
          </w:p>
        </w:tc>
        <w:tc>
          <w:tcPr>
            <w:tcW w:w="1400" w:type="dxa"/>
            <w:tcBorders>
              <w:top w:val="single" w:sz="4" w:space="0" w:color="auto"/>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9-1</w:t>
            </w:r>
          </w:p>
        </w:tc>
        <w:tc>
          <w:tcPr>
            <w:tcW w:w="1400" w:type="dxa"/>
            <w:tcBorders>
              <w:top w:val="single" w:sz="4" w:space="0" w:color="auto"/>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9-3</w:t>
            </w:r>
          </w:p>
        </w:tc>
        <w:tc>
          <w:tcPr>
            <w:tcW w:w="1400" w:type="dxa"/>
            <w:tcBorders>
              <w:top w:val="single" w:sz="4" w:space="0" w:color="auto"/>
              <w:left w:val="nil"/>
              <w:bottom w:val="single" w:sz="4" w:space="0" w:color="auto"/>
              <w:right w:val="nil"/>
            </w:tcBorders>
            <w:shd w:val="clear" w:color="auto" w:fill="auto"/>
            <w:noWrap/>
            <w:vAlign w:val="bottom"/>
          </w:tcPr>
          <w:p w:rsidR="000D4135" w:rsidRPr="000D4135" w:rsidRDefault="000D4135" w:rsidP="00E14292">
            <w:pPr>
              <w:ind w:right="100"/>
              <w:jc w:val="right"/>
              <w:rPr>
                <w:rFonts w:eastAsia="Times New Roman"/>
                <w:sz w:val="20"/>
                <w:szCs w:val="20"/>
              </w:rPr>
            </w:pPr>
            <w:r w:rsidRPr="000D4135">
              <w:rPr>
                <w:rFonts w:eastAsia="Times New Roman"/>
                <w:sz w:val="20"/>
                <w:szCs w:val="20"/>
              </w:rPr>
              <w:t xml:space="preserve">   9-6</w:t>
            </w:r>
          </w:p>
        </w:tc>
        <w:tc>
          <w:tcPr>
            <w:tcW w:w="1400" w:type="dxa"/>
            <w:tcBorders>
              <w:top w:val="single" w:sz="4" w:space="0" w:color="auto"/>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9-9</w:t>
            </w:r>
          </w:p>
        </w:tc>
        <w:tc>
          <w:tcPr>
            <w:tcW w:w="1400" w:type="dxa"/>
            <w:tcBorders>
              <w:top w:val="single" w:sz="4" w:space="0" w:color="auto"/>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9-12*</w:t>
            </w:r>
          </w:p>
        </w:tc>
      </w:tr>
      <w:tr w:rsidR="000D4135" w:rsidRPr="000D4135" w:rsidTr="00E14292">
        <w:trPr>
          <w:trHeight w:val="255"/>
        </w:trPr>
        <w:tc>
          <w:tcPr>
            <w:tcW w:w="1680" w:type="dxa"/>
            <w:tcBorders>
              <w:top w:val="nil"/>
              <w:left w:val="nil"/>
              <w:bottom w:val="nil"/>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Winner</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0.82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0.78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0.71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0.70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0.74 </w:t>
            </w:r>
          </w:p>
        </w:tc>
      </w:tr>
      <w:tr w:rsidR="000D4135" w:rsidRPr="000D4135" w:rsidTr="00E14292">
        <w:trPr>
          <w:trHeight w:val="255"/>
        </w:trPr>
        <w:tc>
          <w:tcPr>
            <w:tcW w:w="1680" w:type="dxa"/>
            <w:tcBorders>
              <w:top w:val="nil"/>
              <w:left w:val="nil"/>
              <w:bottom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(5.67)</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(1.74)</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(2.54)</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(2.13)</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(1.9)</w:t>
            </w:r>
          </w:p>
        </w:tc>
      </w:tr>
      <w:tr w:rsidR="000D4135" w:rsidRPr="000D4135" w:rsidTr="00E14292">
        <w:trPr>
          <w:trHeight w:val="255"/>
        </w:trPr>
        <w:tc>
          <w:tcPr>
            <w:tcW w:w="1680" w:type="dxa"/>
            <w:tcBorders>
              <w:top w:val="nil"/>
              <w:left w:val="nil"/>
              <w:bottom w:val="nil"/>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Loser</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0.61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0.59</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0.61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0.65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0.68 </w:t>
            </w:r>
          </w:p>
        </w:tc>
      </w:tr>
      <w:tr w:rsidR="000D4135" w:rsidRPr="000D4135" w:rsidTr="00E14292">
        <w:trPr>
          <w:trHeight w:val="255"/>
        </w:trPr>
        <w:tc>
          <w:tcPr>
            <w:tcW w:w="1680" w:type="dxa"/>
            <w:tcBorders>
              <w:top w:val="nil"/>
              <w:left w:val="nil"/>
              <w:bottom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(7.17)</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(4.35)</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(3.10)</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(2.67)</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(2.25)</w:t>
            </w:r>
          </w:p>
        </w:tc>
      </w:tr>
      <w:tr w:rsidR="000D4135" w:rsidRPr="000D4135" w:rsidTr="00E14292">
        <w:trPr>
          <w:trHeight w:val="255"/>
        </w:trPr>
        <w:tc>
          <w:tcPr>
            <w:tcW w:w="1680" w:type="dxa"/>
            <w:tcBorders>
              <w:top w:val="nil"/>
              <w:left w:val="nil"/>
              <w:bottom w:val="nil"/>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Winner - Loser</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0.50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0.19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0.10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0.06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0.28 </w:t>
            </w:r>
          </w:p>
        </w:tc>
      </w:tr>
      <w:tr w:rsidR="000D4135" w:rsidRPr="000D4135" w:rsidTr="00E14292">
        <w:trPr>
          <w:trHeight w:val="255"/>
        </w:trPr>
        <w:tc>
          <w:tcPr>
            <w:tcW w:w="1680" w:type="dxa"/>
            <w:tcBorders>
              <w:top w:val="nil"/>
              <w:left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nil"/>
              <w:left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(5.36)</w:t>
            </w:r>
          </w:p>
        </w:tc>
        <w:tc>
          <w:tcPr>
            <w:tcW w:w="1400" w:type="dxa"/>
            <w:tcBorders>
              <w:top w:val="nil"/>
              <w:left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(3.22)</w:t>
            </w:r>
          </w:p>
        </w:tc>
        <w:tc>
          <w:tcPr>
            <w:tcW w:w="1400" w:type="dxa"/>
            <w:tcBorders>
              <w:top w:val="nil"/>
              <w:left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(2.38)</w:t>
            </w:r>
          </w:p>
        </w:tc>
        <w:tc>
          <w:tcPr>
            <w:tcW w:w="1400" w:type="dxa"/>
            <w:tcBorders>
              <w:top w:val="nil"/>
              <w:left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(2.09)</w:t>
            </w:r>
          </w:p>
        </w:tc>
        <w:tc>
          <w:tcPr>
            <w:tcW w:w="1400" w:type="dxa"/>
            <w:tcBorders>
              <w:top w:val="nil"/>
              <w:left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(2.25)</w:t>
            </w:r>
          </w:p>
        </w:tc>
      </w:tr>
      <w:tr w:rsidR="000D4135" w:rsidRPr="000D4135" w:rsidTr="00E14292">
        <w:trPr>
          <w:trHeight w:val="255"/>
        </w:trPr>
        <w:tc>
          <w:tcPr>
            <w:tcW w:w="1680" w:type="dxa"/>
            <w:tcBorders>
              <w:top w:val="nil"/>
              <w:left w:val="nil"/>
              <w:bottom w:val="single" w:sz="4" w:space="0" w:color="auto"/>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t-Stat</w:t>
            </w:r>
          </w:p>
        </w:tc>
        <w:tc>
          <w:tcPr>
            <w:tcW w:w="1400" w:type="dxa"/>
            <w:tcBorders>
              <w:top w:val="nil"/>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1.40 </w:t>
            </w:r>
          </w:p>
        </w:tc>
        <w:tc>
          <w:tcPr>
            <w:tcW w:w="1400" w:type="dxa"/>
            <w:tcBorders>
              <w:top w:val="nil"/>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0.87 </w:t>
            </w:r>
          </w:p>
        </w:tc>
        <w:tc>
          <w:tcPr>
            <w:tcW w:w="1400" w:type="dxa"/>
            <w:tcBorders>
              <w:top w:val="nil"/>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0.60</w:t>
            </w:r>
          </w:p>
        </w:tc>
        <w:tc>
          <w:tcPr>
            <w:tcW w:w="1400" w:type="dxa"/>
            <w:tcBorders>
              <w:top w:val="nil"/>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0.39 </w:t>
            </w:r>
          </w:p>
        </w:tc>
        <w:tc>
          <w:tcPr>
            <w:tcW w:w="1400" w:type="dxa"/>
            <w:tcBorders>
              <w:top w:val="nil"/>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1.83 </w:t>
            </w:r>
          </w:p>
        </w:tc>
      </w:tr>
      <w:tr w:rsidR="000D4135" w:rsidRPr="000D4135" w:rsidTr="00920AD9">
        <w:trPr>
          <w:trHeight w:val="255"/>
        </w:trPr>
        <w:tc>
          <w:tcPr>
            <w:tcW w:w="1680" w:type="dxa"/>
            <w:tcBorders>
              <w:top w:val="single" w:sz="4" w:space="0" w:color="auto"/>
              <w:left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single" w:sz="4" w:space="0" w:color="auto"/>
              <w:left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single" w:sz="4" w:space="0" w:color="auto"/>
              <w:left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single" w:sz="4" w:space="0" w:color="auto"/>
              <w:left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single" w:sz="4" w:space="0" w:color="auto"/>
              <w:left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single" w:sz="4" w:space="0" w:color="auto"/>
              <w:left w:val="nil"/>
              <w:right w:val="nil"/>
            </w:tcBorders>
            <w:shd w:val="clear" w:color="auto" w:fill="auto"/>
            <w:noWrap/>
            <w:vAlign w:val="bottom"/>
          </w:tcPr>
          <w:p w:rsidR="000D4135" w:rsidRPr="000D4135" w:rsidRDefault="000D4135" w:rsidP="00E14292">
            <w:pPr>
              <w:rPr>
                <w:rFonts w:eastAsia="Times New Roman"/>
                <w:sz w:val="20"/>
                <w:szCs w:val="20"/>
              </w:rPr>
            </w:pPr>
          </w:p>
        </w:tc>
      </w:tr>
      <w:tr w:rsidR="000D4135" w:rsidRPr="000D4135" w:rsidTr="00920AD9">
        <w:trPr>
          <w:trHeight w:val="255"/>
        </w:trPr>
        <w:tc>
          <w:tcPr>
            <w:tcW w:w="8680" w:type="dxa"/>
            <w:gridSpan w:val="6"/>
            <w:tcBorders>
              <w:left w:val="nil"/>
              <w:bottom w:val="single" w:sz="4" w:space="0" w:color="auto"/>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Panel E: Portfolios based on previous 12 month returns and held over 5 different horizons (12-K)</w:t>
            </w:r>
          </w:p>
        </w:tc>
      </w:tr>
      <w:tr w:rsidR="000D4135" w:rsidRPr="000D4135" w:rsidTr="00920AD9">
        <w:trPr>
          <w:trHeight w:val="255"/>
        </w:trPr>
        <w:tc>
          <w:tcPr>
            <w:tcW w:w="1680" w:type="dxa"/>
            <w:tcBorders>
              <w:top w:val="single" w:sz="4" w:space="0" w:color="auto"/>
              <w:left w:val="nil"/>
              <w:bottom w:val="single" w:sz="4" w:space="0" w:color="auto"/>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Portfolio</w:t>
            </w:r>
          </w:p>
        </w:tc>
        <w:tc>
          <w:tcPr>
            <w:tcW w:w="1400" w:type="dxa"/>
            <w:tcBorders>
              <w:top w:val="single" w:sz="4" w:space="0" w:color="auto"/>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12-1</w:t>
            </w:r>
          </w:p>
        </w:tc>
        <w:tc>
          <w:tcPr>
            <w:tcW w:w="1400" w:type="dxa"/>
            <w:tcBorders>
              <w:top w:val="single" w:sz="4" w:space="0" w:color="auto"/>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12-3</w:t>
            </w:r>
          </w:p>
        </w:tc>
        <w:tc>
          <w:tcPr>
            <w:tcW w:w="1400" w:type="dxa"/>
            <w:tcBorders>
              <w:top w:val="single" w:sz="4" w:space="0" w:color="auto"/>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12-6</w:t>
            </w:r>
          </w:p>
        </w:tc>
        <w:tc>
          <w:tcPr>
            <w:tcW w:w="1400" w:type="dxa"/>
            <w:tcBorders>
              <w:top w:val="single" w:sz="4" w:space="0" w:color="auto"/>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12-9</w:t>
            </w:r>
          </w:p>
        </w:tc>
        <w:tc>
          <w:tcPr>
            <w:tcW w:w="1400" w:type="dxa"/>
            <w:tcBorders>
              <w:top w:val="single" w:sz="4" w:space="0" w:color="auto"/>
              <w:left w:val="nil"/>
              <w:bottom w:val="single" w:sz="4"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12-12</w:t>
            </w:r>
          </w:p>
        </w:tc>
      </w:tr>
      <w:tr w:rsidR="000D4135" w:rsidRPr="000D4135" w:rsidTr="00E14292">
        <w:trPr>
          <w:trHeight w:val="255"/>
        </w:trPr>
        <w:tc>
          <w:tcPr>
            <w:tcW w:w="1680" w:type="dxa"/>
            <w:tcBorders>
              <w:top w:val="nil"/>
              <w:left w:val="nil"/>
              <w:bottom w:val="nil"/>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Winner</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0.70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0.64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0.65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0.69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0.74 </w:t>
            </w:r>
          </w:p>
        </w:tc>
      </w:tr>
      <w:tr w:rsidR="000D4135" w:rsidRPr="000D4135" w:rsidTr="00E14292">
        <w:trPr>
          <w:trHeight w:val="255"/>
        </w:trPr>
        <w:tc>
          <w:tcPr>
            <w:tcW w:w="1680" w:type="dxa"/>
            <w:tcBorders>
              <w:top w:val="nil"/>
              <w:left w:val="nil"/>
              <w:bottom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(5.67)</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(3.54)</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(2.60)</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(2.15)</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(1.91)</w:t>
            </w:r>
          </w:p>
        </w:tc>
      </w:tr>
      <w:tr w:rsidR="000D4135" w:rsidRPr="000D4135" w:rsidTr="00E14292">
        <w:trPr>
          <w:trHeight w:val="255"/>
        </w:trPr>
        <w:tc>
          <w:tcPr>
            <w:tcW w:w="1680" w:type="dxa"/>
            <w:tcBorders>
              <w:top w:val="nil"/>
              <w:left w:val="nil"/>
              <w:bottom w:val="nil"/>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Loser</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0.65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0.60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0.65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0.71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0.72 </w:t>
            </w:r>
          </w:p>
        </w:tc>
      </w:tr>
      <w:tr w:rsidR="000D4135" w:rsidRPr="000D4135" w:rsidTr="00E14292">
        <w:trPr>
          <w:trHeight w:val="255"/>
        </w:trPr>
        <w:tc>
          <w:tcPr>
            <w:tcW w:w="1680" w:type="dxa"/>
            <w:tcBorders>
              <w:top w:val="nil"/>
              <w:left w:val="nil"/>
              <w:bottom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(7.35)</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(4.42)</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(3.19)</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(2.71)</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(2.24)</w:t>
            </w:r>
          </w:p>
        </w:tc>
      </w:tr>
      <w:tr w:rsidR="000D4135" w:rsidRPr="000D4135" w:rsidTr="00E14292">
        <w:trPr>
          <w:trHeight w:val="255"/>
        </w:trPr>
        <w:tc>
          <w:tcPr>
            <w:tcW w:w="1680" w:type="dxa"/>
            <w:tcBorders>
              <w:top w:val="nil"/>
              <w:left w:val="nil"/>
              <w:bottom w:val="nil"/>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Winner - Loser</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0.34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0.04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0.01 </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-0.02</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0.02 </w:t>
            </w:r>
          </w:p>
        </w:tc>
      </w:tr>
      <w:tr w:rsidR="000D4135" w:rsidRPr="000D4135" w:rsidTr="00E14292">
        <w:trPr>
          <w:trHeight w:val="255"/>
        </w:trPr>
        <w:tc>
          <w:tcPr>
            <w:tcW w:w="1680" w:type="dxa"/>
            <w:tcBorders>
              <w:top w:val="nil"/>
              <w:left w:val="nil"/>
              <w:bottom w:val="nil"/>
              <w:right w:val="nil"/>
            </w:tcBorders>
            <w:shd w:val="clear" w:color="auto" w:fill="auto"/>
            <w:noWrap/>
            <w:vAlign w:val="bottom"/>
          </w:tcPr>
          <w:p w:rsidR="000D4135" w:rsidRPr="000D4135" w:rsidRDefault="000D4135" w:rsidP="00E14292">
            <w:pPr>
              <w:rPr>
                <w:rFonts w:eastAsia="Times New Roman"/>
                <w:sz w:val="20"/>
                <w:szCs w:val="20"/>
              </w:rPr>
            </w:pP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(5.68)</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(3.29)</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(2.39)</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(2.08)</w:t>
            </w:r>
          </w:p>
        </w:tc>
        <w:tc>
          <w:tcPr>
            <w:tcW w:w="1400" w:type="dxa"/>
            <w:tcBorders>
              <w:top w:val="nil"/>
              <w:left w:val="nil"/>
              <w:bottom w:val="nil"/>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(1.74)</w:t>
            </w:r>
          </w:p>
        </w:tc>
      </w:tr>
      <w:tr w:rsidR="000D4135" w:rsidRPr="000D4135" w:rsidTr="00E14292">
        <w:trPr>
          <w:trHeight w:val="270"/>
        </w:trPr>
        <w:tc>
          <w:tcPr>
            <w:tcW w:w="1680" w:type="dxa"/>
            <w:tcBorders>
              <w:top w:val="nil"/>
              <w:left w:val="nil"/>
              <w:bottom w:val="double" w:sz="6" w:space="0" w:color="auto"/>
              <w:right w:val="nil"/>
            </w:tcBorders>
            <w:shd w:val="clear" w:color="auto" w:fill="auto"/>
            <w:noWrap/>
            <w:vAlign w:val="bottom"/>
          </w:tcPr>
          <w:p w:rsidR="000D4135" w:rsidRPr="000D4135" w:rsidRDefault="000D4135" w:rsidP="00E14292">
            <w:pPr>
              <w:rPr>
                <w:rFonts w:eastAsia="Times New Roman"/>
                <w:sz w:val="20"/>
                <w:szCs w:val="20"/>
              </w:rPr>
            </w:pPr>
            <w:r w:rsidRPr="000D4135">
              <w:rPr>
                <w:rFonts w:eastAsia="Times New Roman"/>
                <w:sz w:val="20"/>
                <w:szCs w:val="20"/>
              </w:rPr>
              <w:t>t-Stat</w:t>
            </w:r>
          </w:p>
        </w:tc>
        <w:tc>
          <w:tcPr>
            <w:tcW w:w="1400" w:type="dxa"/>
            <w:tcBorders>
              <w:top w:val="nil"/>
              <w:left w:val="nil"/>
              <w:bottom w:val="double" w:sz="6"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0.90 </w:t>
            </w:r>
          </w:p>
        </w:tc>
        <w:tc>
          <w:tcPr>
            <w:tcW w:w="1400" w:type="dxa"/>
            <w:tcBorders>
              <w:top w:val="nil"/>
              <w:left w:val="nil"/>
              <w:bottom w:val="double" w:sz="6"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0.16 </w:t>
            </w:r>
          </w:p>
        </w:tc>
        <w:tc>
          <w:tcPr>
            <w:tcW w:w="1400" w:type="dxa"/>
            <w:tcBorders>
              <w:top w:val="nil"/>
              <w:left w:val="nil"/>
              <w:bottom w:val="double" w:sz="6"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0.04 </w:t>
            </w:r>
          </w:p>
        </w:tc>
        <w:tc>
          <w:tcPr>
            <w:tcW w:w="1400" w:type="dxa"/>
            <w:tcBorders>
              <w:top w:val="nil"/>
              <w:left w:val="nil"/>
              <w:bottom w:val="double" w:sz="6"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-0.16 </w:t>
            </w:r>
          </w:p>
        </w:tc>
        <w:tc>
          <w:tcPr>
            <w:tcW w:w="1400" w:type="dxa"/>
            <w:tcBorders>
              <w:top w:val="nil"/>
              <w:left w:val="nil"/>
              <w:bottom w:val="double" w:sz="6" w:space="0" w:color="auto"/>
              <w:right w:val="nil"/>
            </w:tcBorders>
            <w:shd w:val="clear" w:color="auto" w:fill="auto"/>
            <w:noWrap/>
            <w:vAlign w:val="bottom"/>
          </w:tcPr>
          <w:p w:rsidR="000D4135" w:rsidRPr="000D4135" w:rsidRDefault="000D4135" w:rsidP="00E14292">
            <w:pPr>
              <w:jc w:val="right"/>
              <w:rPr>
                <w:rFonts w:eastAsia="Times New Roman"/>
                <w:sz w:val="20"/>
                <w:szCs w:val="20"/>
              </w:rPr>
            </w:pPr>
            <w:r w:rsidRPr="000D4135">
              <w:rPr>
                <w:rFonts w:eastAsia="Times New Roman"/>
                <w:sz w:val="20"/>
                <w:szCs w:val="20"/>
              </w:rPr>
              <w:t xml:space="preserve">0.17 </w:t>
            </w:r>
          </w:p>
        </w:tc>
      </w:tr>
    </w:tbl>
    <w:p w:rsidR="00920AD9" w:rsidRDefault="00920AD9" w:rsidP="00920AD9">
      <w:pPr>
        <w:adjustRightInd w:val="0"/>
        <w:ind w:left="360"/>
        <w:jc w:val="both"/>
        <w:rPr>
          <w:rFonts w:ascii="Arial" w:eastAsia="Times New Roman" w:hAnsi="Arial" w:cs="Arial"/>
          <w:sz w:val="20"/>
          <w:szCs w:val="20"/>
        </w:rPr>
      </w:pPr>
    </w:p>
    <w:p w:rsidR="00920AD9" w:rsidRDefault="00920AD9" w:rsidP="00920AD9">
      <w:pPr>
        <w:adjustRightInd w:val="0"/>
        <w:jc w:val="both"/>
        <w:rPr>
          <w:b/>
          <w:sz w:val="32"/>
          <w:szCs w:val="32"/>
        </w:rPr>
      </w:pPr>
      <w:r>
        <w:rPr>
          <w:rFonts w:ascii="Arial" w:eastAsia="Times New Roman" w:hAnsi="Arial" w:cs="Arial"/>
          <w:sz w:val="20"/>
          <w:szCs w:val="20"/>
        </w:rPr>
        <w:t xml:space="preserve">  At the end of each period, we</w:t>
      </w:r>
      <w:r w:rsidRPr="00CE50A9">
        <w:rPr>
          <w:rFonts w:ascii="Arial" w:eastAsia="Times New Roman" w:hAnsi="Arial" w:cs="Arial"/>
          <w:sz w:val="20"/>
          <w:szCs w:val="20"/>
        </w:rPr>
        <w:t xml:space="preserve"> calculate the return of the past J months (J = 1, 3, 6, 9 or 12) for </w:t>
      </w:r>
      <w:r>
        <w:rPr>
          <w:rFonts w:ascii="Arial" w:eastAsia="Times New Roman" w:hAnsi="Arial" w:cs="Arial"/>
          <w:sz w:val="20"/>
          <w:szCs w:val="20"/>
        </w:rPr>
        <w:t xml:space="preserve">   </w:t>
      </w:r>
      <w:r w:rsidRPr="00CE50A9">
        <w:rPr>
          <w:rFonts w:ascii="Arial" w:eastAsia="Times New Roman" w:hAnsi="Arial" w:cs="Arial"/>
          <w:sz w:val="20"/>
          <w:szCs w:val="20"/>
        </w:rPr>
        <w:t xml:space="preserve">each of the 15 ETFs and </w:t>
      </w:r>
      <w:r>
        <w:rPr>
          <w:rFonts w:ascii="Arial" w:eastAsia="Times New Roman" w:hAnsi="Arial" w:cs="Arial"/>
          <w:sz w:val="20"/>
          <w:szCs w:val="20"/>
        </w:rPr>
        <w:t>rank them in descending order. We</w:t>
      </w:r>
      <w:r w:rsidRPr="00CE50A9">
        <w:rPr>
          <w:rFonts w:ascii="Arial" w:eastAsia="Times New Roman" w:hAnsi="Arial" w:cs="Arial"/>
          <w:sz w:val="20"/>
          <w:szCs w:val="20"/>
        </w:rPr>
        <w:t xml:space="preserve"> assign the top three ETFs (with the highest returns) to the ‘‘winner portfolio’’ and the bottom three ETFs (with the lowest returns) to the ‘‘loser portfolio.’’ These portfolios are </w:t>
      </w:r>
      <w:r>
        <w:rPr>
          <w:rFonts w:ascii="Arial" w:eastAsia="Times New Roman" w:hAnsi="Arial" w:cs="Arial"/>
          <w:sz w:val="20"/>
          <w:szCs w:val="20"/>
        </w:rPr>
        <w:t>equally weighted at formation. We</w:t>
      </w:r>
      <w:r w:rsidRPr="00CE50A9">
        <w:rPr>
          <w:rFonts w:ascii="Arial" w:eastAsia="Times New Roman" w:hAnsi="Arial" w:cs="Arial"/>
          <w:sz w:val="20"/>
          <w:szCs w:val="20"/>
        </w:rPr>
        <w:t xml:space="preserve"> then buy the winner portfolio, simultaneously sell short the loser portfolio, and hold the position for K months (K = 1, 3,</w:t>
      </w:r>
      <w:r>
        <w:rPr>
          <w:rFonts w:ascii="Arial" w:eastAsia="Times New Roman" w:hAnsi="Arial" w:cs="Arial"/>
          <w:sz w:val="20"/>
          <w:szCs w:val="20"/>
        </w:rPr>
        <w:t xml:space="preserve"> </w:t>
      </w:r>
      <w:r>
        <w:rPr>
          <w:rFonts w:ascii="Arial" w:eastAsia="Times New Roman" w:hAnsi="Arial" w:cs="Arial"/>
          <w:sz w:val="20"/>
          <w:szCs w:val="20"/>
        </w:rPr>
        <w:lastRenderedPageBreak/>
        <w:t>6, 9 or 12). The monthly</w:t>
      </w:r>
      <w:r w:rsidRPr="00CE50A9">
        <w:rPr>
          <w:rFonts w:ascii="Arial" w:eastAsia="Times New Roman" w:hAnsi="Arial" w:cs="Arial"/>
          <w:sz w:val="20"/>
          <w:szCs w:val="20"/>
        </w:rPr>
        <w:t xml:space="preserve"> return</w:t>
      </w:r>
      <w:r>
        <w:rPr>
          <w:rFonts w:ascii="Arial" w:eastAsia="Times New Roman" w:hAnsi="Arial" w:cs="Arial"/>
          <w:sz w:val="20"/>
          <w:szCs w:val="20"/>
        </w:rPr>
        <w:t>s</w:t>
      </w:r>
      <w:r w:rsidRPr="00CE50A9">
        <w:rPr>
          <w:rFonts w:ascii="Arial" w:eastAsia="Times New Roman" w:hAnsi="Arial" w:cs="Arial"/>
          <w:sz w:val="20"/>
          <w:szCs w:val="20"/>
        </w:rPr>
        <w:t xml:space="preserve"> </w:t>
      </w:r>
      <w:r>
        <w:rPr>
          <w:rFonts w:ascii="Arial" w:eastAsia="Times New Roman" w:hAnsi="Arial" w:cs="Arial"/>
          <w:sz w:val="20"/>
          <w:szCs w:val="20"/>
        </w:rPr>
        <w:t xml:space="preserve">(%) </w:t>
      </w:r>
      <w:r w:rsidRPr="00CE50A9">
        <w:rPr>
          <w:rFonts w:ascii="Arial" w:eastAsia="Times New Roman" w:hAnsi="Arial" w:cs="Arial"/>
          <w:sz w:val="20"/>
          <w:szCs w:val="20"/>
        </w:rPr>
        <w:t xml:space="preserve">for </w:t>
      </w:r>
      <w:r>
        <w:rPr>
          <w:rFonts w:ascii="Arial" w:eastAsia="Times New Roman" w:hAnsi="Arial" w:cs="Arial"/>
          <w:sz w:val="20"/>
          <w:szCs w:val="20"/>
        </w:rPr>
        <w:t xml:space="preserve">the </w:t>
      </w:r>
      <w:r w:rsidRPr="00CE50A9">
        <w:rPr>
          <w:rFonts w:ascii="Arial" w:eastAsia="Times New Roman" w:hAnsi="Arial" w:cs="Arial"/>
          <w:sz w:val="20"/>
          <w:szCs w:val="20"/>
        </w:rPr>
        <w:t>25 winner-loser portfolios are calculated with (standard deviation</w:t>
      </w:r>
      <w:r>
        <w:rPr>
          <w:rFonts w:ascii="Arial" w:eastAsia="Times New Roman" w:hAnsi="Arial" w:cs="Arial"/>
          <w:sz w:val="20"/>
          <w:szCs w:val="20"/>
        </w:rPr>
        <w:t xml:space="preserve"> (%)</w:t>
      </w:r>
      <w:r w:rsidRPr="00CE50A9">
        <w:rPr>
          <w:rFonts w:ascii="Arial" w:eastAsia="Times New Roman" w:hAnsi="Arial" w:cs="Arial"/>
          <w:sz w:val="20"/>
          <w:szCs w:val="20"/>
        </w:rPr>
        <w:t xml:space="preserve">) and t-values. </w:t>
      </w:r>
      <w:r w:rsidR="0083145D">
        <w:rPr>
          <w:b/>
          <w:sz w:val="32"/>
          <w:szCs w:val="32"/>
        </w:rPr>
        <w:t xml:space="preserve"> </w:t>
      </w:r>
    </w:p>
    <w:tbl>
      <w:tblPr>
        <w:tblW w:w="8680" w:type="dxa"/>
        <w:tblInd w:w="93" w:type="dxa"/>
        <w:tblLook w:val="0000" w:firstRow="0" w:lastRow="0" w:firstColumn="0" w:lastColumn="0" w:noHBand="0" w:noVBand="0"/>
      </w:tblPr>
      <w:tblGrid>
        <w:gridCol w:w="8680"/>
      </w:tblGrid>
      <w:tr w:rsidR="00920AD9" w:rsidRPr="0067028D" w:rsidTr="00920AD9">
        <w:trPr>
          <w:trHeight w:val="255"/>
        </w:trPr>
        <w:tc>
          <w:tcPr>
            <w:tcW w:w="8680" w:type="dxa"/>
            <w:tcBorders>
              <w:top w:val="nil"/>
              <w:left w:val="nil"/>
              <w:bottom w:val="nil"/>
              <w:right w:val="nil"/>
            </w:tcBorders>
            <w:shd w:val="clear" w:color="auto" w:fill="auto"/>
            <w:noWrap/>
          </w:tcPr>
          <w:p w:rsidR="00920AD9" w:rsidRDefault="00920AD9" w:rsidP="00E14292">
            <w:pPr>
              <w:rPr>
                <w:rFonts w:ascii="Arial" w:eastAsia="Times New Roman" w:hAnsi="Arial" w:cs="Arial"/>
                <w:sz w:val="16"/>
                <w:szCs w:val="16"/>
              </w:rPr>
            </w:pPr>
          </w:p>
          <w:p w:rsidR="00920AD9" w:rsidRPr="0067028D" w:rsidRDefault="00920AD9" w:rsidP="00E14292">
            <w:pPr>
              <w:rPr>
                <w:rFonts w:ascii="Arial" w:eastAsia="Times New Roman" w:hAnsi="Arial" w:cs="Arial"/>
                <w:sz w:val="16"/>
                <w:szCs w:val="16"/>
              </w:rPr>
            </w:pPr>
            <w:r w:rsidRPr="0067028D">
              <w:rPr>
                <w:rFonts w:ascii="Arial" w:eastAsia="Times New Roman" w:hAnsi="Arial" w:cs="Arial"/>
                <w:sz w:val="16"/>
                <w:szCs w:val="16"/>
              </w:rPr>
              <w:t>**  Statistical significance at 5% level</w:t>
            </w:r>
          </w:p>
        </w:tc>
      </w:tr>
      <w:tr w:rsidR="00920AD9" w:rsidRPr="0067028D" w:rsidTr="00920AD9">
        <w:trPr>
          <w:trHeight w:val="255"/>
        </w:trPr>
        <w:tc>
          <w:tcPr>
            <w:tcW w:w="8680" w:type="dxa"/>
            <w:tcBorders>
              <w:top w:val="nil"/>
              <w:left w:val="nil"/>
              <w:bottom w:val="nil"/>
              <w:right w:val="nil"/>
            </w:tcBorders>
            <w:shd w:val="clear" w:color="auto" w:fill="auto"/>
            <w:noWrap/>
          </w:tcPr>
          <w:p w:rsidR="00920AD9" w:rsidRPr="0067028D" w:rsidRDefault="00920AD9" w:rsidP="00E14292">
            <w:pPr>
              <w:rPr>
                <w:rFonts w:ascii="Arial" w:eastAsia="Times New Roman" w:hAnsi="Arial" w:cs="Arial"/>
                <w:sz w:val="16"/>
                <w:szCs w:val="16"/>
              </w:rPr>
            </w:pPr>
            <w:r>
              <w:rPr>
                <w:rFonts w:ascii="Arial" w:eastAsia="Times New Roman" w:hAnsi="Arial" w:cs="Arial"/>
                <w:sz w:val="16"/>
                <w:szCs w:val="16"/>
              </w:rPr>
              <w:t>*</w:t>
            </w:r>
            <w:r w:rsidRPr="0067028D">
              <w:rPr>
                <w:rFonts w:ascii="Arial" w:eastAsia="Times New Roman" w:hAnsi="Arial" w:cs="Arial"/>
                <w:sz w:val="16"/>
                <w:szCs w:val="16"/>
              </w:rPr>
              <w:t xml:space="preserve"> Statistical significance at 10% level</w:t>
            </w:r>
          </w:p>
        </w:tc>
      </w:tr>
    </w:tbl>
    <w:p w:rsidR="00920AD9" w:rsidRPr="00920AD9" w:rsidRDefault="00920AD9" w:rsidP="00920AD9">
      <w:pPr>
        <w:adjustRightInd w:val="0"/>
        <w:ind w:left="360"/>
        <w:jc w:val="both"/>
        <w:rPr>
          <w:sz w:val="32"/>
          <w:szCs w:val="32"/>
        </w:rPr>
      </w:pPr>
    </w:p>
    <w:p w:rsidR="00AE3744" w:rsidRDefault="00AE3744" w:rsidP="00FE48F4">
      <w:pPr>
        <w:adjustRightInd w:val="0"/>
        <w:spacing w:line="480" w:lineRule="auto"/>
        <w:jc w:val="both"/>
        <w:rPr>
          <w:b/>
        </w:rPr>
      </w:pPr>
    </w:p>
    <w:p w:rsidR="00581D87" w:rsidRPr="00AE3744" w:rsidRDefault="00AE3744" w:rsidP="00FE48F4">
      <w:pPr>
        <w:adjustRightInd w:val="0"/>
        <w:spacing w:line="480" w:lineRule="auto"/>
        <w:jc w:val="both"/>
      </w:pPr>
      <w:r w:rsidRPr="00AE3744">
        <w:rPr>
          <w:b/>
        </w:rPr>
        <w:t xml:space="preserve">III. </w:t>
      </w:r>
      <w:r w:rsidR="00451C7B" w:rsidRPr="00AE3744">
        <w:rPr>
          <w:b/>
        </w:rPr>
        <w:t>R</w:t>
      </w:r>
      <w:r w:rsidR="008154D9" w:rsidRPr="00AE3744">
        <w:rPr>
          <w:b/>
        </w:rPr>
        <w:t xml:space="preserve">obustness </w:t>
      </w:r>
      <w:r w:rsidR="00C117FE" w:rsidRPr="00AE3744">
        <w:rPr>
          <w:b/>
        </w:rPr>
        <w:t>Checks</w:t>
      </w:r>
    </w:p>
    <w:p w:rsidR="00B95FAA" w:rsidRPr="00581D87" w:rsidRDefault="008154D9" w:rsidP="00AE3744">
      <w:pPr>
        <w:adjustRightInd w:val="0"/>
        <w:snapToGrid w:val="0"/>
        <w:spacing w:line="480" w:lineRule="auto"/>
        <w:ind w:firstLineChars="300" w:firstLine="720"/>
        <w:jc w:val="both"/>
        <w:rPr>
          <w:sz w:val="32"/>
          <w:szCs w:val="32"/>
        </w:rPr>
      </w:pPr>
      <w:r w:rsidRPr="00FA5714">
        <w:t xml:space="preserve">While </w:t>
      </w:r>
      <w:r w:rsidR="00C117FE">
        <w:t>the profits on each momentum strategy</w:t>
      </w:r>
      <w:r w:rsidRPr="00FA5714">
        <w:t xml:space="preserve"> shown above are quite strong, they should be interpreted with caution</w:t>
      </w:r>
      <w:r w:rsidR="00C117FE">
        <w:t xml:space="preserve"> </w:t>
      </w:r>
      <w:r w:rsidRPr="00FA5714">
        <w:t xml:space="preserve">because they could be driven by potential biases associated with </w:t>
      </w:r>
      <w:r w:rsidR="001E0083">
        <w:t xml:space="preserve">market risks, </w:t>
      </w:r>
      <w:r w:rsidR="008D0723">
        <w:t>size and value fa</w:t>
      </w:r>
      <w:r w:rsidR="00907754">
        <w:t>c</w:t>
      </w:r>
      <w:r w:rsidR="008D0723">
        <w:t>tors</w:t>
      </w:r>
      <w:r w:rsidRPr="00FA5714">
        <w:t>,</w:t>
      </w:r>
      <w:r w:rsidR="00C117FE">
        <w:t xml:space="preserve"> </w:t>
      </w:r>
      <w:r w:rsidR="00B72376">
        <w:t>and</w:t>
      </w:r>
      <w:r w:rsidRPr="00FA5714">
        <w:t xml:space="preserve"> transactions costs. </w:t>
      </w:r>
      <w:r w:rsidR="00997E7C">
        <w:t xml:space="preserve">In this subsection, </w:t>
      </w:r>
      <w:r w:rsidR="00492B38">
        <w:t>some</w:t>
      </w:r>
      <w:r w:rsidR="00D3501C">
        <w:t xml:space="preserve"> robustness checks </w:t>
      </w:r>
      <w:r w:rsidR="00492B38">
        <w:t>are conducted</w:t>
      </w:r>
      <w:r w:rsidRPr="00FA5714">
        <w:t>.</w:t>
      </w:r>
    </w:p>
    <w:p w:rsidR="00B95FAA" w:rsidRPr="0083145D" w:rsidRDefault="00AE3744" w:rsidP="0083145D">
      <w:pPr>
        <w:adjustRightInd w:val="0"/>
        <w:snapToGrid w:val="0"/>
        <w:spacing w:line="480" w:lineRule="auto"/>
        <w:jc w:val="both"/>
        <w:rPr>
          <w:b/>
        </w:rPr>
      </w:pPr>
      <w:r>
        <w:rPr>
          <w:b/>
          <w:lang w:eastAsia="zh-CN"/>
        </w:rPr>
        <w:t xml:space="preserve">1. </w:t>
      </w:r>
      <w:r w:rsidR="00B95FAA" w:rsidRPr="0083145D">
        <w:rPr>
          <w:b/>
          <w:lang w:eastAsia="zh-CN"/>
        </w:rPr>
        <w:t xml:space="preserve">Robustness to </w:t>
      </w:r>
      <w:r w:rsidR="008D0723" w:rsidRPr="0083145D">
        <w:rPr>
          <w:b/>
          <w:lang w:eastAsia="zh-CN"/>
        </w:rPr>
        <w:t>Market R</w:t>
      </w:r>
      <w:r w:rsidR="00B95FAA" w:rsidRPr="0083145D">
        <w:rPr>
          <w:b/>
          <w:lang w:eastAsia="zh-CN"/>
        </w:rPr>
        <w:t xml:space="preserve">isk and </w:t>
      </w:r>
      <w:r w:rsidR="008D0723" w:rsidRPr="0083145D">
        <w:rPr>
          <w:b/>
          <w:lang w:eastAsia="zh-CN"/>
        </w:rPr>
        <w:t>Other F</w:t>
      </w:r>
      <w:r w:rsidR="00B95FAA" w:rsidRPr="0083145D">
        <w:rPr>
          <w:b/>
          <w:lang w:eastAsia="zh-CN"/>
        </w:rPr>
        <w:t>actors</w:t>
      </w:r>
    </w:p>
    <w:p w:rsidR="0083145D" w:rsidRDefault="004A0BCD" w:rsidP="00AE3744">
      <w:pPr>
        <w:adjustRightInd w:val="0"/>
        <w:snapToGrid w:val="0"/>
        <w:spacing w:line="480" w:lineRule="auto"/>
        <w:ind w:firstLineChars="300" w:firstLine="720"/>
        <w:jc w:val="both"/>
      </w:pPr>
      <w:r>
        <w:t>Since all of the 15 iShares International Index ETFs</w:t>
      </w:r>
      <w:r w:rsidRPr="00FA5714">
        <w:t xml:space="preserve"> </w:t>
      </w:r>
      <w:r>
        <w:t>in this paper are selected from the developed market</w:t>
      </w:r>
      <w:r w:rsidR="000E5A16">
        <w:t>s</w:t>
      </w:r>
      <w:r w:rsidR="00A302D5">
        <w:t xml:space="preserve">, </w:t>
      </w:r>
      <w:r>
        <w:t xml:space="preserve">have </w:t>
      </w:r>
      <w:r w:rsidR="00B72376">
        <w:t>wide market coverage</w:t>
      </w:r>
      <w:r w:rsidR="00A302D5">
        <w:t>,</w:t>
      </w:r>
      <w:r w:rsidR="00B72376">
        <w:t xml:space="preserve"> and are </w:t>
      </w:r>
      <w:r w:rsidR="00084979">
        <w:t xml:space="preserve">well </w:t>
      </w:r>
      <w:r w:rsidRPr="00FA5714">
        <w:t>diversified</w:t>
      </w:r>
      <w:r>
        <w:t>, a simple risk</w:t>
      </w:r>
      <w:r w:rsidR="00187050">
        <w:t xml:space="preserve"> </w:t>
      </w:r>
      <w:r>
        <w:t>measure would be the stan</w:t>
      </w:r>
      <w:r w:rsidR="00C2118A">
        <w:t>dard deviation of returns. Exhibit 2</w:t>
      </w:r>
      <w:r w:rsidR="00E6352E">
        <w:t xml:space="preserve"> shows that the winner </w:t>
      </w:r>
      <w:r w:rsidR="00AA74FA">
        <w:t>portfolios have a lower standard deviation than the loser portfolios at all the significantly</w:t>
      </w:r>
      <w:r w:rsidR="00FF31A4">
        <w:t xml:space="preserve"> </w:t>
      </w:r>
      <w:r w:rsidR="00AA74FA">
        <w:t>profitable trading strategies. There is, therefore, no evidence that winner countries are</w:t>
      </w:r>
      <w:r w:rsidR="00AA74FA">
        <w:rPr>
          <w:sz w:val="18"/>
          <w:szCs w:val="18"/>
        </w:rPr>
        <w:t xml:space="preserve"> </w:t>
      </w:r>
      <w:r w:rsidR="00E6352E">
        <w:t xml:space="preserve">riskier than loser countries. </w:t>
      </w:r>
    </w:p>
    <w:p w:rsidR="00465D16" w:rsidRDefault="00E67305" w:rsidP="00AE3744">
      <w:pPr>
        <w:adjustRightInd w:val="0"/>
        <w:snapToGrid w:val="0"/>
        <w:spacing w:line="480" w:lineRule="auto"/>
        <w:ind w:firstLineChars="300" w:firstLine="720"/>
        <w:jc w:val="both"/>
      </w:pPr>
      <w:proofErr w:type="spellStart"/>
      <w:r w:rsidRPr="00A145EF">
        <w:t>Fama</w:t>
      </w:r>
      <w:proofErr w:type="spellEnd"/>
      <w:r w:rsidRPr="00A145EF">
        <w:t xml:space="preserve"> and French (1996)</w:t>
      </w:r>
      <w:r w:rsidRPr="00FA5714">
        <w:rPr>
          <w:color w:val="0000FF"/>
        </w:rPr>
        <w:t xml:space="preserve"> </w:t>
      </w:r>
      <w:r w:rsidRPr="00FA5714">
        <w:t>argue that the differences in returns between small and big firms</w:t>
      </w:r>
      <w:r w:rsidR="0083145D">
        <w:t xml:space="preserve"> </w:t>
      </w:r>
      <w:r w:rsidRPr="00FA5714">
        <w:t>(SMB) and between high and low book-to-market value ratios can be additional risk factors</w:t>
      </w:r>
      <w:r>
        <w:t xml:space="preserve"> </w:t>
      </w:r>
      <w:r w:rsidRPr="00FA5714">
        <w:t>in</w:t>
      </w:r>
      <w:r w:rsidR="00FF31A4">
        <w:t xml:space="preserve"> explaining cross-sectional U.S</w:t>
      </w:r>
      <w:r w:rsidRPr="00FA5714">
        <w:t xml:space="preserve"> stock returns. To further examine whether the excess</w:t>
      </w:r>
      <w:r>
        <w:t xml:space="preserve"> </w:t>
      </w:r>
      <w:r w:rsidRPr="00FA5714">
        <w:t>returns from mo</w:t>
      </w:r>
      <w:r w:rsidR="00964425">
        <w:t>mentum strategies are</w:t>
      </w:r>
      <w:r w:rsidRPr="00FA5714">
        <w:t xml:space="preserve"> compensation for systematic risks, </w:t>
      </w:r>
      <w:r w:rsidR="000E5A16">
        <w:t xml:space="preserve">we </w:t>
      </w:r>
      <w:r w:rsidRPr="00FA5714">
        <w:t>estimate a</w:t>
      </w:r>
      <w:r>
        <w:t xml:space="preserve"> three</w:t>
      </w:r>
      <w:r w:rsidRPr="00FA5714">
        <w:t xml:space="preserve">-factor </w:t>
      </w:r>
      <w:proofErr w:type="spellStart"/>
      <w:r>
        <w:t>Fama</w:t>
      </w:r>
      <w:proofErr w:type="spellEnd"/>
      <w:r>
        <w:t xml:space="preserve">-French </w:t>
      </w:r>
      <w:r w:rsidR="00B21E06">
        <w:t>model with the SMB</w:t>
      </w:r>
      <w:r w:rsidRPr="00FA5714">
        <w:t xml:space="preserve"> </w:t>
      </w:r>
      <w:r w:rsidR="00B21E06">
        <w:t xml:space="preserve">and HML factor as </w:t>
      </w:r>
      <w:r w:rsidRPr="00FA5714">
        <w:t>additional source</w:t>
      </w:r>
      <w:r w:rsidR="00B21E06">
        <w:t>s</w:t>
      </w:r>
      <w:r w:rsidRPr="00FA5714">
        <w:t xml:space="preserve"> of risk.</w:t>
      </w:r>
      <w:r w:rsidR="00964425">
        <w:t xml:space="preserve"> </w:t>
      </w:r>
      <w:r w:rsidRPr="00FA5714">
        <w:t xml:space="preserve">SMB </w:t>
      </w:r>
      <w:r>
        <w:t xml:space="preserve">and HML </w:t>
      </w:r>
      <w:r w:rsidRPr="00FA5714">
        <w:t xml:space="preserve">factor </w:t>
      </w:r>
      <w:r w:rsidR="00964425">
        <w:t xml:space="preserve">are </w:t>
      </w:r>
      <w:r w:rsidR="008059AD">
        <w:t>obtained</w:t>
      </w:r>
      <w:r w:rsidR="00D866D3">
        <w:t xml:space="preserve"> from Kenneth French’s web site</w:t>
      </w:r>
      <w:r w:rsidRPr="00FA5714">
        <w:t xml:space="preserve">. </w:t>
      </w:r>
    </w:p>
    <w:p w:rsidR="00465D16" w:rsidRPr="00465D16" w:rsidRDefault="00465D16" w:rsidP="00FE48F4">
      <w:pPr>
        <w:widowControl w:val="0"/>
        <w:spacing w:line="480" w:lineRule="auto"/>
        <w:jc w:val="center"/>
        <w:rPr>
          <w:kern w:val="2"/>
          <w:lang w:eastAsia="zh-CN"/>
        </w:rPr>
      </w:pPr>
      <w:proofErr w:type="spellStart"/>
      <w:r w:rsidRPr="00465D16">
        <w:rPr>
          <w:kern w:val="2"/>
          <w:lang w:eastAsia="zh-CN"/>
        </w:rPr>
        <w:t>R</w:t>
      </w:r>
      <w:r w:rsidRPr="00465D16">
        <w:rPr>
          <w:kern w:val="2"/>
          <w:vertAlign w:val="subscript"/>
          <w:lang w:eastAsia="zh-CN"/>
        </w:rPr>
        <w:t>t</w:t>
      </w:r>
      <w:proofErr w:type="spellEnd"/>
      <w:r w:rsidRPr="00465D16">
        <w:rPr>
          <w:kern w:val="2"/>
          <w:lang w:eastAsia="zh-CN"/>
        </w:rPr>
        <w:t xml:space="preserve"> = α</w:t>
      </w:r>
      <w:r w:rsidRPr="00465D16">
        <w:rPr>
          <w:kern w:val="2"/>
          <w:vertAlign w:val="subscript"/>
          <w:lang w:eastAsia="zh-CN"/>
        </w:rPr>
        <w:t>t</w:t>
      </w:r>
      <w:r w:rsidRPr="00465D16">
        <w:rPr>
          <w:kern w:val="2"/>
          <w:lang w:eastAsia="zh-CN"/>
        </w:rPr>
        <w:t xml:space="preserve"> + </w:t>
      </w:r>
      <w:r w:rsidRPr="00465D16">
        <w:rPr>
          <w:i/>
          <w:kern w:val="2"/>
          <w:lang w:eastAsia="zh-CN"/>
        </w:rPr>
        <w:t>b</w:t>
      </w:r>
      <w:r w:rsidRPr="00465D16">
        <w:rPr>
          <w:i/>
          <w:kern w:val="2"/>
          <w:vertAlign w:val="subscript"/>
          <w:lang w:eastAsia="zh-CN"/>
        </w:rPr>
        <w:t>1</w:t>
      </w:r>
      <w:r>
        <w:rPr>
          <w:kern w:val="2"/>
          <w:lang w:eastAsia="zh-CN"/>
        </w:rPr>
        <w:t>(World</w:t>
      </w:r>
      <w:r w:rsidRPr="00465D16">
        <w:rPr>
          <w:kern w:val="2"/>
          <w:lang w:eastAsia="zh-CN"/>
        </w:rPr>
        <w:t xml:space="preserve"> - </w:t>
      </w:r>
      <w:proofErr w:type="spellStart"/>
      <w:r w:rsidRPr="00465D16">
        <w:rPr>
          <w:kern w:val="2"/>
          <w:lang w:eastAsia="zh-CN"/>
        </w:rPr>
        <w:t>R</w:t>
      </w:r>
      <w:r w:rsidRPr="00465D16">
        <w:rPr>
          <w:kern w:val="2"/>
          <w:vertAlign w:val="subscript"/>
          <w:lang w:eastAsia="zh-CN"/>
        </w:rPr>
        <w:t>f</w:t>
      </w:r>
      <w:proofErr w:type="spellEnd"/>
      <w:r w:rsidRPr="00465D16">
        <w:rPr>
          <w:kern w:val="2"/>
          <w:lang w:eastAsia="zh-CN"/>
        </w:rPr>
        <w:t>)</w:t>
      </w:r>
      <w:r w:rsidRPr="00465D16">
        <w:rPr>
          <w:kern w:val="2"/>
          <w:vertAlign w:val="subscript"/>
          <w:lang w:eastAsia="zh-CN"/>
        </w:rPr>
        <w:t>t</w:t>
      </w:r>
      <w:r w:rsidRPr="00465D16">
        <w:rPr>
          <w:kern w:val="2"/>
          <w:lang w:eastAsia="zh-CN"/>
        </w:rPr>
        <w:t xml:space="preserve"> +</w:t>
      </w:r>
      <w:r w:rsidRPr="00465D16">
        <w:rPr>
          <w:i/>
          <w:kern w:val="2"/>
          <w:lang w:eastAsia="zh-CN"/>
        </w:rPr>
        <w:t xml:space="preserve"> b</w:t>
      </w:r>
      <w:r w:rsidRPr="00465D16">
        <w:rPr>
          <w:i/>
          <w:kern w:val="2"/>
          <w:vertAlign w:val="subscript"/>
          <w:lang w:eastAsia="zh-CN"/>
        </w:rPr>
        <w:t>2</w:t>
      </w:r>
      <w:r w:rsidRPr="00465D16">
        <w:rPr>
          <w:kern w:val="2"/>
          <w:lang w:eastAsia="zh-CN"/>
        </w:rPr>
        <w:t>SMB</w:t>
      </w:r>
      <w:r w:rsidRPr="00465D16">
        <w:rPr>
          <w:kern w:val="2"/>
          <w:vertAlign w:val="subscript"/>
          <w:lang w:eastAsia="zh-CN"/>
        </w:rPr>
        <w:t>t</w:t>
      </w:r>
      <w:r w:rsidRPr="00465D16">
        <w:rPr>
          <w:kern w:val="2"/>
          <w:lang w:eastAsia="zh-CN"/>
        </w:rPr>
        <w:t xml:space="preserve"> + </w:t>
      </w:r>
      <w:r w:rsidRPr="00465D16">
        <w:rPr>
          <w:i/>
          <w:kern w:val="2"/>
          <w:lang w:eastAsia="zh-CN"/>
        </w:rPr>
        <w:t>b</w:t>
      </w:r>
      <w:r w:rsidRPr="00465D16">
        <w:rPr>
          <w:i/>
          <w:kern w:val="2"/>
          <w:vertAlign w:val="subscript"/>
          <w:lang w:eastAsia="zh-CN"/>
        </w:rPr>
        <w:t>3</w:t>
      </w:r>
      <w:r w:rsidRPr="00465D16">
        <w:rPr>
          <w:kern w:val="2"/>
          <w:lang w:eastAsia="zh-CN"/>
        </w:rPr>
        <w:t>HML</w:t>
      </w:r>
      <w:r w:rsidRPr="00465D16">
        <w:rPr>
          <w:kern w:val="2"/>
          <w:vertAlign w:val="subscript"/>
          <w:lang w:eastAsia="zh-CN"/>
        </w:rPr>
        <w:t>t</w:t>
      </w:r>
      <w:r w:rsidRPr="00465D16">
        <w:rPr>
          <w:kern w:val="2"/>
          <w:lang w:eastAsia="zh-CN"/>
        </w:rPr>
        <w:t xml:space="preserve"> + </w:t>
      </w:r>
      <w:proofErr w:type="spellStart"/>
      <w:r w:rsidRPr="00465D16">
        <w:rPr>
          <w:kern w:val="2"/>
          <w:lang w:eastAsia="zh-CN"/>
        </w:rPr>
        <w:t>ε</w:t>
      </w:r>
      <w:r w:rsidRPr="00465D16">
        <w:rPr>
          <w:kern w:val="2"/>
          <w:vertAlign w:val="subscript"/>
          <w:lang w:eastAsia="zh-CN"/>
        </w:rPr>
        <w:t>t</w:t>
      </w:r>
      <w:proofErr w:type="spellEnd"/>
      <w:r w:rsidRPr="00465D16">
        <w:rPr>
          <w:kern w:val="2"/>
          <w:lang w:eastAsia="zh-CN"/>
        </w:rPr>
        <w:t>.</w:t>
      </w:r>
    </w:p>
    <w:p w:rsidR="006D453D" w:rsidRDefault="00E67305" w:rsidP="00FE48F4">
      <w:pPr>
        <w:adjustRightInd w:val="0"/>
        <w:snapToGrid w:val="0"/>
        <w:spacing w:line="480" w:lineRule="auto"/>
        <w:jc w:val="both"/>
      </w:pPr>
      <w:r>
        <w:lastRenderedPageBreak/>
        <w:t>For the market return, the MSCI world index monthly data</w:t>
      </w:r>
      <w:r w:rsidR="00492B38">
        <w:t xml:space="preserve"> is used</w:t>
      </w:r>
      <w:r>
        <w:t xml:space="preserve">. </w:t>
      </w:r>
      <w:r w:rsidRPr="00FA5714">
        <w:t xml:space="preserve">The results </w:t>
      </w:r>
      <w:r w:rsidR="00AC7D5F">
        <w:t xml:space="preserve">are </w:t>
      </w:r>
      <w:r w:rsidRPr="00FA5714">
        <w:t xml:space="preserve">reported in </w:t>
      </w:r>
      <w:r w:rsidR="00920AD9">
        <w:t>Exhibit 3</w:t>
      </w:r>
      <w:r w:rsidRPr="00FA5714">
        <w:rPr>
          <w:color w:val="0000FF"/>
        </w:rPr>
        <w:t xml:space="preserve"> </w:t>
      </w:r>
      <w:r w:rsidRPr="00FA5714">
        <w:t xml:space="preserve">for </w:t>
      </w:r>
      <w:r w:rsidR="00FF68C9">
        <w:t>the 6-6 momentum strategy</w:t>
      </w:r>
      <w:r>
        <w:t xml:space="preserve">. </w:t>
      </w:r>
      <w:r w:rsidR="00C2118A">
        <w:t xml:space="preserve">It </w:t>
      </w:r>
      <w:r w:rsidR="00492B38">
        <w:t>shows</w:t>
      </w:r>
      <w:r w:rsidRPr="00FA5714">
        <w:t xml:space="preserve"> that </w:t>
      </w:r>
      <w:r w:rsidR="00795E6B">
        <w:t>SMB</w:t>
      </w:r>
      <w:r>
        <w:t xml:space="preserve"> </w:t>
      </w:r>
      <w:r w:rsidR="009B0A03">
        <w:t>factor has insignificantly</w:t>
      </w:r>
      <w:r>
        <w:t xml:space="preserve"> positive </w:t>
      </w:r>
      <w:r w:rsidR="009B0A03">
        <w:t>loading</w:t>
      </w:r>
      <w:r>
        <w:t xml:space="preserve"> on winner and loser portfolios while </w:t>
      </w:r>
      <w:r w:rsidR="009B0A03">
        <w:t>HML factor and the market return have</w:t>
      </w:r>
      <w:r>
        <w:t xml:space="preserve"> significantly positive loading</w:t>
      </w:r>
      <w:r w:rsidR="009B0A03">
        <w:t>s</w:t>
      </w:r>
      <w:r>
        <w:t xml:space="preserve"> on both portfolios. For the winner-loser momentum portfolio, none of the three factors has positive loading. </w:t>
      </w:r>
      <w:r w:rsidRPr="00FA5714">
        <w:t>The above results demonstrate that ex</w:t>
      </w:r>
      <w:r w:rsidR="001B0C3A">
        <w:t xml:space="preserve">posure to the market risk, </w:t>
      </w:r>
      <w:r w:rsidR="00795E6B">
        <w:t>SMB</w:t>
      </w:r>
      <w:r w:rsidRPr="00FA5714">
        <w:t xml:space="preserve"> or </w:t>
      </w:r>
      <w:r w:rsidR="00AA2612">
        <w:t xml:space="preserve">HML </w:t>
      </w:r>
      <w:r w:rsidRPr="00FA5714">
        <w:t>factor does not provide a simple explanation for the excess returns on momentum</w:t>
      </w:r>
      <w:r w:rsidR="00AA2612">
        <w:t xml:space="preserve"> strategies</w:t>
      </w:r>
      <w:r w:rsidR="006D453D">
        <w:t>.</w:t>
      </w:r>
    </w:p>
    <w:tbl>
      <w:tblPr>
        <w:tblW w:w="8550" w:type="dxa"/>
        <w:tblInd w:w="180" w:type="dxa"/>
        <w:tblLayout w:type="fixed"/>
        <w:tblLook w:val="0000" w:firstRow="0" w:lastRow="0" w:firstColumn="0" w:lastColumn="0" w:noHBand="0" w:noVBand="0"/>
      </w:tblPr>
      <w:tblGrid>
        <w:gridCol w:w="1620"/>
        <w:gridCol w:w="630"/>
        <w:gridCol w:w="720"/>
        <w:gridCol w:w="1080"/>
        <w:gridCol w:w="810"/>
        <w:gridCol w:w="990"/>
        <w:gridCol w:w="810"/>
        <w:gridCol w:w="990"/>
        <w:gridCol w:w="900"/>
      </w:tblGrid>
      <w:tr w:rsidR="00C2118A" w:rsidRPr="00C2118A" w:rsidTr="00C2118A">
        <w:trPr>
          <w:trHeight w:val="255"/>
        </w:trPr>
        <w:tc>
          <w:tcPr>
            <w:tcW w:w="8550" w:type="dxa"/>
            <w:gridSpan w:val="9"/>
            <w:tcBorders>
              <w:top w:val="nil"/>
              <w:left w:val="nil"/>
              <w:bottom w:val="nil"/>
              <w:right w:val="nil"/>
            </w:tcBorders>
            <w:shd w:val="clear" w:color="auto" w:fill="auto"/>
            <w:noWrap/>
            <w:vAlign w:val="bottom"/>
          </w:tcPr>
          <w:p w:rsidR="00C2118A" w:rsidRPr="00C2118A" w:rsidRDefault="00C2118A" w:rsidP="00E14292">
            <w:pPr>
              <w:rPr>
                <w:rFonts w:eastAsia="Times New Roman"/>
                <w:sz w:val="20"/>
                <w:szCs w:val="20"/>
              </w:rPr>
            </w:pPr>
            <w:r w:rsidRPr="00C2118A">
              <w:rPr>
                <w:rFonts w:eastAsia="Times New Roman"/>
                <w:b/>
                <w:bCs/>
                <w:sz w:val="20"/>
                <w:szCs w:val="20"/>
              </w:rPr>
              <w:t>Exhibit 3: Risk-adjusted Excess Returns for the 6-6 Momentum Strategy</w:t>
            </w:r>
          </w:p>
        </w:tc>
      </w:tr>
      <w:tr w:rsidR="00C2118A" w:rsidRPr="0081461A" w:rsidTr="00C2118A">
        <w:trPr>
          <w:trHeight w:val="270"/>
        </w:trPr>
        <w:tc>
          <w:tcPr>
            <w:tcW w:w="1620" w:type="dxa"/>
            <w:tcBorders>
              <w:top w:val="nil"/>
              <w:left w:val="nil"/>
              <w:bottom w:val="double" w:sz="6" w:space="0" w:color="auto"/>
              <w:right w:val="nil"/>
            </w:tcBorders>
            <w:shd w:val="clear" w:color="auto" w:fill="auto"/>
            <w:noWrap/>
            <w:vAlign w:val="bottom"/>
          </w:tcPr>
          <w:p w:rsidR="00C2118A" w:rsidRPr="00C2118A" w:rsidRDefault="00C2118A" w:rsidP="00E14292">
            <w:pPr>
              <w:rPr>
                <w:rFonts w:eastAsia="Times New Roman"/>
                <w:sz w:val="20"/>
                <w:szCs w:val="20"/>
              </w:rPr>
            </w:pPr>
            <w:r w:rsidRPr="00C2118A">
              <w:rPr>
                <w:rFonts w:eastAsia="Times New Roman"/>
                <w:sz w:val="20"/>
                <w:szCs w:val="20"/>
              </w:rPr>
              <w:t> </w:t>
            </w:r>
          </w:p>
        </w:tc>
        <w:tc>
          <w:tcPr>
            <w:tcW w:w="630" w:type="dxa"/>
            <w:tcBorders>
              <w:top w:val="nil"/>
              <w:left w:val="nil"/>
              <w:bottom w:val="double" w:sz="6" w:space="0" w:color="auto"/>
              <w:right w:val="nil"/>
            </w:tcBorders>
            <w:shd w:val="clear" w:color="auto" w:fill="auto"/>
            <w:noWrap/>
            <w:vAlign w:val="bottom"/>
          </w:tcPr>
          <w:p w:rsidR="00C2118A" w:rsidRPr="00C2118A" w:rsidRDefault="00C2118A" w:rsidP="00E14292">
            <w:pPr>
              <w:rPr>
                <w:rFonts w:eastAsia="Times New Roman"/>
                <w:sz w:val="20"/>
                <w:szCs w:val="20"/>
              </w:rPr>
            </w:pPr>
            <w:r w:rsidRPr="00C2118A">
              <w:rPr>
                <w:rFonts w:eastAsia="Times New Roman"/>
                <w:sz w:val="20"/>
                <w:szCs w:val="20"/>
              </w:rPr>
              <w:t> </w:t>
            </w:r>
          </w:p>
        </w:tc>
        <w:tc>
          <w:tcPr>
            <w:tcW w:w="720" w:type="dxa"/>
            <w:tcBorders>
              <w:top w:val="nil"/>
              <w:left w:val="nil"/>
              <w:bottom w:val="double" w:sz="6" w:space="0" w:color="auto"/>
              <w:right w:val="nil"/>
            </w:tcBorders>
            <w:shd w:val="clear" w:color="auto" w:fill="auto"/>
            <w:noWrap/>
            <w:vAlign w:val="bottom"/>
          </w:tcPr>
          <w:p w:rsidR="00C2118A" w:rsidRPr="0081461A" w:rsidRDefault="00C2118A" w:rsidP="00E14292">
            <w:pPr>
              <w:rPr>
                <w:rFonts w:ascii="Arial" w:eastAsia="Times New Roman" w:hAnsi="Arial" w:cs="Arial"/>
                <w:sz w:val="20"/>
                <w:szCs w:val="20"/>
              </w:rPr>
            </w:pPr>
            <w:r w:rsidRPr="0081461A">
              <w:rPr>
                <w:rFonts w:ascii="Arial" w:eastAsia="Times New Roman" w:hAnsi="Arial" w:cs="Arial"/>
                <w:sz w:val="20"/>
                <w:szCs w:val="20"/>
              </w:rPr>
              <w:t> </w:t>
            </w:r>
          </w:p>
        </w:tc>
        <w:tc>
          <w:tcPr>
            <w:tcW w:w="1080" w:type="dxa"/>
            <w:tcBorders>
              <w:top w:val="nil"/>
              <w:left w:val="nil"/>
              <w:bottom w:val="double" w:sz="6" w:space="0" w:color="auto"/>
              <w:right w:val="nil"/>
            </w:tcBorders>
            <w:shd w:val="clear" w:color="auto" w:fill="auto"/>
            <w:noWrap/>
            <w:vAlign w:val="bottom"/>
          </w:tcPr>
          <w:p w:rsidR="00C2118A" w:rsidRPr="0081461A" w:rsidRDefault="00C2118A" w:rsidP="00E14292">
            <w:pPr>
              <w:rPr>
                <w:rFonts w:ascii="Arial" w:eastAsia="Times New Roman" w:hAnsi="Arial" w:cs="Arial"/>
                <w:sz w:val="20"/>
                <w:szCs w:val="20"/>
              </w:rPr>
            </w:pPr>
            <w:r w:rsidRPr="0081461A">
              <w:rPr>
                <w:rFonts w:ascii="Arial" w:eastAsia="Times New Roman" w:hAnsi="Arial" w:cs="Arial"/>
                <w:sz w:val="20"/>
                <w:szCs w:val="20"/>
              </w:rPr>
              <w:t> </w:t>
            </w:r>
          </w:p>
        </w:tc>
        <w:tc>
          <w:tcPr>
            <w:tcW w:w="810" w:type="dxa"/>
            <w:tcBorders>
              <w:top w:val="nil"/>
              <w:left w:val="nil"/>
              <w:bottom w:val="double" w:sz="6" w:space="0" w:color="auto"/>
              <w:right w:val="nil"/>
            </w:tcBorders>
            <w:shd w:val="clear" w:color="auto" w:fill="auto"/>
            <w:noWrap/>
            <w:vAlign w:val="bottom"/>
          </w:tcPr>
          <w:p w:rsidR="00C2118A" w:rsidRPr="0081461A" w:rsidRDefault="00C2118A" w:rsidP="00E14292">
            <w:pPr>
              <w:rPr>
                <w:rFonts w:ascii="Arial" w:eastAsia="Times New Roman" w:hAnsi="Arial" w:cs="Arial"/>
                <w:sz w:val="20"/>
                <w:szCs w:val="20"/>
              </w:rPr>
            </w:pPr>
            <w:r w:rsidRPr="0081461A">
              <w:rPr>
                <w:rFonts w:ascii="Arial" w:eastAsia="Times New Roman" w:hAnsi="Arial" w:cs="Arial"/>
                <w:sz w:val="20"/>
                <w:szCs w:val="20"/>
              </w:rPr>
              <w:t> </w:t>
            </w:r>
          </w:p>
        </w:tc>
        <w:tc>
          <w:tcPr>
            <w:tcW w:w="990" w:type="dxa"/>
            <w:tcBorders>
              <w:top w:val="nil"/>
              <w:left w:val="nil"/>
              <w:bottom w:val="double" w:sz="6" w:space="0" w:color="auto"/>
              <w:right w:val="nil"/>
            </w:tcBorders>
            <w:shd w:val="clear" w:color="auto" w:fill="auto"/>
            <w:noWrap/>
            <w:vAlign w:val="bottom"/>
          </w:tcPr>
          <w:p w:rsidR="00C2118A" w:rsidRPr="0081461A" w:rsidRDefault="00C2118A" w:rsidP="00E14292">
            <w:pPr>
              <w:rPr>
                <w:rFonts w:ascii="Arial" w:eastAsia="Times New Roman" w:hAnsi="Arial" w:cs="Arial"/>
                <w:sz w:val="20"/>
                <w:szCs w:val="20"/>
              </w:rPr>
            </w:pPr>
            <w:r w:rsidRPr="0081461A">
              <w:rPr>
                <w:rFonts w:ascii="Arial" w:eastAsia="Times New Roman" w:hAnsi="Arial" w:cs="Arial"/>
                <w:sz w:val="20"/>
                <w:szCs w:val="20"/>
              </w:rPr>
              <w:t> </w:t>
            </w:r>
          </w:p>
        </w:tc>
        <w:tc>
          <w:tcPr>
            <w:tcW w:w="810" w:type="dxa"/>
            <w:tcBorders>
              <w:top w:val="nil"/>
              <w:left w:val="nil"/>
              <w:bottom w:val="double" w:sz="6" w:space="0" w:color="auto"/>
              <w:right w:val="nil"/>
            </w:tcBorders>
            <w:shd w:val="clear" w:color="auto" w:fill="auto"/>
            <w:noWrap/>
            <w:vAlign w:val="bottom"/>
          </w:tcPr>
          <w:p w:rsidR="00C2118A" w:rsidRPr="0081461A" w:rsidRDefault="00C2118A" w:rsidP="00E14292">
            <w:pPr>
              <w:rPr>
                <w:rFonts w:ascii="Arial" w:eastAsia="Times New Roman" w:hAnsi="Arial" w:cs="Arial"/>
                <w:sz w:val="20"/>
                <w:szCs w:val="20"/>
              </w:rPr>
            </w:pPr>
            <w:r w:rsidRPr="0081461A">
              <w:rPr>
                <w:rFonts w:ascii="Arial" w:eastAsia="Times New Roman" w:hAnsi="Arial" w:cs="Arial"/>
                <w:sz w:val="20"/>
                <w:szCs w:val="20"/>
              </w:rPr>
              <w:t> </w:t>
            </w:r>
          </w:p>
        </w:tc>
        <w:tc>
          <w:tcPr>
            <w:tcW w:w="990" w:type="dxa"/>
            <w:tcBorders>
              <w:top w:val="nil"/>
              <w:left w:val="nil"/>
              <w:bottom w:val="double" w:sz="6" w:space="0" w:color="auto"/>
              <w:right w:val="nil"/>
            </w:tcBorders>
            <w:shd w:val="clear" w:color="auto" w:fill="auto"/>
            <w:noWrap/>
            <w:vAlign w:val="bottom"/>
          </w:tcPr>
          <w:p w:rsidR="00C2118A" w:rsidRPr="0081461A" w:rsidRDefault="00C2118A" w:rsidP="00E14292">
            <w:pPr>
              <w:rPr>
                <w:rFonts w:ascii="Arial" w:eastAsia="Times New Roman" w:hAnsi="Arial" w:cs="Arial"/>
                <w:sz w:val="20"/>
                <w:szCs w:val="20"/>
              </w:rPr>
            </w:pPr>
            <w:r w:rsidRPr="0081461A">
              <w:rPr>
                <w:rFonts w:ascii="Arial" w:eastAsia="Times New Roman" w:hAnsi="Arial" w:cs="Arial"/>
                <w:sz w:val="20"/>
                <w:szCs w:val="20"/>
              </w:rPr>
              <w:t> </w:t>
            </w:r>
          </w:p>
        </w:tc>
        <w:tc>
          <w:tcPr>
            <w:tcW w:w="900" w:type="dxa"/>
            <w:tcBorders>
              <w:top w:val="nil"/>
              <w:left w:val="nil"/>
              <w:bottom w:val="double" w:sz="6" w:space="0" w:color="auto"/>
              <w:right w:val="nil"/>
            </w:tcBorders>
            <w:shd w:val="clear" w:color="auto" w:fill="auto"/>
            <w:noWrap/>
            <w:vAlign w:val="bottom"/>
          </w:tcPr>
          <w:p w:rsidR="00C2118A" w:rsidRPr="0081461A" w:rsidRDefault="00C2118A" w:rsidP="00E14292">
            <w:pPr>
              <w:rPr>
                <w:rFonts w:ascii="Arial" w:eastAsia="Times New Roman" w:hAnsi="Arial" w:cs="Arial"/>
                <w:sz w:val="20"/>
                <w:szCs w:val="20"/>
              </w:rPr>
            </w:pPr>
            <w:r w:rsidRPr="0081461A">
              <w:rPr>
                <w:rFonts w:ascii="Arial" w:eastAsia="Times New Roman" w:hAnsi="Arial" w:cs="Arial"/>
                <w:sz w:val="20"/>
                <w:szCs w:val="20"/>
              </w:rPr>
              <w:t> </w:t>
            </w:r>
          </w:p>
        </w:tc>
      </w:tr>
      <w:tr w:rsidR="00C2118A" w:rsidRPr="0081461A" w:rsidTr="00C2118A">
        <w:trPr>
          <w:trHeight w:val="270"/>
        </w:trPr>
        <w:tc>
          <w:tcPr>
            <w:tcW w:w="1620" w:type="dxa"/>
            <w:tcBorders>
              <w:top w:val="nil"/>
              <w:left w:val="nil"/>
              <w:bottom w:val="single" w:sz="4" w:space="0" w:color="auto"/>
              <w:right w:val="nil"/>
            </w:tcBorders>
            <w:shd w:val="clear" w:color="auto" w:fill="auto"/>
            <w:noWrap/>
            <w:vAlign w:val="bottom"/>
          </w:tcPr>
          <w:p w:rsidR="00C2118A" w:rsidRPr="00C2118A" w:rsidRDefault="00C2118A" w:rsidP="00E14292">
            <w:pPr>
              <w:rPr>
                <w:rFonts w:eastAsia="Times New Roman"/>
                <w:sz w:val="20"/>
                <w:szCs w:val="20"/>
              </w:rPr>
            </w:pPr>
            <w:r w:rsidRPr="00C2118A">
              <w:rPr>
                <w:rFonts w:eastAsia="Times New Roman"/>
                <w:sz w:val="20"/>
                <w:szCs w:val="20"/>
              </w:rPr>
              <w:t>Portfolio</w:t>
            </w:r>
          </w:p>
        </w:tc>
        <w:tc>
          <w:tcPr>
            <w:tcW w:w="630" w:type="dxa"/>
            <w:tcBorders>
              <w:top w:val="nil"/>
              <w:left w:val="nil"/>
              <w:bottom w:val="single" w:sz="4" w:space="0" w:color="auto"/>
              <w:right w:val="nil"/>
            </w:tcBorders>
            <w:shd w:val="clear" w:color="auto" w:fill="auto"/>
            <w:noWrap/>
            <w:vAlign w:val="bottom"/>
          </w:tcPr>
          <w:p w:rsidR="00C2118A" w:rsidRPr="00C2118A" w:rsidRDefault="00C2118A" w:rsidP="00E14292">
            <w:pPr>
              <w:rPr>
                <w:rFonts w:eastAsia="Times New Roman"/>
                <w:sz w:val="20"/>
                <w:szCs w:val="20"/>
              </w:rPr>
            </w:pPr>
            <w:r w:rsidRPr="00C2118A">
              <w:rPr>
                <w:rFonts w:eastAsia="Times New Roman"/>
                <w:sz w:val="20"/>
                <w:szCs w:val="20"/>
              </w:rPr>
              <w:t>α</w:t>
            </w:r>
          </w:p>
        </w:tc>
        <w:tc>
          <w:tcPr>
            <w:tcW w:w="720" w:type="dxa"/>
            <w:tcBorders>
              <w:top w:val="nil"/>
              <w:left w:val="nil"/>
              <w:bottom w:val="single" w:sz="4" w:space="0" w:color="auto"/>
              <w:right w:val="nil"/>
            </w:tcBorders>
            <w:shd w:val="clear" w:color="auto" w:fill="auto"/>
            <w:noWrap/>
            <w:vAlign w:val="bottom"/>
          </w:tcPr>
          <w:p w:rsidR="00C2118A" w:rsidRPr="0081461A" w:rsidRDefault="00C2118A" w:rsidP="00E14292">
            <w:pPr>
              <w:rPr>
                <w:rFonts w:ascii="Arial" w:eastAsia="Times New Roman" w:hAnsi="Arial" w:cs="Arial"/>
                <w:sz w:val="20"/>
                <w:szCs w:val="20"/>
              </w:rPr>
            </w:pPr>
            <w:r w:rsidRPr="0081461A">
              <w:rPr>
                <w:rFonts w:ascii="Arial" w:eastAsia="Times New Roman" w:hAnsi="Arial" w:cs="Arial"/>
                <w:sz w:val="20"/>
                <w:szCs w:val="20"/>
              </w:rPr>
              <w:t>t-stat</w:t>
            </w:r>
          </w:p>
        </w:tc>
        <w:tc>
          <w:tcPr>
            <w:tcW w:w="1080" w:type="dxa"/>
            <w:tcBorders>
              <w:top w:val="nil"/>
              <w:left w:val="nil"/>
              <w:bottom w:val="single" w:sz="4" w:space="0" w:color="auto"/>
              <w:right w:val="nil"/>
            </w:tcBorders>
            <w:shd w:val="clear" w:color="auto" w:fill="auto"/>
            <w:noWrap/>
            <w:vAlign w:val="bottom"/>
          </w:tcPr>
          <w:p w:rsidR="00C2118A" w:rsidRPr="0081461A" w:rsidRDefault="00C2118A" w:rsidP="00E14292">
            <w:pPr>
              <w:rPr>
                <w:rFonts w:ascii="Arial" w:eastAsia="Times New Roman" w:hAnsi="Arial" w:cs="Arial"/>
                <w:sz w:val="20"/>
                <w:szCs w:val="20"/>
              </w:rPr>
            </w:pPr>
            <w:r>
              <w:rPr>
                <w:rFonts w:ascii="Arial" w:eastAsia="Times New Roman" w:hAnsi="Arial" w:cs="Arial"/>
                <w:sz w:val="20"/>
                <w:szCs w:val="20"/>
              </w:rPr>
              <w:t xml:space="preserve"> </w:t>
            </w:r>
            <w:r w:rsidRPr="0081461A">
              <w:rPr>
                <w:rFonts w:ascii="Arial" w:eastAsia="Times New Roman" w:hAnsi="Arial" w:cs="Arial"/>
                <w:sz w:val="20"/>
                <w:szCs w:val="20"/>
              </w:rPr>
              <w:t>β (world)</w:t>
            </w:r>
          </w:p>
        </w:tc>
        <w:tc>
          <w:tcPr>
            <w:tcW w:w="810" w:type="dxa"/>
            <w:tcBorders>
              <w:top w:val="nil"/>
              <w:left w:val="nil"/>
              <w:bottom w:val="single" w:sz="4" w:space="0" w:color="auto"/>
              <w:right w:val="nil"/>
            </w:tcBorders>
            <w:shd w:val="clear" w:color="auto" w:fill="auto"/>
            <w:noWrap/>
            <w:vAlign w:val="bottom"/>
          </w:tcPr>
          <w:p w:rsidR="00C2118A" w:rsidRPr="0081461A" w:rsidRDefault="00C2118A" w:rsidP="00E14292">
            <w:pPr>
              <w:rPr>
                <w:rFonts w:ascii="Arial" w:eastAsia="Times New Roman" w:hAnsi="Arial" w:cs="Arial"/>
                <w:sz w:val="20"/>
                <w:szCs w:val="20"/>
              </w:rPr>
            </w:pPr>
            <w:r>
              <w:rPr>
                <w:rFonts w:ascii="Arial" w:eastAsia="Times New Roman" w:hAnsi="Arial" w:cs="Arial"/>
                <w:sz w:val="20"/>
                <w:szCs w:val="20"/>
              </w:rPr>
              <w:t xml:space="preserve"> </w:t>
            </w:r>
            <w:r w:rsidRPr="0081461A">
              <w:rPr>
                <w:rFonts w:ascii="Arial" w:eastAsia="Times New Roman" w:hAnsi="Arial" w:cs="Arial"/>
                <w:sz w:val="20"/>
                <w:szCs w:val="20"/>
              </w:rPr>
              <w:t>t-stat</w:t>
            </w:r>
          </w:p>
        </w:tc>
        <w:tc>
          <w:tcPr>
            <w:tcW w:w="990" w:type="dxa"/>
            <w:tcBorders>
              <w:top w:val="nil"/>
              <w:left w:val="nil"/>
              <w:bottom w:val="single" w:sz="4" w:space="0" w:color="auto"/>
              <w:right w:val="nil"/>
            </w:tcBorders>
            <w:shd w:val="clear" w:color="auto" w:fill="auto"/>
            <w:noWrap/>
            <w:vAlign w:val="bottom"/>
          </w:tcPr>
          <w:p w:rsidR="00C2118A" w:rsidRPr="0081461A" w:rsidRDefault="00C2118A" w:rsidP="00E14292">
            <w:pPr>
              <w:rPr>
                <w:rFonts w:ascii="Arial" w:eastAsia="Times New Roman" w:hAnsi="Arial" w:cs="Arial"/>
                <w:sz w:val="20"/>
                <w:szCs w:val="20"/>
              </w:rPr>
            </w:pPr>
            <w:r w:rsidRPr="0081461A">
              <w:rPr>
                <w:rFonts w:ascii="Arial" w:eastAsia="Times New Roman" w:hAnsi="Arial" w:cs="Arial"/>
                <w:sz w:val="20"/>
                <w:szCs w:val="20"/>
              </w:rPr>
              <w:t>β (SMB)</w:t>
            </w:r>
          </w:p>
        </w:tc>
        <w:tc>
          <w:tcPr>
            <w:tcW w:w="810" w:type="dxa"/>
            <w:tcBorders>
              <w:top w:val="nil"/>
              <w:left w:val="nil"/>
              <w:bottom w:val="single" w:sz="4" w:space="0" w:color="auto"/>
              <w:right w:val="nil"/>
            </w:tcBorders>
            <w:shd w:val="clear" w:color="auto" w:fill="auto"/>
            <w:noWrap/>
            <w:vAlign w:val="bottom"/>
          </w:tcPr>
          <w:p w:rsidR="00C2118A" w:rsidRPr="0081461A" w:rsidRDefault="00C2118A" w:rsidP="00E14292">
            <w:pPr>
              <w:rPr>
                <w:rFonts w:ascii="Arial" w:eastAsia="Times New Roman" w:hAnsi="Arial" w:cs="Arial"/>
                <w:sz w:val="20"/>
                <w:szCs w:val="20"/>
              </w:rPr>
            </w:pPr>
            <w:r>
              <w:rPr>
                <w:rFonts w:ascii="Arial" w:eastAsia="Times New Roman" w:hAnsi="Arial" w:cs="Arial"/>
                <w:sz w:val="20"/>
                <w:szCs w:val="20"/>
              </w:rPr>
              <w:t xml:space="preserve">  </w:t>
            </w:r>
            <w:r w:rsidRPr="0081461A">
              <w:rPr>
                <w:rFonts w:ascii="Arial" w:eastAsia="Times New Roman" w:hAnsi="Arial" w:cs="Arial"/>
                <w:sz w:val="20"/>
                <w:szCs w:val="20"/>
              </w:rPr>
              <w:t>t-stat</w:t>
            </w:r>
          </w:p>
        </w:tc>
        <w:tc>
          <w:tcPr>
            <w:tcW w:w="990" w:type="dxa"/>
            <w:tcBorders>
              <w:top w:val="nil"/>
              <w:left w:val="nil"/>
              <w:bottom w:val="single" w:sz="4" w:space="0" w:color="auto"/>
              <w:right w:val="nil"/>
            </w:tcBorders>
            <w:shd w:val="clear" w:color="auto" w:fill="auto"/>
            <w:noWrap/>
            <w:vAlign w:val="bottom"/>
          </w:tcPr>
          <w:p w:rsidR="00C2118A" w:rsidRPr="0081461A" w:rsidRDefault="00C2118A" w:rsidP="00E14292">
            <w:pPr>
              <w:rPr>
                <w:rFonts w:ascii="Arial" w:eastAsia="Times New Roman" w:hAnsi="Arial" w:cs="Arial"/>
                <w:sz w:val="20"/>
                <w:szCs w:val="20"/>
              </w:rPr>
            </w:pPr>
            <w:r w:rsidRPr="0081461A">
              <w:rPr>
                <w:rFonts w:ascii="Arial" w:eastAsia="Times New Roman" w:hAnsi="Arial" w:cs="Arial"/>
                <w:sz w:val="20"/>
                <w:szCs w:val="20"/>
              </w:rPr>
              <w:t>β (HML)</w:t>
            </w:r>
          </w:p>
        </w:tc>
        <w:tc>
          <w:tcPr>
            <w:tcW w:w="900" w:type="dxa"/>
            <w:tcBorders>
              <w:top w:val="nil"/>
              <w:left w:val="nil"/>
              <w:bottom w:val="single" w:sz="4" w:space="0" w:color="auto"/>
              <w:right w:val="nil"/>
            </w:tcBorders>
            <w:shd w:val="clear" w:color="auto" w:fill="auto"/>
            <w:noWrap/>
            <w:vAlign w:val="bottom"/>
          </w:tcPr>
          <w:p w:rsidR="00C2118A" w:rsidRPr="0081461A" w:rsidRDefault="00C2118A" w:rsidP="00E14292">
            <w:pPr>
              <w:rPr>
                <w:rFonts w:ascii="Arial" w:eastAsia="Times New Roman" w:hAnsi="Arial" w:cs="Arial"/>
                <w:sz w:val="20"/>
                <w:szCs w:val="20"/>
              </w:rPr>
            </w:pPr>
            <w:r w:rsidRPr="0081461A">
              <w:rPr>
                <w:rFonts w:ascii="Arial" w:eastAsia="Times New Roman" w:hAnsi="Arial" w:cs="Arial"/>
                <w:sz w:val="20"/>
                <w:szCs w:val="20"/>
              </w:rPr>
              <w:t>t-stat</w:t>
            </w:r>
          </w:p>
        </w:tc>
      </w:tr>
      <w:tr w:rsidR="00C2118A" w:rsidRPr="0081461A" w:rsidTr="00C2118A">
        <w:trPr>
          <w:trHeight w:val="255"/>
        </w:trPr>
        <w:tc>
          <w:tcPr>
            <w:tcW w:w="1620" w:type="dxa"/>
            <w:tcBorders>
              <w:top w:val="nil"/>
              <w:left w:val="nil"/>
              <w:bottom w:val="nil"/>
              <w:right w:val="nil"/>
            </w:tcBorders>
            <w:shd w:val="clear" w:color="auto" w:fill="auto"/>
            <w:noWrap/>
            <w:vAlign w:val="bottom"/>
          </w:tcPr>
          <w:p w:rsidR="00C2118A" w:rsidRPr="00C2118A" w:rsidRDefault="00C2118A" w:rsidP="00E14292">
            <w:pPr>
              <w:rPr>
                <w:rFonts w:eastAsia="Times New Roman"/>
                <w:sz w:val="20"/>
                <w:szCs w:val="20"/>
              </w:rPr>
            </w:pPr>
          </w:p>
        </w:tc>
        <w:tc>
          <w:tcPr>
            <w:tcW w:w="630" w:type="dxa"/>
            <w:tcBorders>
              <w:top w:val="nil"/>
              <w:left w:val="nil"/>
              <w:bottom w:val="nil"/>
              <w:right w:val="nil"/>
            </w:tcBorders>
            <w:shd w:val="clear" w:color="auto" w:fill="auto"/>
            <w:noWrap/>
            <w:vAlign w:val="bottom"/>
          </w:tcPr>
          <w:p w:rsidR="00C2118A" w:rsidRPr="00C2118A" w:rsidRDefault="00C2118A" w:rsidP="00E14292">
            <w:pPr>
              <w:rPr>
                <w:rFonts w:eastAsia="Times New Roman"/>
                <w:sz w:val="20"/>
                <w:szCs w:val="20"/>
              </w:rPr>
            </w:pPr>
          </w:p>
        </w:tc>
        <w:tc>
          <w:tcPr>
            <w:tcW w:w="720" w:type="dxa"/>
            <w:tcBorders>
              <w:top w:val="nil"/>
              <w:left w:val="nil"/>
              <w:bottom w:val="nil"/>
              <w:right w:val="nil"/>
            </w:tcBorders>
            <w:shd w:val="clear" w:color="auto" w:fill="auto"/>
            <w:noWrap/>
            <w:vAlign w:val="bottom"/>
          </w:tcPr>
          <w:p w:rsidR="00C2118A" w:rsidRPr="0081461A" w:rsidRDefault="00C2118A" w:rsidP="00E14292">
            <w:pPr>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tcPr>
          <w:p w:rsidR="00C2118A" w:rsidRPr="0081461A" w:rsidRDefault="00C2118A" w:rsidP="00E14292">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tcPr>
          <w:p w:rsidR="00C2118A" w:rsidRPr="0081461A" w:rsidRDefault="00C2118A" w:rsidP="00E14292">
            <w:pPr>
              <w:rPr>
                <w:rFonts w:ascii="Arial" w:eastAsia="Times New Roman" w:hAnsi="Arial" w:cs="Arial"/>
                <w:sz w:val="20"/>
                <w:szCs w:val="20"/>
              </w:rPr>
            </w:pPr>
          </w:p>
        </w:tc>
        <w:tc>
          <w:tcPr>
            <w:tcW w:w="990" w:type="dxa"/>
            <w:tcBorders>
              <w:top w:val="nil"/>
              <w:left w:val="nil"/>
              <w:bottom w:val="nil"/>
              <w:right w:val="nil"/>
            </w:tcBorders>
            <w:shd w:val="clear" w:color="auto" w:fill="auto"/>
            <w:noWrap/>
            <w:vAlign w:val="bottom"/>
          </w:tcPr>
          <w:p w:rsidR="00C2118A" w:rsidRPr="0081461A" w:rsidRDefault="00C2118A" w:rsidP="00E14292">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tcPr>
          <w:p w:rsidR="00C2118A" w:rsidRPr="0081461A" w:rsidRDefault="00C2118A" w:rsidP="00E14292">
            <w:pPr>
              <w:rPr>
                <w:rFonts w:ascii="Arial" w:eastAsia="Times New Roman" w:hAnsi="Arial" w:cs="Arial"/>
                <w:sz w:val="20"/>
                <w:szCs w:val="20"/>
              </w:rPr>
            </w:pPr>
          </w:p>
        </w:tc>
        <w:tc>
          <w:tcPr>
            <w:tcW w:w="990" w:type="dxa"/>
            <w:tcBorders>
              <w:top w:val="nil"/>
              <w:left w:val="nil"/>
              <w:bottom w:val="nil"/>
              <w:right w:val="nil"/>
            </w:tcBorders>
            <w:shd w:val="clear" w:color="auto" w:fill="auto"/>
            <w:noWrap/>
            <w:vAlign w:val="bottom"/>
          </w:tcPr>
          <w:p w:rsidR="00C2118A" w:rsidRPr="0081461A" w:rsidRDefault="00C2118A" w:rsidP="00E14292">
            <w:pPr>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tcPr>
          <w:p w:rsidR="00C2118A" w:rsidRPr="0081461A" w:rsidRDefault="00C2118A" w:rsidP="00E14292">
            <w:pPr>
              <w:rPr>
                <w:rFonts w:ascii="Arial" w:eastAsia="Times New Roman" w:hAnsi="Arial" w:cs="Arial"/>
                <w:sz w:val="20"/>
                <w:szCs w:val="20"/>
              </w:rPr>
            </w:pPr>
          </w:p>
        </w:tc>
      </w:tr>
      <w:tr w:rsidR="00C2118A" w:rsidRPr="0081461A" w:rsidTr="00C2118A">
        <w:trPr>
          <w:trHeight w:val="255"/>
        </w:trPr>
        <w:tc>
          <w:tcPr>
            <w:tcW w:w="1620" w:type="dxa"/>
            <w:tcBorders>
              <w:top w:val="nil"/>
              <w:left w:val="nil"/>
              <w:bottom w:val="nil"/>
              <w:right w:val="nil"/>
            </w:tcBorders>
            <w:shd w:val="clear" w:color="auto" w:fill="auto"/>
            <w:noWrap/>
            <w:vAlign w:val="bottom"/>
          </w:tcPr>
          <w:p w:rsidR="00C2118A" w:rsidRPr="00C2118A" w:rsidRDefault="00C2118A" w:rsidP="00E14292">
            <w:pPr>
              <w:rPr>
                <w:rFonts w:eastAsia="Times New Roman"/>
                <w:sz w:val="20"/>
                <w:szCs w:val="20"/>
              </w:rPr>
            </w:pPr>
            <w:r w:rsidRPr="00C2118A">
              <w:rPr>
                <w:rFonts w:eastAsia="Times New Roman"/>
                <w:sz w:val="20"/>
                <w:szCs w:val="20"/>
              </w:rPr>
              <w:t xml:space="preserve">Winner </w:t>
            </w:r>
          </w:p>
        </w:tc>
        <w:tc>
          <w:tcPr>
            <w:tcW w:w="630" w:type="dxa"/>
            <w:tcBorders>
              <w:top w:val="nil"/>
              <w:left w:val="nil"/>
              <w:bottom w:val="nil"/>
              <w:right w:val="nil"/>
            </w:tcBorders>
            <w:shd w:val="clear" w:color="auto" w:fill="auto"/>
            <w:noWrap/>
            <w:vAlign w:val="bottom"/>
          </w:tcPr>
          <w:p w:rsidR="00C2118A" w:rsidRPr="00C2118A" w:rsidRDefault="00C2118A" w:rsidP="00E14292">
            <w:pPr>
              <w:jc w:val="right"/>
              <w:rPr>
                <w:rFonts w:eastAsia="Times New Roman"/>
                <w:sz w:val="20"/>
                <w:szCs w:val="20"/>
              </w:rPr>
            </w:pPr>
            <w:r w:rsidRPr="00C2118A">
              <w:rPr>
                <w:rFonts w:eastAsia="Times New Roman"/>
                <w:sz w:val="20"/>
                <w:szCs w:val="20"/>
              </w:rPr>
              <w:t>0.79</w:t>
            </w:r>
          </w:p>
        </w:tc>
        <w:tc>
          <w:tcPr>
            <w:tcW w:w="720" w:type="dxa"/>
            <w:tcBorders>
              <w:top w:val="nil"/>
              <w:left w:val="nil"/>
              <w:bottom w:val="nil"/>
              <w:right w:val="nil"/>
            </w:tcBorders>
            <w:shd w:val="clear" w:color="auto" w:fill="auto"/>
            <w:noWrap/>
            <w:vAlign w:val="bottom"/>
          </w:tcPr>
          <w:p w:rsidR="00C2118A" w:rsidRPr="0081461A" w:rsidRDefault="00C2118A" w:rsidP="00E14292">
            <w:pPr>
              <w:jc w:val="right"/>
              <w:rPr>
                <w:rFonts w:ascii="Arial" w:eastAsia="Times New Roman" w:hAnsi="Arial" w:cs="Arial"/>
                <w:sz w:val="20"/>
                <w:szCs w:val="20"/>
              </w:rPr>
            </w:pPr>
            <w:r>
              <w:rPr>
                <w:rFonts w:ascii="Arial" w:eastAsia="Times New Roman" w:hAnsi="Arial" w:cs="Arial"/>
                <w:sz w:val="20"/>
                <w:szCs w:val="20"/>
              </w:rPr>
              <w:t>4.83</w:t>
            </w:r>
          </w:p>
        </w:tc>
        <w:tc>
          <w:tcPr>
            <w:tcW w:w="1080" w:type="dxa"/>
            <w:tcBorders>
              <w:top w:val="nil"/>
              <w:left w:val="nil"/>
              <w:bottom w:val="nil"/>
              <w:right w:val="nil"/>
            </w:tcBorders>
            <w:shd w:val="clear" w:color="auto" w:fill="auto"/>
            <w:noWrap/>
            <w:vAlign w:val="bottom"/>
          </w:tcPr>
          <w:p w:rsidR="00C2118A" w:rsidRPr="0081461A" w:rsidRDefault="00C2118A" w:rsidP="00E14292">
            <w:pPr>
              <w:jc w:val="right"/>
              <w:rPr>
                <w:rFonts w:ascii="Arial" w:eastAsia="Times New Roman" w:hAnsi="Arial" w:cs="Arial"/>
                <w:sz w:val="20"/>
                <w:szCs w:val="20"/>
              </w:rPr>
            </w:pPr>
            <w:r>
              <w:rPr>
                <w:rFonts w:ascii="Arial" w:eastAsia="Times New Roman" w:hAnsi="Arial" w:cs="Arial"/>
                <w:sz w:val="20"/>
                <w:szCs w:val="20"/>
              </w:rPr>
              <w:t>0.23</w:t>
            </w:r>
          </w:p>
        </w:tc>
        <w:tc>
          <w:tcPr>
            <w:tcW w:w="810" w:type="dxa"/>
            <w:tcBorders>
              <w:top w:val="nil"/>
              <w:left w:val="nil"/>
              <w:bottom w:val="nil"/>
              <w:right w:val="nil"/>
            </w:tcBorders>
            <w:shd w:val="clear" w:color="auto" w:fill="auto"/>
            <w:noWrap/>
            <w:vAlign w:val="bottom"/>
          </w:tcPr>
          <w:p w:rsidR="00C2118A" w:rsidRPr="0081461A" w:rsidRDefault="00C2118A" w:rsidP="00E14292">
            <w:pPr>
              <w:jc w:val="right"/>
              <w:rPr>
                <w:rFonts w:ascii="Arial" w:eastAsia="Times New Roman" w:hAnsi="Arial" w:cs="Arial"/>
                <w:sz w:val="20"/>
                <w:szCs w:val="20"/>
              </w:rPr>
            </w:pPr>
            <w:r>
              <w:rPr>
                <w:rFonts w:ascii="Arial" w:eastAsia="Times New Roman" w:hAnsi="Arial" w:cs="Arial"/>
                <w:sz w:val="20"/>
                <w:szCs w:val="20"/>
              </w:rPr>
              <w:t>6.45</w:t>
            </w:r>
          </w:p>
        </w:tc>
        <w:tc>
          <w:tcPr>
            <w:tcW w:w="990" w:type="dxa"/>
            <w:tcBorders>
              <w:top w:val="nil"/>
              <w:left w:val="nil"/>
              <w:bottom w:val="nil"/>
              <w:right w:val="nil"/>
            </w:tcBorders>
            <w:shd w:val="clear" w:color="auto" w:fill="auto"/>
            <w:noWrap/>
            <w:vAlign w:val="bottom"/>
          </w:tcPr>
          <w:p w:rsidR="00C2118A" w:rsidRPr="0081461A" w:rsidRDefault="00C2118A" w:rsidP="00E14292">
            <w:pPr>
              <w:jc w:val="right"/>
              <w:rPr>
                <w:rFonts w:ascii="Arial" w:eastAsia="Times New Roman" w:hAnsi="Arial" w:cs="Arial"/>
                <w:sz w:val="20"/>
                <w:szCs w:val="20"/>
              </w:rPr>
            </w:pPr>
            <w:r>
              <w:rPr>
                <w:rFonts w:ascii="Arial" w:eastAsia="Times New Roman" w:hAnsi="Arial" w:cs="Arial"/>
                <w:sz w:val="20"/>
                <w:szCs w:val="20"/>
              </w:rPr>
              <w:t>0.01</w:t>
            </w:r>
          </w:p>
        </w:tc>
        <w:tc>
          <w:tcPr>
            <w:tcW w:w="810" w:type="dxa"/>
            <w:tcBorders>
              <w:top w:val="nil"/>
              <w:left w:val="nil"/>
              <w:bottom w:val="nil"/>
              <w:right w:val="nil"/>
            </w:tcBorders>
            <w:shd w:val="clear" w:color="auto" w:fill="auto"/>
            <w:noWrap/>
            <w:vAlign w:val="bottom"/>
          </w:tcPr>
          <w:p w:rsidR="00C2118A" w:rsidRPr="0081461A" w:rsidRDefault="00C2118A" w:rsidP="00E14292">
            <w:pPr>
              <w:jc w:val="right"/>
              <w:rPr>
                <w:rFonts w:ascii="Arial" w:eastAsia="Times New Roman" w:hAnsi="Arial" w:cs="Arial"/>
                <w:sz w:val="20"/>
                <w:szCs w:val="20"/>
              </w:rPr>
            </w:pPr>
            <w:r>
              <w:rPr>
                <w:rFonts w:ascii="Arial" w:eastAsia="Times New Roman" w:hAnsi="Arial" w:cs="Arial"/>
                <w:sz w:val="20"/>
                <w:szCs w:val="20"/>
              </w:rPr>
              <w:t>0.11</w:t>
            </w:r>
          </w:p>
        </w:tc>
        <w:tc>
          <w:tcPr>
            <w:tcW w:w="990" w:type="dxa"/>
            <w:tcBorders>
              <w:top w:val="nil"/>
              <w:left w:val="nil"/>
              <w:bottom w:val="nil"/>
              <w:right w:val="nil"/>
            </w:tcBorders>
            <w:shd w:val="clear" w:color="auto" w:fill="auto"/>
            <w:noWrap/>
            <w:vAlign w:val="bottom"/>
          </w:tcPr>
          <w:p w:rsidR="00C2118A" w:rsidRPr="0081461A" w:rsidRDefault="00C2118A" w:rsidP="00E14292">
            <w:pPr>
              <w:jc w:val="right"/>
              <w:rPr>
                <w:rFonts w:ascii="Arial" w:eastAsia="Times New Roman" w:hAnsi="Arial" w:cs="Arial"/>
                <w:sz w:val="20"/>
                <w:szCs w:val="20"/>
              </w:rPr>
            </w:pPr>
            <w:r>
              <w:rPr>
                <w:rFonts w:ascii="Arial" w:eastAsia="Times New Roman" w:hAnsi="Arial" w:cs="Arial"/>
                <w:sz w:val="20"/>
                <w:szCs w:val="20"/>
              </w:rPr>
              <w:t>0.15</w:t>
            </w:r>
          </w:p>
        </w:tc>
        <w:tc>
          <w:tcPr>
            <w:tcW w:w="900" w:type="dxa"/>
            <w:tcBorders>
              <w:top w:val="nil"/>
              <w:left w:val="nil"/>
              <w:bottom w:val="nil"/>
              <w:right w:val="nil"/>
            </w:tcBorders>
            <w:shd w:val="clear" w:color="auto" w:fill="auto"/>
            <w:noWrap/>
            <w:vAlign w:val="bottom"/>
          </w:tcPr>
          <w:p w:rsidR="00C2118A" w:rsidRPr="0081461A" w:rsidRDefault="00C2118A" w:rsidP="00E14292">
            <w:pPr>
              <w:jc w:val="right"/>
              <w:rPr>
                <w:rFonts w:ascii="Arial" w:eastAsia="Times New Roman" w:hAnsi="Arial" w:cs="Arial"/>
                <w:sz w:val="20"/>
                <w:szCs w:val="20"/>
              </w:rPr>
            </w:pPr>
            <w:r>
              <w:rPr>
                <w:rFonts w:ascii="Arial" w:eastAsia="Times New Roman" w:hAnsi="Arial" w:cs="Arial"/>
                <w:sz w:val="20"/>
                <w:szCs w:val="20"/>
              </w:rPr>
              <w:t>3.02</w:t>
            </w:r>
          </w:p>
        </w:tc>
      </w:tr>
      <w:tr w:rsidR="00C2118A" w:rsidRPr="0081461A" w:rsidTr="00C2118A">
        <w:trPr>
          <w:trHeight w:val="255"/>
        </w:trPr>
        <w:tc>
          <w:tcPr>
            <w:tcW w:w="1620" w:type="dxa"/>
            <w:tcBorders>
              <w:top w:val="nil"/>
              <w:left w:val="nil"/>
              <w:bottom w:val="nil"/>
              <w:right w:val="nil"/>
            </w:tcBorders>
            <w:shd w:val="clear" w:color="auto" w:fill="auto"/>
            <w:noWrap/>
            <w:vAlign w:val="bottom"/>
          </w:tcPr>
          <w:p w:rsidR="00C2118A" w:rsidRPr="00C2118A" w:rsidRDefault="00C2118A" w:rsidP="00E14292">
            <w:pPr>
              <w:rPr>
                <w:rFonts w:eastAsia="Times New Roman"/>
                <w:sz w:val="20"/>
                <w:szCs w:val="20"/>
              </w:rPr>
            </w:pPr>
          </w:p>
        </w:tc>
        <w:tc>
          <w:tcPr>
            <w:tcW w:w="630" w:type="dxa"/>
            <w:tcBorders>
              <w:top w:val="nil"/>
              <w:left w:val="nil"/>
              <w:bottom w:val="nil"/>
              <w:right w:val="nil"/>
            </w:tcBorders>
            <w:shd w:val="clear" w:color="auto" w:fill="auto"/>
            <w:noWrap/>
            <w:vAlign w:val="bottom"/>
          </w:tcPr>
          <w:p w:rsidR="00C2118A" w:rsidRPr="00C2118A" w:rsidRDefault="00C2118A" w:rsidP="00E14292">
            <w:pPr>
              <w:rPr>
                <w:rFonts w:eastAsia="Times New Roman"/>
                <w:sz w:val="20"/>
                <w:szCs w:val="20"/>
              </w:rPr>
            </w:pPr>
          </w:p>
        </w:tc>
        <w:tc>
          <w:tcPr>
            <w:tcW w:w="720" w:type="dxa"/>
            <w:tcBorders>
              <w:top w:val="nil"/>
              <w:left w:val="nil"/>
              <w:bottom w:val="nil"/>
              <w:right w:val="nil"/>
            </w:tcBorders>
            <w:shd w:val="clear" w:color="auto" w:fill="auto"/>
            <w:noWrap/>
            <w:vAlign w:val="bottom"/>
          </w:tcPr>
          <w:p w:rsidR="00C2118A" w:rsidRPr="0081461A" w:rsidRDefault="00C2118A" w:rsidP="00E14292">
            <w:pPr>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tcPr>
          <w:p w:rsidR="00C2118A" w:rsidRPr="0081461A" w:rsidRDefault="00C2118A" w:rsidP="00E14292">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tcPr>
          <w:p w:rsidR="00C2118A" w:rsidRPr="0081461A" w:rsidRDefault="00C2118A" w:rsidP="00E14292">
            <w:pPr>
              <w:rPr>
                <w:rFonts w:ascii="Arial" w:eastAsia="Times New Roman" w:hAnsi="Arial" w:cs="Arial"/>
                <w:sz w:val="20"/>
                <w:szCs w:val="20"/>
              </w:rPr>
            </w:pPr>
          </w:p>
        </w:tc>
        <w:tc>
          <w:tcPr>
            <w:tcW w:w="990" w:type="dxa"/>
            <w:tcBorders>
              <w:top w:val="nil"/>
              <w:left w:val="nil"/>
              <w:bottom w:val="nil"/>
              <w:right w:val="nil"/>
            </w:tcBorders>
            <w:shd w:val="clear" w:color="auto" w:fill="auto"/>
            <w:noWrap/>
            <w:vAlign w:val="bottom"/>
          </w:tcPr>
          <w:p w:rsidR="00C2118A" w:rsidRPr="0081461A" w:rsidRDefault="00C2118A" w:rsidP="00E14292">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tcPr>
          <w:p w:rsidR="00C2118A" w:rsidRPr="0081461A" w:rsidRDefault="00C2118A" w:rsidP="00E14292">
            <w:pPr>
              <w:rPr>
                <w:rFonts w:ascii="Arial" w:eastAsia="Times New Roman" w:hAnsi="Arial" w:cs="Arial"/>
                <w:sz w:val="20"/>
                <w:szCs w:val="20"/>
              </w:rPr>
            </w:pPr>
          </w:p>
        </w:tc>
        <w:tc>
          <w:tcPr>
            <w:tcW w:w="990" w:type="dxa"/>
            <w:tcBorders>
              <w:top w:val="nil"/>
              <w:left w:val="nil"/>
              <w:bottom w:val="nil"/>
              <w:right w:val="nil"/>
            </w:tcBorders>
            <w:shd w:val="clear" w:color="auto" w:fill="auto"/>
            <w:noWrap/>
            <w:vAlign w:val="bottom"/>
          </w:tcPr>
          <w:p w:rsidR="00C2118A" w:rsidRPr="0081461A" w:rsidRDefault="00C2118A" w:rsidP="00E14292">
            <w:pPr>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tcPr>
          <w:p w:rsidR="00C2118A" w:rsidRPr="0081461A" w:rsidRDefault="00C2118A" w:rsidP="00E14292">
            <w:pPr>
              <w:rPr>
                <w:rFonts w:ascii="Arial" w:eastAsia="Times New Roman" w:hAnsi="Arial" w:cs="Arial"/>
                <w:sz w:val="20"/>
                <w:szCs w:val="20"/>
              </w:rPr>
            </w:pPr>
          </w:p>
        </w:tc>
      </w:tr>
      <w:tr w:rsidR="00C2118A" w:rsidRPr="0081461A" w:rsidTr="00C2118A">
        <w:trPr>
          <w:trHeight w:val="255"/>
        </w:trPr>
        <w:tc>
          <w:tcPr>
            <w:tcW w:w="1620" w:type="dxa"/>
            <w:tcBorders>
              <w:top w:val="nil"/>
              <w:left w:val="nil"/>
              <w:bottom w:val="nil"/>
              <w:right w:val="nil"/>
            </w:tcBorders>
            <w:shd w:val="clear" w:color="auto" w:fill="auto"/>
            <w:noWrap/>
            <w:vAlign w:val="bottom"/>
          </w:tcPr>
          <w:p w:rsidR="00C2118A" w:rsidRPr="00C2118A" w:rsidRDefault="00C2118A" w:rsidP="00E14292">
            <w:pPr>
              <w:rPr>
                <w:rFonts w:eastAsia="Times New Roman"/>
                <w:sz w:val="20"/>
                <w:szCs w:val="20"/>
              </w:rPr>
            </w:pPr>
            <w:r w:rsidRPr="00C2118A">
              <w:rPr>
                <w:rFonts w:eastAsia="Times New Roman"/>
                <w:sz w:val="20"/>
                <w:szCs w:val="20"/>
              </w:rPr>
              <w:t>Loser</w:t>
            </w:r>
          </w:p>
        </w:tc>
        <w:tc>
          <w:tcPr>
            <w:tcW w:w="630" w:type="dxa"/>
            <w:tcBorders>
              <w:top w:val="nil"/>
              <w:left w:val="nil"/>
              <w:bottom w:val="nil"/>
              <w:right w:val="nil"/>
            </w:tcBorders>
            <w:shd w:val="clear" w:color="auto" w:fill="auto"/>
            <w:noWrap/>
            <w:vAlign w:val="bottom"/>
          </w:tcPr>
          <w:p w:rsidR="00C2118A" w:rsidRPr="00C2118A" w:rsidRDefault="00C2118A" w:rsidP="00E14292">
            <w:pPr>
              <w:jc w:val="right"/>
              <w:rPr>
                <w:rFonts w:eastAsia="Times New Roman"/>
                <w:sz w:val="20"/>
                <w:szCs w:val="20"/>
              </w:rPr>
            </w:pPr>
            <w:r w:rsidRPr="00C2118A">
              <w:rPr>
                <w:rFonts w:eastAsia="Times New Roman"/>
                <w:sz w:val="20"/>
                <w:szCs w:val="20"/>
              </w:rPr>
              <w:t>0.49</w:t>
            </w:r>
          </w:p>
        </w:tc>
        <w:tc>
          <w:tcPr>
            <w:tcW w:w="720" w:type="dxa"/>
            <w:tcBorders>
              <w:top w:val="nil"/>
              <w:left w:val="nil"/>
              <w:bottom w:val="nil"/>
              <w:right w:val="nil"/>
            </w:tcBorders>
            <w:shd w:val="clear" w:color="auto" w:fill="auto"/>
            <w:noWrap/>
            <w:vAlign w:val="bottom"/>
          </w:tcPr>
          <w:p w:rsidR="00C2118A" w:rsidRPr="0081461A" w:rsidRDefault="00C2118A" w:rsidP="00E14292">
            <w:pPr>
              <w:jc w:val="right"/>
              <w:rPr>
                <w:rFonts w:ascii="Arial" w:eastAsia="Times New Roman" w:hAnsi="Arial" w:cs="Arial"/>
                <w:sz w:val="20"/>
                <w:szCs w:val="20"/>
              </w:rPr>
            </w:pPr>
            <w:r>
              <w:rPr>
                <w:rFonts w:ascii="Arial" w:eastAsia="Times New Roman" w:hAnsi="Arial" w:cs="Arial"/>
                <w:sz w:val="20"/>
                <w:szCs w:val="20"/>
              </w:rPr>
              <w:t>2.67</w:t>
            </w:r>
          </w:p>
        </w:tc>
        <w:tc>
          <w:tcPr>
            <w:tcW w:w="1080" w:type="dxa"/>
            <w:tcBorders>
              <w:top w:val="nil"/>
              <w:left w:val="nil"/>
              <w:bottom w:val="nil"/>
              <w:right w:val="nil"/>
            </w:tcBorders>
            <w:shd w:val="clear" w:color="auto" w:fill="auto"/>
            <w:noWrap/>
            <w:vAlign w:val="bottom"/>
          </w:tcPr>
          <w:p w:rsidR="00C2118A" w:rsidRPr="0081461A" w:rsidRDefault="00C2118A" w:rsidP="00E14292">
            <w:pPr>
              <w:jc w:val="right"/>
              <w:rPr>
                <w:rFonts w:ascii="Arial" w:eastAsia="Times New Roman" w:hAnsi="Arial" w:cs="Arial"/>
                <w:sz w:val="20"/>
                <w:szCs w:val="20"/>
              </w:rPr>
            </w:pPr>
            <w:r>
              <w:rPr>
                <w:rFonts w:ascii="Arial" w:eastAsia="Times New Roman" w:hAnsi="Arial" w:cs="Arial"/>
                <w:sz w:val="20"/>
                <w:szCs w:val="20"/>
              </w:rPr>
              <w:t>0.27</w:t>
            </w:r>
          </w:p>
        </w:tc>
        <w:tc>
          <w:tcPr>
            <w:tcW w:w="810" w:type="dxa"/>
            <w:tcBorders>
              <w:top w:val="nil"/>
              <w:left w:val="nil"/>
              <w:bottom w:val="nil"/>
              <w:right w:val="nil"/>
            </w:tcBorders>
            <w:shd w:val="clear" w:color="auto" w:fill="auto"/>
            <w:noWrap/>
            <w:vAlign w:val="bottom"/>
          </w:tcPr>
          <w:p w:rsidR="00C2118A" w:rsidRPr="0081461A" w:rsidRDefault="00C2118A" w:rsidP="00E14292">
            <w:pPr>
              <w:jc w:val="right"/>
              <w:rPr>
                <w:rFonts w:ascii="Arial" w:eastAsia="Times New Roman" w:hAnsi="Arial" w:cs="Arial"/>
                <w:sz w:val="20"/>
                <w:szCs w:val="20"/>
              </w:rPr>
            </w:pPr>
            <w:r>
              <w:rPr>
                <w:rFonts w:ascii="Arial" w:eastAsia="Times New Roman" w:hAnsi="Arial" w:cs="Arial"/>
                <w:sz w:val="20"/>
                <w:szCs w:val="20"/>
              </w:rPr>
              <w:t>6.74</w:t>
            </w:r>
          </w:p>
        </w:tc>
        <w:tc>
          <w:tcPr>
            <w:tcW w:w="990" w:type="dxa"/>
            <w:tcBorders>
              <w:top w:val="nil"/>
              <w:left w:val="nil"/>
              <w:bottom w:val="nil"/>
              <w:right w:val="nil"/>
            </w:tcBorders>
            <w:shd w:val="clear" w:color="auto" w:fill="auto"/>
            <w:noWrap/>
            <w:vAlign w:val="bottom"/>
          </w:tcPr>
          <w:p w:rsidR="00C2118A" w:rsidRPr="0081461A" w:rsidRDefault="00C2118A" w:rsidP="00E14292">
            <w:pPr>
              <w:jc w:val="right"/>
              <w:rPr>
                <w:rFonts w:ascii="Arial" w:eastAsia="Times New Roman" w:hAnsi="Arial" w:cs="Arial"/>
                <w:sz w:val="20"/>
                <w:szCs w:val="20"/>
              </w:rPr>
            </w:pPr>
            <w:r>
              <w:rPr>
                <w:rFonts w:ascii="Arial" w:eastAsia="Times New Roman" w:hAnsi="Arial" w:cs="Arial"/>
                <w:sz w:val="20"/>
                <w:szCs w:val="20"/>
              </w:rPr>
              <w:t>0.06</w:t>
            </w:r>
          </w:p>
        </w:tc>
        <w:tc>
          <w:tcPr>
            <w:tcW w:w="810" w:type="dxa"/>
            <w:tcBorders>
              <w:top w:val="nil"/>
              <w:left w:val="nil"/>
              <w:bottom w:val="nil"/>
              <w:right w:val="nil"/>
            </w:tcBorders>
            <w:shd w:val="clear" w:color="auto" w:fill="auto"/>
            <w:noWrap/>
            <w:vAlign w:val="bottom"/>
          </w:tcPr>
          <w:p w:rsidR="00C2118A" w:rsidRPr="0081461A" w:rsidRDefault="00C2118A" w:rsidP="00E14292">
            <w:pPr>
              <w:jc w:val="right"/>
              <w:rPr>
                <w:rFonts w:ascii="Arial" w:eastAsia="Times New Roman" w:hAnsi="Arial" w:cs="Arial"/>
                <w:sz w:val="20"/>
                <w:szCs w:val="20"/>
              </w:rPr>
            </w:pPr>
            <w:r>
              <w:rPr>
                <w:rFonts w:ascii="Arial" w:eastAsia="Times New Roman" w:hAnsi="Arial" w:cs="Arial"/>
                <w:sz w:val="20"/>
                <w:szCs w:val="20"/>
              </w:rPr>
              <w:t>1.11</w:t>
            </w:r>
          </w:p>
        </w:tc>
        <w:tc>
          <w:tcPr>
            <w:tcW w:w="990" w:type="dxa"/>
            <w:tcBorders>
              <w:top w:val="nil"/>
              <w:left w:val="nil"/>
              <w:bottom w:val="nil"/>
              <w:right w:val="nil"/>
            </w:tcBorders>
            <w:shd w:val="clear" w:color="auto" w:fill="auto"/>
            <w:noWrap/>
            <w:vAlign w:val="bottom"/>
          </w:tcPr>
          <w:p w:rsidR="00C2118A" w:rsidRPr="0081461A" w:rsidRDefault="00C2118A" w:rsidP="00E14292">
            <w:pPr>
              <w:jc w:val="right"/>
              <w:rPr>
                <w:rFonts w:ascii="Arial" w:eastAsia="Times New Roman" w:hAnsi="Arial" w:cs="Arial"/>
                <w:sz w:val="20"/>
                <w:szCs w:val="20"/>
              </w:rPr>
            </w:pPr>
            <w:r>
              <w:rPr>
                <w:rFonts w:ascii="Arial" w:eastAsia="Times New Roman" w:hAnsi="Arial" w:cs="Arial"/>
                <w:sz w:val="20"/>
                <w:szCs w:val="20"/>
              </w:rPr>
              <w:t>1.08</w:t>
            </w:r>
          </w:p>
        </w:tc>
        <w:tc>
          <w:tcPr>
            <w:tcW w:w="900" w:type="dxa"/>
            <w:tcBorders>
              <w:top w:val="nil"/>
              <w:left w:val="nil"/>
              <w:bottom w:val="nil"/>
              <w:right w:val="nil"/>
            </w:tcBorders>
            <w:shd w:val="clear" w:color="auto" w:fill="auto"/>
            <w:noWrap/>
            <w:vAlign w:val="bottom"/>
          </w:tcPr>
          <w:p w:rsidR="00C2118A" w:rsidRPr="0081461A" w:rsidRDefault="00C2118A" w:rsidP="00E14292">
            <w:pPr>
              <w:jc w:val="right"/>
              <w:rPr>
                <w:rFonts w:ascii="Arial" w:eastAsia="Times New Roman" w:hAnsi="Arial" w:cs="Arial"/>
                <w:sz w:val="20"/>
                <w:szCs w:val="20"/>
              </w:rPr>
            </w:pPr>
            <w:r>
              <w:rPr>
                <w:rFonts w:ascii="Arial" w:eastAsia="Times New Roman" w:hAnsi="Arial" w:cs="Arial"/>
                <w:sz w:val="20"/>
                <w:szCs w:val="20"/>
              </w:rPr>
              <w:t>3.17</w:t>
            </w:r>
          </w:p>
        </w:tc>
      </w:tr>
      <w:tr w:rsidR="00C2118A" w:rsidRPr="0081461A" w:rsidTr="00C2118A">
        <w:trPr>
          <w:trHeight w:val="255"/>
        </w:trPr>
        <w:tc>
          <w:tcPr>
            <w:tcW w:w="1620" w:type="dxa"/>
            <w:tcBorders>
              <w:top w:val="nil"/>
              <w:left w:val="nil"/>
              <w:bottom w:val="nil"/>
              <w:right w:val="nil"/>
            </w:tcBorders>
            <w:shd w:val="clear" w:color="auto" w:fill="auto"/>
            <w:noWrap/>
            <w:vAlign w:val="bottom"/>
          </w:tcPr>
          <w:p w:rsidR="00C2118A" w:rsidRPr="00C2118A" w:rsidRDefault="00C2118A" w:rsidP="00E14292">
            <w:pPr>
              <w:rPr>
                <w:rFonts w:eastAsia="Times New Roman"/>
                <w:sz w:val="20"/>
                <w:szCs w:val="20"/>
              </w:rPr>
            </w:pPr>
          </w:p>
        </w:tc>
        <w:tc>
          <w:tcPr>
            <w:tcW w:w="630" w:type="dxa"/>
            <w:tcBorders>
              <w:top w:val="nil"/>
              <w:left w:val="nil"/>
              <w:bottom w:val="nil"/>
              <w:right w:val="nil"/>
            </w:tcBorders>
            <w:shd w:val="clear" w:color="auto" w:fill="auto"/>
            <w:noWrap/>
            <w:vAlign w:val="bottom"/>
          </w:tcPr>
          <w:p w:rsidR="00C2118A" w:rsidRPr="00C2118A" w:rsidRDefault="00C2118A" w:rsidP="00E14292">
            <w:pPr>
              <w:rPr>
                <w:rFonts w:eastAsia="Times New Roman"/>
                <w:sz w:val="20"/>
                <w:szCs w:val="20"/>
              </w:rPr>
            </w:pPr>
          </w:p>
        </w:tc>
        <w:tc>
          <w:tcPr>
            <w:tcW w:w="720" w:type="dxa"/>
            <w:tcBorders>
              <w:top w:val="nil"/>
              <w:left w:val="nil"/>
              <w:bottom w:val="nil"/>
              <w:right w:val="nil"/>
            </w:tcBorders>
            <w:shd w:val="clear" w:color="auto" w:fill="auto"/>
            <w:noWrap/>
            <w:vAlign w:val="bottom"/>
          </w:tcPr>
          <w:p w:rsidR="00C2118A" w:rsidRPr="0081461A" w:rsidRDefault="00C2118A" w:rsidP="00E14292">
            <w:pPr>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tcPr>
          <w:p w:rsidR="00C2118A" w:rsidRPr="0081461A" w:rsidRDefault="00C2118A" w:rsidP="00E14292">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tcPr>
          <w:p w:rsidR="00C2118A" w:rsidRPr="0081461A" w:rsidRDefault="00C2118A" w:rsidP="00E14292">
            <w:pPr>
              <w:rPr>
                <w:rFonts w:ascii="Arial" w:eastAsia="Times New Roman" w:hAnsi="Arial" w:cs="Arial"/>
                <w:sz w:val="20"/>
                <w:szCs w:val="20"/>
              </w:rPr>
            </w:pPr>
          </w:p>
        </w:tc>
        <w:tc>
          <w:tcPr>
            <w:tcW w:w="990" w:type="dxa"/>
            <w:tcBorders>
              <w:top w:val="nil"/>
              <w:left w:val="nil"/>
              <w:bottom w:val="nil"/>
              <w:right w:val="nil"/>
            </w:tcBorders>
            <w:shd w:val="clear" w:color="auto" w:fill="auto"/>
            <w:noWrap/>
            <w:vAlign w:val="bottom"/>
          </w:tcPr>
          <w:p w:rsidR="00C2118A" w:rsidRPr="0081461A" w:rsidRDefault="00C2118A" w:rsidP="00E14292">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tcPr>
          <w:p w:rsidR="00C2118A" w:rsidRPr="0081461A" w:rsidRDefault="00C2118A" w:rsidP="00E14292">
            <w:pPr>
              <w:rPr>
                <w:rFonts w:ascii="Arial" w:eastAsia="Times New Roman" w:hAnsi="Arial" w:cs="Arial"/>
                <w:sz w:val="20"/>
                <w:szCs w:val="20"/>
              </w:rPr>
            </w:pPr>
          </w:p>
        </w:tc>
        <w:tc>
          <w:tcPr>
            <w:tcW w:w="990" w:type="dxa"/>
            <w:tcBorders>
              <w:top w:val="nil"/>
              <w:left w:val="nil"/>
              <w:bottom w:val="nil"/>
              <w:right w:val="nil"/>
            </w:tcBorders>
            <w:shd w:val="clear" w:color="auto" w:fill="auto"/>
            <w:noWrap/>
            <w:vAlign w:val="bottom"/>
          </w:tcPr>
          <w:p w:rsidR="00C2118A" w:rsidRPr="0081461A" w:rsidRDefault="00C2118A" w:rsidP="00E14292">
            <w:pPr>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tcPr>
          <w:p w:rsidR="00C2118A" w:rsidRPr="0081461A" w:rsidRDefault="00C2118A" w:rsidP="00E14292">
            <w:pPr>
              <w:rPr>
                <w:rFonts w:ascii="Arial" w:eastAsia="Times New Roman" w:hAnsi="Arial" w:cs="Arial"/>
                <w:sz w:val="20"/>
                <w:szCs w:val="20"/>
              </w:rPr>
            </w:pPr>
          </w:p>
        </w:tc>
      </w:tr>
      <w:tr w:rsidR="00C2118A" w:rsidRPr="0081461A" w:rsidTr="00C2118A">
        <w:trPr>
          <w:trHeight w:val="270"/>
        </w:trPr>
        <w:tc>
          <w:tcPr>
            <w:tcW w:w="1620" w:type="dxa"/>
            <w:tcBorders>
              <w:top w:val="nil"/>
              <w:left w:val="nil"/>
              <w:bottom w:val="double" w:sz="6" w:space="0" w:color="auto"/>
              <w:right w:val="nil"/>
            </w:tcBorders>
            <w:shd w:val="clear" w:color="auto" w:fill="auto"/>
            <w:noWrap/>
            <w:vAlign w:val="bottom"/>
          </w:tcPr>
          <w:p w:rsidR="00C2118A" w:rsidRPr="00C2118A" w:rsidRDefault="00C2118A" w:rsidP="00E14292">
            <w:pPr>
              <w:rPr>
                <w:rFonts w:eastAsia="Times New Roman"/>
                <w:sz w:val="20"/>
                <w:szCs w:val="20"/>
              </w:rPr>
            </w:pPr>
            <w:r w:rsidRPr="00C2118A">
              <w:rPr>
                <w:rFonts w:eastAsia="Times New Roman"/>
                <w:sz w:val="20"/>
                <w:szCs w:val="20"/>
              </w:rPr>
              <w:t>Winner - Loser</w:t>
            </w:r>
          </w:p>
        </w:tc>
        <w:tc>
          <w:tcPr>
            <w:tcW w:w="630" w:type="dxa"/>
            <w:tcBorders>
              <w:top w:val="nil"/>
              <w:left w:val="nil"/>
              <w:bottom w:val="double" w:sz="6" w:space="0" w:color="auto"/>
              <w:right w:val="nil"/>
            </w:tcBorders>
            <w:shd w:val="clear" w:color="auto" w:fill="auto"/>
            <w:noWrap/>
            <w:vAlign w:val="bottom"/>
          </w:tcPr>
          <w:p w:rsidR="00C2118A" w:rsidRPr="00C2118A" w:rsidRDefault="00C2118A" w:rsidP="00E14292">
            <w:pPr>
              <w:jc w:val="right"/>
              <w:rPr>
                <w:rFonts w:eastAsia="Times New Roman"/>
                <w:sz w:val="20"/>
                <w:szCs w:val="20"/>
              </w:rPr>
            </w:pPr>
            <w:r w:rsidRPr="00C2118A">
              <w:rPr>
                <w:rFonts w:eastAsia="Times New Roman"/>
                <w:sz w:val="20"/>
                <w:szCs w:val="20"/>
              </w:rPr>
              <w:t>0.30</w:t>
            </w:r>
          </w:p>
        </w:tc>
        <w:tc>
          <w:tcPr>
            <w:tcW w:w="720" w:type="dxa"/>
            <w:tcBorders>
              <w:top w:val="nil"/>
              <w:left w:val="nil"/>
              <w:bottom w:val="double" w:sz="6" w:space="0" w:color="auto"/>
              <w:right w:val="nil"/>
            </w:tcBorders>
            <w:shd w:val="clear" w:color="auto" w:fill="auto"/>
            <w:noWrap/>
            <w:vAlign w:val="bottom"/>
          </w:tcPr>
          <w:p w:rsidR="00C2118A" w:rsidRPr="0081461A" w:rsidRDefault="00C2118A" w:rsidP="00E14292">
            <w:pPr>
              <w:jc w:val="right"/>
              <w:rPr>
                <w:rFonts w:ascii="Arial" w:eastAsia="Times New Roman" w:hAnsi="Arial" w:cs="Arial"/>
                <w:sz w:val="20"/>
                <w:szCs w:val="20"/>
              </w:rPr>
            </w:pPr>
            <w:r>
              <w:rPr>
                <w:rFonts w:ascii="Arial" w:eastAsia="Times New Roman" w:hAnsi="Arial" w:cs="Arial"/>
                <w:sz w:val="20"/>
                <w:szCs w:val="20"/>
              </w:rPr>
              <w:t>1.97</w:t>
            </w:r>
          </w:p>
        </w:tc>
        <w:tc>
          <w:tcPr>
            <w:tcW w:w="1080" w:type="dxa"/>
            <w:tcBorders>
              <w:top w:val="nil"/>
              <w:left w:val="nil"/>
              <w:bottom w:val="double" w:sz="6" w:space="0" w:color="auto"/>
              <w:right w:val="nil"/>
            </w:tcBorders>
            <w:shd w:val="clear" w:color="auto" w:fill="auto"/>
            <w:noWrap/>
            <w:vAlign w:val="bottom"/>
          </w:tcPr>
          <w:p w:rsidR="00C2118A" w:rsidRPr="0081461A" w:rsidRDefault="00C2118A" w:rsidP="00E14292">
            <w:pPr>
              <w:jc w:val="right"/>
              <w:rPr>
                <w:rFonts w:ascii="Arial" w:eastAsia="Times New Roman" w:hAnsi="Arial" w:cs="Arial"/>
                <w:sz w:val="20"/>
                <w:szCs w:val="20"/>
              </w:rPr>
            </w:pPr>
            <w:r>
              <w:rPr>
                <w:rFonts w:ascii="Arial" w:eastAsia="Times New Roman" w:hAnsi="Arial" w:cs="Arial"/>
                <w:sz w:val="20"/>
                <w:szCs w:val="20"/>
              </w:rPr>
              <w:t>-0.04</w:t>
            </w:r>
          </w:p>
        </w:tc>
        <w:tc>
          <w:tcPr>
            <w:tcW w:w="810" w:type="dxa"/>
            <w:tcBorders>
              <w:top w:val="nil"/>
              <w:left w:val="nil"/>
              <w:bottom w:val="double" w:sz="6" w:space="0" w:color="auto"/>
              <w:right w:val="nil"/>
            </w:tcBorders>
            <w:shd w:val="clear" w:color="auto" w:fill="auto"/>
            <w:noWrap/>
            <w:vAlign w:val="bottom"/>
          </w:tcPr>
          <w:p w:rsidR="00C2118A" w:rsidRPr="0081461A" w:rsidRDefault="00C2118A" w:rsidP="00E14292">
            <w:pPr>
              <w:jc w:val="right"/>
              <w:rPr>
                <w:rFonts w:ascii="Arial" w:eastAsia="Times New Roman" w:hAnsi="Arial" w:cs="Arial"/>
                <w:sz w:val="20"/>
                <w:szCs w:val="20"/>
              </w:rPr>
            </w:pPr>
            <w:r>
              <w:rPr>
                <w:rFonts w:ascii="Arial" w:eastAsia="Times New Roman" w:hAnsi="Arial" w:cs="Arial"/>
                <w:sz w:val="20"/>
                <w:szCs w:val="20"/>
              </w:rPr>
              <w:t>-1.23</w:t>
            </w:r>
          </w:p>
        </w:tc>
        <w:tc>
          <w:tcPr>
            <w:tcW w:w="990" w:type="dxa"/>
            <w:tcBorders>
              <w:top w:val="nil"/>
              <w:left w:val="nil"/>
              <w:bottom w:val="double" w:sz="6" w:space="0" w:color="auto"/>
              <w:right w:val="nil"/>
            </w:tcBorders>
            <w:shd w:val="clear" w:color="auto" w:fill="auto"/>
            <w:noWrap/>
            <w:vAlign w:val="bottom"/>
          </w:tcPr>
          <w:p w:rsidR="00C2118A" w:rsidRPr="0081461A" w:rsidRDefault="00C2118A" w:rsidP="00E14292">
            <w:pPr>
              <w:jc w:val="right"/>
              <w:rPr>
                <w:rFonts w:ascii="Arial" w:eastAsia="Times New Roman" w:hAnsi="Arial" w:cs="Arial"/>
                <w:sz w:val="20"/>
                <w:szCs w:val="20"/>
              </w:rPr>
            </w:pPr>
            <w:r>
              <w:rPr>
                <w:rFonts w:ascii="Arial" w:eastAsia="Times New Roman" w:hAnsi="Arial" w:cs="Arial"/>
                <w:sz w:val="20"/>
                <w:szCs w:val="20"/>
              </w:rPr>
              <w:t>-0.06</w:t>
            </w:r>
          </w:p>
        </w:tc>
        <w:tc>
          <w:tcPr>
            <w:tcW w:w="810" w:type="dxa"/>
            <w:tcBorders>
              <w:top w:val="nil"/>
              <w:left w:val="nil"/>
              <w:bottom w:val="double" w:sz="6" w:space="0" w:color="auto"/>
              <w:right w:val="nil"/>
            </w:tcBorders>
            <w:shd w:val="clear" w:color="auto" w:fill="auto"/>
            <w:noWrap/>
            <w:vAlign w:val="bottom"/>
          </w:tcPr>
          <w:p w:rsidR="00C2118A" w:rsidRPr="0081461A" w:rsidRDefault="00C2118A" w:rsidP="00E14292">
            <w:pPr>
              <w:jc w:val="right"/>
              <w:rPr>
                <w:rFonts w:ascii="Arial" w:eastAsia="Times New Roman" w:hAnsi="Arial" w:cs="Arial"/>
                <w:sz w:val="20"/>
                <w:szCs w:val="20"/>
              </w:rPr>
            </w:pPr>
            <w:r>
              <w:rPr>
                <w:rFonts w:ascii="Arial" w:eastAsia="Times New Roman" w:hAnsi="Arial" w:cs="Arial"/>
                <w:sz w:val="20"/>
                <w:szCs w:val="20"/>
              </w:rPr>
              <w:t>-1.24</w:t>
            </w:r>
          </w:p>
        </w:tc>
        <w:tc>
          <w:tcPr>
            <w:tcW w:w="990" w:type="dxa"/>
            <w:tcBorders>
              <w:top w:val="nil"/>
              <w:left w:val="nil"/>
              <w:bottom w:val="double" w:sz="6" w:space="0" w:color="auto"/>
              <w:right w:val="nil"/>
            </w:tcBorders>
            <w:shd w:val="clear" w:color="auto" w:fill="auto"/>
            <w:noWrap/>
            <w:vAlign w:val="bottom"/>
          </w:tcPr>
          <w:p w:rsidR="00C2118A" w:rsidRPr="0081461A" w:rsidRDefault="00C2118A" w:rsidP="00E14292">
            <w:pPr>
              <w:jc w:val="right"/>
              <w:rPr>
                <w:rFonts w:ascii="Arial" w:eastAsia="Times New Roman" w:hAnsi="Arial" w:cs="Arial"/>
                <w:sz w:val="20"/>
                <w:szCs w:val="20"/>
              </w:rPr>
            </w:pPr>
            <w:r>
              <w:rPr>
                <w:rFonts w:ascii="Arial" w:eastAsia="Times New Roman" w:hAnsi="Arial" w:cs="Arial"/>
                <w:sz w:val="20"/>
                <w:szCs w:val="20"/>
              </w:rPr>
              <w:t>-0.03</w:t>
            </w:r>
          </w:p>
        </w:tc>
        <w:tc>
          <w:tcPr>
            <w:tcW w:w="900" w:type="dxa"/>
            <w:tcBorders>
              <w:top w:val="nil"/>
              <w:left w:val="nil"/>
              <w:bottom w:val="double" w:sz="6" w:space="0" w:color="auto"/>
              <w:right w:val="nil"/>
            </w:tcBorders>
            <w:shd w:val="clear" w:color="auto" w:fill="auto"/>
            <w:noWrap/>
            <w:vAlign w:val="bottom"/>
          </w:tcPr>
          <w:p w:rsidR="00C2118A" w:rsidRPr="0081461A" w:rsidRDefault="00C2118A" w:rsidP="00E14292">
            <w:pPr>
              <w:jc w:val="right"/>
              <w:rPr>
                <w:rFonts w:ascii="Arial" w:eastAsia="Times New Roman" w:hAnsi="Arial" w:cs="Arial"/>
                <w:sz w:val="20"/>
                <w:szCs w:val="20"/>
              </w:rPr>
            </w:pPr>
            <w:r>
              <w:rPr>
                <w:rFonts w:ascii="Arial" w:eastAsia="Times New Roman" w:hAnsi="Arial" w:cs="Arial"/>
                <w:sz w:val="20"/>
                <w:szCs w:val="20"/>
              </w:rPr>
              <w:t>-0.61</w:t>
            </w:r>
          </w:p>
        </w:tc>
      </w:tr>
      <w:tr w:rsidR="00C2118A" w:rsidRPr="0081461A" w:rsidTr="00C2118A">
        <w:trPr>
          <w:trHeight w:val="270"/>
        </w:trPr>
        <w:tc>
          <w:tcPr>
            <w:tcW w:w="1620" w:type="dxa"/>
            <w:tcBorders>
              <w:top w:val="nil"/>
              <w:left w:val="nil"/>
              <w:bottom w:val="nil"/>
              <w:right w:val="nil"/>
            </w:tcBorders>
            <w:shd w:val="clear" w:color="auto" w:fill="auto"/>
            <w:noWrap/>
            <w:vAlign w:val="bottom"/>
          </w:tcPr>
          <w:p w:rsidR="00C2118A" w:rsidRPr="00C2118A" w:rsidRDefault="00C2118A" w:rsidP="00E14292">
            <w:pPr>
              <w:rPr>
                <w:rFonts w:eastAsia="Times New Roman"/>
                <w:sz w:val="20"/>
                <w:szCs w:val="20"/>
              </w:rPr>
            </w:pPr>
          </w:p>
        </w:tc>
        <w:tc>
          <w:tcPr>
            <w:tcW w:w="630" w:type="dxa"/>
            <w:tcBorders>
              <w:top w:val="nil"/>
              <w:left w:val="nil"/>
              <w:bottom w:val="nil"/>
              <w:right w:val="nil"/>
            </w:tcBorders>
            <w:shd w:val="clear" w:color="auto" w:fill="auto"/>
            <w:noWrap/>
            <w:vAlign w:val="bottom"/>
          </w:tcPr>
          <w:p w:rsidR="00C2118A" w:rsidRPr="00C2118A" w:rsidRDefault="00C2118A" w:rsidP="00E14292">
            <w:pPr>
              <w:rPr>
                <w:rFonts w:eastAsia="Times New Roman"/>
                <w:sz w:val="20"/>
                <w:szCs w:val="20"/>
              </w:rPr>
            </w:pPr>
          </w:p>
        </w:tc>
        <w:tc>
          <w:tcPr>
            <w:tcW w:w="720" w:type="dxa"/>
            <w:tcBorders>
              <w:top w:val="nil"/>
              <w:left w:val="nil"/>
              <w:bottom w:val="nil"/>
              <w:right w:val="nil"/>
            </w:tcBorders>
            <w:shd w:val="clear" w:color="auto" w:fill="auto"/>
            <w:noWrap/>
            <w:vAlign w:val="bottom"/>
          </w:tcPr>
          <w:p w:rsidR="00C2118A" w:rsidRPr="0081461A" w:rsidRDefault="00C2118A" w:rsidP="00E14292">
            <w:pPr>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tcPr>
          <w:p w:rsidR="00C2118A" w:rsidRPr="0081461A" w:rsidRDefault="00C2118A" w:rsidP="00E14292">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tcPr>
          <w:p w:rsidR="00C2118A" w:rsidRPr="0081461A" w:rsidRDefault="00C2118A" w:rsidP="00E14292">
            <w:pPr>
              <w:rPr>
                <w:rFonts w:ascii="Arial" w:eastAsia="Times New Roman" w:hAnsi="Arial" w:cs="Arial"/>
                <w:sz w:val="20"/>
                <w:szCs w:val="20"/>
              </w:rPr>
            </w:pPr>
          </w:p>
        </w:tc>
        <w:tc>
          <w:tcPr>
            <w:tcW w:w="990" w:type="dxa"/>
            <w:tcBorders>
              <w:top w:val="nil"/>
              <w:left w:val="nil"/>
              <w:bottom w:val="nil"/>
              <w:right w:val="nil"/>
            </w:tcBorders>
            <w:shd w:val="clear" w:color="auto" w:fill="auto"/>
            <w:noWrap/>
            <w:vAlign w:val="bottom"/>
          </w:tcPr>
          <w:p w:rsidR="00C2118A" w:rsidRPr="0081461A" w:rsidRDefault="00C2118A" w:rsidP="00E14292">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tcPr>
          <w:p w:rsidR="00C2118A" w:rsidRPr="0081461A" w:rsidRDefault="00C2118A" w:rsidP="00E14292">
            <w:pPr>
              <w:rPr>
                <w:rFonts w:ascii="Arial" w:eastAsia="Times New Roman" w:hAnsi="Arial" w:cs="Arial"/>
                <w:sz w:val="20"/>
                <w:szCs w:val="20"/>
              </w:rPr>
            </w:pPr>
          </w:p>
        </w:tc>
        <w:tc>
          <w:tcPr>
            <w:tcW w:w="990" w:type="dxa"/>
            <w:tcBorders>
              <w:top w:val="nil"/>
              <w:left w:val="nil"/>
              <w:bottom w:val="nil"/>
              <w:right w:val="nil"/>
            </w:tcBorders>
            <w:shd w:val="clear" w:color="auto" w:fill="auto"/>
            <w:noWrap/>
            <w:vAlign w:val="bottom"/>
          </w:tcPr>
          <w:p w:rsidR="00C2118A" w:rsidRPr="0081461A" w:rsidRDefault="00C2118A" w:rsidP="00E14292">
            <w:pPr>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tcPr>
          <w:p w:rsidR="00C2118A" w:rsidRPr="0081461A" w:rsidRDefault="00C2118A" w:rsidP="00E14292">
            <w:pPr>
              <w:rPr>
                <w:rFonts w:ascii="Arial" w:eastAsia="Times New Roman" w:hAnsi="Arial" w:cs="Arial"/>
                <w:sz w:val="20"/>
                <w:szCs w:val="20"/>
              </w:rPr>
            </w:pPr>
          </w:p>
        </w:tc>
      </w:tr>
      <w:tr w:rsidR="00C2118A" w:rsidRPr="00C2118A" w:rsidTr="00C2118A">
        <w:trPr>
          <w:trHeight w:val="255"/>
        </w:trPr>
        <w:tc>
          <w:tcPr>
            <w:tcW w:w="8550" w:type="dxa"/>
            <w:gridSpan w:val="9"/>
            <w:vMerge w:val="restart"/>
            <w:tcBorders>
              <w:top w:val="nil"/>
              <w:left w:val="nil"/>
              <w:bottom w:val="nil"/>
              <w:right w:val="nil"/>
            </w:tcBorders>
            <w:shd w:val="clear" w:color="auto" w:fill="auto"/>
          </w:tcPr>
          <w:p w:rsidR="00C2118A" w:rsidRPr="00C2118A" w:rsidRDefault="00C2118A" w:rsidP="00E14292">
            <w:pPr>
              <w:jc w:val="both"/>
              <w:rPr>
                <w:rFonts w:eastAsia="Times New Roman"/>
                <w:sz w:val="20"/>
                <w:szCs w:val="20"/>
              </w:rPr>
            </w:pPr>
            <w:r w:rsidRPr="00C2118A">
              <w:rPr>
                <w:rFonts w:eastAsia="Times New Roman"/>
                <w:sz w:val="20"/>
                <w:szCs w:val="20"/>
              </w:rPr>
              <w:t xml:space="preserve">SMB and HML factor data are from Kenneth French's website and the market return from the MSCI world index monthly data. Risk free rate is 1 Month T-bill rate. The 6-6 momentum strategy is to buy the past 6 month winner and hold the portfolio for the next 6 months. </w:t>
            </w:r>
          </w:p>
        </w:tc>
      </w:tr>
      <w:tr w:rsidR="00C2118A" w:rsidRPr="0081461A" w:rsidTr="00C2118A">
        <w:trPr>
          <w:trHeight w:val="255"/>
        </w:trPr>
        <w:tc>
          <w:tcPr>
            <w:tcW w:w="8550" w:type="dxa"/>
            <w:gridSpan w:val="9"/>
            <w:vMerge/>
            <w:tcBorders>
              <w:top w:val="nil"/>
              <w:left w:val="nil"/>
              <w:bottom w:val="nil"/>
              <w:right w:val="nil"/>
            </w:tcBorders>
            <w:vAlign w:val="center"/>
          </w:tcPr>
          <w:p w:rsidR="00C2118A" w:rsidRPr="0081461A" w:rsidRDefault="00C2118A" w:rsidP="00E14292">
            <w:pPr>
              <w:rPr>
                <w:rFonts w:ascii="Arial" w:eastAsia="Times New Roman" w:hAnsi="Arial" w:cs="Arial"/>
                <w:sz w:val="18"/>
                <w:szCs w:val="18"/>
              </w:rPr>
            </w:pPr>
          </w:p>
        </w:tc>
      </w:tr>
    </w:tbl>
    <w:p w:rsidR="00C2118A" w:rsidRDefault="00C2118A" w:rsidP="0083145D">
      <w:pPr>
        <w:adjustRightInd w:val="0"/>
        <w:snapToGrid w:val="0"/>
        <w:spacing w:line="480" w:lineRule="auto"/>
        <w:jc w:val="both"/>
        <w:rPr>
          <w:b/>
          <w:lang w:eastAsia="zh-CN"/>
        </w:rPr>
      </w:pPr>
    </w:p>
    <w:p w:rsidR="005C3EB8" w:rsidRPr="0044397C" w:rsidRDefault="00AE3744" w:rsidP="0083145D">
      <w:pPr>
        <w:adjustRightInd w:val="0"/>
        <w:snapToGrid w:val="0"/>
        <w:spacing w:line="480" w:lineRule="auto"/>
        <w:jc w:val="both"/>
        <w:rPr>
          <w:b/>
        </w:rPr>
      </w:pPr>
      <w:r>
        <w:rPr>
          <w:b/>
          <w:lang w:eastAsia="zh-CN"/>
        </w:rPr>
        <w:t xml:space="preserve">2. </w:t>
      </w:r>
      <w:r w:rsidR="00B95FAA" w:rsidRPr="0044397C">
        <w:rPr>
          <w:b/>
          <w:lang w:eastAsia="zh-CN"/>
        </w:rPr>
        <w:t>Transaction Costs</w:t>
      </w:r>
    </w:p>
    <w:p w:rsidR="0083145D" w:rsidRDefault="000E5A16" w:rsidP="00AE3744">
      <w:pPr>
        <w:adjustRightInd w:val="0"/>
        <w:snapToGrid w:val="0"/>
        <w:spacing w:line="480" w:lineRule="auto"/>
        <w:ind w:firstLineChars="300" w:firstLine="720"/>
        <w:jc w:val="both"/>
      </w:pPr>
      <w:r>
        <w:t>So far we</w:t>
      </w:r>
      <w:r w:rsidR="00A302D5">
        <w:t xml:space="preserve"> do no</w:t>
      </w:r>
      <w:r w:rsidR="00C941A8">
        <w:t>t consider any</w:t>
      </w:r>
      <w:r w:rsidR="00B95FAA">
        <w:t xml:space="preserve"> transaction cost involved in the momentum strategy.</w:t>
      </w:r>
      <w:r w:rsidR="00C941A8" w:rsidRPr="00C941A8">
        <w:rPr>
          <w:sz w:val="22"/>
          <w:szCs w:val="22"/>
        </w:rPr>
        <w:t xml:space="preserve"> </w:t>
      </w:r>
      <w:r w:rsidR="00C941A8">
        <w:t>Total</w:t>
      </w:r>
      <w:r w:rsidR="00C941A8" w:rsidRPr="00C941A8">
        <w:t xml:space="preserve"> costs include not only the bid-ask spread but also applicable commissions</w:t>
      </w:r>
      <w:r w:rsidR="00C941A8">
        <w:rPr>
          <w:sz w:val="22"/>
          <w:szCs w:val="22"/>
        </w:rPr>
        <w:t xml:space="preserve">. </w:t>
      </w:r>
      <w:r w:rsidR="00B95FAA">
        <w:t xml:space="preserve"> </w:t>
      </w:r>
      <w:r w:rsidR="00492B38">
        <w:t>In this study,</w:t>
      </w:r>
      <w:r w:rsidR="007729F0">
        <w:t xml:space="preserve"> 15 well-div</w:t>
      </w:r>
      <w:r w:rsidR="009150F5">
        <w:t>ersified country index ETFs for</w:t>
      </w:r>
      <w:r w:rsidR="007729F0">
        <w:t xml:space="preserve"> the developed markets</w:t>
      </w:r>
      <w:r w:rsidR="00492B38">
        <w:t xml:space="preserve"> are used</w:t>
      </w:r>
      <w:r w:rsidR="007729F0">
        <w:t>, so the investors can buy and sell these ETFs easily</w:t>
      </w:r>
      <w:r w:rsidR="00602908">
        <w:t xml:space="preserve">. </w:t>
      </w:r>
      <w:r w:rsidR="009150F5">
        <w:t>Also</w:t>
      </w:r>
      <w:r w:rsidR="007729F0">
        <w:t xml:space="preserve">, since these ETFs are </w:t>
      </w:r>
      <w:r w:rsidR="00492B38">
        <w:t>well diversified</w:t>
      </w:r>
      <w:r w:rsidR="007729F0">
        <w:t xml:space="preserve">, the spread between bid and ask is small relative to illiquid small stocks. </w:t>
      </w:r>
      <w:r w:rsidR="00F634CD">
        <w:t>Furthermore, the monthly momentum strategies</w:t>
      </w:r>
      <w:r w:rsidR="009150F5">
        <w:t xml:space="preserve"> provided in this paper</w:t>
      </w:r>
      <w:r w:rsidR="00F634CD">
        <w:t xml:space="preserve"> have much lower costs than the daily momentum strategies. </w:t>
      </w:r>
      <w:r w:rsidR="007729F0">
        <w:t>However, the momentum strategies</w:t>
      </w:r>
      <w:r w:rsidR="00E02D07">
        <w:t xml:space="preserve"> in this study</w:t>
      </w:r>
      <w:r w:rsidR="007729F0">
        <w:t xml:space="preserve"> </w:t>
      </w:r>
      <w:r w:rsidR="009150F5">
        <w:t xml:space="preserve">do </w:t>
      </w:r>
      <w:r w:rsidR="007729F0">
        <w:t xml:space="preserve">require </w:t>
      </w:r>
      <w:r w:rsidR="009150F5">
        <w:t>some</w:t>
      </w:r>
      <w:r w:rsidR="00E02D07">
        <w:t>what intensive trading</w:t>
      </w:r>
      <w:r w:rsidR="007729F0">
        <w:t xml:space="preserve">, </w:t>
      </w:r>
      <w:r w:rsidR="00E02D07">
        <w:t xml:space="preserve">so </w:t>
      </w:r>
      <w:r w:rsidR="007729F0">
        <w:t>t</w:t>
      </w:r>
      <w:r w:rsidR="008154D9" w:rsidRPr="00FA5714">
        <w:t xml:space="preserve">he </w:t>
      </w:r>
      <w:r w:rsidR="007729F0">
        <w:t xml:space="preserve">transaction </w:t>
      </w:r>
      <w:r w:rsidR="008154D9" w:rsidRPr="00FA5714">
        <w:t>costs can lower the</w:t>
      </w:r>
      <w:r w:rsidR="00602908">
        <w:t xml:space="preserve"> </w:t>
      </w:r>
      <w:r w:rsidR="008154D9" w:rsidRPr="00FA5714">
        <w:t xml:space="preserve">actual returns. </w:t>
      </w:r>
    </w:p>
    <w:p w:rsidR="0083145D" w:rsidRDefault="008154D9" w:rsidP="00AE3744">
      <w:pPr>
        <w:adjustRightInd w:val="0"/>
        <w:snapToGrid w:val="0"/>
        <w:spacing w:line="480" w:lineRule="auto"/>
        <w:ind w:firstLineChars="300" w:firstLine="720"/>
        <w:jc w:val="both"/>
      </w:pPr>
      <w:r w:rsidRPr="00FA5714">
        <w:lastRenderedPageBreak/>
        <w:t xml:space="preserve">To examine the effect of transactions costs, </w:t>
      </w:r>
      <w:r w:rsidR="000E5A16">
        <w:t>we</w:t>
      </w:r>
      <w:r w:rsidR="0037485A">
        <w:t xml:space="preserve"> c</w:t>
      </w:r>
      <w:r w:rsidR="00F634CD">
        <w:t>onsider the case with J = 6 and K = 6</w:t>
      </w:r>
      <w:r w:rsidR="00AA6923">
        <w:t>:</w:t>
      </w:r>
      <w:r w:rsidRPr="00FA5714">
        <w:t xml:space="preserve"> </w:t>
      </w:r>
      <w:r w:rsidR="00EE5A91">
        <w:t xml:space="preserve">each of </w:t>
      </w:r>
      <w:r w:rsidRPr="00FA5714">
        <w:t>the winner and loser</w:t>
      </w:r>
      <w:r w:rsidR="00602908">
        <w:t xml:space="preserve"> </w:t>
      </w:r>
      <w:r w:rsidRPr="00FA5714">
        <w:t xml:space="preserve">portfolios </w:t>
      </w:r>
      <w:r w:rsidR="00EE5A91">
        <w:t>consists of 3 ETFs,</w:t>
      </w:r>
      <w:r w:rsidR="0037485A">
        <w:t xml:space="preserve"> s</w:t>
      </w:r>
      <w:r w:rsidR="00EE5A91">
        <w:t>o the investor needs a maximum of 24 trades per year for the winner-loser momentum strategy.</w:t>
      </w:r>
      <w:r w:rsidR="0037485A">
        <w:t xml:space="preserve"> </w:t>
      </w:r>
      <w:r w:rsidR="00F11293">
        <w:t>As of 2015</w:t>
      </w:r>
      <w:r w:rsidR="009150F5">
        <w:t xml:space="preserve">, some </w:t>
      </w:r>
      <w:r w:rsidR="001950B3">
        <w:t>discount</w:t>
      </w:r>
      <w:r w:rsidR="00EE5A91">
        <w:t xml:space="preserve"> online broker</w:t>
      </w:r>
      <w:r w:rsidR="00A14BE7">
        <w:t>s</w:t>
      </w:r>
      <w:r w:rsidR="00EE5A91">
        <w:t xml:space="preserve"> charge $10 or less per trade, so the total trading cost is $240</w:t>
      </w:r>
      <w:r w:rsidR="00D61321">
        <w:t xml:space="preserve"> per year</w:t>
      </w:r>
      <w:r w:rsidR="00EE5A91">
        <w:t xml:space="preserve">. Assuming </w:t>
      </w:r>
      <w:r w:rsidR="00D557F8">
        <w:t>the to</w:t>
      </w:r>
      <w:r w:rsidR="00E01A82">
        <w:t>tal investment is $100</w:t>
      </w:r>
      <w:r w:rsidR="00C941A8">
        <w:t>,000</w:t>
      </w:r>
      <w:r w:rsidR="00E9260F">
        <w:t xml:space="preserve"> or more</w:t>
      </w:r>
      <w:r w:rsidR="00C941A8">
        <w:t xml:space="preserve">, </w:t>
      </w:r>
      <w:r w:rsidR="009150F5">
        <w:t xml:space="preserve">the total </w:t>
      </w:r>
      <w:r w:rsidR="00E01A82">
        <w:t>trading cost should be below 0.24</w:t>
      </w:r>
      <w:r w:rsidR="00E9260F">
        <w:t xml:space="preserve">%. </w:t>
      </w:r>
      <w:r w:rsidR="001B0C3A" w:rsidRPr="00FA5714">
        <w:t>This produces an</w:t>
      </w:r>
      <w:r w:rsidR="001B0C3A">
        <w:t xml:space="preserve"> </w:t>
      </w:r>
      <w:r w:rsidR="001B0C3A" w:rsidRPr="00FA5714">
        <w:t xml:space="preserve">after-cost excess return of </w:t>
      </w:r>
      <w:r w:rsidR="00E01A82">
        <w:t>3.24% - 0.24</w:t>
      </w:r>
      <w:r w:rsidR="000D4AA5">
        <w:t>%</w:t>
      </w:r>
      <w:r w:rsidR="00E01A82">
        <w:t>= 3</w:t>
      </w:r>
      <w:r w:rsidR="001B0C3A">
        <w:t xml:space="preserve">% per year, </w:t>
      </w:r>
      <w:r w:rsidR="001B0C3A" w:rsidRPr="00FA5714">
        <w:t>which remains an economically</w:t>
      </w:r>
      <w:r w:rsidR="001B0C3A">
        <w:t xml:space="preserve"> </w:t>
      </w:r>
      <w:r w:rsidR="001B0C3A" w:rsidRPr="00FA5714">
        <w:t>significant figure</w:t>
      </w:r>
      <w:r w:rsidR="00E01A82">
        <w:t xml:space="preserve"> today</w:t>
      </w:r>
      <w:r w:rsidR="001B0C3A" w:rsidRPr="00FA5714">
        <w:t xml:space="preserve">. </w:t>
      </w:r>
    </w:p>
    <w:p w:rsidR="008154D9" w:rsidRDefault="008154D9" w:rsidP="00AE3744">
      <w:pPr>
        <w:adjustRightInd w:val="0"/>
        <w:snapToGrid w:val="0"/>
        <w:spacing w:line="480" w:lineRule="auto"/>
        <w:ind w:firstLineChars="300" w:firstLine="720"/>
        <w:jc w:val="both"/>
      </w:pPr>
      <w:r w:rsidRPr="00FA5714">
        <w:t xml:space="preserve">In sum, the </w:t>
      </w:r>
      <w:r w:rsidR="00544775">
        <w:t>robustness checks</w:t>
      </w:r>
      <w:r w:rsidRPr="00FA5714">
        <w:t xml:space="preserve"> presented in this subsection suggest that </w:t>
      </w:r>
      <w:r w:rsidR="00544775">
        <w:t>the global momentum strategies are robust to the market risk and size and value factors. Even after considering intensive transaction</w:t>
      </w:r>
      <w:r w:rsidR="00A302D5">
        <w:t>s</w:t>
      </w:r>
      <w:r w:rsidR="00544775">
        <w:t xml:space="preserve"> involved in the strategies, ETFs investors can </w:t>
      </w:r>
      <w:r w:rsidR="000B157B">
        <w:t xml:space="preserve">still </w:t>
      </w:r>
      <w:r w:rsidR="00544775">
        <w:t>profit from global momentum</w:t>
      </w:r>
      <w:r w:rsidRPr="00FA5714">
        <w:t xml:space="preserve">. </w:t>
      </w:r>
    </w:p>
    <w:p w:rsidR="00AE3744" w:rsidRDefault="00AE3744" w:rsidP="0083145D">
      <w:pPr>
        <w:adjustRightInd w:val="0"/>
        <w:snapToGrid w:val="0"/>
        <w:spacing w:line="480" w:lineRule="auto"/>
        <w:jc w:val="both"/>
        <w:rPr>
          <w:b/>
        </w:rPr>
      </w:pPr>
    </w:p>
    <w:p w:rsidR="00544775" w:rsidRPr="00AE3744" w:rsidRDefault="00AE3744" w:rsidP="0083145D">
      <w:pPr>
        <w:adjustRightInd w:val="0"/>
        <w:snapToGrid w:val="0"/>
        <w:spacing w:line="480" w:lineRule="auto"/>
        <w:jc w:val="both"/>
        <w:rPr>
          <w:b/>
        </w:rPr>
      </w:pPr>
      <w:r w:rsidRPr="00AE3744">
        <w:rPr>
          <w:b/>
        </w:rPr>
        <w:t xml:space="preserve">IV. </w:t>
      </w:r>
      <w:r w:rsidR="00544775" w:rsidRPr="00AE3744">
        <w:rPr>
          <w:b/>
        </w:rPr>
        <w:t>Behavioral Explanations</w:t>
      </w:r>
    </w:p>
    <w:p w:rsidR="0083145D" w:rsidRDefault="00E02D07" w:rsidP="00AE3744">
      <w:pPr>
        <w:adjustRightInd w:val="0"/>
        <w:snapToGrid w:val="0"/>
        <w:spacing w:line="480" w:lineRule="auto"/>
        <w:ind w:firstLineChars="300" w:firstLine="720"/>
        <w:jc w:val="both"/>
      </w:pPr>
      <w:r w:rsidRPr="00FA5714">
        <w:t>Hong and Stein</w:t>
      </w:r>
      <w:r>
        <w:t xml:space="preserve"> (1</w:t>
      </w:r>
      <w:r w:rsidR="00580268">
        <w:t>999</w:t>
      </w:r>
      <w:r>
        <w:t>) argue that</w:t>
      </w:r>
      <w:r w:rsidRPr="00FA5714">
        <w:t xml:space="preserve"> momentum profits </w:t>
      </w:r>
      <w:r>
        <w:t>r</w:t>
      </w:r>
      <w:r w:rsidRPr="00FA5714">
        <w:t>esult from stock prices’ irrational reactions to information and investors’ herding</w:t>
      </w:r>
      <w:r>
        <w:t xml:space="preserve"> b</w:t>
      </w:r>
      <w:r w:rsidRPr="00FA5714">
        <w:t>ehavior.</w:t>
      </w:r>
      <w:r>
        <w:t xml:space="preserve"> </w:t>
      </w:r>
      <w:proofErr w:type="spellStart"/>
      <w:r w:rsidR="000D3ADC">
        <w:t>Underreaction</w:t>
      </w:r>
      <w:proofErr w:type="spellEnd"/>
      <w:r w:rsidR="000D3ADC">
        <w:t xml:space="preserve"> theory</w:t>
      </w:r>
      <w:r w:rsidR="00E25E10">
        <w:t xml:space="preserve"> </w:t>
      </w:r>
      <w:r w:rsidR="00912C5C" w:rsidRPr="00FA5714">
        <w:t>stresses a process of gradual adjustment to news. Stock prices initially underrea</w:t>
      </w:r>
      <w:r w:rsidR="00544775">
        <w:t xml:space="preserve">ct to the news, and then </w:t>
      </w:r>
      <w:r w:rsidR="00912C5C" w:rsidRPr="00FA5714">
        <w:t xml:space="preserve">adjust over time so that the long-term response is the appropriate rational one. </w:t>
      </w:r>
    </w:p>
    <w:p w:rsidR="0083145D" w:rsidRDefault="00912C5C" w:rsidP="00AE3744">
      <w:pPr>
        <w:adjustRightInd w:val="0"/>
        <w:snapToGrid w:val="0"/>
        <w:spacing w:line="480" w:lineRule="auto"/>
        <w:ind w:firstLineChars="300" w:firstLine="720"/>
        <w:jc w:val="both"/>
      </w:pPr>
      <w:proofErr w:type="spellStart"/>
      <w:r w:rsidRPr="00FA5714">
        <w:t>Underreaction</w:t>
      </w:r>
      <w:proofErr w:type="spellEnd"/>
      <w:r w:rsidRPr="00FA5714">
        <w:t xml:space="preserve"> is most likely to occur when fundamental news arrives that has important implications for the future cash flows of a stock. It is caused by the limited ability of most investors to access and process information, and by overconfidence that leads investors to cling to their original views even in the face of re</w:t>
      </w:r>
      <w:r w:rsidR="00544775">
        <w:t xml:space="preserve">levant new information (Daniel, </w:t>
      </w:r>
      <w:proofErr w:type="spellStart"/>
      <w:r w:rsidRPr="00FA5714">
        <w:t>Hirshleifer</w:t>
      </w:r>
      <w:proofErr w:type="spellEnd"/>
      <w:r w:rsidRPr="00FA5714">
        <w:t xml:space="preserve">, and </w:t>
      </w:r>
      <w:proofErr w:type="spellStart"/>
      <w:r w:rsidRPr="00FA5714">
        <w:t>Subrahmanyam</w:t>
      </w:r>
      <w:proofErr w:type="spellEnd"/>
      <w:r w:rsidRPr="00FA5714">
        <w:t xml:space="preserve"> </w:t>
      </w:r>
      <w:r w:rsidR="00BB1D57">
        <w:t>(</w:t>
      </w:r>
      <w:r w:rsidRPr="00FA5714">
        <w:t>1998</w:t>
      </w:r>
      <w:r w:rsidR="00BB1D57">
        <w:t>)</w:t>
      </w:r>
      <w:r w:rsidRPr="00FA5714">
        <w:t xml:space="preserve">). Rational </w:t>
      </w:r>
      <w:r w:rsidR="000B157B">
        <w:t>investors</w:t>
      </w:r>
      <w:r w:rsidRPr="00FA5714">
        <w:t xml:space="preserve"> do respond to </w:t>
      </w:r>
      <w:r w:rsidRPr="00FA5714">
        <w:lastRenderedPageBreak/>
        <w:t xml:space="preserve">fundamental news, but they do not trade aggressively enough to drive prices all the way to the level that would be justified by fundamentals. Instead, on good news they drive the price up to a level at which it is still profitable to hold the stock, while on bad news they drive the price down to a level at which it is still profitable to short the stock. Over time, as all investors absorb fundamental news, the price adjusts fully to the news and this allows arbitrageurs to unwind their positions profitably. This story is consistent with the strong evidence for momentum in response to fundamental impulses such as earnings announcements or analysts’ forecast revisions. </w:t>
      </w:r>
    </w:p>
    <w:p w:rsidR="0083145D" w:rsidRDefault="00912C5C" w:rsidP="00AE3744">
      <w:pPr>
        <w:adjustRightInd w:val="0"/>
        <w:snapToGrid w:val="0"/>
        <w:spacing w:line="480" w:lineRule="auto"/>
        <w:ind w:firstLineChars="300" w:firstLine="720"/>
        <w:jc w:val="both"/>
      </w:pPr>
      <w:r w:rsidRPr="00FA5714">
        <w:t xml:space="preserve">Overreaction is more likely to be associated with “soft” or qualitative information (Daniel and Titman </w:t>
      </w:r>
      <w:r w:rsidR="00BB1D57">
        <w:t>(</w:t>
      </w:r>
      <w:r w:rsidRPr="00FA5714">
        <w:t>2004</w:t>
      </w:r>
      <w:r w:rsidR="00BB1D57">
        <w:t>)</w:t>
      </w:r>
      <w:r w:rsidRPr="00FA5714">
        <w:t xml:space="preserve">). </w:t>
      </w:r>
      <w:r w:rsidR="00044F3F">
        <w:t xml:space="preserve">For example, investors may </w:t>
      </w:r>
      <w:r w:rsidRPr="00FA5714">
        <w:t>place un</w:t>
      </w:r>
      <w:r w:rsidR="00044F3F">
        <w:t xml:space="preserve">due credence in stories about a website company </w:t>
      </w:r>
      <w:r w:rsidRPr="00FA5714">
        <w:t xml:space="preserve">as a new economic model. Irrationality of this sort generates mispricing that can be exploited by value investors. It may also generate momentum in the short run if irrational investors respond gradually to soft information, if they copy </w:t>
      </w:r>
      <w:proofErr w:type="spellStart"/>
      <w:r w:rsidRPr="00FA5714">
        <w:t>each others’</w:t>
      </w:r>
      <w:proofErr w:type="spellEnd"/>
      <w:r w:rsidRPr="00FA5714">
        <w:t xml:space="preserve"> trades, or if they tend to buy stocks that have performed well recently. These behavior patterns are sometimes described as herding. Evidence on flows into mutual funds does suggest that individual investors are attracted to funds, fund categories, and fund families that have performed well recently, consistent with the herding hypothesis (</w:t>
      </w:r>
      <w:proofErr w:type="spellStart"/>
      <w:r w:rsidRPr="00FA5714">
        <w:t>Sirri</w:t>
      </w:r>
      <w:proofErr w:type="spellEnd"/>
      <w:r w:rsidRPr="00FA5714">
        <w:t xml:space="preserve"> and </w:t>
      </w:r>
      <w:proofErr w:type="spellStart"/>
      <w:r w:rsidRPr="00FA5714">
        <w:t>Tufano</w:t>
      </w:r>
      <w:proofErr w:type="spellEnd"/>
      <w:r w:rsidRPr="00FA5714">
        <w:t xml:space="preserve"> </w:t>
      </w:r>
      <w:r w:rsidR="00BB1D57">
        <w:t>(</w:t>
      </w:r>
      <w:r w:rsidRPr="00FA5714">
        <w:t>1998</w:t>
      </w:r>
      <w:r w:rsidR="00BB1D57">
        <w:t>)</w:t>
      </w:r>
      <w:r w:rsidRPr="00FA5714">
        <w:t xml:space="preserve">). </w:t>
      </w:r>
    </w:p>
    <w:p w:rsidR="0083145D" w:rsidRDefault="00AB0FD1" w:rsidP="00AE3744">
      <w:pPr>
        <w:adjustRightInd w:val="0"/>
        <w:snapToGrid w:val="0"/>
        <w:spacing w:line="480" w:lineRule="auto"/>
        <w:ind w:firstLineChars="300" w:firstLine="720"/>
        <w:jc w:val="both"/>
      </w:pPr>
      <w:r>
        <w:t>There is little</w:t>
      </w:r>
      <w:r w:rsidR="00912C5C" w:rsidRPr="00FA5714">
        <w:t xml:space="preserve"> evidence that herding generates short-run momentum that eventually reverses. One suggestive piece of evidence is provided by </w:t>
      </w:r>
      <w:proofErr w:type="spellStart"/>
      <w:r w:rsidR="00912C5C" w:rsidRPr="00FA5714">
        <w:t>Brunnermeier</w:t>
      </w:r>
      <w:proofErr w:type="spellEnd"/>
      <w:r w:rsidR="00912C5C" w:rsidRPr="00FA5714">
        <w:t xml:space="preserve"> and Nagel (2004), who show that hedge funds rode the technology bubble through the late 1990’s even after technology stocks became wildly overpriced on any conventional measure. These funds appeared to believe that positive short-term momentum would overcome poor lon</w:t>
      </w:r>
      <w:r>
        <w:t xml:space="preserve">g-term </w:t>
      </w:r>
      <w:r>
        <w:lastRenderedPageBreak/>
        <w:t>value, and their strategies</w:t>
      </w:r>
      <w:r w:rsidR="00912C5C" w:rsidRPr="00FA5714">
        <w:t xml:space="preserve"> </w:t>
      </w:r>
      <w:r>
        <w:t>were</w:t>
      </w:r>
      <w:r w:rsidR="00912C5C" w:rsidRPr="00FA5714">
        <w:t xml:space="preserve"> quite successful. Overall, however, the evidence for momentum generated by overreaction is weaker than the evidence for momentum generated by </w:t>
      </w:r>
      <w:proofErr w:type="spellStart"/>
      <w:r w:rsidR="00912C5C" w:rsidRPr="00FA5714">
        <w:t>underreaction</w:t>
      </w:r>
      <w:proofErr w:type="spellEnd"/>
      <w:r w:rsidR="00912C5C" w:rsidRPr="00FA5714">
        <w:t xml:space="preserve"> to fundamentals.</w:t>
      </w:r>
    </w:p>
    <w:p w:rsidR="009A789F" w:rsidRDefault="00624CC7" w:rsidP="00AE3744">
      <w:pPr>
        <w:adjustRightInd w:val="0"/>
        <w:snapToGrid w:val="0"/>
        <w:spacing w:line="480" w:lineRule="auto"/>
        <w:ind w:firstLineChars="300" w:firstLine="720"/>
        <w:jc w:val="both"/>
      </w:pPr>
      <w:r>
        <w:t>The</w:t>
      </w:r>
      <w:r w:rsidR="009A789F" w:rsidRPr="00544775">
        <w:t xml:space="preserve"> studies by Brennan and Cao </w:t>
      </w:r>
      <w:r w:rsidR="00864E8C">
        <w:t>(</w:t>
      </w:r>
      <w:r w:rsidR="009A789F" w:rsidRPr="00544775">
        <w:t>1997</w:t>
      </w:r>
      <w:r w:rsidR="0067019A">
        <w:t>)</w:t>
      </w:r>
      <w:r w:rsidR="009A789F" w:rsidRPr="00544775">
        <w:t xml:space="preserve">, </w:t>
      </w:r>
      <w:proofErr w:type="spellStart"/>
      <w:r w:rsidR="009A789F" w:rsidRPr="00544775">
        <w:t>Choe</w:t>
      </w:r>
      <w:proofErr w:type="spellEnd"/>
      <w:r w:rsidR="009A789F" w:rsidRPr="00544775">
        <w:t xml:space="preserve">, Kho, and </w:t>
      </w:r>
      <w:proofErr w:type="spellStart"/>
      <w:r w:rsidR="009A789F" w:rsidRPr="00544775">
        <w:t>Stulz</w:t>
      </w:r>
      <w:proofErr w:type="spellEnd"/>
      <w:r w:rsidR="009A789F" w:rsidRPr="00544775">
        <w:t xml:space="preserve"> </w:t>
      </w:r>
      <w:r w:rsidR="00864E8C">
        <w:t xml:space="preserve"> (</w:t>
      </w:r>
      <w:r w:rsidR="008D0723">
        <w:t>1999)</w:t>
      </w:r>
      <w:r w:rsidR="009A789F" w:rsidRPr="00544775">
        <w:t>,</w:t>
      </w:r>
      <w:r w:rsidR="00864E8C">
        <w:t xml:space="preserve"> </w:t>
      </w:r>
      <w:r w:rsidR="008D0723">
        <w:t xml:space="preserve">and Clark and </w:t>
      </w:r>
      <w:proofErr w:type="spellStart"/>
      <w:r w:rsidR="008D0723">
        <w:t>Berko</w:t>
      </w:r>
      <w:proofErr w:type="spellEnd"/>
      <w:r w:rsidR="008D0723">
        <w:t xml:space="preserve"> (</w:t>
      </w:r>
      <w:r w:rsidR="009A789F" w:rsidRPr="00544775">
        <w:t>1996</w:t>
      </w:r>
      <w:r w:rsidR="008D0723">
        <w:t>)</w:t>
      </w:r>
      <w:r w:rsidR="009A789F" w:rsidRPr="00544775">
        <w:t xml:space="preserve"> suggest that one may think of investors as having</w:t>
      </w:r>
      <w:r w:rsidR="008D0723">
        <w:t xml:space="preserve"> an informational </w:t>
      </w:r>
      <w:r w:rsidR="009A789F" w:rsidRPr="00544775">
        <w:t>advantage in their home markets, explaining why investors</w:t>
      </w:r>
      <w:r w:rsidR="008D0723">
        <w:t xml:space="preserve"> </w:t>
      </w:r>
      <w:r w:rsidR="009A789F" w:rsidRPr="00544775">
        <w:t>might have a home bias. In this view, suppose that favorable news is</w:t>
      </w:r>
      <w:r w:rsidR="008D0723">
        <w:t xml:space="preserve"> </w:t>
      </w:r>
      <w:r w:rsidR="009A789F" w:rsidRPr="00544775">
        <w:t>released involving the home market. Foreign investors now raise their valuation</w:t>
      </w:r>
      <w:r w:rsidR="008D0723">
        <w:t xml:space="preserve"> </w:t>
      </w:r>
      <w:r w:rsidR="009A789F" w:rsidRPr="00544775">
        <w:t>b</w:t>
      </w:r>
      <w:r w:rsidR="00785120">
        <w:t>y more than domestic investors.</w:t>
      </w:r>
      <w:r w:rsidR="009A789F" w:rsidRPr="00544775">
        <w:t xml:space="preserve"> Thus, these foreign investors purchase domestic</w:t>
      </w:r>
      <w:r w:rsidR="008D0723">
        <w:t xml:space="preserve"> </w:t>
      </w:r>
      <w:r w:rsidR="009A789F" w:rsidRPr="00544775">
        <w:t>equity at higher prices. As a result, domestic investors, left holding</w:t>
      </w:r>
      <w:r w:rsidR="008D0723">
        <w:t xml:space="preserve"> less domestic equity, </w:t>
      </w:r>
      <w:r w:rsidR="00AE3F3C">
        <w:t xml:space="preserve">become better </w:t>
      </w:r>
      <w:r w:rsidR="009A789F" w:rsidRPr="00544775">
        <w:t>diversified and, for a given perceived</w:t>
      </w:r>
      <w:r w:rsidR="00820BCB">
        <w:t xml:space="preserve"> </w:t>
      </w:r>
      <w:r w:rsidR="009A789F" w:rsidRPr="00544775">
        <w:t>distribution of future dividends, may accept lower expected returns. Domestic</w:t>
      </w:r>
      <w:r w:rsidR="008D0723">
        <w:t xml:space="preserve"> </w:t>
      </w:r>
      <w:r w:rsidR="009A789F" w:rsidRPr="00544775">
        <w:t>equity prices thus initially rise further, but then</w:t>
      </w:r>
      <w:r w:rsidR="00785120">
        <w:t xml:space="preserve"> </w:t>
      </w:r>
      <w:r w:rsidR="009A789F" w:rsidRPr="00544775">
        <w:t>revert over the longer</w:t>
      </w:r>
      <w:r w:rsidR="008D0723">
        <w:t xml:space="preserve"> </w:t>
      </w:r>
      <w:r w:rsidR="009A789F" w:rsidRPr="00544775">
        <w:t>horizon as the broadening of the investors’ base lowers expected returns.</w:t>
      </w:r>
    </w:p>
    <w:p w:rsidR="00AE3744" w:rsidRDefault="00AE3744" w:rsidP="0083145D">
      <w:pPr>
        <w:adjustRightInd w:val="0"/>
        <w:snapToGrid w:val="0"/>
        <w:spacing w:line="480" w:lineRule="auto"/>
        <w:jc w:val="both"/>
        <w:rPr>
          <w:b/>
        </w:rPr>
      </w:pPr>
    </w:p>
    <w:p w:rsidR="0083145D" w:rsidRPr="00AE3744" w:rsidRDefault="00AE3744" w:rsidP="0083145D">
      <w:pPr>
        <w:adjustRightInd w:val="0"/>
        <w:snapToGrid w:val="0"/>
        <w:spacing w:line="480" w:lineRule="auto"/>
        <w:jc w:val="both"/>
        <w:rPr>
          <w:b/>
        </w:rPr>
      </w:pPr>
      <w:r w:rsidRPr="00AE3744">
        <w:rPr>
          <w:b/>
        </w:rPr>
        <w:t xml:space="preserve">V. </w:t>
      </w:r>
      <w:r w:rsidR="005C6F1A" w:rsidRPr="00AE3744">
        <w:rPr>
          <w:b/>
        </w:rPr>
        <w:t>Conclus</w:t>
      </w:r>
      <w:r w:rsidR="0083145D" w:rsidRPr="00AE3744">
        <w:rPr>
          <w:b/>
        </w:rPr>
        <w:t>ion</w:t>
      </w:r>
    </w:p>
    <w:p w:rsidR="0083145D" w:rsidRDefault="00D64907" w:rsidP="00AE3744">
      <w:pPr>
        <w:adjustRightInd w:val="0"/>
        <w:snapToGrid w:val="0"/>
        <w:spacing w:line="480" w:lineRule="auto"/>
        <w:ind w:firstLineChars="300" w:firstLine="720"/>
        <w:jc w:val="both"/>
        <w:rPr>
          <w:lang w:eastAsia="zh-CN"/>
        </w:rPr>
      </w:pPr>
      <w:r w:rsidRPr="00D64907">
        <w:rPr>
          <w:lang w:eastAsia="zh-CN"/>
        </w:rPr>
        <w:t>This p</w:t>
      </w:r>
      <w:r w:rsidR="006D6186">
        <w:rPr>
          <w:lang w:eastAsia="zh-CN"/>
        </w:rPr>
        <w:t>aper examines the profitability</w:t>
      </w:r>
      <w:r w:rsidRPr="00D64907">
        <w:rPr>
          <w:lang w:eastAsia="zh-CN"/>
        </w:rPr>
        <w:t xml:space="preserve"> of </w:t>
      </w:r>
      <w:r w:rsidR="006D6186">
        <w:rPr>
          <w:lang w:eastAsia="zh-CN"/>
        </w:rPr>
        <w:t xml:space="preserve">the momentum strategies </w:t>
      </w:r>
      <w:r w:rsidR="00624CC7">
        <w:rPr>
          <w:lang w:eastAsia="zh-CN"/>
        </w:rPr>
        <w:t>on 15</w:t>
      </w:r>
      <w:r w:rsidR="006D6186">
        <w:rPr>
          <w:lang w:eastAsia="zh-CN"/>
        </w:rPr>
        <w:t xml:space="preserve"> iShares MSCI Index ETFs</w:t>
      </w:r>
      <w:r w:rsidRPr="00D64907">
        <w:rPr>
          <w:lang w:eastAsia="zh-CN"/>
        </w:rPr>
        <w:t xml:space="preserve"> </w:t>
      </w:r>
      <w:r w:rsidR="00624CC7">
        <w:rPr>
          <w:lang w:eastAsia="zh-CN"/>
        </w:rPr>
        <w:t>for the</w:t>
      </w:r>
      <w:r w:rsidRPr="00D64907">
        <w:rPr>
          <w:lang w:eastAsia="zh-CN"/>
        </w:rPr>
        <w:t xml:space="preserve"> developed</w:t>
      </w:r>
      <w:r w:rsidR="00277889">
        <w:rPr>
          <w:lang w:eastAsia="zh-CN"/>
        </w:rPr>
        <w:t xml:space="preserve"> national markets </w:t>
      </w:r>
      <w:r w:rsidR="00C168B9">
        <w:rPr>
          <w:lang w:eastAsia="zh-CN"/>
        </w:rPr>
        <w:t>from</w:t>
      </w:r>
      <w:r w:rsidR="003476BA">
        <w:rPr>
          <w:lang w:eastAsia="zh-CN"/>
        </w:rPr>
        <w:t xml:space="preserve"> April </w:t>
      </w:r>
      <w:r w:rsidR="00785120">
        <w:rPr>
          <w:lang w:eastAsia="zh-CN"/>
        </w:rPr>
        <w:t>1996 to</w:t>
      </w:r>
      <w:r w:rsidR="003476BA">
        <w:rPr>
          <w:lang w:eastAsia="zh-CN"/>
        </w:rPr>
        <w:t xml:space="preserve"> </w:t>
      </w:r>
      <w:r w:rsidR="00E263FB">
        <w:rPr>
          <w:lang w:eastAsia="zh-CN"/>
        </w:rPr>
        <w:t>October</w:t>
      </w:r>
      <w:r w:rsidR="003476BA">
        <w:rPr>
          <w:lang w:eastAsia="zh-CN"/>
        </w:rPr>
        <w:t xml:space="preserve"> </w:t>
      </w:r>
      <w:r w:rsidR="00E263FB">
        <w:rPr>
          <w:lang w:eastAsia="zh-CN"/>
        </w:rPr>
        <w:t>2015</w:t>
      </w:r>
      <w:r w:rsidRPr="00D64907">
        <w:rPr>
          <w:lang w:eastAsia="zh-CN"/>
        </w:rPr>
        <w:t xml:space="preserve">. </w:t>
      </w:r>
      <w:r w:rsidR="00C168B9">
        <w:rPr>
          <w:lang w:eastAsia="zh-CN"/>
        </w:rPr>
        <w:t xml:space="preserve">Since these 15 ETFs have </w:t>
      </w:r>
      <w:r w:rsidR="001A4599">
        <w:rPr>
          <w:lang w:eastAsia="zh-CN"/>
        </w:rPr>
        <w:t>low management fee</w:t>
      </w:r>
      <w:r w:rsidR="003476BA">
        <w:rPr>
          <w:lang w:eastAsia="zh-CN"/>
        </w:rPr>
        <w:t>s</w:t>
      </w:r>
      <w:r w:rsidR="001A4599">
        <w:rPr>
          <w:lang w:eastAsia="zh-CN"/>
        </w:rPr>
        <w:t xml:space="preserve">, tax efficiency and well diversified components, the investor </w:t>
      </w:r>
      <w:r w:rsidR="00785120">
        <w:rPr>
          <w:lang w:eastAsia="zh-CN"/>
        </w:rPr>
        <w:t>may</w:t>
      </w:r>
      <w:r w:rsidR="001A4599">
        <w:rPr>
          <w:lang w:eastAsia="zh-CN"/>
        </w:rPr>
        <w:t xml:space="preserve"> profit from the global momentum. </w:t>
      </w:r>
      <w:r w:rsidR="00785120">
        <w:rPr>
          <w:lang w:eastAsia="zh-CN"/>
        </w:rPr>
        <w:t xml:space="preserve">Using </w:t>
      </w:r>
      <w:r w:rsidR="001A4599">
        <w:rPr>
          <w:lang w:eastAsia="zh-CN"/>
        </w:rPr>
        <w:t>monthl</w:t>
      </w:r>
      <w:r w:rsidR="00785120">
        <w:rPr>
          <w:lang w:eastAsia="zh-CN"/>
        </w:rPr>
        <w:t>y data</w:t>
      </w:r>
      <w:r w:rsidR="000E5A16">
        <w:rPr>
          <w:lang w:eastAsia="zh-CN"/>
        </w:rPr>
        <w:t>, we</w:t>
      </w:r>
      <w:r w:rsidR="00C168B9">
        <w:rPr>
          <w:lang w:eastAsia="zh-CN"/>
        </w:rPr>
        <w:t xml:space="preserve"> find consistently positive </w:t>
      </w:r>
      <w:r w:rsidRPr="00D64907">
        <w:rPr>
          <w:lang w:eastAsia="zh-CN"/>
        </w:rPr>
        <w:t>returns from buying past winners and shor</w:t>
      </w:r>
      <w:r w:rsidR="00C168B9">
        <w:rPr>
          <w:lang w:eastAsia="zh-CN"/>
        </w:rPr>
        <w:t>t selling past losers</w:t>
      </w:r>
      <w:r w:rsidRPr="00D64907">
        <w:rPr>
          <w:lang w:eastAsia="zh-CN"/>
        </w:rPr>
        <w:t xml:space="preserve">. </w:t>
      </w:r>
      <w:r w:rsidR="001A4599">
        <w:rPr>
          <w:lang w:eastAsia="zh-CN"/>
        </w:rPr>
        <w:t xml:space="preserve">Some of </w:t>
      </w:r>
      <w:r w:rsidR="003476BA">
        <w:rPr>
          <w:lang w:eastAsia="zh-CN"/>
        </w:rPr>
        <w:t xml:space="preserve">the </w:t>
      </w:r>
      <w:r w:rsidR="001A4599">
        <w:rPr>
          <w:lang w:eastAsia="zh-CN"/>
        </w:rPr>
        <w:t xml:space="preserve">portfolio </w:t>
      </w:r>
      <w:r w:rsidRPr="00D64907">
        <w:rPr>
          <w:lang w:eastAsia="zh-CN"/>
        </w:rPr>
        <w:t>profits</w:t>
      </w:r>
      <w:r w:rsidR="001A4599">
        <w:rPr>
          <w:lang w:eastAsia="zh-CN"/>
        </w:rPr>
        <w:t xml:space="preserve"> </w:t>
      </w:r>
      <w:r w:rsidRPr="00D64907">
        <w:rPr>
          <w:lang w:eastAsia="zh-CN"/>
        </w:rPr>
        <w:t>are not only statistically but also economic</w:t>
      </w:r>
      <w:r w:rsidR="001A4599">
        <w:rPr>
          <w:lang w:eastAsia="zh-CN"/>
        </w:rPr>
        <w:t xml:space="preserve">ally </w:t>
      </w:r>
      <w:r w:rsidR="001A4599" w:rsidRPr="00D64907">
        <w:rPr>
          <w:lang w:eastAsia="zh-CN"/>
        </w:rPr>
        <w:t>significant</w:t>
      </w:r>
      <w:r w:rsidR="001A4599">
        <w:rPr>
          <w:lang w:eastAsia="zh-CN"/>
        </w:rPr>
        <w:t xml:space="preserve"> after</w:t>
      </w:r>
      <w:r w:rsidR="001A4599" w:rsidRPr="00D64907">
        <w:rPr>
          <w:lang w:eastAsia="zh-CN"/>
        </w:rPr>
        <w:t xml:space="preserve"> </w:t>
      </w:r>
      <w:r w:rsidR="001A4599">
        <w:rPr>
          <w:lang w:eastAsia="zh-CN"/>
        </w:rPr>
        <w:t>transaction costs.</w:t>
      </w:r>
    </w:p>
    <w:p w:rsidR="000E5A16" w:rsidRDefault="000E5A16" w:rsidP="00AE3744">
      <w:pPr>
        <w:adjustRightInd w:val="0"/>
        <w:spacing w:line="480" w:lineRule="auto"/>
        <w:ind w:firstLineChars="300" w:firstLine="720"/>
        <w:jc w:val="both"/>
        <w:rPr>
          <w:lang w:eastAsia="zh-CN"/>
        </w:rPr>
      </w:pPr>
      <w:r>
        <w:rPr>
          <w:lang w:eastAsia="zh-CN"/>
        </w:rPr>
        <w:lastRenderedPageBreak/>
        <w:t>We</w:t>
      </w:r>
      <w:r w:rsidR="001A4599">
        <w:rPr>
          <w:lang w:eastAsia="zh-CN"/>
        </w:rPr>
        <w:t xml:space="preserve"> </w:t>
      </w:r>
      <w:r w:rsidR="00E76A48">
        <w:rPr>
          <w:lang w:eastAsia="zh-CN"/>
        </w:rPr>
        <w:t xml:space="preserve">also </w:t>
      </w:r>
      <w:r w:rsidR="001A4599">
        <w:rPr>
          <w:lang w:eastAsia="zh-CN"/>
        </w:rPr>
        <w:t>investigate the effects of the mark</w:t>
      </w:r>
      <w:r w:rsidR="0083765F">
        <w:rPr>
          <w:lang w:eastAsia="zh-CN"/>
        </w:rPr>
        <w:t>et</w:t>
      </w:r>
      <w:r w:rsidR="001A4599">
        <w:rPr>
          <w:lang w:eastAsia="zh-CN"/>
        </w:rPr>
        <w:t xml:space="preserve"> </w:t>
      </w:r>
      <w:r w:rsidR="00D64907" w:rsidRPr="00D64907">
        <w:rPr>
          <w:lang w:eastAsia="zh-CN"/>
        </w:rPr>
        <w:t>risk</w:t>
      </w:r>
      <w:r w:rsidR="001A4599">
        <w:rPr>
          <w:lang w:eastAsia="zh-CN"/>
        </w:rPr>
        <w:t xml:space="preserve"> and the </w:t>
      </w:r>
      <w:proofErr w:type="spellStart"/>
      <w:r w:rsidR="001A4599">
        <w:rPr>
          <w:lang w:eastAsia="zh-CN"/>
        </w:rPr>
        <w:t>Fama</w:t>
      </w:r>
      <w:proofErr w:type="spellEnd"/>
      <w:r w:rsidR="001A4599">
        <w:rPr>
          <w:lang w:eastAsia="zh-CN"/>
        </w:rPr>
        <w:t xml:space="preserve">-French size and value factors on </w:t>
      </w:r>
      <w:r w:rsidR="00C168B9">
        <w:rPr>
          <w:lang w:eastAsia="zh-CN"/>
        </w:rPr>
        <w:t>the momentum portfolios</w:t>
      </w:r>
      <w:r w:rsidR="00D64907" w:rsidRPr="00D64907">
        <w:rPr>
          <w:lang w:eastAsia="zh-CN"/>
        </w:rPr>
        <w:t xml:space="preserve">. </w:t>
      </w:r>
      <w:r>
        <w:rPr>
          <w:lang w:eastAsia="zh-CN"/>
        </w:rPr>
        <w:t>We</w:t>
      </w:r>
      <w:r w:rsidR="001A4599">
        <w:rPr>
          <w:lang w:eastAsia="zh-CN"/>
        </w:rPr>
        <w:t xml:space="preserve"> find that the momentum profits are robust to these factors. </w:t>
      </w:r>
      <w:r w:rsidR="00064DAF">
        <w:rPr>
          <w:lang w:eastAsia="zh-CN"/>
        </w:rPr>
        <w:t>Even after i</w:t>
      </w:r>
      <w:r w:rsidR="00D64907" w:rsidRPr="00D64907">
        <w:rPr>
          <w:lang w:eastAsia="zh-CN"/>
        </w:rPr>
        <w:t>mposing</w:t>
      </w:r>
      <w:r w:rsidR="003476BA">
        <w:rPr>
          <w:lang w:eastAsia="zh-CN"/>
        </w:rPr>
        <w:t xml:space="preserve"> reasonable transaction</w:t>
      </w:r>
      <w:r w:rsidR="00064DAF">
        <w:rPr>
          <w:lang w:eastAsia="zh-CN"/>
        </w:rPr>
        <w:t xml:space="preserve"> cost</w:t>
      </w:r>
      <w:r w:rsidR="003476BA">
        <w:rPr>
          <w:lang w:eastAsia="zh-CN"/>
        </w:rPr>
        <w:t>s</w:t>
      </w:r>
      <w:r w:rsidR="00064DAF">
        <w:rPr>
          <w:lang w:eastAsia="zh-CN"/>
        </w:rPr>
        <w:t xml:space="preserve">, </w:t>
      </w:r>
      <w:r w:rsidR="001A4599">
        <w:rPr>
          <w:lang w:eastAsia="zh-CN"/>
        </w:rPr>
        <w:t xml:space="preserve">the significant </w:t>
      </w:r>
      <w:r w:rsidR="00D64907" w:rsidRPr="00D64907">
        <w:rPr>
          <w:lang w:eastAsia="zh-CN"/>
        </w:rPr>
        <w:t xml:space="preserve">momentum </w:t>
      </w:r>
      <w:r w:rsidR="008562A1">
        <w:rPr>
          <w:lang w:eastAsia="zh-CN"/>
        </w:rPr>
        <w:t xml:space="preserve">  p</w:t>
      </w:r>
      <w:r w:rsidR="00D64907" w:rsidRPr="00D64907">
        <w:rPr>
          <w:lang w:eastAsia="zh-CN"/>
        </w:rPr>
        <w:t>rofit</w:t>
      </w:r>
      <w:r w:rsidR="001A4599">
        <w:rPr>
          <w:lang w:eastAsia="zh-CN"/>
        </w:rPr>
        <w:t>s</w:t>
      </w:r>
      <w:r w:rsidR="00064DAF">
        <w:rPr>
          <w:lang w:eastAsia="zh-CN"/>
        </w:rPr>
        <w:t xml:space="preserve"> </w:t>
      </w:r>
      <w:r w:rsidR="003476BA">
        <w:rPr>
          <w:lang w:eastAsia="zh-CN"/>
        </w:rPr>
        <w:t xml:space="preserve">still </w:t>
      </w:r>
      <w:r w:rsidR="00064DAF">
        <w:rPr>
          <w:lang w:eastAsia="zh-CN"/>
        </w:rPr>
        <w:t>hold.</w:t>
      </w:r>
      <w:r>
        <w:rPr>
          <w:lang w:eastAsia="zh-CN"/>
        </w:rPr>
        <w:t xml:space="preserve"> </w:t>
      </w:r>
    </w:p>
    <w:p w:rsidR="008C53D3" w:rsidRDefault="000E5A16" w:rsidP="00AE3744">
      <w:pPr>
        <w:adjustRightInd w:val="0"/>
        <w:spacing w:line="480" w:lineRule="auto"/>
        <w:ind w:firstLineChars="300" w:firstLine="720"/>
        <w:jc w:val="both"/>
      </w:pPr>
      <w:r>
        <w:rPr>
          <w:lang w:eastAsia="zh-CN"/>
        </w:rPr>
        <w:t xml:space="preserve"> </w:t>
      </w:r>
      <w:r w:rsidR="00E76A48">
        <w:rPr>
          <w:lang w:eastAsia="zh-CN"/>
        </w:rPr>
        <w:t>The</w:t>
      </w:r>
      <w:r w:rsidR="001A4599">
        <w:rPr>
          <w:lang w:eastAsia="zh-CN"/>
        </w:rPr>
        <w:t xml:space="preserve"> </w:t>
      </w:r>
      <w:r w:rsidR="00064DAF">
        <w:rPr>
          <w:lang w:eastAsia="zh-CN"/>
        </w:rPr>
        <w:t xml:space="preserve">finance </w:t>
      </w:r>
      <w:r w:rsidR="001A4599">
        <w:rPr>
          <w:lang w:eastAsia="zh-CN"/>
        </w:rPr>
        <w:t xml:space="preserve">literature </w:t>
      </w:r>
      <w:r w:rsidR="00E76A48">
        <w:rPr>
          <w:lang w:eastAsia="zh-CN"/>
        </w:rPr>
        <w:t xml:space="preserve">provides </w:t>
      </w:r>
      <w:r w:rsidR="00064DAF">
        <w:rPr>
          <w:lang w:eastAsia="zh-CN"/>
        </w:rPr>
        <w:t xml:space="preserve">a </w:t>
      </w:r>
      <w:r w:rsidR="00E76A48">
        <w:rPr>
          <w:lang w:eastAsia="zh-CN"/>
        </w:rPr>
        <w:t>b</w:t>
      </w:r>
      <w:r w:rsidR="00064DAF">
        <w:t>ehavioral explanation</w:t>
      </w:r>
      <w:r w:rsidR="00E76A48" w:rsidRPr="00FA5714">
        <w:t xml:space="preserve"> of </w:t>
      </w:r>
      <w:r w:rsidR="00E76A48">
        <w:t>momentum</w:t>
      </w:r>
      <w:r w:rsidR="00064DAF">
        <w:t xml:space="preserve"> profit</w:t>
      </w:r>
      <w:r w:rsidR="00E76A48">
        <w:t>: s</w:t>
      </w:r>
      <w:r w:rsidR="008562A1">
        <w:t xml:space="preserve">tock </w:t>
      </w:r>
      <w:r w:rsidR="00E76A48" w:rsidRPr="00FA5714">
        <w:t>prices initially underrea</w:t>
      </w:r>
      <w:r w:rsidR="0083765F">
        <w:t xml:space="preserve">ct to </w:t>
      </w:r>
      <w:r w:rsidR="0083765F">
        <w:rPr>
          <w:lang w:eastAsia="zh-CN"/>
        </w:rPr>
        <w:t>the released news</w:t>
      </w:r>
      <w:r w:rsidR="00E76A48">
        <w:rPr>
          <w:lang w:eastAsia="zh-CN"/>
        </w:rPr>
        <w:t xml:space="preserve">, </w:t>
      </w:r>
      <w:r w:rsidR="00E76A48">
        <w:t xml:space="preserve">and then </w:t>
      </w:r>
      <w:r w:rsidR="00064DAF">
        <w:t>adjust over time</w:t>
      </w:r>
      <w:r w:rsidR="0083145D">
        <w:t>. However,</w:t>
      </w:r>
      <w:r w:rsidR="002B5463">
        <w:t xml:space="preserve"> </w:t>
      </w:r>
      <w:r w:rsidR="00366884">
        <w:t>fur</w:t>
      </w:r>
      <w:r w:rsidR="00E76A48">
        <w:t xml:space="preserve">ther research on the source of the price momentum </w:t>
      </w:r>
      <w:r w:rsidR="0083765F">
        <w:t>is</w:t>
      </w:r>
      <w:r w:rsidR="00624CC7">
        <w:t xml:space="preserve"> needed</w:t>
      </w:r>
      <w:r w:rsidR="00E76A48">
        <w:t xml:space="preserve">. </w:t>
      </w:r>
    </w:p>
    <w:p w:rsidR="00C2118A" w:rsidRDefault="00C2118A" w:rsidP="00B95FAA">
      <w:pPr>
        <w:jc w:val="center"/>
        <w:rPr>
          <w:b/>
          <w:sz w:val="28"/>
          <w:szCs w:val="28"/>
        </w:rPr>
      </w:pPr>
    </w:p>
    <w:p w:rsidR="00AE3744" w:rsidRDefault="00AE3744">
      <w:pPr>
        <w:rPr>
          <w:b/>
          <w:sz w:val="28"/>
          <w:szCs w:val="28"/>
        </w:rPr>
      </w:pPr>
      <w:r>
        <w:rPr>
          <w:b/>
          <w:sz w:val="28"/>
          <w:szCs w:val="28"/>
        </w:rPr>
        <w:br w:type="page"/>
      </w:r>
    </w:p>
    <w:p w:rsidR="00912C5C" w:rsidRPr="009F1C71" w:rsidRDefault="000B092D" w:rsidP="00B95FAA">
      <w:pPr>
        <w:jc w:val="center"/>
        <w:rPr>
          <w:b/>
          <w:sz w:val="28"/>
          <w:szCs w:val="28"/>
        </w:rPr>
      </w:pPr>
      <w:bookmarkStart w:id="0" w:name="_GoBack"/>
      <w:bookmarkEnd w:id="0"/>
      <w:r w:rsidRPr="009F1C71">
        <w:rPr>
          <w:b/>
          <w:sz w:val="28"/>
          <w:szCs w:val="28"/>
        </w:rPr>
        <w:lastRenderedPageBreak/>
        <w:t>Reference</w:t>
      </w:r>
      <w:r w:rsidR="009F1C71">
        <w:rPr>
          <w:b/>
          <w:sz w:val="28"/>
          <w:szCs w:val="28"/>
        </w:rPr>
        <w:t>s</w:t>
      </w:r>
    </w:p>
    <w:p w:rsidR="000B092D" w:rsidRDefault="000B092D" w:rsidP="00AC16F3"/>
    <w:p w:rsidR="000B092D" w:rsidRPr="000B092D" w:rsidRDefault="000B092D" w:rsidP="000B092D">
      <w:pPr>
        <w:rPr>
          <w:sz w:val="22"/>
          <w:szCs w:val="22"/>
        </w:rPr>
      </w:pPr>
    </w:p>
    <w:p w:rsidR="000B092D" w:rsidRPr="00FA370E" w:rsidRDefault="000B092D" w:rsidP="002B5463">
      <w:pPr>
        <w:jc w:val="both"/>
      </w:pPr>
      <w:r w:rsidRPr="0014432C">
        <w:rPr>
          <w:color w:val="000000"/>
        </w:rPr>
        <w:t xml:space="preserve">Ahmet, B., </w:t>
      </w:r>
      <w:proofErr w:type="spellStart"/>
      <w:r w:rsidRPr="0014432C">
        <w:rPr>
          <w:color w:val="000000"/>
        </w:rPr>
        <w:t>Nusret</w:t>
      </w:r>
      <w:proofErr w:type="spellEnd"/>
      <w:r w:rsidRPr="0014432C">
        <w:rPr>
          <w:color w:val="000000"/>
        </w:rPr>
        <w:t>, C., 1999. Do markets overreact? International</w:t>
      </w:r>
      <w:r w:rsidRPr="00FA370E">
        <w:t xml:space="preserve"> evidence. Journal of Banking and Finance 23, 1121– 1144.</w:t>
      </w:r>
    </w:p>
    <w:p w:rsidR="000B092D" w:rsidRPr="00FA370E" w:rsidRDefault="000B092D" w:rsidP="002B5463">
      <w:pPr>
        <w:jc w:val="both"/>
      </w:pPr>
    </w:p>
    <w:p w:rsidR="000B092D" w:rsidRPr="00FA370E" w:rsidRDefault="000B092D" w:rsidP="002B5463">
      <w:pPr>
        <w:jc w:val="both"/>
      </w:pPr>
      <w:proofErr w:type="spellStart"/>
      <w:r w:rsidRPr="00FA370E">
        <w:t>Barberis</w:t>
      </w:r>
      <w:proofErr w:type="spellEnd"/>
      <w:r w:rsidRPr="00FA370E">
        <w:t xml:space="preserve">, N., Shleifer, A., </w:t>
      </w:r>
      <w:proofErr w:type="spellStart"/>
      <w:r w:rsidRPr="00FA370E">
        <w:t>Vishny</w:t>
      </w:r>
      <w:proofErr w:type="spellEnd"/>
      <w:r w:rsidRPr="00FA370E">
        <w:t>, R., 1998. A model of investor sentiment. Journal of Financial Economics 49, 307– 343.</w:t>
      </w:r>
    </w:p>
    <w:p w:rsidR="00544F38" w:rsidRPr="00FA370E" w:rsidRDefault="00544F38" w:rsidP="002B5463">
      <w:pPr>
        <w:jc w:val="both"/>
      </w:pPr>
    </w:p>
    <w:p w:rsidR="00544F38" w:rsidRPr="00FA370E" w:rsidRDefault="009C2FA2" w:rsidP="002B5463">
      <w:pPr>
        <w:jc w:val="both"/>
        <w:rPr>
          <w:i/>
          <w:iCs/>
          <w:lang w:eastAsia="zh-CN"/>
        </w:rPr>
      </w:pPr>
      <w:r>
        <w:rPr>
          <w:lang w:eastAsia="zh-CN"/>
        </w:rPr>
        <w:t xml:space="preserve">Brennan, M. J., </w:t>
      </w:r>
      <w:r w:rsidR="00544F38" w:rsidRPr="00FA370E">
        <w:rPr>
          <w:lang w:eastAsia="zh-CN"/>
        </w:rPr>
        <w:t xml:space="preserve">Cao, </w:t>
      </w:r>
      <w:r w:rsidR="001F7423">
        <w:rPr>
          <w:lang w:eastAsia="zh-CN"/>
        </w:rPr>
        <w:t>H.,</w:t>
      </w:r>
      <w:r w:rsidR="001F7423" w:rsidRPr="00FA370E">
        <w:rPr>
          <w:lang w:eastAsia="zh-CN"/>
        </w:rPr>
        <w:t xml:space="preserve"> </w:t>
      </w:r>
      <w:r w:rsidR="001F7423">
        <w:rPr>
          <w:lang w:eastAsia="zh-CN"/>
        </w:rPr>
        <w:t>1997.</w:t>
      </w:r>
      <w:r w:rsidR="00544F38" w:rsidRPr="00FA370E">
        <w:rPr>
          <w:lang w:eastAsia="zh-CN"/>
        </w:rPr>
        <w:t xml:space="preserve"> International p</w:t>
      </w:r>
      <w:r w:rsidR="00F2107A">
        <w:rPr>
          <w:lang w:eastAsia="zh-CN"/>
        </w:rPr>
        <w:t>ortfolio investment f</w:t>
      </w:r>
      <w:r w:rsidR="007B60CB">
        <w:rPr>
          <w:lang w:eastAsia="zh-CN"/>
        </w:rPr>
        <w:t>lows.</w:t>
      </w:r>
      <w:r w:rsidR="00544F38" w:rsidRPr="00FA370E">
        <w:rPr>
          <w:lang w:eastAsia="zh-CN"/>
        </w:rPr>
        <w:t xml:space="preserve"> </w:t>
      </w:r>
      <w:r w:rsidR="00544F38" w:rsidRPr="00FA370E">
        <w:rPr>
          <w:iCs/>
          <w:lang w:eastAsia="zh-CN"/>
        </w:rPr>
        <w:t>Journal</w:t>
      </w:r>
      <w:r w:rsidR="00FA370E" w:rsidRPr="00FA370E">
        <w:rPr>
          <w:iCs/>
          <w:lang w:eastAsia="zh-CN"/>
        </w:rPr>
        <w:t xml:space="preserve"> </w:t>
      </w:r>
      <w:r w:rsidR="00544F38" w:rsidRPr="00FA370E">
        <w:rPr>
          <w:iCs/>
          <w:lang w:eastAsia="zh-CN"/>
        </w:rPr>
        <w:t>of Finance</w:t>
      </w:r>
      <w:r w:rsidR="00544F38" w:rsidRPr="00FA370E">
        <w:rPr>
          <w:i/>
          <w:iCs/>
          <w:lang w:eastAsia="zh-CN"/>
        </w:rPr>
        <w:t xml:space="preserve"> </w:t>
      </w:r>
      <w:r w:rsidR="00544F38" w:rsidRPr="00FA370E">
        <w:rPr>
          <w:lang w:eastAsia="zh-CN"/>
        </w:rPr>
        <w:t>52, 1851–1880.</w:t>
      </w:r>
    </w:p>
    <w:p w:rsidR="001A48B0" w:rsidRPr="00FA370E" w:rsidRDefault="001A48B0" w:rsidP="002B5463">
      <w:pPr>
        <w:jc w:val="both"/>
        <w:rPr>
          <w:lang w:eastAsia="zh-CN"/>
        </w:rPr>
      </w:pPr>
    </w:p>
    <w:p w:rsidR="001A48B0" w:rsidRPr="00FA370E" w:rsidRDefault="007B60CB" w:rsidP="002B5463">
      <w:pPr>
        <w:jc w:val="both"/>
        <w:rPr>
          <w:color w:val="000000"/>
          <w:lang w:eastAsia="zh-CN"/>
        </w:rPr>
      </w:pPr>
      <w:proofErr w:type="spellStart"/>
      <w:r>
        <w:rPr>
          <w:color w:val="000000"/>
          <w:lang w:eastAsia="zh-CN"/>
        </w:rPr>
        <w:t>Brunnermeier</w:t>
      </w:r>
      <w:proofErr w:type="spellEnd"/>
      <w:r>
        <w:rPr>
          <w:color w:val="000000"/>
          <w:lang w:eastAsia="zh-CN"/>
        </w:rPr>
        <w:t xml:space="preserve">, M. K., </w:t>
      </w:r>
      <w:r w:rsidR="001A48B0" w:rsidRPr="00FA370E">
        <w:rPr>
          <w:color w:val="000000"/>
          <w:lang w:eastAsia="zh-CN"/>
        </w:rPr>
        <w:t xml:space="preserve">Nagel, </w:t>
      </w:r>
      <w:r>
        <w:rPr>
          <w:color w:val="000000"/>
          <w:lang w:eastAsia="zh-CN"/>
        </w:rPr>
        <w:t>S.</w:t>
      </w:r>
      <w:r w:rsidR="001F7423">
        <w:rPr>
          <w:color w:val="000000"/>
          <w:lang w:eastAsia="zh-CN"/>
        </w:rPr>
        <w:t>,</w:t>
      </w:r>
      <w:r w:rsidR="001F7423" w:rsidRPr="00FA370E">
        <w:rPr>
          <w:color w:val="000000"/>
          <w:lang w:eastAsia="zh-CN"/>
        </w:rPr>
        <w:t xml:space="preserve"> </w:t>
      </w:r>
      <w:r>
        <w:rPr>
          <w:color w:val="000000"/>
          <w:lang w:eastAsia="zh-CN"/>
        </w:rPr>
        <w:t>2004.</w:t>
      </w:r>
      <w:r w:rsidR="001A48B0" w:rsidRPr="00FA370E">
        <w:rPr>
          <w:color w:val="000000"/>
          <w:lang w:eastAsia="zh-CN"/>
        </w:rPr>
        <w:t xml:space="preserve"> Hedge </w:t>
      </w:r>
      <w:r>
        <w:rPr>
          <w:color w:val="000000"/>
          <w:lang w:eastAsia="zh-CN"/>
        </w:rPr>
        <w:t>funds and the technology bubble.</w:t>
      </w:r>
      <w:r w:rsidR="00805647">
        <w:rPr>
          <w:color w:val="000000"/>
          <w:lang w:eastAsia="zh-CN"/>
        </w:rPr>
        <w:t xml:space="preserve"> Journal of Finance 59, </w:t>
      </w:r>
      <w:r w:rsidR="00805647">
        <w:t>2013-2040.</w:t>
      </w:r>
    </w:p>
    <w:p w:rsidR="001A48B0" w:rsidRPr="00FA370E" w:rsidRDefault="001A48B0" w:rsidP="002B5463">
      <w:pPr>
        <w:jc w:val="both"/>
        <w:rPr>
          <w:lang w:eastAsia="zh-CN"/>
        </w:rPr>
      </w:pPr>
    </w:p>
    <w:p w:rsidR="009C18B4" w:rsidRPr="00FA370E" w:rsidRDefault="009C18B4" w:rsidP="002B5463">
      <w:pPr>
        <w:jc w:val="both"/>
        <w:rPr>
          <w:lang w:eastAsia="zh-CN"/>
        </w:rPr>
      </w:pPr>
      <w:r w:rsidRPr="00FA370E">
        <w:rPr>
          <w:lang w:eastAsia="zh-CN"/>
        </w:rPr>
        <w:t>Chan, K.C., 1988. On the contrarian investment strategy. Journal of Business 61, 147– 163.</w:t>
      </w:r>
    </w:p>
    <w:p w:rsidR="009C18B4" w:rsidRPr="00FA370E" w:rsidRDefault="009C18B4" w:rsidP="002B5463">
      <w:pPr>
        <w:jc w:val="both"/>
      </w:pPr>
    </w:p>
    <w:p w:rsidR="000B092D" w:rsidRPr="00FA370E" w:rsidRDefault="007B60CB" w:rsidP="002B5463">
      <w:pPr>
        <w:jc w:val="both"/>
      </w:pPr>
      <w:r>
        <w:t>Chan, L.</w:t>
      </w:r>
      <w:r w:rsidR="000B092D" w:rsidRPr="00FA370E">
        <w:t xml:space="preserve"> K., </w:t>
      </w:r>
      <w:proofErr w:type="spellStart"/>
      <w:r w:rsidR="000B092D" w:rsidRPr="00FA370E">
        <w:t>Jegadeesh</w:t>
      </w:r>
      <w:proofErr w:type="spellEnd"/>
      <w:r>
        <w:t>,</w:t>
      </w:r>
      <w:r w:rsidR="007C6FC8" w:rsidRPr="007C6FC8">
        <w:t xml:space="preserve"> </w:t>
      </w:r>
      <w:r>
        <w:t xml:space="preserve">N., </w:t>
      </w:r>
      <w:proofErr w:type="spellStart"/>
      <w:r w:rsidR="000B092D" w:rsidRPr="00FA370E">
        <w:t>Lakonishok</w:t>
      </w:r>
      <w:proofErr w:type="spellEnd"/>
      <w:r w:rsidR="007C6FC8">
        <w:t xml:space="preserve"> </w:t>
      </w:r>
      <w:r>
        <w:t>J.</w:t>
      </w:r>
      <w:r w:rsidR="007C6FC8">
        <w:t>, 1996.</w:t>
      </w:r>
      <w:r>
        <w:t xml:space="preserve"> Momentum strategies.</w:t>
      </w:r>
      <w:r w:rsidR="000B092D" w:rsidRPr="00FA370E">
        <w:t xml:space="preserve"> Journal o</w:t>
      </w:r>
      <w:r>
        <w:t xml:space="preserve">f </w:t>
      </w:r>
      <w:r w:rsidR="000B092D" w:rsidRPr="00FA370E">
        <w:t>Finance 51, 1681-1713.</w:t>
      </w:r>
    </w:p>
    <w:p w:rsidR="000B092D" w:rsidRPr="00FA370E" w:rsidRDefault="000B092D" w:rsidP="00FA370E"/>
    <w:p w:rsidR="000B092D" w:rsidRPr="00FA370E" w:rsidRDefault="000B092D" w:rsidP="002B5463">
      <w:pPr>
        <w:jc w:val="both"/>
      </w:pPr>
      <w:r w:rsidRPr="00FA370E">
        <w:t xml:space="preserve">Chang, R.P., </w:t>
      </w:r>
      <w:proofErr w:type="spellStart"/>
      <w:r w:rsidRPr="00FA370E">
        <w:t>McLeavey</w:t>
      </w:r>
      <w:proofErr w:type="spellEnd"/>
      <w:r w:rsidRPr="00FA370E">
        <w:t xml:space="preserve">, D.W., Rhee, S.G., 1995. Short-term abnormal returns of the contrarian strategy in the Japanese stock market. Journal of Business </w:t>
      </w:r>
      <w:r w:rsidR="007C6FC8">
        <w:t>Finance and Accounting 22, 1035-</w:t>
      </w:r>
      <w:r w:rsidRPr="00FA370E">
        <w:t>1048.</w:t>
      </w:r>
    </w:p>
    <w:p w:rsidR="004E5185" w:rsidRPr="00FA370E" w:rsidRDefault="004E5185" w:rsidP="002B5463">
      <w:pPr>
        <w:jc w:val="both"/>
      </w:pPr>
    </w:p>
    <w:p w:rsidR="00544F38" w:rsidRPr="00FA370E" w:rsidRDefault="00805647" w:rsidP="002B5463">
      <w:pPr>
        <w:jc w:val="both"/>
        <w:rPr>
          <w:lang w:eastAsia="zh-CN"/>
        </w:rPr>
      </w:pPr>
      <w:proofErr w:type="spellStart"/>
      <w:r>
        <w:rPr>
          <w:lang w:eastAsia="zh-CN"/>
        </w:rPr>
        <w:t>Choe</w:t>
      </w:r>
      <w:proofErr w:type="spellEnd"/>
      <w:r>
        <w:rPr>
          <w:lang w:eastAsia="zh-CN"/>
        </w:rPr>
        <w:t xml:space="preserve">, H., </w:t>
      </w:r>
      <w:r w:rsidR="00544F38" w:rsidRPr="00FA370E">
        <w:rPr>
          <w:lang w:eastAsia="zh-CN"/>
        </w:rPr>
        <w:t xml:space="preserve">Kho, </w:t>
      </w:r>
      <w:r>
        <w:rPr>
          <w:lang w:eastAsia="zh-CN"/>
        </w:rPr>
        <w:t xml:space="preserve">B.C., </w:t>
      </w:r>
      <w:proofErr w:type="spellStart"/>
      <w:r w:rsidR="00544F38" w:rsidRPr="00FA370E">
        <w:rPr>
          <w:lang w:eastAsia="zh-CN"/>
        </w:rPr>
        <w:t>Stulz</w:t>
      </w:r>
      <w:proofErr w:type="spellEnd"/>
      <w:r w:rsidR="00544F38" w:rsidRPr="00FA370E">
        <w:rPr>
          <w:lang w:eastAsia="zh-CN"/>
        </w:rPr>
        <w:t xml:space="preserve">, </w:t>
      </w:r>
      <w:r>
        <w:rPr>
          <w:lang w:eastAsia="zh-CN"/>
        </w:rPr>
        <w:t xml:space="preserve">R. M., </w:t>
      </w:r>
      <w:r w:rsidR="00544F38" w:rsidRPr="00FA370E">
        <w:rPr>
          <w:lang w:eastAsia="zh-CN"/>
        </w:rPr>
        <w:t>1999</w:t>
      </w:r>
      <w:r>
        <w:rPr>
          <w:lang w:eastAsia="zh-CN"/>
        </w:rPr>
        <w:t>.</w:t>
      </w:r>
      <w:r w:rsidR="00544F38" w:rsidRPr="00FA370E">
        <w:rPr>
          <w:lang w:eastAsia="zh-CN"/>
        </w:rPr>
        <w:t xml:space="preserve"> Do foreign investors destabilize stock</w:t>
      </w:r>
      <w:r w:rsidR="00FA370E">
        <w:rPr>
          <w:lang w:eastAsia="zh-CN"/>
        </w:rPr>
        <w:t xml:space="preserve"> </w:t>
      </w:r>
      <w:r w:rsidR="00544F38" w:rsidRPr="00FA370E">
        <w:rPr>
          <w:lang w:eastAsia="zh-CN"/>
        </w:rPr>
        <w:t>markets</w:t>
      </w:r>
      <w:r>
        <w:rPr>
          <w:lang w:eastAsia="zh-CN"/>
        </w:rPr>
        <w:t>? The Korean experience in 1997.</w:t>
      </w:r>
      <w:r w:rsidR="00544F38" w:rsidRPr="00FA370E">
        <w:rPr>
          <w:lang w:eastAsia="zh-CN"/>
        </w:rPr>
        <w:t xml:space="preserve"> </w:t>
      </w:r>
      <w:r w:rsidR="00544F38" w:rsidRPr="00FA370E">
        <w:rPr>
          <w:iCs/>
          <w:lang w:eastAsia="zh-CN"/>
        </w:rPr>
        <w:t xml:space="preserve">Journal of Financial Economics </w:t>
      </w:r>
      <w:r w:rsidR="00544F38" w:rsidRPr="00FA370E">
        <w:rPr>
          <w:lang w:eastAsia="zh-CN"/>
        </w:rPr>
        <w:t>54, 227–264.</w:t>
      </w:r>
    </w:p>
    <w:p w:rsidR="00544F38" w:rsidRPr="00FA370E" w:rsidRDefault="00544F38" w:rsidP="002B5463">
      <w:pPr>
        <w:jc w:val="both"/>
      </w:pPr>
    </w:p>
    <w:p w:rsidR="000C0DC5" w:rsidRPr="00FA370E" w:rsidRDefault="000C0DC5" w:rsidP="002B5463">
      <w:pPr>
        <w:jc w:val="both"/>
        <w:rPr>
          <w:lang w:eastAsia="zh-CN"/>
        </w:rPr>
      </w:pPr>
      <w:r w:rsidRPr="00FA370E">
        <w:rPr>
          <w:lang w:eastAsia="zh-CN"/>
        </w:rPr>
        <w:t xml:space="preserve">Chordia, T., </w:t>
      </w:r>
      <w:proofErr w:type="spellStart"/>
      <w:r w:rsidRPr="00FA370E">
        <w:rPr>
          <w:lang w:eastAsia="zh-CN"/>
        </w:rPr>
        <w:t>Shivakumar</w:t>
      </w:r>
      <w:proofErr w:type="spellEnd"/>
      <w:r w:rsidRPr="00FA370E">
        <w:rPr>
          <w:lang w:eastAsia="zh-CN"/>
        </w:rPr>
        <w:t xml:space="preserve">, L., 2000. Momentum, business cycle and time-varying expected returns. </w:t>
      </w:r>
      <w:smartTag w:uri="urn:schemas-microsoft-com:office:smarttags" w:element="PlaceName">
        <w:r w:rsidRPr="00FA370E">
          <w:rPr>
            <w:lang w:eastAsia="zh-CN"/>
          </w:rPr>
          <w:t>Emory</w:t>
        </w:r>
      </w:smartTag>
      <w:r w:rsidRPr="00FA370E">
        <w:rPr>
          <w:lang w:eastAsia="zh-CN"/>
        </w:rPr>
        <w:t xml:space="preserve"> </w:t>
      </w:r>
      <w:smartTag w:uri="urn:schemas-microsoft-com:office:smarttags" w:element="PlaceType">
        <w:r w:rsidRPr="00FA370E">
          <w:rPr>
            <w:lang w:eastAsia="zh-CN"/>
          </w:rPr>
          <w:t>University</w:t>
        </w:r>
      </w:smartTag>
      <w:r w:rsidRPr="00FA370E">
        <w:rPr>
          <w:lang w:eastAsia="zh-CN"/>
        </w:rPr>
        <w:t>,</w:t>
      </w:r>
      <w:r w:rsidR="00FA370E">
        <w:rPr>
          <w:lang w:eastAsia="zh-CN"/>
        </w:rPr>
        <w:t xml:space="preserve"> </w:t>
      </w:r>
      <w:smartTag w:uri="urn:schemas-microsoft-com:office:smarttags" w:element="place">
        <w:smartTag w:uri="urn:schemas-microsoft-com:office:smarttags" w:element="PlaceName">
          <w:r w:rsidRPr="00FA370E">
            <w:rPr>
              <w:lang w:eastAsia="zh-CN"/>
            </w:rPr>
            <w:t>London</w:t>
          </w:r>
        </w:smartTag>
        <w:r w:rsidRPr="00FA370E">
          <w:rPr>
            <w:lang w:eastAsia="zh-CN"/>
          </w:rPr>
          <w:t xml:space="preserve"> </w:t>
        </w:r>
        <w:smartTag w:uri="urn:schemas-microsoft-com:office:smarttags" w:element="PlaceName">
          <w:r w:rsidRPr="00FA370E">
            <w:rPr>
              <w:lang w:eastAsia="zh-CN"/>
            </w:rPr>
            <w:t>Business</w:t>
          </w:r>
        </w:smartTag>
        <w:r w:rsidRPr="00FA370E">
          <w:rPr>
            <w:lang w:eastAsia="zh-CN"/>
          </w:rPr>
          <w:t xml:space="preserve"> </w:t>
        </w:r>
        <w:smartTag w:uri="urn:schemas-microsoft-com:office:smarttags" w:element="PlaceType">
          <w:r w:rsidRPr="00FA370E">
            <w:rPr>
              <w:lang w:eastAsia="zh-CN"/>
            </w:rPr>
            <w:t>School</w:t>
          </w:r>
        </w:smartTag>
      </w:smartTag>
      <w:r w:rsidRPr="00FA370E">
        <w:rPr>
          <w:lang w:eastAsia="zh-CN"/>
        </w:rPr>
        <w:t>, working paper</w:t>
      </w:r>
      <w:r w:rsidR="00805647">
        <w:rPr>
          <w:lang w:eastAsia="zh-CN"/>
        </w:rPr>
        <w:t>.</w:t>
      </w:r>
    </w:p>
    <w:p w:rsidR="000C0DC5" w:rsidRPr="00FA370E" w:rsidRDefault="000C0DC5" w:rsidP="002B5463">
      <w:pPr>
        <w:jc w:val="both"/>
        <w:rPr>
          <w:lang w:eastAsia="zh-CN"/>
        </w:rPr>
      </w:pPr>
    </w:p>
    <w:p w:rsidR="00544F38" w:rsidRPr="00FA370E" w:rsidRDefault="00805647" w:rsidP="002B5463">
      <w:pPr>
        <w:jc w:val="both"/>
        <w:rPr>
          <w:lang w:eastAsia="zh-CN"/>
        </w:rPr>
      </w:pPr>
      <w:r>
        <w:rPr>
          <w:lang w:eastAsia="zh-CN"/>
        </w:rPr>
        <w:t>Clark, J.</w:t>
      </w:r>
      <w:r w:rsidR="00544F38" w:rsidRPr="00FA370E">
        <w:rPr>
          <w:lang w:eastAsia="zh-CN"/>
        </w:rPr>
        <w:t xml:space="preserve">, </w:t>
      </w:r>
      <w:proofErr w:type="spellStart"/>
      <w:r w:rsidR="00C56D1B">
        <w:rPr>
          <w:lang w:eastAsia="zh-CN"/>
        </w:rPr>
        <w:t>Berko</w:t>
      </w:r>
      <w:proofErr w:type="spellEnd"/>
      <w:r w:rsidR="00C56D1B">
        <w:rPr>
          <w:lang w:eastAsia="zh-CN"/>
        </w:rPr>
        <w:t xml:space="preserve">, </w:t>
      </w:r>
      <w:r>
        <w:rPr>
          <w:lang w:eastAsia="zh-CN"/>
        </w:rPr>
        <w:t xml:space="preserve">E., </w:t>
      </w:r>
      <w:r w:rsidR="00C56D1B">
        <w:rPr>
          <w:lang w:eastAsia="zh-CN"/>
        </w:rPr>
        <w:t>1996. Foreign investment fluctuations and emerging m</w:t>
      </w:r>
      <w:r w:rsidR="00544F38" w:rsidRPr="00FA370E">
        <w:rPr>
          <w:lang w:eastAsia="zh-CN"/>
        </w:rPr>
        <w:t>arket</w:t>
      </w:r>
      <w:r w:rsidR="00FA370E">
        <w:rPr>
          <w:lang w:eastAsia="zh-CN"/>
        </w:rPr>
        <w:t xml:space="preserve"> </w:t>
      </w:r>
      <w:r w:rsidR="00C56D1B">
        <w:rPr>
          <w:lang w:eastAsia="zh-CN"/>
        </w:rPr>
        <w:t>s</w:t>
      </w:r>
      <w:r w:rsidR="00544F38" w:rsidRPr="00FA370E">
        <w:rPr>
          <w:lang w:eastAsia="zh-CN"/>
        </w:rPr>
        <w:t xml:space="preserve">tock </w:t>
      </w:r>
      <w:r w:rsidR="00C56D1B">
        <w:rPr>
          <w:lang w:eastAsia="zh-CN"/>
        </w:rPr>
        <w:t>r</w:t>
      </w:r>
      <w:r w:rsidR="00544F38" w:rsidRPr="00FA370E">
        <w:rPr>
          <w:lang w:eastAsia="zh-CN"/>
        </w:rPr>
        <w:t xml:space="preserve">eturns: The case of </w:t>
      </w:r>
      <w:smartTag w:uri="urn:schemas-microsoft-com:office:smarttags" w:element="country-region">
        <w:smartTag w:uri="urn:schemas-microsoft-com:office:smarttags" w:element="place">
          <w:r w:rsidR="00544F38" w:rsidRPr="00FA370E">
            <w:rPr>
              <w:lang w:eastAsia="zh-CN"/>
            </w:rPr>
            <w:t>Mexico</w:t>
          </w:r>
        </w:smartTag>
      </w:smartTag>
      <w:r>
        <w:rPr>
          <w:lang w:eastAsia="zh-CN"/>
        </w:rPr>
        <w:t>.</w:t>
      </w:r>
      <w:r w:rsidR="00544F38" w:rsidRPr="00FA370E">
        <w:rPr>
          <w:lang w:eastAsia="zh-CN"/>
        </w:rPr>
        <w:t xml:space="preserve"> Federal Reserve Bank of New York Research paper 9635.</w:t>
      </w:r>
    </w:p>
    <w:p w:rsidR="000C0DC5" w:rsidRPr="00FA370E" w:rsidRDefault="000C0DC5" w:rsidP="002B5463">
      <w:pPr>
        <w:jc w:val="both"/>
        <w:rPr>
          <w:lang w:eastAsia="zh-CN"/>
        </w:rPr>
      </w:pPr>
    </w:p>
    <w:p w:rsidR="004E5185" w:rsidRPr="00FA370E" w:rsidRDefault="004E5185" w:rsidP="002B5463">
      <w:pPr>
        <w:jc w:val="both"/>
        <w:rPr>
          <w:lang w:eastAsia="zh-CN"/>
        </w:rPr>
      </w:pPr>
      <w:r w:rsidRPr="00FA370E">
        <w:rPr>
          <w:lang w:eastAsia="zh-CN"/>
        </w:rPr>
        <w:t xml:space="preserve">Conrad, J., </w:t>
      </w:r>
      <w:proofErr w:type="spellStart"/>
      <w:r w:rsidRPr="00FA370E">
        <w:rPr>
          <w:lang w:eastAsia="zh-CN"/>
        </w:rPr>
        <w:t>Kaul</w:t>
      </w:r>
      <w:proofErr w:type="spellEnd"/>
      <w:r w:rsidRPr="00FA370E">
        <w:rPr>
          <w:lang w:eastAsia="zh-CN"/>
        </w:rPr>
        <w:t>, G., 1988. Time-variation in expected returns. Journal of Business 61, 409– 425.</w:t>
      </w:r>
    </w:p>
    <w:p w:rsidR="004E5185" w:rsidRPr="00FA370E" w:rsidRDefault="004E5185" w:rsidP="002B5463">
      <w:pPr>
        <w:jc w:val="both"/>
      </w:pPr>
    </w:p>
    <w:p w:rsidR="000B092D" w:rsidRPr="00FA370E" w:rsidRDefault="000B092D" w:rsidP="002B5463">
      <w:pPr>
        <w:jc w:val="both"/>
      </w:pPr>
      <w:r w:rsidRPr="00FA370E">
        <w:t xml:space="preserve">Daniel, K., </w:t>
      </w:r>
      <w:proofErr w:type="spellStart"/>
      <w:r w:rsidRPr="00FA370E">
        <w:t>Hirshleifer</w:t>
      </w:r>
      <w:proofErr w:type="spellEnd"/>
      <w:r w:rsidRPr="00FA370E">
        <w:t xml:space="preserve">, D., </w:t>
      </w:r>
      <w:proofErr w:type="spellStart"/>
      <w:r w:rsidRPr="00FA370E">
        <w:t>Subrahmanyam</w:t>
      </w:r>
      <w:proofErr w:type="spellEnd"/>
      <w:r w:rsidRPr="00FA370E">
        <w:t>, A., 1998. Investor psychology and security market under- and overreactions. Journal of Finance 53, 1838– 1885.</w:t>
      </w:r>
    </w:p>
    <w:p w:rsidR="001A48B0" w:rsidRPr="00FA370E" w:rsidRDefault="001A48B0" w:rsidP="002B5463">
      <w:pPr>
        <w:jc w:val="both"/>
        <w:rPr>
          <w:color w:val="000000"/>
          <w:lang w:eastAsia="zh-CN"/>
        </w:rPr>
      </w:pPr>
    </w:p>
    <w:p w:rsidR="001A48B0" w:rsidRPr="00FA370E" w:rsidRDefault="00805647" w:rsidP="002B5463">
      <w:pPr>
        <w:jc w:val="both"/>
        <w:rPr>
          <w:color w:val="000000"/>
          <w:lang w:eastAsia="zh-CN"/>
        </w:rPr>
      </w:pPr>
      <w:r>
        <w:rPr>
          <w:color w:val="000000"/>
          <w:lang w:eastAsia="zh-CN"/>
        </w:rPr>
        <w:t xml:space="preserve">Daniel, K., </w:t>
      </w:r>
      <w:r w:rsidR="001A48B0" w:rsidRPr="00FA370E">
        <w:rPr>
          <w:color w:val="000000"/>
          <w:lang w:eastAsia="zh-CN"/>
        </w:rPr>
        <w:t xml:space="preserve">Titman, </w:t>
      </w:r>
      <w:r>
        <w:rPr>
          <w:color w:val="000000"/>
          <w:lang w:eastAsia="zh-CN"/>
        </w:rPr>
        <w:t>S., 2004.</w:t>
      </w:r>
      <w:r w:rsidR="001A48B0" w:rsidRPr="00FA370E">
        <w:rPr>
          <w:color w:val="000000"/>
          <w:lang w:eastAsia="zh-CN"/>
        </w:rPr>
        <w:t xml:space="preserve"> Market reactions to tang</w:t>
      </w:r>
      <w:r>
        <w:rPr>
          <w:color w:val="000000"/>
          <w:lang w:eastAsia="zh-CN"/>
        </w:rPr>
        <w:t>ible and intangible information. U</w:t>
      </w:r>
      <w:r w:rsidR="001A48B0" w:rsidRPr="00FA370E">
        <w:rPr>
          <w:color w:val="000000"/>
          <w:lang w:eastAsia="zh-CN"/>
        </w:rPr>
        <w:t xml:space="preserve">npublished paper, </w:t>
      </w:r>
      <w:smartTag w:uri="urn:schemas-microsoft-com:office:smarttags" w:element="PlaceName">
        <w:r w:rsidR="001A48B0" w:rsidRPr="00FA370E">
          <w:rPr>
            <w:color w:val="000000"/>
            <w:lang w:eastAsia="zh-CN"/>
          </w:rPr>
          <w:t>Northwestern</w:t>
        </w:r>
      </w:smartTag>
      <w:r w:rsidR="001A48B0" w:rsidRPr="00FA370E">
        <w:rPr>
          <w:color w:val="000000"/>
          <w:lang w:eastAsia="zh-CN"/>
        </w:rPr>
        <w:t xml:space="preserve"> </w:t>
      </w:r>
      <w:smartTag w:uri="urn:schemas-microsoft-com:office:smarttags" w:element="PlaceType">
        <w:r w:rsidR="001A48B0" w:rsidRPr="00FA370E">
          <w:rPr>
            <w:color w:val="000000"/>
            <w:lang w:eastAsia="zh-CN"/>
          </w:rPr>
          <w:t>University</w:t>
        </w:r>
      </w:smartTag>
      <w:r w:rsidR="001A48B0" w:rsidRPr="00FA370E">
        <w:rPr>
          <w:color w:val="000000"/>
          <w:lang w:eastAsia="zh-CN"/>
        </w:rPr>
        <w:t xml:space="preserve"> and </w:t>
      </w:r>
      <w:smartTag w:uri="urn:schemas-microsoft-com:office:smarttags" w:element="place">
        <w:smartTag w:uri="urn:schemas-microsoft-com:office:smarttags" w:element="PlaceType">
          <w:r w:rsidR="001A48B0" w:rsidRPr="00FA370E">
            <w:rPr>
              <w:color w:val="000000"/>
              <w:lang w:eastAsia="zh-CN"/>
            </w:rPr>
            <w:t>University</w:t>
          </w:r>
        </w:smartTag>
        <w:r w:rsidR="001A48B0" w:rsidRPr="00FA370E">
          <w:rPr>
            <w:color w:val="000000"/>
            <w:lang w:eastAsia="zh-CN"/>
          </w:rPr>
          <w:t xml:space="preserve"> of </w:t>
        </w:r>
        <w:smartTag w:uri="urn:schemas-microsoft-com:office:smarttags" w:element="PlaceName">
          <w:r w:rsidR="001A48B0" w:rsidRPr="00FA370E">
            <w:rPr>
              <w:color w:val="000000"/>
              <w:lang w:eastAsia="zh-CN"/>
            </w:rPr>
            <w:t>Texas</w:t>
          </w:r>
        </w:smartTag>
      </w:smartTag>
      <w:r w:rsidR="001A48B0" w:rsidRPr="00FA370E">
        <w:rPr>
          <w:color w:val="000000"/>
          <w:lang w:eastAsia="zh-CN"/>
        </w:rPr>
        <w:t xml:space="preserve">. </w:t>
      </w:r>
    </w:p>
    <w:p w:rsidR="00544F38" w:rsidRPr="00FA370E" w:rsidRDefault="00544F38" w:rsidP="002B5463">
      <w:pPr>
        <w:jc w:val="both"/>
      </w:pPr>
    </w:p>
    <w:p w:rsidR="00544F38" w:rsidRPr="00FA370E" w:rsidRDefault="00805647" w:rsidP="002B5463">
      <w:pPr>
        <w:jc w:val="both"/>
        <w:rPr>
          <w:lang w:eastAsia="zh-CN"/>
        </w:rPr>
      </w:pPr>
      <w:r>
        <w:rPr>
          <w:lang w:eastAsia="zh-CN"/>
        </w:rPr>
        <w:t>DeLong, J. B.</w:t>
      </w:r>
      <w:r w:rsidR="00903B45">
        <w:rPr>
          <w:lang w:eastAsia="zh-CN"/>
        </w:rPr>
        <w:t xml:space="preserve">, </w:t>
      </w:r>
      <w:r w:rsidR="00544F38" w:rsidRPr="00FA370E">
        <w:rPr>
          <w:lang w:eastAsia="zh-CN"/>
        </w:rPr>
        <w:t xml:space="preserve">Shleifer, </w:t>
      </w:r>
      <w:r w:rsidR="00903B45">
        <w:rPr>
          <w:lang w:eastAsia="zh-CN"/>
        </w:rPr>
        <w:t xml:space="preserve">A., </w:t>
      </w:r>
      <w:r w:rsidR="00544F38" w:rsidRPr="00FA370E">
        <w:rPr>
          <w:lang w:eastAsia="zh-CN"/>
        </w:rPr>
        <w:t>Summer</w:t>
      </w:r>
      <w:r w:rsidR="00C56D1B">
        <w:rPr>
          <w:lang w:eastAsia="zh-CN"/>
        </w:rPr>
        <w:t xml:space="preserve">s, </w:t>
      </w:r>
      <w:r w:rsidR="00903B45">
        <w:rPr>
          <w:lang w:eastAsia="zh-CN"/>
        </w:rPr>
        <w:t xml:space="preserve">L. H., </w:t>
      </w:r>
      <w:proofErr w:type="spellStart"/>
      <w:r w:rsidR="00C56D1B">
        <w:rPr>
          <w:lang w:eastAsia="zh-CN"/>
        </w:rPr>
        <w:t>Waldmann</w:t>
      </w:r>
      <w:proofErr w:type="spellEnd"/>
      <w:r w:rsidR="00C56D1B">
        <w:rPr>
          <w:lang w:eastAsia="zh-CN"/>
        </w:rPr>
        <w:t xml:space="preserve">, </w:t>
      </w:r>
      <w:r w:rsidR="00903B45">
        <w:rPr>
          <w:lang w:eastAsia="zh-CN"/>
        </w:rPr>
        <w:t>R. J.</w:t>
      </w:r>
      <w:r w:rsidR="00B65B21">
        <w:rPr>
          <w:lang w:eastAsia="zh-CN"/>
        </w:rPr>
        <w:t>,</w:t>
      </w:r>
      <w:r w:rsidR="00903B45">
        <w:rPr>
          <w:lang w:eastAsia="zh-CN"/>
        </w:rPr>
        <w:t xml:space="preserve"> </w:t>
      </w:r>
      <w:r w:rsidR="00C56D1B">
        <w:rPr>
          <w:lang w:eastAsia="zh-CN"/>
        </w:rPr>
        <w:t>1990.</w:t>
      </w:r>
      <w:r w:rsidR="00FA370E">
        <w:rPr>
          <w:lang w:eastAsia="zh-CN"/>
        </w:rPr>
        <w:t xml:space="preserve"> </w:t>
      </w:r>
      <w:r w:rsidR="00544F38" w:rsidRPr="00FA370E">
        <w:rPr>
          <w:lang w:eastAsia="zh-CN"/>
        </w:rPr>
        <w:t>Positive feedback investment strategies and des</w:t>
      </w:r>
      <w:r w:rsidR="00903B45">
        <w:rPr>
          <w:lang w:eastAsia="zh-CN"/>
        </w:rPr>
        <w:t>tabilizing rational speculation.</w:t>
      </w:r>
      <w:r w:rsidR="00544F38" w:rsidRPr="00FA370E">
        <w:rPr>
          <w:lang w:eastAsia="zh-CN"/>
        </w:rPr>
        <w:t xml:space="preserve"> </w:t>
      </w:r>
      <w:r w:rsidR="00544F38" w:rsidRPr="00FA370E">
        <w:rPr>
          <w:iCs/>
          <w:lang w:eastAsia="zh-CN"/>
        </w:rPr>
        <w:t>Journal of</w:t>
      </w:r>
      <w:r w:rsidR="00FA370E" w:rsidRPr="00FA370E">
        <w:rPr>
          <w:lang w:eastAsia="zh-CN"/>
        </w:rPr>
        <w:t xml:space="preserve"> </w:t>
      </w:r>
      <w:r w:rsidR="00544F38" w:rsidRPr="00FA370E">
        <w:rPr>
          <w:iCs/>
          <w:lang w:eastAsia="zh-CN"/>
        </w:rPr>
        <w:t>Finance</w:t>
      </w:r>
      <w:r w:rsidR="00544F38" w:rsidRPr="00FA370E">
        <w:rPr>
          <w:i/>
          <w:iCs/>
          <w:lang w:eastAsia="zh-CN"/>
        </w:rPr>
        <w:t xml:space="preserve"> </w:t>
      </w:r>
      <w:r w:rsidR="00544F38" w:rsidRPr="00FA370E">
        <w:rPr>
          <w:lang w:eastAsia="zh-CN"/>
        </w:rPr>
        <w:t>45, 379–395.</w:t>
      </w:r>
    </w:p>
    <w:p w:rsidR="00544F38" w:rsidRPr="00FA370E" w:rsidRDefault="00544F38" w:rsidP="00FA370E"/>
    <w:p w:rsidR="000B092D" w:rsidRPr="00FA370E" w:rsidRDefault="000B092D" w:rsidP="00FA370E">
      <w:proofErr w:type="spellStart"/>
      <w:r w:rsidRPr="00FA370E">
        <w:lastRenderedPageBreak/>
        <w:t>Fama</w:t>
      </w:r>
      <w:proofErr w:type="spellEnd"/>
      <w:r w:rsidRPr="00FA370E">
        <w:t>, E., 1991. Efficient capital markets II. Journal of Finance 46, 1575–1671.</w:t>
      </w:r>
    </w:p>
    <w:p w:rsidR="000B092D" w:rsidRPr="00FA370E" w:rsidRDefault="000B092D" w:rsidP="00FA370E"/>
    <w:p w:rsidR="000C0DC5" w:rsidRPr="00FA370E" w:rsidRDefault="000C0DC5" w:rsidP="002B5463">
      <w:pPr>
        <w:jc w:val="both"/>
        <w:rPr>
          <w:lang w:eastAsia="zh-CN"/>
        </w:rPr>
      </w:pPr>
      <w:proofErr w:type="spellStart"/>
      <w:r w:rsidRPr="00FA370E">
        <w:rPr>
          <w:lang w:eastAsia="zh-CN"/>
        </w:rPr>
        <w:t>Fama</w:t>
      </w:r>
      <w:proofErr w:type="spellEnd"/>
      <w:r w:rsidRPr="00FA370E">
        <w:rPr>
          <w:lang w:eastAsia="zh-CN"/>
        </w:rPr>
        <w:t>, E., French, K., 1996. Multifactor explanations of asset pricing anomalies. Journal of Finance 51,</w:t>
      </w:r>
      <w:r w:rsidR="00FA370E">
        <w:rPr>
          <w:lang w:eastAsia="zh-CN"/>
        </w:rPr>
        <w:t xml:space="preserve"> </w:t>
      </w:r>
      <w:r w:rsidRPr="00FA370E">
        <w:rPr>
          <w:lang w:eastAsia="zh-CN"/>
        </w:rPr>
        <w:t>55– 84.</w:t>
      </w:r>
    </w:p>
    <w:p w:rsidR="00D64EDB" w:rsidRPr="00FA370E" w:rsidRDefault="00D64EDB" w:rsidP="002B5463">
      <w:pPr>
        <w:jc w:val="both"/>
        <w:rPr>
          <w:lang w:eastAsia="zh-CN"/>
        </w:rPr>
      </w:pPr>
    </w:p>
    <w:p w:rsidR="00D64EDB" w:rsidRPr="00FA370E" w:rsidRDefault="00D64EDB" w:rsidP="002B5463">
      <w:pPr>
        <w:jc w:val="both"/>
        <w:rPr>
          <w:lang w:eastAsia="zh-CN"/>
        </w:rPr>
      </w:pPr>
      <w:smartTag w:uri="urn:schemas-microsoft-com:office:smarttags" w:element="place">
        <w:smartTag w:uri="urn:schemas-microsoft-com:office:smarttags" w:element="City">
          <w:r w:rsidRPr="00FA370E">
            <w:rPr>
              <w:lang w:eastAsia="zh-CN"/>
            </w:rPr>
            <w:t>Griffin</w:t>
          </w:r>
        </w:smartTag>
      </w:smartTag>
      <w:r w:rsidRPr="00FA370E">
        <w:rPr>
          <w:lang w:eastAsia="zh-CN"/>
        </w:rPr>
        <w:t>, J., Ji, S., Martin, S., 2003. Momentum investing and business cycle risk: evidence from pole to pole.</w:t>
      </w:r>
      <w:r w:rsidR="00FA370E">
        <w:rPr>
          <w:lang w:eastAsia="zh-CN"/>
        </w:rPr>
        <w:t xml:space="preserve"> </w:t>
      </w:r>
      <w:r w:rsidRPr="00FA370E">
        <w:rPr>
          <w:lang w:eastAsia="zh-CN"/>
        </w:rPr>
        <w:t>Journal of Finance 58, 2515– 2547.</w:t>
      </w:r>
    </w:p>
    <w:p w:rsidR="00D64EDB" w:rsidRPr="00FA370E" w:rsidRDefault="00D64EDB" w:rsidP="002B5463">
      <w:pPr>
        <w:jc w:val="both"/>
      </w:pPr>
    </w:p>
    <w:p w:rsidR="000C0DC5" w:rsidRPr="00FA370E" w:rsidRDefault="000C0DC5" w:rsidP="002B5463">
      <w:pPr>
        <w:jc w:val="both"/>
        <w:rPr>
          <w:lang w:eastAsia="zh-CN"/>
        </w:rPr>
      </w:pPr>
      <w:proofErr w:type="spellStart"/>
      <w:r w:rsidRPr="00FA370E">
        <w:rPr>
          <w:lang w:eastAsia="zh-CN"/>
        </w:rPr>
        <w:t>Grinblatt</w:t>
      </w:r>
      <w:proofErr w:type="spellEnd"/>
      <w:r w:rsidRPr="00FA370E">
        <w:rPr>
          <w:lang w:eastAsia="zh-CN"/>
        </w:rPr>
        <w:t xml:space="preserve">, M., Titman, S., </w:t>
      </w:r>
      <w:proofErr w:type="spellStart"/>
      <w:r w:rsidRPr="00FA370E">
        <w:rPr>
          <w:lang w:eastAsia="zh-CN"/>
        </w:rPr>
        <w:t>Wermers</w:t>
      </w:r>
      <w:proofErr w:type="spellEnd"/>
      <w:r w:rsidRPr="00FA370E">
        <w:rPr>
          <w:lang w:eastAsia="zh-CN"/>
        </w:rPr>
        <w:t>, R., 1995. Momentum investment strategies, portfolio performance and</w:t>
      </w:r>
      <w:r w:rsidR="00FA370E">
        <w:rPr>
          <w:lang w:eastAsia="zh-CN"/>
        </w:rPr>
        <w:t xml:space="preserve"> </w:t>
      </w:r>
      <w:r w:rsidRPr="00FA370E">
        <w:rPr>
          <w:lang w:eastAsia="zh-CN"/>
        </w:rPr>
        <w:t>herding: a study of mutual fund behavior. American Economic Review 85, 1088– 1105.</w:t>
      </w:r>
    </w:p>
    <w:p w:rsidR="000C0DC5" w:rsidRPr="00FA370E" w:rsidRDefault="000C0DC5" w:rsidP="002B5463">
      <w:pPr>
        <w:jc w:val="both"/>
      </w:pPr>
    </w:p>
    <w:p w:rsidR="00CE256B" w:rsidRPr="00FA370E" w:rsidRDefault="00CE256B" w:rsidP="002B5463">
      <w:pPr>
        <w:jc w:val="both"/>
        <w:rPr>
          <w:lang w:eastAsia="zh-CN"/>
        </w:rPr>
      </w:pPr>
      <w:r w:rsidRPr="00FA370E">
        <w:rPr>
          <w:lang w:eastAsia="zh-CN"/>
        </w:rPr>
        <w:t>Grundy, B., Martin, J., 2001. Understanding the nature of the risks and the source of the rewards to momentum</w:t>
      </w:r>
      <w:r w:rsidR="00FA370E">
        <w:rPr>
          <w:lang w:eastAsia="zh-CN"/>
        </w:rPr>
        <w:t xml:space="preserve"> </w:t>
      </w:r>
      <w:r w:rsidRPr="00FA370E">
        <w:rPr>
          <w:lang w:eastAsia="zh-CN"/>
        </w:rPr>
        <w:t>investing. Review of Financial Studies 14, 29– 78.</w:t>
      </w:r>
    </w:p>
    <w:p w:rsidR="00CE256B" w:rsidRPr="00FA370E" w:rsidRDefault="00CE256B" w:rsidP="002B5463">
      <w:pPr>
        <w:jc w:val="both"/>
      </w:pPr>
    </w:p>
    <w:p w:rsidR="000B092D" w:rsidRPr="00FA370E" w:rsidRDefault="000B092D" w:rsidP="002B5463">
      <w:pPr>
        <w:jc w:val="both"/>
      </w:pPr>
      <w:r w:rsidRPr="00FA370E">
        <w:t>Hameed, A., Ting, S., 2000. Trading volume and short-horizon contrarian profits: Evidence from Malaysian stock market. Pacific-Basin Finance Journal 8, 67– 84.</w:t>
      </w:r>
    </w:p>
    <w:p w:rsidR="000B092D" w:rsidRPr="00FA370E" w:rsidRDefault="000B092D" w:rsidP="002B5463">
      <w:pPr>
        <w:jc w:val="both"/>
      </w:pPr>
    </w:p>
    <w:p w:rsidR="000B092D" w:rsidRPr="00FA370E" w:rsidRDefault="000B092D" w:rsidP="002B5463">
      <w:pPr>
        <w:jc w:val="both"/>
      </w:pPr>
      <w:r w:rsidRPr="00FA370E">
        <w:t xml:space="preserve">Hameed, A., </w:t>
      </w:r>
      <w:proofErr w:type="spellStart"/>
      <w:r w:rsidRPr="00FA370E">
        <w:t>Yuanto</w:t>
      </w:r>
      <w:proofErr w:type="spellEnd"/>
      <w:r w:rsidRPr="00FA370E">
        <w:t xml:space="preserve">, K., 2000. Momentum strategies, evidence from the pacific basin stock markets. </w:t>
      </w:r>
      <w:smartTag w:uri="urn:schemas-microsoft-com:office:smarttags" w:element="PlaceName">
        <w:r w:rsidRPr="00FA370E">
          <w:t>National</w:t>
        </w:r>
      </w:smartTag>
      <w:r w:rsidRPr="00FA370E">
        <w:t xml:space="preserve"> </w:t>
      </w:r>
      <w:smartTag w:uri="urn:schemas-microsoft-com:office:smarttags" w:element="PlaceType">
        <w:r w:rsidRPr="00FA370E">
          <w:t>University</w:t>
        </w:r>
      </w:smartTag>
      <w:r w:rsidRPr="00FA370E">
        <w:t xml:space="preserve"> of </w:t>
      </w:r>
      <w:smartTag w:uri="urn:schemas-microsoft-com:office:smarttags" w:element="country-region">
        <w:smartTag w:uri="urn:schemas-microsoft-com:office:smarttags" w:element="place">
          <w:r w:rsidRPr="00FA370E">
            <w:t>Singapore</w:t>
          </w:r>
        </w:smartTag>
      </w:smartTag>
      <w:r w:rsidRPr="00FA370E">
        <w:t xml:space="preserve">, working paper </w:t>
      </w:r>
    </w:p>
    <w:p w:rsidR="000B092D" w:rsidRPr="00FA370E" w:rsidRDefault="000B092D" w:rsidP="002B5463">
      <w:pPr>
        <w:jc w:val="both"/>
      </w:pPr>
    </w:p>
    <w:p w:rsidR="000B092D" w:rsidRPr="00FA370E" w:rsidRDefault="000B092D" w:rsidP="002B5463">
      <w:pPr>
        <w:jc w:val="both"/>
      </w:pPr>
      <w:r w:rsidRPr="00FA370E">
        <w:t>Hong, H., Stein, J.</w:t>
      </w:r>
      <w:r w:rsidR="00903B45">
        <w:t xml:space="preserve"> </w:t>
      </w:r>
      <w:r w:rsidR="001D3B5B">
        <w:t>C., 1999</w:t>
      </w:r>
      <w:r w:rsidRPr="00FA370E">
        <w:t xml:space="preserve">. A unified theory of </w:t>
      </w:r>
      <w:proofErr w:type="spellStart"/>
      <w:r w:rsidRPr="00FA370E">
        <w:t>unde</w:t>
      </w:r>
      <w:r w:rsidR="00FA370E">
        <w:t>rreaction</w:t>
      </w:r>
      <w:proofErr w:type="spellEnd"/>
      <w:r w:rsidR="00FA370E">
        <w:t xml:space="preserve">, momentum trading and </w:t>
      </w:r>
      <w:r w:rsidRPr="00FA370E">
        <w:t xml:space="preserve">overreaction in asset markets. </w:t>
      </w:r>
      <w:r w:rsidR="001D3B5B" w:rsidRPr="001D3B5B">
        <w:rPr>
          <w:iCs/>
          <w:lang w:val="en"/>
        </w:rPr>
        <w:t>Journal of Finance</w:t>
      </w:r>
      <w:r w:rsidR="001D3B5B">
        <w:rPr>
          <w:lang w:val="en"/>
        </w:rPr>
        <w:t xml:space="preserve"> 54, 2143-2184.</w:t>
      </w:r>
    </w:p>
    <w:p w:rsidR="000B092D" w:rsidRPr="00FA370E" w:rsidRDefault="000B092D" w:rsidP="002B5463">
      <w:pPr>
        <w:jc w:val="both"/>
      </w:pPr>
    </w:p>
    <w:p w:rsidR="000B092D" w:rsidRPr="00FA370E" w:rsidRDefault="000B092D" w:rsidP="002B5463">
      <w:pPr>
        <w:jc w:val="both"/>
      </w:pPr>
      <w:proofErr w:type="spellStart"/>
      <w:r w:rsidRPr="00FA370E">
        <w:t>Jegadeesh</w:t>
      </w:r>
      <w:proofErr w:type="spellEnd"/>
      <w:r w:rsidRPr="00FA370E">
        <w:t>, N., Titman, S., 1993. Returns to buy</w:t>
      </w:r>
      <w:r w:rsidR="00FA370E">
        <w:t xml:space="preserve">ing winners and selling losers: </w:t>
      </w:r>
      <w:r w:rsidRPr="00FA370E">
        <w:t>Implications for stock market efficiency. Journal of Finance 48, 65–91.</w:t>
      </w:r>
    </w:p>
    <w:p w:rsidR="000B092D" w:rsidRPr="00FA370E" w:rsidRDefault="000B092D" w:rsidP="002B5463">
      <w:pPr>
        <w:jc w:val="both"/>
      </w:pPr>
    </w:p>
    <w:p w:rsidR="007F6021" w:rsidRPr="007F6021" w:rsidRDefault="000B092D" w:rsidP="002B5463">
      <w:pPr>
        <w:widowControl w:val="0"/>
        <w:autoSpaceDE w:val="0"/>
        <w:autoSpaceDN w:val="0"/>
        <w:adjustRightInd w:val="0"/>
        <w:jc w:val="both"/>
      </w:pPr>
      <w:proofErr w:type="spellStart"/>
      <w:r w:rsidRPr="00FA370E">
        <w:t>Jegadeesh</w:t>
      </w:r>
      <w:proofErr w:type="spellEnd"/>
      <w:r w:rsidRPr="00FA370E">
        <w:t>, N., Titman, S., 1995. Overreaction, delayed reaction, and contrarian profit</w:t>
      </w:r>
      <w:r w:rsidR="00FA370E">
        <w:t xml:space="preserve">s. </w:t>
      </w:r>
      <w:r w:rsidRPr="00FA370E">
        <w:t>Review of Financial</w:t>
      </w:r>
      <w:r w:rsidR="007F6021">
        <w:t xml:space="preserve"> </w:t>
      </w:r>
      <w:r w:rsidR="007F6021" w:rsidRPr="007F6021">
        <w:t>Studies 8, 973– 993.</w:t>
      </w:r>
    </w:p>
    <w:p w:rsidR="000B092D" w:rsidRPr="00FA370E" w:rsidRDefault="000B092D" w:rsidP="002B5463">
      <w:pPr>
        <w:jc w:val="both"/>
      </w:pPr>
    </w:p>
    <w:p w:rsidR="00446731" w:rsidRDefault="00446731" w:rsidP="002B5463">
      <w:pPr>
        <w:jc w:val="both"/>
        <w:rPr>
          <w:lang w:eastAsia="zh-CN"/>
        </w:rPr>
      </w:pPr>
      <w:proofErr w:type="spellStart"/>
      <w:r>
        <w:rPr>
          <w:lang w:val="en"/>
        </w:rPr>
        <w:t>Jegadeesh</w:t>
      </w:r>
      <w:proofErr w:type="spellEnd"/>
      <w:r>
        <w:rPr>
          <w:lang w:val="en"/>
        </w:rPr>
        <w:t xml:space="preserve">, </w:t>
      </w:r>
      <w:r w:rsidR="00903B45">
        <w:rPr>
          <w:lang w:val="en"/>
        </w:rPr>
        <w:t xml:space="preserve">N., </w:t>
      </w:r>
      <w:r>
        <w:rPr>
          <w:lang w:val="en"/>
        </w:rPr>
        <w:t xml:space="preserve">Titman, </w:t>
      </w:r>
      <w:r w:rsidR="00903B45">
        <w:rPr>
          <w:lang w:val="en"/>
        </w:rPr>
        <w:t xml:space="preserve">S., </w:t>
      </w:r>
      <w:r>
        <w:rPr>
          <w:lang w:val="en"/>
        </w:rPr>
        <w:t>2001. Profitability of Momentum Strategies: An Evaluation of Alternative Explana</w:t>
      </w:r>
      <w:r w:rsidR="00903B45">
        <w:rPr>
          <w:lang w:val="en"/>
        </w:rPr>
        <w:t>tions. Journal of Finance 56</w:t>
      </w:r>
      <w:r>
        <w:rPr>
          <w:lang w:val="en"/>
        </w:rPr>
        <w:t>, 699–720.</w:t>
      </w:r>
    </w:p>
    <w:p w:rsidR="00446731" w:rsidRDefault="00446731" w:rsidP="002B5463">
      <w:pPr>
        <w:jc w:val="both"/>
        <w:rPr>
          <w:lang w:eastAsia="zh-CN"/>
        </w:rPr>
      </w:pPr>
    </w:p>
    <w:p w:rsidR="000C0DC5" w:rsidRPr="00FA370E" w:rsidRDefault="000C0DC5" w:rsidP="002B5463">
      <w:pPr>
        <w:jc w:val="both"/>
        <w:rPr>
          <w:lang w:eastAsia="zh-CN"/>
        </w:rPr>
      </w:pPr>
      <w:proofErr w:type="spellStart"/>
      <w:r w:rsidRPr="00FA370E">
        <w:rPr>
          <w:lang w:eastAsia="zh-CN"/>
        </w:rPr>
        <w:t>Lakonishok</w:t>
      </w:r>
      <w:proofErr w:type="spellEnd"/>
      <w:r w:rsidRPr="00FA370E">
        <w:rPr>
          <w:lang w:eastAsia="zh-CN"/>
        </w:rPr>
        <w:t xml:space="preserve">, J., Shleifer, A., </w:t>
      </w:r>
      <w:proofErr w:type="spellStart"/>
      <w:r w:rsidRPr="00FA370E">
        <w:rPr>
          <w:lang w:eastAsia="zh-CN"/>
        </w:rPr>
        <w:t>Vishny</w:t>
      </w:r>
      <w:proofErr w:type="spellEnd"/>
      <w:r w:rsidRPr="00FA370E">
        <w:rPr>
          <w:lang w:eastAsia="zh-CN"/>
        </w:rPr>
        <w:t>, R., 1994. Contrarian investment, extrapolation, and risk. Journal of Finance</w:t>
      </w:r>
      <w:r w:rsidR="004232C8">
        <w:rPr>
          <w:lang w:eastAsia="zh-CN"/>
        </w:rPr>
        <w:t xml:space="preserve"> </w:t>
      </w:r>
      <w:r w:rsidRPr="00FA370E">
        <w:rPr>
          <w:lang w:eastAsia="zh-CN"/>
        </w:rPr>
        <w:t>49, 1541– 1578.</w:t>
      </w:r>
    </w:p>
    <w:p w:rsidR="000C0DC5" w:rsidRPr="00FA370E" w:rsidRDefault="000C0DC5" w:rsidP="002B5463">
      <w:pPr>
        <w:jc w:val="both"/>
      </w:pPr>
    </w:p>
    <w:p w:rsidR="000B092D" w:rsidRPr="00FA370E" w:rsidRDefault="00903B45" w:rsidP="002B5463">
      <w:pPr>
        <w:jc w:val="both"/>
      </w:pPr>
      <w:r>
        <w:t xml:space="preserve">Poterba, J., </w:t>
      </w:r>
      <w:r w:rsidR="000B092D" w:rsidRPr="00FA370E">
        <w:t>Summers,</w:t>
      </w:r>
      <w:r>
        <w:t xml:space="preserve"> L. H., 1988.</w:t>
      </w:r>
      <w:r w:rsidR="000B092D" w:rsidRPr="00FA370E">
        <w:t xml:space="preserve"> Mean reversion in stock ret</w:t>
      </w:r>
      <w:r>
        <w:t>urns: Evidence and implications.</w:t>
      </w:r>
      <w:r w:rsidR="000B092D" w:rsidRPr="00FA370E">
        <w:t xml:space="preserve"> Journal of Financial Economics 22, 27-60.</w:t>
      </w:r>
    </w:p>
    <w:p w:rsidR="00AB43E9" w:rsidRDefault="00AB43E9" w:rsidP="002B5463">
      <w:pPr>
        <w:autoSpaceDE w:val="0"/>
        <w:autoSpaceDN w:val="0"/>
        <w:adjustRightInd w:val="0"/>
        <w:jc w:val="both"/>
        <w:rPr>
          <w:rFonts w:eastAsia="Times New Roman"/>
        </w:rPr>
      </w:pPr>
    </w:p>
    <w:p w:rsidR="00AB43E9" w:rsidRPr="007F4187" w:rsidRDefault="00AB43E9" w:rsidP="002B5463">
      <w:pPr>
        <w:autoSpaceDE w:val="0"/>
        <w:autoSpaceDN w:val="0"/>
        <w:adjustRightInd w:val="0"/>
        <w:jc w:val="both"/>
      </w:pPr>
      <w:r>
        <w:rPr>
          <w:rFonts w:eastAsia="Times New Roman"/>
        </w:rPr>
        <w:t xml:space="preserve">Poterba, J. M., </w:t>
      </w:r>
      <w:proofErr w:type="spellStart"/>
      <w:r>
        <w:rPr>
          <w:rFonts w:eastAsia="Times New Roman"/>
        </w:rPr>
        <w:t>Shoven</w:t>
      </w:r>
      <w:proofErr w:type="spellEnd"/>
      <w:r>
        <w:rPr>
          <w:rFonts w:eastAsia="Times New Roman"/>
        </w:rPr>
        <w:t xml:space="preserve">, J. B., 2002. </w:t>
      </w:r>
      <w:r w:rsidRPr="007F4187">
        <w:t>Exchange-Traded Funds: A New Investment Option for Taxable Investors. The Americ</w:t>
      </w:r>
      <w:r>
        <w:t xml:space="preserve">an Economic Review </w:t>
      </w:r>
      <w:r w:rsidRPr="007F4187">
        <w:t>92, 422-427.</w:t>
      </w:r>
    </w:p>
    <w:p w:rsidR="000B092D" w:rsidRPr="00FA370E" w:rsidRDefault="000B092D" w:rsidP="002B5463">
      <w:pPr>
        <w:jc w:val="both"/>
      </w:pPr>
    </w:p>
    <w:p w:rsidR="000B092D" w:rsidRPr="00FA370E" w:rsidRDefault="000B092D" w:rsidP="002B5463">
      <w:pPr>
        <w:jc w:val="both"/>
      </w:pPr>
      <w:proofErr w:type="spellStart"/>
      <w:r w:rsidRPr="00FA370E">
        <w:t>Rouwenhorst</w:t>
      </w:r>
      <w:proofErr w:type="spellEnd"/>
      <w:r w:rsidRPr="00FA370E">
        <w:t>, K.G., 1998. International momentum strategies. Journal of Finance 53, 267–284.</w:t>
      </w:r>
    </w:p>
    <w:p w:rsidR="000B092D" w:rsidRPr="00FA370E" w:rsidRDefault="000B092D" w:rsidP="00FA370E"/>
    <w:p w:rsidR="000B092D" w:rsidRPr="00FA370E" w:rsidRDefault="000B092D" w:rsidP="002B5463">
      <w:pPr>
        <w:jc w:val="both"/>
      </w:pPr>
      <w:proofErr w:type="spellStart"/>
      <w:r w:rsidRPr="00FA370E">
        <w:lastRenderedPageBreak/>
        <w:t>Rouwenhorst</w:t>
      </w:r>
      <w:proofErr w:type="spellEnd"/>
      <w:r w:rsidRPr="00FA370E">
        <w:t>, K.G., 1999. Local return factors and turnover in emerging stock markets. Journal of Finance 54, 1439–1464.</w:t>
      </w:r>
    </w:p>
    <w:p w:rsidR="00FA370E" w:rsidRPr="00FA370E" w:rsidRDefault="00FA370E" w:rsidP="002B5463">
      <w:pPr>
        <w:jc w:val="both"/>
      </w:pPr>
    </w:p>
    <w:p w:rsidR="00FA370E" w:rsidRPr="00FA370E" w:rsidRDefault="00FA370E" w:rsidP="002B5463">
      <w:pPr>
        <w:jc w:val="both"/>
        <w:rPr>
          <w:lang w:eastAsia="zh-CN"/>
        </w:rPr>
      </w:pPr>
      <w:proofErr w:type="spellStart"/>
      <w:r w:rsidRPr="00FA370E">
        <w:rPr>
          <w:lang w:eastAsia="zh-CN"/>
        </w:rPr>
        <w:t>Schiereck</w:t>
      </w:r>
      <w:proofErr w:type="spellEnd"/>
      <w:r w:rsidRPr="00FA370E">
        <w:rPr>
          <w:lang w:eastAsia="zh-CN"/>
        </w:rPr>
        <w:t xml:space="preserve">, D., </w:t>
      </w:r>
      <w:proofErr w:type="spellStart"/>
      <w:r w:rsidRPr="00FA370E">
        <w:rPr>
          <w:lang w:eastAsia="zh-CN"/>
        </w:rPr>
        <w:t>DeBondt</w:t>
      </w:r>
      <w:proofErr w:type="spellEnd"/>
      <w:r w:rsidRPr="00FA370E">
        <w:rPr>
          <w:lang w:eastAsia="zh-CN"/>
        </w:rPr>
        <w:t xml:space="preserve">, W., Weber, M., 1999. Contrarian and momentum strategies in </w:t>
      </w:r>
      <w:smartTag w:uri="urn:schemas-microsoft-com:office:smarttags" w:element="place">
        <w:smartTag w:uri="urn:schemas-microsoft-com:office:smarttags" w:element="country-region">
          <w:r w:rsidRPr="00FA370E">
            <w:rPr>
              <w:lang w:eastAsia="zh-CN"/>
            </w:rPr>
            <w:t>Germany</w:t>
          </w:r>
        </w:smartTag>
      </w:smartTag>
      <w:r w:rsidRPr="00FA370E">
        <w:rPr>
          <w:lang w:eastAsia="zh-CN"/>
        </w:rPr>
        <w:t>. Financial</w:t>
      </w:r>
      <w:r w:rsidR="004232C8">
        <w:rPr>
          <w:lang w:eastAsia="zh-CN"/>
        </w:rPr>
        <w:t xml:space="preserve"> </w:t>
      </w:r>
      <w:r w:rsidRPr="00FA370E">
        <w:rPr>
          <w:lang w:eastAsia="zh-CN"/>
        </w:rPr>
        <w:t>Analysts Journal 55, 104–116.</w:t>
      </w:r>
    </w:p>
    <w:p w:rsidR="00FA370E" w:rsidRPr="00FA370E" w:rsidRDefault="00FA370E" w:rsidP="002B5463">
      <w:pPr>
        <w:jc w:val="both"/>
      </w:pPr>
    </w:p>
    <w:p w:rsidR="001A48B0" w:rsidRPr="00FA370E" w:rsidRDefault="00903B45" w:rsidP="002B5463">
      <w:pPr>
        <w:jc w:val="both"/>
        <w:rPr>
          <w:color w:val="000000"/>
          <w:lang w:eastAsia="zh-CN"/>
        </w:rPr>
      </w:pPr>
      <w:proofErr w:type="spellStart"/>
      <w:r>
        <w:rPr>
          <w:color w:val="000000"/>
          <w:lang w:eastAsia="zh-CN"/>
        </w:rPr>
        <w:t>Sirri</w:t>
      </w:r>
      <w:proofErr w:type="spellEnd"/>
      <w:r>
        <w:rPr>
          <w:color w:val="000000"/>
          <w:lang w:eastAsia="zh-CN"/>
        </w:rPr>
        <w:t>, E. R.,</w:t>
      </w:r>
      <w:r w:rsidR="001A48B0" w:rsidRPr="00FA370E">
        <w:rPr>
          <w:color w:val="000000"/>
          <w:lang w:eastAsia="zh-CN"/>
        </w:rPr>
        <w:t xml:space="preserve"> </w:t>
      </w:r>
      <w:proofErr w:type="spellStart"/>
      <w:r w:rsidR="001A48B0" w:rsidRPr="00FA370E">
        <w:rPr>
          <w:color w:val="000000"/>
          <w:lang w:eastAsia="zh-CN"/>
        </w:rPr>
        <w:t>Tufano</w:t>
      </w:r>
      <w:proofErr w:type="spellEnd"/>
      <w:r w:rsidR="001A48B0" w:rsidRPr="00FA370E">
        <w:rPr>
          <w:color w:val="000000"/>
          <w:lang w:eastAsia="zh-CN"/>
        </w:rPr>
        <w:t>,</w:t>
      </w:r>
      <w:r>
        <w:rPr>
          <w:color w:val="000000"/>
          <w:lang w:eastAsia="zh-CN"/>
        </w:rPr>
        <w:t xml:space="preserve"> P., 1998.</w:t>
      </w:r>
      <w:r w:rsidR="001A48B0" w:rsidRPr="00FA370E">
        <w:rPr>
          <w:color w:val="000000"/>
          <w:lang w:eastAsia="zh-CN"/>
        </w:rPr>
        <w:t xml:space="preserve"> Costly search an</w:t>
      </w:r>
      <w:r w:rsidR="000B3FEE">
        <w:rPr>
          <w:color w:val="000000"/>
          <w:lang w:eastAsia="zh-CN"/>
        </w:rPr>
        <w:t>d mutual fund flows.</w:t>
      </w:r>
      <w:r w:rsidR="004232C8">
        <w:rPr>
          <w:color w:val="000000"/>
          <w:lang w:eastAsia="zh-CN"/>
        </w:rPr>
        <w:t xml:space="preserve"> Journal of </w:t>
      </w:r>
      <w:r w:rsidR="001A48B0" w:rsidRPr="00FA370E">
        <w:rPr>
          <w:color w:val="000000"/>
          <w:lang w:eastAsia="zh-CN"/>
        </w:rPr>
        <w:t xml:space="preserve">Finance 53, 1589-1622. </w:t>
      </w:r>
    </w:p>
    <w:p w:rsidR="00FA6D80" w:rsidRDefault="00FA6D80" w:rsidP="00FA370E"/>
    <w:p w:rsidR="003D4E95" w:rsidRDefault="003D4E95" w:rsidP="00FA370E"/>
    <w:p w:rsidR="003D4E95" w:rsidRDefault="003D4E95" w:rsidP="00FA370E"/>
    <w:p w:rsidR="003D4E95" w:rsidRDefault="003D4E95" w:rsidP="00FA370E"/>
    <w:p w:rsidR="003D4E95" w:rsidRDefault="003D4E95" w:rsidP="00FA370E"/>
    <w:p w:rsidR="003D4E95" w:rsidRDefault="003D4E95" w:rsidP="00FA370E"/>
    <w:p w:rsidR="003D4E95" w:rsidRDefault="003D4E95" w:rsidP="00FA370E"/>
    <w:p w:rsidR="003D4E95" w:rsidRDefault="003D4E95" w:rsidP="00FA370E"/>
    <w:p w:rsidR="003D4E95" w:rsidRDefault="003D4E95" w:rsidP="00FA370E"/>
    <w:p w:rsidR="003D4E95" w:rsidRDefault="003D4E95" w:rsidP="00FA370E"/>
    <w:p w:rsidR="003D4E95" w:rsidRDefault="003D4E95" w:rsidP="00FA370E"/>
    <w:p w:rsidR="003D4E95" w:rsidRDefault="003D4E95" w:rsidP="00FA370E"/>
    <w:sectPr w:rsidR="003D4E95" w:rsidSect="00FF13C0">
      <w:footerReference w:type="even" r:id="rId7"/>
      <w:footerReference w:type="default" r:id="rId8"/>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EF9" w:rsidRDefault="001D6EF9">
      <w:r>
        <w:separator/>
      </w:r>
    </w:p>
  </w:endnote>
  <w:endnote w:type="continuationSeparator" w:id="0">
    <w:p w:rsidR="001D6EF9" w:rsidRDefault="001D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292" w:rsidRDefault="00E14292" w:rsidP="008269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4292" w:rsidRDefault="00E14292" w:rsidP="00A635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333844"/>
      <w:docPartObj>
        <w:docPartGallery w:val="Page Numbers (Bottom of Page)"/>
        <w:docPartUnique/>
      </w:docPartObj>
    </w:sdtPr>
    <w:sdtEndPr>
      <w:rPr>
        <w:noProof/>
      </w:rPr>
    </w:sdtEndPr>
    <w:sdtContent>
      <w:p w:rsidR="00FF13C0" w:rsidRDefault="00FF13C0">
        <w:pPr>
          <w:pStyle w:val="Footer"/>
          <w:jc w:val="right"/>
        </w:pPr>
        <w:r>
          <w:fldChar w:fldCharType="begin"/>
        </w:r>
        <w:r>
          <w:instrText xml:space="preserve"> PAGE   \* MERGEFORMAT </w:instrText>
        </w:r>
        <w:r>
          <w:fldChar w:fldCharType="separate"/>
        </w:r>
        <w:r w:rsidR="00AE3744">
          <w:rPr>
            <w:noProof/>
          </w:rPr>
          <w:t>1</w:t>
        </w:r>
        <w:r>
          <w:rPr>
            <w:noProof/>
          </w:rPr>
          <w:fldChar w:fldCharType="end"/>
        </w:r>
      </w:p>
    </w:sdtContent>
  </w:sdt>
  <w:p w:rsidR="00E14292" w:rsidRDefault="00E14292" w:rsidP="00A635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EF9" w:rsidRDefault="001D6EF9">
      <w:r>
        <w:separator/>
      </w:r>
    </w:p>
  </w:footnote>
  <w:footnote w:type="continuationSeparator" w:id="0">
    <w:p w:rsidR="001D6EF9" w:rsidRDefault="001D6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87A2D"/>
    <w:multiLevelType w:val="hybridMultilevel"/>
    <w:tmpl w:val="9566F2D2"/>
    <w:lvl w:ilvl="0" w:tplc="114C04E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A4C7AB7"/>
    <w:multiLevelType w:val="hybridMultilevel"/>
    <w:tmpl w:val="473C2B8C"/>
    <w:lvl w:ilvl="0" w:tplc="A712E95E">
      <w:start w:val="3"/>
      <w:numFmt w:val="decimal"/>
      <w:lvlText w:val="%1."/>
      <w:lvlJc w:val="left"/>
      <w:pPr>
        <w:tabs>
          <w:tab w:val="num" w:pos="360"/>
        </w:tabs>
        <w:ind w:left="360" w:hanging="360"/>
      </w:pPr>
      <w:rPr>
        <w:rFonts w:hint="default"/>
        <w:b/>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4F664783"/>
    <w:multiLevelType w:val="hybridMultilevel"/>
    <w:tmpl w:val="D4B0E5D4"/>
    <w:lvl w:ilvl="0" w:tplc="E1B80F06">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5A0376AB"/>
    <w:multiLevelType w:val="hybridMultilevel"/>
    <w:tmpl w:val="32FEB33E"/>
    <w:lvl w:ilvl="0" w:tplc="A83EF82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63296286"/>
    <w:multiLevelType w:val="hybridMultilevel"/>
    <w:tmpl w:val="DFAC8564"/>
    <w:lvl w:ilvl="0" w:tplc="EA509F62">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68106B0D"/>
    <w:multiLevelType w:val="hybridMultilevel"/>
    <w:tmpl w:val="8E34F376"/>
    <w:lvl w:ilvl="0" w:tplc="24AC3396">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74970AA7"/>
    <w:multiLevelType w:val="hybridMultilevel"/>
    <w:tmpl w:val="79AAEF9C"/>
    <w:lvl w:ilvl="0" w:tplc="02B8CB86">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7E4F787C"/>
    <w:multiLevelType w:val="hybridMultilevel"/>
    <w:tmpl w:val="AC2A4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36"/>
    <w:rsid w:val="00002736"/>
    <w:rsid w:val="000029D6"/>
    <w:rsid w:val="0001480E"/>
    <w:rsid w:val="00024689"/>
    <w:rsid w:val="0002626E"/>
    <w:rsid w:val="00027C07"/>
    <w:rsid w:val="00044F3F"/>
    <w:rsid w:val="000454FE"/>
    <w:rsid w:val="000455FA"/>
    <w:rsid w:val="0004648B"/>
    <w:rsid w:val="00064DAF"/>
    <w:rsid w:val="00064F9F"/>
    <w:rsid w:val="00065751"/>
    <w:rsid w:val="000658F0"/>
    <w:rsid w:val="0006743B"/>
    <w:rsid w:val="00070114"/>
    <w:rsid w:val="0007406E"/>
    <w:rsid w:val="00082D8C"/>
    <w:rsid w:val="000830D5"/>
    <w:rsid w:val="0008383C"/>
    <w:rsid w:val="00084979"/>
    <w:rsid w:val="00084D2A"/>
    <w:rsid w:val="0008550E"/>
    <w:rsid w:val="000A6B61"/>
    <w:rsid w:val="000B00D1"/>
    <w:rsid w:val="000B092D"/>
    <w:rsid w:val="000B157B"/>
    <w:rsid w:val="000B2D49"/>
    <w:rsid w:val="000B3A2A"/>
    <w:rsid w:val="000B3FEE"/>
    <w:rsid w:val="000C0DC5"/>
    <w:rsid w:val="000C5931"/>
    <w:rsid w:val="000D3ADC"/>
    <w:rsid w:val="000D4135"/>
    <w:rsid w:val="000D4AA5"/>
    <w:rsid w:val="000E5A16"/>
    <w:rsid w:val="000F3004"/>
    <w:rsid w:val="00134B58"/>
    <w:rsid w:val="00143EC6"/>
    <w:rsid w:val="0014432C"/>
    <w:rsid w:val="00146128"/>
    <w:rsid w:val="00154A45"/>
    <w:rsid w:val="0016222F"/>
    <w:rsid w:val="00162856"/>
    <w:rsid w:val="00165D19"/>
    <w:rsid w:val="00175B91"/>
    <w:rsid w:val="00180003"/>
    <w:rsid w:val="00183026"/>
    <w:rsid w:val="00187050"/>
    <w:rsid w:val="001950B3"/>
    <w:rsid w:val="00196694"/>
    <w:rsid w:val="001A4599"/>
    <w:rsid w:val="001A48B0"/>
    <w:rsid w:val="001B0C3A"/>
    <w:rsid w:val="001B34DF"/>
    <w:rsid w:val="001C76B2"/>
    <w:rsid w:val="001C7990"/>
    <w:rsid w:val="001D2365"/>
    <w:rsid w:val="001D3B5B"/>
    <w:rsid w:val="001D42F4"/>
    <w:rsid w:val="001D6EF9"/>
    <w:rsid w:val="001E0083"/>
    <w:rsid w:val="001E23D0"/>
    <w:rsid w:val="001F59F0"/>
    <w:rsid w:val="001F7423"/>
    <w:rsid w:val="002110C7"/>
    <w:rsid w:val="00212F55"/>
    <w:rsid w:val="002353FA"/>
    <w:rsid w:val="002439D5"/>
    <w:rsid w:val="00247C7B"/>
    <w:rsid w:val="0025050C"/>
    <w:rsid w:val="00252050"/>
    <w:rsid w:val="00252E51"/>
    <w:rsid w:val="002552FD"/>
    <w:rsid w:val="00261419"/>
    <w:rsid w:val="00262F24"/>
    <w:rsid w:val="00264804"/>
    <w:rsid w:val="00277889"/>
    <w:rsid w:val="002833F5"/>
    <w:rsid w:val="00286CF5"/>
    <w:rsid w:val="002920E2"/>
    <w:rsid w:val="00293FE5"/>
    <w:rsid w:val="00295EA4"/>
    <w:rsid w:val="002B0CDA"/>
    <w:rsid w:val="002B5463"/>
    <w:rsid w:val="002B5610"/>
    <w:rsid w:val="002C306A"/>
    <w:rsid w:val="002C77FE"/>
    <w:rsid w:val="002E1913"/>
    <w:rsid w:val="0030205C"/>
    <w:rsid w:val="00303D7F"/>
    <w:rsid w:val="00305CE0"/>
    <w:rsid w:val="00310029"/>
    <w:rsid w:val="003171F4"/>
    <w:rsid w:val="0031735A"/>
    <w:rsid w:val="00320054"/>
    <w:rsid w:val="00321C60"/>
    <w:rsid w:val="003258FC"/>
    <w:rsid w:val="00332960"/>
    <w:rsid w:val="0033535C"/>
    <w:rsid w:val="0034347C"/>
    <w:rsid w:val="003476BA"/>
    <w:rsid w:val="00351D4B"/>
    <w:rsid w:val="00366884"/>
    <w:rsid w:val="0037485A"/>
    <w:rsid w:val="00376C50"/>
    <w:rsid w:val="003874B0"/>
    <w:rsid w:val="00393E4E"/>
    <w:rsid w:val="003A0717"/>
    <w:rsid w:val="003A4332"/>
    <w:rsid w:val="003A468D"/>
    <w:rsid w:val="003B15E3"/>
    <w:rsid w:val="003B552A"/>
    <w:rsid w:val="003C1A85"/>
    <w:rsid w:val="003D307D"/>
    <w:rsid w:val="003D4E95"/>
    <w:rsid w:val="003F0BE3"/>
    <w:rsid w:val="003F4170"/>
    <w:rsid w:val="00405E57"/>
    <w:rsid w:val="0042218A"/>
    <w:rsid w:val="004232C8"/>
    <w:rsid w:val="004265F9"/>
    <w:rsid w:val="00430673"/>
    <w:rsid w:val="00431C18"/>
    <w:rsid w:val="00435B0D"/>
    <w:rsid w:val="004433DD"/>
    <w:rsid w:val="0044397C"/>
    <w:rsid w:val="00444245"/>
    <w:rsid w:val="004456F2"/>
    <w:rsid w:val="00446731"/>
    <w:rsid w:val="00451C7B"/>
    <w:rsid w:val="00454C65"/>
    <w:rsid w:val="0046087A"/>
    <w:rsid w:val="00465D16"/>
    <w:rsid w:val="0047244F"/>
    <w:rsid w:val="00473B94"/>
    <w:rsid w:val="00473C23"/>
    <w:rsid w:val="00485F6B"/>
    <w:rsid w:val="0049161E"/>
    <w:rsid w:val="00492B38"/>
    <w:rsid w:val="00496F9E"/>
    <w:rsid w:val="004A0BCD"/>
    <w:rsid w:val="004A4E14"/>
    <w:rsid w:val="004A59BB"/>
    <w:rsid w:val="004B3804"/>
    <w:rsid w:val="004C4894"/>
    <w:rsid w:val="004C4D3D"/>
    <w:rsid w:val="004D369E"/>
    <w:rsid w:val="004E2992"/>
    <w:rsid w:val="004E5185"/>
    <w:rsid w:val="004F0211"/>
    <w:rsid w:val="004F4135"/>
    <w:rsid w:val="004F6757"/>
    <w:rsid w:val="0050041C"/>
    <w:rsid w:val="00520DE1"/>
    <w:rsid w:val="00526E50"/>
    <w:rsid w:val="0053362C"/>
    <w:rsid w:val="00535559"/>
    <w:rsid w:val="005368C3"/>
    <w:rsid w:val="00544775"/>
    <w:rsid w:val="00544F38"/>
    <w:rsid w:val="00550B98"/>
    <w:rsid w:val="005557C1"/>
    <w:rsid w:val="00560B5B"/>
    <w:rsid w:val="00572781"/>
    <w:rsid w:val="00576C32"/>
    <w:rsid w:val="00580268"/>
    <w:rsid w:val="00581D87"/>
    <w:rsid w:val="00581FE1"/>
    <w:rsid w:val="00582876"/>
    <w:rsid w:val="00597F9B"/>
    <w:rsid w:val="005A756E"/>
    <w:rsid w:val="005A78DE"/>
    <w:rsid w:val="005C10A0"/>
    <w:rsid w:val="005C14C0"/>
    <w:rsid w:val="005C3EB8"/>
    <w:rsid w:val="005C5B02"/>
    <w:rsid w:val="005C607E"/>
    <w:rsid w:val="005C6F1A"/>
    <w:rsid w:val="005D2F1F"/>
    <w:rsid w:val="005F69CA"/>
    <w:rsid w:val="00602908"/>
    <w:rsid w:val="00605055"/>
    <w:rsid w:val="00612380"/>
    <w:rsid w:val="00614F17"/>
    <w:rsid w:val="00616291"/>
    <w:rsid w:val="0062225D"/>
    <w:rsid w:val="00624CC7"/>
    <w:rsid w:val="00627611"/>
    <w:rsid w:val="00633B11"/>
    <w:rsid w:val="006406C1"/>
    <w:rsid w:val="0064257A"/>
    <w:rsid w:val="00645AAD"/>
    <w:rsid w:val="00653764"/>
    <w:rsid w:val="00654BD5"/>
    <w:rsid w:val="00656A51"/>
    <w:rsid w:val="00663B8E"/>
    <w:rsid w:val="006658E5"/>
    <w:rsid w:val="0067019A"/>
    <w:rsid w:val="0067028D"/>
    <w:rsid w:val="00682606"/>
    <w:rsid w:val="00685818"/>
    <w:rsid w:val="0068595C"/>
    <w:rsid w:val="00687D89"/>
    <w:rsid w:val="0069269B"/>
    <w:rsid w:val="006A6B56"/>
    <w:rsid w:val="006B00F6"/>
    <w:rsid w:val="006B135D"/>
    <w:rsid w:val="006C429B"/>
    <w:rsid w:val="006C6991"/>
    <w:rsid w:val="006D453D"/>
    <w:rsid w:val="006D5E4D"/>
    <w:rsid w:val="006D6186"/>
    <w:rsid w:val="006D7E18"/>
    <w:rsid w:val="006F294B"/>
    <w:rsid w:val="006F2A9F"/>
    <w:rsid w:val="006F64F3"/>
    <w:rsid w:val="006F7C1B"/>
    <w:rsid w:val="0070614D"/>
    <w:rsid w:val="007120D8"/>
    <w:rsid w:val="007137A5"/>
    <w:rsid w:val="00713CAC"/>
    <w:rsid w:val="0071417A"/>
    <w:rsid w:val="00715FCD"/>
    <w:rsid w:val="0071728A"/>
    <w:rsid w:val="00717EAE"/>
    <w:rsid w:val="00720A47"/>
    <w:rsid w:val="0072138C"/>
    <w:rsid w:val="00726808"/>
    <w:rsid w:val="00730ADC"/>
    <w:rsid w:val="00732854"/>
    <w:rsid w:val="00735A44"/>
    <w:rsid w:val="00735F5D"/>
    <w:rsid w:val="00736B15"/>
    <w:rsid w:val="007371B0"/>
    <w:rsid w:val="00741105"/>
    <w:rsid w:val="00741C6B"/>
    <w:rsid w:val="007453C2"/>
    <w:rsid w:val="00747533"/>
    <w:rsid w:val="0075031E"/>
    <w:rsid w:val="007729F0"/>
    <w:rsid w:val="00772E0F"/>
    <w:rsid w:val="00775C5C"/>
    <w:rsid w:val="00776997"/>
    <w:rsid w:val="00785120"/>
    <w:rsid w:val="00792A5F"/>
    <w:rsid w:val="00795E6B"/>
    <w:rsid w:val="00796761"/>
    <w:rsid w:val="007A5596"/>
    <w:rsid w:val="007B0385"/>
    <w:rsid w:val="007B60CB"/>
    <w:rsid w:val="007C0F52"/>
    <w:rsid w:val="007C6FC8"/>
    <w:rsid w:val="007E1565"/>
    <w:rsid w:val="007E705F"/>
    <w:rsid w:val="007F0FF6"/>
    <w:rsid w:val="007F4187"/>
    <w:rsid w:val="007F6021"/>
    <w:rsid w:val="00805647"/>
    <w:rsid w:val="008059AD"/>
    <w:rsid w:val="00805BF6"/>
    <w:rsid w:val="00806F6F"/>
    <w:rsid w:val="0081461A"/>
    <w:rsid w:val="008154D9"/>
    <w:rsid w:val="00815683"/>
    <w:rsid w:val="00817710"/>
    <w:rsid w:val="00820B57"/>
    <w:rsid w:val="00820BCB"/>
    <w:rsid w:val="00824DB1"/>
    <w:rsid w:val="008269DD"/>
    <w:rsid w:val="0083145D"/>
    <w:rsid w:val="00834B50"/>
    <w:rsid w:val="0083765F"/>
    <w:rsid w:val="00843A1C"/>
    <w:rsid w:val="008455C7"/>
    <w:rsid w:val="00853E8E"/>
    <w:rsid w:val="008562A1"/>
    <w:rsid w:val="008566E0"/>
    <w:rsid w:val="0086185C"/>
    <w:rsid w:val="00864E8C"/>
    <w:rsid w:val="008661DC"/>
    <w:rsid w:val="00873564"/>
    <w:rsid w:val="0089569D"/>
    <w:rsid w:val="008A1240"/>
    <w:rsid w:val="008A4309"/>
    <w:rsid w:val="008C03BA"/>
    <w:rsid w:val="008C0D93"/>
    <w:rsid w:val="008C33FC"/>
    <w:rsid w:val="008C53D3"/>
    <w:rsid w:val="008D0723"/>
    <w:rsid w:val="008D4005"/>
    <w:rsid w:val="008D4CC2"/>
    <w:rsid w:val="008D4F8C"/>
    <w:rsid w:val="008D5062"/>
    <w:rsid w:val="008D55B3"/>
    <w:rsid w:val="008E4DF9"/>
    <w:rsid w:val="008E7EF3"/>
    <w:rsid w:val="0090123B"/>
    <w:rsid w:val="00902691"/>
    <w:rsid w:val="00903786"/>
    <w:rsid w:val="00903B45"/>
    <w:rsid w:val="00907754"/>
    <w:rsid w:val="00912709"/>
    <w:rsid w:val="00912C5C"/>
    <w:rsid w:val="009150F5"/>
    <w:rsid w:val="00920AD9"/>
    <w:rsid w:val="0092123A"/>
    <w:rsid w:val="00923692"/>
    <w:rsid w:val="00944E50"/>
    <w:rsid w:val="00955723"/>
    <w:rsid w:val="00962DF0"/>
    <w:rsid w:val="00963D97"/>
    <w:rsid w:val="00963F7A"/>
    <w:rsid w:val="00964425"/>
    <w:rsid w:val="00971AD5"/>
    <w:rsid w:val="00973B03"/>
    <w:rsid w:val="00982D6D"/>
    <w:rsid w:val="009839D9"/>
    <w:rsid w:val="00983F46"/>
    <w:rsid w:val="0098546A"/>
    <w:rsid w:val="00987F18"/>
    <w:rsid w:val="00996408"/>
    <w:rsid w:val="00997E7C"/>
    <w:rsid w:val="009A0149"/>
    <w:rsid w:val="009A4FDA"/>
    <w:rsid w:val="009A789F"/>
    <w:rsid w:val="009A7B32"/>
    <w:rsid w:val="009B0A03"/>
    <w:rsid w:val="009C18B4"/>
    <w:rsid w:val="009C1F23"/>
    <w:rsid w:val="009C2FA2"/>
    <w:rsid w:val="009C72B2"/>
    <w:rsid w:val="009D01E3"/>
    <w:rsid w:val="009D0C03"/>
    <w:rsid w:val="009D6C88"/>
    <w:rsid w:val="009E073B"/>
    <w:rsid w:val="009F1C71"/>
    <w:rsid w:val="00A05D37"/>
    <w:rsid w:val="00A12124"/>
    <w:rsid w:val="00A126B6"/>
    <w:rsid w:val="00A12964"/>
    <w:rsid w:val="00A145EF"/>
    <w:rsid w:val="00A14BE7"/>
    <w:rsid w:val="00A2037F"/>
    <w:rsid w:val="00A25811"/>
    <w:rsid w:val="00A302D5"/>
    <w:rsid w:val="00A3493A"/>
    <w:rsid w:val="00A36E00"/>
    <w:rsid w:val="00A4042E"/>
    <w:rsid w:val="00A42163"/>
    <w:rsid w:val="00A579A4"/>
    <w:rsid w:val="00A6353A"/>
    <w:rsid w:val="00A73638"/>
    <w:rsid w:val="00A738B7"/>
    <w:rsid w:val="00A807BD"/>
    <w:rsid w:val="00A85072"/>
    <w:rsid w:val="00A87C2A"/>
    <w:rsid w:val="00A90539"/>
    <w:rsid w:val="00A91864"/>
    <w:rsid w:val="00A96A3B"/>
    <w:rsid w:val="00AA2612"/>
    <w:rsid w:val="00AA36A7"/>
    <w:rsid w:val="00AA6923"/>
    <w:rsid w:val="00AA74FA"/>
    <w:rsid w:val="00AB0FD1"/>
    <w:rsid w:val="00AB43E9"/>
    <w:rsid w:val="00AC16F3"/>
    <w:rsid w:val="00AC7113"/>
    <w:rsid w:val="00AC7D5F"/>
    <w:rsid w:val="00AD7C32"/>
    <w:rsid w:val="00AE3744"/>
    <w:rsid w:val="00AE3E14"/>
    <w:rsid w:val="00AE3F3C"/>
    <w:rsid w:val="00AF76C9"/>
    <w:rsid w:val="00AF7E80"/>
    <w:rsid w:val="00B063F7"/>
    <w:rsid w:val="00B06545"/>
    <w:rsid w:val="00B06A10"/>
    <w:rsid w:val="00B20C2F"/>
    <w:rsid w:val="00B21E06"/>
    <w:rsid w:val="00B241F4"/>
    <w:rsid w:val="00B268FE"/>
    <w:rsid w:val="00B33AD5"/>
    <w:rsid w:val="00B34C22"/>
    <w:rsid w:val="00B535DC"/>
    <w:rsid w:val="00B608A4"/>
    <w:rsid w:val="00B65B21"/>
    <w:rsid w:val="00B6683A"/>
    <w:rsid w:val="00B72376"/>
    <w:rsid w:val="00B87491"/>
    <w:rsid w:val="00B93DFB"/>
    <w:rsid w:val="00B9579D"/>
    <w:rsid w:val="00B95FAA"/>
    <w:rsid w:val="00BA5E9E"/>
    <w:rsid w:val="00BB1792"/>
    <w:rsid w:val="00BB17E0"/>
    <w:rsid w:val="00BB1D57"/>
    <w:rsid w:val="00BB571C"/>
    <w:rsid w:val="00BC12E7"/>
    <w:rsid w:val="00BC13D9"/>
    <w:rsid w:val="00BC1AE4"/>
    <w:rsid w:val="00BD12BB"/>
    <w:rsid w:val="00BD716A"/>
    <w:rsid w:val="00BD7279"/>
    <w:rsid w:val="00BE5A93"/>
    <w:rsid w:val="00BE7A47"/>
    <w:rsid w:val="00BF0BFE"/>
    <w:rsid w:val="00C0648A"/>
    <w:rsid w:val="00C066F7"/>
    <w:rsid w:val="00C10260"/>
    <w:rsid w:val="00C10BD2"/>
    <w:rsid w:val="00C117FE"/>
    <w:rsid w:val="00C168B9"/>
    <w:rsid w:val="00C17C66"/>
    <w:rsid w:val="00C20486"/>
    <w:rsid w:val="00C2118A"/>
    <w:rsid w:val="00C274DD"/>
    <w:rsid w:val="00C31183"/>
    <w:rsid w:val="00C34A36"/>
    <w:rsid w:val="00C56D1B"/>
    <w:rsid w:val="00C67C3D"/>
    <w:rsid w:val="00C7316E"/>
    <w:rsid w:val="00C87B1C"/>
    <w:rsid w:val="00C941A8"/>
    <w:rsid w:val="00C9662B"/>
    <w:rsid w:val="00C96D83"/>
    <w:rsid w:val="00CD1DB8"/>
    <w:rsid w:val="00CE1311"/>
    <w:rsid w:val="00CE256B"/>
    <w:rsid w:val="00CE50A9"/>
    <w:rsid w:val="00CE7DCB"/>
    <w:rsid w:val="00CF65DB"/>
    <w:rsid w:val="00D067FC"/>
    <w:rsid w:val="00D10CDF"/>
    <w:rsid w:val="00D3501C"/>
    <w:rsid w:val="00D351F2"/>
    <w:rsid w:val="00D4322C"/>
    <w:rsid w:val="00D50FFD"/>
    <w:rsid w:val="00D557F8"/>
    <w:rsid w:val="00D61321"/>
    <w:rsid w:val="00D62779"/>
    <w:rsid w:val="00D64907"/>
    <w:rsid w:val="00D64EDB"/>
    <w:rsid w:val="00D65871"/>
    <w:rsid w:val="00D662EA"/>
    <w:rsid w:val="00D866D3"/>
    <w:rsid w:val="00D86D22"/>
    <w:rsid w:val="00D90C01"/>
    <w:rsid w:val="00D92ED7"/>
    <w:rsid w:val="00DA1D27"/>
    <w:rsid w:val="00DA3D8A"/>
    <w:rsid w:val="00DA4B30"/>
    <w:rsid w:val="00DB366B"/>
    <w:rsid w:val="00DB753E"/>
    <w:rsid w:val="00DC1447"/>
    <w:rsid w:val="00DC1A86"/>
    <w:rsid w:val="00DC21C6"/>
    <w:rsid w:val="00DD1096"/>
    <w:rsid w:val="00DD16BB"/>
    <w:rsid w:val="00DD23B8"/>
    <w:rsid w:val="00DD42BA"/>
    <w:rsid w:val="00DF6543"/>
    <w:rsid w:val="00E01A82"/>
    <w:rsid w:val="00E02D07"/>
    <w:rsid w:val="00E05C12"/>
    <w:rsid w:val="00E068A0"/>
    <w:rsid w:val="00E14292"/>
    <w:rsid w:val="00E257E3"/>
    <w:rsid w:val="00E25875"/>
    <w:rsid w:val="00E25E10"/>
    <w:rsid w:val="00E263FB"/>
    <w:rsid w:val="00E3231D"/>
    <w:rsid w:val="00E37A95"/>
    <w:rsid w:val="00E40AEB"/>
    <w:rsid w:val="00E541A2"/>
    <w:rsid w:val="00E6352E"/>
    <w:rsid w:val="00E67305"/>
    <w:rsid w:val="00E676D4"/>
    <w:rsid w:val="00E70AD0"/>
    <w:rsid w:val="00E73D2B"/>
    <w:rsid w:val="00E74BB2"/>
    <w:rsid w:val="00E76A48"/>
    <w:rsid w:val="00E87BB7"/>
    <w:rsid w:val="00E9260F"/>
    <w:rsid w:val="00E93ADF"/>
    <w:rsid w:val="00E94761"/>
    <w:rsid w:val="00E94A89"/>
    <w:rsid w:val="00E94CBA"/>
    <w:rsid w:val="00EA4B19"/>
    <w:rsid w:val="00EB0E87"/>
    <w:rsid w:val="00EB1EC4"/>
    <w:rsid w:val="00EC2732"/>
    <w:rsid w:val="00EC3DFD"/>
    <w:rsid w:val="00EC50D5"/>
    <w:rsid w:val="00ED0C17"/>
    <w:rsid w:val="00EE5A91"/>
    <w:rsid w:val="00EF1FFC"/>
    <w:rsid w:val="00EF2E4A"/>
    <w:rsid w:val="00EF67F9"/>
    <w:rsid w:val="00EF7863"/>
    <w:rsid w:val="00F01E38"/>
    <w:rsid w:val="00F04F5A"/>
    <w:rsid w:val="00F10240"/>
    <w:rsid w:val="00F11293"/>
    <w:rsid w:val="00F14A1F"/>
    <w:rsid w:val="00F16603"/>
    <w:rsid w:val="00F2107A"/>
    <w:rsid w:val="00F46873"/>
    <w:rsid w:val="00F5419B"/>
    <w:rsid w:val="00F56AC1"/>
    <w:rsid w:val="00F634CD"/>
    <w:rsid w:val="00F6420A"/>
    <w:rsid w:val="00F77A33"/>
    <w:rsid w:val="00F91276"/>
    <w:rsid w:val="00F974B2"/>
    <w:rsid w:val="00FA370E"/>
    <w:rsid w:val="00FA37B3"/>
    <w:rsid w:val="00FA3E1B"/>
    <w:rsid w:val="00FA5714"/>
    <w:rsid w:val="00FA6D80"/>
    <w:rsid w:val="00FB3596"/>
    <w:rsid w:val="00FB4EBF"/>
    <w:rsid w:val="00FB54CD"/>
    <w:rsid w:val="00FB600A"/>
    <w:rsid w:val="00FD5285"/>
    <w:rsid w:val="00FD6CED"/>
    <w:rsid w:val="00FE48F4"/>
    <w:rsid w:val="00FE593E"/>
    <w:rsid w:val="00FE7876"/>
    <w:rsid w:val="00FF0B5D"/>
    <w:rsid w:val="00FF0C00"/>
    <w:rsid w:val="00FF13C0"/>
    <w:rsid w:val="00FF31A4"/>
    <w:rsid w:val="00FF52DC"/>
    <w:rsid w:val="00FF6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D5E6AC0-A229-4A9D-9FA0-39D17C87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18A"/>
    <w:rPr>
      <w:sz w:val="24"/>
      <w:szCs w:val="24"/>
      <w:lang w:eastAsia="en-US"/>
    </w:rPr>
  </w:style>
  <w:style w:type="paragraph" w:styleId="Heading2">
    <w:name w:val="heading 2"/>
    <w:basedOn w:val="Normal"/>
    <w:qFormat/>
    <w:rsid w:val="00820B57"/>
    <w:pPr>
      <w:spacing w:before="100" w:beforeAutospacing="1" w:after="100" w:afterAutospacing="1"/>
      <w:outlineLvl w:val="1"/>
    </w:pPr>
    <w:rPr>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9579D"/>
    <w:rPr>
      <w:b/>
      <w:bCs/>
    </w:rPr>
  </w:style>
  <w:style w:type="paragraph" w:styleId="Header">
    <w:name w:val="header"/>
    <w:basedOn w:val="Normal"/>
    <w:next w:val="Normal"/>
    <w:rsid w:val="00912C5C"/>
    <w:pPr>
      <w:autoSpaceDE w:val="0"/>
      <w:autoSpaceDN w:val="0"/>
      <w:adjustRightInd w:val="0"/>
    </w:pPr>
    <w:rPr>
      <w:rFonts w:ascii="Tahoma" w:hAnsi="Tahoma"/>
    </w:rPr>
  </w:style>
  <w:style w:type="paragraph" w:customStyle="1" w:styleId="Default">
    <w:name w:val="Default"/>
    <w:rsid w:val="00912C5C"/>
    <w:pPr>
      <w:autoSpaceDE w:val="0"/>
      <w:autoSpaceDN w:val="0"/>
      <w:adjustRightInd w:val="0"/>
    </w:pPr>
    <w:rPr>
      <w:rFonts w:ascii="Tahoma" w:hAnsi="Tahoma" w:cs="Tahoma"/>
      <w:color w:val="000000"/>
      <w:sz w:val="24"/>
      <w:szCs w:val="24"/>
      <w:lang w:eastAsia="en-US"/>
    </w:rPr>
  </w:style>
  <w:style w:type="paragraph" w:styleId="NormalWeb">
    <w:name w:val="Normal (Web)"/>
    <w:basedOn w:val="Normal"/>
    <w:rsid w:val="00D65871"/>
    <w:pPr>
      <w:spacing w:before="100" w:beforeAutospacing="1" w:after="100" w:afterAutospacing="1"/>
    </w:pPr>
  </w:style>
  <w:style w:type="character" w:customStyle="1" w:styleId="norm1">
    <w:name w:val="norm1"/>
    <w:basedOn w:val="DefaultParagraphFont"/>
    <w:rsid w:val="004433DD"/>
    <w:rPr>
      <w:rFonts w:ascii="Verdana" w:hAnsi="Verdana" w:hint="default"/>
      <w:color w:val="7B7B7B"/>
      <w:sz w:val="18"/>
      <w:szCs w:val="18"/>
    </w:rPr>
  </w:style>
  <w:style w:type="character" w:styleId="Hyperlink">
    <w:name w:val="Hyperlink"/>
    <w:basedOn w:val="DefaultParagraphFont"/>
    <w:rsid w:val="000029D6"/>
    <w:rPr>
      <w:color w:val="0000FF"/>
      <w:u w:val="single"/>
    </w:rPr>
  </w:style>
  <w:style w:type="character" w:customStyle="1" w:styleId="little1">
    <w:name w:val="little1"/>
    <w:basedOn w:val="DefaultParagraphFont"/>
    <w:rsid w:val="00405E57"/>
    <w:rPr>
      <w:rFonts w:ascii="Verdana" w:hAnsi="Verdana" w:hint="default"/>
      <w:color w:val="7B7B7B"/>
      <w:sz w:val="15"/>
      <w:szCs w:val="15"/>
    </w:rPr>
  </w:style>
  <w:style w:type="paragraph" w:styleId="BalloonText">
    <w:name w:val="Balloon Text"/>
    <w:basedOn w:val="Normal"/>
    <w:semiHidden/>
    <w:rsid w:val="00A25811"/>
    <w:rPr>
      <w:rFonts w:ascii="Tahoma" w:hAnsi="Tahoma" w:cs="Tahoma"/>
      <w:sz w:val="16"/>
      <w:szCs w:val="16"/>
    </w:rPr>
  </w:style>
  <w:style w:type="paragraph" w:styleId="Footer">
    <w:name w:val="footer"/>
    <w:basedOn w:val="Normal"/>
    <w:link w:val="FooterChar"/>
    <w:uiPriority w:val="99"/>
    <w:rsid w:val="00A6353A"/>
    <w:pPr>
      <w:tabs>
        <w:tab w:val="center" w:pos="4320"/>
        <w:tab w:val="right" w:pos="8640"/>
      </w:tabs>
    </w:pPr>
  </w:style>
  <w:style w:type="character" w:styleId="PageNumber">
    <w:name w:val="page number"/>
    <w:basedOn w:val="DefaultParagraphFont"/>
    <w:rsid w:val="00A6353A"/>
  </w:style>
  <w:style w:type="paragraph" w:styleId="FootnoteText">
    <w:name w:val="footnote text"/>
    <w:basedOn w:val="Normal"/>
    <w:semiHidden/>
    <w:rsid w:val="007A5596"/>
    <w:pPr>
      <w:snapToGrid w:val="0"/>
    </w:pPr>
    <w:rPr>
      <w:sz w:val="18"/>
      <w:szCs w:val="18"/>
    </w:rPr>
  </w:style>
  <w:style w:type="character" w:styleId="FootnoteReference">
    <w:name w:val="footnote reference"/>
    <w:basedOn w:val="DefaultParagraphFont"/>
    <w:semiHidden/>
    <w:rsid w:val="007A5596"/>
    <w:rPr>
      <w:vertAlign w:val="superscript"/>
    </w:rPr>
  </w:style>
  <w:style w:type="paragraph" w:styleId="Date">
    <w:name w:val="Date"/>
    <w:basedOn w:val="Normal"/>
    <w:next w:val="Normal"/>
    <w:link w:val="DateChar"/>
    <w:rsid w:val="003B552A"/>
  </w:style>
  <w:style w:type="character" w:customStyle="1" w:styleId="DateChar">
    <w:name w:val="Date Char"/>
    <w:basedOn w:val="DefaultParagraphFont"/>
    <w:link w:val="Date"/>
    <w:rsid w:val="003B552A"/>
    <w:rPr>
      <w:sz w:val="24"/>
      <w:szCs w:val="24"/>
      <w:lang w:eastAsia="en-US"/>
    </w:rPr>
  </w:style>
  <w:style w:type="paragraph" w:styleId="ListParagraph">
    <w:name w:val="List Paragraph"/>
    <w:basedOn w:val="Normal"/>
    <w:uiPriority w:val="34"/>
    <w:qFormat/>
    <w:rsid w:val="008C53D3"/>
    <w:pPr>
      <w:ind w:left="720"/>
      <w:contextualSpacing/>
    </w:pPr>
  </w:style>
  <w:style w:type="character" w:customStyle="1" w:styleId="FooterChar">
    <w:name w:val="Footer Char"/>
    <w:basedOn w:val="DefaultParagraphFont"/>
    <w:link w:val="Footer"/>
    <w:uiPriority w:val="99"/>
    <w:rsid w:val="00FF13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5188">
      <w:bodyDiv w:val="1"/>
      <w:marLeft w:val="0"/>
      <w:marRight w:val="0"/>
      <w:marTop w:val="0"/>
      <w:marBottom w:val="0"/>
      <w:divBdr>
        <w:top w:val="none" w:sz="0" w:space="0" w:color="auto"/>
        <w:left w:val="none" w:sz="0" w:space="0" w:color="auto"/>
        <w:bottom w:val="none" w:sz="0" w:space="0" w:color="auto"/>
        <w:right w:val="none" w:sz="0" w:space="0" w:color="auto"/>
      </w:divBdr>
    </w:div>
    <w:div w:id="68694341">
      <w:bodyDiv w:val="1"/>
      <w:marLeft w:val="0"/>
      <w:marRight w:val="0"/>
      <w:marTop w:val="0"/>
      <w:marBottom w:val="0"/>
      <w:divBdr>
        <w:top w:val="none" w:sz="0" w:space="0" w:color="auto"/>
        <w:left w:val="none" w:sz="0" w:space="0" w:color="auto"/>
        <w:bottom w:val="none" w:sz="0" w:space="0" w:color="auto"/>
        <w:right w:val="none" w:sz="0" w:space="0" w:color="auto"/>
      </w:divBdr>
    </w:div>
    <w:div w:id="73555171">
      <w:bodyDiv w:val="1"/>
      <w:marLeft w:val="0"/>
      <w:marRight w:val="0"/>
      <w:marTop w:val="0"/>
      <w:marBottom w:val="0"/>
      <w:divBdr>
        <w:top w:val="none" w:sz="0" w:space="0" w:color="auto"/>
        <w:left w:val="none" w:sz="0" w:space="0" w:color="auto"/>
        <w:bottom w:val="none" w:sz="0" w:space="0" w:color="auto"/>
        <w:right w:val="none" w:sz="0" w:space="0" w:color="auto"/>
      </w:divBdr>
    </w:div>
    <w:div w:id="131680422">
      <w:bodyDiv w:val="1"/>
      <w:marLeft w:val="0"/>
      <w:marRight w:val="0"/>
      <w:marTop w:val="0"/>
      <w:marBottom w:val="0"/>
      <w:divBdr>
        <w:top w:val="none" w:sz="0" w:space="0" w:color="auto"/>
        <w:left w:val="none" w:sz="0" w:space="0" w:color="auto"/>
        <w:bottom w:val="none" w:sz="0" w:space="0" w:color="auto"/>
        <w:right w:val="none" w:sz="0" w:space="0" w:color="auto"/>
      </w:divBdr>
    </w:div>
    <w:div w:id="247159467">
      <w:bodyDiv w:val="1"/>
      <w:marLeft w:val="0"/>
      <w:marRight w:val="0"/>
      <w:marTop w:val="0"/>
      <w:marBottom w:val="0"/>
      <w:divBdr>
        <w:top w:val="none" w:sz="0" w:space="0" w:color="auto"/>
        <w:left w:val="none" w:sz="0" w:space="0" w:color="auto"/>
        <w:bottom w:val="none" w:sz="0" w:space="0" w:color="auto"/>
        <w:right w:val="none" w:sz="0" w:space="0" w:color="auto"/>
      </w:divBdr>
    </w:div>
    <w:div w:id="305594613">
      <w:bodyDiv w:val="1"/>
      <w:marLeft w:val="0"/>
      <w:marRight w:val="0"/>
      <w:marTop w:val="0"/>
      <w:marBottom w:val="0"/>
      <w:divBdr>
        <w:top w:val="none" w:sz="0" w:space="0" w:color="auto"/>
        <w:left w:val="none" w:sz="0" w:space="0" w:color="auto"/>
        <w:bottom w:val="none" w:sz="0" w:space="0" w:color="auto"/>
        <w:right w:val="none" w:sz="0" w:space="0" w:color="auto"/>
      </w:divBdr>
    </w:div>
    <w:div w:id="372392939">
      <w:bodyDiv w:val="1"/>
      <w:marLeft w:val="0"/>
      <w:marRight w:val="0"/>
      <w:marTop w:val="0"/>
      <w:marBottom w:val="0"/>
      <w:divBdr>
        <w:top w:val="none" w:sz="0" w:space="0" w:color="auto"/>
        <w:left w:val="none" w:sz="0" w:space="0" w:color="auto"/>
        <w:bottom w:val="none" w:sz="0" w:space="0" w:color="auto"/>
        <w:right w:val="none" w:sz="0" w:space="0" w:color="auto"/>
      </w:divBdr>
    </w:div>
    <w:div w:id="570310507">
      <w:bodyDiv w:val="1"/>
      <w:marLeft w:val="0"/>
      <w:marRight w:val="0"/>
      <w:marTop w:val="0"/>
      <w:marBottom w:val="0"/>
      <w:divBdr>
        <w:top w:val="none" w:sz="0" w:space="0" w:color="auto"/>
        <w:left w:val="none" w:sz="0" w:space="0" w:color="auto"/>
        <w:bottom w:val="none" w:sz="0" w:space="0" w:color="auto"/>
        <w:right w:val="none" w:sz="0" w:space="0" w:color="auto"/>
      </w:divBdr>
    </w:div>
    <w:div w:id="611403120">
      <w:bodyDiv w:val="1"/>
      <w:marLeft w:val="0"/>
      <w:marRight w:val="0"/>
      <w:marTop w:val="0"/>
      <w:marBottom w:val="0"/>
      <w:divBdr>
        <w:top w:val="none" w:sz="0" w:space="0" w:color="auto"/>
        <w:left w:val="none" w:sz="0" w:space="0" w:color="auto"/>
        <w:bottom w:val="none" w:sz="0" w:space="0" w:color="auto"/>
        <w:right w:val="none" w:sz="0" w:space="0" w:color="auto"/>
      </w:divBdr>
    </w:div>
    <w:div w:id="691685483">
      <w:bodyDiv w:val="1"/>
      <w:marLeft w:val="0"/>
      <w:marRight w:val="0"/>
      <w:marTop w:val="0"/>
      <w:marBottom w:val="0"/>
      <w:divBdr>
        <w:top w:val="none" w:sz="0" w:space="0" w:color="auto"/>
        <w:left w:val="none" w:sz="0" w:space="0" w:color="auto"/>
        <w:bottom w:val="none" w:sz="0" w:space="0" w:color="auto"/>
        <w:right w:val="none" w:sz="0" w:space="0" w:color="auto"/>
      </w:divBdr>
    </w:div>
    <w:div w:id="951785616">
      <w:bodyDiv w:val="1"/>
      <w:marLeft w:val="0"/>
      <w:marRight w:val="0"/>
      <w:marTop w:val="0"/>
      <w:marBottom w:val="0"/>
      <w:divBdr>
        <w:top w:val="none" w:sz="0" w:space="0" w:color="auto"/>
        <w:left w:val="none" w:sz="0" w:space="0" w:color="auto"/>
        <w:bottom w:val="none" w:sz="0" w:space="0" w:color="auto"/>
        <w:right w:val="none" w:sz="0" w:space="0" w:color="auto"/>
      </w:divBdr>
    </w:div>
    <w:div w:id="1077944726">
      <w:bodyDiv w:val="1"/>
      <w:marLeft w:val="0"/>
      <w:marRight w:val="0"/>
      <w:marTop w:val="0"/>
      <w:marBottom w:val="0"/>
      <w:divBdr>
        <w:top w:val="none" w:sz="0" w:space="0" w:color="auto"/>
        <w:left w:val="none" w:sz="0" w:space="0" w:color="auto"/>
        <w:bottom w:val="none" w:sz="0" w:space="0" w:color="auto"/>
        <w:right w:val="none" w:sz="0" w:space="0" w:color="auto"/>
      </w:divBdr>
    </w:div>
    <w:div w:id="1123767410">
      <w:bodyDiv w:val="1"/>
      <w:marLeft w:val="0"/>
      <w:marRight w:val="0"/>
      <w:marTop w:val="0"/>
      <w:marBottom w:val="0"/>
      <w:divBdr>
        <w:top w:val="none" w:sz="0" w:space="0" w:color="auto"/>
        <w:left w:val="none" w:sz="0" w:space="0" w:color="auto"/>
        <w:bottom w:val="none" w:sz="0" w:space="0" w:color="auto"/>
        <w:right w:val="none" w:sz="0" w:space="0" w:color="auto"/>
      </w:divBdr>
    </w:div>
    <w:div w:id="1325625329">
      <w:bodyDiv w:val="1"/>
      <w:marLeft w:val="0"/>
      <w:marRight w:val="0"/>
      <w:marTop w:val="0"/>
      <w:marBottom w:val="0"/>
      <w:divBdr>
        <w:top w:val="none" w:sz="0" w:space="0" w:color="auto"/>
        <w:left w:val="none" w:sz="0" w:space="0" w:color="auto"/>
        <w:bottom w:val="none" w:sz="0" w:space="0" w:color="auto"/>
        <w:right w:val="none" w:sz="0" w:space="0" w:color="auto"/>
      </w:divBdr>
    </w:div>
    <w:div w:id="1406876099">
      <w:bodyDiv w:val="1"/>
      <w:marLeft w:val="0"/>
      <w:marRight w:val="0"/>
      <w:marTop w:val="0"/>
      <w:marBottom w:val="0"/>
      <w:divBdr>
        <w:top w:val="none" w:sz="0" w:space="0" w:color="auto"/>
        <w:left w:val="none" w:sz="0" w:space="0" w:color="auto"/>
        <w:bottom w:val="none" w:sz="0" w:space="0" w:color="auto"/>
        <w:right w:val="none" w:sz="0" w:space="0" w:color="auto"/>
      </w:divBdr>
    </w:div>
    <w:div w:id="1491017990">
      <w:bodyDiv w:val="1"/>
      <w:marLeft w:val="0"/>
      <w:marRight w:val="0"/>
      <w:marTop w:val="0"/>
      <w:marBottom w:val="0"/>
      <w:divBdr>
        <w:top w:val="none" w:sz="0" w:space="0" w:color="auto"/>
        <w:left w:val="none" w:sz="0" w:space="0" w:color="auto"/>
        <w:bottom w:val="none" w:sz="0" w:space="0" w:color="auto"/>
        <w:right w:val="none" w:sz="0" w:space="0" w:color="auto"/>
      </w:divBdr>
    </w:div>
    <w:div w:id="1514107047">
      <w:bodyDiv w:val="1"/>
      <w:marLeft w:val="0"/>
      <w:marRight w:val="0"/>
      <w:marTop w:val="0"/>
      <w:marBottom w:val="0"/>
      <w:divBdr>
        <w:top w:val="none" w:sz="0" w:space="0" w:color="auto"/>
        <w:left w:val="none" w:sz="0" w:space="0" w:color="auto"/>
        <w:bottom w:val="none" w:sz="0" w:space="0" w:color="auto"/>
        <w:right w:val="none" w:sz="0" w:space="0" w:color="auto"/>
      </w:divBdr>
    </w:div>
    <w:div w:id="1630159985">
      <w:bodyDiv w:val="1"/>
      <w:marLeft w:val="0"/>
      <w:marRight w:val="0"/>
      <w:marTop w:val="0"/>
      <w:marBottom w:val="0"/>
      <w:divBdr>
        <w:top w:val="none" w:sz="0" w:space="0" w:color="auto"/>
        <w:left w:val="none" w:sz="0" w:space="0" w:color="auto"/>
        <w:bottom w:val="none" w:sz="0" w:space="0" w:color="auto"/>
        <w:right w:val="none" w:sz="0" w:space="0" w:color="auto"/>
      </w:divBdr>
    </w:div>
    <w:div w:id="1694918873">
      <w:bodyDiv w:val="1"/>
      <w:marLeft w:val="0"/>
      <w:marRight w:val="0"/>
      <w:marTop w:val="0"/>
      <w:marBottom w:val="0"/>
      <w:divBdr>
        <w:top w:val="none" w:sz="0" w:space="0" w:color="auto"/>
        <w:left w:val="none" w:sz="0" w:space="0" w:color="auto"/>
        <w:bottom w:val="none" w:sz="0" w:space="0" w:color="auto"/>
        <w:right w:val="none" w:sz="0" w:space="0" w:color="auto"/>
      </w:divBdr>
    </w:div>
    <w:div w:id="1754626918">
      <w:bodyDiv w:val="1"/>
      <w:marLeft w:val="0"/>
      <w:marRight w:val="0"/>
      <w:marTop w:val="0"/>
      <w:marBottom w:val="0"/>
      <w:divBdr>
        <w:top w:val="none" w:sz="0" w:space="0" w:color="auto"/>
        <w:left w:val="none" w:sz="0" w:space="0" w:color="auto"/>
        <w:bottom w:val="none" w:sz="0" w:space="0" w:color="auto"/>
        <w:right w:val="none" w:sz="0" w:space="0" w:color="auto"/>
      </w:divBdr>
    </w:div>
    <w:div w:id="1878539919">
      <w:bodyDiv w:val="1"/>
      <w:marLeft w:val="0"/>
      <w:marRight w:val="0"/>
      <w:marTop w:val="0"/>
      <w:marBottom w:val="0"/>
      <w:divBdr>
        <w:top w:val="none" w:sz="0" w:space="0" w:color="auto"/>
        <w:left w:val="none" w:sz="0" w:space="0" w:color="auto"/>
        <w:bottom w:val="none" w:sz="0" w:space="0" w:color="auto"/>
        <w:right w:val="none" w:sz="0" w:space="0" w:color="auto"/>
      </w:divBdr>
    </w:div>
    <w:div w:id="2016954755">
      <w:bodyDiv w:val="1"/>
      <w:marLeft w:val="0"/>
      <w:marRight w:val="0"/>
      <w:marTop w:val="0"/>
      <w:marBottom w:val="0"/>
      <w:divBdr>
        <w:top w:val="none" w:sz="0" w:space="0" w:color="auto"/>
        <w:left w:val="none" w:sz="0" w:space="0" w:color="auto"/>
        <w:bottom w:val="none" w:sz="0" w:space="0" w:color="auto"/>
        <w:right w:val="none" w:sz="0" w:space="0" w:color="auto"/>
      </w:divBdr>
    </w:div>
    <w:div w:id="2045590549">
      <w:bodyDiv w:val="1"/>
      <w:marLeft w:val="0"/>
      <w:marRight w:val="0"/>
      <w:marTop w:val="0"/>
      <w:marBottom w:val="0"/>
      <w:divBdr>
        <w:top w:val="none" w:sz="0" w:space="0" w:color="auto"/>
        <w:left w:val="none" w:sz="0" w:space="0" w:color="auto"/>
        <w:bottom w:val="none" w:sz="0" w:space="0" w:color="auto"/>
        <w:right w:val="none" w:sz="0" w:space="0" w:color="auto"/>
      </w:divBdr>
    </w:div>
    <w:div w:id="213917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4489</Words>
  <Characters>25593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An extensive body of finance literature documents that past stock returns can predict</vt:lpstr>
    </vt:vector>
  </TitlesOfParts>
  <Company>The University of Alabama</Company>
  <LinksUpToDate>false</LinksUpToDate>
  <CharactersWithSpaces>30022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extensive body of finance literature documents that past stock returns can predict</dc:title>
  <dc:subject/>
  <dc:creator>jwang</dc:creator>
  <cp:keywords/>
  <dc:description/>
  <cp:lastModifiedBy>Lu, Xing</cp:lastModifiedBy>
  <cp:revision>4</cp:revision>
  <cp:lastPrinted>2009-04-02T16:01:00Z</cp:lastPrinted>
  <dcterms:created xsi:type="dcterms:W3CDTF">2016-03-28T23:14:00Z</dcterms:created>
  <dcterms:modified xsi:type="dcterms:W3CDTF">2016-03-30T15:50:00Z</dcterms:modified>
</cp:coreProperties>
</file>