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F2CC" w14:textId="77777777" w:rsidR="00B076A3" w:rsidRPr="00DF1409" w:rsidRDefault="00B076A3" w:rsidP="00B076A3">
      <w:pPr>
        <w:rPr>
          <w:rFonts w:ascii="Times New Roman" w:hAnsi="Times New Roman" w:cs="Times New Roman"/>
          <w:b/>
          <w:sz w:val="28"/>
          <w:szCs w:val="28"/>
        </w:rPr>
      </w:pPr>
      <w:r w:rsidRPr="00DF1409">
        <w:rPr>
          <w:rFonts w:ascii="Times New Roman" w:hAnsi="Times New Roman" w:cs="Times New Roman"/>
          <w:b/>
          <w:sz w:val="28"/>
          <w:szCs w:val="28"/>
        </w:rPr>
        <w:t>Modelling the Asymmetric Effects of Outward Foreign Direct Investment on Economic Growth in Romania</w:t>
      </w:r>
    </w:p>
    <w:p w14:paraId="7F5545AF" w14:textId="77777777" w:rsidR="000B7399" w:rsidRDefault="000B7399" w:rsidP="00D745E4">
      <w:pPr>
        <w:jc w:val="both"/>
        <w:rPr>
          <w:rFonts w:ascii="Times New Roman" w:hAnsi="Times New Roman" w:cs="Times New Roman"/>
          <w:b/>
          <w:sz w:val="24"/>
          <w:szCs w:val="24"/>
        </w:rPr>
      </w:pPr>
      <w:bookmarkStart w:id="0" w:name="_GoBack"/>
      <w:bookmarkEnd w:id="0"/>
    </w:p>
    <w:p w14:paraId="055F5904" w14:textId="77777777" w:rsidR="000B7399" w:rsidRPr="008807AB" w:rsidRDefault="004D187B" w:rsidP="008807AB">
      <w:pPr>
        <w:pStyle w:val="Authornames"/>
      </w:pPr>
      <w:r>
        <w:t>Azka Amin</w:t>
      </w:r>
      <w:r w:rsidR="009747FB">
        <w:rPr>
          <w:vertAlign w:val="superscript"/>
        </w:rPr>
        <w:t>a</w:t>
      </w:r>
      <w:r>
        <w:t xml:space="preserve">, Tariq </w:t>
      </w:r>
      <w:proofErr w:type="spellStart"/>
      <w:r>
        <w:t>Ali</w:t>
      </w:r>
      <w:r>
        <w:rPr>
          <w:vertAlign w:val="superscript"/>
        </w:rPr>
        <w:t>b</w:t>
      </w:r>
      <w:proofErr w:type="spellEnd"/>
      <w:r>
        <w:t xml:space="preserve"> and </w:t>
      </w:r>
      <w:r w:rsidR="009747FB">
        <w:t xml:space="preserve">Xi-Hua </w:t>
      </w:r>
      <w:proofErr w:type="spellStart"/>
      <w:r w:rsidR="009747FB">
        <w:t>Liu</w:t>
      </w:r>
      <w:r w:rsidR="009747FB">
        <w:rPr>
          <w:vertAlign w:val="superscript"/>
        </w:rPr>
        <w:t>a</w:t>
      </w:r>
      <w:proofErr w:type="spellEnd"/>
      <w:r w:rsidR="009747FB">
        <w:rPr>
          <w:vertAlign w:val="superscript"/>
        </w:rPr>
        <w:t>*</w:t>
      </w:r>
    </w:p>
    <w:p w14:paraId="35E6AD78" w14:textId="77777777" w:rsidR="008807AB" w:rsidRPr="001A5C8A" w:rsidRDefault="009747FB" w:rsidP="008807AB">
      <w:pPr>
        <w:rPr>
          <w:rFonts w:ascii="Times New Roman" w:hAnsi="Times New Roman" w:cs="Times New Roman"/>
          <w:i/>
          <w:color w:val="000000" w:themeColor="text1"/>
          <w:sz w:val="24"/>
          <w:szCs w:val="24"/>
        </w:rPr>
      </w:pPr>
      <w:proofErr w:type="spellStart"/>
      <w:r>
        <w:rPr>
          <w:vertAlign w:val="superscript"/>
        </w:rPr>
        <w:t>a</w:t>
      </w:r>
      <w:r w:rsidR="008807AB" w:rsidRPr="001A5C8A">
        <w:rPr>
          <w:rFonts w:ascii="Times New Roman" w:hAnsi="Times New Roman" w:cs="Times New Roman"/>
          <w:i/>
          <w:color w:val="000000" w:themeColor="text1"/>
          <w:sz w:val="24"/>
          <w:szCs w:val="24"/>
        </w:rPr>
        <w:t>School</w:t>
      </w:r>
      <w:proofErr w:type="spellEnd"/>
      <w:r w:rsidR="008807AB" w:rsidRPr="001A5C8A">
        <w:rPr>
          <w:rFonts w:ascii="Times New Roman" w:hAnsi="Times New Roman" w:cs="Times New Roman"/>
          <w:i/>
          <w:color w:val="000000" w:themeColor="text1"/>
          <w:sz w:val="24"/>
          <w:szCs w:val="24"/>
        </w:rPr>
        <w:t xml:space="preserve"> of Economics, Qingdao University, Qingdao, 266061, China.</w:t>
      </w:r>
    </w:p>
    <w:p w14:paraId="6D99A537" w14:textId="77777777" w:rsidR="008807AB" w:rsidRDefault="008807AB" w:rsidP="008807AB">
      <w:pPr>
        <w:pStyle w:val="Affiliation"/>
      </w:pPr>
      <w:proofErr w:type="spellStart"/>
      <w:r w:rsidRPr="00394920">
        <w:rPr>
          <w:vertAlign w:val="superscript"/>
        </w:rPr>
        <w:t>b</w:t>
      </w:r>
      <w:r w:rsidRPr="008807AB">
        <w:t>School</w:t>
      </w:r>
      <w:proofErr w:type="spellEnd"/>
      <w:r w:rsidRPr="008807AB">
        <w:t xml:space="preserve"> of Economics and Management, North China University of Technology, </w:t>
      </w:r>
      <w:r>
        <w:t>Beijing,100144, China.</w:t>
      </w:r>
    </w:p>
    <w:p w14:paraId="3A6419E7" w14:textId="77777777" w:rsidR="004875A2" w:rsidRDefault="004875A2" w:rsidP="009747FB">
      <w:pPr>
        <w:rPr>
          <w:rFonts w:ascii="Times New Roman" w:hAnsi="Times New Roman" w:cs="Times New Roman"/>
          <w:color w:val="000000" w:themeColor="text1"/>
          <w:sz w:val="24"/>
          <w:szCs w:val="24"/>
        </w:rPr>
      </w:pPr>
    </w:p>
    <w:p w14:paraId="2D42948D" w14:textId="77777777" w:rsidR="009747FB" w:rsidRPr="009747FB" w:rsidRDefault="009747FB" w:rsidP="009747F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*Corresponding author</w:t>
      </w:r>
      <w:r w:rsidRPr="00587A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Email: </w:t>
      </w:r>
      <w:hyperlink r:id="rId8" w:history="1">
        <w:r w:rsidRPr="009747FB">
          <w:rPr>
            <w:rStyle w:val="Hyperlink"/>
            <w:rFonts w:ascii="Times New Roman" w:hAnsi="Times New Roman" w:cs="Times New Roman"/>
            <w:sz w:val="24"/>
            <w:szCs w:val="24"/>
            <w:u w:val="none"/>
            <w:lang w:val="en-US" w:eastAsia="zh-CN"/>
          </w:rPr>
          <w:t>xihua-liu@163.com</w:t>
        </w:r>
      </w:hyperlink>
      <w:r w:rsidRPr="009747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767570">
        <w:rPr>
          <w:rFonts w:ascii="Times New Roman" w:hAnsi="Times New Roman" w:cs="Times New Roman"/>
          <w:color w:val="000000" w:themeColor="text1"/>
          <w:sz w:val="24"/>
          <w:szCs w:val="24"/>
        </w:rPr>
        <w:t xml:space="preserve">Phone: +86 </w:t>
      </w:r>
      <w:r>
        <w:rPr>
          <w:rFonts w:ascii="Times New Roman" w:hAnsi="Times New Roman" w:cs="Times New Roman"/>
          <w:color w:val="000000" w:themeColor="text1"/>
          <w:sz w:val="24"/>
          <w:szCs w:val="24"/>
        </w:rPr>
        <w:t>13012537229</w:t>
      </w:r>
    </w:p>
    <w:p w14:paraId="6E49B2B2" w14:textId="77777777" w:rsidR="000B7399" w:rsidRPr="009747FB" w:rsidRDefault="000B7399" w:rsidP="00D745E4">
      <w:pPr>
        <w:jc w:val="both"/>
        <w:rPr>
          <w:rFonts w:ascii="Times New Roman" w:hAnsi="Times New Roman" w:cs="Times New Roman"/>
          <w:b/>
          <w:sz w:val="24"/>
          <w:szCs w:val="24"/>
        </w:rPr>
      </w:pPr>
    </w:p>
    <w:p w14:paraId="1C594FD3" w14:textId="77777777" w:rsidR="000B7399" w:rsidRDefault="000B7399" w:rsidP="00D745E4">
      <w:pPr>
        <w:jc w:val="both"/>
        <w:rPr>
          <w:rFonts w:ascii="Times New Roman" w:hAnsi="Times New Roman" w:cs="Times New Roman"/>
          <w:b/>
          <w:sz w:val="24"/>
          <w:szCs w:val="24"/>
        </w:rPr>
      </w:pPr>
    </w:p>
    <w:p w14:paraId="2958208E" w14:textId="77777777" w:rsidR="000B7399" w:rsidRDefault="000B7399" w:rsidP="00D745E4">
      <w:pPr>
        <w:jc w:val="both"/>
        <w:rPr>
          <w:rFonts w:ascii="Times New Roman" w:hAnsi="Times New Roman" w:cs="Times New Roman"/>
          <w:b/>
          <w:sz w:val="24"/>
          <w:szCs w:val="24"/>
        </w:rPr>
      </w:pPr>
    </w:p>
    <w:p w14:paraId="34E5A554" w14:textId="77777777" w:rsidR="000B7399" w:rsidRDefault="000B7399" w:rsidP="00D745E4">
      <w:pPr>
        <w:jc w:val="both"/>
        <w:rPr>
          <w:rFonts w:ascii="Times New Roman" w:hAnsi="Times New Roman" w:cs="Times New Roman"/>
          <w:b/>
          <w:sz w:val="24"/>
          <w:szCs w:val="24"/>
        </w:rPr>
      </w:pPr>
    </w:p>
    <w:p w14:paraId="690454C4" w14:textId="77777777" w:rsidR="000B7399" w:rsidRDefault="000B7399" w:rsidP="00D745E4">
      <w:pPr>
        <w:jc w:val="both"/>
        <w:rPr>
          <w:rFonts w:ascii="Times New Roman" w:hAnsi="Times New Roman" w:cs="Times New Roman"/>
          <w:b/>
          <w:sz w:val="24"/>
          <w:szCs w:val="24"/>
        </w:rPr>
      </w:pPr>
    </w:p>
    <w:p w14:paraId="6634C775" w14:textId="77777777" w:rsidR="000B7399" w:rsidRDefault="000B7399" w:rsidP="00D745E4">
      <w:pPr>
        <w:jc w:val="both"/>
        <w:rPr>
          <w:rFonts w:ascii="Times New Roman" w:hAnsi="Times New Roman" w:cs="Times New Roman"/>
          <w:b/>
          <w:sz w:val="24"/>
          <w:szCs w:val="24"/>
        </w:rPr>
      </w:pPr>
    </w:p>
    <w:p w14:paraId="11D4AEB2" w14:textId="77777777" w:rsidR="000B7399" w:rsidRDefault="000B7399" w:rsidP="00D745E4">
      <w:pPr>
        <w:jc w:val="both"/>
        <w:rPr>
          <w:rFonts w:ascii="Times New Roman" w:hAnsi="Times New Roman" w:cs="Times New Roman"/>
          <w:b/>
          <w:sz w:val="24"/>
          <w:szCs w:val="24"/>
        </w:rPr>
      </w:pPr>
    </w:p>
    <w:p w14:paraId="273E9851" w14:textId="77777777" w:rsidR="000B7399" w:rsidRDefault="000B7399" w:rsidP="00D745E4">
      <w:pPr>
        <w:jc w:val="both"/>
        <w:rPr>
          <w:rFonts w:ascii="Times New Roman" w:hAnsi="Times New Roman" w:cs="Times New Roman"/>
          <w:b/>
          <w:sz w:val="24"/>
          <w:szCs w:val="24"/>
        </w:rPr>
      </w:pPr>
    </w:p>
    <w:p w14:paraId="27661100" w14:textId="77777777" w:rsidR="000B7399" w:rsidRDefault="000B7399" w:rsidP="00D745E4">
      <w:pPr>
        <w:jc w:val="both"/>
        <w:rPr>
          <w:rFonts w:ascii="Times New Roman" w:hAnsi="Times New Roman" w:cs="Times New Roman"/>
          <w:b/>
          <w:sz w:val="24"/>
          <w:szCs w:val="24"/>
        </w:rPr>
      </w:pPr>
    </w:p>
    <w:p w14:paraId="11A701F9" w14:textId="77777777" w:rsidR="000B7399" w:rsidRDefault="000B7399" w:rsidP="00D745E4">
      <w:pPr>
        <w:jc w:val="both"/>
        <w:rPr>
          <w:rFonts w:ascii="Times New Roman" w:hAnsi="Times New Roman" w:cs="Times New Roman"/>
          <w:b/>
          <w:sz w:val="24"/>
          <w:szCs w:val="24"/>
        </w:rPr>
      </w:pPr>
    </w:p>
    <w:p w14:paraId="4F03602F" w14:textId="77777777" w:rsidR="000B7399" w:rsidRDefault="000B7399" w:rsidP="00D745E4">
      <w:pPr>
        <w:jc w:val="both"/>
        <w:rPr>
          <w:rFonts w:ascii="Times New Roman" w:hAnsi="Times New Roman" w:cs="Times New Roman"/>
          <w:b/>
          <w:sz w:val="24"/>
          <w:szCs w:val="24"/>
        </w:rPr>
      </w:pPr>
    </w:p>
    <w:p w14:paraId="4F8DC3CA" w14:textId="77777777" w:rsidR="000B7399" w:rsidRDefault="000B7399" w:rsidP="00D745E4">
      <w:pPr>
        <w:jc w:val="both"/>
        <w:rPr>
          <w:rFonts w:ascii="Times New Roman" w:hAnsi="Times New Roman" w:cs="Times New Roman"/>
          <w:b/>
          <w:sz w:val="24"/>
          <w:szCs w:val="24"/>
        </w:rPr>
      </w:pPr>
    </w:p>
    <w:p w14:paraId="0C9CF89F" w14:textId="77777777" w:rsidR="000B7399" w:rsidRDefault="000B7399" w:rsidP="00D745E4">
      <w:pPr>
        <w:jc w:val="both"/>
        <w:rPr>
          <w:rFonts w:ascii="Times New Roman" w:hAnsi="Times New Roman" w:cs="Times New Roman"/>
          <w:b/>
          <w:sz w:val="24"/>
          <w:szCs w:val="24"/>
        </w:rPr>
      </w:pPr>
    </w:p>
    <w:p w14:paraId="7CFAB63D" w14:textId="77777777" w:rsidR="000B7399" w:rsidRDefault="000B7399" w:rsidP="00D745E4">
      <w:pPr>
        <w:jc w:val="both"/>
        <w:rPr>
          <w:rFonts w:ascii="Times New Roman" w:hAnsi="Times New Roman" w:cs="Times New Roman"/>
          <w:b/>
          <w:sz w:val="24"/>
          <w:szCs w:val="24"/>
        </w:rPr>
      </w:pPr>
    </w:p>
    <w:p w14:paraId="392E3121" w14:textId="77777777" w:rsidR="000B7399" w:rsidRDefault="000B7399" w:rsidP="00D745E4">
      <w:pPr>
        <w:jc w:val="both"/>
        <w:rPr>
          <w:rFonts w:ascii="Times New Roman" w:hAnsi="Times New Roman" w:cs="Times New Roman"/>
          <w:b/>
          <w:sz w:val="24"/>
          <w:szCs w:val="24"/>
        </w:rPr>
      </w:pPr>
    </w:p>
    <w:p w14:paraId="3C1F9947" w14:textId="77777777" w:rsidR="000B7399" w:rsidRDefault="000B7399" w:rsidP="00D745E4">
      <w:pPr>
        <w:jc w:val="both"/>
        <w:rPr>
          <w:rFonts w:ascii="Times New Roman" w:hAnsi="Times New Roman" w:cs="Times New Roman"/>
          <w:b/>
          <w:sz w:val="24"/>
          <w:szCs w:val="24"/>
        </w:rPr>
      </w:pPr>
    </w:p>
    <w:p w14:paraId="23480DEA" w14:textId="77777777" w:rsidR="000B7399" w:rsidRDefault="000B7399" w:rsidP="00D745E4">
      <w:pPr>
        <w:jc w:val="both"/>
        <w:rPr>
          <w:rFonts w:ascii="Times New Roman" w:hAnsi="Times New Roman" w:cs="Times New Roman"/>
          <w:b/>
          <w:sz w:val="24"/>
          <w:szCs w:val="24"/>
        </w:rPr>
      </w:pPr>
    </w:p>
    <w:p w14:paraId="1E4A8AAC" w14:textId="77777777" w:rsidR="000B7399" w:rsidRDefault="000B7399" w:rsidP="00D745E4">
      <w:pPr>
        <w:jc w:val="both"/>
        <w:rPr>
          <w:rFonts w:ascii="Times New Roman" w:hAnsi="Times New Roman" w:cs="Times New Roman"/>
          <w:b/>
          <w:sz w:val="24"/>
          <w:szCs w:val="24"/>
        </w:rPr>
      </w:pPr>
    </w:p>
    <w:p w14:paraId="2CB6B8F5" w14:textId="77777777" w:rsidR="000B7399" w:rsidRDefault="000B7399" w:rsidP="00D745E4">
      <w:pPr>
        <w:jc w:val="both"/>
        <w:rPr>
          <w:rFonts w:ascii="Times New Roman" w:hAnsi="Times New Roman" w:cs="Times New Roman"/>
          <w:b/>
          <w:sz w:val="24"/>
          <w:szCs w:val="24"/>
        </w:rPr>
      </w:pPr>
    </w:p>
    <w:p w14:paraId="78E26BFD" w14:textId="77777777" w:rsidR="000B7399" w:rsidRPr="00DF1409" w:rsidRDefault="000B7399" w:rsidP="000B7399">
      <w:pPr>
        <w:rPr>
          <w:rFonts w:ascii="Times New Roman" w:hAnsi="Times New Roman" w:cs="Times New Roman"/>
          <w:b/>
          <w:sz w:val="28"/>
          <w:szCs w:val="28"/>
        </w:rPr>
      </w:pPr>
      <w:r w:rsidRPr="00DF1409">
        <w:rPr>
          <w:rFonts w:ascii="Times New Roman" w:hAnsi="Times New Roman" w:cs="Times New Roman"/>
          <w:b/>
          <w:sz w:val="28"/>
          <w:szCs w:val="28"/>
        </w:rPr>
        <w:lastRenderedPageBreak/>
        <w:t>Modelling the Asymmetric Effects of Outward Foreign Direct Investment on Economic Growth in Romania</w:t>
      </w:r>
    </w:p>
    <w:p w14:paraId="2155B2B6" w14:textId="77777777" w:rsidR="000B7399" w:rsidRPr="00393D99" w:rsidRDefault="000B7399" w:rsidP="00D745E4">
      <w:pPr>
        <w:jc w:val="both"/>
        <w:rPr>
          <w:rFonts w:ascii="Times New Roman" w:hAnsi="Times New Roman" w:cs="Times New Roman"/>
          <w:b/>
          <w:sz w:val="24"/>
          <w:szCs w:val="24"/>
        </w:rPr>
      </w:pPr>
    </w:p>
    <w:p w14:paraId="6FB5B5DF" w14:textId="77777777" w:rsidR="00D745E4" w:rsidRPr="00393D99" w:rsidRDefault="00D745E4" w:rsidP="00D745E4">
      <w:pPr>
        <w:jc w:val="both"/>
        <w:rPr>
          <w:rFonts w:ascii="Times New Roman" w:hAnsi="Times New Roman" w:cs="Times New Roman"/>
          <w:b/>
          <w:sz w:val="24"/>
          <w:szCs w:val="24"/>
        </w:rPr>
      </w:pPr>
      <w:r w:rsidRPr="00393D99">
        <w:rPr>
          <w:rFonts w:ascii="Times New Roman" w:hAnsi="Times New Roman" w:cs="Times New Roman"/>
          <w:b/>
          <w:sz w:val="24"/>
          <w:szCs w:val="24"/>
        </w:rPr>
        <w:t>Abstract</w:t>
      </w:r>
    </w:p>
    <w:p w14:paraId="290F3056" w14:textId="77777777" w:rsidR="00500701" w:rsidRPr="00393D99" w:rsidRDefault="00D745E4" w:rsidP="00D745E4">
      <w:pPr>
        <w:spacing w:after="120" w:line="480" w:lineRule="auto"/>
        <w:jc w:val="both"/>
        <w:rPr>
          <w:rFonts w:ascii="Times New Roman" w:hAnsi="Times New Roman" w:cs="Times New Roman"/>
          <w:sz w:val="24"/>
          <w:szCs w:val="24"/>
        </w:rPr>
      </w:pPr>
      <w:r w:rsidRPr="00393D99">
        <w:rPr>
          <w:rFonts w:ascii="Times New Roman" w:hAnsi="Times New Roman" w:cs="Times New Roman"/>
          <w:sz w:val="24"/>
          <w:szCs w:val="24"/>
        </w:rPr>
        <w:t>Globally, the outward foreign direct investment (OFDI) has increased significantly during recent years. Given the role of OFDI in determining the GDP growth rate, it is vital to assess how economic growth rate responds to such outflows. Based on the nonlinear autoregressive distributive lag (NARDL) model, the present study investigates the long-run and short-run asymmetric impacts of OFDI on the economic growth in Romania covering the period 1990-2017. The overall results suggest that both an increase and a decrease in OFDI have a positive and significant impact on Romania’s economic growth, with a greater effect arising from the increase in OFDI. Our study contributes to the previous literature by providing new insights into the OFDI-led growth hypothesis.</w:t>
      </w:r>
      <w:r w:rsidR="00500701" w:rsidRPr="00393D99">
        <w:rPr>
          <w:rFonts w:ascii="Times New Roman" w:hAnsi="Times New Roman" w:cs="Times New Roman"/>
          <w:sz w:val="24"/>
          <w:szCs w:val="24"/>
        </w:rPr>
        <w:t xml:space="preserve"> The results of the present study portray the growth-enhancing effects of OFDI, which are consistent with the notion that firms conduct OFDI in order to combine domestic output with overseas output to decrease expenditures and to enhance their competitiveness both at global and domestic levels. Thus, an increase in OFDI is both a cause and a consequence of the home country’s economic growth.</w:t>
      </w:r>
    </w:p>
    <w:p w14:paraId="46BE24B0" w14:textId="77777777" w:rsidR="00D745E4" w:rsidRPr="00393D99" w:rsidRDefault="00D745E4" w:rsidP="00D745E4">
      <w:pPr>
        <w:spacing w:after="120" w:line="480" w:lineRule="auto"/>
        <w:jc w:val="both"/>
        <w:rPr>
          <w:rFonts w:ascii="Times New Roman" w:hAnsi="Times New Roman" w:cs="Times New Roman"/>
          <w:sz w:val="24"/>
          <w:szCs w:val="24"/>
        </w:rPr>
      </w:pPr>
      <w:r w:rsidRPr="00393D99">
        <w:rPr>
          <w:rFonts w:ascii="Times New Roman" w:hAnsi="Times New Roman" w:cs="Times New Roman"/>
          <w:b/>
          <w:sz w:val="24"/>
          <w:szCs w:val="24"/>
        </w:rPr>
        <w:t>Keywords</w:t>
      </w:r>
      <w:r w:rsidR="00DF1409">
        <w:rPr>
          <w:rFonts w:ascii="Times New Roman" w:hAnsi="Times New Roman" w:cs="Times New Roman"/>
          <w:sz w:val="24"/>
          <w:szCs w:val="24"/>
        </w:rPr>
        <w:t>: o</w:t>
      </w:r>
      <w:r w:rsidRPr="00393D99">
        <w:rPr>
          <w:rFonts w:ascii="Times New Roman" w:hAnsi="Times New Roman" w:cs="Times New Roman"/>
          <w:sz w:val="24"/>
          <w:szCs w:val="24"/>
        </w:rPr>
        <w:t>u</w:t>
      </w:r>
      <w:r w:rsidR="00DF1409">
        <w:rPr>
          <w:rFonts w:ascii="Times New Roman" w:hAnsi="Times New Roman" w:cs="Times New Roman"/>
          <w:sz w:val="24"/>
          <w:szCs w:val="24"/>
        </w:rPr>
        <w:t>tward foreign direct investment; e</w:t>
      </w:r>
      <w:r w:rsidRPr="00393D99">
        <w:rPr>
          <w:rFonts w:ascii="Times New Roman" w:hAnsi="Times New Roman" w:cs="Times New Roman"/>
          <w:sz w:val="24"/>
          <w:szCs w:val="24"/>
        </w:rPr>
        <w:t xml:space="preserve">conomic </w:t>
      </w:r>
      <w:r w:rsidR="00DF1409">
        <w:rPr>
          <w:rFonts w:ascii="Times New Roman" w:hAnsi="Times New Roman" w:cs="Times New Roman"/>
          <w:sz w:val="24"/>
          <w:szCs w:val="24"/>
        </w:rPr>
        <w:t>growth; n</w:t>
      </w:r>
      <w:r w:rsidRPr="00393D99">
        <w:rPr>
          <w:rFonts w:ascii="Times New Roman" w:hAnsi="Times New Roman" w:cs="Times New Roman"/>
          <w:sz w:val="24"/>
          <w:szCs w:val="24"/>
        </w:rPr>
        <w:t>on-L</w:t>
      </w:r>
      <w:r w:rsidR="00DF1409">
        <w:rPr>
          <w:rFonts w:ascii="Times New Roman" w:hAnsi="Times New Roman" w:cs="Times New Roman"/>
          <w:sz w:val="24"/>
          <w:szCs w:val="24"/>
        </w:rPr>
        <w:t>inear ARDL; d</w:t>
      </w:r>
      <w:r w:rsidRPr="00393D99">
        <w:rPr>
          <w:rFonts w:ascii="Times New Roman" w:hAnsi="Times New Roman" w:cs="Times New Roman"/>
          <w:sz w:val="24"/>
          <w:szCs w:val="24"/>
        </w:rPr>
        <w:t>ynamic multiplier</w:t>
      </w:r>
      <w:r w:rsidR="00DF1409">
        <w:rPr>
          <w:rFonts w:ascii="Times New Roman" w:hAnsi="Times New Roman" w:cs="Times New Roman"/>
          <w:sz w:val="24"/>
          <w:szCs w:val="24"/>
        </w:rPr>
        <w:t>; Romania</w:t>
      </w:r>
    </w:p>
    <w:p w14:paraId="07925ECA" w14:textId="77777777" w:rsidR="00D745E4" w:rsidRPr="00393D99" w:rsidRDefault="00D745E4" w:rsidP="00D745E4">
      <w:pPr>
        <w:rPr>
          <w:rFonts w:ascii="Times New Roman" w:hAnsi="Times New Roman" w:cs="Times New Roman"/>
          <w:sz w:val="24"/>
          <w:szCs w:val="24"/>
        </w:rPr>
        <w:sectPr w:rsidR="00D745E4" w:rsidRPr="00393D99" w:rsidSect="00DF1409">
          <w:footnotePr>
            <w:numFmt w:val="chicago"/>
          </w:footnotePr>
          <w:pgSz w:w="11906" w:h="16838"/>
          <w:pgMar w:top="1418" w:right="1701" w:bottom="1418" w:left="1701" w:header="709" w:footer="709" w:gutter="0"/>
          <w:cols w:space="708"/>
          <w:docGrid w:linePitch="360"/>
        </w:sectPr>
      </w:pPr>
      <w:r w:rsidRPr="00393D99">
        <w:rPr>
          <w:rFonts w:ascii="Times New Roman" w:hAnsi="Times New Roman" w:cs="Times New Roman"/>
          <w:b/>
          <w:sz w:val="24"/>
          <w:szCs w:val="24"/>
        </w:rPr>
        <w:t>JEL Classification:</w:t>
      </w:r>
      <w:r w:rsidR="00310950" w:rsidRPr="00393D99">
        <w:rPr>
          <w:rFonts w:ascii="Times New Roman" w:hAnsi="Times New Roman" w:cs="Times New Roman"/>
          <w:sz w:val="24"/>
          <w:szCs w:val="24"/>
        </w:rPr>
        <w:t xml:space="preserve"> F23, O1</w:t>
      </w:r>
    </w:p>
    <w:p w14:paraId="154B1F9C" w14:textId="77777777" w:rsidR="00717C48" w:rsidRPr="00310950" w:rsidRDefault="00717C48" w:rsidP="0094142C">
      <w:pPr>
        <w:jc w:val="both"/>
        <w:rPr>
          <w:rFonts w:ascii="Times New Roman" w:hAnsi="Times New Roman" w:cs="Times New Roman"/>
          <w:sz w:val="20"/>
          <w:szCs w:val="20"/>
        </w:rPr>
      </w:pPr>
    </w:p>
    <w:p w14:paraId="7E086E4C" w14:textId="77777777" w:rsidR="00500701" w:rsidRDefault="00500701" w:rsidP="00641691">
      <w:pPr>
        <w:autoSpaceDE w:val="0"/>
        <w:autoSpaceDN w:val="0"/>
        <w:adjustRightInd w:val="0"/>
        <w:spacing w:after="120" w:line="240" w:lineRule="auto"/>
        <w:jc w:val="both"/>
        <w:rPr>
          <w:rFonts w:ascii="Times New Roman" w:hAnsi="Times New Roman" w:cs="Times New Roman"/>
          <w:b/>
          <w:sz w:val="20"/>
          <w:szCs w:val="20"/>
        </w:rPr>
      </w:pPr>
    </w:p>
    <w:p w14:paraId="247C5684" w14:textId="77777777" w:rsidR="00500701" w:rsidRDefault="00500701" w:rsidP="00641691">
      <w:pPr>
        <w:autoSpaceDE w:val="0"/>
        <w:autoSpaceDN w:val="0"/>
        <w:adjustRightInd w:val="0"/>
        <w:spacing w:after="120" w:line="240" w:lineRule="auto"/>
        <w:jc w:val="both"/>
        <w:rPr>
          <w:rFonts w:ascii="Times New Roman" w:hAnsi="Times New Roman" w:cs="Times New Roman"/>
          <w:b/>
          <w:sz w:val="20"/>
          <w:szCs w:val="20"/>
        </w:rPr>
      </w:pPr>
    </w:p>
    <w:p w14:paraId="510FD800" w14:textId="77777777" w:rsidR="00DF1409" w:rsidRDefault="00DF1409" w:rsidP="00641691">
      <w:pPr>
        <w:autoSpaceDE w:val="0"/>
        <w:autoSpaceDN w:val="0"/>
        <w:adjustRightInd w:val="0"/>
        <w:spacing w:after="120" w:line="240" w:lineRule="auto"/>
        <w:jc w:val="both"/>
        <w:rPr>
          <w:rFonts w:ascii="Times New Roman" w:hAnsi="Times New Roman" w:cs="Times New Roman"/>
          <w:b/>
          <w:sz w:val="20"/>
          <w:szCs w:val="20"/>
        </w:rPr>
      </w:pPr>
    </w:p>
    <w:p w14:paraId="67DE4DDE" w14:textId="77777777" w:rsidR="00DF1409" w:rsidRDefault="00DF1409" w:rsidP="00641691">
      <w:pPr>
        <w:autoSpaceDE w:val="0"/>
        <w:autoSpaceDN w:val="0"/>
        <w:adjustRightInd w:val="0"/>
        <w:spacing w:after="120" w:line="240" w:lineRule="auto"/>
        <w:jc w:val="both"/>
        <w:rPr>
          <w:rFonts w:ascii="Times New Roman" w:hAnsi="Times New Roman" w:cs="Times New Roman"/>
          <w:b/>
          <w:sz w:val="20"/>
          <w:szCs w:val="20"/>
        </w:rPr>
      </w:pPr>
    </w:p>
    <w:p w14:paraId="73A39D79" w14:textId="77777777" w:rsidR="00500701" w:rsidRDefault="00500701" w:rsidP="00641691">
      <w:pPr>
        <w:autoSpaceDE w:val="0"/>
        <w:autoSpaceDN w:val="0"/>
        <w:adjustRightInd w:val="0"/>
        <w:spacing w:after="120" w:line="240" w:lineRule="auto"/>
        <w:jc w:val="both"/>
        <w:rPr>
          <w:rFonts w:ascii="Times New Roman" w:hAnsi="Times New Roman" w:cs="Times New Roman"/>
          <w:b/>
          <w:sz w:val="20"/>
          <w:szCs w:val="20"/>
        </w:rPr>
      </w:pPr>
    </w:p>
    <w:p w14:paraId="66DD320D" w14:textId="77777777" w:rsidR="000F1B34" w:rsidRPr="00393D99" w:rsidRDefault="00353C75" w:rsidP="00393D99">
      <w:pPr>
        <w:autoSpaceDE w:val="0"/>
        <w:autoSpaceDN w:val="0"/>
        <w:adjustRightInd w:val="0"/>
        <w:spacing w:after="120" w:line="480" w:lineRule="auto"/>
        <w:jc w:val="both"/>
        <w:rPr>
          <w:rFonts w:ascii="Times New Roman" w:hAnsi="Times New Roman" w:cs="Times New Roman"/>
          <w:sz w:val="24"/>
          <w:szCs w:val="24"/>
        </w:rPr>
      </w:pPr>
      <w:r w:rsidRPr="00393D99">
        <w:rPr>
          <w:rFonts w:ascii="Times New Roman" w:hAnsi="Times New Roman" w:cs="Times New Roman"/>
          <w:b/>
          <w:sz w:val="24"/>
          <w:szCs w:val="24"/>
        </w:rPr>
        <w:lastRenderedPageBreak/>
        <w:t xml:space="preserve">1. </w:t>
      </w:r>
      <w:r w:rsidR="000F1B34" w:rsidRPr="00393D99">
        <w:rPr>
          <w:rFonts w:ascii="Times New Roman" w:hAnsi="Times New Roman" w:cs="Times New Roman"/>
          <w:b/>
          <w:sz w:val="24"/>
          <w:szCs w:val="24"/>
        </w:rPr>
        <w:t>Introduction</w:t>
      </w:r>
    </w:p>
    <w:p w14:paraId="4ED609BE" w14:textId="454A96CF" w:rsidR="00A34FA6" w:rsidRPr="00393D99" w:rsidRDefault="000F1B34" w:rsidP="00DF1409">
      <w:pPr>
        <w:spacing w:after="120" w:line="480" w:lineRule="auto"/>
        <w:jc w:val="both"/>
        <w:rPr>
          <w:rFonts w:ascii="Times New Roman" w:hAnsi="Times New Roman" w:cs="Times New Roman"/>
          <w:sz w:val="24"/>
          <w:szCs w:val="24"/>
          <w:lang w:val="en-GB"/>
        </w:rPr>
      </w:pPr>
      <w:r w:rsidRPr="00393D99">
        <w:rPr>
          <w:rFonts w:ascii="Times New Roman" w:hAnsi="Times New Roman" w:cs="Times New Roman"/>
          <w:sz w:val="24"/>
          <w:szCs w:val="24"/>
        </w:rPr>
        <w:t>In</w:t>
      </w:r>
      <w:r w:rsidR="00BC043C" w:rsidRPr="00393D99">
        <w:rPr>
          <w:rFonts w:ascii="Times New Roman" w:hAnsi="Times New Roman" w:cs="Times New Roman"/>
          <w:sz w:val="24"/>
          <w:szCs w:val="24"/>
        </w:rPr>
        <w:t xml:space="preserve"> recent decades, the outward foreign direct investment (OFDI) has played an instrumental role in </w:t>
      </w:r>
      <w:r w:rsidR="00BE2DE3" w:rsidRPr="00393D99">
        <w:rPr>
          <w:rFonts w:ascii="Times New Roman" w:hAnsi="Times New Roman" w:cs="Times New Roman"/>
          <w:sz w:val="24"/>
          <w:szCs w:val="24"/>
        </w:rPr>
        <w:t>stimulating</w:t>
      </w:r>
      <w:r w:rsidR="00BC043C" w:rsidRPr="00393D99">
        <w:rPr>
          <w:rFonts w:ascii="Times New Roman" w:hAnsi="Times New Roman" w:cs="Times New Roman"/>
          <w:sz w:val="24"/>
          <w:szCs w:val="24"/>
        </w:rPr>
        <w:t xml:space="preserve"> economic growth around the world </w:t>
      </w:r>
      <w:r w:rsidR="004D3A10">
        <w:rPr>
          <w:rFonts w:ascii="Times New Roman" w:hAnsi="Times New Roman" w:cs="Times New Roman"/>
          <w:sz w:val="24"/>
          <w:szCs w:val="24"/>
        </w:rPr>
        <w:t>[1,2]</w:t>
      </w:r>
      <w:r w:rsidR="00BC043C" w:rsidRPr="00393D99">
        <w:rPr>
          <w:rFonts w:ascii="Times New Roman" w:hAnsi="Times New Roman" w:cs="Times New Roman"/>
          <w:sz w:val="24"/>
          <w:szCs w:val="24"/>
        </w:rPr>
        <w:t xml:space="preserve">. Theoretically, </w:t>
      </w:r>
      <w:r w:rsidR="00BE2DE3" w:rsidRPr="00393D99">
        <w:rPr>
          <w:rFonts w:ascii="Times New Roman" w:hAnsi="Times New Roman" w:cs="Times New Roman"/>
          <w:sz w:val="24"/>
          <w:szCs w:val="24"/>
        </w:rPr>
        <w:t xml:space="preserve">two ways are described through which </w:t>
      </w:r>
      <w:r w:rsidR="00BC043C" w:rsidRPr="00393D99">
        <w:rPr>
          <w:rFonts w:ascii="Times New Roman" w:hAnsi="Times New Roman" w:cs="Times New Roman"/>
          <w:sz w:val="24"/>
          <w:szCs w:val="24"/>
        </w:rPr>
        <w:t xml:space="preserve">OFDI </w:t>
      </w:r>
      <w:r w:rsidR="00A84942" w:rsidRPr="00393D99">
        <w:rPr>
          <w:rFonts w:ascii="Times New Roman" w:hAnsi="Times New Roman" w:cs="Times New Roman"/>
          <w:sz w:val="24"/>
          <w:szCs w:val="24"/>
        </w:rPr>
        <w:t xml:space="preserve">powers </w:t>
      </w:r>
      <w:r w:rsidR="00BC043C" w:rsidRPr="00393D99">
        <w:rPr>
          <w:rFonts w:ascii="Times New Roman" w:hAnsi="Times New Roman" w:cs="Times New Roman"/>
          <w:sz w:val="24"/>
          <w:szCs w:val="24"/>
        </w:rPr>
        <w:t xml:space="preserve">economic growth in the home country. Firstly, </w:t>
      </w:r>
      <w:r w:rsidR="007133B7" w:rsidRPr="00393D99">
        <w:rPr>
          <w:rFonts w:ascii="Times New Roman" w:hAnsi="Times New Roman" w:cs="Times New Roman"/>
          <w:sz w:val="24"/>
          <w:szCs w:val="24"/>
        </w:rPr>
        <w:t xml:space="preserve">the </w:t>
      </w:r>
      <w:r w:rsidR="00BC043C" w:rsidRPr="00393D99">
        <w:rPr>
          <w:rFonts w:ascii="Times New Roman" w:hAnsi="Times New Roman" w:cs="Times New Roman"/>
          <w:sz w:val="24"/>
          <w:szCs w:val="24"/>
        </w:rPr>
        <w:t xml:space="preserve">overseas investment may encourage </w:t>
      </w:r>
      <w:r w:rsidR="00005355" w:rsidRPr="00393D99">
        <w:rPr>
          <w:rFonts w:ascii="Times New Roman" w:hAnsi="Times New Roman" w:cs="Times New Roman"/>
          <w:sz w:val="24"/>
          <w:szCs w:val="24"/>
        </w:rPr>
        <w:t>technology transfer</w:t>
      </w:r>
      <w:r w:rsidR="00BC043C" w:rsidRPr="00393D99">
        <w:rPr>
          <w:rFonts w:ascii="Times New Roman" w:hAnsi="Times New Roman" w:cs="Times New Roman"/>
          <w:sz w:val="24"/>
          <w:szCs w:val="24"/>
        </w:rPr>
        <w:t xml:space="preserve"> to the home country, which, in turn, stimulate</w:t>
      </w:r>
      <w:r w:rsidR="00BE2DE3" w:rsidRPr="00393D99">
        <w:rPr>
          <w:rFonts w:ascii="Times New Roman" w:hAnsi="Times New Roman" w:cs="Times New Roman"/>
          <w:sz w:val="24"/>
          <w:szCs w:val="24"/>
        </w:rPr>
        <w:t>s</w:t>
      </w:r>
      <w:r w:rsidR="00BC043C" w:rsidRPr="00393D99">
        <w:rPr>
          <w:rFonts w:ascii="Times New Roman" w:hAnsi="Times New Roman" w:cs="Times New Roman"/>
          <w:sz w:val="24"/>
          <w:szCs w:val="24"/>
        </w:rPr>
        <w:t xml:space="preserve"> </w:t>
      </w:r>
      <w:r w:rsidR="00005355" w:rsidRPr="00393D99">
        <w:rPr>
          <w:rFonts w:ascii="Times New Roman" w:hAnsi="Times New Roman" w:cs="Times New Roman"/>
          <w:sz w:val="24"/>
          <w:szCs w:val="24"/>
        </w:rPr>
        <w:t>domestic production</w:t>
      </w:r>
      <w:r w:rsidR="00BC043C" w:rsidRPr="00393D99">
        <w:rPr>
          <w:rFonts w:ascii="Times New Roman" w:hAnsi="Times New Roman" w:cs="Times New Roman"/>
          <w:sz w:val="24"/>
          <w:szCs w:val="24"/>
        </w:rPr>
        <w:t xml:space="preserve">. Secondly, OFDI allows the </w:t>
      </w:r>
      <w:r w:rsidR="00C125B7" w:rsidRPr="00393D99">
        <w:rPr>
          <w:rFonts w:ascii="Times New Roman" w:hAnsi="Times New Roman" w:cs="Times New Roman"/>
          <w:sz w:val="24"/>
          <w:szCs w:val="24"/>
        </w:rPr>
        <w:t xml:space="preserve">domestic </w:t>
      </w:r>
      <w:r w:rsidR="00BC043C" w:rsidRPr="00393D99">
        <w:rPr>
          <w:rFonts w:ascii="Times New Roman" w:hAnsi="Times New Roman" w:cs="Times New Roman"/>
          <w:sz w:val="24"/>
          <w:szCs w:val="24"/>
        </w:rPr>
        <w:t xml:space="preserve">firms to enter new </w:t>
      </w:r>
      <w:r w:rsidR="00A51ED8" w:rsidRPr="00393D99">
        <w:rPr>
          <w:rFonts w:ascii="Times New Roman" w:hAnsi="Times New Roman" w:cs="Times New Roman"/>
          <w:sz w:val="24"/>
          <w:szCs w:val="24"/>
        </w:rPr>
        <w:t xml:space="preserve">foreign </w:t>
      </w:r>
      <w:r w:rsidR="00BC043C" w:rsidRPr="00393D99">
        <w:rPr>
          <w:rFonts w:ascii="Times New Roman" w:hAnsi="Times New Roman" w:cs="Times New Roman"/>
          <w:sz w:val="24"/>
          <w:szCs w:val="24"/>
        </w:rPr>
        <w:t>markets and to import cheaper inputs from the host country</w:t>
      </w:r>
      <w:r w:rsidR="007133B7" w:rsidRPr="00393D99">
        <w:rPr>
          <w:rFonts w:ascii="Times New Roman" w:hAnsi="Times New Roman" w:cs="Times New Roman"/>
          <w:sz w:val="24"/>
          <w:szCs w:val="24"/>
        </w:rPr>
        <w:t xml:space="preserve"> so that</w:t>
      </w:r>
      <w:r w:rsidR="00BC043C" w:rsidRPr="00393D99">
        <w:rPr>
          <w:rFonts w:ascii="Times New Roman" w:hAnsi="Times New Roman" w:cs="Times New Roman"/>
          <w:sz w:val="24"/>
          <w:szCs w:val="24"/>
        </w:rPr>
        <w:t xml:space="preserve"> they can produce final goods at lower prices and </w:t>
      </w:r>
      <w:r w:rsidR="00A84942" w:rsidRPr="00393D99">
        <w:rPr>
          <w:rFonts w:ascii="Times New Roman" w:hAnsi="Times New Roman" w:cs="Times New Roman"/>
          <w:sz w:val="24"/>
          <w:szCs w:val="24"/>
        </w:rPr>
        <w:t xml:space="preserve">in </w:t>
      </w:r>
      <w:r w:rsidR="00BC043C" w:rsidRPr="00393D99">
        <w:rPr>
          <w:rFonts w:ascii="Times New Roman" w:hAnsi="Times New Roman" w:cs="Times New Roman"/>
          <w:sz w:val="24"/>
          <w:szCs w:val="24"/>
        </w:rPr>
        <w:t>higher volume</w:t>
      </w:r>
      <w:r w:rsidR="00A84942" w:rsidRPr="00393D99">
        <w:rPr>
          <w:rFonts w:ascii="Times New Roman" w:hAnsi="Times New Roman" w:cs="Times New Roman"/>
          <w:sz w:val="24"/>
          <w:szCs w:val="24"/>
        </w:rPr>
        <w:t>s</w:t>
      </w:r>
      <w:r w:rsidR="00BC043C" w:rsidRPr="00393D99">
        <w:rPr>
          <w:rFonts w:ascii="Times New Roman" w:hAnsi="Times New Roman" w:cs="Times New Roman"/>
          <w:sz w:val="24"/>
          <w:szCs w:val="24"/>
        </w:rPr>
        <w:t xml:space="preserve">. </w:t>
      </w:r>
      <w:r w:rsidR="00BC043C" w:rsidRPr="00393D99">
        <w:rPr>
          <w:rFonts w:ascii="Times New Roman" w:hAnsi="Times New Roman" w:cs="Times New Roman"/>
          <w:color w:val="000000" w:themeColor="text1"/>
          <w:sz w:val="24"/>
          <w:szCs w:val="24"/>
        </w:rPr>
        <w:t>From this perspective</w:t>
      </w:r>
      <w:r w:rsidR="00BC043C" w:rsidRPr="00393D99">
        <w:rPr>
          <w:rFonts w:ascii="Times New Roman" w:hAnsi="Times New Roman" w:cs="Times New Roman"/>
          <w:color w:val="000000"/>
          <w:sz w:val="24"/>
          <w:szCs w:val="24"/>
        </w:rPr>
        <w:t>, cross</w:t>
      </w:r>
      <w:r w:rsidR="00BE2DE3" w:rsidRPr="00393D99">
        <w:rPr>
          <w:rFonts w:ascii="Times New Roman" w:hAnsi="Times New Roman" w:cs="Times New Roman"/>
          <w:color w:val="000000"/>
          <w:sz w:val="24"/>
          <w:szCs w:val="24"/>
        </w:rPr>
        <w:t>-</w:t>
      </w:r>
      <w:r w:rsidR="00BC043C" w:rsidRPr="00393D99">
        <w:rPr>
          <w:rFonts w:ascii="Times New Roman" w:hAnsi="Times New Roman" w:cs="Times New Roman"/>
          <w:color w:val="000000"/>
          <w:sz w:val="24"/>
          <w:szCs w:val="24"/>
        </w:rPr>
        <w:t xml:space="preserve">border investing firms combine domestic </w:t>
      </w:r>
      <w:r w:rsidR="00B64137" w:rsidRPr="00393D99">
        <w:rPr>
          <w:rFonts w:ascii="Times New Roman" w:hAnsi="Times New Roman" w:cs="Times New Roman"/>
          <w:color w:val="000000"/>
          <w:sz w:val="24"/>
          <w:szCs w:val="24"/>
        </w:rPr>
        <w:t xml:space="preserve">and overseas </w:t>
      </w:r>
      <w:r w:rsidR="00BC043C" w:rsidRPr="00393D99">
        <w:rPr>
          <w:rFonts w:ascii="Times New Roman" w:hAnsi="Times New Roman" w:cs="Times New Roman"/>
          <w:color w:val="000000"/>
          <w:sz w:val="24"/>
          <w:szCs w:val="24"/>
        </w:rPr>
        <w:t xml:space="preserve">production in order to decrease </w:t>
      </w:r>
      <w:r w:rsidR="00975F32" w:rsidRPr="00393D99">
        <w:rPr>
          <w:rFonts w:ascii="Times New Roman" w:hAnsi="Times New Roman" w:cs="Times New Roman"/>
          <w:color w:val="000000"/>
          <w:sz w:val="24"/>
          <w:szCs w:val="24"/>
        </w:rPr>
        <w:t>expenditures</w:t>
      </w:r>
      <w:r w:rsidR="00BC043C" w:rsidRPr="00393D99">
        <w:rPr>
          <w:rFonts w:ascii="Times New Roman" w:hAnsi="Times New Roman" w:cs="Times New Roman"/>
          <w:color w:val="000000"/>
          <w:sz w:val="24"/>
          <w:szCs w:val="24"/>
        </w:rPr>
        <w:t xml:space="preserve"> and to enhance their </w:t>
      </w:r>
      <w:r w:rsidR="00BC043C" w:rsidRPr="00393D99">
        <w:rPr>
          <w:rFonts w:ascii="Times New Roman" w:hAnsi="Times New Roman" w:cs="Times New Roman"/>
          <w:sz w:val="24"/>
          <w:szCs w:val="24"/>
        </w:rPr>
        <w:t>competitiveness at home and abroad</w:t>
      </w:r>
      <w:r w:rsidR="008377A0" w:rsidRPr="00393D99">
        <w:rPr>
          <w:rFonts w:ascii="Times New Roman" w:hAnsi="Times New Roman" w:cs="Times New Roman"/>
          <w:sz w:val="24"/>
          <w:szCs w:val="24"/>
        </w:rPr>
        <w:t>;</w:t>
      </w:r>
      <w:r w:rsidR="00A51ED8" w:rsidRPr="00393D99">
        <w:rPr>
          <w:rFonts w:ascii="Times New Roman" w:hAnsi="Times New Roman" w:cs="Times New Roman"/>
          <w:sz w:val="24"/>
          <w:szCs w:val="24"/>
        </w:rPr>
        <w:t xml:space="preserve"> consequently</w:t>
      </w:r>
      <w:r w:rsidR="008377A0" w:rsidRPr="00393D99">
        <w:rPr>
          <w:rFonts w:ascii="Times New Roman" w:hAnsi="Times New Roman" w:cs="Times New Roman"/>
          <w:sz w:val="24"/>
          <w:szCs w:val="24"/>
        </w:rPr>
        <w:t>,</w:t>
      </w:r>
      <w:r w:rsidR="00A51ED8" w:rsidRPr="00393D99">
        <w:rPr>
          <w:rFonts w:ascii="Times New Roman" w:hAnsi="Times New Roman" w:cs="Times New Roman"/>
          <w:sz w:val="24"/>
          <w:szCs w:val="24"/>
        </w:rPr>
        <w:t xml:space="preserve"> the demand for domestic factors of production and the output is also stimulated</w:t>
      </w:r>
      <w:r w:rsidR="00BC043C" w:rsidRPr="00393D99">
        <w:rPr>
          <w:rFonts w:ascii="Times New Roman" w:hAnsi="Times New Roman" w:cs="Times New Roman"/>
          <w:color w:val="000000"/>
          <w:sz w:val="24"/>
          <w:szCs w:val="24"/>
        </w:rPr>
        <w:t xml:space="preserve">. As a result, in the long run, the entire domestic economy </w:t>
      </w:r>
      <w:r w:rsidR="00975F32" w:rsidRPr="00393D99">
        <w:rPr>
          <w:rFonts w:ascii="Times New Roman" w:hAnsi="Times New Roman" w:cs="Times New Roman"/>
          <w:color w:val="000000"/>
          <w:sz w:val="24"/>
          <w:szCs w:val="24"/>
        </w:rPr>
        <w:t xml:space="preserve">gets </w:t>
      </w:r>
      <w:r w:rsidR="008377A0" w:rsidRPr="00393D99">
        <w:rPr>
          <w:rFonts w:ascii="Times New Roman" w:hAnsi="Times New Roman" w:cs="Times New Roman"/>
          <w:color w:val="000000"/>
          <w:sz w:val="24"/>
          <w:szCs w:val="24"/>
        </w:rPr>
        <w:t xml:space="preserve">to </w:t>
      </w:r>
      <w:r w:rsidR="00975F32" w:rsidRPr="00393D99">
        <w:rPr>
          <w:rFonts w:ascii="Times New Roman" w:hAnsi="Times New Roman" w:cs="Times New Roman"/>
          <w:color w:val="000000"/>
          <w:sz w:val="24"/>
          <w:szCs w:val="24"/>
        </w:rPr>
        <w:t>benefit</w:t>
      </w:r>
      <w:r w:rsidR="00BC043C" w:rsidRPr="00393D99">
        <w:rPr>
          <w:rFonts w:ascii="Times New Roman" w:hAnsi="Times New Roman" w:cs="Times New Roman"/>
          <w:color w:val="000000"/>
          <w:sz w:val="24"/>
          <w:szCs w:val="24"/>
        </w:rPr>
        <w:t xml:space="preserve"> </w:t>
      </w:r>
      <w:r w:rsidR="00BC043C" w:rsidRPr="00393D99">
        <w:rPr>
          <w:rFonts w:ascii="Times New Roman" w:hAnsi="Times New Roman" w:cs="Times New Roman"/>
          <w:sz w:val="24"/>
          <w:szCs w:val="24"/>
        </w:rPr>
        <w:t xml:space="preserve">from OFDI due to the </w:t>
      </w:r>
      <w:r w:rsidR="00975F32" w:rsidRPr="00393D99">
        <w:rPr>
          <w:rFonts w:ascii="Times New Roman" w:hAnsi="Times New Roman" w:cs="Times New Roman"/>
          <w:sz w:val="24"/>
          <w:szCs w:val="24"/>
        </w:rPr>
        <w:t>rising</w:t>
      </w:r>
      <w:r w:rsidR="00BC043C" w:rsidRPr="00393D99">
        <w:rPr>
          <w:rFonts w:ascii="Times New Roman" w:hAnsi="Times New Roman" w:cs="Times New Roman"/>
          <w:sz w:val="24"/>
          <w:szCs w:val="24"/>
        </w:rPr>
        <w:t xml:space="preserve"> competitiveness of the overseas investing firms and associated spillovers to </w:t>
      </w:r>
      <w:r w:rsidR="00975F32" w:rsidRPr="00393D99">
        <w:rPr>
          <w:rFonts w:ascii="Times New Roman" w:hAnsi="Times New Roman" w:cs="Times New Roman"/>
          <w:sz w:val="24"/>
          <w:szCs w:val="24"/>
        </w:rPr>
        <w:t>domestic</w:t>
      </w:r>
      <w:r w:rsidR="00BC043C" w:rsidRPr="00393D99">
        <w:rPr>
          <w:rFonts w:ascii="Times New Roman" w:hAnsi="Times New Roman" w:cs="Times New Roman"/>
          <w:sz w:val="24"/>
          <w:szCs w:val="24"/>
        </w:rPr>
        <w:t xml:space="preserve"> firms </w:t>
      </w:r>
      <w:r w:rsidR="004D3A10">
        <w:rPr>
          <w:rFonts w:ascii="Times New Roman" w:hAnsi="Times New Roman" w:cs="Times New Roman"/>
          <w:sz w:val="24"/>
          <w:szCs w:val="24"/>
        </w:rPr>
        <w:t>[3]</w:t>
      </w:r>
      <w:r w:rsidR="00BC043C" w:rsidRPr="00393D99">
        <w:rPr>
          <w:rFonts w:ascii="Times New Roman" w:hAnsi="Times New Roman" w:cs="Times New Roman"/>
          <w:sz w:val="24"/>
          <w:szCs w:val="24"/>
        </w:rPr>
        <w:t xml:space="preserve">. </w:t>
      </w:r>
      <w:r w:rsidR="004005A4" w:rsidRPr="00393D99">
        <w:rPr>
          <w:rFonts w:ascii="Times New Roman" w:hAnsi="Times New Roman" w:cs="Times New Roman"/>
          <w:sz w:val="24"/>
          <w:szCs w:val="24"/>
        </w:rPr>
        <w:t xml:space="preserve">Based on </w:t>
      </w:r>
      <w:r w:rsidR="004E62DD" w:rsidRPr="00393D99">
        <w:rPr>
          <w:rFonts w:ascii="Times New Roman" w:hAnsi="Times New Roman" w:cs="Times New Roman"/>
          <w:sz w:val="24"/>
          <w:szCs w:val="24"/>
        </w:rPr>
        <w:t>the above factors</w:t>
      </w:r>
      <w:r w:rsidR="00BC043C" w:rsidRPr="00393D99">
        <w:rPr>
          <w:rFonts w:ascii="Times New Roman" w:hAnsi="Times New Roman" w:cs="Times New Roman"/>
          <w:sz w:val="24"/>
          <w:szCs w:val="24"/>
        </w:rPr>
        <w:t xml:space="preserve">, </w:t>
      </w:r>
      <w:r w:rsidR="00D4669D" w:rsidRPr="00393D99">
        <w:rPr>
          <w:rFonts w:ascii="Times New Roman" w:hAnsi="Times New Roman" w:cs="Times New Roman"/>
          <w:sz w:val="24"/>
          <w:szCs w:val="24"/>
        </w:rPr>
        <w:t xml:space="preserve">it is suggested that </w:t>
      </w:r>
      <w:r w:rsidR="004E62DD" w:rsidRPr="00393D99">
        <w:rPr>
          <w:rFonts w:ascii="Times New Roman" w:hAnsi="Times New Roman" w:cs="Times New Roman"/>
          <w:sz w:val="24"/>
          <w:szCs w:val="24"/>
        </w:rPr>
        <w:t xml:space="preserve">OFDI </w:t>
      </w:r>
      <w:r w:rsidR="00E963E7" w:rsidRPr="00393D99">
        <w:rPr>
          <w:rFonts w:ascii="Times New Roman" w:hAnsi="Times New Roman" w:cs="Times New Roman"/>
          <w:sz w:val="24"/>
          <w:szCs w:val="24"/>
        </w:rPr>
        <w:t xml:space="preserve">has </w:t>
      </w:r>
      <w:r w:rsidR="008377A0" w:rsidRPr="00393D99">
        <w:rPr>
          <w:rFonts w:ascii="Times New Roman" w:hAnsi="Times New Roman" w:cs="Times New Roman"/>
          <w:sz w:val="24"/>
          <w:szCs w:val="24"/>
        </w:rPr>
        <w:t xml:space="preserve">a </w:t>
      </w:r>
      <w:r w:rsidR="00E963E7" w:rsidRPr="00393D99">
        <w:rPr>
          <w:rFonts w:ascii="Times New Roman" w:hAnsi="Times New Roman" w:cs="Times New Roman"/>
          <w:sz w:val="24"/>
          <w:szCs w:val="24"/>
        </w:rPr>
        <w:t xml:space="preserve">strong linkage with the </w:t>
      </w:r>
      <w:r w:rsidR="004E62DD" w:rsidRPr="00393D99">
        <w:rPr>
          <w:rFonts w:ascii="Times New Roman" w:hAnsi="Times New Roman" w:cs="Times New Roman"/>
          <w:sz w:val="24"/>
          <w:szCs w:val="24"/>
        </w:rPr>
        <w:t>economic growth</w:t>
      </w:r>
      <w:r w:rsidR="00E963E7" w:rsidRPr="00393D99">
        <w:rPr>
          <w:rFonts w:ascii="Times New Roman" w:hAnsi="Times New Roman" w:cs="Times New Roman"/>
          <w:sz w:val="24"/>
          <w:szCs w:val="24"/>
        </w:rPr>
        <w:t xml:space="preserve"> of the home country</w:t>
      </w:r>
      <w:r w:rsidR="004E62DD" w:rsidRPr="00393D99">
        <w:rPr>
          <w:rFonts w:ascii="Times New Roman" w:hAnsi="Times New Roman" w:cs="Times New Roman"/>
          <w:sz w:val="24"/>
          <w:szCs w:val="24"/>
        </w:rPr>
        <w:t>.</w:t>
      </w:r>
      <w:r w:rsidR="00BC043C" w:rsidRPr="00393D99">
        <w:rPr>
          <w:rFonts w:ascii="Times New Roman" w:hAnsi="Times New Roman" w:cs="Times New Roman"/>
          <w:sz w:val="24"/>
          <w:szCs w:val="24"/>
        </w:rPr>
        <w:t xml:space="preserve"> </w:t>
      </w:r>
      <w:r w:rsidR="00A34FA6" w:rsidRPr="00393D99">
        <w:rPr>
          <w:rFonts w:ascii="Times New Roman" w:hAnsi="Times New Roman" w:cs="Times New Roman"/>
          <w:sz w:val="24"/>
          <w:szCs w:val="24"/>
        </w:rPr>
        <w:t xml:space="preserve">Surprisingly, </w:t>
      </w:r>
      <w:r w:rsidR="00A31D45" w:rsidRPr="00393D99">
        <w:rPr>
          <w:rFonts w:ascii="Times New Roman" w:hAnsi="Times New Roman" w:cs="Times New Roman"/>
          <w:sz w:val="24"/>
          <w:szCs w:val="24"/>
        </w:rPr>
        <w:t>the literature regarding</w:t>
      </w:r>
      <w:r w:rsidR="00A34FA6" w:rsidRPr="00393D99">
        <w:rPr>
          <w:rFonts w:ascii="Times New Roman" w:hAnsi="Times New Roman" w:cs="Times New Roman"/>
          <w:sz w:val="24"/>
          <w:szCs w:val="24"/>
        </w:rPr>
        <w:t xml:space="preserve"> the potential macroeconomic effects of OFDI on the home countries</w:t>
      </w:r>
      <w:r w:rsidR="00A31D45" w:rsidRPr="00393D99">
        <w:rPr>
          <w:rFonts w:ascii="Times New Roman" w:hAnsi="Times New Roman" w:cs="Times New Roman"/>
          <w:sz w:val="24"/>
          <w:szCs w:val="24"/>
        </w:rPr>
        <w:t xml:space="preserve"> is </w:t>
      </w:r>
      <w:r w:rsidR="0050059B" w:rsidRPr="00393D99">
        <w:rPr>
          <w:rFonts w:ascii="Times New Roman" w:hAnsi="Times New Roman" w:cs="Times New Roman"/>
          <w:sz w:val="24"/>
          <w:szCs w:val="24"/>
        </w:rPr>
        <w:t>scarce</w:t>
      </w:r>
      <w:r w:rsidR="00A34FA6" w:rsidRPr="00393D99">
        <w:rPr>
          <w:rFonts w:ascii="Times New Roman" w:hAnsi="Times New Roman" w:cs="Times New Roman"/>
          <w:sz w:val="24"/>
          <w:szCs w:val="24"/>
        </w:rPr>
        <w:t xml:space="preserve">, as most of the </w:t>
      </w:r>
      <w:r w:rsidR="00A31D45" w:rsidRPr="00393D99">
        <w:rPr>
          <w:rFonts w:ascii="Times New Roman" w:hAnsi="Times New Roman" w:cs="Times New Roman"/>
          <w:sz w:val="24"/>
          <w:szCs w:val="24"/>
        </w:rPr>
        <w:t>existing</w:t>
      </w:r>
      <w:r w:rsidR="00A34FA6" w:rsidRPr="00393D99">
        <w:rPr>
          <w:rFonts w:ascii="Times New Roman" w:hAnsi="Times New Roman" w:cs="Times New Roman"/>
          <w:sz w:val="24"/>
          <w:szCs w:val="24"/>
        </w:rPr>
        <w:t xml:space="preserve"> studies mainly focused on </w:t>
      </w:r>
      <w:r w:rsidR="007133B7" w:rsidRPr="00393D99">
        <w:rPr>
          <w:rFonts w:ascii="Times New Roman" w:hAnsi="Times New Roman" w:cs="Times New Roman"/>
          <w:sz w:val="24"/>
          <w:szCs w:val="24"/>
        </w:rPr>
        <w:t xml:space="preserve">the </w:t>
      </w:r>
      <w:r w:rsidR="00A2791B" w:rsidRPr="00393D99">
        <w:rPr>
          <w:rFonts w:ascii="Times New Roman" w:hAnsi="Times New Roman" w:cs="Times New Roman"/>
          <w:sz w:val="24"/>
          <w:szCs w:val="24"/>
        </w:rPr>
        <w:t xml:space="preserve">analysis using microeconomic data at </w:t>
      </w:r>
      <w:r w:rsidR="008377A0" w:rsidRPr="00393D99">
        <w:rPr>
          <w:rFonts w:ascii="Times New Roman" w:hAnsi="Times New Roman" w:cs="Times New Roman"/>
          <w:sz w:val="24"/>
          <w:szCs w:val="24"/>
        </w:rPr>
        <w:t xml:space="preserve">the </w:t>
      </w:r>
      <w:r w:rsidR="00A34FA6" w:rsidRPr="00393D99">
        <w:rPr>
          <w:rFonts w:ascii="Times New Roman" w:hAnsi="Times New Roman" w:cs="Times New Roman"/>
          <w:sz w:val="24"/>
          <w:szCs w:val="24"/>
        </w:rPr>
        <w:t>firm- and industry-level</w:t>
      </w:r>
      <w:r w:rsidR="00A2791B" w:rsidRPr="00393D99">
        <w:rPr>
          <w:rFonts w:ascii="Times New Roman" w:hAnsi="Times New Roman" w:cs="Times New Roman"/>
          <w:sz w:val="24"/>
          <w:szCs w:val="24"/>
        </w:rPr>
        <w:t>s</w:t>
      </w:r>
      <w:r w:rsidR="00A34FA6" w:rsidRPr="00393D99">
        <w:rPr>
          <w:rFonts w:ascii="Times New Roman" w:hAnsi="Times New Roman" w:cs="Times New Roman"/>
          <w:sz w:val="24"/>
          <w:szCs w:val="24"/>
        </w:rPr>
        <w:t xml:space="preserve"> </w:t>
      </w:r>
      <w:r w:rsidR="004D3A10">
        <w:rPr>
          <w:rFonts w:ascii="Times New Roman" w:hAnsi="Times New Roman" w:cs="Times New Roman"/>
          <w:sz w:val="24"/>
          <w:szCs w:val="24"/>
        </w:rPr>
        <w:t>[3,4,5]</w:t>
      </w:r>
      <w:r w:rsidR="00A34FA6" w:rsidRPr="00393D99">
        <w:rPr>
          <w:rFonts w:ascii="Times New Roman" w:hAnsi="Times New Roman" w:cs="Times New Roman"/>
          <w:sz w:val="24"/>
          <w:szCs w:val="24"/>
        </w:rPr>
        <w:t xml:space="preserve">. </w:t>
      </w:r>
      <w:r w:rsidR="007133B7" w:rsidRPr="00393D99">
        <w:rPr>
          <w:rFonts w:ascii="Times New Roman" w:hAnsi="Times New Roman" w:cs="Times New Roman"/>
          <w:sz w:val="24"/>
          <w:szCs w:val="24"/>
        </w:rPr>
        <w:t>However,</w:t>
      </w:r>
      <w:r w:rsidR="00A34FA6" w:rsidRPr="00393D99">
        <w:rPr>
          <w:rFonts w:ascii="Times New Roman" w:hAnsi="Times New Roman" w:cs="Times New Roman"/>
          <w:sz w:val="24"/>
          <w:szCs w:val="24"/>
        </w:rPr>
        <w:t xml:space="preserve"> research on the interactions of OFDI and economic growth, especially at </w:t>
      </w:r>
      <w:r w:rsidR="007133B7" w:rsidRPr="00393D99">
        <w:rPr>
          <w:rFonts w:ascii="Times New Roman" w:hAnsi="Times New Roman" w:cs="Times New Roman"/>
          <w:sz w:val="24"/>
          <w:szCs w:val="24"/>
        </w:rPr>
        <w:t xml:space="preserve">the </w:t>
      </w:r>
      <w:r w:rsidR="00A34FA6" w:rsidRPr="00393D99">
        <w:rPr>
          <w:rFonts w:ascii="Times New Roman" w:hAnsi="Times New Roman" w:cs="Times New Roman"/>
          <w:sz w:val="24"/>
          <w:szCs w:val="24"/>
        </w:rPr>
        <w:t>macroeconomic level</w:t>
      </w:r>
      <w:r w:rsidR="007133B7" w:rsidRPr="00393D99">
        <w:rPr>
          <w:rFonts w:ascii="Times New Roman" w:hAnsi="Times New Roman" w:cs="Times New Roman"/>
          <w:sz w:val="24"/>
          <w:szCs w:val="24"/>
        </w:rPr>
        <w:t>,</w:t>
      </w:r>
      <w:r w:rsidR="00A34FA6" w:rsidRPr="00393D99">
        <w:rPr>
          <w:rFonts w:ascii="Times New Roman" w:hAnsi="Times New Roman" w:cs="Times New Roman"/>
          <w:sz w:val="24"/>
          <w:szCs w:val="24"/>
        </w:rPr>
        <w:t xml:space="preserve"> is limited</w:t>
      </w:r>
      <w:r w:rsidR="006F07B3">
        <w:rPr>
          <w:rStyle w:val="FootnoteReference"/>
          <w:rFonts w:ascii="Times New Roman" w:hAnsi="Times New Roman" w:cs="Times New Roman"/>
          <w:sz w:val="24"/>
          <w:szCs w:val="24"/>
        </w:rPr>
        <w:footnoteReference w:id="1"/>
      </w:r>
      <w:r w:rsidR="005E188D" w:rsidRPr="00393D99">
        <w:rPr>
          <w:rFonts w:ascii="Times New Roman" w:hAnsi="Times New Roman" w:cs="Times New Roman"/>
          <w:sz w:val="24"/>
          <w:szCs w:val="24"/>
        </w:rPr>
        <w:t>.</w:t>
      </w:r>
      <w:r w:rsidR="009809D7" w:rsidRPr="00393D99">
        <w:rPr>
          <w:rFonts w:ascii="Times New Roman" w:hAnsi="Times New Roman" w:cs="Times New Roman"/>
          <w:sz w:val="24"/>
          <w:szCs w:val="24"/>
        </w:rPr>
        <w:t xml:space="preserve"> </w:t>
      </w:r>
      <w:r w:rsidR="00623547" w:rsidRPr="00393D99">
        <w:rPr>
          <w:rFonts w:ascii="Times New Roman" w:hAnsi="Times New Roman" w:cs="Times New Roman"/>
          <w:sz w:val="24"/>
          <w:szCs w:val="24"/>
        </w:rPr>
        <w:t xml:space="preserve">The present </w:t>
      </w:r>
      <w:r w:rsidR="009809D7" w:rsidRPr="00393D99">
        <w:rPr>
          <w:rFonts w:ascii="Times New Roman" w:hAnsi="Times New Roman" w:cs="Times New Roman"/>
          <w:sz w:val="24"/>
          <w:szCs w:val="24"/>
        </w:rPr>
        <w:t xml:space="preserve">study fills this gap by </w:t>
      </w:r>
      <w:r w:rsidR="009D0FAA" w:rsidRPr="00393D99">
        <w:rPr>
          <w:rFonts w:ascii="Times New Roman" w:hAnsi="Times New Roman" w:cs="Times New Roman"/>
          <w:sz w:val="24"/>
          <w:szCs w:val="24"/>
        </w:rPr>
        <w:t>utilizing</w:t>
      </w:r>
      <w:r w:rsidR="00A2791B" w:rsidRPr="00393D99">
        <w:rPr>
          <w:rFonts w:ascii="Times New Roman" w:hAnsi="Times New Roman" w:cs="Times New Roman"/>
          <w:sz w:val="24"/>
          <w:szCs w:val="24"/>
        </w:rPr>
        <w:t xml:space="preserve"> </w:t>
      </w:r>
      <w:r w:rsidR="009809D7" w:rsidRPr="00393D99">
        <w:rPr>
          <w:rFonts w:ascii="Times New Roman" w:hAnsi="Times New Roman" w:cs="Times New Roman"/>
          <w:sz w:val="24"/>
          <w:szCs w:val="24"/>
        </w:rPr>
        <w:t>aggregate level data of OFDI and economic growth by providing essential policy implications at the macroeconomic level.</w:t>
      </w:r>
    </w:p>
    <w:p w14:paraId="0440A2E2" w14:textId="77777777" w:rsidR="00DF1409" w:rsidRDefault="00BD3072" w:rsidP="00DF1409">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Another issue in the studies that assess the impact of OFDI on economic growth is</w:t>
      </w:r>
      <w:r w:rsidR="00385383" w:rsidRPr="00393D99">
        <w:rPr>
          <w:rFonts w:ascii="Times New Roman" w:hAnsi="Times New Roman" w:cs="Times New Roman"/>
          <w:sz w:val="24"/>
          <w:szCs w:val="24"/>
        </w:rPr>
        <w:t xml:space="preserve"> </w:t>
      </w:r>
      <w:r w:rsidRPr="00393D99">
        <w:rPr>
          <w:rFonts w:ascii="Times New Roman" w:hAnsi="Times New Roman" w:cs="Times New Roman"/>
          <w:sz w:val="24"/>
          <w:szCs w:val="24"/>
        </w:rPr>
        <w:t xml:space="preserve">the </w:t>
      </w:r>
      <w:r w:rsidR="00385383" w:rsidRPr="00393D99">
        <w:rPr>
          <w:rFonts w:ascii="Times New Roman" w:hAnsi="Times New Roman" w:cs="Times New Roman"/>
          <w:sz w:val="24"/>
          <w:szCs w:val="24"/>
        </w:rPr>
        <w:t xml:space="preserve">application </w:t>
      </w:r>
      <w:r w:rsidRPr="00393D99">
        <w:rPr>
          <w:rFonts w:ascii="Times New Roman" w:hAnsi="Times New Roman" w:cs="Times New Roman"/>
          <w:sz w:val="24"/>
          <w:szCs w:val="24"/>
        </w:rPr>
        <w:t xml:space="preserve">of </w:t>
      </w:r>
      <w:r w:rsidR="00125DAC" w:rsidRPr="00393D99">
        <w:rPr>
          <w:rFonts w:ascii="Times New Roman" w:hAnsi="Times New Roman" w:cs="Times New Roman"/>
          <w:sz w:val="24"/>
          <w:szCs w:val="24"/>
        </w:rPr>
        <w:t xml:space="preserve">traditional </w:t>
      </w:r>
      <w:r w:rsidRPr="00393D99">
        <w:rPr>
          <w:rFonts w:ascii="Times New Roman" w:hAnsi="Times New Roman" w:cs="Times New Roman"/>
          <w:sz w:val="24"/>
          <w:szCs w:val="24"/>
        </w:rPr>
        <w:t xml:space="preserve">econometric </w:t>
      </w:r>
      <w:r w:rsidR="006E15A6" w:rsidRPr="00393D99">
        <w:rPr>
          <w:rFonts w:ascii="Times New Roman" w:hAnsi="Times New Roman" w:cs="Times New Roman"/>
          <w:sz w:val="24"/>
          <w:szCs w:val="24"/>
        </w:rPr>
        <w:t>methods</w:t>
      </w:r>
      <w:r w:rsidR="00A2791B" w:rsidRPr="00393D99">
        <w:rPr>
          <w:rFonts w:ascii="Times New Roman" w:hAnsi="Times New Roman" w:cs="Times New Roman"/>
          <w:sz w:val="24"/>
          <w:szCs w:val="24"/>
        </w:rPr>
        <w:t xml:space="preserve"> that</w:t>
      </w:r>
      <w:r w:rsidRPr="00393D99">
        <w:rPr>
          <w:rFonts w:ascii="Times New Roman" w:hAnsi="Times New Roman" w:cs="Times New Roman"/>
          <w:sz w:val="24"/>
          <w:szCs w:val="24"/>
        </w:rPr>
        <w:t xml:space="preserve"> assume a symmetric </w:t>
      </w:r>
      <w:r w:rsidR="00623547" w:rsidRPr="00393D99">
        <w:rPr>
          <w:rFonts w:ascii="Times New Roman" w:hAnsi="Times New Roman" w:cs="Times New Roman"/>
          <w:sz w:val="24"/>
          <w:szCs w:val="24"/>
        </w:rPr>
        <w:t>linkage</w:t>
      </w:r>
      <w:r w:rsidRPr="00393D99">
        <w:rPr>
          <w:rFonts w:ascii="Times New Roman" w:hAnsi="Times New Roman" w:cs="Times New Roman"/>
          <w:sz w:val="24"/>
          <w:szCs w:val="24"/>
        </w:rPr>
        <w:t xml:space="preserve"> </w:t>
      </w:r>
      <w:r w:rsidRPr="00393D99">
        <w:rPr>
          <w:rFonts w:ascii="Times New Roman" w:hAnsi="Times New Roman" w:cs="Times New Roman"/>
          <w:sz w:val="24"/>
          <w:szCs w:val="24"/>
        </w:rPr>
        <w:lastRenderedPageBreak/>
        <w:t>between OFDI and economic growth</w:t>
      </w:r>
      <w:r w:rsidR="00A2791B" w:rsidRPr="00393D99">
        <w:rPr>
          <w:rFonts w:ascii="Times New Roman" w:hAnsi="Times New Roman" w:cs="Times New Roman"/>
          <w:sz w:val="24"/>
          <w:szCs w:val="24"/>
        </w:rPr>
        <w:t xml:space="preserve">, i.e., </w:t>
      </w:r>
      <w:r w:rsidRPr="00393D99">
        <w:rPr>
          <w:rFonts w:ascii="Times New Roman" w:hAnsi="Times New Roman" w:cs="Times New Roman"/>
          <w:sz w:val="24"/>
          <w:szCs w:val="24"/>
        </w:rPr>
        <w:t xml:space="preserve">an increase in OFDI </w:t>
      </w:r>
      <w:r w:rsidR="00657197" w:rsidRPr="00393D99">
        <w:rPr>
          <w:rFonts w:ascii="Times New Roman" w:hAnsi="Times New Roman" w:cs="Times New Roman"/>
          <w:sz w:val="24"/>
          <w:szCs w:val="24"/>
        </w:rPr>
        <w:t>may stimulate</w:t>
      </w:r>
      <w:r w:rsidRPr="00393D99">
        <w:rPr>
          <w:rFonts w:ascii="Times New Roman" w:hAnsi="Times New Roman" w:cs="Times New Roman"/>
          <w:sz w:val="24"/>
          <w:szCs w:val="24"/>
        </w:rPr>
        <w:t xml:space="preserve"> economic growth and vice versa</w:t>
      </w:r>
      <w:r w:rsidR="00657197" w:rsidRPr="00393D99">
        <w:rPr>
          <w:rFonts w:ascii="Times New Roman" w:hAnsi="Times New Roman" w:cs="Times New Roman"/>
          <w:sz w:val="24"/>
          <w:szCs w:val="24"/>
        </w:rPr>
        <w:t xml:space="preserve"> </w:t>
      </w:r>
      <w:r w:rsidR="004D3A10">
        <w:rPr>
          <w:rFonts w:ascii="Times New Roman" w:hAnsi="Times New Roman" w:cs="Times New Roman"/>
          <w:sz w:val="24"/>
          <w:szCs w:val="24"/>
        </w:rPr>
        <w:t>[2,7,3]</w:t>
      </w:r>
      <w:r w:rsidRPr="00393D99">
        <w:rPr>
          <w:rFonts w:ascii="Times New Roman" w:hAnsi="Times New Roman" w:cs="Times New Roman"/>
          <w:sz w:val="24"/>
          <w:szCs w:val="24"/>
        </w:rPr>
        <w:t xml:space="preserve">. Nevertheless, in reality, the substitution between overseas and domestic investment indicates that both </w:t>
      </w:r>
      <w:r w:rsidR="006E15A6" w:rsidRPr="00393D99">
        <w:rPr>
          <w:rFonts w:ascii="Times New Roman" w:hAnsi="Times New Roman" w:cs="Times New Roman"/>
          <w:sz w:val="24"/>
          <w:szCs w:val="24"/>
        </w:rPr>
        <w:t>an upswing</w:t>
      </w:r>
      <w:r w:rsidRPr="00393D99">
        <w:rPr>
          <w:rFonts w:ascii="Times New Roman" w:hAnsi="Times New Roman" w:cs="Times New Roman"/>
          <w:sz w:val="24"/>
          <w:szCs w:val="24"/>
        </w:rPr>
        <w:t xml:space="preserve"> and </w:t>
      </w:r>
      <w:r w:rsidR="006E15A6" w:rsidRPr="00393D99">
        <w:rPr>
          <w:rFonts w:ascii="Times New Roman" w:hAnsi="Times New Roman" w:cs="Times New Roman"/>
          <w:sz w:val="24"/>
          <w:szCs w:val="24"/>
        </w:rPr>
        <w:t xml:space="preserve">downswing </w:t>
      </w:r>
      <w:r w:rsidRPr="00393D99">
        <w:rPr>
          <w:rFonts w:ascii="Times New Roman" w:hAnsi="Times New Roman" w:cs="Times New Roman"/>
          <w:sz w:val="24"/>
          <w:szCs w:val="24"/>
        </w:rPr>
        <w:t xml:space="preserve">in OFDI </w:t>
      </w:r>
      <w:r w:rsidR="00A2791B" w:rsidRPr="00393D99">
        <w:rPr>
          <w:rFonts w:ascii="Times New Roman" w:hAnsi="Times New Roman" w:cs="Times New Roman"/>
          <w:sz w:val="24"/>
          <w:szCs w:val="24"/>
        </w:rPr>
        <w:t xml:space="preserve">can </w:t>
      </w:r>
      <w:r w:rsidR="0082258D" w:rsidRPr="00393D99">
        <w:rPr>
          <w:rFonts w:ascii="Times New Roman" w:hAnsi="Times New Roman" w:cs="Times New Roman"/>
          <w:sz w:val="24"/>
          <w:szCs w:val="24"/>
        </w:rPr>
        <w:t>potential</w:t>
      </w:r>
      <w:r w:rsidR="00A2791B" w:rsidRPr="00393D99">
        <w:rPr>
          <w:rFonts w:ascii="Times New Roman" w:hAnsi="Times New Roman" w:cs="Times New Roman"/>
          <w:sz w:val="24"/>
          <w:szCs w:val="24"/>
        </w:rPr>
        <w:t>ly</w:t>
      </w:r>
      <w:r w:rsidR="0082258D" w:rsidRPr="00393D99">
        <w:rPr>
          <w:rFonts w:ascii="Times New Roman" w:hAnsi="Times New Roman" w:cs="Times New Roman"/>
          <w:sz w:val="24"/>
          <w:szCs w:val="24"/>
        </w:rPr>
        <w:t xml:space="preserve"> stimulate</w:t>
      </w:r>
      <w:r w:rsidRPr="00393D99">
        <w:rPr>
          <w:rFonts w:ascii="Times New Roman" w:hAnsi="Times New Roman" w:cs="Times New Roman"/>
          <w:sz w:val="24"/>
          <w:szCs w:val="24"/>
        </w:rPr>
        <w:t xml:space="preserve"> economic growth, showing a</w:t>
      </w:r>
      <w:r w:rsidR="00245CD8" w:rsidRPr="00393D99">
        <w:rPr>
          <w:rFonts w:ascii="Times New Roman" w:hAnsi="Times New Roman" w:cs="Times New Roman"/>
          <w:sz w:val="24"/>
          <w:szCs w:val="24"/>
        </w:rPr>
        <w:t>n</w:t>
      </w:r>
      <w:r w:rsidRPr="00393D99">
        <w:rPr>
          <w:rFonts w:ascii="Times New Roman" w:hAnsi="Times New Roman" w:cs="Times New Roman"/>
          <w:sz w:val="24"/>
          <w:szCs w:val="24"/>
        </w:rPr>
        <w:t xml:space="preserve"> asymmetric effect of OFDI. For instance, the decline in OFDI makes resources available for domestic investment, which </w:t>
      </w:r>
      <w:r w:rsidR="00935AD9" w:rsidRPr="00393D99">
        <w:rPr>
          <w:rFonts w:ascii="Times New Roman" w:hAnsi="Times New Roman" w:cs="Times New Roman"/>
          <w:sz w:val="24"/>
          <w:szCs w:val="24"/>
        </w:rPr>
        <w:t>ultimately</w:t>
      </w:r>
      <w:r w:rsidRPr="00393D99">
        <w:rPr>
          <w:rFonts w:ascii="Times New Roman" w:hAnsi="Times New Roman" w:cs="Times New Roman"/>
          <w:sz w:val="24"/>
          <w:szCs w:val="24"/>
        </w:rPr>
        <w:t xml:space="preserve"> boosts </w:t>
      </w:r>
      <w:r w:rsidR="007133B7" w:rsidRPr="00393D99">
        <w:rPr>
          <w:rFonts w:ascii="Times New Roman" w:hAnsi="Times New Roman" w:cs="Times New Roman"/>
          <w:sz w:val="24"/>
          <w:szCs w:val="24"/>
        </w:rPr>
        <w:t xml:space="preserve">the </w:t>
      </w:r>
      <w:r w:rsidRPr="00393D99">
        <w:rPr>
          <w:rFonts w:ascii="Times New Roman" w:hAnsi="Times New Roman" w:cs="Times New Roman"/>
          <w:sz w:val="24"/>
          <w:szCs w:val="24"/>
        </w:rPr>
        <w:t xml:space="preserve">economic growth of the home country. Considering that, the </w:t>
      </w:r>
      <w:r w:rsidR="006E15A6" w:rsidRPr="00393D99">
        <w:rPr>
          <w:rFonts w:ascii="Times New Roman" w:hAnsi="Times New Roman" w:cs="Times New Roman"/>
          <w:sz w:val="24"/>
          <w:szCs w:val="24"/>
        </w:rPr>
        <w:t>linkage</w:t>
      </w:r>
      <w:r w:rsidRPr="00393D99">
        <w:rPr>
          <w:rFonts w:ascii="Times New Roman" w:hAnsi="Times New Roman" w:cs="Times New Roman"/>
          <w:sz w:val="24"/>
          <w:szCs w:val="24"/>
        </w:rPr>
        <w:t xml:space="preserve"> between OFDI and economic growth may be </w:t>
      </w:r>
      <w:r w:rsidR="00634984" w:rsidRPr="00393D99">
        <w:rPr>
          <w:rFonts w:ascii="Times New Roman" w:hAnsi="Times New Roman" w:cs="Times New Roman"/>
          <w:sz w:val="24"/>
          <w:szCs w:val="24"/>
        </w:rPr>
        <w:t>asymmetric;</w:t>
      </w:r>
      <w:r w:rsidRPr="00393D99">
        <w:rPr>
          <w:rFonts w:ascii="Times New Roman" w:hAnsi="Times New Roman" w:cs="Times New Roman"/>
          <w:sz w:val="24"/>
          <w:szCs w:val="24"/>
        </w:rPr>
        <w:t xml:space="preserve"> there is a </w:t>
      </w:r>
      <w:r w:rsidR="00385383" w:rsidRPr="00393D99">
        <w:rPr>
          <w:rFonts w:ascii="Times New Roman" w:hAnsi="Times New Roman" w:cs="Times New Roman"/>
          <w:sz w:val="24"/>
          <w:szCs w:val="24"/>
        </w:rPr>
        <w:t>necessity</w:t>
      </w:r>
      <w:r w:rsidRPr="00393D99">
        <w:rPr>
          <w:rFonts w:ascii="Times New Roman" w:hAnsi="Times New Roman" w:cs="Times New Roman"/>
          <w:sz w:val="24"/>
          <w:szCs w:val="24"/>
        </w:rPr>
        <w:t xml:space="preserve"> for asymmetric test as well, </w:t>
      </w:r>
      <w:r w:rsidR="00245CD8" w:rsidRPr="00393D99">
        <w:rPr>
          <w:rFonts w:ascii="Times New Roman" w:hAnsi="Times New Roman" w:cs="Times New Roman"/>
          <w:sz w:val="24"/>
          <w:szCs w:val="24"/>
        </w:rPr>
        <w:t xml:space="preserve">which </w:t>
      </w:r>
      <w:r w:rsidR="00935AD9" w:rsidRPr="00393D99">
        <w:rPr>
          <w:rFonts w:ascii="Times New Roman" w:hAnsi="Times New Roman" w:cs="Times New Roman"/>
          <w:sz w:val="24"/>
          <w:szCs w:val="24"/>
        </w:rPr>
        <w:t>is</w:t>
      </w:r>
      <w:r w:rsidR="00245CD8" w:rsidRPr="00393D99">
        <w:rPr>
          <w:rFonts w:ascii="Times New Roman" w:hAnsi="Times New Roman" w:cs="Times New Roman"/>
          <w:sz w:val="24"/>
          <w:szCs w:val="24"/>
        </w:rPr>
        <w:t xml:space="preserve"> missing in the </w:t>
      </w:r>
      <w:r w:rsidRPr="00393D99">
        <w:rPr>
          <w:rFonts w:ascii="Times New Roman" w:hAnsi="Times New Roman" w:cs="Times New Roman"/>
          <w:sz w:val="24"/>
          <w:szCs w:val="24"/>
        </w:rPr>
        <w:t>previous studies.</w:t>
      </w:r>
    </w:p>
    <w:p w14:paraId="3EB557F2" w14:textId="77777777" w:rsidR="008235C0" w:rsidRPr="00393D99" w:rsidRDefault="000412FF" w:rsidP="00DF1409">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In recent years, </w:t>
      </w:r>
      <w:r w:rsidR="0095616A" w:rsidRPr="00393D99">
        <w:rPr>
          <w:rFonts w:ascii="Times New Roman" w:hAnsi="Times New Roman" w:cs="Times New Roman"/>
          <w:sz w:val="24"/>
          <w:szCs w:val="24"/>
        </w:rPr>
        <w:t xml:space="preserve">Romania </w:t>
      </w:r>
      <w:r w:rsidR="00A52FFD" w:rsidRPr="00393D99">
        <w:rPr>
          <w:rFonts w:ascii="Times New Roman" w:hAnsi="Times New Roman" w:cs="Times New Roman"/>
          <w:sz w:val="24"/>
          <w:szCs w:val="24"/>
        </w:rPr>
        <w:t>-</w:t>
      </w:r>
      <w:r w:rsidR="0095616A" w:rsidRPr="00393D99">
        <w:rPr>
          <w:rFonts w:ascii="Times New Roman" w:hAnsi="Times New Roman" w:cs="Times New Roman"/>
          <w:sz w:val="24"/>
          <w:szCs w:val="24"/>
        </w:rPr>
        <w:t>a transition economy</w:t>
      </w:r>
      <w:r w:rsidR="00A52FFD" w:rsidRPr="00393D99">
        <w:rPr>
          <w:rFonts w:ascii="Times New Roman" w:hAnsi="Times New Roman" w:cs="Times New Roman"/>
          <w:sz w:val="24"/>
          <w:szCs w:val="24"/>
        </w:rPr>
        <w:t>-</w:t>
      </w:r>
      <w:r w:rsidR="0095616A" w:rsidRPr="00393D99">
        <w:rPr>
          <w:rFonts w:ascii="Times New Roman" w:hAnsi="Times New Roman" w:cs="Times New Roman"/>
          <w:sz w:val="24"/>
          <w:szCs w:val="24"/>
        </w:rPr>
        <w:t xml:space="preserve"> </w:t>
      </w:r>
      <w:r w:rsidR="00A84942" w:rsidRPr="00393D99">
        <w:rPr>
          <w:rFonts w:ascii="Times New Roman" w:hAnsi="Times New Roman" w:cs="Times New Roman"/>
          <w:sz w:val="24"/>
          <w:szCs w:val="24"/>
        </w:rPr>
        <w:t xml:space="preserve">has started to </w:t>
      </w:r>
      <w:r w:rsidR="0095616A" w:rsidRPr="00393D99">
        <w:rPr>
          <w:rFonts w:ascii="Times New Roman" w:hAnsi="Times New Roman" w:cs="Times New Roman"/>
          <w:sz w:val="24"/>
          <w:szCs w:val="24"/>
        </w:rPr>
        <w:t xml:space="preserve">pay more attention to the role of OFDI in order to further expand its markets abroad, improve efficiency, and acquire natural resources. During the </w:t>
      </w:r>
      <w:r w:rsidR="00A84942" w:rsidRPr="00393D99">
        <w:rPr>
          <w:rFonts w:ascii="Times New Roman" w:hAnsi="Times New Roman" w:cs="Times New Roman"/>
          <w:sz w:val="24"/>
          <w:szCs w:val="24"/>
        </w:rPr>
        <w:t xml:space="preserve">1990s and early </w:t>
      </w:r>
      <w:r w:rsidR="0095616A" w:rsidRPr="00393D99">
        <w:rPr>
          <w:rFonts w:ascii="Times New Roman" w:hAnsi="Times New Roman" w:cs="Times New Roman"/>
          <w:sz w:val="24"/>
          <w:szCs w:val="24"/>
        </w:rPr>
        <w:t xml:space="preserve">2000s, the outlook regarding Romanian OFDI was pessimistic </w:t>
      </w:r>
      <w:r w:rsidR="004D3A10">
        <w:rPr>
          <w:rFonts w:ascii="Times New Roman" w:hAnsi="Times New Roman" w:cs="Times New Roman"/>
          <w:sz w:val="24"/>
          <w:szCs w:val="24"/>
        </w:rPr>
        <w:t>[8]</w:t>
      </w:r>
      <w:r w:rsidR="0095616A" w:rsidRPr="00393D99">
        <w:rPr>
          <w:rFonts w:ascii="Times New Roman" w:hAnsi="Times New Roman" w:cs="Times New Roman"/>
          <w:sz w:val="24"/>
          <w:szCs w:val="24"/>
        </w:rPr>
        <w:t xml:space="preserve">. It was after 2005 when the </w:t>
      </w:r>
      <w:r w:rsidR="00623547" w:rsidRPr="00393D99">
        <w:rPr>
          <w:rFonts w:ascii="Times New Roman" w:hAnsi="Times New Roman" w:cs="Times New Roman"/>
          <w:sz w:val="24"/>
          <w:szCs w:val="24"/>
        </w:rPr>
        <w:t>Government of Romania</w:t>
      </w:r>
      <w:r w:rsidR="0095616A" w:rsidRPr="00393D99">
        <w:rPr>
          <w:rFonts w:ascii="Times New Roman" w:hAnsi="Times New Roman" w:cs="Times New Roman"/>
          <w:sz w:val="24"/>
          <w:szCs w:val="24"/>
        </w:rPr>
        <w:t xml:space="preserve"> adopted </w:t>
      </w:r>
      <w:r w:rsidR="0095616A" w:rsidRPr="00393D99">
        <w:rPr>
          <w:rFonts w:ascii="Times New Roman" w:hAnsi="Times New Roman" w:cs="Times New Roman"/>
          <w:i/>
          <w:sz w:val="24"/>
          <w:szCs w:val="24"/>
        </w:rPr>
        <w:t>go global</w:t>
      </w:r>
      <w:r w:rsidR="0095616A" w:rsidRPr="00393D99">
        <w:rPr>
          <w:rFonts w:ascii="Times New Roman" w:hAnsi="Times New Roman" w:cs="Times New Roman"/>
          <w:sz w:val="24"/>
          <w:szCs w:val="24"/>
        </w:rPr>
        <w:t xml:space="preserve"> </w:t>
      </w:r>
      <w:r w:rsidR="00623547" w:rsidRPr="00393D99">
        <w:rPr>
          <w:rFonts w:ascii="Times New Roman" w:hAnsi="Times New Roman" w:cs="Times New Roman"/>
          <w:sz w:val="24"/>
          <w:szCs w:val="24"/>
        </w:rPr>
        <w:t>policy</w:t>
      </w:r>
      <w:r w:rsidR="0095616A" w:rsidRPr="00393D99">
        <w:rPr>
          <w:rFonts w:ascii="Times New Roman" w:hAnsi="Times New Roman" w:cs="Times New Roman"/>
          <w:sz w:val="24"/>
          <w:szCs w:val="24"/>
        </w:rPr>
        <w:t xml:space="preserve"> in order to encourage its </w:t>
      </w:r>
      <w:r w:rsidR="005C6854" w:rsidRPr="00393D99">
        <w:rPr>
          <w:rFonts w:ascii="Times New Roman" w:hAnsi="Times New Roman" w:cs="Times New Roman"/>
          <w:sz w:val="24"/>
          <w:szCs w:val="24"/>
        </w:rPr>
        <w:t>local</w:t>
      </w:r>
      <w:r w:rsidR="0095616A" w:rsidRPr="00393D99">
        <w:rPr>
          <w:rFonts w:ascii="Times New Roman" w:hAnsi="Times New Roman" w:cs="Times New Roman"/>
          <w:sz w:val="24"/>
          <w:szCs w:val="24"/>
        </w:rPr>
        <w:t xml:space="preserve"> firms to invest in overseas markets</w:t>
      </w:r>
      <w:r w:rsidR="00A84942" w:rsidRPr="00393D99">
        <w:rPr>
          <w:rFonts w:ascii="Times New Roman" w:hAnsi="Times New Roman" w:cs="Times New Roman"/>
          <w:sz w:val="24"/>
          <w:szCs w:val="24"/>
        </w:rPr>
        <w:t xml:space="preserve">. </w:t>
      </w:r>
      <w:r w:rsidR="0095616A" w:rsidRPr="00393D99">
        <w:rPr>
          <w:rFonts w:ascii="Times New Roman" w:hAnsi="Times New Roman" w:cs="Times New Roman"/>
          <w:sz w:val="24"/>
          <w:szCs w:val="24"/>
        </w:rPr>
        <w:t xml:space="preserve"> </w:t>
      </w:r>
      <w:r w:rsidR="00A84942" w:rsidRPr="00393D99">
        <w:rPr>
          <w:rFonts w:ascii="Times New Roman" w:hAnsi="Times New Roman" w:cs="Times New Roman"/>
          <w:sz w:val="24"/>
          <w:szCs w:val="24"/>
        </w:rPr>
        <w:t xml:space="preserve">The firms accepted the opportunity </w:t>
      </w:r>
      <w:r w:rsidR="007133B7" w:rsidRPr="00393D99">
        <w:rPr>
          <w:rFonts w:ascii="Times New Roman" w:hAnsi="Times New Roman" w:cs="Times New Roman"/>
          <w:sz w:val="24"/>
          <w:szCs w:val="24"/>
        </w:rPr>
        <w:t>intending</w:t>
      </w:r>
      <w:r w:rsidR="00A84942" w:rsidRPr="00393D99">
        <w:rPr>
          <w:rFonts w:ascii="Times New Roman" w:hAnsi="Times New Roman" w:cs="Times New Roman"/>
          <w:sz w:val="24"/>
          <w:szCs w:val="24"/>
        </w:rPr>
        <w:t xml:space="preserve"> </w:t>
      </w:r>
      <w:r w:rsidR="0095616A" w:rsidRPr="00393D99">
        <w:rPr>
          <w:rFonts w:ascii="Times New Roman" w:hAnsi="Times New Roman" w:cs="Times New Roman"/>
          <w:sz w:val="24"/>
          <w:szCs w:val="24"/>
        </w:rPr>
        <w:t xml:space="preserve">to </w:t>
      </w:r>
      <w:r w:rsidR="00D95E68" w:rsidRPr="00393D99">
        <w:rPr>
          <w:rFonts w:ascii="Times New Roman" w:hAnsi="Times New Roman" w:cs="Times New Roman"/>
          <w:sz w:val="24"/>
          <w:szCs w:val="24"/>
        </w:rPr>
        <w:t>expand</w:t>
      </w:r>
      <w:r w:rsidR="0095616A" w:rsidRPr="00393D99">
        <w:rPr>
          <w:rFonts w:ascii="Times New Roman" w:hAnsi="Times New Roman" w:cs="Times New Roman"/>
          <w:sz w:val="24"/>
          <w:szCs w:val="24"/>
        </w:rPr>
        <w:t xml:space="preserve"> their assets</w:t>
      </w:r>
      <w:r w:rsidR="008377A0" w:rsidRPr="00393D99">
        <w:rPr>
          <w:rFonts w:ascii="Times New Roman" w:hAnsi="Times New Roman" w:cs="Times New Roman"/>
          <w:sz w:val="24"/>
          <w:szCs w:val="24"/>
        </w:rPr>
        <w:t>,</w:t>
      </w:r>
      <w:r w:rsidR="0095616A" w:rsidRPr="00393D99">
        <w:rPr>
          <w:rFonts w:ascii="Times New Roman" w:hAnsi="Times New Roman" w:cs="Times New Roman"/>
          <w:sz w:val="24"/>
          <w:szCs w:val="24"/>
        </w:rPr>
        <w:t xml:space="preserve"> and further protect themselves against internal instability. </w:t>
      </w:r>
      <w:r w:rsidR="00375F0C" w:rsidRPr="00393D99">
        <w:rPr>
          <w:rFonts w:ascii="Times New Roman" w:hAnsi="Times New Roman" w:cs="Times New Roman"/>
          <w:sz w:val="24"/>
          <w:szCs w:val="24"/>
        </w:rPr>
        <w:t>In the beginning, t</w:t>
      </w:r>
      <w:r w:rsidR="0095616A" w:rsidRPr="00393D99">
        <w:rPr>
          <w:rFonts w:ascii="Times New Roman" w:hAnsi="Times New Roman" w:cs="Times New Roman"/>
          <w:sz w:val="24"/>
          <w:szCs w:val="24"/>
        </w:rPr>
        <w:t xml:space="preserve">he banking sector took the lead in expanding its business abroad, followed by non-banking companies. Initially, the Romanian </w:t>
      </w:r>
      <w:r w:rsidR="00375F0C" w:rsidRPr="00393D99">
        <w:rPr>
          <w:rFonts w:ascii="Times New Roman" w:hAnsi="Times New Roman" w:cs="Times New Roman"/>
          <w:sz w:val="24"/>
          <w:szCs w:val="24"/>
        </w:rPr>
        <w:t xml:space="preserve">non-banking </w:t>
      </w:r>
      <w:r w:rsidR="0095616A" w:rsidRPr="00393D99">
        <w:rPr>
          <w:rFonts w:ascii="Times New Roman" w:hAnsi="Times New Roman" w:cs="Times New Roman"/>
          <w:sz w:val="24"/>
          <w:szCs w:val="24"/>
        </w:rPr>
        <w:t>enterprises faced losses in their overseas investment, but very soon</w:t>
      </w:r>
      <w:r w:rsidR="007133B7" w:rsidRPr="00393D99">
        <w:rPr>
          <w:rFonts w:ascii="Times New Roman" w:hAnsi="Times New Roman" w:cs="Times New Roman"/>
          <w:sz w:val="24"/>
          <w:szCs w:val="24"/>
        </w:rPr>
        <w:t>,</w:t>
      </w:r>
      <w:r w:rsidR="0095616A" w:rsidRPr="00393D99">
        <w:rPr>
          <w:rFonts w:ascii="Times New Roman" w:hAnsi="Times New Roman" w:cs="Times New Roman"/>
          <w:sz w:val="24"/>
          <w:szCs w:val="24"/>
        </w:rPr>
        <w:t xml:space="preserve"> they overcame this issue </w:t>
      </w:r>
      <w:r w:rsidR="004D3A10">
        <w:rPr>
          <w:rFonts w:ascii="Times New Roman" w:hAnsi="Times New Roman" w:cs="Times New Roman"/>
          <w:sz w:val="24"/>
          <w:szCs w:val="24"/>
        </w:rPr>
        <w:t>[9]</w:t>
      </w:r>
      <w:r w:rsidR="0095616A" w:rsidRPr="00393D99">
        <w:rPr>
          <w:rFonts w:ascii="Times New Roman" w:hAnsi="Times New Roman" w:cs="Times New Roman"/>
          <w:sz w:val="24"/>
          <w:szCs w:val="24"/>
        </w:rPr>
        <w:t xml:space="preserve">. </w:t>
      </w:r>
      <w:r w:rsidR="00375F0C" w:rsidRPr="00393D99">
        <w:rPr>
          <w:rFonts w:ascii="Times New Roman" w:hAnsi="Times New Roman" w:cs="Times New Roman"/>
          <w:sz w:val="24"/>
          <w:szCs w:val="24"/>
        </w:rPr>
        <w:t xml:space="preserve">Between 2004 and 2017, </w:t>
      </w:r>
      <w:r w:rsidR="0095616A" w:rsidRPr="00393D99">
        <w:rPr>
          <w:rFonts w:ascii="Times New Roman" w:hAnsi="Times New Roman" w:cs="Times New Roman"/>
          <w:sz w:val="24"/>
          <w:szCs w:val="24"/>
        </w:rPr>
        <w:t xml:space="preserve">OFDI </w:t>
      </w:r>
      <w:r w:rsidR="00375F0C" w:rsidRPr="00393D99">
        <w:rPr>
          <w:rFonts w:ascii="Times New Roman" w:hAnsi="Times New Roman" w:cs="Times New Roman"/>
          <w:sz w:val="24"/>
          <w:szCs w:val="24"/>
        </w:rPr>
        <w:t xml:space="preserve">flows from </w:t>
      </w:r>
      <w:r w:rsidR="0095616A" w:rsidRPr="00393D99">
        <w:rPr>
          <w:rFonts w:ascii="Times New Roman" w:hAnsi="Times New Roman" w:cs="Times New Roman"/>
          <w:sz w:val="24"/>
          <w:szCs w:val="24"/>
        </w:rPr>
        <w:t>Romania</w:t>
      </w:r>
      <w:r w:rsidR="00375F0C" w:rsidRPr="00393D99">
        <w:rPr>
          <w:rFonts w:ascii="Times New Roman" w:hAnsi="Times New Roman" w:cs="Times New Roman"/>
          <w:sz w:val="24"/>
          <w:szCs w:val="24"/>
        </w:rPr>
        <w:t xml:space="preserve"> grew over ten times, from a meager 213 million US$ to 2327 million US$ </w:t>
      </w:r>
      <w:r w:rsidR="0095616A" w:rsidRPr="00393D99">
        <w:rPr>
          <w:rFonts w:ascii="Times New Roman" w:hAnsi="Times New Roman" w:cs="Times New Roman"/>
          <w:sz w:val="24"/>
          <w:szCs w:val="24"/>
        </w:rPr>
        <w:t>(Figure 1)</w:t>
      </w:r>
      <w:r w:rsidR="00375F0C" w:rsidRPr="00393D99">
        <w:rPr>
          <w:rFonts w:ascii="Times New Roman" w:hAnsi="Times New Roman" w:cs="Times New Roman"/>
          <w:sz w:val="24"/>
          <w:szCs w:val="24"/>
        </w:rPr>
        <w:t>. However, d</w:t>
      </w:r>
      <w:r w:rsidR="0095616A" w:rsidRPr="00393D99">
        <w:rPr>
          <w:rFonts w:ascii="Times New Roman" w:hAnsi="Times New Roman" w:cs="Times New Roman"/>
          <w:sz w:val="24"/>
          <w:szCs w:val="24"/>
        </w:rPr>
        <w:t xml:space="preserve">espite its significance and relevance </w:t>
      </w:r>
      <w:r w:rsidR="00375F0C" w:rsidRPr="00393D99">
        <w:rPr>
          <w:rFonts w:ascii="Times New Roman" w:hAnsi="Times New Roman" w:cs="Times New Roman"/>
          <w:sz w:val="24"/>
          <w:szCs w:val="24"/>
        </w:rPr>
        <w:t xml:space="preserve">to </w:t>
      </w:r>
      <w:r w:rsidR="007133B7" w:rsidRPr="00393D99">
        <w:rPr>
          <w:rFonts w:ascii="Times New Roman" w:hAnsi="Times New Roman" w:cs="Times New Roman"/>
          <w:sz w:val="24"/>
          <w:szCs w:val="24"/>
        </w:rPr>
        <w:t xml:space="preserve">the </w:t>
      </w:r>
      <w:r w:rsidR="00623547" w:rsidRPr="00393D99">
        <w:rPr>
          <w:rFonts w:ascii="Times New Roman" w:hAnsi="Times New Roman" w:cs="Times New Roman"/>
          <w:sz w:val="24"/>
          <w:szCs w:val="24"/>
        </w:rPr>
        <w:t>economy, less</w:t>
      </w:r>
      <w:r w:rsidR="0095616A" w:rsidRPr="00393D99">
        <w:rPr>
          <w:rFonts w:ascii="Times New Roman" w:hAnsi="Times New Roman" w:cs="Times New Roman"/>
          <w:sz w:val="24"/>
          <w:szCs w:val="24"/>
        </w:rPr>
        <w:t xml:space="preserve"> attention has been </w:t>
      </w:r>
      <w:r w:rsidR="005C6854" w:rsidRPr="00393D99">
        <w:rPr>
          <w:rFonts w:ascii="Times New Roman" w:hAnsi="Times New Roman" w:cs="Times New Roman"/>
          <w:sz w:val="24"/>
          <w:szCs w:val="24"/>
        </w:rPr>
        <w:t>devoted</w:t>
      </w:r>
      <w:r w:rsidR="008377A0" w:rsidRPr="00393D99">
        <w:rPr>
          <w:rFonts w:ascii="Times New Roman" w:hAnsi="Times New Roman" w:cs="Times New Roman"/>
          <w:sz w:val="24"/>
          <w:szCs w:val="24"/>
        </w:rPr>
        <w:t xml:space="preserve"> </w:t>
      </w:r>
      <w:r w:rsidR="0095616A" w:rsidRPr="00393D99">
        <w:rPr>
          <w:rFonts w:ascii="Times New Roman" w:hAnsi="Times New Roman" w:cs="Times New Roman"/>
          <w:sz w:val="24"/>
          <w:szCs w:val="24"/>
        </w:rPr>
        <w:t xml:space="preserve">to the importance of OFDI </w:t>
      </w:r>
      <w:r w:rsidR="00375F0C" w:rsidRPr="00393D99">
        <w:rPr>
          <w:rFonts w:ascii="Times New Roman" w:hAnsi="Times New Roman" w:cs="Times New Roman"/>
          <w:sz w:val="24"/>
          <w:szCs w:val="24"/>
        </w:rPr>
        <w:t xml:space="preserve">in </w:t>
      </w:r>
      <w:r w:rsidR="0095616A" w:rsidRPr="00393D99">
        <w:rPr>
          <w:rFonts w:ascii="Times New Roman" w:hAnsi="Times New Roman" w:cs="Times New Roman"/>
          <w:sz w:val="24"/>
          <w:szCs w:val="24"/>
        </w:rPr>
        <w:t xml:space="preserve">promoting economic growth in </w:t>
      </w:r>
      <w:r w:rsidR="00375F0C" w:rsidRPr="00393D99">
        <w:rPr>
          <w:rFonts w:ascii="Times New Roman" w:hAnsi="Times New Roman" w:cs="Times New Roman"/>
          <w:sz w:val="24"/>
          <w:szCs w:val="24"/>
        </w:rPr>
        <w:t xml:space="preserve">Romania </w:t>
      </w:r>
      <w:r w:rsidR="004A245A" w:rsidRPr="00393D99">
        <w:rPr>
          <w:rFonts w:ascii="Times New Roman" w:hAnsi="Times New Roman" w:cs="Times New Roman"/>
          <w:sz w:val="24"/>
          <w:szCs w:val="24"/>
        </w:rPr>
        <w:t>on an aggregate level.</w:t>
      </w:r>
    </w:p>
    <w:p w14:paraId="4DFBC052" w14:textId="77777777" w:rsidR="004A245A" w:rsidRPr="00393D99" w:rsidRDefault="004A245A" w:rsidP="00393D99">
      <w:pPr>
        <w:spacing w:after="120" w:line="480" w:lineRule="auto"/>
        <w:ind w:left="2880"/>
        <w:jc w:val="both"/>
        <w:rPr>
          <w:rFonts w:ascii="Times New Roman" w:hAnsi="Times New Roman" w:cs="Times New Roman"/>
          <w:b/>
          <w:sz w:val="24"/>
          <w:szCs w:val="24"/>
        </w:rPr>
      </w:pPr>
      <w:r w:rsidRPr="00393D99">
        <w:rPr>
          <w:rFonts w:ascii="Times New Roman" w:hAnsi="Times New Roman" w:cs="Times New Roman"/>
          <w:b/>
          <w:sz w:val="24"/>
          <w:szCs w:val="24"/>
        </w:rPr>
        <w:t>[Insert Figure 1 here]</w:t>
      </w:r>
    </w:p>
    <w:p w14:paraId="4E0DE8B9" w14:textId="77777777" w:rsidR="00DF1409" w:rsidRDefault="00C00118" w:rsidP="00DF1409">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For </w:t>
      </w:r>
      <w:r w:rsidR="00A34FA6" w:rsidRPr="00393D99">
        <w:rPr>
          <w:rFonts w:ascii="Times New Roman" w:hAnsi="Times New Roman" w:cs="Times New Roman"/>
          <w:sz w:val="24"/>
          <w:szCs w:val="24"/>
        </w:rPr>
        <w:t>Romania</w:t>
      </w:r>
      <w:r w:rsidR="007133B7" w:rsidRPr="00393D99">
        <w:rPr>
          <w:rFonts w:ascii="Times New Roman" w:hAnsi="Times New Roman" w:cs="Times New Roman"/>
          <w:sz w:val="24"/>
          <w:szCs w:val="24"/>
        </w:rPr>
        <w:t>,</w:t>
      </w:r>
      <w:r w:rsidRPr="00393D99">
        <w:rPr>
          <w:rFonts w:ascii="Times New Roman" w:hAnsi="Times New Roman" w:cs="Times New Roman"/>
          <w:sz w:val="24"/>
          <w:szCs w:val="24"/>
        </w:rPr>
        <w:t xml:space="preserve"> several </w:t>
      </w:r>
      <w:r w:rsidR="00A34FA6" w:rsidRPr="00393D99">
        <w:rPr>
          <w:rFonts w:ascii="Times New Roman" w:hAnsi="Times New Roman" w:cs="Times New Roman"/>
          <w:sz w:val="24"/>
          <w:szCs w:val="24"/>
        </w:rPr>
        <w:t xml:space="preserve">empirical </w:t>
      </w:r>
      <w:r w:rsidRPr="00393D99">
        <w:rPr>
          <w:rFonts w:ascii="Times New Roman" w:hAnsi="Times New Roman" w:cs="Times New Roman"/>
          <w:sz w:val="24"/>
          <w:szCs w:val="24"/>
        </w:rPr>
        <w:t xml:space="preserve">studies </w:t>
      </w:r>
      <w:r w:rsidR="00A34FA6" w:rsidRPr="00393D99">
        <w:rPr>
          <w:rFonts w:ascii="Times New Roman" w:hAnsi="Times New Roman" w:cs="Times New Roman"/>
          <w:sz w:val="24"/>
          <w:szCs w:val="24"/>
        </w:rPr>
        <w:t>have attempted to analyze how inward foreign direct investment (IFDI) contribute</w:t>
      </w:r>
      <w:r w:rsidR="009D0852" w:rsidRPr="00393D99">
        <w:rPr>
          <w:rFonts w:ascii="Times New Roman" w:hAnsi="Times New Roman" w:cs="Times New Roman"/>
          <w:sz w:val="24"/>
          <w:szCs w:val="24"/>
        </w:rPr>
        <w:t>s</w:t>
      </w:r>
      <w:r w:rsidR="00A34FA6" w:rsidRPr="00393D99">
        <w:rPr>
          <w:rFonts w:ascii="Times New Roman" w:hAnsi="Times New Roman" w:cs="Times New Roman"/>
          <w:sz w:val="24"/>
          <w:szCs w:val="24"/>
        </w:rPr>
        <w:t xml:space="preserve"> to economic growth and development </w:t>
      </w:r>
      <w:r w:rsidR="00B73BFD" w:rsidRPr="00393D99">
        <w:rPr>
          <w:rFonts w:ascii="Times New Roman" w:hAnsi="Times New Roman" w:cs="Times New Roman"/>
          <w:sz w:val="24"/>
          <w:szCs w:val="24"/>
        </w:rPr>
        <w:t xml:space="preserve">for </w:t>
      </w:r>
      <w:r w:rsidR="00B73BFD" w:rsidRPr="00393D99">
        <w:rPr>
          <w:rFonts w:ascii="Times New Roman" w:hAnsi="Times New Roman" w:cs="Times New Roman"/>
          <w:sz w:val="24"/>
          <w:szCs w:val="24"/>
        </w:rPr>
        <w:lastRenderedPageBreak/>
        <w:t xml:space="preserve">the country </w:t>
      </w:r>
      <w:r w:rsidR="004D3A10">
        <w:rPr>
          <w:rFonts w:ascii="Times New Roman" w:hAnsi="Times New Roman" w:cs="Times New Roman"/>
          <w:sz w:val="24"/>
          <w:szCs w:val="24"/>
        </w:rPr>
        <w:t>[10,11,12,13,14,15,16,17,</w:t>
      </w:r>
      <w:r w:rsidR="00D84AB0">
        <w:rPr>
          <w:rFonts w:ascii="Times New Roman" w:hAnsi="Times New Roman" w:cs="Times New Roman"/>
          <w:sz w:val="24"/>
          <w:szCs w:val="24"/>
        </w:rPr>
        <w:t>18]</w:t>
      </w:r>
      <w:r w:rsidR="00BD3072" w:rsidRPr="00393D99">
        <w:rPr>
          <w:rFonts w:ascii="Times New Roman" w:hAnsi="Times New Roman" w:cs="Times New Roman"/>
          <w:sz w:val="24"/>
          <w:szCs w:val="24"/>
        </w:rPr>
        <w:t>.</w:t>
      </w:r>
      <w:r w:rsidR="00D84AB0">
        <w:rPr>
          <w:rFonts w:ascii="Times New Roman" w:hAnsi="Times New Roman" w:cs="Times New Roman"/>
          <w:sz w:val="24"/>
          <w:szCs w:val="24"/>
        </w:rPr>
        <w:t xml:space="preserve"> </w:t>
      </w:r>
      <w:r w:rsidR="00BD3072" w:rsidRPr="00393D99">
        <w:rPr>
          <w:rFonts w:ascii="Times New Roman" w:hAnsi="Times New Roman" w:cs="Times New Roman"/>
          <w:sz w:val="24"/>
          <w:szCs w:val="24"/>
        </w:rPr>
        <w:t xml:space="preserve">Although </w:t>
      </w:r>
      <w:r w:rsidR="009D0852" w:rsidRPr="00393D99">
        <w:rPr>
          <w:rFonts w:ascii="Times New Roman" w:hAnsi="Times New Roman" w:cs="Times New Roman"/>
          <w:sz w:val="24"/>
          <w:szCs w:val="24"/>
        </w:rPr>
        <w:t>these studies</w:t>
      </w:r>
      <w:r w:rsidR="00BD3072" w:rsidRPr="00393D99">
        <w:rPr>
          <w:rFonts w:ascii="Times New Roman" w:hAnsi="Times New Roman" w:cs="Times New Roman"/>
          <w:sz w:val="24"/>
          <w:szCs w:val="24"/>
        </w:rPr>
        <w:t xml:space="preserve"> used different methods (like </w:t>
      </w:r>
      <w:r w:rsidR="00623547" w:rsidRPr="00393D99">
        <w:rPr>
          <w:rFonts w:ascii="Times New Roman" w:hAnsi="Times New Roman" w:cs="Times New Roman"/>
          <w:sz w:val="24"/>
          <w:szCs w:val="24"/>
        </w:rPr>
        <w:t>ordinary least square</w:t>
      </w:r>
      <w:r w:rsidR="00BD3072" w:rsidRPr="00393D99">
        <w:rPr>
          <w:rFonts w:ascii="Times New Roman" w:hAnsi="Times New Roman" w:cs="Times New Roman"/>
          <w:sz w:val="24"/>
          <w:szCs w:val="24"/>
          <w:lang w:val="en-GB"/>
        </w:rPr>
        <w:t xml:space="preserve"> and Johansen co-integration</w:t>
      </w:r>
      <w:r w:rsidR="00BD3072" w:rsidRPr="00393D99">
        <w:rPr>
          <w:rFonts w:ascii="Times New Roman" w:hAnsi="Times New Roman" w:cs="Times New Roman"/>
          <w:sz w:val="24"/>
          <w:szCs w:val="24"/>
        </w:rPr>
        <w:t xml:space="preserve">) and data sets, </w:t>
      </w:r>
      <w:r w:rsidR="008004D0" w:rsidRPr="00393D99">
        <w:rPr>
          <w:rFonts w:ascii="Times New Roman" w:hAnsi="Times New Roman" w:cs="Times New Roman"/>
          <w:sz w:val="24"/>
          <w:szCs w:val="24"/>
        </w:rPr>
        <w:t>the results</w:t>
      </w:r>
      <w:r w:rsidR="00BD3072" w:rsidRPr="00393D99">
        <w:rPr>
          <w:rFonts w:ascii="Times New Roman" w:hAnsi="Times New Roman" w:cs="Times New Roman"/>
          <w:sz w:val="24"/>
          <w:szCs w:val="24"/>
          <w:lang w:val="en-GB"/>
        </w:rPr>
        <w:t xml:space="preserve"> of these studies </w:t>
      </w:r>
      <w:r w:rsidR="008004D0" w:rsidRPr="00393D99">
        <w:rPr>
          <w:rFonts w:ascii="Times New Roman" w:hAnsi="Times New Roman" w:cs="Times New Roman"/>
          <w:sz w:val="24"/>
          <w:szCs w:val="24"/>
          <w:lang w:val="en-GB"/>
        </w:rPr>
        <w:t>depict</w:t>
      </w:r>
      <w:r w:rsidR="00A34FA6" w:rsidRPr="00393D99">
        <w:rPr>
          <w:rFonts w:ascii="Times New Roman" w:hAnsi="Times New Roman" w:cs="Times New Roman"/>
          <w:sz w:val="24"/>
          <w:szCs w:val="24"/>
          <w:lang w:val="en-GB"/>
        </w:rPr>
        <w:t xml:space="preserve"> </w:t>
      </w:r>
      <w:r w:rsidR="00BD3072" w:rsidRPr="00393D99">
        <w:rPr>
          <w:rFonts w:ascii="Times New Roman" w:hAnsi="Times New Roman" w:cs="Times New Roman"/>
          <w:sz w:val="24"/>
          <w:szCs w:val="24"/>
          <w:lang w:val="en-GB"/>
        </w:rPr>
        <w:t xml:space="preserve">a positive relationship </w:t>
      </w:r>
      <w:r w:rsidR="00A34FA6" w:rsidRPr="00393D99">
        <w:rPr>
          <w:rFonts w:ascii="Times New Roman" w:hAnsi="Times New Roman" w:cs="Times New Roman"/>
          <w:sz w:val="24"/>
          <w:szCs w:val="24"/>
          <w:lang w:val="en-GB"/>
        </w:rPr>
        <w:t xml:space="preserve">between FDI inflows and economic growth </w:t>
      </w:r>
      <w:r w:rsidR="00BD3072" w:rsidRPr="00393D99">
        <w:rPr>
          <w:rFonts w:ascii="Times New Roman" w:hAnsi="Times New Roman" w:cs="Times New Roman"/>
          <w:sz w:val="24"/>
          <w:szCs w:val="24"/>
          <w:lang w:val="en-GB"/>
        </w:rPr>
        <w:t>in Romania</w:t>
      </w:r>
      <w:r w:rsidR="00A34FA6" w:rsidRPr="00393D99">
        <w:rPr>
          <w:rFonts w:ascii="Times New Roman" w:hAnsi="Times New Roman" w:cs="Times New Roman"/>
          <w:sz w:val="24"/>
          <w:szCs w:val="24"/>
          <w:lang w:val="en-GB"/>
        </w:rPr>
        <w:t xml:space="preserve">. </w:t>
      </w:r>
      <w:r w:rsidR="009D0852" w:rsidRPr="00393D99">
        <w:rPr>
          <w:rFonts w:ascii="Times New Roman" w:hAnsi="Times New Roman" w:cs="Times New Roman"/>
          <w:sz w:val="24"/>
          <w:szCs w:val="24"/>
          <w:lang w:val="en-GB"/>
        </w:rPr>
        <w:t xml:space="preserve">According to our </w:t>
      </w:r>
      <w:r w:rsidR="00A34FA6" w:rsidRPr="00393D99">
        <w:rPr>
          <w:rFonts w:ascii="Times New Roman" w:hAnsi="Times New Roman" w:cs="Times New Roman"/>
          <w:sz w:val="24"/>
          <w:szCs w:val="24"/>
          <w:lang w:val="en-GB"/>
        </w:rPr>
        <w:t xml:space="preserve">knowledge, </w:t>
      </w:r>
      <w:r w:rsidR="00A34FA6" w:rsidRPr="00393D99">
        <w:rPr>
          <w:rFonts w:ascii="Times New Roman" w:hAnsi="Times New Roman" w:cs="Times New Roman"/>
          <w:sz w:val="24"/>
          <w:szCs w:val="24"/>
        </w:rPr>
        <w:t xml:space="preserve">no study has </w:t>
      </w:r>
      <w:r w:rsidR="009D0852" w:rsidRPr="00393D99">
        <w:rPr>
          <w:rFonts w:ascii="Times New Roman" w:hAnsi="Times New Roman" w:cs="Times New Roman"/>
          <w:sz w:val="24"/>
          <w:szCs w:val="24"/>
        </w:rPr>
        <w:t xml:space="preserve">yet </w:t>
      </w:r>
      <w:r w:rsidR="00A34FA6" w:rsidRPr="00393D99">
        <w:rPr>
          <w:rFonts w:ascii="Times New Roman" w:hAnsi="Times New Roman" w:cs="Times New Roman"/>
          <w:sz w:val="24"/>
          <w:szCs w:val="24"/>
        </w:rPr>
        <w:t xml:space="preserve">been conducted to </w:t>
      </w:r>
      <w:r w:rsidR="008004D0" w:rsidRPr="00393D99">
        <w:rPr>
          <w:rFonts w:ascii="Times New Roman" w:hAnsi="Times New Roman" w:cs="Times New Roman"/>
          <w:sz w:val="24"/>
          <w:szCs w:val="24"/>
        </w:rPr>
        <w:t>examine</w:t>
      </w:r>
      <w:r w:rsidR="00A34FA6" w:rsidRPr="00393D99">
        <w:rPr>
          <w:rFonts w:ascii="Times New Roman" w:hAnsi="Times New Roman" w:cs="Times New Roman"/>
          <w:sz w:val="24"/>
          <w:szCs w:val="24"/>
        </w:rPr>
        <w:t xml:space="preserve"> the </w:t>
      </w:r>
      <w:r w:rsidR="008004D0" w:rsidRPr="00393D99">
        <w:rPr>
          <w:rFonts w:ascii="Times New Roman" w:hAnsi="Times New Roman" w:cs="Times New Roman"/>
          <w:sz w:val="24"/>
          <w:szCs w:val="24"/>
        </w:rPr>
        <w:t>role of OFDI on economic growth in Romania</w:t>
      </w:r>
      <w:r w:rsidR="00A34FA6" w:rsidRPr="00393D99">
        <w:rPr>
          <w:rFonts w:ascii="Times New Roman" w:hAnsi="Times New Roman" w:cs="Times New Roman"/>
          <w:sz w:val="24"/>
          <w:szCs w:val="24"/>
        </w:rPr>
        <w:t>. Our interest in this subject is therefore motivated by the neglected case of Romania</w:t>
      </w:r>
      <w:r w:rsidR="00BD23DD" w:rsidRPr="00393D99">
        <w:rPr>
          <w:rFonts w:ascii="Times New Roman" w:hAnsi="Times New Roman" w:cs="Times New Roman"/>
          <w:sz w:val="24"/>
          <w:szCs w:val="24"/>
        </w:rPr>
        <w:t xml:space="preserve">, where a revival of OFDI has been put to </w:t>
      </w:r>
      <w:r w:rsidR="007133B7" w:rsidRPr="00393D99">
        <w:rPr>
          <w:rFonts w:ascii="Times New Roman" w:hAnsi="Times New Roman" w:cs="Times New Roman"/>
          <w:sz w:val="24"/>
          <w:szCs w:val="24"/>
        </w:rPr>
        <w:t xml:space="preserve">the </w:t>
      </w:r>
      <w:r w:rsidR="00BD23DD" w:rsidRPr="00393D99">
        <w:rPr>
          <w:rFonts w:ascii="Times New Roman" w:hAnsi="Times New Roman" w:cs="Times New Roman"/>
          <w:sz w:val="24"/>
          <w:szCs w:val="24"/>
        </w:rPr>
        <w:t xml:space="preserve">forefront by the government in </w:t>
      </w:r>
      <w:r w:rsidR="007133B7" w:rsidRPr="00393D99">
        <w:rPr>
          <w:rFonts w:ascii="Times New Roman" w:hAnsi="Times New Roman" w:cs="Times New Roman"/>
          <w:sz w:val="24"/>
          <w:szCs w:val="24"/>
        </w:rPr>
        <w:t xml:space="preserve">the </w:t>
      </w:r>
      <w:r w:rsidR="00BD23DD" w:rsidRPr="00393D99">
        <w:rPr>
          <w:rFonts w:ascii="Times New Roman" w:hAnsi="Times New Roman" w:cs="Times New Roman"/>
          <w:sz w:val="24"/>
          <w:szCs w:val="24"/>
        </w:rPr>
        <w:t>last decade or so</w:t>
      </w:r>
      <w:r w:rsidR="00A34FA6" w:rsidRPr="00393D99">
        <w:rPr>
          <w:rFonts w:ascii="Times New Roman" w:hAnsi="Times New Roman" w:cs="Times New Roman"/>
          <w:sz w:val="24"/>
          <w:szCs w:val="24"/>
        </w:rPr>
        <w:t>.</w:t>
      </w:r>
    </w:p>
    <w:p w14:paraId="06A5E05F" w14:textId="77777777" w:rsidR="000412FF" w:rsidRPr="00393D99" w:rsidRDefault="000412FF" w:rsidP="00DF1409">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Furthermore, </w:t>
      </w:r>
      <w:r w:rsidR="00FC2536" w:rsidRPr="00393D99">
        <w:rPr>
          <w:rFonts w:ascii="Times New Roman" w:hAnsi="Times New Roman" w:cs="Times New Roman"/>
          <w:sz w:val="24"/>
          <w:szCs w:val="24"/>
        </w:rPr>
        <w:t xml:space="preserve">the existing studies </w:t>
      </w:r>
      <w:r w:rsidRPr="00393D99">
        <w:rPr>
          <w:rFonts w:ascii="Times New Roman" w:hAnsi="Times New Roman" w:cs="Times New Roman"/>
          <w:sz w:val="24"/>
          <w:szCs w:val="24"/>
        </w:rPr>
        <w:t xml:space="preserve">assume linear </w:t>
      </w:r>
      <w:r w:rsidR="00FC2536" w:rsidRPr="00393D99">
        <w:rPr>
          <w:rFonts w:ascii="Times New Roman" w:hAnsi="Times New Roman" w:cs="Times New Roman"/>
          <w:sz w:val="24"/>
          <w:szCs w:val="24"/>
        </w:rPr>
        <w:t xml:space="preserve">or symmetric </w:t>
      </w:r>
      <w:r w:rsidRPr="00393D99">
        <w:rPr>
          <w:rFonts w:ascii="Times New Roman" w:hAnsi="Times New Roman" w:cs="Times New Roman"/>
          <w:sz w:val="24"/>
          <w:szCs w:val="24"/>
        </w:rPr>
        <w:t xml:space="preserve">effects of OFDI on economic growth </w:t>
      </w:r>
      <w:r w:rsidR="00D84AB0">
        <w:rPr>
          <w:rFonts w:ascii="Times New Roman" w:hAnsi="Times New Roman" w:cs="Times New Roman"/>
          <w:sz w:val="24"/>
          <w:szCs w:val="24"/>
        </w:rPr>
        <w:t>[19,20,6,21,22]</w:t>
      </w:r>
      <w:r w:rsidR="00634984" w:rsidRPr="00393D99">
        <w:rPr>
          <w:rFonts w:ascii="Times New Roman" w:hAnsi="Times New Roman" w:cs="Times New Roman"/>
          <w:sz w:val="24"/>
          <w:szCs w:val="24"/>
        </w:rPr>
        <w:t>,</w:t>
      </w:r>
      <w:r w:rsidRPr="00393D99">
        <w:rPr>
          <w:rFonts w:ascii="Times New Roman" w:hAnsi="Times New Roman" w:cs="Times New Roman"/>
          <w:sz w:val="24"/>
          <w:szCs w:val="24"/>
        </w:rPr>
        <w:t xml:space="preserve"> the contribution of </w:t>
      </w:r>
      <w:r w:rsidR="00815EAA" w:rsidRPr="00393D99">
        <w:rPr>
          <w:rFonts w:ascii="Times New Roman" w:hAnsi="Times New Roman" w:cs="Times New Roman"/>
          <w:sz w:val="24"/>
          <w:szCs w:val="24"/>
        </w:rPr>
        <w:t>this</w:t>
      </w:r>
      <w:r w:rsidRPr="00393D99">
        <w:rPr>
          <w:rFonts w:ascii="Times New Roman" w:hAnsi="Times New Roman" w:cs="Times New Roman"/>
          <w:sz w:val="24"/>
          <w:szCs w:val="24"/>
        </w:rPr>
        <w:t xml:space="preserve"> study is the use of non-linear model to capture the asymmet</w:t>
      </w:r>
      <w:r w:rsidR="00623547" w:rsidRPr="00393D99">
        <w:rPr>
          <w:rFonts w:ascii="Times New Roman" w:hAnsi="Times New Roman" w:cs="Times New Roman"/>
          <w:sz w:val="24"/>
          <w:szCs w:val="24"/>
        </w:rPr>
        <w:t xml:space="preserve">ric effects of OFDI on </w:t>
      </w:r>
      <w:r w:rsidRPr="00393D99">
        <w:rPr>
          <w:rFonts w:ascii="Times New Roman" w:hAnsi="Times New Roman" w:cs="Times New Roman"/>
          <w:sz w:val="24"/>
          <w:szCs w:val="24"/>
        </w:rPr>
        <w:t>growth</w:t>
      </w:r>
      <w:r w:rsidR="00BD23DD" w:rsidRPr="00393D99">
        <w:rPr>
          <w:rFonts w:ascii="Times New Roman" w:hAnsi="Times New Roman" w:cs="Times New Roman"/>
          <w:sz w:val="24"/>
          <w:szCs w:val="24"/>
        </w:rPr>
        <w:t>. The non-linear ARDL (NARDL) technique</w:t>
      </w:r>
      <w:r w:rsidRPr="00393D99">
        <w:rPr>
          <w:rFonts w:ascii="Times New Roman" w:hAnsi="Times New Roman" w:cs="Times New Roman"/>
          <w:sz w:val="24"/>
          <w:szCs w:val="24"/>
        </w:rPr>
        <w:t xml:space="preserve">, developed by </w:t>
      </w:r>
      <w:r w:rsidR="00D84AB0">
        <w:rPr>
          <w:rFonts w:ascii="Times New Roman" w:hAnsi="Times New Roman" w:cs="Times New Roman"/>
          <w:sz w:val="24"/>
          <w:szCs w:val="24"/>
        </w:rPr>
        <w:t>[23]</w:t>
      </w:r>
      <w:r w:rsidR="00BD23DD" w:rsidRPr="00393D99">
        <w:rPr>
          <w:rFonts w:ascii="Times New Roman" w:hAnsi="Times New Roman" w:cs="Times New Roman"/>
          <w:sz w:val="24"/>
          <w:szCs w:val="24"/>
        </w:rPr>
        <w:t>, performs better</w:t>
      </w:r>
      <w:r w:rsidRPr="00393D99">
        <w:rPr>
          <w:rFonts w:ascii="Times New Roman" w:hAnsi="Times New Roman" w:cs="Times New Roman"/>
          <w:sz w:val="24"/>
          <w:szCs w:val="24"/>
        </w:rPr>
        <w:t xml:space="preserve"> because it captures both the long-run and the short-run asymmetries in contrast with </w:t>
      </w:r>
      <w:r w:rsidR="00623547" w:rsidRPr="00393D99">
        <w:rPr>
          <w:rFonts w:ascii="Times New Roman" w:hAnsi="Times New Roman" w:cs="Times New Roman"/>
          <w:sz w:val="24"/>
          <w:szCs w:val="24"/>
        </w:rPr>
        <w:t xml:space="preserve">traditional </w:t>
      </w:r>
      <w:r w:rsidRPr="00393D99">
        <w:rPr>
          <w:rFonts w:ascii="Times New Roman" w:hAnsi="Times New Roman" w:cs="Times New Roman"/>
          <w:sz w:val="24"/>
          <w:szCs w:val="24"/>
        </w:rPr>
        <w:t xml:space="preserve">ARDL and other time-series </w:t>
      </w:r>
      <w:r w:rsidR="00FC2536" w:rsidRPr="00393D99">
        <w:rPr>
          <w:rFonts w:ascii="Times New Roman" w:hAnsi="Times New Roman" w:cs="Times New Roman"/>
          <w:sz w:val="24"/>
          <w:szCs w:val="24"/>
        </w:rPr>
        <w:t>methods</w:t>
      </w:r>
      <w:r w:rsidRPr="00393D99">
        <w:rPr>
          <w:rFonts w:ascii="Times New Roman" w:hAnsi="Times New Roman" w:cs="Times New Roman"/>
          <w:sz w:val="24"/>
          <w:szCs w:val="24"/>
        </w:rPr>
        <w:t xml:space="preserve"> that </w:t>
      </w:r>
      <w:r w:rsidR="00C91708" w:rsidRPr="00393D99">
        <w:rPr>
          <w:rFonts w:ascii="Times New Roman" w:hAnsi="Times New Roman" w:cs="Times New Roman"/>
          <w:sz w:val="24"/>
          <w:szCs w:val="24"/>
        </w:rPr>
        <w:t xml:space="preserve">simply </w:t>
      </w:r>
      <w:r w:rsidR="00FC2536" w:rsidRPr="00393D99">
        <w:rPr>
          <w:rFonts w:ascii="Times New Roman" w:hAnsi="Times New Roman" w:cs="Times New Roman"/>
          <w:sz w:val="24"/>
          <w:szCs w:val="24"/>
        </w:rPr>
        <w:t>assume</w:t>
      </w:r>
      <w:r w:rsidRPr="00393D99">
        <w:rPr>
          <w:rFonts w:ascii="Times New Roman" w:hAnsi="Times New Roman" w:cs="Times New Roman"/>
          <w:sz w:val="24"/>
          <w:szCs w:val="24"/>
        </w:rPr>
        <w:t xml:space="preserve"> linear effects </w:t>
      </w:r>
      <w:r w:rsidR="00C91708" w:rsidRPr="00393D99">
        <w:rPr>
          <w:rFonts w:ascii="Times New Roman" w:hAnsi="Times New Roman" w:cs="Times New Roman"/>
          <w:sz w:val="24"/>
          <w:szCs w:val="24"/>
        </w:rPr>
        <w:t>between depe</w:t>
      </w:r>
      <w:r w:rsidR="00302EC9" w:rsidRPr="00393D99">
        <w:rPr>
          <w:rFonts w:ascii="Times New Roman" w:hAnsi="Times New Roman" w:cs="Times New Roman"/>
          <w:sz w:val="24"/>
          <w:szCs w:val="24"/>
        </w:rPr>
        <w:t>ndent and independent variables</w:t>
      </w:r>
      <w:r w:rsidRPr="00393D99">
        <w:rPr>
          <w:rFonts w:ascii="Times New Roman" w:hAnsi="Times New Roman" w:cs="Times New Roman"/>
          <w:sz w:val="24"/>
          <w:szCs w:val="24"/>
        </w:rPr>
        <w:t>.</w:t>
      </w:r>
      <w:r w:rsidR="00C87604" w:rsidRPr="00393D99">
        <w:rPr>
          <w:rFonts w:ascii="Times New Roman" w:hAnsi="Times New Roman" w:cs="Times New Roman"/>
          <w:sz w:val="24"/>
          <w:szCs w:val="24"/>
        </w:rPr>
        <w:t xml:space="preserve"> By using this improved method, we are hoping to present more insights into the impacts of OFDI on </w:t>
      </w:r>
      <w:r w:rsidR="007B6FA9" w:rsidRPr="00393D99">
        <w:rPr>
          <w:rFonts w:ascii="Times New Roman" w:hAnsi="Times New Roman" w:cs="Times New Roman"/>
          <w:sz w:val="24"/>
          <w:szCs w:val="24"/>
        </w:rPr>
        <w:t xml:space="preserve">the </w:t>
      </w:r>
      <w:r w:rsidR="00C87604" w:rsidRPr="00393D99">
        <w:rPr>
          <w:rFonts w:ascii="Times New Roman" w:hAnsi="Times New Roman" w:cs="Times New Roman"/>
          <w:sz w:val="24"/>
          <w:szCs w:val="24"/>
        </w:rPr>
        <w:t>macroeconomic performance of Romania.</w:t>
      </w:r>
    </w:p>
    <w:p w14:paraId="249D43DA" w14:textId="77777777" w:rsidR="00815EAA" w:rsidRPr="00393D99" w:rsidRDefault="004005A4" w:rsidP="00393D99">
      <w:pPr>
        <w:spacing w:after="12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We have organized the </w:t>
      </w:r>
      <w:r w:rsidR="00637804" w:rsidRPr="00393D99">
        <w:rPr>
          <w:rFonts w:ascii="Times New Roman" w:hAnsi="Times New Roman" w:cs="Times New Roman"/>
          <w:sz w:val="24"/>
          <w:szCs w:val="24"/>
        </w:rPr>
        <w:t xml:space="preserve">rest of </w:t>
      </w:r>
      <w:r w:rsidR="00945E9A" w:rsidRPr="00393D99">
        <w:rPr>
          <w:rFonts w:ascii="Times New Roman" w:hAnsi="Times New Roman" w:cs="Times New Roman"/>
          <w:sz w:val="24"/>
          <w:szCs w:val="24"/>
        </w:rPr>
        <w:t>the paper as follows. S</w:t>
      </w:r>
      <w:r w:rsidR="00637804" w:rsidRPr="00393D99">
        <w:rPr>
          <w:rFonts w:ascii="Times New Roman" w:hAnsi="Times New Roman" w:cs="Times New Roman"/>
          <w:sz w:val="24"/>
          <w:szCs w:val="24"/>
        </w:rPr>
        <w:t xml:space="preserve">ection </w:t>
      </w:r>
      <w:r w:rsidR="00945E9A" w:rsidRPr="00393D99">
        <w:rPr>
          <w:rFonts w:ascii="Times New Roman" w:hAnsi="Times New Roman" w:cs="Times New Roman"/>
          <w:sz w:val="24"/>
          <w:szCs w:val="24"/>
        </w:rPr>
        <w:t xml:space="preserve">2 </w:t>
      </w:r>
      <w:r w:rsidR="00637804" w:rsidRPr="00393D99">
        <w:rPr>
          <w:rFonts w:ascii="Times New Roman" w:hAnsi="Times New Roman" w:cs="Times New Roman"/>
          <w:sz w:val="24"/>
          <w:szCs w:val="24"/>
        </w:rPr>
        <w:t xml:space="preserve">describes theoretical and empirical </w:t>
      </w:r>
      <w:r w:rsidR="00945E9A" w:rsidRPr="00393D99">
        <w:rPr>
          <w:rFonts w:ascii="Times New Roman" w:hAnsi="Times New Roman" w:cs="Times New Roman"/>
          <w:sz w:val="24"/>
          <w:szCs w:val="24"/>
        </w:rPr>
        <w:t>background of the study</w:t>
      </w:r>
      <w:r w:rsidR="00637804" w:rsidRPr="00393D99">
        <w:rPr>
          <w:rFonts w:ascii="Times New Roman" w:hAnsi="Times New Roman" w:cs="Times New Roman"/>
          <w:sz w:val="24"/>
          <w:szCs w:val="24"/>
        </w:rPr>
        <w:t xml:space="preserve">. </w:t>
      </w:r>
      <w:r w:rsidR="00C87604" w:rsidRPr="00393D99">
        <w:rPr>
          <w:rFonts w:ascii="Times New Roman" w:hAnsi="Times New Roman" w:cs="Times New Roman"/>
          <w:sz w:val="24"/>
          <w:szCs w:val="24"/>
        </w:rPr>
        <w:t>In section 3</w:t>
      </w:r>
      <w:r w:rsidR="00637804" w:rsidRPr="00393D99">
        <w:rPr>
          <w:rFonts w:ascii="Times New Roman" w:hAnsi="Times New Roman" w:cs="Times New Roman"/>
          <w:sz w:val="24"/>
          <w:szCs w:val="24"/>
        </w:rPr>
        <w:t>, the model specification, data source, and estimation method are presented</w:t>
      </w:r>
      <w:r w:rsidR="007B6FA9" w:rsidRPr="00393D99">
        <w:rPr>
          <w:rFonts w:ascii="Times New Roman" w:hAnsi="Times New Roman" w:cs="Times New Roman"/>
          <w:sz w:val="24"/>
          <w:szCs w:val="24"/>
        </w:rPr>
        <w:t>,</w:t>
      </w:r>
      <w:r w:rsidR="00637804" w:rsidRPr="00393D99">
        <w:rPr>
          <w:rFonts w:ascii="Times New Roman" w:hAnsi="Times New Roman" w:cs="Times New Roman"/>
          <w:sz w:val="24"/>
          <w:szCs w:val="24"/>
        </w:rPr>
        <w:t xml:space="preserve"> while </w:t>
      </w:r>
      <w:r w:rsidR="00C87604" w:rsidRPr="00393D99">
        <w:rPr>
          <w:rFonts w:ascii="Times New Roman" w:hAnsi="Times New Roman" w:cs="Times New Roman"/>
          <w:sz w:val="24"/>
          <w:szCs w:val="24"/>
        </w:rPr>
        <w:t xml:space="preserve">section 4 contains </w:t>
      </w:r>
      <w:r w:rsidR="00637804" w:rsidRPr="00393D99">
        <w:rPr>
          <w:rFonts w:ascii="Times New Roman" w:hAnsi="Times New Roman" w:cs="Times New Roman"/>
          <w:sz w:val="24"/>
          <w:szCs w:val="24"/>
        </w:rPr>
        <w:t>th</w:t>
      </w:r>
      <w:r w:rsidR="00634984" w:rsidRPr="00393D99">
        <w:rPr>
          <w:rFonts w:ascii="Times New Roman" w:hAnsi="Times New Roman" w:cs="Times New Roman"/>
          <w:sz w:val="24"/>
          <w:szCs w:val="24"/>
        </w:rPr>
        <w:t>e results and discussion</w:t>
      </w:r>
      <w:r w:rsidR="00637804" w:rsidRPr="00393D99">
        <w:rPr>
          <w:rFonts w:ascii="Times New Roman" w:hAnsi="Times New Roman" w:cs="Times New Roman"/>
          <w:sz w:val="24"/>
          <w:szCs w:val="24"/>
        </w:rPr>
        <w:t xml:space="preserve"> </w:t>
      </w:r>
      <w:r w:rsidR="00C87604" w:rsidRPr="00393D99">
        <w:rPr>
          <w:rFonts w:ascii="Times New Roman" w:hAnsi="Times New Roman" w:cs="Times New Roman"/>
          <w:sz w:val="24"/>
          <w:szCs w:val="24"/>
        </w:rPr>
        <w:t xml:space="preserve">based on </w:t>
      </w:r>
      <w:r w:rsidR="00637804" w:rsidRPr="00393D99">
        <w:rPr>
          <w:rFonts w:ascii="Times New Roman" w:hAnsi="Times New Roman" w:cs="Times New Roman"/>
          <w:sz w:val="24"/>
          <w:szCs w:val="24"/>
        </w:rPr>
        <w:t xml:space="preserve">the analysis of the study. The final section concludes the study </w:t>
      </w:r>
      <w:r w:rsidR="007E4378" w:rsidRPr="00393D99">
        <w:rPr>
          <w:rFonts w:ascii="Times New Roman" w:hAnsi="Times New Roman" w:cs="Times New Roman"/>
          <w:sz w:val="24"/>
          <w:szCs w:val="24"/>
        </w:rPr>
        <w:t>with policy implications, limitations, and future research directions.</w:t>
      </w:r>
    </w:p>
    <w:p w14:paraId="4040C388" w14:textId="77777777" w:rsidR="00350BF5" w:rsidRPr="00393D99" w:rsidRDefault="00353C75" w:rsidP="00393D99">
      <w:pPr>
        <w:spacing w:after="120" w:line="480" w:lineRule="auto"/>
        <w:jc w:val="both"/>
        <w:rPr>
          <w:rFonts w:ascii="Times New Roman" w:hAnsi="Times New Roman" w:cs="Times New Roman"/>
          <w:b/>
          <w:sz w:val="24"/>
          <w:szCs w:val="24"/>
        </w:rPr>
      </w:pPr>
      <w:r w:rsidRPr="00393D99">
        <w:rPr>
          <w:rFonts w:ascii="Times New Roman" w:hAnsi="Times New Roman" w:cs="Times New Roman"/>
          <w:b/>
          <w:sz w:val="24"/>
          <w:szCs w:val="24"/>
        </w:rPr>
        <w:t xml:space="preserve">2. </w:t>
      </w:r>
      <w:r w:rsidR="00234F8C" w:rsidRPr="00393D99">
        <w:rPr>
          <w:rFonts w:ascii="Times New Roman" w:hAnsi="Times New Roman" w:cs="Times New Roman"/>
          <w:b/>
          <w:sz w:val="24"/>
          <w:szCs w:val="24"/>
        </w:rPr>
        <w:t>Theoretical and empirical background</w:t>
      </w:r>
    </w:p>
    <w:p w14:paraId="0F9A213C" w14:textId="77777777" w:rsidR="006B3928" w:rsidRPr="00393D99" w:rsidRDefault="006B3928" w:rsidP="00DF1409">
      <w:pPr>
        <w:spacing w:after="120" w:line="480" w:lineRule="auto"/>
        <w:jc w:val="both"/>
        <w:rPr>
          <w:rFonts w:ascii="Times New Roman" w:hAnsi="Times New Roman" w:cs="Times New Roman"/>
          <w:color w:val="000000" w:themeColor="text1"/>
          <w:sz w:val="24"/>
          <w:szCs w:val="24"/>
        </w:rPr>
      </w:pPr>
      <w:r w:rsidRPr="00393D99">
        <w:rPr>
          <w:rFonts w:ascii="Times New Roman" w:hAnsi="Times New Roman" w:cs="Times New Roman"/>
          <w:sz w:val="24"/>
          <w:szCs w:val="24"/>
        </w:rPr>
        <w:t>This</w:t>
      </w:r>
      <w:r w:rsidRPr="00393D99">
        <w:rPr>
          <w:rFonts w:ascii="Times New Roman" w:hAnsi="Times New Roman" w:cs="Times New Roman"/>
          <w:color w:val="000000" w:themeColor="text1"/>
          <w:sz w:val="24"/>
          <w:szCs w:val="24"/>
        </w:rPr>
        <w:t xml:space="preserve"> section discusses </w:t>
      </w:r>
      <w:r w:rsidR="007B6FA9" w:rsidRPr="00393D99">
        <w:rPr>
          <w:rFonts w:ascii="Times New Roman" w:hAnsi="Times New Roman" w:cs="Times New Roman"/>
          <w:color w:val="000000" w:themeColor="text1"/>
          <w:sz w:val="24"/>
          <w:szCs w:val="24"/>
        </w:rPr>
        <w:t xml:space="preserve">the </w:t>
      </w:r>
      <w:r w:rsidRPr="00393D99">
        <w:rPr>
          <w:rFonts w:ascii="Times New Roman" w:hAnsi="Times New Roman" w:cs="Times New Roman"/>
          <w:color w:val="000000" w:themeColor="text1"/>
          <w:sz w:val="24"/>
          <w:szCs w:val="24"/>
        </w:rPr>
        <w:t xml:space="preserve">theoretical </w:t>
      </w:r>
      <w:r w:rsidR="00B20652" w:rsidRPr="00393D99">
        <w:rPr>
          <w:rFonts w:ascii="Times New Roman" w:hAnsi="Times New Roman" w:cs="Times New Roman"/>
          <w:color w:val="000000" w:themeColor="text1"/>
          <w:sz w:val="24"/>
          <w:szCs w:val="24"/>
        </w:rPr>
        <w:t xml:space="preserve">and empirical </w:t>
      </w:r>
      <w:r w:rsidRPr="00393D99">
        <w:rPr>
          <w:rFonts w:ascii="Times New Roman" w:hAnsi="Times New Roman" w:cs="Times New Roman"/>
          <w:color w:val="000000" w:themeColor="text1"/>
          <w:sz w:val="24"/>
          <w:szCs w:val="24"/>
        </w:rPr>
        <w:t xml:space="preserve">background </w:t>
      </w:r>
      <w:r w:rsidR="00F8561D" w:rsidRPr="00393D99">
        <w:rPr>
          <w:rFonts w:ascii="Times New Roman" w:hAnsi="Times New Roman" w:cs="Times New Roman"/>
          <w:color w:val="000000" w:themeColor="text1"/>
          <w:sz w:val="24"/>
          <w:szCs w:val="24"/>
        </w:rPr>
        <w:t>considering</w:t>
      </w:r>
      <w:r w:rsidRPr="00393D99">
        <w:rPr>
          <w:rFonts w:ascii="Times New Roman" w:hAnsi="Times New Roman" w:cs="Times New Roman"/>
          <w:color w:val="000000" w:themeColor="text1"/>
          <w:sz w:val="24"/>
          <w:szCs w:val="24"/>
        </w:rPr>
        <w:t xml:space="preserve"> the growth effects of OFDI. We </w:t>
      </w:r>
      <w:r w:rsidR="00864DDE" w:rsidRPr="00393D99">
        <w:rPr>
          <w:rFonts w:ascii="Times New Roman" w:hAnsi="Times New Roman" w:cs="Times New Roman"/>
          <w:color w:val="000000" w:themeColor="text1"/>
          <w:sz w:val="24"/>
          <w:szCs w:val="24"/>
        </w:rPr>
        <w:t xml:space="preserve">start </w:t>
      </w:r>
      <w:r w:rsidRPr="00393D99">
        <w:rPr>
          <w:rFonts w:ascii="Times New Roman" w:hAnsi="Times New Roman" w:cs="Times New Roman"/>
          <w:color w:val="000000" w:themeColor="text1"/>
          <w:sz w:val="24"/>
          <w:szCs w:val="24"/>
        </w:rPr>
        <w:t>with the potential effects of OFDI on the domestic production activities of</w:t>
      </w:r>
      <w:r w:rsidR="00B20652" w:rsidRPr="00393D99">
        <w:rPr>
          <w:rFonts w:ascii="Times New Roman" w:hAnsi="Times New Roman" w:cs="Times New Roman"/>
          <w:color w:val="000000" w:themeColor="text1"/>
          <w:sz w:val="24"/>
          <w:szCs w:val="24"/>
        </w:rPr>
        <w:t xml:space="preserve"> </w:t>
      </w:r>
      <w:r w:rsidRPr="00393D99">
        <w:rPr>
          <w:rFonts w:ascii="Times New Roman" w:hAnsi="Times New Roman" w:cs="Times New Roman"/>
          <w:color w:val="000000" w:themeColor="text1"/>
          <w:sz w:val="24"/>
          <w:szCs w:val="24"/>
        </w:rPr>
        <w:t xml:space="preserve">multinational </w:t>
      </w:r>
      <w:r w:rsidR="00864DDE" w:rsidRPr="00393D99">
        <w:rPr>
          <w:rFonts w:ascii="Times New Roman" w:hAnsi="Times New Roman" w:cs="Times New Roman"/>
          <w:color w:val="000000" w:themeColor="text1"/>
          <w:sz w:val="24"/>
          <w:szCs w:val="24"/>
        </w:rPr>
        <w:t>enterprises (MNEs)</w:t>
      </w:r>
      <w:r w:rsidRPr="00393D99">
        <w:rPr>
          <w:rFonts w:ascii="Times New Roman" w:hAnsi="Times New Roman" w:cs="Times New Roman"/>
          <w:color w:val="000000" w:themeColor="text1"/>
          <w:sz w:val="24"/>
          <w:szCs w:val="24"/>
        </w:rPr>
        <w:t xml:space="preserve">. Then, we </w:t>
      </w:r>
      <w:r w:rsidR="00095B9A" w:rsidRPr="00393D99">
        <w:rPr>
          <w:rFonts w:ascii="Times New Roman" w:hAnsi="Times New Roman" w:cs="Times New Roman"/>
          <w:color w:val="000000" w:themeColor="text1"/>
          <w:sz w:val="24"/>
          <w:szCs w:val="24"/>
        </w:rPr>
        <w:t xml:space="preserve">further </w:t>
      </w:r>
      <w:r w:rsidR="00864DDE" w:rsidRPr="00393D99">
        <w:rPr>
          <w:rFonts w:ascii="Times New Roman" w:hAnsi="Times New Roman" w:cs="Times New Roman"/>
          <w:color w:val="000000" w:themeColor="text1"/>
          <w:sz w:val="24"/>
          <w:szCs w:val="24"/>
        </w:rPr>
        <w:t xml:space="preserve">deal with </w:t>
      </w:r>
      <w:r w:rsidRPr="00393D99">
        <w:rPr>
          <w:rFonts w:ascii="Times New Roman" w:hAnsi="Times New Roman" w:cs="Times New Roman"/>
          <w:color w:val="000000" w:themeColor="text1"/>
          <w:sz w:val="24"/>
          <w:szCs w:val="24"/>
        </w:rPr>
        <w:t>the possible impact</w:t>
      </w:r>
      <w:r w:rsidR="00545513" w:rsidRPr="00393D99">
        <w:rPr>
          <w:rFonts w:ascii="Times New Roman" w:hAnsi="Times New Roman" w:cs="Times New Roman"/>
          <w:color w:val="000000" w:themeColor="text1"/>
          <w:sz w:val="24"/>
          <w:szCs w:val="24"/>
        </w:rPr>
        <w:t>s</w:t>
      </w:r>
      <w:r w:rsidRPr="00393D99">
        <w:rPr>
          <w:rFonts w:ascii="Times New Roman" w:hAnsi="Times New Roman" w:cs="Times New Roman"/>
          <w:color w:val="000000" w:themeColor="text1"/>
          <w:sz w:val="24"/>
          <w:szCs w:val="24"/>
        </w:rPr>
        <w:t xml:space="preserve"> of OFDI on the </w:t>
      </w:r>
      <w:r w:rsidR="00864DDE" w:rsidRPr="00393D99">
        <w:rPr>
          <w:rFonts w:ascii="Times New Roman" w:hAnsi="Times New Roman" w:cs="Times New Roman"/>
          <w:color w:val="000000" w:themeColor="text1"/>
          <w:sz w:val="24"/>
          <w:szCs w:val="24"/>
        </w:rPr>
        <w:t xml:space="preserve">entire </w:t>
      </w:r>
      <w:r w:rsidRPr="00393D99">
        <w:rPr>
          <w:rFonts w:ascii="Times New Roman" w:hAnsi="Times New Roman" w:cs="Times New Roman"/>
          <w:color w:val="000000" w:themeColor="text1"/>
          <w:sz w:val="24"/>
          <w:szCs w:val="24"/>
        </w:rPr>
        <w:t>domestic economy.</w:t>
      </w:r>
    </w:p>
    <w:p w14:paraId="26F9B2B2" w14:textId="77777777" w:rsidR="00DF1409" w:rsidRDefault="006B3928" w:rsidP="00DF1409">
      <w:pPr>
        <w:spacing w:after="0" w:line="480" w:lineRule="auto"/>
        <w:ind w:firstLine="720"/>
        <w:jc w:val="both"/>
        <w:rPr>
          <w:rFonts w:ascii="Times New Roman" w:hAnsi="Times New Roman" w:cs="Times New Roman"/>
          <w:color w:val="000000" w:themeColor="text1"/>
          <w:sz w:val="24"/>
          <w:szCs w:val="24"/>
        </w:rPr>
      </w:pPr>
      <w:r w:rsidRPr="00393D99">
        <w:rPr>
          <w:rFonts w:ascii="Times New Roman" w:hAnsi="Times New Roman" w:cs="Times New Roman"/>
          <w:sz w:val="24"/>
          <w:szCs w:val="24"/>
        </w:rPr>
        <w:lastRenderedPageBreak/>
        <w:t>OFDI</w:t>
      </w:r>
      <w:r w:rsidR="007E5358" w:rsidRPr="00393D99">
        <w:rPr>
          <w:rFonts w:ascii="Times New Roman" w:hAnsi="Times New Roman" w:cs="Times New Roman"/>
          <w:color w:val="000000" w:themeColor="text1"/>
          <w:sz w:val="24"/>
          <w:szCs w:val="24"/>
        </w:rPr>
        <w:t xml:space="preserve"> allows </w:t>
      </w:r>
      <w:r w:rsidRPr="00393D99">
        <w:rPr>
          <w:rFonts w:ascii="Times New Roman" w:hAnsi="Times New Roman" w:cs="Times New Roman"/>
          <w:color w:val="000000" w:themeColor="text1"/>
          <w:sz w:val="24"/>
          <w:szCs w:val="24"/>
        </w:rPr>
        <w:t xml:space="preserve">MNEs to </w:t>
      </w:r>
      <w:r w:rsidR="00F41B7B" w:rsidRPr="00393D99">
        <w:rPr>
          <w:rFonts w:ascii="Times New Roman" w:hAnsi="Times New Roman" w:cs="Times New Roman"/>
          <w:color w:val="000000" w:themeColor="text1"/>
          <w:sz w:val="24"/>
          <w:szCs w:val="24"/>
        </w:rPr>
        <w:t>improve</w:t>
      </w:r>
      <w:r w:rsidRPr="00393D99">
        <w:rPr>
          <w:rFonts w:ascii="Times New Roman" w:hAnsi="Times New Roman" w:cs="Times New Roman"/>
          <w:color w:val="000000" w:themeColor="text1"/>
          <w:sz w:val="24"/>
          <w:szCs w:val="24"/>
        </w:rPr>
        <w:t xml:space="preserve"> their competitiveness by </w:t>
      </w:r>
      <w:r w:rsidR="00302EC9" w:rsidRPr="00393D99">
        <w:rPr>
          <w:rFonts w:ascii="Times New Roman" w:hAnsi="Times New Roman" w:cs="Times New Roman"/>
          <w:color w:val="000000" w:themeColor="text1"/>
          <w:sz w:val="24"/>
          <w:szCs w:val="24"/>
        </w:rPr>
        <w:t xml:space="preserve">successfully </w:t>
      </w:r>
      <w:r w:rsidR="007E5358" w:rsidRPr="00393D99">
        <w:rPr>
          <w:rFonts w:ascii="Times New Roman" w:hAnsi="Times New Roman" w:cs="Times New Roman"/>
          <w:color w:val="000000" w:themeColor="text1"/>
          <w:sz w:val="24"/>
          <w:szCs w:val="24"/>
        </w:rPr>
        <w:t>entering</w:t>
      </w:r>
      <w:r w:rsidRPr="00393D99">
        <w:rPr>
          <w:rFonts w:ascii="Times New Roman" w:hAnsi="Times New Roman" w:cs="Times New Roman"/>
          <w:color w:val="000000" w:themeColor="text1"/>
          <w:sz w:val="24"/>
          <w:szCs w:val="24"/>
        </w:rPr>
        <w:t xml:space="preserve"> new markets. This </w:t>
      </w:r>
      <w:r w:rsidR="0053382D" w:rsidRPr="00393D99">
        <w:rPr>
          <w:rFonts w:ascii="Times New Roman" w:hAnsi="Times New Roman" w:cs="Times New Roman"/>
          <w:color w:val="000000" w:themeColor="text1"/>
          <w:sz w:val="24"/>
          <w:szCs w:val="24"/>
        </w:rPr>
        <w:t>usually</w:t>
      </w:r>
      <w:r w:rsidRPr="00393D99">
        <w:rPr>
          <w:rFonts w:ascii="Times New Roman" w:hAnsi="Times New Roman" w:cs="Times New Roman"/>
          <w:color w:val="000000" w:themeColor="text1"/>
          <w:sz w:val="24"/>
          <w:szCs w:val="24"/>
        </w:rPr>
        <w:t xml:space="preserve"> results in </w:t>
      </w:r>
      <w:r w:rsidR="007E5358" w:rsidRPr="00393D99">
        <w:rPr>
          <w:rFonts w:ascii="Times New Roman" w:hAnsi="Times New Roman" w:cs="Times New Roman"/>
          <w:color w:val="000000" w:themeColor="text1"/>
          <w:sz w:val="24"/>
          <w:szCs w:val="24"/>
        </w:rPr>
        <w:t>stimulating</w:t>
      </w:r>
      <w:r w:rsidRPr="00393D99">
        <w:rPr>
          <w:rFonts w:ascii="Times New Roman" w:hAnsi="Times New Roman" w:cs="Times New Roman"/>
          <w:color w:val="000000" w:themeColor="text1"/>
          <w:sz w:val="24"/>
          <w:szCs w:val="24"/>
        </w:rPr>
        <w:t xml:space="preserve"> </w:t>
      </w:r>
      <w:r w:rsidR="007E5358" w:rsidRPr="00393D99">
        <w:rPr>
          <w:rFonts w:ascii="Times New Roman" w:hAnsi="Times New Roman" w:cs="Times New Roman"/>
          <w:color w:val="000000" w:themeColor="text1"/>
          <w:sz w:val="24"/>
          <w:szCs w:val="24"/>
        </w:rPr>
        <w:t>domestic</w:t>
      </w:r>
      <w:r w:rsidRPr="00393D99">
        <w:rPr>
          <w:rFonts w:ascii="Times New Roman" w:hAnsi="Times New Roman" w:cs="Times New Roman"/>
          <w:color w:val="000000" w:themeColor="text1"/>
          <w:sz w:val="24"/>
          <w:szCs w:val="24"/>
        </w:rPr>
        <w:t xml:space="preserve"> production. OFDI may allow firms to import </w:t>
      </w:r>
      <w:r w:rsidR="007E5358" w:rsidRPr="00393D99">
        <w:rPr>
          <w:rFonts w:ascii="Times New Roman" w:hAnsi="Times New Roman" w:cs="Times New Roman"/>
          <w:color w:val="000000" w:themeColor="text1"/>
          <w:sz w:val="24"/>
          <w:szCs w:val="24"/>
        </w:rPr>
        <w:t>raw material</w:t>
      </w:r>
      <w:r w:rsidRPr="00393D99">
        <w:rPr>
          <w:rFonts w:ascii="Times New Roman" w:hAnsi="Times New Roman" w:cs="Times New Roman"/>
          <w:color w:val="000000" w:themeColor="text1"/>
          <w:sz w:val="24"/>
          <w:szCs w:val="24"/>
        </w:rPr>
        <w:t xml:space="preserve"> from foreign partners at possible lowest prices. This implies that through OFDI, firms </w:t>
      </w:r>
      <w:r w:rsidR="007B6FA9" w:rsidRPr="00393D99">
        <w:rPr>
          <w:rFonts w:ascii="Times New Roman" w:hAnsi="Times New Roman" w:cs="Times New Roman"/>
          <w:color w:val="000000" w:themeColor="text1"/>
          <w:sz w:val="24"/>
          <w:szCs w:val="24"/>
        </w:rPr>
        <w:t>can</w:t>
      </w:r>
      <w:r w:rsidRPr="00393D99">
        <w:rPr>
          <w:rFonts w:ascii="Times New Roman" w:hAnsi="Times New Roman" w:cs="Times New Roman"/>
          <w:color w:val="000000" w:themeColor="text1"/>
          <w:sz w:val="24"/>
          <w:szCs w:val="24"/>
        </w:rPr>
        <w:t xml:space="preserve"> </w:t>
      </w:r>
      <w:r w:rsidR="000C7875" w:rsidRPr="00393D99">
        <w:rPr>
          <w:rFonts w:ascii="Times New Roman" w:hAnsi="Times New Roman" w:cs="Times New Roman"/>
          <w:color w:val="000000" w:themeColor="text1"/>
          <w:sz w:val="24"/>
          <w:szCs w:val="24"/>
        </w:rPr>
        <w:t>enhance</w:t>
      </w:r>
      <w:r w:rsidRPr="00393D99">
        <w:rPr>
          <w:rFonts w:ascii="Times New Roman" w:hAnsi="Times New Roman" w:cs="Times New Roman"/>
          <w:color w:val="000000" w:themeColor="text1"/>
          <w:sz w:val="24"/>
          <w:szCs w:val="24"/>
        </w:rPr>
        <w:t xml:space="preserve"> their competitive position and hence stimulate home production. Finally, OFDI allows </w:t>
      </w:r>
      <w:r w:rsidR="007B6FA9" w:rsidRPr="00393D99">
        <w:rPr>
          <w:rFonts w:ascii="Times New Roman" w:hAnsi="Times New Roman" w:cs="Times New Roman"/>
          <w:color w:val="000000" w:themeColor="text1"/>
          <w:sz w:val="24"/>
          <w:szCs w:val="24"/>
        </w:rPr>
        <w:t xml:space="preserve">the </w:t>
      </w:r>
      <w:r w:rsidRPr="00393D99">
        <w:rPr>
          <w:rFonts w:ascii="Times New Roman" w:hAnsi="Times New Roman" w:cs="Times New Roman"/>
          <w:color w:val="000000" w:themeColor="text1"/>
          <w:sz w:val="24"/>
          <w:szCs w:val="24"/>
        </w:rPr>
        <w:t>home country to acquire technological know-how</w:t>
      </w:r>
      <w:r w:rsidR="002B3D4C" w:rsidRPr="00393D99">
        <w:rPr>
          <w:rFonts w:ascii="Times New Roman" w:hAnsi="Times New Roman" w:cs="Times New Roman"/>
          <w:color w:val="000000" w:themeColor="text1"/>
          <w:sz w:val="24"/>
          <w:szCs w:val="24"/>
        </w:rPr>
        <w:t xml:space="preserve"> and</w:t>
      </w:r>
      <w:r w:rsidR="008377A0" w:rsidRPr="00393D99">
        <w:rPr>
          <w:rFonts w:ascii="Times New Roman" w:hAnsi="Times New Roman" w:cs="Times New Roman"/>
          <w:color w:val="000000" w:themeColor="text1"/>
          <w:sz w:val="24"/>
          <w:szCs w:val="24"/>
        </w:rPr>
        <w:t xml:space="preserve"> </w:t>
      </w:r>
      <w:r w:rsidRPr="00393D99">
        <w:rPr>
          <w:rFonts w:ascii="Times New Roman" w:hAnsi="Times New Roman" w:cs="Times New Roman"/>
          <w:color w:val="000000" w:themeColor="text1"/>
          <w:sz w:val="24"/>
          <w:szCs w:val="24"/>
        </w:rPr>
        <w:t xml:space="preserve">management techniques, which positively affect domestic production and growth as well </w:t>
      </w:r>
      <w:r w:rsidR="00D84AB0">
        <w:rPr>
          <w:rFonts w:ascii="Times New Roman" w:hAnsi="Times New Roman" w:cs="Times New Roman"/>
          <w:color w:val="000000" w:themeColor="text1"/>
          <w:sz w:val="24"/>
          <w:szCs w:val="24"/>
        </w:rPr>
        <w:t>[24,25]</w:t>
      </w:r>
      <w:r w:rsidRPr="00393D99">
        <w:rPr>
          <w:rFonts w:ascii="Times New Roman" w:hAnsi="Times New Roman" w:cs="Times New Roman"/>
          <w:color w:val="000000" w:themeColor="text1"/>
          <w:sz w:val="24"/>
          <w:szCs w:val="24"/>
        </w:rPr>
        <w:t>.</w:t>
      </w:r>
    </w:p>
    <w:p w14:paraId="54491D78" w14:textId="77777777" w:rsidR="00DF1409" w:rsidRDefault="006B3928" w:rsidP="00DF1409">
      <w:pPr>
        <w:spacing w:after="0" w:line="480" w:lineRule="auto"/>
        <w:ind w:firstLine="720"/>
        <w:jc w:val="both"/>
        <w:rPr>
          <w:rFonts w:ascii="Times New Roman" w:hAnsi="Times New Roman" w:cs="Times New Roman"/>
          <w:color w:val="000000" w:themeColor="text1"/>
          <w:sz w:val="24"/>
          <w:szCs w:val="24"/>
        </w:rPr>
      </w:pPr>
      <w:r w:rsidRPr="00393D99">
        <w:rPr>
          <w:rFonts w:ascii="Times New Roman" w:hAnsi="Times New Roman" w:cs="Times New Roman"/>
          <w:sz w:val="24"/>
          <w:szCs w:val="24"/>
        </w:rPr>
        <w:t>The</w:t>
      </w:r>
      <w:r w:rsidRPr="00393D99">
        <w:rPr>
          <w:rFonts w:ascii="Times New Roman" w:hAnsi="Times New Roman" w:cs="Times New Roman"/>
          <w:color w:val="000000" w:themeColor="text1"/>
          <w:sz w:val="24"/>
          <w:szCs w:val="24"/>
        </w:rPr>
        <w:t xml:space="preserve"> </w:t>
      </w:r>
      <w:r w:rsidR="00AF597E" w:rsidRPr="00393D99">
        <w:rPr>
          <w:rFonts w:ascii="Times New Roman" w:hAnsi="Times New Roman" w:cs="Times New Roman"/>
          <w:color w:val="000000" w:themeColor="text1"/>
          <w:sz w:val="24"/>
          <w:szCs w:val="24"/>
        </w:rPr>
        <w:t xml:space="preserve">positive effects </w:t>
      </w:r>
      <w:r w:rsidRPr="00393D99">
        <w:rPr>
          <w:rFonts w:ascii="Times New Roman" w:hAnsi="Times New Roman" w:cs="Times New Roman"/>
          <w:color w:val="000000" w:themeColor="text1"/>
          <w:sz w:val="24"/>
          <w:szCs w:val="24"/>
        </w:rPr>
        <w:t xml:space="preserve">described </w:t>
      </w:r>
      <w:r w:rsidR="00AF597E" w:rsidRPr="00393D99">
        <w:rPr>
          <w:rFonts w:ascii="Times New Roman" w:hAnsi="Times New Roman" w:cs="Times New Roman"/>
          <w:sz w:val="24"/>
          <w:szCs w:val="24"/>
        </w:rPr>
        <w:t>above</w:t>
      </w:r>
      <w:r w:rsidR="00AF597E" w:rsidRPr="00393D99">
        <w:rPr>
          <w:rFonts w:ascii="Times New Roman" w:hAnsi="Times New Roman" w:cs="Times New Roman"/>
          <w:color w:val="000000" w:themeColor="text1"/>
          <w:sz w:val="24"/>
          <w:szCs w:val="24"/>
        </w:rPr>
        <w:t xml:space="preserve"> </w:t>
      </w:r>
      <w:r w:rsidRPr="00393D99">
        <w:rPr>
          <w:rFonts w:ascii="Times New Roman" w:hAnsi="Times New Roman" w:cs="Times New Roman"/>
          <w:color w:val="000000" w:themeColor="text1"/>
          <w:sz w:val="24"/>
          <w:szCs w:val="24"/>
        </w:rPr>
        <w:t xml:space="preserve">accrue not only to the </w:t>
      </w:r>
      <w:r w:rsidR="00CC484E" w:rsidRPr="00393D99">
        <w:rPr>
          <w:rFonts w:ascii="Times New Roman" w:hAnsi="Times New Roman" w:cs="Times New Roman"/>
          <w:color w:val="000000" w:themeColor="text1"/>
          <w:sz w:val="24"/>
          <w:szCs w:val="24"/>
        </w:rPr>
        <w:t xml:space="preserve">overseas </w:t>
      </w:r>
      <w:r w:rsidRPr="00393D99">
        <w:rPr>
          <w:rFonts w:ascii="Times New Roman" w:hAnsi="Times New Roman" w:cs="Times New Roman"/>
          <w:color w:val="000000" w:themeColor="text1"/>
          <w:sz w:val="24"/>
          <w:szCs w:val="24"/>
        </w:rPr>
        <w:t>invest</w:t>
      </w:r>
      <w:r w:rsidR="00CC484E" w:rsidRPr="00393D99">
        <w:rPr>
          <w:rFonts w:ascii="Times New Roman" w:hAnsi="Times New Roman" w:cs="Times New Roman"/>
          <w:color w:val="000000" w:themeColor="text1"/>
          <w:sz w:val="24"/>
          <w:szCs w:val="24"/>
        </w:rPr>
        <w:t>ing</w:t>
      </w:r>
      <w:r w:rsidRPr="00393D99">
        <w:rPr>
          <w:rFonts w:ascii="Times New Roman" w:hAnsi="Times New Roman" w:cs="Times New Roman"/>
          <w:color w:val="000000" w:themeColor="text1"/>
          <w:sz w:val="24"/>
          <w:szCs w:val="24"/>
        </w:rPr>
        <w:t xml:space="preserve"> firms but also </w:t>
      </w:r>
      <w:r w:rsidR="00BC1F74" w:rsidRPr="00393D99">
        <w:rPr>
          <w:rFonts w:ascii="Times New Roman" w:hAnsi="Times New Roman" w:cs="Times New Roman"/>
          <w:color w:val="000000" w:themeColor="text1"/>
          <w:sz w:val="24"/>
          <w:szCs w:val="24"/>
        </w:rPr>
        <w:t xml:space="preserve">to </w:t>
      </w:r>
      <w:r w:rsidR="008377A0" w:rsidRPr="00393D99">
        <w:rPr>
          <w:rFonts w:ascii="Times New Roman" w:hAnsi="Times New Roman" w:cs="Times New Roman"/>
          <w:color w:val="000000" w:themeColor="text1"/>
          <w:sz w:val="24"/>
          <w:szCs w:val="24"/>
        </w:rPr>
        <w:t xml:space="preserve">the </w:t>
      </w:r>
      <w:r w:rsidRPr="00393D99">
        <w:rPr>
          <w:rFonts w:ascii="Times New Roman" w:hAnsi="Times New Roman" w:cs="Times New Roman"/>
          <w:color w:val="000000" w:themeColor="text1"/>
          <w:sz w:val="24"/>
          <w:szCs w:val="24"/>
        </w:rPr>
        <w:t xml:space="preserve">local </w:t>
      </w:r>
      <w:r w:rsidR="00361A60" w:rsidRPr="00393D99">
        <w:rPr>
          <w:rFonts w:ascii="Times New Roman" w:hAnsi="Times New Roman" w:cs="Times New Roman"/>
          <w:color w:val="000000" w:themeColor="text1"/>
          <w:sz w:val="24"/>
          <w:szCs w:val="24"/>
        </w:rPr>
        <w:t>manufactur</w:t>
      </w:r>
      <w:r w:rsidR="008377A0" w:rsidRPr="00393D99">
        <w:rPr>
          <w:rFonts w:ascii="Times New Roman" w:hAnsi="Times New Roman" w:cs="Times New Roman"/>
          <w:color w:val="000000" w:themeColor="text1"/>
          <w:sz w:val="24"/>
          <w:szCs w:val="24"/>
        </w:rPr>
        <w:t>ing sector</w:t>
      </w:r>
      <w:r w:rsidRPr="00393D99">
        <w:rPr>
          <w:rFonts w:ascii="Times New Roman" w:hAnsi="Times New Roman" w:cs="Times New Roman"/>
          <w:color w:val="000000" w:themeColor="text1"/>
          <w:sz w:val="24"/>
          <w:szCs w:val="24"/>
        </w:rPr>
        <w:t>, th</w:t>
      </w:r>
      <w:r w:rsidR="00361A60" w:rsidRPr="00393D99">
        <w:rPr>
          <w:rFonts w:ascii="Times New Roman" w:hAnsi="Times New Roman" w:cs="Times New Roman"/>
          <w:color w:val="000000" w:themeColor="text1"/>
          <w:sz w:val="24"/>
          <w:szCs w:val="24"/>
        </w:rPr>
        <w:t>us</w:t>
      </w:r>
      <w:r w:rsidRPr="00393D99">
        <w:rPr>
          <w:rFonts w:ascii="Times New Roman" w:hAnsi="Times New Roman" w:cs="Times New Roman"/>
          <w:color w:val="000000" w:themeColor="text1"/>
          <w:sz w:val="24"/>
          <w:szCs w:val="24"/>
        </w:rPr>
        <w:t xml:space="preserve"> benefiting the </w:t>
      </w:r>
      <w:r w:rsidR="00361A60" w:rsidRPr="00393D99">
        <w:rPr>
          <w:rFonts w:ascii="Times New Roman" w:hAnsi="Times New Roman" w:cs="Times New Roman"/>
          <w:color w:val="000000" w:themeColor="text1"/>
          <w:sz w:val="24"/>
          <w:szCs w:val="24"/>
        </w:rPr>
        <w:t xml:space="preserve">entire </w:t>
      </w:r>
      <w:r w:rsidRPr="00393D99">
        <w:rPr>
          <w:rFonts w:ascii="Times New Roman" w:hAnsi="Times New Roman" w:cs="Times New Roman"/>
          <w:color w:val="000000" w:themeColor="text1"/>
          <w:sz w:val="24"/>
          <w:szCs w:val="24"/>
        </w:rPr>
        <w:t xml:space="preserve">economy </w:t>
      </w:r>
      <w:r w:rsidR="00D84AB0">
        <w:rPr>
          <w:rFonts w:ascii="Times New Roman" w:hAnsi="Times New Roman" w:cs="Times New Roman"/>
          <w:color w:val="000000" w:themeColor="text1"/>
          <w:sz w:val="24"/>
          <w:szCs w:val="24"/>
        </w:rPr>
        <w:t>[26]</w:t>
      </w:r>
      <w:r w:rsidRPr="00393D99">
        <w:rPr>
          <w:rFonts w:ascii="Times New Roman" w:hAnsi="Times New Roman" w:cs="Times New Roman"/>
          <w:color w:val="000000" w:themeColor="text1"/>
          <w:sz w:val="24"/>
          <w:szCs w:val="24"/>
        </w:rPr>
        <w:t xml:space="preserve">. </w:t>
      </w:r>
      <w:r w:rsidR="00361A60" w:rsidRPr="00393D99">
        <w:rPr>
          <w:rFonts w:ascii="Times New Roman" w:hAnsi="Times New Roman" w:cs="Times New Roman"/>
          <w:color w:val="000000" w:themeColor="text1"/>
          <w:sz w:val="24"/>
          <w:szCs w:val="24"/>
        </w:rPr>
        <w:t xml:space="preserve">For instance, </w:t>
      </w:r>
      <w:r w:rsidR="00CC484E" w:rsidRPr="00393D99">
        <w:rPr>
          <w:rFonts w:ascii="Times New Roman" w:hAnsi="Times New Roman" w:cs="Times New Roman"/>
          <w:color w:val="000000" w:themeColor="text1"/>
          <w:sz w:val="24"/>
          <w:szCs w:val="24"/>
        </w:rPr>
        <w:t xml:space="preserve">domestic </w:t>
      </w:r>
      <w:r w:rsidRPr="00393D99">
        <w:rPr>
          <w:rFonts w:ascii="Times New Roman" w:hAnsi="Times New Roman" w:cs="Times New Roman"/>
          <w:color w:val="000000" w:themeColor="text1"/>
          <w:sz w:val="24"/>
          <w:szCs w:val="24"/>
        </w:rPr>
        <w:t>firms may</w:t>
      </w:r>
      <w:r w:rsidR="00361A60" w:rsidRPr="00393D99">
        <w:rPr>
          <w:rFonts w:ascii="Times New Roman" w:hAnsi="Times New Roman" w:cs="Times New Roman"/>
          <w:color w:val="000000" w:themeColor="text1"/>
          <w:sz w:val="24"/>
          <w:szCs w:val="24"/>
        </w:rPr>
        <w:t xml:space="preserve"> increase their</w:t>
      </w:r>
      <w:r w:rsidRPr="00393D99">
        <w:rPr>
          <w:rFonts w:ascii="Times New Roman" w:hAnsi="Times New Roman" w:cs="Times New Roman"/>
          <w:color w:val="000000" w:themeColor="text1"/>
          <w:sz w:val="24"/>
          <w:szCs w:val="24"/>
        </w:rPr>
        <w:t xml:space="preserve"> </w:t>
      </w:r>
      <w:r w:rsidR="005E137A" w:rsidRPr="00393D99">
        <w:rPr>
          <w:rFonts w:ascii="Times New Roman" w:hAnsi="Times New Roman" w:cs="Times New Roman"/>
          <w:color w:val="000000" w:themeColor="text1"/>
          <w:sz w:val="24"/>
          <w:szCs w:val="24"/>
        </w:rPr>
        <w:t>output</w:t>
      </w:r>
      <w:r w:rsidRPr="00393D99">
        <w:rPr>
          <w:rFonts w:ascii="Times New Roman" w:hAnsi="Times New Roman" w:cs="Times New Roman"/>
          <w:color w:val="000000" w:themeColor="text1"/>
          <w:sz w:val="24"/>
          <w:szCs w:val="24"/>
        </w:rPr>
        <w:t xml:space="preserve"> by acquiring technology used by </w:t>
      </w:r>
      <w:r w:rsidR="005E137A" w:rsidRPr="00393D99">
        <w:rPr>
          <w:rFonts w:ascii="Times New Roman" w:hAnsi="Times New Roman" w:cs="Times New Roman"/>
          <w:color w:val="000000" w:themeColor="text1"/>
          <w:sz w:val="24"/>
          <w:szCs w:val="24"/>
        </w:rPr>
        <w:t>cross-border</w:t>
      </w:r>
      <w:r w:rsidR="008377A0" w:rsidRPr="00393D99">
        <w:rPr>
          <w:rFonts w:ascii="Times New Roman" w:hAnsi="Times New Roman" w:cs="Times New Roman"/>
          <w:color w:val="000000" w:themeColor="text1"/>
          <w:sz w:val="24"/>
          <w:szCs w:val="24"/>
        </w:rPr>
        <w:t xml:space="preserve"> </w:t>
      </w:r>
      <w:r w:rsidRPr="00393D99">
        <w:rPr>
          <w:rFonts w:ascii="Times New Roman" w:hAnsi="Times New Roman" w:cs="Times New Roman"/>
          <w:color w:val="000000" w:themeColor="text1"/>
          <w:sz w:val="24"/>
          <w:szCs w:val="24"/>
        </w:rPr>
        <w:t xml:space="preserve">investing firms. </w:t>
      </w:r>
      <w:r w:rsidR="00361A60" w:rsidRPr="00393D99">
        <w:rPr>
          <w:rFonts w:ascii="Times New Roman" w:hAnsi="Times New Roman" w:cs="Times New Roman"/>
          <w:color w:val="000000" w:themeColor="text1"/>
          <w:sz w:val="24"/>
          <w:szCs w:val="24"/>
        </w:rPr>
        <w:t>Also</w:t>
      </w:r>
      <w:r w:rsidRPr="00393D99">
        <w:rPr>
          <w:rFonts w:ascii="Times New Roman" w:hAnsi="Times New Roman" w:cs="Times New Roman"/>
          <w:color w:val="000000" w:themeColor="text1"/>
          <w:sz w:val="24"/>
          <w:szCs w:val="24"/>
        </w:rPr>
        <w:t>,</w:t>
      </w:r>
      <w:r w:rsidR="005E137A" w:rsidRPr="00393D99">
        <w:rPr>
          <w:rFonts w:ascii="Times New Roman" w:hAnsi="Times New Roman" w:cs="Times New Roman"/>
          <w:color w:val="000000" w:themeColor="text1"/>
          <w:sz w:val="24"/>
          <w:szCs w:val="24"/>
        </w:rPr>
        <w:t xml:space="preserve"> </w:t>
      </w:r>
      <w:r w:rsidRPr="00393D99">
        <w:rPr>
          <w:rFonts w:ascii="Times New Roman" w:hAnsi="Times New Roman" w:cs="Times New Roman"/>
          <w:color w:val="000000" w:themeColor="text1"/>
          <w:sz w:val="24"/>
          <w:szCs w:val="24"/>
        </w:rPr>
        <w:t xml:space="preserve">local </w:t>
      </w:r>
      <w:r w:rsidR="005E137A" w:rsidRPr="00393D99">
        <w:rPr>
          <w:rFonts w:ascii="Times New Roman" w:hAnsi="Times New Roman" w:cs="Times New Roman"/>
          <w:color w:val="000000" w:themeColor="text1"/>
          <w:sz w:val="24"/>
          <w:szCs w:val="24"/>
        </w:rPr>
        <w:t>manufacturers</w:t>
      </w:r>
      <w:r w:rsidRPr="00393D99">
        <w:rPr>
          <w:rFonts w:ascii="Times New Roman" w:hAnsi="Times New Roman" w:cs="Times New Roman"/>
          <w:color w:val="000000" w:themeColor="text1"/>
          <w:sz w:val="24"/>
          <w:szCs w:val="24"/>
        </w:rPr>
        <w:t xml:space="preserve"> </w:t>
      </w:r>
      <w:r w:rsidR="005E137A" w:rsidRPr="00393D99">
        <w:rPr>
          <w:rFonts w:ascii="Times New Roman" w:hAnsi="Times New Roman" w:cs="Times New Roman"/>
          <w:color w:val="000000" w:themeColor="text1"/>
          <w:sz w:val="24"/>
          <w:szCs w:val="24"/>
        </w:rPr>
        <w:t>take advantage</w:t>
      </w:r>
      <w:r w:rsidRPr="00393D99">
        <w:rPr>
          <w:rFonts w:ascii="Times New Roman" w:hAnsi="Times New Roman" w:cs="Times New Roman"/>
          <w:color w:val="000000" w:themeColor="text1"/>
          <w:sz w:val="24"/>
          <w:szCs w:val="24"/>
        </w:rPr>
        <w:t xml:space="preserve"> </w:t>
      </w:r>
      <w:r w:rsidR="008377A0" w:rsidRPr="00393D99">
        <w:rPr>
          <w:rFonts w:ascii="Times New Roman" w:hAnsi="Times New Roman" w:cs="Times New Roman"/>
          <w:color w:val="000000" w:themeColor="text1"/>
          <w:sz w:val="24"/>
          <w:szCs w:val="24"/>
        </w:rPr>
        <w:t xml:space="preserve">of </w:t>
      </w:r>
      <w:r w:rsidRPr="00393D99">
        <w:rPr>
          <w:rFonts w:ascii="Times New Roman" w:hAnsi="Times New Roman" w:cs="Times New Roman"/>
          <w:color w:val="000000" w:themeColor="text1"/>
          <w:sz w:val="24"/>
          <w:szCs w:val="24"/>
        </w:rPr>
        <w:t xml:space="preserve">the diffusion of new technology through </w:t>
      </w:r>
      <w:r w:rsidR="00AD3E79" w:rsidRPr="00393D99">
        <w:rPr>
          <w:rFonts w:ascii="Times New Roman" w:hAnsi="Times New Roman" w:cs="Times New Roman"/>
          <w:color w:val="000000" w:themeColor="text1"/>
          <w:sz w:val="24"/>
          <w:szCs w:val="24"/>
        </w:rPr>
        <w:t xml:space="preserve">improved </w:t>
      </w:r>
      <w:r w:rsidR="008377A0" w:rsidRPr="00393D99">
        <w:rPr>
          <w:rFonts w:ascii="Times New Roman" w:hAnsi="Times New Roman" w:cs="Times New Roman"/>
          <w:color w:val="000000" w:themeColor="text1"/>
          <w:sz w:val="24"/>
          <w:szCs w:val="24"/>
        </w:rPr>
        <w:t xml:space="preserve">turnover of </w:t>
      </w:r>
      <w:r w:rsidRPr="00393D99">
        <w:rPr>
          <w:rFonts w:ascii="Times New Roman" w:hAnsi="Times New Roman" w:cs="Times New Roman"/>
          <w:color w:val="000000" w:themeColor="text1"/>
          <w:sz w:val="24"/>
          <w:szCs w:val="24"/>
        </w:rPr>
        <w:t xml:space="preserve">labor. </w:t>
      </w:r>
      <w:r w:rsidR="00361A60" w:rsidRPr="00393D99">
        <w:rPr>
          <w:rFonts w:ascii="Times New Roman" w:hAnsi="Times New Roman" w:cs="Times New Roman"/>
          <w:color w:val="000000" w:themeColor="text1"/>
          <w:sz w:val="24"/>
          <w:szCs w:val="24"/>
        </w:rPr>
        <w:t>Moreover</w:t>
      </w:r>
      <w:r w:rsidRPr="00393D99">
        <w:rPr>
          <w:rFonts w:ascii="Times New Roman" w:hAnsi="Times New Roman" w:cs="Times New Roman"/>
          <w:color w:val="000000" w:themeColor="text1"/>
          <w:sz w:val="24"/>
          <w:szCs w:val="24"/>
        </w:rPr>
        <w:t xml:space="preserve">, </w:t>
      </w:r>
      <w:r w:rsidR="005E137A" w:rsidRPr="00393D99">
        <w:rPr>
          <w:rFonts w:ascii="Times New Roman" w:hAnsi="Times New Roman" w:cs="Times New Roman"/>
          <w:color w:val="000000" w:themeColor="text1"/>
          <w:sz w:val="24"/>
          <w:szCs w:val="24"/>
        </w:rPr>
        <w:t>outward FDI increase</w:t>
      </w:r>
      <w:r w:rsidR="008377A0" w:rsidRPr="00393D99">
        <w:rPr>
          <w:rFonts w:ascii="Times New Roman" w:hAnsi="Times New Roman" w:cs="Times New Roman"/>
          <w:color w:val="000000" w:themeColor="text1"/>
          <w:sz w:val="24"/>
          <w:szCs w:val="24"/>
        </w:rPr>
        <w:t>s</w:t>
      </w:r>
      <w:r w:rsidR="005E137A" w:rsidRPr="00393D99">
        <w:rPr>
          <w:rFonts w:ascii="Times New Roman" w:hAnsi="Times New Roman" w:cs="Times New Roman"/>
          <w:color w:val="000000" w:themeColor="text1"/>
          <w:sz w:val="24"/>
          <w:szCs w:val="24"/>
        </w:rPr>
        <w:t xml:space="preserve"> the competition </w:t>
      </w:r>
      <w:r w:rsidR="00A333E0" w:rsidRPr="00393D99">
        <w:rPr>
          <w:rFonts w:ascii="Times New Roman" w:hAnsi="Times New Roman" w:cs="Times New Roman"/>
          <w:color w:val="000000" w:themeColor="text1"/>
          <w:sz w:val="24"/>
          <w:szCs w:val="24"/>
        </w:rPr>
        <w:t xml:space="preserve">between foreign and local firms, which </w:t>
      </w:r>
      <w:r w:rsidRPr="00393D99">
        <w:rPr>
          <w:rFonts w:ascii="Times New Roman" w:hAnsi="Times New Roman" w:cs="Times New Roman"/>
          <w:color w:val="000000" w:themeColor="text1"/>
          <w:sz w:val="24"/>
          <w:szCs w:val="24"/>
        </w:rPr>
        <w:t xml:space="preserve">may </w:t>
      </w:r>
      <w:r w:rsidR="008377A0" w:rsidRPr="00393D99">
        <w:rPr>
          <w:rFonts w:ascii="Times New Roman" w:hAnsi="Times New Roman" w:cs="Times New Roman"/>
          <w:color w:val="000000" w:themeColor="text1"/>
          <w:sz w:val="24"/>
          <w:szCs w:val="24"/>
        </w:rPr>
        <w:t xml:space="preserve">catalyze a more efficient use of the </w:t>
      </w:r>
      <w:r w:rsidRPr="00393D99">
        <w:rPr>
          <w:rFonts w:ascii="Times New Roman" w:hAnsi="Times New Roman" w:cs="Times New Roman"/>
          <w:color w:val="000000" w:themeColor="text1"/>
          <w:sz w:val="24"/>
          <w:szCs w:val="24"/>
        </w:rPr>
        <w:t>existing technology and resources</w:t>
      </w:r>
      <w:r w:rsidR="00361A60" w:rsidRPr="00393D99">
        <w:rPr>
          <w:rFonts w:ascii="Times New Roman" w:hAnsi="Times New Roman" w:cs="Times New Roman"/>
          <w:color w:val="000000" w:themeColor="text1"/>
          <w:sz w:val="24"/>
          <w:szCs w:val="24"/>
        </w:rPr>
        <w:t xml:space="preserve"> </w:t>
      </w:r>
      <w:r w:rsidR="008377A0" w:rsidRPr="00393D99">
        <w:rPr>
          <w:rFonts w:ascii="Times New Roman" w:hAnsi="Times New Roman" w:cs="Times New Roman"/>
          <w:color w:val="000000" w:themeColor="text1"/>
          <w:sz w:val="24"/>
          <w:szCs w:val="24"/>
        </w:rPr>
        <w:t>by the local firms</w:t>
      </w:r>
      <w:r w:rsidR="00361A60" w:rsidRPr="00393D99">
        <w:rPr>
          <w:rFonts w:ascii="Times New Roman" w:hAnsi="Times New Roman" w:cs="Times New Roman"/>
          <w:color w:val="000000" w:themeColor="text1"/>
          <w:sz w:val="24"/>
          <w:szCs w:val="24"/>
        </w:rPr>
        <w:t xml:space="preserve">. </w:t>
      </w:r>
      <w:r w:rsidR="00A333E0" w:rsidRPr="00393D99">
        <w:rPr>
          <w:rFonts w:ascii="Times New Roman" w:hAnsi="Times New Roman" w:cs="Times New Roman"/>
          <w:color w:val="000000" w:themeColor="text1"/>
          <w:sz w:val="24"/>
          <w:szCs w:val="24"/>
        </w:rPr>
        <w:t>Moreover</w:t>
      </w:r>
      <w:r w:rsidR="00361A60" w:rsidRPr="00393D99">
        <w:rPr>
          <w:rFonts w:ascii="Times New Roman" w:hAnsi="Times New Roman" w:cs="Times New Roman"/>
          <w:color w:val="000000" w:themeColor="text1"/>
          <w:sz w:val="24"/>
          <w:szCs w:val="24"/>
        </w:rPr>
        <w:t>, overseas</w:t>
      </w:r>
      <w:r w:rsidRPr="00393D99">
        <w:rPr>
          <w:rFonts w:ascii="Times New Roman" w:hAnsi="Times New Roman" w:cs="Times New Roman"/>
          <w:color w:val="000000" w:themeColor="text1"/>
          <w:sz w:val="24"/>
          <w:szCs w:val="24"/>
        </w:rPr>
        <w:t xml:space="preserve"> investing firms </w:t>
      </w:r>
      <w:r w:rsidR="00F41B7B" w:rsidRPr="00393D99">
        <w:rPr>
          <w:rFonts w:ascii="Times New Roman" w:hAnsi="Times New Roman" w:cs="Times New Roman"/>
          <w:color w:val="000000" w:themeColor="text1"/>
          <w:sz w:val="24"/>
          <w:szCs w:val="24"/>
        </w:rPr>
        <w:t xml:space="preserve">may </w:t>
      </w:r>
      <w:r w:rsidRPr="00393D99">
        <w:rPr>
          <w:rFonts w:ascii="Times New Roman" w:hAnsi="Times New Roman" w:cs="Times New Roman"/>
          <w:color w:val="000000" w:themeColor="text1"/>
          <w:sz w:val="24"/>
          <w:szCs w:val="24"/>
        </w:rPr>
        <w:t xml:space="preserve">produce intermediate goods that </w:t>
      </w:r>
      <w:r w:rsidR="00F41B7B" w:rsidRPr="00393D99">
        <w:rPr>
          <w:rFonts w:ascii="Times New Roman" w:hAnsi="Times New Roman" w:cs="Times New Roman"/>
          <w:color w:val="000000" w:themeColor="text1"/>
          <w:sz w:val="24"/>
          <w:szCs w:val="24"/>
        </w:rPr>
        <w:t xml:space="preserve">would </w:t>
      </w:r>
      <w:r w:rsidRPr="00393D99">
        <w:rPr>
          <w:rFonts w:ascii="Times New Roman" w:hAnsi="Times New Roman" w:cs="Times New Roman"/>
          <w:color w:val="000000" w:themeColor="text1"/>
          <w:sz w:val="24"/>
          <w:szCs w:val="24"/>
        </w:rPr>
        <w:t xml:space="preserve">become available </w:t>
      </w:r>
      <w:r w:rsidR="00A333E0" w:rsidRPr="00393D99">
        <w:rPr>
          <w:rFonts w:ascii="Times New Roman" w:hAnsi="Times New Roman" w:cs="Times New Roman"/>
          <w:color w:val="000000" w:themeColor="text1"/>
          <w:sz w:val="24"/>
          <w:szCs w:val="24"/>
        </w:rPr>
        <w:t xml:space="preserve">domestically </w:t>
      </w:r>
      <w:r w:rsidRPr="00393D99">
        <w:rPr>
          <w:rFonts w:ascii="Times New Roman" w:hAnsi="Times New Roman" w:cs="Times New Roman"/>
          <w:color w:val="000000" w:themeColor="text1"/>
          <w:sz w:val="24"/>
          <w:szCs w:val="24"/>
        </w:rPr>
        <w:t xml:space="preserve">at </w:t>
      </w:r>
      <w:r w:rsidR="00361A60" w:rsidRPr="00393D99">
        <w:rPr>
          <w:rFonts w:ascii="Times New Roman" w:hAnsi="Times New Roman" w:cs="Times New Roman"/>
          <w:color w:val="000000" w:themeColor="text1"/>
          <w:sz w:val="24"/>
          <w:szCs w:val="24"/>
        </w:rPr>
        <w:t>lower prices</w:t>
      </w:r>
      <w:r w:rsidRPr="00393D99">
        <w:rPr>
          <w:rFonts w:ascii="Times New Roman" w:hAnsi="Times New Roman" w:cs="Times New Roman"/>
          <w:color w:val="000000" w:themeColor="text1"/>
          <w:sz w:val="24"/>
          <w:szCs w:val="24"/>
        </w:rPr>
        <w:t xml:space="preserve">. </w:t>
      </w:r>
      <w:r w:rsidR="00361A60" w:rsidRPr="00393D99">
        <w:rPr>
          <w:rFonts w:ascii="Times New Roman" w:hAnsi="Times New Roman" w:cs="Times New Roman"/>
          <w:color w:val="000000" w:themeColor="text1"/>
          <w:sz w:val="24"/>
          <w:szCs w:val="24"/>
        </w:rPr>
        <w:t xml:space="preserve">It </w:t>
      </w:r>
      <w:r w:rsidR="008821ED" w:rsidRPr="00393D99">
        <w:rPr>
          <w:rFonts w:ascii="Times New Roman" w:hAnsi="Times New Roman" w:cs="Times New Roman"/>
          <w:color w:val="000000" w:themeColor="text1"/>
          <w:sz w:val="24"/>
          <w:szCs w:val="24"/>
        </w:rPr>
        <w:t>is</w:t>
      </w:r>
      <w:r w:rsidR="00361A60" w:rsidRPr="00393D99">
        <w:rPr>
          <w:rFonts w:ascii="Times New Roman" w:hAnsi="Times New Roman" w:cs="Times New Roman"/>
          <w:color w:val="000000" w:themeColor="text1"/>
          <w:sz w:val="24"/>
          <w:szCs w:val="24"/>
        </w:rPr>
        <w:t xml:space="preserve"> concluded </w:t>
      </w:r>
      <w:r w:rsidRPr="00393D99">
        <w:rPr>
          <w:rFonts w:ascii="Times New Roman" w:hAnsi="Times New Roman" w:cs="Times New Roman"/>
          <w:color w:val="000000" w:themeColor="text1"/>
          <w:sz w:val="24"/>
          <w:szCs w:val="24"/>
        </w:rPr>
        <w:t xml:space="preserve">that OFDI can have </w:t>
      </w:r>
      <w:r w:rsidR="008377A0" w:rsidRPr="00393D99">
        <w:rPr>
          <w:rFonts w:ascii="Times New Roman" w:hAnsi="Times New Roman" w:cs="Times New Roman"/>
          <w:color w:val="000000" w:themeColor="text1"/>
          <w:sz w:val="24"/>
          <w:szCs w:val="24"/>
        </w:rPr>
        <w:t xml:space="preserve">a </w:t>
      </w:r>
      <w:r w:rsidR="00361A60" w:rsidRPr="00393D99">
        <w:rPr>
          <w:rFonts w:ascii="Times New Roman" w:hAnsi="Times New Roman" w:cs="Times New Roman"/>
          <w:color w:val="000000" w:themeColor="text1"/>
          <w:sz w:val="24"/>
          <w:szCs w:val="24"/>
        </w:rPr>
        <w:t>significant</w:t>
      </w:r>
      <w:r w:rsidRPr="00393D99">
        <w:rPr>
          <w:rFonts w:ascii="Times New Roman" w:hAnsi="Times New Roman" w:cs="Times New Roman"/>
          <w:color w:val="000000" w:themeColor="text1"/>
          <w:sz w:val="24"/>
          <w:szCs w:val="24"/>
        </w:rPr>
        <w:t xml:space="preserve"> </w:t>
      </w:r>
      <w:r w:rsidR="00361A60" w:rsidRPr="00393D99">
        <w:rPr>
          <w:rFonts w:ascii="Times New Roman" w:hAnsi="Times New Roman" w:cs="Times New Roman"/>
          <w:color w:val="000000" w:themeColor="text1"/>
          <w:sz w:val="24"/>
          <w:szCs w:val="24"/>
        </w:rPr>
        <w:t xml:space="preserve">impact </w:t>
      </w:r>
      <w:r w:rsidRPr="00393D99">
        <w:rPr>
          <w:rFonts w:ascii="Times New Roman" w:hAnsi="Times New Roman" w:cs="Times New Roman"/>
          <w:color w:val="000000" w:themeColor="text1"/>
          <w:sz w:val="24"/>
          <w:szCs w:val="24"/>
        </w:rPr>
        <w:t xml:space="preserve">on domestic </w:t>
      </w:r>
      <w:r w:rsidR="00A333E0" w:rsidRPr="00393D99">
        <w:rPr>
          <w:rFonts w:ascii="Times New Roman" w:hAnsi="Times New Roman" w:cs="Times New Roman"/>
          <w:color w:val="000000" w:themeColor="text1"/>
          <w:sz w:val="24"/>
          <w:szCs w:val="24"/>
        </w:rPr>
        <w:t>production</w:t>
      </w:r>
      <w:r w:rsidR="00361A60" w:rsidRPr="00393D99">
        <w:rPr>
          <w:rFonts w:ascii="Times New Roman" w:hAnsi="Times New Roman" w:cs="Times New Roman"/>
          <w:color w:val="000000" w:themeColor="text1"/>
          <w:sz w:val="24"/>
          <w:szCs w:val="24"/>
        </w:rPr>
        <w:t>,</w:t>
      </w:r>
      <w:r w:rsidRPr="00393D99">
        <w:rPr>
          <w:rFonts w:ascii="Times New Roman" w:hAnsi="Times New Roman" w:cs="Times New Roman"/>
          <w:color w:val="000000" w:themeColor="text1"/>
          <w:sz w:val="24"/>
          <w:szCs w:val="24"/>
        </w:rPr>
        <w:t xml:space="preserve"> and thus </w:t>
      </w:r>
      <w:r w:rsidR="003B6E44" w:rsidRPr="00393D99">
        <w:rPr>
          <w:rFonts w:ascii="Times New Roman" w:hAnsi="Times New Roman" w:cs="Times New Roman"/>
          <w:color w:val="000000" w:themeColor="text1"/>
          <w:sz w:val="24"/>
          <w:szCs w:val="24"/>
        </w:rPr>
        <w:t xml:space="preserve">on </w:t>
      </w:r>
      <w:r w:rsidR="007B6FA9" w:rsidRPr="00393D99">
        <w:rPr>
          <w:rFonts w:ascii="Times New Roman" w:hAnsi="Times New Roman" w:cs="Times New Roman"/>
          <w:color w:val="000000" w:themeColor="text1"/>
          <w:sz w:val="24"/>
          <w:szCs w:val="24"/>
        </w:rPr>
        <w:t xml:space="preserve">the </w:t>
      </w:r>
      <w:r w:rsidRPr="00393D99">
        <w:rPr>
          <w:rFonts w:ascii="Times New Roman" w:hAnsi="Times New Roman" w:cs="Times New Roman"/>
          <w:color w:val="000000" w:themeColor="text1"/>
          <w:sz w:val="24"/>
          <w:szCs w:val="24"/>
        </w:rPr>
        <w:t>economic growth</w:t>
      </w:r>
      <w:r w:rsidR="00AF597E" w:rsidRPr="00393D99">
        <w:rPr>
          <w:rFonts w:ascii="Times New Roman" w:hAnsi="Times New Roman" w:cs="Times New Roman"/>
          <w:color w:val="000000" w:themeColor="text1"/>
          <w:sz w:val="24"/>
          <w:szCs w:val="24"/>
        </w:rPr>
        <w:t xml:space="preserve"> of </w:t>
      </w:r>
      <w:r w:rsidR="007B6FA9" w:rsidRPr="00393D99">
        <w:rPr>
          <w:rFonts w:ascii="Times New Roman" w:hAnsi="Times New Roman" w:cs="Times New Roman"/>
          <w:color w:val="000000" w:themeColor="text1"/>
          <w:sz w:val="24"/>
          <w:szCs w:val="24"/>
        </w:rPr>
        <w:t xml:space="preserve">the </w:t>
      </w:r>
      <w:r w:rsidR="00AF597E" w:rsidRPr="00393D99">
        <w:rPr>
          <w:rFonts w:ascii="Times New Roman" w:hAnsi="Times New Roman" w:cs="Times New Roman"/>
          <w:color w:val="000000" w:themeColor="text1"/>
          <w:sz w:val="24"/>
          <w:szCs w:val="24"/>
        </w:rPr>
        <w:t>home country</w:t>
      </w:r>
      <w:r w:rsidRPr="00393D99">
        <w:rPr>
          <w:rFonts w:ascii="Times New Roman" w:hAnsi="Times New Roman" w:cs="Times New Roman"/>
          <w:color w:val="000000" w:themeColor="text1"/>
          <w:sz w:val="24"/>
          <w:szCs w:val="24"/>
        </w:rPr>
        <w:t>.</w:t>
      </w:r>
    </w:p>
    <w:p w14:paraId="13FC7763" w14:textId="77777777" w:rsidR="00DF1409" w:rsidRDefault="006B3928" w:rsidP="00DF1409">
      <w:pPr>
        <w:spacing w:after="0" w:line="480" w:lineRule="auto"/>
        <w:ind w:firstLine="720"/>
        <w:jc w:val="both"/>
        <w:rPr>
          <w:rFonts w:ascii="Times New Roman" w:hAnsi="Times New Roman" w:cs="Times New Roman"/>
          <w:color w:val="000000" w:themeColor="text1"/>
          <w:sz w:val="24"/>
          <w:szCs w:val="24"/>
        </w:rPr>
      </w:pPr>
      <w:r w:rsidRPr="00393D99">
        <w:rPr>
          <w:rFonts w:ascii="Times New Roman" w:hAnsi="Times New Roman" w:cs="Times New Roman"/>
          <w:sz w:val="24"/>
          <w:szCs w:val="24"/>
        </w:rPr>
        <w:t>Empirically, a</w:t>
      </w:r>
      <w:r w:rsidR="00F35542" w:rsidRPr="00393D99">
        <w:rPr>
          <w:rFonts w:ascii="Times New Roman" w:hAnsi="Times New Roman" w:cs="Times New Roman"/>
          <w:sz w:val="24"/>
          <w:szCs w:val="24"/>
        </w:rPr>
        <w:t xml:space="preserve">n extensive body of existing </w:t>
      </w:r>
      <w:r w:rsidR="001D5A0D" w:rsidRPr="00393D99">
        <w:rPr>
          <w:rFonts w:ascii="Times New Roman" w:hAnsi="Times New Roman" w:cs="Times New Roman"/>
          <w:sz w:val="24"/>
          <w:szCs w:val="24"/>
        </w:rPr>
        <w:t>studies</w:t>
      </w:r>
      <w:r w:rsidRPr="00393D99">
        <w:rPr>
          <w:rFonts w:ascii="Times New Roman" w:hAnsi="Times New Roman" w:cs="Times New Roman"/>
          <w:sz w:val="24"/>
          <w:szCs w:val="24"/>
        </w:rPr>
        <w:t xml:space="preserve"> </w:t>
      </w:r>
      <w:r w:rsidR="000F0DBD" w:rsidRPr="00393D99">
        <w:rPr>
          <w:rFonts w:ascii="Times New Roman" w:hAnsi="Times New Roman" w:cs="Times New Roman"/>
          <w:sz w:val="24"/>
          <w:szCs w:val="24"/>
        </w:rPr>
        <w:t xml:space="preserve">have </w:t>
      </w:r>
      <w:r w:rsidRPr="00393D99">
        <w:rPr>
          <w:rFonts w:ascii="Times New Roman" w:hAnsi="Times New Roman" w:cs="Times New Roman"/>
          <w:sz w:val="24"/>
          <w:szCs w:val="24"/>
        </w:rPr>
        <w:t xml:space="preserve">investigated the relationship between inward FDI and economic growth in the host countries </w:t>
      </w:r>
      <w:r w:rsidR="00D84AB0">
        <w:rPr>
          <w:rFonts w:ascii="Times New Roman" w:hAnsi="Times New Roman" w:cs="Times New Roman"/>
          <w:sz w:val="24"/>
          <w:szCs w:val="24"/>
        </w:rPr>
        <w:t>[27,28,29,10,30,31,32,33,34,35,36,37]</w:t>
      </w:r>
      <w:r w:rsidRPr="00393D99">
        <w:rPr>
          <w:rFonts w:ascii="Times New Roman" w:hAnsi="Times New Roman" w:cs="Times New Roman"/>
          <w:sz w:val="24"/>
          <w:szCs w:val="24"/>
        </w:rPr>
        <w:t xml:space="preserve">. </w:t>
      </w:r>
      <w:r w:rsidR="003B32CA" w:rsidRPr="00393D99">
        <w:rPr>
          <w:rFonts w:ascii="Times New Roman" w:hAnsi="Times New Roman" w:cs="Times New Roman"/>
          <w:sz w:val="24"/>
          <w:szCs w:val="24"/>
        </w:rPr>
        <w:t xml:space="preserve">However, </w:t>
      </w:r>
      <w:r w:rsidR="00BC0830" w:rsidRPr="00393D99">
        <w:rPr>
          <w:rFonts w:ascii="Times New Roman" w:hAnsi="Times New Roman" w:cs="Times New Roman"/>
          <w:sz w:val="24"/>
          <w:szCs w:val="24"/>
        </w:rPr>
        <w:t xml:space="preserve">the literature on the </w:t>
      </w:r>
      <w:r w:rsidR="00686DF5" w:rsidRPr="00393D99">
        <w:rPr>
          <w:rFonts w:ascii="Times New Roman" w:hAnsi="Times New Roman" w:cs="Times New Roman"/>
          <w:sz w:val="24"/>
          <w:szCs w:val="24"/>
        </w:rPr>
        <w:t>interaction of</w:t>
      </w:r>
      <w:r w:rsidR="00BC0830" w:rsidRPr="00393D99">
        <w:rPr>
          <w:rFonts w:ascii="Times New Roman" w:hAnsi="Times New Roman" w:cs="Times New Roman"/>
          <w:sz w:val="24"/>
          <w:szCs w:val="24"/>
        </w:rPr>
        <w:t xml:space="preserve"> </w:t>
      </w:r>
      <w:r w:rsidR="003F6689" w:rsidRPr="00393D99">
        <w:rPr>
          <w:rFonts w:ascii="Times New Roman" w:hAnsi="Times New Roman" w:cs="Times New Roman"/>
          <w:sz w:val="24"/>
          <w:szCs w:val="24"/>
        </w:rPr>
        <w:t xml:space="preserve">outward </w:t>
      </w:r>
      <w:r w:rsidR="00C379B5" w:rsidRPr="00393D99">
        <w:rPr>
          <w:rFonts w:ascii="Times New Roman" w:hAnsi="Times New Roman" w:cs="Times New Roman"/>
          <w:sz w:val="24"/>
          <w:szCs w:val="24"/>
        </w:rPr>
        <w:t>FDI</w:t>
      </w:r>
      <w:r w:rsidR="00BC0830" w:rsidRPr="00393D99">
        <w:rPr>
          <w:rFonts w:ascii="Times New Roman" w:hAnsi="Times New Roman" w:cs="Times New Roman"/>
          <w:sz w:val="24"/>
          <w:szCs w:val="24"/>
        </w:rPr>
        <w:t xml:space="preserve"> and economic growth is </w:t>
      </w:r>
      <w:r w:rsidR="00D1692C" w:rsidRPr="00393D99">
        <w:rPr>
          <w:rFonts w:ascii="Times New Roman" w:hAnsi="Times New Roman" w:cs="Times New Roman"/>
          <w:sz w:val="24"/>
          <w:szCs w:val="24"/>
        </w:rPr>
        <w:t>rare and paid attention mostly</w:t>
      </w:r>
      <w:r w:rsidR="00BC0830" w:rsidRPr="00393D99">
        <w:rPr>
          <w:rFonts w:ascii="Times New Roman" w:hAnsi="Times New Roman" w:cs="Times New Roman"/>
          <w:sz w:val="24"/>
          <w:szCs w:val="24"/>
        </w:rPr>
        <w:t xml:space="preserve"> on </w:t>
      </w:r>
      <w:r w:rsidR="00C379B5" w:rsidRPr="00393D99">
        <w:rPr>
          <w:rFonts w:ascii="Times New Roman" w:hAnsi="Times New Roman" w:cs="Times New Roman"/>
          <w:sz w:val="24"/>
          <w:szCs w:val="24"/>
        </w:rPr>
        <w:t>industrial</w:t>
      </w:r>
      <w:r w:rsidR="00BC0830" w:rsidRPr="00393D99">
        <w:rPr>
          <w:rFonts w:ascii="Times New Roman" w:hAnsi="Times New Roman" w:cs="Times New Roman"/>
          <w:sz w:val="24"/>
          <w:szCs w:val="24"/>
        </w:rPr>
        <w:t xml:space="preserve"> </w:t>
      </w:r>
      <w:r w:rsidR="00F35542" w:rsidRPr="00393D99">
        <w:rPr>
          <w:rFonts w:ascii="Times New Roman" w:hAnsi="Times New Roman" w:cs="Times New Roman"/>
          <w:sz w:val="24"/>
          <w:szCs w:val="24"/>
        </w:rPr>
        <w:t>economi</w:t>
      </w:r>
      <w:r w:rsidR="008377A0" w:rsidRPr="00393D99">
        <w:rPr>
          <w:rFonts w:ascii="Times New Roman" w:hAnsi="Times New Roman" w:cs="Times New Roman"/>
          <w:sz w:val="24"/>
          <w:szCs w:val="24"/>
        </w:rPr>
        <w:t>c</w:t>
      </w:r>
      <w:r w:rsidR="00F35542" w:rsidRPr="00393D99">
        <w:rPr>
          <w:rFonts w:ascii="Times New Roman" w:hAnsi="Times New Roman" w:cs="Times New Roman"/>
          <w:sz w:val="24"/>
          <w:szCs w:val="24"/>
        </w:rPr>
        <w:t>s,</w:t>
      </w:r>
      <w:r w:rsidR="00BC0830" w:rsidRPr="00393D99">
        <w:rPr>
          <w:rFonts w:ascii="Times New Roman" w:hAnsi="Times New Roman" w:cs="Times New Roman"/>
          <w:sz w:val="24"/>
          <w:szCs w:val="24"/>
        </w:rPr>
        <w:t xml:space="preserve"> </w:t>
      </w:r>
      <w:r w:rsidR="00F35542" w:rsidRPr="00393D99">
        <w:rPr>
          <w:rFonts w:ascii="Times New Roman" w:hAnsi="Times New Roman" w:cs="Times New Roman"/>
          <w:sz w:val="24"/>
          <w:szCs w:val="24"/>
        </w:rPr>
        <w:t>for instance,</w:t>
      </w:r>
      <w:r w:rsidR="00BC0830" w:rsidRPr="00393D99">
        <w:rPr>
          <w:rFonts w:ascii="Times New Roman" w:hAnsi="Times New Roman" w:cs="Times New Roman"/>
          <w:sz w:val="24"/>
          <w:szCs w:val="24"/>
        </w:rPr>
        <w:t xml:space="preserve"> </w:t>
      </w:r>
      <w:r w:rsidR="007B6FA9" w:rsidRPr="00393D99">
        <w:rPr>
          <w:rFonts w:ascii="Times New Roman" w:hAnsi="Times New Roman" w:cs="Times New Roman"/>
          <w:sz w:val="24"/>
          <w:szCs w:val="24"/>
        </w:rPr>
        <w:t xml:space="preserve">the </w:t>
      </w:r>
      <w:r w:rsidR="00BC0830" w:rsidRPr="00393D99">
        <w:rPr>
          <w:rFonts w:ascii="Times New Roman" w:hAnsi="Times New Roman" w:cs="Times New Roman"/>
          <w:sz w:val="24"/>
          <w:szCs w:val="24"/>
        </w:rPr>
        <w:t>United States, Japan</w:t>
      </w:r>
      <w:r w:rsidR="003B32CA" w:rsidRPr="00393D99">
        <w:rPr>
          <w:rFonts w:ascii="Times New Roman" w:hAnsi="Times New Roman" w:cs="Times New Roman"/>
          <w:sz w:val="24"/>
          <w:szCs w:val="24"/>
        </w:rPr>
        <w:t>,</w:t>
      </w:r>
      <w:r w:rsidR="00BC0830" w:rsidRPr="00393D99">
        <w:rPr>
          <w:rFonts w:ascii="Times New Roman" w:hAnsi="Times New Roman" w:cs="Times New Roman"/>
          <w:sz w:val="24"/>
          <w:szCs w:val="24"/>
        </w:rPr>
        <w:t xml:space="preserve"> and E</w:t>
      </w:r>
      <w:r w:rsidR="000F7DB8" w:rsidRPr="00393D99">
        <w:rPr>
          <w:rFonts w:ascii="Times New Roman" w:hAnsi="Times New Roman" w:cs="Times New Roman"/>
          <w:sz w:val="24"/>
          <w:szCs w:val="24"/>
        </w:rPr>
        <w:t>U countries (excluding Romania)</w:t>
      </w:r>
      <w:r w:rsidR="00BC0830" w:rsidRPr="00393D99">
        <w:rPr>
          <w:rFonts w:ascii="Times New Roman" w:hAnsi="Times New Roman" w:cs="Times New Roman"/>
          <w:sz w:val="24"/>
          <w:szCs w:val="24"/>
        </w:rPr>
        <w:t xml:space="preserve">. </w:t>
      </w:r>
      <w:r w:rsidR="00C379B5" w:rsidRPr="00393D99">
        <w:rPr>
          <w:rFonts w:ascii="Times New Roman" w:hAnsi="Times New Roman" w:cs="Times New Roman"/>
          <w:sz w:val="24"/>
          <w:szCs w:val="24"/>
        </w:rPr>
        <w:t xml:space="preserve">For instance, </w:t>
      </w:r>
      <w:r w:rsidR="00D84AB0">
        <w:rPr>
          <w:rFonts w:ascii="Times New Roman" w:hAnsi="Times New Roman" w:cs="Times New Roman"/>
          <w:sz w:val="24"/>
          <w:szCs w:val="24"/>
        </w:rPr>
        <w:t>[1]</w:t>
      </w:r>
      <w:r w:rsidR="00C379B5" w:rsidRPr="00393D99">
        <w:rPr>
          <w:rFonts w:ascii="Times New Roman" w:hAnsi="Times New Roman" w:cs="Times New Roman"/>
          <w:sz w:val="24"/>
          <w:szCs w:val="24"/>
        </w:rPr>
        <w:t xml:space="preserve"> found a small but positive </w:t>
      </w:r>
      <w:r w:rsidR="00686DF5" w:rsidRPr="00393D99">
        <w:rPr>
          <w:rFonts w:ascii="Times New Roman" w:hAnsi="Times New Roman" w:cs="Times New Roman"/>
          <w:sz w:val="24"/>
          <w:szCs w:val="24"/>
        </w:rPr>
        <w:t>influence</w:t>
      </w:r>
      <w:r w:rsidR="00C379B5" w:rsidRPr="00393D99">
        <w:rPr>
          <w:rFonts w:ascii="Times New Roman" w:hAnsi="Times New Roman" w:cs="Times New Roman"/>
          <w:sz w:val="24"/>
          <w:szCs w:val="24"/>
        </w:rPr>
        <w:t xml:space="preserve"> of </w:t>
      </w:r>
      <w:r w:rsidR="00073358" w:rsidRPr="00393D99">
        <w:rPr>
          <w:rFonts w:ascii="Times New Roman" w:hAnsi="Times New Roman" w:cs="Times New Roman"/>
          <w:sz w:val="24"/>
          <w:szCs w:val="24"/>
        </w:rPr>
        <w:t>OFDI</w:t>
      </w:r>
      <w:r w:rsidR="00C379B5" w:rsidRPr="00393D99">
        <w:rPr>
          <w:rFonts w:ascii="Times New Roman" w:hAnsi="Times New Roman" w:cs="Times New Roman"/>
          <w:sz w:val="24"/>
          <w:szCs w:val="24"/>
        </w:rPr>
        <w:t xml:space="preserve"> on the source countr</w:t>
      </w:r>
      <w:r w:rsidR="000F0DBD" w:rsidRPr="00393D99">
        <w:rPr>
          <w:rFonts w:ascii="Times New Roman" w:hAnsi="Times New Roman" w:cs="Times New Roman"/>
          <w:sz w:val="24"/>
          <w:szCs w:val="24"/>
        </w:rPr>
        <w:t>ies</w:t>
      </w:r>
      <w:r w:rsidR="00C379B5" w:rsidRPr="00393D99">
        <w:rPr>
          <w:rFonts w:ascii="Times New Roman" w:hAnsi="Times New Roman" w:cs="Times New Roman"/>
          <w:sz w:val="24"/>
          <w:szCs w:val="24"/>
        </w:rPr>
        <w:t xml:space="preserve">. For the 12 European Union countries, </w:t>
      </w:r>
      <w:r w:rsidR="00D84AB0">
        <w:rPr>
          <w:rFonts w:ascii="Times New Roman" w:hAnsi="Times New Roman" w:cs="Times New Roman"/>
          <w:sz w:val="24"/>
          <w:szCs w:val="24"/>
        </w:rPr>
        <w:t>[22]</w:t>
      </w:r>
      <w:r w:rsidR="00C379B5" w:rsidRPr="00393D99">
        <w:rPr>
          <w:rFonts w:ascii="Times New Roman" w:hAnsi="Times New Roman" w:cs="Times New Roman"/>
          <w:sz w:val="24"/>
          <w:szCs w:val="24"/>
        </w:rPr>
        <w:t xml:space="preserve"> concluded that</w:t>
      </w:r>
      <w:r w:rsidR="00073358" w:rsidRPr="00393D99">
        <w:rPr>
          <w:rFonts w:ascii="Times New Roman" w:hAnsi="Times New Roman" w:cs="Times New Roman"/>
          <w:sz w:val="24"/>
          <w:szCs w:val="24"/>
        </w:rPr>
        <w:t xml:space="preserve"> OFDI</w:t>
      </w:r>
      <w:r w:rsidR="00C379B5" w:rsidRPr="00393D99">
        <w:rPr>
          <w:rFonts w:ascii="Times New Roman" w:hAnsi="Times New Roman" w:cs="Times New Roman"/>
          <w:sz w:val="24"/>
          <w:szCs w:val="24"/>
        </w:rPr>
        <w:t xml:space="preserve"> expands the competitiveness and the output of domestic firms. By using </w:t>
      </w:r>
      <w:r w:rsidR="00E55B90" w:rsidRPr="00393D99">
        <w:rPr>
          <w:rFonts w:ascii="Times New Roman" w:hAnsi="Times New Roman" w:cs="Times New Roman"/>
          <w:sz w:val="24"/>
          <w:szCs w:val="24"/>
        </w:rPr>
        <w:t xml:space="preserve">regressions for </w:t>
      </w:r>
      <w:r w:rsidR="007E4378" w:rsidRPr="00393D99">
        <w:rPr>
          <w:rFonts w:ascii="Times New Roman" w:hAnsi="Times New Roman" w:cs="Times New Roman"/>
          <w:sz w:val="24"/>
          <w:szCs w:val="24"/>
        </w:rPr>
        <w:t>50 countries</w:t>
      </w:r>
      <w:r w:rsidR="007E4378" w:rsidRPr="00393D99" w:rsidDel="00E55B90">
        <w:rPr>
          <w:rFonts w:ascii="Times New Roman" w:hAnsi="Times New Roman" w:cs="Times New Roman"/>
          <w:sz w:val="24"/>
          <w:szCs w:val="24"/>
        </w:rPr>
        <w:t xml:space="preserve"> </w:t>
      </w:r>
      <w:r w:rsidR="007E4378" w:rsidRPr="00393D99">
        <w:rPr>
          <w:rFonts w:ascii="Times New Roman" w:hAnsi="Times New Roman" w:cs="Times New Roman"/>
          <w:sz w:val="24"/>
          <w:szCs w:val="24"/>
        </w:rPr>
        <w:lastRenderedPageBreak/>
        <w:t xml:space="preserve">and time series estimation for the United States, </w:t>
      </w:r>
      <w:r w:rsidR="00D84AB0">
        <w:rPr>
          <w:rFonts w:ascii="Times New Roman" w:hAnsi="Times New Roman" w:cs="Times New Roman"/>
          <w:sz w:val="24"/>
          <w:szCs w:val="24"/>
        </w:rPr>
        <w:t>[6,21]</w:t>
      </w:r>
      <w:r w:rsidR="00634984" w:rsidRPr="00393D99">
        <w:rPr>
          <w:rFonts w:ascii="Times New Roman" w:hAnsi="Times New Roman" w:cs="Times New Roman"/>
          <w:sz w:val="24"/>
          <w:szCs w:val="24"/>
        </w:rPr>
        <w:t xml:space="preserve"> </w:t>
      </w:r>
      <w:r w:rsidR="004D612C" w:rsidRPr="00393D99">
        <w:rPr>
          <w:rFonts w:ascii="Times New Roman" w:hAnsi="Times New Roman" w:cs="Times New Roman"/>
          <w:sz w:val="24"/>
          <w:szCs w:val="24"/>
        </w:rPr>
        <w:t xml:space="preserve">identified that OFDI plays </w:t>
      </w:r>
      <w:r w:rsidR="008377A0" w:rsidRPr="00393D99">
        <w:rPr>
          <w:rFonts w:ascii="Times New Roman" w:hAnsi="Times New Roman" w:cs="Times New Roman"/>
          <w:sz w:val="24"/>
          <w:szCs w:val="24"/>
        </w:rPr>
        <w:t xml:space="preserve">a </w:t>
      </w:r>
      <w:r w:rsidR="004D612C" w:rsidRPr="00393D99">
        <w:rPr>
          <w:rFonts w:ascii="Times New Roman" w:hAnsi="Times New Roman" w:cs="Times New Roman"/>
          <w:sz w:val="24"/>
          <w:szCs w:val="24"/>
        </w:rPr>
        <w:t xml:space="preserve">positive role </w:t>
      </w:r>
      <w:r w:rsidR="007E4378" w:rsidRPr="00393D99">
        <w:rPr>
          <w:rFonts w:ascii="Times New Roman" w:hAnsi="Times New Roman" w:cs="Times New Roman"/>
          <w:sz w:val="24"/>
          <w:szCs w:val="24"/>
        </w:rPr>
        <w:t xml:space="preserve">in stimulating </w:t>
      </w:r>
      <w:r w:rsidR="008377A0" w:rsidRPr="00393D99">
        <w:rPr>
          <w:rFonts w:ascii="Times New Roman" w:hAnsi="Times New Roman" w:cs="Times New Roman"/>
          <w:sz w:val="24"/>
          <w:szCs w:val="24"/>
        </w:rPr>
        <w:t xml:space="preserve">the </w:t>
      </w:r>
      <w:r w:rsidR="007E4378" w:rsidRPr="00393D99">
        <w:rPr>
          <w:rFonts w:ascii="Times New Roman" w:hAnsi="Times New Roman" w:cs="Times New Roman"/>
          <w:sz w:val="24"/>
          <w:szCs w:val="24"/>
        </w:rPr>
        <w:t>economic growth of the home country.</w:t>
      </w:r>
    </w:p>
    <w:p w14:paraId="577CCEEE" w14:textId="77777777" w:rsidR="00DF1409" w:rsidRDefault="00C379B5" w:rsidP="00DF1409">
      <w:pPr>
        <w:spacing w:after="0" w:line="480" w:lineRule="auto"/>
        <w:ind w:firstLine="720"/>
        <w:jc w:val="both"/>
        <w:rPr>
          <w:rFonts w:ascii="Times New Roman" w:hAnsi="Times New Roman" w:cs="Times New Roman"/>
          <w:color w:val="000000" w:themeColor="text1"/>
          <w:sz w:val="24"/>
          <w:szCs w:val="24"/>
        </w:rPr>
      </w:pPr>
      <w:r w:rsidRPr="00393D99">
        <w:rPr>
          <w:rFonts w:ascii="Times New Roman" w:hAnsi="Times New Roman" w:cs="Times New Roman"/>
          <w:sz w:val="24"/>
          <w:szCs w:val="24"/>
        </w:rPr>
        <w:t xml:space="preserve">A </w:t>
      </w:r>
      <w:r w:rsidR="003B32CA" w:rsidRPr="00393D99">
        <w:rPr>
          <w:rFonts w:ascii="Times New Roman" w:hAnsi="Times New Roman" w:cs="Times New Roman"/>
          <w:sz w:val="24"/>
          <w:szCs w:val="24"/>
        </w:rPr>
        <w:t xml:space="preserve">characteristic </w:t>
      </w:r>
      <w:r w:rsidRPr="00393D99">
        <w:rPr>
          <w:rFonts w:ascii="Times New Roman" w:hAnsi="Times New Roman" w:cs="Times New Roman"/>
          <w:sz w:val="24"/>
          <w:szCs w:val="24"/>
        </w:rPr>
        <w:t xml:space="preserve">feature of previous studies regarding OFDI and economic growth is that they </w:t>
      </w:r>
      <w:r w:rsidR="00D62F78" w:rsidRPr="00393D99">
        <w:rPr>
          <w:rFonts w:ascii="Times New Roman" w:hAnsi="Times New Roman" w:cs="Times New Roman"/>
          <w:sz w:val="24"/>
          <w:szCs w:val="24"/>
        </w:rPr>
        <w:t>presumed</w:t>
      </w:r>
      <w:r w:rsidRPr="00393D99">
        <w:rPr>
          <w:rFonts w:ascii="Times New Roman" w:hAnsi="Times New Roman" w:cs="Times New Roman"/>
          <w:sz w:val="24"/>
          <w:szCs w:val="24"/>
        </w:rPr>
        <w:t xml:space="preserve"> </w:t>
      </w:r>
      <w:r w:rsidR="003B32CA" w:rsidRPr="00393D99">
        <w:rPr>
          <w:rFonts w:ascii="Times New Roman" w:hAnsi="Times New Roman" w:cs="Times New Roman"/>
          <w:sz w:val="24"/>
          <w:szCs w:val="24"/>
        </w:rPr>
        <w:t xml:space="preserve">the </w:t>
      </w:r>
      <w:r w:rsidRPr="00393D99">
        <w:rPr>
          <w:rFonts w:ascii="Times New Roman" w:hAnsi="Times New Roman" w:cs="Times New Roman"/>
          <w:sz w:val="24"/>
          <w:szCs w:val="24"/>
        </w:rPr>
        <w:t>symmetric relationship between both variables</w:t>
      </w:r>
      <w:r w:rsidR="00883C93" w:rsidRPr="00393D99">
        <w:rPr>
          <w:rFonts w:ascii="Times New Roman" w:hAnsi="Times New Roman" w:cs="Times New Roman"/>
          <w:sz w:val="24"/>
          <w:szCs w:val="24"/>
        </w:rPr>
        <w:t>. For instance,</w:t>
      </w:r>
      <w:r w:rsidR="00F72AD3" w:rsidRPr="00393D99">
        <w:rPr>
          <w:rFonts w:ascii="Times New Roman" w:hAnsi="Times New Roman" w:cs="Times New Roman"/>
          <w:sz w:val="24"/>
          <w:szCs w:val="24"/>
        </w:rPr>
        <w:t xml:space="preserve"> </w:t>
      </w:r>
      <w:r w:rsidR="00D84AB0">
        <w:rPr>
          <w:rFonts w:ascii="Times New Roman" w:hAnsi="Times New Roman" w:cs="Times New Roman"/>
          <w:sz w:val="24"/>
          <w:szCs w:val="24"/>
        </w:rPr>
        <w:t>[38]</w:t>
      </w:r>
      <w:r w:rsidR="00F72AD3" w:rsidRPr="00393D99">
        <w:rPr>
          <w:rFonts w:ascii="Times New Roman" w:hAnsi="Times New Roman" w:cs="Times New Roman"/>
          <w:sz w:val="24"/>
          <w:szCs w:val="24"/>
        </w:rPr>
        <w:t xml:space="preserve"> </w:t>
      </w:r>
      <w:r w:rsidR="00A84235" w:rsidRPr="00393D99">
        <w:rPr>
          <w:rFonts w:ascii="Times New Roman" w:hAnsi="Times New Roman" w:cs="Times New Roman"/>
          <w:sz w:val="24"/>
          <w:szCs w:val="24"/>
        </w:rPr>
        <w:t xml:space="preserve">analyzed OFDI and economic growth for </w:t>
      </w:r>
      <w:r w:rsidR="007B6FA9" w:rsidRPr="00393D99">
        <w:rPr>
          <w:rFonts w:ascii="Times New Roman" w:hAnsi="Times New Roman" w:cs="Times New Roman"/>
          <w:sz w:val="24"/>
          <w:szCs w:val="24"/>
        </w:rPr>
        <w:t xml:space="preserve">the </w:t>
      </w:r>
      <w:r w:rsidR="00A84235" w:rsidRPr="00393D99">
        <w:rPr>
          <w:rFonts w:ascii="Times New Roman" w:hAnsi="Times New Roman" w:cs="Times New Roman"/>
          <w:sz w:val="24"/>
          <w:szCs w:val="24"/>
        </w:rPr>
        <w:t xml:space="preserve">Malaysian economy by </w:t>
      </w:r>
      <w:r w:rsidR="00D62F78" w:rsidRPr="00393D99">
        <w:rPr>
          <w:rFonts w:ascii="Times New Roman" w:hAnsi="Times New Roman" w:cs="Times New Roman"/>
          <w:sz w:val="24"/>
          <w:szCs w:val="24"/>
        </w:rPr>
        <w:t>utilizing</w:t>
      </w:r>
      <w:r w:rsidR="008377A0" w:rsidRPr="00393D99">
        <w:rPr>
          <w:rFonts w:ascii="Times New Roman" w:hAnsi="Times New Roman" w:cs="Times New Roman"/>
          <w:sz w:val="24"/>
          <w:szCs w:val="24"/>
        </w:rPr>
        <w:t xml:space="preserve"> </w:t>
      </w:r>
      <w:r w:rsidR="007B6FA9" w:rsidRPr="00393D99">
        <w:rPr>
          <w:rFonts w:ascii="Times New Roman" w:hAnsi="Times New Roman" w:cs="Times New Roman"/>
          <w:sz w:val="24"/>
          <w:szCs w:val="24"/>
        </w:rPr>
        <w:t xml:space="preserve">the </w:t>
      </w:r>
      <w:r w:rsidR="00A84235" w:rsidRPr="00393D99">
        <w:rPr>
          <w:rFonts w:ascii="Times New Roman" w:hAnsi="Times New Roman" w:cs="Times New Roman"/>
          <w:sz w:val="24"/>
          <w:szCs w:val="24"/>
        </w:rPr>
        <w:t xml:space="preserve">vector error-correction model (VECM). </w:t>
      </w:r>
      <w:r w:rsidR="00D84AB0">
        <w:rPr>
          <w:rFonts w:ascii="Times New Roman" w:hAnsi="Times New Roman" w:cs="Times New Roman"/>
          <w:sz w:val="24"/>
          <w:szCs w:val="24"/>
        </w:rPr>
        <w:t>[6]</w:t>
      </w:r>
      <w:r w:rsidR="00A84235" w:rsidRPr="00393D99">
        <w:rPr>
          <w:rFonts w:ascii="Times New Roman" w:hAnsi="Times New Roman" w:cs="Times New Roman"/>
          <w:sz w:val="24"/>
          <w:szCs w:val="24"/>
        </w:rPr>
        <w:t xml:space="preserve"> using a sample of 50 countries</w:t>
      </w:r>
      <w:r w:rsidR="007B6FA9" w:rsidRPr="00393D99">
        <w:rPr>
          <w:rFonts w:ascii="Times New Roman" w:hAnsi="Times New Roman" w:cs="Times New Roman"/>
          <w:sz w:val="24"/>
          <w:szCs w:val="24"/>
        </w:rPr>
        <w:t>,</w:t>
      </w:r>
      <w:r w:rsidR="00A84235" w:rsidRPr="00393D99">
        <w:rPr>
          <w:rFonts w:ascii="Times New Roman" w:hAnsi="Times New Roman" w:cs="Times New Roman"/>
          <w:sz w:val="24"/>
          <w:szCs w:val="24"/>
        </w:rPr>
        <w:t xml:space="preserve"> </w:t>
      </w:r>
      <w:r w:rsidR="00D62F78" w:rsidRPr="00393D99">
        <w:rPr>
          <w:rFonts w:ascii="Times New Roman" w:hAnsi="Times New Roman" w:cs="Times New Roman"/>
          <w:sz w:val="24"/>
          <w:szCs w:val="24"/>
        </w:rPr>
        <w:t xml:space="preserve">investigated the </w:t>
      </w:r>
      <w:r w:rsidR="006C74B0" w:rsidRPr="00393D99">
        <w:rPr>
          <w:rFonts w:ascii="Times New Roman" w:hAnsi="Times New Roman" w:cs="Times New Roman"/>
          <w:sz w:val="24"/>
          <w:szCs w:val="24"/>
        </w:rPr>
        <w:t>association</w:t>
      </w:r>
      <w:r w:rsidR="00D62F78" w:rsidRPr="00393D99">
        <w:rPr>
          <w:rFonts w:ascii="Times New Roman" w:hAnsi="Times New Roman" w:cs="Times New Roman"/>
          <w:sz w:val="24"/>
          <w:szCs w:val="24"/>
        </w:rPr>
        <w:t xml:space="preserve"> between </w:t>
      </w:r>
      <w:r w:rsidR="00A84235" w:rsidRPr="00393D99">
        <w:rPr>
          <w:rFonts w:ascii="Times New Roman" w:hAnsi="Times New Roman" w:cs="Times New Roman"/>
          <w:sz w:val="24"/>
          <w:szCs w:val="24"/>
        </w:rPr>
        <w:t xml:space="preserve">outward FDI </w:t>
      </w:r>
      <w:r w:rsidR="00D62F78" w:rsidRPr="00393D99">
        <w:rPr>
          <w:rFonts w:ascii="Times New Roman" w:hAnsi="Times New Roman" w:cs="Times New Roman"/>
          <w:sz w:val="24"/>
          <w:szCs w:val="24"/>
        </w:rPr>
        <w:t>and</w:t>
      </w:r>
      <w:r w:rsidR="00A84235" w:rsidRPr="00393D99">
        <w:rPr>
          <w:rFonts w:ascii="Times New Roman" w:hAnsi="Times New Roman" w:cs="Times New Roman"/>
          <w:sz w:val="24"/>
          <w:szCs w:val="24"/>
        </w:rPr>
        <w:t xml:space="preserve"> economic growth by </w:t>
      </w:r>
      <w:r w:rsidR="008709C9" w:rsidRPr="00393D99">
        <w:rPr>
          <w:rFonts w:ascii="Times New Roman" w:hAnsi="Times New Roman" w:cs="Times New Roman"/>
          <w:sz w:val="24"/>
          <w:szCs w:val="24"/>
        </w:rPr>
        <w:t xml:space="preserve">employing </w:t>
      </w:r>
      <w:r w:rsidR="00A84235" w:rsidRPr="00393D99">
        <w:rPr>
          <w:rFonts w:ascii="Times New Roman" w:hAnsi="Times New Roman" w:cs="Times New Roman"/>
          <w:sz w:val="24"/>
          <w:szCs w:val="24"/>
        </w:rPr>
        <w:t xml:space="preserve">cross-country and </w:t>
      </w:r>
      <w:r w:rsidR="007B6FA9" w:rsidRPr="00393D99">
        <w:rPr>
          <w:rFonts w:ascii="Times New Roman" w:hAnsi="Times New Roman" w:cs="Times New Roman"/>
          <w:sz w:val="24"/>
          <w:szCs w:val="24"/>
        </w:rPr>
        <w:t>time-</w:t>
      </w:r>
      <w:r w:rsidR="00A84235" w:rsidRPr="00393D99">
        <w:rPr>
          <w:rFonts w:ascii="Times New Roman" w:hAnsi="Times New Roman" w:cs="Times New Roman"/>
          <w:sz w:val="24"/>
          <w:szCs w:val="24"/>
        </w:rPr>
        <w:t>series</w:t>
      </w:r>
      <w:r w:rsidR="008709C9" w:rsidRPr="00393D99">
        <w:rPr>
          <w:rFonts w:ascii="Times New Roman" w:hAnsi="Times New Roman" w:cs="Times New Roman"/>
          <w:sz w:val="24"/>
          <w:szCs w:val="24"/>
        </w:rPr>
        <w:t xml:space="preserve"> regressions</w:t>
      </w:r>
      <w:r w:rsidR="00A84235" w:rsidRPr="00393D99">
        <w:rPr>
          <w:rFonts w:ascii="Times New Roman" w:hAnsi="Times New Roman" w:cs="Times New Roman"/>
          <w:sz w:val="24"/>
          <w:szCs w:val="24"/>
        </w:rPr>
        <w:t xml:space="preserve">. </w:t>
      </w:r>
      <w:r w:rsidR="00D84AB0">
        <w:rPr>
          <w:rFonts w:ascii="Times New Roman" w:hAnsi="Times New Roman" w:cs="Times New Roman"/>
          <w:sz w:val="24"/>
          <w:szCs w:val="24"/>
        </w:rPr>
        <w:t>[39]</w:t>
      </w:r>
      <w:r w:rsidR="00A84235" w:rsidRPr="00393D99">
        <w:rPr>
          <w:rFonts w:ascii="Times New Roman" w:hAnsi="Times New Roman" w:cs="Times New Roman"/>
          <w:sz w:val="24"/>
          <w:szCs w:val="24"/>
        </w:rPr>
        <w:t xml:space="preserve"> </w:t>
      </w:r>
      <w:r w:rsidR="006C74B0" w:rsidRPr="00393D99">
        <w:rPr>
          <w:rFonts w:ascii="Times New Roman" w:hAnsi="Times New Roman" w:cs="Times New Roman"/>
          <w:sz w:val="24"/>
          <w:szCs w:val="24"/>
        </w:rPr>
        <w:t>investigated the relationship b</w:t>
      </w:r>
      <w:r w:rsidR="008377A0" w:rsidRPr="00393D99">
        <w:rPr>
          <w:rFonts w:ascii="Times New Roman" w:hAnsi="Times New Roman" w:cs="Times New Roman"/>
          <w:sz w:val="24"/>
          <w:szCs w:val="24"/>
        </w:rPr>
        <w:t>e</w:t>
      </w:r>
      <w:r w:rsidR="006C74B0" w:rsidRPr="00393D99">
        <w:rPr>
          <w:rFonts w:ascii="Times New Roman" w:hAnsi="Times New Roman" w:cs="Times New Roman"/>
          <w:sz w:val="24"/>
          <w:szCs w:val="24"/>
        </w:rPr>
        <w:t xml:space="preserve">tween OFDI </w:t>
      </w:r>
      <w:r w:rsidR="00EE12D6" w:rsidRPr="00393D99">
        <w:rPr>
          <w:rFonts w:ascii="Times New Roman" w:hAnsi="Times New Roman" w:cs="Times New Roman"/>
          <w:sz w:val="24"/>
          <w:szCs w:val="24"/>
        </w:rPr>
        <w:t>and economic growth for Japan using</w:t>
      </w:r>
      <w:r w:rsidR="0030244F" w:rsidRPr="00393D99">
        <w:rPr>
          <w:rFonts w:ascii="Times New Roman" w:hAnsi="Times New Roman" w:cs="Times New Roman"/>
          <w:sz w:val="24"/>
          <w:szCs w:val="24"/>
        </w:rPr>
        <w:t xml:space="preserve"> </w:t>
      </w:r>
      <w:r w:rsidR="00F86D5C" w:rsidRPr="00393D99">
        <w:rPr>
          <w:rFonts w:ascii="Times New Roman" w:hAnsi="Times New Roman" w:cs="Times New Roman"/>
          <w:sz w:val="24"/>
          <w:szCs w:val="24"/>
        </w:rPr>
        <w:t>b</w:t>
      </w:r>
      <w:r w:rsidR="00A84235" w:rsidRPr="00393D99">
        <w:rPr>
          <w:rFonts w:ascii="Times New Roman" w:hAnsi="Times New Roman" w:cs="Times New Roman"/>
          <w:sz w:val="24"/>
          <w:szCs w:val="24"/>
        </w:rPr>
        <w:t xml:space="preserve">ivariate and multivariate Granger causality </w:t>
      </w:r>
      <w:r w:rsidR="00F86D5C" w:rsidRPr="00393D99">
        <w:rPr>
          <w:rFonts w:ascii="Times New Roman" w:hAnsi="Times New Roman" w:cs="Times New Roman"/>
          <w:sz w:val="24"/>
          <w:szCs w:val="24"/>
        </w:rPr>
        <w:t>tests</w:t>
      </w:r>
      <w:r w:rsidR="00A84235" w:rsidRPr="00393D99">
        <w:rPr>
          <w:rFonts w:ascii="Times New Roman" w:hAnsi="Times New Roman" w:cs="Times New Roman"/>
          <w:sz w:val="24"/>
          <w:szCs w:val="24"/>
        </w:rPr>
        <w:t xml:space="preserve">. </w:t>
      </w:r>
      <w:r w:rsidR="00943382" w:rsidRPr="00393D99">
        <w:rPr>
          <w:rFonts w:ascii="Times New Roman" w:hAnsi="Times New Roman" w:cs="Times New Roman"/>
          <w:sz w:val="24"/>
          <w:szCs w:val="24"/>
        </w:rPr>
        <w:t>T</w:t>
      </w:r>
      <w:r w:rsidRPr="00393D99">
        <w:rPr>
          <w:rFonts w:ascii="Times New Roman" w:hAnsi="Times New Roman" w:cs="Times New Roman"/>
          <w:sz w:val="24"/>
          <w:szCs w:val="24"/>
        </w:rPr>
        <w:t>he impact of outward investment on economic growth might not be only symmetric</w:t>
      </w:r>
      <w:r w:rsidR="003B32CA" w:rsidRPr="00393D99">
        <w:rPr>
          <w:rFonts w:ascii="Times New Roman" w:hAnsi="Times New Roman" w:cs="Times New Roman"/>
          <w:sz w:val="24"/>
          <w:szCs w:val="24"/>
        </w:rPr>
        <w:t xml:space="preserve">; </w:t>
      </w:r>
      <w:r w:rsidRPr="00393D99">
        <w:rPr>
          <w:rFonts w:ascii="Times New Roman" w:hAnsi="Times New Roman" w:cs="Times New Roman"/>
          <w:sz w:val="24"/>
          <w:szCs w:val="24"/>
        </w:rPr>
        <w:t>that is, it is not necessary if a rise in overseas investment increases economic growth</w:t>
      </w:r>
      <w:r w:rsidR="008377A0" w:rsidRPr="00393D99">
        <w:rPr>
          <w:rFonts w:ascii="Times New Roman" w:hAnsi="Times New Roman" w:cs="Times New Roman"/>
          <w:sz w:val="24"/>
          <w:szCs w:val="24"/>
        </w:rPr>
        <w:t>,</w:t>
      </w:r>
      <w:r w:rsidR="00703CAB" w:rsidRPr="00393D99">
        <w:rPr>
          <w:rFonts w:ascii="Times New Roman" w:hAnsi="Times New Roman" w:cs="Times New Roman"/>
          <w:sz w:val="24"/>
          <w:szCs w:val="24"/>
        </w:rPr>
        <w:t xml:space="preserve"> and </w:t>
      </w:r>
      <w:r w:rsidRPr="00393D99">
        <w:rPr>
          <w:rFonts w:ascii="Times New Roman" w:hAnsi="Times New Roman" w:cs="Times New Roman"/>
          <w:sz w:val="24"/>
          <w:szCs w:val="24"/>
        </w:rPr>
        <w:t xml:space="preserve">a decline will also reduce economic growth. In reality, the substitution between </w:t>
      </w:r>
      <w:r w:rsidR="00633AD8" w:rsidRPr="00393D99">
        <w:rPr>
          <w:rFonts w:ascii="Times New Roman" w:hAnsi="Times New Roman" w:cs="Times New Roman"/>
          <w:sz w:val="24"/>
          <w:szCs w:val="24"/>
        </w:rPr>
        <w:t xml:space="preserve">local and overseas </w:t>
      </w:r>
      <w:r w:rsidR="006C74B0" w:rsidRPr="00393D99">
        <w:rPr>
          <w:rFonts w:ascii="Times New Roman" w:hAnsi="Times New Roman" w:cs="Times New Roman"/>
          <w:sz w:val="24"/>
          <w:szCs w:val="24"/>
        </w:rPr>
        <w:t xml:space="preserve">investment </w:t>
      </w:r>
      <w:r w:rsidR="00633AD8" w:rsidRPr="00393D99">
        <w:rPr>
          <w:rFonts w:ascii="Times New Roman" w:hAnsi="Times New Roman" w:cs="Times New Roman"/>
          <w:sz w:val="24"/>
          <w:szCs w:val="24"/>
        </w:rPr>
        <w:t>indicates</w:t>
      </w:r>
      <w:r w:rsidRPr="00393D99">
        <w:rPr>
          <w:rFonts w:ascii="Times New Roman" w:hAnsi="Times New Roman" w:cs="Times New Roman"/>
          <w:sz w:val="24"/>
          <w:szCs w:val="24"/>
        </w:rPr>
        <w:t xml:space="preserve"> that a decline in overseas investment might also fuel economic growth through rising domestic investment. Moreover, a decline in outward investment makes </w:t>
      </w:r>
      <w:r w:rsidR="00EE12D6" w:rsidRPr="00393D99">
        <w:rPr>
          <w:rFonts w:ascii="Times New Roman" w:hAnsi="Times New Roman" w:cs="Times New Roman"/>
          <w:sz w:val="24"/>
          <w:szCs w:val="24"/>
        </w:rPr>
        <w:t>resources</w:t>
      </w:r>
      <w:r w:rsidR="008377A0" w:rsidRPr="00393D99">
        <w:rPr>
          <w:rFonts w:ascii="Times New Roman" w:hAnsi="Times New Roman" w:cs="Times New Roman"/>
          <w:sz w:val="24"/>
          <w:szCs w:val="24"/>
        </w:rPr>
        <w:t xml:space="preserve"> </w:t>
      </w:r>
      <w:r w:rsidRPr="00393D99">
        <w:rPr>
          <w:rFonts w:ascii="Times New Roman" w:hAnsi="Times New Roman" w:cs="Times New Roman"/>
          <w:sz w:val="24"/>
          <w:szCs w:val="24"/>
        </w:rPr>
        <w:t xml:space="preserve">available for domestic investment, indicating </w:t>
      </w:r>
      <w:r w:rsidR="003B32CA" w:rsidRPr="00393D99">
        <w:rPr>
          <w:rFonts w:ascii="Times New Roman" w:hAnsi="Times New Roman" w:cs="Times New Roman"/>
          <w:sz w:val="24"/>
          <w:szCs w:val="24"/>
        </w:rPr>
        <w:t xml:space="preserve">higher </w:t>
      </w:r>
      <w:r w:rsidRPr="00393D99">
        <w:rPr>
          <w:rFonts w:ascii="Times New Roman" w:hAnsi="Times New Roman" w:cs="Times New Roman"/>
          <w:sz w:val="24"/>
          <w:szCs w:val="24"/>
        </w:rPr>
        <w:t xml:space="preserve">economic activities in the home country. These </w:t>
      </w:r>
      <w:r w:rsidR="006C74B0" w:rsidRPr="00393D99">
        <w:rPr>
          <w:rFonts w:ascii="Times New Roman" w:hAnsi="Times New Roman" w:cs="Times New Roman"/>
          <w:sz w:val="24"/>
          <w:szCs w:val="24"/>
        </w:rPr>
        <w:t>insights</w:t>
      </w:r>
      <w:r w:rsidRPr="00393D99">
        <w:rPr>
          <w:rFonts w:ascii="Times New Roman" w:hAnsi="Times New Roman" w:cs="Times New Roman"/>
          <w:sz w:val="24"/>
          <w:szCs w:val="24"/>
        </w:rPr>
        <w:t xml:space="preserve"> require paying </w:t>
      </w:r>
      <w:r w:rsidR="00EE12D6" w:rsidRPr="00393D99">
        <w:rPr>
          <w:rFonts w:ascii="Times New Roman" w:hAnsi="Times New Roman" w:cs="Times New Roman"/>
          <w:sz w:val="24"/>
          <w:szCs w:val="24"/>
        </w:rPr>
        <w:t>more</w:t>
      </w:r>
      <w:r w:rsidRPr="00393D99">
        <w:rPr>
          <w:rFonts w:ascii="Times New Roman" w:hAnsi="Times New Roman" w:cs="Times New Roman"/>
          <w:sz w:val="24"/>
          <w:szCs w:val="24"/>
        </w:rPr>
        <w:t xml:space="preserve"> attention to the asymmetric effects of overseas investment on economic growth. </w:t>
      </w:r>
      <w:r w:rsidR="00703CAB" w:rsidRPr="00393D99">
        <w:rPr>
          <w:rFonts w:ascii="Times New Roman" w:hAnsi="Times New Roman" w:cs="Times New Roman"/>
          <w:sz w:val="24"/>
          <w:szCs w:val="24"/>
        </w:rPr>
        <w:t>Only one study by</w:t>
      </w:r>
      <w:r w:rsidR="00943382" w:rsidRPr="00393D99">
        <w:rPr>
          <w:rFonts w:ascii="Times New Roman" w:hAnsi="Times New Roman" w:cs="Times New Roman"/>
          <w:sz w:val="24"/>
          <w:szCs w:val="24"/>
        </w:rPr>
        <w:t xml:space="preserve"> </w:t>
      </w:r>
      <w:r w:rsidR="00D84AB0">
        <w:rPr>
          <w:rFonts w:ascii="Times New Roman" w:hAnsi="Times New Roman" w:cs="Times New Roman"/>
          <w:sz w:val="24"/>
          <w:szCs w:val="24"/>
        </w:rPr>
        <w:t>[40]</w:t>
      </w:r>
      <w:r w:rsidR="00943382" w:rsidRPr="00393D99">
        <w:rPr>
          <w:rFonts w:ascii="Times New Roman" w:hAnsi="Times New Roman" w:cs="Times New Roman"/>
          <w:sz w:val="24"/>
          <w:szCs w:val="24"/>
        </w:rPr>
        <w:t xml:space="preserve"> </w:t>
      </w:r>
      <w:r w:rsidR="00703CAB" w:rsidRPr="00393D99">
        <w:rPr>
          <w:rFonts w:ascii="Times New Roman" w:hAnsi="Times New Roman" w:cs="Times New Roman"/>
          <w:sz w:val="24"/>
          <w:szCs w:val="24"/>
        </w:rPr>
        <w:t xml:space="preserve">has used </w:t>
      </w:r>
      <w:r w:rsidR="00943382" w:rsidRPr="00393D99">
        <w:rPr>
          <w:rFonts w:ascii="Times New Roman" w:hAnsi="Times New Roman" w:cs="Times New Roman"/>
          <w:sz w:val="24"/>
          <w:szCs w:val="24"/>
        </w:rPr>
        <w:t>non-linear ARDL</w:t>
      </w:r>
      <w:r w:rsidR="00703CAB" w:rsidRPr="00393D99">
        <w:rPr>
          <w:rFonts w:ascii="Times New Roman" w:hAnsi="Times New Roman" w:cs="Times New Roman"/>
          <w:sz w:val="24"/>
          <w:szCs w:val="24"/>
        </w:rPr>
        <w:t xml:space="preserve"> </w:t>
      </w:r>
      <w:r w:rsidR="00943382" w:rsidRPr="00393D99">
        <w:rPr>
          <w:rFonts w:ascii="Times New Roman" w:hAnsi="Times New Roman" w:cs="Times New Roman"/>
          <w:sz w:val="24"/>
          <w:szCs w:val="24"/>
        </w:rPr>
        <w:t xml:space="preserve">to capture </w:t>
      </w:r>
      <w:r w:rsidR="008377A0" w:rsidRPr="00393D99">
        <w:rPr>
          <w:rFonts w:ascii="Times New Roman" w:hAnsi="Times New Roman" w:cs="Times New Roman"/>
          <w:sz w:val="24"/>
          <w:szCs w:val="24"/>
        </w:rPr>
        <w:t xml:space="preserve">the </w:t>
      </w:r>
      <w:r w:rsidR="00943382" w:rsidRPr="00393D99">
        <w:rPr>
          <w:rFonts w:ascii="Times New Roman" w:hAnsi="Times New Roman" w:cs="Times New Roman"/>
          <w:sz w:val="24"/>
          <w:szCs w:val="24"/>
        </w:rPr>
        <w:t>asymmetric effects of OFDI and economic growth for China.</w:t>
      </w:r>
    </w:p>
    <w:p w14:paraId="6A1B629D" w14:textId="77777777" w:rsidR="006B355C" w:rsidRPr="00DF1409" w:rsidRDefault="006B355C" w:rsidP="00DF1409">
      <w:pPr>
        <w:spacing w:after="0" w:line="480" w:lineRule="auto"/>
        <w:ind w:firstLine="720"/>
        <w:jc w:val="both"/>
        <w:rPr>
          <w:rFonts w:ascii="Times New Roman" w:hAnsi="Times New Roman" w:cs="Times New Roman"/>
          <w:color w:val="000000" w:themeColor="text1"/>
          <w:sz w:val="24"/>
          <w:szCs w:val="24"/>
        </w:rPr>
      </w:pPr>
      <w:r w:rsidRPr="00393D99">
        <w:rPr>
          <w:rFonts w:ascii="Times New Roman" w:hAnsi="Times New Roman" w:cs="Times New Roman"/>
          <w:sz w:val="24"/>
          <w:szCs w:val="24"/>
        </w:rPr>
        <w:t>Romania</w:t>
      </w:r>
      <w:r w:rsidR="00703CAB" w:rsidRPr="00393D99">
        <w:rPr>
          <w:rFonts w:ascii="Times New Roman" w:hAnsi="Times New Roman" w:cs="Times New Roman"/>
          <w:sz w:val="24"/>
          <w:szCs w:val="24"/>
        </w:rPr>
        <w:t>,</w:t>
      </w:r>
      <w:r w:rsidRPr="00393D99">
        <w:rPr>
          <w:rFonts w:ascii="Times New Roman" w:hAnsi="Times New Roman" w:cs="Times New Roman"/>
          <w:sz w:val="24"/>
          <w:szCs w:val="24"/>
        </w:rPr>
        <w:t xml:space="preserve"> </w:t>
      </w:r>
      <w:r w:rsidR="00703CAB" w:rsidRPr="00393D99">
        <w:rPr>
          <w:rFonts w:ascii="Times New Roman" w:hAnsi="Times New Roman" w:cs="Times New Roman"/>
          <w:sz w:val="24"/>
          <w:szCs w:val="24"/>
        </w:rPr>
        <w:t xml:space="preserve">the </w:t>
      </w:r>
      <w:r w:rsidR="008377A0" w:rsidRPr="00393D99">
        <w:rPr>
          <w:rFonts w:ascii="Times New Roman" w:hAnsi="Times New Roman" w:cs="Times New Roman"/>
          <w:sz w:val="24"/>
          <w:szCs w:val="24"/>
        </w:rPr>
        <w:t>second-</w:t>
      </w:r>
      <w:r w:rsidRPr="00393D99">
        <w:rPr>
          <w:rFonts w:ascii="Times New Roman" w:hAnsi="Times New Roman" w:cs="Times New Roman"/>
          <w:sz w:val="24"/>
          <w:szCs w:val="24"/>
        </w:rPr>
        <w:t xml:space="preserve">largest market </w:t>
      </w:r>
      <w:r w:rsidRPr="00393D99">
        <w:rPr>
          <w:rFonts w:ascii="Times New Roman" w:hAnsi="Times New Roman" w:cs="Times New Roman"/>
          <w:color w:val="222222"/>
          <w:sz w:val="24"/>
          <w:szCs w:val="24"/>
          <w:shd w:val="clear" w:color="auto" w:fill="FFFFFF"/>
        </w:rPr>
        <w:t xml:space="preserve">(after Poland) </w:t>
      </w:r>
      <w:r w:rsidRPr="00393D99">
        <w:rPr>
          <w:rFonts w:ascii="Times New Roman" w:hAnsi="Times New Roman" w:cs="Times New Roman"/>
          <w:color w:val="000000"/>
          <w:sz w:val="24"/>
          <w:szCs w:val="24"/>
        </w:rPr>
        <w:t xml:space="preserve">and a </w:t>
      </w:r>
      <w:r w:rsidR="008377A0" w:rsidRPr="00393D99">
        <w:rPr>
          <w:rFonts w:ascii="Times New Roman" w:hAnsi="Times New Roman" w:cs="Times New Roman"/>
          <w:color w:val="000000"/>
          <w:sz w:val="24"/>
          <w:szCs w:val="24"/>
        </w:rPr>
        <w:t xml:space="preserve">vital </w:t>
      </w:r>
      <w:r w:rsidRPr="00393D99">
        <w:rPr>
          <w:rFonts w:ascii="Times New Roman" w:hAnsi="Times New Roman" w:cs="Times New Roman"/>
          <w:color w:val="000000"/>
          <w:sz w:val="24"/>
          <w:szCs w:val="24"/>
        </w:rPr>
        <w:t xml:space="preserve">transition economy </w:t>
      </w:r>
      <w:r w:rsidRPr="00393D99">
        <w:rPr>
          <w:rFonts w:ascii="Times New Roman" w:hAnsi="Times New Roman" w:cs="Times New Roman"/>
          <w:sz w:val="24"/>
          <w:szCs w:val="24"/>
        </w:rPr>
        <w:t xml:space="preserve">in </w:t>
      </w:r>
      <w:r w:rsidRPr="00393D99">
        <w:rPr>
          <w:rFonts w:ascii="Times New Roman" w:hAnsi="Times New Roman" w:cs="Times New Roman"/>
          <w:color w:val="222222"/>
          <w:sz w:val="24"/>
          <w:szCs w:val="24"/>
          <w:shd w:val="clear" w:color="auto" w:fill="FFFFFF"/>
        </w:rPr>
        <w:t xml:space="preserve">Central and Eastern Europe (CEE), </w:t>
      </w:r>
      <w:r w:rsidR="00703CAB" w:rsidRPr="00393D99">
        <w:rPr>
          <w:rFonts w:ascii="Times New Roman" w:hAnsi="Times New Roman" w:cs="Times New Roman"/>
          <w:color w:val="222222"/>
          <w:sz w:val="24"/>
          <w:szCs w:val="24"/>
          <w:shd w:val="clear" w:color="auto" w:fill="FFFFFF"/>
        </w:rPr>
        <w:t xml:space="preserve">is </w:t>
      </w:r>
      <w:r w:rsidRPr="00393D99">
        <w:rPr>
          <w:rFonts w:ascii="Times New Roman" w:hAnsi="Times New Roman" w:cs="Times New Roman"/>
          <w:color w:val="222222"/>
          <w:sz w:val="24"/>
          <w:szCs w:val="24"/>
          <w:shd w:val="clear" w:color="auto" w:fill="FFFFFF"/>
        </w:rPr>
        <w:t xml:space="preserve">still neglected in previous </w:t>
      </w:r>
      <w:r w:rsidR="007C2A01" w:rsidRPr="00393D99">
        <w:rPr>
          <w:rFonts w:ascii="Times New Roman" w:hAnsi="Times New Roman" w:cs="Times New Roman"/>
          <w:color w:val="222222"/>
          <w:sz w:val="24"/>
          <w:szCs w:val="24"/>
          <w:shd w:val="clear" w:color="auto" w:fill="FFFFFF"/>
        </w:rPr>
        <w:t xml:space="preserve">OFDI </w:t>
      </w:r>
      <w:r w:rsidRPr="00393D99">
        <w:rPr>
          <w:rFonts w:ascii="Times New Roman" w:hAnsi="Times New Roman" w:cs="Times New Roman"/>
          <w:color w:val="222222"/>
          <w:sz w:val="24"/>
          <w:szCs w:val="24"/>
          <w:shd w:val="clear" w:color="auto" w:fill="FFFFFF"/>
        </w:rPr>
        <w:t xml:space="preserve">studies. </w:t>
      </w:r>
      <w:r w:rsidR="007560B8" w:rsidRPr="00393D99">
        <w:rPr>
          <w:rFonts w:ascii="Times New Roman" w:hAnsi="Times New Roman" w:cs="Times New Roman"/>
          <w:color w:val="222222"/>
          <w:sz w:val="24"/>
          <w:szCs w:val="24"/>
          <w:shd w:val="clear" w:color="auto" w:fill="FFFFFF"/>
        </w:rPr>
        <w:t>This</w:t>
      </w:r>
      <w:r w:rsidR="00633AD8" w:rsidRPr="00393D99">
        <w:rPr>
          <w:rFonts w:ascii="Times New Roman" w:hAnsi="Times New Roman" w:cs="Times New Roman"/>
          <w:color w:val="222222"/>
          <w:sz w:val="24"/>
          <w:szCs w:val="24"/>
          <w:shd w:val="clear" w:color="auto" w:fill="FFFFFF"/>
        </w:rPr>
        <w:t xml:space="preserve"> </w:t>
      </w:r>
      <w:r w:rsidRPr="00393D99">
        <w:rPr>
          <w:rFonts w:ascii="Times New Roman" w:hAnsi="Times New Roman" w:cs="Times New Roman"/>
          <w:sz w:val="24"/>
          <w:szCs w:val="24"/>
        </w:rPr>
        <w:t xml:space="preserve">study </w:t>
      </w:r>
      <w:r w:rsidR="007560B8" w:rsidRPr="00393D99">
        <w:rPr>
          <w:rFonts w:ascii="Times New Roman" w:hAnsi="Times New Roman" w:cs="Times New Roman"/>
          <w:sz w:val="24"/>
          <w:szCs w:val="24"/>
        </w:rPr>
        <w:t>contributes to the</w:t>
      </w:r>
      <w:r w:rsidRPr="00393D99">
        <w:rPr>
          <w:rFonts w:ascii="Times New Roman" w:hAnsi="Times New Roman" w:cs="Times New Roman"/>
          <w:sz w:val="24"/>
          <w:szCs w:val="24"/>
        </w:rPr>
        <w:t xml:space="preserve"> literature by </w:t>
      </w:r>
      <w:r w:rsidR="00633AD8" w:rsidRPr="00393D99">
        <w:rPr>
          <w:rFonts w:ascii="Times New Roman" w:hAnsi="Times New Roman" w:cs="Times New Roman"/>
          <w:sz w:val="24"/>
          <w:szCs w:val="24"/>
        </w:rPr>
        <w:t>employing</w:t>
      </w:r>
      <w:r w:rsidR="00F53365" w:rsidRPr="00393D99">
        <w:rPr>
          <w:rFonts w:ascii="Times New Roman" w:hAnsi="Times New Roman" w:cs="Times New Roman"/>
          <w:sz w:val="24"/>
          <w:szCs w:val="24"/>
        </w:rPr>
        <w:t xml:space="preserve"> NARDL to capture both long-</w:t>
      </w:r>
      <w:r w:rsidR="006C74B0" w:rsidRPr="00393D99">
        <w:rPr>
          <w:rFonts w:ascii="Times New Roman" w:hAnsi="Times New Roman" w:cs="Times New Roman"/>
          <w:sz w:val="24"/>
          <w:szCs w:val="24"/>
        </w:rPr>
        <w:t>run</w:t>
      </w:r>
      <w:r w:rsidR="00F53365" w:rsidRPr="00393D99">
        <w:rPr>
          <w:rFonts w:ascii="Times New Roman" w:hAnsi="Times New Roman" w:cs="Times New Roman"/>
          <w:sz w:val="24"/>
          <w:szCs w:val="24"/>
        </w:rPr>
        <w:t xml:space="preserve"> and short-run asymmetric effects of OFDI on economic growth for the Romanian economy.</w:t>
      </w:r>
    </w:p>
    <w:p w14:paraId="37A31F4A" w14:textId="77777777" w:rsidR="002A4C13" w:rsidRPr="00393D99" w:rsidRDefault="00353C75" w:rsidP="00393D99">
      <w:pPr>
        <w:spacing w:after="120" w:line="480" w:lineRule="auto"/>
        <w:jc w:val="both"/>
        <w:rPr>
          <w:rFonts w:ascii="Times New Roman" w:hAnsi="Times New Roman" w:cs="Times New Roman"/>
          <w:b/>
          <w:sz w:val="24"/>
          <w:szCs w:val="24"/>
        </w:rPr>
      </w:pPr>
      <w:r w:rsidRPr="00393D99">
        <w:rPr>
          <w:rFonts w:ascii="Times New Roman" w:hAnsi="Times New Roman" w:cs="Times New Roman"/>
          <w:b/>
          <w:sz w:val="24"/>
          <w:szCs w:val="24"/>
        </w:rPr>
        <w:t xml:space="preserve">3. </w:t>
      </w:r>
      <w:r w:rsidR="00DB205F" w:rsidRPr="00393D99">
        <w:rPr>
          <w:rFonts w:ascii="Times New Roman" w:hAnsi="Times New Roman" w:cs="Times New Roman"/>
          <w:b/>
          <w:sz w:val="24"/>
          <w:szCs w:val="24"/>
        </w:rPr>
        <w:t xml:space="preserve">Model </w:t>
      </w:r>
      <w:r w:rsidR="00243FD6" w:rsidRPr="00393D99">
        <w:rPr>
          <w:rFonts w:ascii="Times New Roman" w:hAnsi="Times New Roman" w:cs="Times New Roman"/>
          <w:b/>
          <w:sz w:val="24"/>
          <w:szCs w:val="24"/>
        </w:rPr>
        <w:t>s</w:t>
      </w:r>
      <w:r w:rsidR="004A0EBD" w:rsidRPr="00393D99">
        <w:rPr>
          <w:rFonts w:ascii="Times New Roman" w:hAnsi="Times New Roman" w:cs="Times New Roman"/>
          <w:b/>
          <w:sz w:val="24"/>
          <w:szCs w:val="24"/>
        </w:rPr>
        <w:t>pecification</w:t>
      </w:r>
      <w:r w:rsidR="008377A0" w:rsidRPr="00393D99">
        <w:rPr>
          <w:rFonts w:ascii="Times New Roman" w:hAnsi="Times New Roman" w:cs="Times New Roman"/>
          <w:b/>
          <w:sz w:val="24"/>
          <w:szCs w:val="24"/>
        </w:rPr>
        <w:t>s</w:t>
      </w:r>
      <w:r w:rsidR="004A0EBD" w:rsidRPr="00393D99">
        <w:rPr>
          <w:rFonts w:ascii="Times New Roman" w:hAnsi="Times New Roman" w:cs="Times New Roman"/>
          <w:b/>
          <w:sz w:val="24"/>
          <w:szCs w:val="24"/>
        </w:rPr>
        <w:t xml:space="preserve">, </w:t>
      </w:r>
      <w:r w:rsidR="00243FD6" w:rsidRPr="00393D99">
        <w:rPr>
          <w:rFonts w:ascii="Times New Roman" w:hAnsi="Times New Roman" w:cs="Times New Roman"/>
          <w:b/>
          <w:sz w:val="24"/>
          <w:szCs w:val="24"/>
        </w:rPr>
        <w:t>estimation m</w:t>
      </w:r>
      <w:r w:rsidR="00DB205F" w:rsidRPr="00393D99">
        <w:rPr>
          <w:rFonts w:ascii="Times New Roman" w:hAnsi="Times New Roman" w:cs="Times New Roman"/>
          <w:b/>
          <w:sz w:val="24"/>
          <w:szCs w:val="24"/>
        </w:rPr>
        <w:t>ethod</w:t>
      </w:r>
      <w:r w:rsidR="008377A0" w:rsidRPr="00393D99">
        <w:rPr>
          <w:rFonts w:ascii="Times New Roman" w:hAnsi="Times New Roman" w:cs="Times New Roman"/>
          <w:b/>
          <w:sz w:val="24"/>
          <w:szCs w:val="24"/>
        </w:rPr>
        <w:t>s, and data sources</w:t>
      </w:r>
      <w:r w:rsidR="004A0EBD" w:rsidRPr="00393D99">
        <w:rPr>
          <w:rFonts w:ascii="Times New Roman" w:hAnsi="Times New Roman" w:cs="Times New Roman"/>
          <w:b/>
          <w:sz w:val="24"/>
          <w:szCs w:val="24"/>
        </w:rPr>
        <w:t xml:space="preserve"> </w:t>
      </w:r>
    </w:p>
    <w:p w14:paraId="07F43633" w14:textId="77777777" w:rsidR="002A4C13" w:rsidRPr="00393D99" w:rsidRDefault="00353C75" w:rsidP="00393D99">
      <w:pPr>
        <w:spacing w:after="120" w:line="480" w:lineRule="auto"/>
        <w:jc w:val="both"/>
        <w:rPr>
          <w:rFonts w:ascii="Times New Roman" w:hAnsi="Times New Roman" w:cs="Times New Roman"/>
          <w:b/>
          <w:sz w:val="24"/>
          <w:szCs w:val="24"/>
        </w:rPr>
      </w:pPr>
      <w:r w:rsidRPr="00393D99">
        <w:rPr>
          <w:rFonts w:ascii="Times New Roman" w:hAnsi="Times New Roman" w:cs="Times New Roman"/>
          <w:b/>
          <w:sz w:val="24"/>
          <w:szCs w:val="24"/>
        </w:rPr>
        <w:lastRenderedPageBreak/>
        <w:t xml:space="preserve">3.1. </w:t>
      </w:r>
      <w:r w:rsidR="00B651FC" w:rsidRPr="00393D99">
        <w:rPr>
          <w:rFonts w:ascii="Times New Roman" w:hAnsi="Times New Roman" w:cs="Times New Roman"/>
          <w:b/>
          <w:sz w:val="24"/>
          <w:szCs w:val="24"/>
        </w:rPr>
        <w:t>Model s</w:t>
      </w:r>
      <w:r w:rsidR="00673A2A" w:rsidRPr="00393D99">
        <w:rPr>
          <w:rFonts w:ascii="Times New Roman" w:hAnsi="Times New Roman" w:cs="Times New Roman"/>
          <w:b/>
          <w:sz w:val="24"/>
          <w:szCs w:val="24"/>
        </w:rPr>
        <w:t>pecification</w:t>
      </w:r>
    </w:p>
    <w:p w14:paraId="3ECFED9D" w14:textId="77777777" w:rsidR="000056D8" w:rsidRPr="00393D99" w:rsidRDefault="000056D8" w:rsidP="00393D99">
      <w:pPr>
        <w:spacing w:after="120" w:line="480" w:lineRule="auto"/>
        <w:jc w:val="both"/>
        <w:rPr>
          <w:rFonts w:ascii="Times New Roman" w:hAnsi="Times New Roman" w:cs="Times New Roman"/>
          <w:b/>
          <w:sz w:val="24"/>
          <w:szCs w:val="24"/>
        </w:rPr>
      </w:pPr>
      <w:r w:rsidRPr="00393D99">
        <w:rPr>
          <w:rFonts w:ascii="Times New Roman" w:hAnsi="Times New Roman" w:cs="Times New Roman"/>
          <w:sz w:val="24"/>
          <w:szCs w:val="24"/>
        </w:rPr>
        <w:t>According to the previous discussion, we build the following model:</w:t>
      </w:r>
    </w:p>
    <w:p w14:paraId="49DB6485" w14:textId="77777777" w:rsidR="002669BD" w:rsidRPr="00393D99" w:rsidRDefault="003D3344" w:rsidP="00D53051">
      <w:pPr>
        <w:spacing w:after="120" w:line="480" w:lineRule="auto"/>
        <w:ind w:left="720"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LnY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o</m:t>
                </m:r>
              </m:sub>
            </m:sSub>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OFDI</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IFDI+</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CS+</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LnLE+</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oMath>
      <w:r w:rsidR="00AA2522" w:rsidRPr="00393D99">
        <w:rPr>
          <w:rFonts w:ascii="Times New Roman" w:hAnsi="Times New Roman" w:cs="Times New Roman"/>
          <w:sz w:val="24"/>
          <w:szCs w:val="24"/>
        </w:rPr>
        <w:tab/>
        <w:t>(1)</w:t>
      </w:r>
    </w:p>
    <w:p w14:paraId="00AC1CE9" w14:textId="22C5D360" w:rsidR="00DB205F" w:rsidRPr="00393D99" w:rsidRDefault="00DB205F" w:rsidP="00DF1409">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In Equation (1), Ln is a natural logarithm, </w:t>
      </w:r>
      <w:proofErr w:type="spellStart"/>
      <w:r w:rsidRPr="00393D99">
        <w:rPr>
          <w:rFonts w:ascii="Times New Roman" w:hAnsi="Times New Roman" w:cs="Times New Roman"/>
          <w:sz w:val="24"/>
          <w:szCs w:val="24"/>
        </w:rPr>
        <w:t>Y</w:t>
      </w:r>
      <w:r w:rsidRPr="00393D99">
        <w:rPr>
          <w:rFonts w:ascii="Times New Roman" w:hAnsi="Times New Roman" w:cs="Times New Roman"/>
          <w:sz w:val="24"/>
          <w:szCs w:val="24"/>
          <w:vertAlign w:val="subscript"/>
        </w:rPr>
        <w:t>t</w:t>
      </w:r>
      <w:proofErr w:type="spellEnd"/>
      <w:r w:rsidRPr="00393D99">
        <w:rPr>
          <w:rFonts w:ascii="Times New Roman" w:hAnsi="Times New Roman" w:cs="Times New Roman"/>
          <w:sz w:val="24"/>
          <w:szCs w:val="24"/>
        </w:rPr>
        <w:t xml:space="preserve"> is real GDP per capita</w:t>
      </w:r>
      <w:r w:rsidR="007560B8" w:rsidRPr="00393D99">
        <w:rPr>
          <w:rFonts w:ascii="Times New Roman" w:hAnsi="Times New Roman" w:cs="Times New Roman"/>
          <w:sz w:val="24"/>
          <w:szCs w:val="24"/>
        </w:rPr>
        <w:t xml:space="preserve"> (</w:t>
      </w:r>
      <w:r w:rsidRPr="00393D99">
        <w:rPr>
          <w:rFonts w:ascii="Times New Roman" w:hAnsi="Times New Roman" w:cs="Times New Roman"/>
          <w:sz w:val="24"/>
          <w:szCs w:val="24"/>
        </w:rPr>
        <w:t>a proxy of economic growth</w:t>
      </w:r>
      <w:r w:rsidR="007560B8" w:rsidRPr="00393D99">
        <w:rPr>
          <w:rFonts w:ascii="Times New Roman" w:hAnsi="Times New Roman" w:cs="Times New Roman"/>
          <w:sz w:val="24"/>
          <w:szCs w:val="24"/>
        </w:rPr>
        <w:t>)</w:t>
      </w:r>
      <w:r w:rsidRPr="00393D99">
        <w:rPr>
          <w:rFonts w:ascii="Times New Roman" w:hAnsi="Times New Roman" w:cs="Times New Roman"/>
          <w:sz w:val="24"/>
          <w:szCs w:val="24"/>
        </w:rPr>
        <w:t xml:space="preserve">, OFDI and IFDI represent outward and inward foreign direct investment (measured as GDP ratio), CS is the capital stock </w:t>
      </w:r>
      <w:r w:rsidR="007560B8" w:rsidRPr="00393D99">
        <w:rPr>
          <w:rFonts w:ascii="Times New Roman" w:hAnsi="Times New Roman" w:cs="Times New Roman"/>
          <w:sz w:val="24"/>
          <w:szCs w:val="24"/>
        </w:rPr>
        <w:t>(</w:t>
      </w:r>
      <w:r w:rsidRPr="00393D99">
        <w:rPr>
          <w:rFonts w:ascii="Times New Roman" w:hAnsi="Times New Roman" w:cs="Times New Roman"/>
          <w:sz w:val="24"/>
          <w:szCs w:val="24"/>
        </w:rPr>
        <w:t>measured as a ratio of gross fixed capital formation to GDP</w:t>
      </w:r>
      <w:r w:rsidR="007560B8" w:rsidRPr="00393D99">
        <w:rPr>
          <w:rFonts w:ascii="Times New Roman" w:hAnsi="Times New Roman" w:cs="Times New Roman"/>
          <w:sz w:val="24"/>
          <w:szCs w:val="24"/>
        </w:rPr>
        <w:t>)</w:t>
      </w:r>
      <w:r w:rsidRPr="00393D99">
        <w:rPr>
          <w:rFonts w:ascii="Times New Roman" w:hAnsi="Times New Roman" w:cs="Times New Roman"/>
          <w:sz w:val="24"/>
          <w:szCs w:val="24"/>
        </w:rPr>
        <w:t>, LE is life expectancy used to measure human capital</w:t>
      </w:r>
      <w:r w:rsidR="006F07B3">
        <w:rPr>
          <w:rStyle w:val="FootnoteReference"/>
          <w:rFonts w:ascii="Times New Roman" w:hAnsi="Times New Roman" w:cs="Times New Roman"/>
          <w:sz w:val="24"/>
          <w:szCs w:val="24"/>
        </w:rPr>
        <w:footnoteReference w:id="2"/>
      </w:r>
      <w:r w:rsidRPr="00393D99">
        <w:rPr>
          <w:rFonts w:ascii="Times New Roman" w:hAnsi="Times New Roman" w:cs="Times New Roman"/>
          <w:sz w:val="24"/>
          <w:szCs w:val="24"/>
        </w:rPr>
        <w:t>. β</w:t>
      </w:r>
      <w:r w:rsidRPr="00393D99">
        <w:rPr>
          <w:rFonts w:ascii="Times New Roman" w:hAnsi="Times New Roman" w:cs="Times New Roman"/>
          <w:sz w:val="24"/>
          <w:szCs w:val="24"/>
          <w:vertAlign w:val="subscript"/>
        </w:rPr>
        <w:t>0</w:t>
      </w:r>
      <w:r w:rsidRPr="00393D99">
        <w:rPr>
          <w:rFonts w:ascii="Times New Roman" w:hAnsi="Times New Roman" w:cs="Times New Roman"/>
          <w:sz w:val="24"/>
          <w:szCs w:val="24"/>
        </w:rPr>
        <w:t xml:space="preserve"> is a constant term</w:t>
      </w:r>
      <w:r w:rsidR="003B32CA" w:rsidRPr="00393D99">
        <w:rPr>
          <w:rFonts w:ascii="Times New Roman" w:hAnsi="Times New Roman" w:cs="Times New Roman"/>
          <w:sz w:val="24"/>
          <w:szCs w:val="24"/>
        </w:rPr>
        <w:t>,</w:t>
      </w:r>
      <w:r w:rsidRPr="00393D99">
        <w:rPr>
          <w:rFonts w:ascii="Times New Roman" w:hAnsi="Times New Roman" w:cs="Times New Roman"/>
          <w:sz w:val="24"/>
          <w:szCs w:val="24"/>
        </w:rPr>
        <w:t xml:space="preserve"> and </w:t>
      </w:r>
      <w:proofErr w:type="spellStart"/>
      <w:r w:rsidRPr="00393D99">
        <w:rPr>
          <w:rFonts w:ascii="Times New Roman" w:hAnsi="Times New Roman" w:cs="Times New Roman"/>
          <w:sz w:val="24"/>
          <w:szCs w:val="24"/>
        </w:rPr>
        <w:t>μ</w:t>
      </w:r>
      <w:r w:rsidRPr="00393D99">
        <w:rPr>
          <w:rFonts w:ascii="Times New Roman" w:hAnsi="Times New Roman" w:cs="Times New Roman"/>
          <w:sz w:val="24"/>
          <w:szCs w:val="24"/>
          <w:vertAlign w:val="subscript"/>
        </w:rPr>
        <w:t>t</w:t>
      </w:r>
      <w:proofErr w:type="spellEnd"/>
      <w:r w:rsidRPr="00393D99">
        <w:rPr>
          <w:rFonts w:ascii="Times New Roman" w:hAnsi="Times New Roman" w:cs="Times New Roman"/>
          <w:sz w:val="24"/>
          <w:szCs w:val="24"/>
        </w:rPr>
        <w:t xml:space="preserve"> is the error term.</w:t>
      </w:r>
    </w:p>
    <w:p w14:paraId="65DDBAE8" w14:textId="77777777" w:rsidR="00DB205F" w:rsidRPr="00393D99" w:rsidRDefault="005A1603" w:rsidP="00D53051">
      <w:pPr>
        <w:spacing w:after="12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The model is </w:t>
      </w:r>
      <w:r w:rsidR="00DB205F" w:rsidRPr="00393D99">
        <w:rPr>
          <w:rFonts w:ascii="Times New Roman" w:hAnsi="Times New Roman" w:cs="Times New Roman"/>
          <w:sz w:val="24"/>
          <w:szCs w:val="24"/>
        </w:rPr>
        <w:t>further extend</w:t>
      </w:r>
      <w:r w:rsidRPr="00393D99">
        <w:rPr>
          <w:rFonts w:ascii="Times New Roman" w:hAnsi="Times New Roman" w:cs="Times New Roman"/>
          <w:sz w:val="24"/>
          <w:szCs w:val="24"/>
        </w:rPr>
        <w:t>ed</w:t>
      </w:r>
      <w:r w:rsidR="00DB205F" w:rsidRPr="00393D99">
        <w:rPr>
          <w:rFonts w:ascii="Times New Roman" w:hAnsi="Times New Roman" w:cs="Times New Roman"/>
          <w:sz w:val="24"/>
          <w:szCs w:val="24"/>
        </w:rPr>
        <w:t xml:space="preserve"> by </w:t>
      </w:r>
      <w:r w:rsidR="003C3A4D" w:rsidRPr="00393D99">
        <w:rPr>
          <w:rFonts w:ascii="Times New Roman" w:hAnsi="Times New Roman" w:cs="Times New Roman"/>
          <w:sz w:val="24"/>
          <w:szCs w:val="24"/>
        </w:rPr>
        <w:t>adding a set</w:t>
      </w:r>
      <w:r w:rsidR="00DB205F" w:rsidRPr="00393D99">
        <w:rPr>
          <w:rFonts w:ascii="Times New Roman" w:hAnsi="Times New Roman" w:cs="Times New Roman"/>
          <w:sz w:val="24"/>
          <w:szCs w:val="24"/>
        </w:rPr>
        <w:t xml:space="preserve"> of control variables, as shown below:</w:t>
      </w:r>
    </w:p>
    <w:p w14:paraId="06585331" w14:textId="7A6DBFF5" w:rsidR="00903054" w:rsidRPr="00393D99" w:rsidRDefault="00903054" w:rsidP="00D53051">
      <w:pPr>
        <w:spacing w:after="120" w:line="480" w:lineRule="auto"/>
        <w:ind w:firstLine="720"/>
        <w:jc w:val="center"/>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=βo+</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OFDI+</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IFDI+</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CS+</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LnLE+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LnIQ+</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oMath>
      <w:r w:rsidR="005015F1" w:rsidRPr="00393D99">
        <w:rPr>
          <w:rFonts w:ascii="Times New Roman" w:hAnsi="Times New Roman" w:cs="Times New Roman"/>
          <w:sz w:val="24"/>
          <w:szCs w:val="24"/>
        </w:rPr>
        <w:tab/>
        <w:t>(2)</w:t>
      </w:r>
    </w:p>
    <w:p w14:paraId="057C35E1" w14:textId="02F82664" w:rsidR="005015F1" w:rsidRPr="00393D99" w:rsidRDefault="00B56263" w:rsidP="00D53051">
      <w:pPr>
        <w:spacing w:after="120" w:line="480" w:lineRule="auto"/>
        <w:jc w:val="center"/>
        <w:rPr>
          <w:rFonts w:ascii="Times New Roman" w:hAnsi="Times New Roman" w:cs="Times New Roman"/>
          <w:sz w:val="24"/>
          <w:szCs w:val="24"/>
        </w:rPr>
      </w:pPr>
      <m:oMath>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=βo+</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OFDI+</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IFDI+</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r>
          <w:rPr>
            <w:rFonts w:ascii="Cambria Math" w:hAnsi="Cambria Math" w:cs="Times New Roman"/>
            <w:sz w:val="24"/>
            <w:szCs w:val="24"/>
          </w:rPr>
          <m:t>CS+</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r>
          <w:rPr>
            <w:rFonts w:ascii="Cambria Math" w:hAnsi="Cambria Math" w:cs="Times New Roman"/>
            <w:sz w:val="24"/>
            <w:szCs w:val="24"/>
          </w:rPr>
          <m:t>LnLE+</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r>
          <w:rPr>
            <w:rFonts w:ascii="Cambria Math" w:hAnsi="Cambria Math" w:cs="Times New Roman"/>
            <w:sz w:val="24"/>
            <w:szCs w:val="24"/>
          </w:rPr>
          <m:t>LnIQ+</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LnINFR++</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oMath>
      <w:r w:rsidR="005015F1" w:rsidRPr="00393D99">
        <w:rPr>
          <w:rFonts w:ascii="Times New Roman" w:hAnsi="Times New Roman" w:cs="Times New Roman"/>
          <w:sz w:val="24"/>
          <w:szCs w:val="24"/>
        </w:rPr>
        <w:t>(3)</w:t>
      </w:r>
    </w:p>
    <w:p w14:paraId="092B9943" w14:textId="77777777" w:rsidR="00B7783C" w:rsidRDefault="00DB205F" w:rsidP="00B7783C">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Equation (1) is the baseline Model (1), while Equation (2) represents Model (2) that incorporates institutional quality</w:t>
      </w:r>
      <w:r w:rsidR="003975DC" w:rsidRPr="00393D99">
        <w:rPr>
          <w:rFonts w:ascii="Times New Roman" w:hAnsi="Times New Roman" w:cs="Times New Roman"/>
          <w:sz w:val="24"/>
          <w:szCs w:val="24"/>
        </w:rPr>
        <w:t xml:space="preserve"> (IQ)</w:t>
      </w:r>
      <w:r w:rsidRPr="00393D99">
        <w:rPr>
          <w:rFonts w:ascii="Times New Roman" w:hAnsi="Times New Roman" w:cs="Times New Roman"/>
          <w:sz w:val="24"/>
          <w:szCs w:val="24"/>
        </w:rPr>
        <w:t>. In Equation 3 (Model 3), we have added both institutional quality and infrastructure</w:t>
      </w:r>
      <w:r w:rsidR="003975DC" w:rsidRPr="00393D99">
        <w:rPr>
          <w:rFonts w:ascii="Times New Roman" w:hAnsi="Times New Roman" w:cs="Times New Roman"/>
          <w:sz w:val="24"/>
          <w:szCs w:val="24"/>
        </w:rPr>
        <w:t xml:space="preserve"> (INFR), </w:t>
      </w:r>
      <w:r w:rsidRPr="00393D99">
        <w:rPr>
          <w:rFonts w:ascii="Times New Roman" w:hAnsi="Times New Roman" w:cs="Times New Roman"/>
          <w:sz w:val="24"/>
          <w:szCs w:val="24"/>
        </w:rPr>
        <w:t>proxied by fixed telephone subscriptions (FTS).</w:t>
      </w:r>
      <w:r w:rsidR="00F90BEC" w:rsidRPr="00393D99">
        <w:rPr>
          <w:rFonts w:ascii="Times New Roman" w:hAnsi="Times New Roman" w:cs="Times New Roman"/>
          <w:sz w:val="24"/>
          <w:szCs w:val="24"/>
        </w:rPr>
        <w:t xml:space="preserve"> Institutional quality</w:t>
      </w:r>
      <w:r w:rsidR="00907530" w:rsidRPr="00393D99">
        <w:rPr>
          <w:rFonts w:ascii="Times New Roman" w:hAnsi="Times New Roman" w:cs="Times New Roman"/>
          <w:sz w:val="24"/>
          <w:szCs w:val="24"/>
        </w:rPr>
        <w:t xml:space="preserve"> (IQ)</w:t>
      </w:r>
      <w:r w:rsidR="00F90BEC" w:rsidRPr="00393D99">
        <w:rPr>
          <w:rFonts w:ascii="Times New Roman" w:hAnsi="Times New Roman" w:cs="Times New Roman"/>
          <w:sz w:val="24"/>
          <w:szCs w:val="24"/>
        </w:rPr>
        <w:t xml:space="preserve"> is measured by using the Political Terror Scale (PTS)</w:t>
      </w:r>
      <w:r w:rsidR="00907530" w:rsidRPr="00393D99">
        <w:rPr>
          <w:rFonts w:ascii="Times New Roman" w:hAnsi="Times New Roman" w:cs="Times New Roman"/>
          <w:sz w:val="24"/>
          <w:szCs w:val="24"/>
        </w:rPr>
        <w:t xml:space="preserve"> </w:t>
      </w:r>
      <w:r w:rsidR="00907530" w:rsidRPr="00393D99">
        <w:rPr>
          <w:rFonts w:ascii="Times New Roman" w:eastAsia="Times New Roman" w:hAnsi="Times New Roman" w:cs="Times New Roman"/>
          <w:color w:val="000000"/>
          <w:sz w:val="24"/>
          <w:szCs w:val="24"/>
        </w:rPr>
        <w:t xml:space="preserve">of </w:t>
      </w:r>
      <w:r w:rsidR="00D84AB0">
        <w:rPr>
          <w:rFonts w:ascii="Times New Roman" w:eastAsia="Times New Roman" w:hAnsi="Times New Roman" w:cs="Times New Roman"/>
          <w:color w:val="000000"/>
          <w:sz w:val="24"/>
          <w:szCs w:val="24"/>
        </w:rPr>
        <w:t>[41</w:t>
      </w:r>
      <w:r w:rsidR="008377A0" w:rsidRPr="00393D99">
        <w:rPr>
          <w:rFonts w:ascii="Times New Roman" w:hAnsi="Times New Roman" w:cs="Times New Roman"/>
          <w:sz w:val="24"/>
          <w:szCs w:val="24"/>
        </w:rPr>
        <w:t>,</w:t>
      </w:r>
      <w:r w:rsidR="00F90BEC" w:rsidRPr="00393D99">
        <w:rPr>
          <w:rFonts w:ascii="Times New Roman" w:hAnsi="Times New Roman" w:cs="Times New Roman"/>
          <w:sz w:val="24"/>
          <w:szCs w:val="24"/>
        </w:rPr>
        <w:t xml:space="preserve"> which is based on a scale 1 (higher political risk or lowest civil freedom) to 5 (lower political risk or higher civil freedom). Infrastructure is measured by using data from</w:t>
      </w:r>
      <w:r w:rsidR="00B75D73" w:rsidRPr="00393D99">
        <w:rPr>
          <w:rFonts w:ascii="Times New Roman" w:hAnsi="Times New Roman" w:cs="Times New Roman"/>
          <w:sz w:val="24"/>
          <w:szCs w:val="24"/>
        </w:rPr>
        <w:t xml:space="preserve"> the telecommunications sector, which is </w:t>
      </w:r>
      <w:r w:rsidR="00F90BEC" w:rsidRPr="00393D99">
        <w:rPr>
          <w:rFonts w:ascii="Times New Roman" w:hAnsi="Times New Roman" w:cs="Times New Roman"/>
          <w:sz w:val="24"/>
          <w:szCs w:val="24"/>
        </w:rPr>
        <w:t xml:space="preserve">the sum of </w:t>
      </w:r>
      <w:r w:rsidR="007B6FA9" w:rsidRPr="00393D99">
        <w:rPr>
          <w:rFonts w:ascii="Times New Roman" w:hAnsi="Times New Roman" w:cs="Times New Roman"/>
          <w:sz w:val="24"/>
          <w:szCs w:val="24"/>
        </w:rPr>
        <w:t xml:space="preserve">the </w:t>
      </w:r>
      <w:r w:rsidR="00F90BEC" w:rsidRPr="00393D99">
        <w:rPr>
          <w:rFonts w:ascii="Times New Roman" w:hAnsi="Times New Roman" w:cs="Times New Roman"/>
          <w:sz w:val="24"/>
          <w:szCs w:val="24"/>
        </w:rPr>
        <w:t xml:space="preserve">number of </w:t>
      </w:r>
      <w:r w:rsidR="008377A0" w:rsidRPr="00393D99">
        <w:rPr>
          <w:rFonts w:ascii="Times New Roman" w:hAnsi="Times New Roman" w:cs="Times New Roman"/>
          <w:sz w:val="24"/>
          <w:szCs w:val="24"/>
        </w:rPr>
        <w:t xml:space="preserve">active </w:t>
      </w:r>
      <w:r w:rsidR="003C3A4D" w:rsidRPr="00393D99">
        <w:rPr>
          <w:rFonts w:ascii="Times New Roman" w:hAnsi="Times New Roman" w:cs="Times New Roman"/>
          <w:sz w:val="24"/>
          <w:szCs w:val="24"/>
        </w:rPr>
        <w:t xml:space="preserve">analog fixed telephone-lines, </w:t>
      </w:r>
      <w:r w:rsidR="00F90BEC" w:rsidRPr="00393D99">
        <w:rPr>
          <w:rFonts w:ascii="Times New Roman" w:hAnsi="Times New Roman" w:cs="Times New Roman"/>
          <w:sz w:val="24"/>
          <w:szCs w:val="24"/>
        </w:rPr>
        <w:t xml:space="preserve">wireless local loop subscriptions, </w:t>
      </w:r>
      <w:r w:rsidR="00177BD6" w:rsidRPr="00393D99">
        <w:rPr>
          <w:rFonts w:ascii="Times New Roman" w:hAnsi="Times New Roman" w:cs="Times New Roman"/>
          <w:sz w:val="24"/>
          <w:szCs w:val="24"/>
        </w:rPr>
        <w:t xml:space="preserve">voice-over-IP subscriptions, </w:t>
      </w:r>
      <w:r w:rsidR="00F90BEC" w:rsidRPr="00393D99">
        <w:rPr>
          <w:rFonts w:ascii="Times New Roman" w:hAnsi="Times New Roman" w:cs="Times New Roman"/>
          <w:sz w:val="24"/>
          <w:szCs w:val="24"/>
        </w:rPr>
        <w:t>ISDN voice-channel equivalents, and fixed public payphones.</w:t>
      </w:r>
    </w:p>
    <w:p w14:paraId="68A34C5F" w14:textId="77777777" w:rsidR="00B7783C" w:rsidRDefault="00F73430" w:rsidP="00B7783C">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lastRenderedPageBreak/>
        <w:t>We have included all the variables i</w:t>
      </w:r>
      <w:r w:rsidR="00DB205F" w:rsidRPr="00393D99">
        <w:rPr>
          <w:rFonts w:ascii="Times New Roman" w:hAnsi="Times New Roman" w:cs="Times New Roman"/>
          <w:sz w:val="24"/>
          <w:szCs w:val="24"/>
        </w:rPr>
        <w:t xml:space="preserve">n </w:t>
      </w:r>
      <w:r w:rsidRPr="00393D99">
        <w:rPr>
          <w:rFonts w:ascii="Times New Roman" w:hAnsi="Times New Roman" w:cs="Times New Roman"/>
          <w:sz w:val="24"/>
          <w:szCs w:val="24"/>
        </w:rPr>
        <w:t xml:space="preserve">our </w:t>
      </w:r>
      <w:r w:rsidR="00DB205F" w:rsidRPr="00393D99">
        <w:rPr>
          <w:rFonts w:ascii="Times New Roman" w:hAnsi="Times New Roman" w:cs="Times New Roman"/>
          <w:sz w:val="24"/>
          <w:szCs w:val="24"/>
        </w:rPr>
        <w:t>models above</w:t>
      </w:r>
      <w:r w:rsidR="007B6FA9" w:rsidRPr="00393D99">
        <w:rPr>
          <w:rFonts w:ascii="Times New Roman" w:hAnsi="Times New Roman" w:cs="Times New Roman"/>
          <w:sz w:val="24"/>
          <w:szCs w:val="24"/>
        </w:rPr>
        <w:t>,</w:t>
      </w:r>
      <w:r w:rsidR="00DB205F" w:rsidRPr="00393D99">
        <w:rPr>
          <w:rFonts w:ascii="Times New Roman" w:hAnsi="Times New Roman" w:cs="Times New Roman"/>
          <w:sz w:val="24"/>
          <w:szCs w:val="24"/>
        </w:rPr>
        <w:t xml:space="preserve"> based on previous studies. OFDI is expected to have a positive sign, as OFDI contributes to economic growth by benefiting </w:t>
      </w:r>
      <w:r w:rsidR="003B32CA" w:rsidRPr="00393D99">
        <w:rPr>
          <w:rFonts w:ascii="Times New Roman" w:hAnsi="Times New Roman" w:cs="Times New Roman"/>
          <w:sz w:val="24"/>
          <w:szCs w:val="24"/>
        </w:rPr>
        <w:t xml:space="preserve">the </w:t>
      </w:r>
      <w:r w:rsidR="00DB205F" w:rsidRPr="00393D99">
        <w:rPr>
          <w:rFonts w:ascii="Times New Roman" w:hAnsi="Times New Roman" w:cs="Times New Roman"/>
          <w:sz w:val="24"/>
          <w:szCs w:val="24"/>
        </w:rPr>
        <w:t xml:space="preserve">domestic economy through positive spillover effects </w:t>
      </w:r>
      <w:r w:rsidR="009B1BC7" w:rsidRPr="00393D99">
        <w:rPr>
          <w:rFonts w:ascii="Times New Roman" w:hAnsi="Times New Roman" w:cs="Times New Roman"/>
          <w:sz w:val="24"/>
          <w:szCs w:val="24"/>
        </w:rPr>
        <w:t xml:space="preserve">on domestic </w:t>
      </w:r>
      <w:r w:rsidR="0049486A" w:rsidRPr="00393D99">
        <w:rPr>
          <w:rFonts w:ascii="Times New Roman" w:hAnsi="Times New Roman" w:cs="Times New Roman"/>
          <w:sz w:val="24"/>
          <w:szCs w:val="24"/>
        </w:rPr>
        <w:t>firms</w:t>
      </w:r>
      <w:r w:rsidR="009B1BC7" w:rsidRPr="00393D99">
        <w:rPr>
          <w:rFonts w:ascii="Times New Roman" w:hAnsi="Times New Roman" w:cs="Times New Roman"/>
          <w:sz w:val="24"/>
          <w:szCs w:val="24"/>
        </w:rPr>
        <w:t xml:space="preserve"> </w:t>
      </w:r>
      <w:r w:rsidR="00D84AB0">
        <w:rPr>
          <w:rFonts w:ascii="Times New Roman" w:hAnsi="Times New Roman" w:cs="Times New Roman"/>
          <w:sz w:val="24"/>
          <w:szCs w:val="24"/>
        </w:rPr>
        <w:t>[6]</w:t>
      </w:r>
      <w:r w:rsidR="00DB205F" w:rsidRPr="00393D99">
        <w:rPr>
          <w:rFonts w:ascii="Times New Roman" w:hAnsi="Times New Roman" w:cs="Times New Roman"/>
          <w:sz w:val="24"/>
          <w:szCs w:val="24"/>
        </w:rPr>
        <w:t xml:space="preserve">. </w:t>
      </w:r>
      <w:r w:rsidR="00A91FEF" w:rsidRPr="00393D99">
        <w:rPr>
          <w:rFonts w:ascii="Times New Roman" w:hAnsi="Times New Roman" w:cs="Times New Roman"/>
          <w:sz w:val="24"/>
          <w:szCs w:val="24"/>
        </w:rPr>
        <w:t xml:space="preserve">The coefficient sign of </w:t>
      </w:r>
      <w:r w:rsidR="00DB205F" w:rsidRPr="00393D99">
        <w:rPr>
          <w:rFonts w:ascii="Times New Roman" w:hAnsi="Times New Roman" w:cs="Times New Roman"/>
          <w:sz w:val="24"/>
          <w:szCs w:val="24"/>
        </w:rPr>
        <w:t xml:space="preserve">IFDI is also expected to have positive, </w:t>
      </w:r>
      <w:r w:rsidR="00A91FEF" w:rsidRPr="00393D99">
        <w:rPr>
          <w:rFonts w:ascii="Times New Roman" w:hAnsi="Times New Roman" w:cs="Times New Roman"/>
          <w:sz w:val="24"/>
          <w:szCs w:val="24"/>
        </w:rPr>
        <w:t>for instance, IFDI stimulates econom</w:t>
      </w:r>
      <w:r w:rsidR="00EE611F" w:rsidRPr="00393D99">
        <w:rPr>
          <w:rFonts w:ascii="Times New Roman" w:hAnsi="Times New Roman" w:cs="Times New Roman"/>
          <w:sz w:val="24"/>
          <w:szCs w:val="24"/>
        </w:rPr>
        <w:t xml:space="preserve">ic growth by enhancing home country’s </w:t>
      </w:r>
      <w:r w:rsidR="00A91FEF" w:rsidRPr="00393D99">
        <w:rPr>
          <w:rFonts w:ascii="Times New Roman" w:hAnsi="Times New Roman" w:cs="Times New Roman"/>
          <w:sz w:val="24"/>
          <w:szCs w:val="24"/>
        </w:rPr>
        <w:t xml:space="preserve">capital formation and technology diffusion </w:t>
      </w:r>
      <w:r w:rsidR="00D84AB0">
        <w:rPr>
          <w:rFonts w:ascii="Times New Roman" w:hAnsi="Times New Roman" w:cs="Times New Roman"/>
          <w:sz w:val="24"/>
          <w:szCs w:val="24"/>
        </w:rPr>
        <w:t>[44]</w:t>
      </w:r>
      <w:r w:rsidR="00DB205F" w:rsidRPr="00393D99">
        <w:rPr>
          <w:rFonts w:ascii="Times New Roman" w:hAnsi="Times New Roman" w:cs="Times New Roman"/>
          <w:sz w:val="24"/>
          <w:szCs w:val="24"/>
        </w:rPr>
        <w:t xml:space="preserve">. Human capital is the total stock of educated and trained labor force that efficiently </w:t>
      </w:r>
      <w:r w:rsidR="009B1BC7" w:rsidRPr="00393D99">
        <w:rPr>
          <w:rFonts w:ascii="Times New Roman" w:hAnsi="Times New Roman" w:cs="Times New Roman"/>
          <w:sz w:val="24"/>
          <w:szCs w:val="24"/>
        </w:rPr>
        <w:t>performs</w:t>
      </w:r>
      <w:r w:rsidR="00DB205F" w:rsidRPr="00393D99">
        <w:rPr>
          <w:rFonts w:ascii="Times New Roman" w:hAnsi="Times New Roman" w:cs="Times New Roman"/>
          <w:sz w:val="24"/>
          <w:szCs w:val="24"/>
        </w:rPr>
        <w:t xml:space="preserve"> </w:t>
      </w:r>
      <w:r w:rsidR="008F2527" w:rsidRPr="00393D99">
        <w:rPr>
          <w:rFonts w:ascii="Times New Roman" w:hAnsi="Times New Roman" w:cs="Times New Roman"/>
          <w:sz w:val="24"/>
          <w:szCs w:val="24"/>
        </w:rPr>
        <w:t xml:space="preserve">its </w:t>
      </w:r>
      <w:r w:rsidR="00DB205F" w:rsidRPr="00393D99">
        <w:rPr>
          <w:rFonts w:ascii="Times New Roman" w:hAnsi="Times New Roman" w:cs="Times New Roman"/>
          <w:sz w:val="24"/>
          <w:szCs w:val="24"/>
        </w:rPr>
        <w:t xml:space="preserve">role in the production process. Countries with high human capital would benefit more from FDI’s boost to their economic growth. The addition of human capital is </w:t>
      </w:r>
      <w:r w:rsidR="008377A0" w:rsidRPr="00393D99">
        <w:rPr>
          <w:rFonts w:ascii="Times New Roman" w:hAnsi="Times New Roman" w:cs="Times New Roman"/>
          <w:sz w:val="24"/>
          <w:szCs w:val="24"/>
        </w:rPr>
        <w:t>vital</w:t>
      </w:r>
      <w:r w:rsidR="00DB205F" w:rsidRPr="00393D99">
        <w:rPr>
          <w:rFonts w:ascii="Times New Roman" w:hAnsi="Times New Roman" w:cs="Times New Roman"/>
          <w:sz w:val="24"/>
          <w:szCs w:val="24"/>
        </w:rPr>
        <w:t xml:space="preserve"> for </w:t>
      </w:r>
      <w:r w:rsidR="00D1692C" w:rsidRPr="00393D99">
        <w:rPr>
          <w:rFonts w:ascii="Times New Roman" w:hAnsi="Times New Roman" w:cs="Times New Roman"/>
          <w:sz w:val="24"/>
          <w:szCs w:val="24"/>
        </w:rPr>
        <w:t xml:space="preserve">the </w:t>
      </w:r>
      <w:r w:rsidR="00DB205F" w:rsidRPr="00393D99">
        <w:rPr>
          <w:rFonts w:ascii="Times New Roman" w:hAnsi="Times New Roman" w:cs="Times New Roman"/>
          <w:sz w:val="24"/>
          <w:szCs w:val="24"/>
        </w:rPr>
        <w:t xml:space="preserve">countries, as empirical evidence </w:t>
      </w:r>
      <w:r w:rsidR="00D1692C" w:rsidRPr="00393D99">
        <w:rPr>
          <w:rFonts w:ascii="Times New Roman" w:hAnsi="Times New Roman" w:cs="Times New Roman"/>
          <w:sz w:val="24"/>
          <w:szCs w:val="24"/>
        </w:rPr>
        <w:t xml:space="preserve">shows that investing in education is </w:t>
      </w:r>
      <w:r w:rsidR="00DB205F" w:rsidRPr="00393D99">
        <w:rPr>
          <w:rFonts w:ascii="Times New Roman" w:hAnsi="Times New Roman" w:cs="Times New Roman"/>
          <w:sz w:val="24"/>
          <w:szCs w:val="24"/>
        </w:rPr>
        <w:t xml:space="preserve">positively </w:t>
      </w:r>
      <w:r w:rsidR="00D1692C" w:rsidRPr="00393D99">
        <w:rPr>
          <w:rFonts w:ascii="Times New Roman" w:hAnsi="Times New Roman" w:cs="Times New Roman"/>
          <w:sz w:val="24"/>
          <w:szCs w:val="24"/>
        </w:rPr>
        <w:t>correlated</w:t>
      </w:r>
      <w:r w:rsidR="00DB205F" w:rsidRPr="00393D99">
        <w:rPr>
          <w:rFonts w:ascii="Times New Roman" w:hAnsi="Times New Roman" w:cs="Times New Roman"/>
          <w:sz w:val="24"/>
          <w:szCs w:val="24"/>
        </w:rPr>
        <w:t xml:space="preserve"> with </w:t>
      </w:r>
      <w:r w:rsidR="009B1BC7" w:rsidRPr="00393D99">
        <w:rPr>
          <w:rFonts w:ascii="Times New Roman" w:hAnsi="Times New Roman" w:cs="Times New Roman"/>
          <w:sz w:val="24"/>
          <w:szCs w:val="24"/>
        </w:rPr>
        <w:t xml:space="preserve">economic growth </w:t>
      </w:r>
      <w:r w:rsidR="00D84AB0">
        <w:rPr>
          <w:rFonts w:ascii="Times New Roman" w:hAnsi="Times New Roman" w:cs="Times New Roman"/>
          <w:sz w:val="24"/>
          <w:szCs w:val="24"/>
        </w:rPr>
        <w:t>[45]</w:t>
      </w:r>
      <w:r w:rsidR="00DB205F" w:rsidRPr="00393D99">
        <w:rPr>
          <w:rFonts w:ascii="Times New Roman" w:hAnsi="Times New Roman" w:cs="Times New Roman"/>
          <w:sz w:val="24"/>
          <w:szCs w:val="24"/>
        </w:rPr>
        <w:t>. Institutional quality is expected to hav</w:t>
      </w:r>
      <w:r w:rsidR="002A4C13" w:rsidRPr="00393D99">
        <w:rPr>
          <w:rFonts w:ascii="Times New Roman" w:hAnsi="Times New Roman" w:cs="Times New Roman"/>
          <w:sz w:val="24"/>
          <w:szCs w:val="24"/>
        </w:rPr>
        <w:t xml:space="preserve">e </w:t>
      </w:r>
      <w:r w:rsidR="008377A0" w:rsidRPr="00393D99">
        <w:rPr>
          <w:rFonts w:ascii="Times New Roman" w:hAnsi="Times New Roman" w:cs="Times New Roman"/>
          <w:sz w:val="24"/>
          <w:szCs w:val="24"/>
        </w:rPr>
        <w:t xml:space="preserve">a </w:t>
      </w:r>
      <w:r w:rsidR="002A4C13" w:rsidRPr="00393D99">
        <w:rPr>
          <w:rFonts w:ascii="Times New Roman" w:hAnsi="Times New Roman" w:cs="Times New Roman"/>
          <w:sz w:val="24"/>
          <w:szCs w:val="24"/>
        </w:rPr>
        <w:t xml:space="preserve">positive </w:t>
      </w:r>
      <w:r w:rsidR="0038405E" w:rsidRPr="00393D99">
        <w:rPr>
          <w:rFonts w:ascii="Times New Roman" w:hAnsi="Times New Roman" w:cs="Times New Roman"/>
          <w:sz w:val="24"/>
          <w:szCs w:val="24"/>
        </w:rPr>
        <w:t>relationship with</w:t>
      </w:r>
      <w:r w:rsidR="002A4C13" w:rsidRPr="00393D99">
        <w:rPr>
          <w:rFonts w:ascii="Times New Roman" w:hAnsi="Times New Roman" w:cs="Times New Roman"/>
          <w:sz w:val="24"/>
          <w:szCs w:val="24"/>
        </w:rPr>
        <w:t xml:space="preserve"> economic </w:t>
      </w:r>
      <w:r w:rsidR="00DB205F" w:rsidRPr="00393D99">
        <w:rPr>
          <w:rFonts w:ascii="Times New Roman" w:hAnsi="Times New Roman" w:cs="Times New Roman"/>
          <w:sz w:val="24"/>
          <w:szCs w:val="24"/>
        </w:rPr>
        <w:t xml:space="preserve">growth, following </w:t>
      </w:r>
      <w:r w:rsidR="00D84AB0">
        <w:rPr>
          <w:rFonts w:ascii="Times New Roman" w:hAnsi="Times New Roman" w:cs="Times New Roman"/>
          <w:sz w:val="24"/>
          <w:szCs w:val="24"/>
        </w:rPr>
        <w:t>[46]</w:t>
      </w:r>
      <w:r w:rsidR="008F2527" w:rsidRPr="00393D99">
        <w:rPr>
          <w:rFonts w:ascii="Times New Roman" w:hAnsi="Times New Roman" w:cs="Times New Roman"/>
          <w:sz w:val="24"/>
          <w:szCs w:val="24"/>
        </w:rPr>
        <w:t>,</w:t>
      </w:r>
      <w:r w:rsidR="00DB205F" w:rsidRPr="00393D99">
        <w:rPr>
          <w:rFonts w:ascii="Times New Roman" w:hAnsi="Times New Roman" w:cs="Times New Roman"/>
          <w:sz w:val="24"/>
          <w:szCs w:val="24"/>
        </w:rPr>
        <w:t xml:space="preserve"> who argue that a higher</w:t>
      </w:r>
      <w:r w:rsidR="002A4C13" w:rsidRPr="00393D99">
        <w:rPr>
          <w:rFonts w:ascii="Times New Roman" w:hAnsi="Times New Roman" w:cs="Times New Roman"/>
          <w:sz w:val="24"/>
          <w:szCs w:val="24"/>
        </w:rPr>
        <w:t xml:space="preserve"> level of institutional quality </w:t>
      </w:r>
      <w:r w:rsidR="00DB205F" w:rsidRPr="00393D99">
        <w:rPr>
          <w:rFonts w:ascii="Times New Roman" w:hAnsi="Times New Roman" w:cs="Times New Roman"/>
          <w:sz w:val="24"/>
          <w:szCs w:val="24"/>
        </w:rPr>
        <w:t xml:space="preserve">is associated with higher efficiency and acts as a driving force </w:t>
      </w:r>
      <w:r w:rsidR="004005A4" w:rsidRPr="00393D99">
        <w:rPr>
          <w:rFonts w:ascii="Times New Roman" w:hAnsi="Times New Roman" w:cs="Times New Roman"/>
          <w:sz w:val="24"/>
          <w:szCs w:val="24"/>
        </w:rPr>
        <w:t>for</w:t>
      </w:r>
      <w:r w:rsidR="00DB205F" w:rsidRPr="00393D99">
        <w:rPr>
          <w:rFonts w:ascii="Times New Roman" w:hAnsi="Times New Roman" w:cs="Times New Roman"/>
          <w:sz w:val="24"/>
          <w:szCs w:val="24"/>
        </w:rPr>
        <w:t xml:space="preserve"> invest</w:t>
      </w:r>
      <w:r w:rsidR="004005A4" w:rsidRPr="00393D99">
        <w:rPr>
          <w:rFonts w:ascii="Times New Roman" w:hAnsi="Times New Roman" w:cs="Times New Roman"/>
          <w:sz w:val="24"/>
          <w:szCs w:val="24"/>
        </w:rPr>
        <w:t>ing</w:t>
      </w:r>
      <w:r w:rsidR="00DB205F" w:rsidRPr="00393D99">
        <w:rPr>
          <w:rFonts w:ascii="Times New Roman" w:hAnsi="Times New Roman" w:cs="Times New Roman"/>
          <w:sz w:val="24"/>
          <w:szCs w:val="24"/>
        </w:rPr>
        <w:t xml:space="preserve"> in economic activities. The decision of including an infrastructure variable is base</w:t>
      </w:r>
      <w:r w:rsidR="009B1BC7" w:rsidRPr="00393D99">
        <w:rPr>
          <w:rFonts w:ascii="Times New Roman" w:hAnsi="Times New Roman" w:cs="Times New Roman"/>
          <w:sz w:val="24"/>
          <w:szCs w:val="24"/>
        </w:rPr>
        <w:t>d on</w:t>
      </w:r>
      <w:r w:rsidR="007B6FA9" w:rsidRPr="00393D99">
        <w:rPr>
          <w:rFonts w:ascii="Times New Roman" w:hAnsi="Times New Roman" w:cs="Times New Roman"/>
          <w:sz w:val="24"/>
          <w:szCs w:val="24"/>
        </w:rPr>
        <w:t xml:space="preserve"> the</w:t>
      </w:r>
      <w:r w:rsidR="00A4402F" w:rsidRPr="00393D99">
        <w:rPr>
          <w:rFonts w:ascii="Times New Roman" w:hAnsi="Times New Roman" w:cs="Times New Roman"/>
          <w:sz w:val="24"/>
          <w:szCs w:val="24"/>
        </w:rPr>
        <w:t xml:space="preserve"> </w:t>
      </w:r>
      <w:r w:rsidR="009B1BC7" w:rsidRPr="00393D99">
        <w:rPr>
          <w:rFonts w:ascii="Times New Roman" w:hAnsi="Times New Roman" w:cs="Times New Roman"/>
          <w:sz w:val="24"/>
          <w:szCs w:val="24"/>
        </w:rPr>
        <w:t xml:space="preserve">study </w:t>
      </w:r>
      <w:r w:rsidR="00F90BEC" w:rsidRPr="00393D99">
        <w:rPr>
          <w:rFonts w:ascii="Times New Roman" w:hAnsi="Times New Roman" w:cs="Times New Roman"/>
          <w:sz w:val="24"/>
          <w:szCs w:val="24"/>
        </w:rPr>
        <w:t xml:space="preserve">by </w:t>
      </w:r>
      <w:r w:rsidR="00D84AB0">
        <w:rPr>
          <w:rFonts w:ascii="Times New Roman" w:hAnsi="Times New Roman" w:cs="Times New Roman"/>
          <w:sz w:val="24"/>
          <w:szCs w:val="24"/>
        </w:rPr>
        <w:t>[47]</w:t>
      </w:r>
      <w:r w:rsidR="00DB205F" w:rsidRPr="00393D99">
        <w:rPr>
          <w:rFonts w:ascii="Times New Roman" w:hAnsi="Times New Roman" w:cs="Times New Roman"/>
          <w:sz w:val="24"/>
          <w:szCs w:val="24"/>
        </w:rPr>
        <w:t xml:space="preserve">, </w:t>
      </w:r>
      <w:r w:rsidR="00400CC0" w:rsidRPr="00393D99">
        <w:rPr>
          <w:rFonts w:ascii="Times New Roman" w:hAnsi="Times New Roman" w:cs="Times New Roman"/>
          <w:sz w:val="24"/>
          <w:szCs w:val="24"/>
        </w:rPr>
        <w:t>who found that i</w:t>
      </w:r>
      <w:r w:rsidR="00DB205F" w:rsidRPr="00393D99">
        <w:rPr>
          <w:rFonts w:ascii="Times New Roman" w:hAnsi="Times New Roman" w:cs="Times New Roman"/>
          <w:sz w:val="24"/>
          <w:szCs w:val="24"/>
        </w:rPr>
        <w:t>mproved quality of telecommunication services and higher telephone diffusion explains the contribution of infrastructure to deve</w:t>
      </w:r>
      <w:r w:rsidR="009B1BC7" w:rsidRPr="00393D99">
        <w:rPr>
          <w:rFonts w:ascii="Times New Roman" w:hAnsi="Times New Roman" w:cs="Times New Roman"/>
          <w:sz w:val="24"/>
          <w:szCs w:val="24"/>
        </w:rPr>
        <w:t>lopment</w:t>
      </w:r>
      <w:r w:rsidR="00DB205F" w:rsidRPr="00393D99">
        <w:rPr>
          <w:rFonts w:ascii="Times New Roman" w:hAnsi="Times New Roman" w:cs="Times New Roman"/>
          <w:sz w:val="24"/>
          <w:szCs w:val="24"/>
        </w:rPr>
        <w:t>.</w:t>
      </w:r>
    </w:p>
    <w:p w14:paraId="5BB5B8B8" w14:textId="77777777" w:rsidR="00DB205F" w:rsidRPr="00393D99" w:rsidRDefault="00DB205F" w:rsidP="00B7783C">
      <w:pPr>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The study uses annual data of Romania </w:t>
      </w:r>
      <w:r w:rsidR="00F47FBF" w:rsidRPr="00393D99">
        <w:rPr>
          <w:rFonts w:ascii="Times New Roman" w:hAnsi="Times New Roman" w:cs="Times New Roman"/>
          <w:sz w:val="24"/>
          <w:szCs w:val="24"/>
        </w:rPr>
        <w:t xml:space="preserve">over </w:t>
      </w:r>
      <w:r w:rsidRPr="00393D99">
        <w:rPr>
          <w:rFonts w:ascii="Times New Roman" w:hAnsi="Times New Roman" w:cs="Times New Roman"/>
          <w:sz w:val="24"/>
          <w:szCs w:val="24"/>
        </w:rPr>
        <w:t xml:space="preserve">1990−2017. The starting and ending years of this dataset are chosen because of the availability dates of the data-set. The definitions </w:t>
      </w:r>
      <w:r w:rsidR="00BC0830" w:rsidRPr="00393D99">
        <w:rPr>
          <w:rFonts w:ascii="Times New Roman" w:hAnsi="Times New Roman" w:cs="Times New Roman"/>
          <w:sz w:val="24"/>
          <w:szCs w:val="24"/>
        </w:rPr>
        <w:t xml:space="preserve">and </w:t>
      </w:r>
      <w:r w:rsidRPr="00393D99">
        <w:rPr>
          <w:rFonts w:ascii="Times New Roman" w:hAnsi="Times New Roman" w:cs="Times New Roman"/>
          <w:sz w:val="24"/>
          <w:szCs w:val="24"/>
        </w:rPr>
        <w:t xml:space="preserve">sources </w:t>
      </w:r>
      <w:r w:rsidR="00BC0830" w:rsidRPr="00393D99">
        <w:rPr>
          <w:rFonts w:ascii="Times New Roman" w:hAnsi="Times New Roman" w:cs="Times New Roman"/>
          <w:sz w:val="24"/>
          <w:szCs w:val="24"/>
        </w:rPr>
        <w:t xml:space="preserve">of all variables and </w:t>
      </w:r>
      <w:r w:rsidRPr="00393D99">
        <w:rPr>
          <w:rFonts w:ascii="Times New Roman" w:hAnsi="Times New Roman" w:cs="Times New Roman"/>
          <w:sz w:val="24"/>
          <w:szCs w:val="24"/>
        </w:rPr>
        <w:t xml:space="preserve">are presented in </w:t>
      </w:r>
      <w:r w:rsidR="003A4C37" w:rsidRPr="00393D99">
        <w:rPr>
          <w:rFonts w:ascii="Times New Roman" w:hAnsi="Times New Roman" w:cs="Times New Roman"/>
          <w:sz w:val="24"/>
          <w:szCs w:val="24"/>
        </w:rPr>
        <w:t>Table A1 in A</w:t>
      </w:r>
      <w:r w:rsidRPr="00393D99">
        <w:rPr>
          <w:rFonts w:ascii="Times New Roman" w:hAnsi="Times New Roman" w:cs="Times New Roman"/>
          <w:sz w:val="24"/>
          <w:szCs w:val="24"/>
        </w:rPr>
        <w:t>ppendix</w:t>
      </w:r>
      <w:r w:rsidR="003A4C37" w:rsidRPr="00393D99">
        <w:rPr>
          <w:rFonts w:ascii="Times New Roman" w:hAnsi="Times New Roman" w:cs="Times New Roman"/>
          <w:sz w:val="24"/>
          <w:szCs w:val="24"/>
        </w:rPr>
        <w:t xml:space="preserve"> A</w:t>
      </w:r>
      <w:r w:rsidRPr="00393D99">
        <w:rPr>
          <w:rFonts w:ascii="Times New Roman" w:hAnsi="Times New Roman" w:cs="Times New Roman"/>
          <w:sz w:val="24"/>
          <w:szCs w:val="24"/>
        </w:rPr>
        <w:t>.</w:t>
      </w:r>
    </w:p>
    <w:p w14:paraId="657C4D5F" w14:textId="77777777" w:rsidR="00DB205F" w:rsidRPr="00393D99" w:rsidRDefault="00353C75" w:rsidP="00393D99">
      <w:pPr>
        <w:snapToGrid w:val="0"/>
        <w:spacing w:line="480" w:lineRule="auto"/>
        <w:jc w:val="both"/>
        <w:rPr>
          <w:rFonts w:ascii="Times New Roman" w:hAnsi="Times New Roman" w:cs="Times New Roman"/>
          <w:b/>
          <w:sz w:val="24"/>
          <w:szCs w:val="24"/>
        </w:rPr>
      </w:pPr>
      <w:r w:rsidRPr="00393D99">
        <w:rPr>
          <w:rFonts w:ascii="Times New Roman" w:hAnsi="Times New Roman" w:cs="Times New Roman"/>
          <w:b/>
          <w:sz w:val="24"/>
          <w:szCs w:val="24"/>
        </w:rPr>
        <w:t xml:space="preserve">3.2. </w:t>
      </w:r>
      <w:r w:rsidR="00DB205F" w:rsidRPr="00393D99">
        <w:rPr>
          <w:rFonts w:ascii="Times New Roman" w:hAnsi="Times New Roman" w:cs="Times New Roman"/>
          <w:b/>
          <w:sz w:val="24"/>
          <w:szCs w:val="24"/>
        </w:rPr>
        <w:t xml:space="preserve">Non-linear </w:t>
      </w:r>
      <w:r w:rsidR="00386D17" w:rsidRPr="00393D99">
        <w:rPr>
          <w:rFonts w:ascii="Times New Roman" w:hAnsi="Times New Roman" w:cs="Times New Roman"/>
          <w:b/>
          <w:sz w:val="24"/>
          <w:szCs w:val="24"/>
        </w:rPr>
        <w:t>autoregressive distributive lag (N</w:t>
      </w:r>
      <w:r w:rsidR="00DB205F" w:rsidRPr="00393D99">
        <w:rPr>
          <w:rFonts w:ascii="Times New Roman" w:hAnsi="Times New Roman" w:cs="Times New Roman"/>
          <w:b/>
          <w:sz w:val="24"/>
          <w:szCs w:val="24"/>
        </w:rPr>
        <w:t>ARDL</w:t>
      </w:r>
      <w:r w:rsidR="00386D17" w:rsidRPr="00393D99">
        <w:rPr>
          <w:rFonts w:ascii="Times New Roman" w:hAnsi="Times New Roman" w:cs="Times New Roman"/>
          <w:b/>
          <w:sz w:val="24"/>
          <w:szCs w:val="24"/>
        </w:rPr>
        <w:t>)</w:t>
      </w:r>
    </w:p>
    <w:p w14:paraId="2ED3F583" w14:textId="77777777" w:rsidR="00E04816" w:rsidRDefault="00DB205F" w:rsidP="00B7783C">
      <w:pPr>
        <w:snapToGrid w:val="0"/>
        <w:spacing w:after="120" w:line="480" w:lineRule="auto"/>
        <w:jc w:val="both"/>
        <w:rPr>
          <w:rFonts w:ascii="Times New Roman" w:hAnsi="Times New Roman" w:cs="Times New Roman"/>
          <w:sz w:val="24"/>
          <w:szCs w:val="24"/>
        </w:rPr>
      </w:pPr>
      <w:r w:rsidRPr="00393D99">
        <w:rPr>
          <w:rFonts w:ascii="Times New Roman" w:hAnsi="Times New Roman" w:cs="Times New Roman"/>
          <w:sz w:val="24"/>
          <w:szCs w:val="24"/>
        </w:rPr>
        <w:t xml:space="preserve">This study uses the </w:t>
      </w:r>
      <w:r w:rsidR="009B1BC7" w:rsidRPr="00393D99">
        <w:rPr>
          <w:rFonts w:ascii="Times New Roman" w:hAnsi="Times New Roman" w:cs="Times New Roman"/>
          <w:sz w:val="24"/>
          <w:szCs w:val="24"/>
        </w:rPr>
        <w:t>asymmetric</w:t>
      </w:r>
      <w:r w:rsidRPr="00393D99">
        <w:rPr>
          <w:rFonts w:ascii="Times New Roman" w:hAnsi="Times New Roman" w:cs="Times New Roman"/>
          <w:sz w:val="24"/>
          <w:szCs w:val="24"/>
        </w:rPr>
        <w:t xml:space="preserve"> or</w:t>
      </w:r>
      <w:r w:rsidR="001C5370" w:rsidRPr="00393D99">
        <w:rPr>
          <w:rFonts w:ascii="Times New Roman" w:hAnsi="Times New Roman" w:cs="Times New Roman"/>
          <w:sz w:val="24"/>
          <w:szCs w:val="24"/>
        </w:rPr>
        <w:t xml:space="preserve"> </w:t>
      </w:r>
      <w:r w:rsidR="00386D17" w:rsidRPr="00393D99">
        <w:rPr>
          <w:rFonts w:ascii="Times New Roman" w:hAnsi="Times New Roman" w:cs="Times New Roman"/>
          <w:sz w:val="24"/>
          <w:szCs w:val="24"/>
        </w:rPr>
        <w:t>(NARDL)</w:t>
      </w:r>
      <w:r w:rsidRPr="00393D99">
        <w:rPr>
          <w:rStyle w:val="FootnoteReference"/>
          <w:rFonts w:ascii="Times New Roman" w:hAnsi="Times New Roman" w:cs="Times New Roman"/>
          <w:sz w:val="24"/>
          <w:szCs w:val="24"/>
        </w:rPr>
        <w:footnoteReference w:id="3"/>
      </w:r>
      <w:r w:rsidRPr="00393D99">
        <w:rPr>
          <w:rFonts w:ascii="Times New Roman" w:hAnsi="Times New Roman" w:cs="Times New Roman"/>
          <w:sz w:val="24"/>
          <w:szCs w:val="24"/>
        </w:rPr>
        <w:t xml:space="preserve"> approach developed by </w:t>
      </w:r>
      <w:r w:rsidR="00D84AB0">
        <w:rPr>
          <w:rFonts w:ascii="Times New Roman" w:hAnsi="Times New Roman" w:cs="Times New Roman"/>
          <w:sz w:val="24"/>
          <w:szCs w:val="24"/>
        </w:rPr>
        <w:t>[23]</w:t>
      </w:r>
      <w:r w:rsidR="00EA58CB" w:rsidRPr="00393D99">
        <w:rPr>
          <w:rFonts w:ascii="Times New Roman" w:hAnsi="Times New Roman" w:cs="Times New Roman"/>
          <w:sz w:val="24"/>
          <w:szCs w:val="24"/>
        </w:rPr>
        <w:t xml:space="preserve">, which </w:t>
      </w:r>
      <w:r w:rsidRPr="00393D99">
        <w:rPr>
          <w:rFonts w:ascii="Times New Roman" w:hAnsi="Times New Roman" w:cs="Times New Roman"/>
          <w:sz w:val="24"/>
          <w:szCs w:val="24"/>
        </w:rPr>
        <w:t xml:space="preserve">is a </w:t>
      </w:r>
    </w:p>
    <w:p w14:paraId="6CB1303E" w14:textId="152B07B9" w:rsidR="00DB205F" w:rsidRPr="00393D99" w:rsidRDefault="00DB205F" w:rsidP="00B7783C">
      <w:pPr>
        <w:snapToGrid w:val="0"/>
        <w:spacing w:after="120" w:line="480" w:lineRule="auto"/>
        <w:jc w:val="both"/>
        <w:rPr>
          <w:rFonts w:ascii="Times New Roman" w:hAnsi="Times New Roman" w:cs="Times New Roman"/>
          <w:sz w:val="24"/>
          <w:szCs w:val="24"/>
        </w:rPr>
      </w:pPr>
      <w:r w:rsidRPr="00393D99">
        <w:rPr>
          <w:rFonts w:ascii="Times New Roman" w:hAnsi="Times New Roman" w:cs="Times New Roman"/>
          <w:sz w:val="24"/>
          <w:szCs w:val="24"/>
        </w:rPr>
        <w:lastRenderedPageBreak/>
        <w:t>relatively new technique for detecting both long-run and short-run asymmetries betw</w:t>
      </w:r>
      <w:r w:rsidR="007D0DF5" w:rsidRPr="00393D99">
        <w:rPr>
          <w:rFonts w:ascii="Times New Roman" w:hAnsi="Times New Roman" w:cs="Times New Roman"/>
          <w:sz w:val="24"/>
          <w:szCs w:val="24"/>
        </w:rPr>
        <w:t xml:space="preserve">een variables. </w:t>
      </w:r>
      <w:r w:rsidR="00D84AB0">
        <w:rPr>
          <w:rFonts w:ascii="Times New Roman" w:hAnsi="Times New Roman" w:cs="Times New Roman"/>
          <w:sz w:val="24"/>
          <w:szCs w:val="24"/>
        </w:rPr>
        <w:t>[48]</w:t>
      </w:r>
      <w:r w:rsidR="00EA58CB" w:rsidRPr="00393D99">
        <w:rPr>
          <w:rFonts w:ascii="Times New Roman" w:hAnsi="Times New Roman" w:cs="Times New Roman"/>
          <w:sz w:val="24"/>
          <w:szCs w:val="24"/>
        </w:rPr>
        <w:t xml:space="preserve"> suggested that </w:t>
      </w:r>
      <w:r w:rsidR="007B6FA9" w:rsidRPr="00393D99">
        <w:rPr>
          <w:rFonts w:ascii="Times New Roman" w:hAnsi="Times New Roman" w:cs="Times New Roman"/>
          <w:sz w:val="24"/>
          <w:szCs w:val="24"/>
        </w:rPr>
        <w:t xml:space="preserve">the </w:t>
      </w:r>
      <w:r w:rsidRPr="00393D99">
        <w:rPr>
          <w:rFonts w:ascii="Times New Roman" w:hAnsi="Times New Roman" w:cs="Times New Roman"/>
          <w:sz w:val="24"/>
          <w:szCs w:val="24"/>
        </w:rPr>
        <w:t xml:space="preserve">NARDL </w:t>
      </w:r>
      <w:r w:rsidR="00DC46C6" w:rsidRPr="00393D99">
        <w:rPr>
          <w:rFonts w:ascii="Times New Roman" w:hAnsi="Times New Roman" w:cs="Times New Roman"/>
          <w:sz w:val="24"/>
          <w:szCs w:val="24"/>
        </w:rPr>
        <w:t xml:space="preserve">model </w:t>
      </w:r>
      <w:r w:rsidRPr="00393D99">
        <w:rPr>
          <w:rFonts w:ascii="Times New Roman" w:hAnsi="Times New Roman" w:cs="Times New Roman"/>
          <w:sz w:val="24"/>
          <w:szCs w:val="24"/>
        </w:rPr>
        <w:t xml:space="preserve">outperforms </w:t>
      </w:r>
      <w:r w:rsidR="00AE5A54" w:rsidRPr="00393D99">
        <w:rPr>
          <w:rFonts w:ascii="Times New Roman" w:hAnsi="Times New Roman" w:cs="Times New Roman"/>
          <w:sz w:val="24"/>
          <w:szCs w:val="24"/>
        </w:rPr>
        <w:t xml:space="preserve">traditional ARDL techniques </w:t>
      </w:r>
      <w:r w:rsidRPr="00393D99">
        <w:rPr>
          <w:rFonts w:ascii="Times New Roman" w:hAnsi="Times New Roman" w:cs="Times New Roman"/>
          <w:sz w:val="24"/>
          <w:szCs w:val="24"/>
        </w:rPr>
        <w:t xml:space="preserve">in examining cointegration in small samples, which is also </w:t>
      </w:r>
      <w:r w:rsidR="00AE5A54" w:rsidRPr="00393D99">
        <w:rPr>
          <w:rFonts w:ascii="Times New Roman" w:hAnsi="Times New Roman" w:cs="Times New Roman"/>
          <w:sz w:val="24"/>
          <w:szCs w:val="24"/>
        </w:rPr>
        <w:t xml:space="preserve">applicable to </w:t>
      </w:r>
      <w:r w:rsidRPr="00393D99">
        <w:rPr>
          <w:rFonts w:ascii="Times New Roman" w:hAnsi="Times New Roman" w:cs="Times New Roman"/>
          <w:sz w:val="24"/>
          <w:szCs w:val="24"/>
        </w:rPr>
        <w:t xml:space="preserve">our case. Various studies have </w:t>
      </w:r>
      <w:r w:rsidR="007D0DF5" w:rsidRPr="00393D99">
        <w:rPr>
          <w:rFonts w:ascii="Times New Roman" w:hAnsi="Times New Roman" w:cs="Times New Roman"/>
          <w:sz w:val="24"/>
          <w:szCs w:val="24"/>
        </w:rPr>
        <w:t>adopted this</w:t>
      </w:r>
      <w:r w:rsidRPr="00393D99">
        <w:rPr>
          <w:rFonts w:ascii="Times New Roman" w:hAnsi="Times New Roman" w:cs="Times New Roman"/>
          <w:sz w:val="24"/>
          <w:szCs w:val="24"/>
        </w:rPr>
        <w:t xml:space="preserve"> approach to examine whether an increase or a decrease in an independent variable has </w:t>
      </w:r>
      <w:r w:rsidR="008F2527" w:rsidRPr="00393D99">
        <w:rPr>
          <w:rFonts w:ascii="Times New Roman" w:hAnsi="Times New Roman" w:cs="Times New Roman"/>
          <w:sz w:val="24"/>
          <w:szCs w:val="24"/>
        </w:rPr>
        <w:t xml:space="preserve">a </w:t>
      </w:r>
      <w:r w:rsidRPr="00393D99">
        <w:rPr>
          <w:rFonts w:ascii="Times New Roman" w:hAnsi="Times New Roman" w:cs="Times New Roman"/>
          <w:sz w:val="24"/>
          <w:szCs w:val="24"/>
        </w:rPr>
        <w:t xml:space="preserve">different </w:t>
      </w:r>
      <w:r w:rsidR="00B65D53" w:rsidRPr="00393D99">
        <w:rPr>
          <w:rFonts w:ascii="Times New Roman" w:hAnsi="Times New Roman" w:cs="Times New Roman"/>
          <w:sz w:val="24"/>
          <w:szCs w:val="24"/>
        </w:rPr>
        <w:t>influence</w:t>
      </w:r>
      <w:r w:rsidR="008377A0" w:rsidRPr="00393D99">
        <w:rPr>
          <w:rFonts w:ascii="Times New Roman" w:hAnsi="Times New Roman" w:cs="Times New Roman"/>
          <w:sz w:val="24"/>
          <w:szCs w:val="24"/>
        </w:rPr>
        <w:t xml:space="preserve"> </w:t>
      </w:r>
      <w:r w:rsidRPr="00393D99">
        <w:rPr>
          <w:rFonts w:ascii="Times New Roman" w:hAnsi="Times New Roman" w:cs="Times New Roman"/>
          <w:sz w:val="24"/>
          <w:szCs w:val="24"/>
        </w:rPr>
        <w:t xml:space="preserve">on </w:t>
      </w:r>
      <w:r w:rsidR="00386D17" w:rsidRPr="00393D99">
        <w:rPr>
          <w:rFonts w:ascii="Times New Roman" w:hAnsi="Times New Roman" w:cs="Times New Roman"/>
          <w:sz w:val="24"/>
          <w:szCs w:val="24"/>
        </w:rPr>
        <w:t>the</w:t>
      </w:r>
      <w:r w:rsidRPr="00393D99">
        <w:rPr>
          <w:rFonts w:ascii="Times New Roman" w:hAnsi="Times New Roman" w:cs="Times New Roman"/>
          <w:sz w:val="24"/>
          <w:szCs w:val="24"/>
        </w:rPr>
        <w:t xml:space="preserve"> dependent variable </w:t>
      </w:r>
      <w:r w:rsidR="00D84AB0">
        <w:rPr>
          <w:rFonts w:ascii="Times New Roman" w:hAnsi="Times New Roman" w:cs="Times New Roman"/>
          <w:sz w:val="24"/>
          <w:szCs w:val="24"/>
        </w:rPr>
        <w:t>[49,50]</w:t>
      </w:r>
      <w:r w:rsidR="00F140B5" w:rsidRPr="00393D99">
        <w:rPr>
          <w:rFonts w:ascii="Times New Roman" w:hAnsi="Times New Roman" w:cs="Times New Roman"/>
          <w:sz w:val="24"/>
          <w:szCs w:val="24"/>
        </w:rPr>
        <w:t>. Followed</w:t>
      </w:r>
      <w:r w:rsidRPr="00393D99">
        <w:rPr>
          <w:rFonts w:ascii="Times New Roman" w:hAnsi="Times New Roman" w:cs="Times New Roman"/>
          <w:sz w:val="24"/>
          <w:szCs w:val="24"/>
        </w:rPr>
        <w:t xml:space="preserve"> these studies, we estimate the NARDL model to capture asymmetric effects of OFDI on economic growth.</w:t>
      </w:r>
    </w:p>
    <w:p w14:paraId="6494A897" w14:textId="77777777" w:rsidR="00DB205F" w:rsidRPr="00393D99" w:rsidRDefault="00DB205F" w:rsidP="00E04816">
      <w:pPr>
        <w:snapToGrid w:val="0"/>
        <w:spacing w:after="0" w:line="480" w:lineRule="auto"/>
        <w:jc w:val="both"/>
        <w:rPr>
          <w:rFonts w:ascii="Times New Roman" w:hAnsi="Times New Roman" w:cs="Times New Roman"/>
          <w:sz w:val="24"/>
          <w:szCs w:val="24"/>
        </w:rPr>
      </w:pPr>
      <w:r w:rsidRPr="00393D99">
        <w:rPr>
          <w:rFonts w:ascii="Times New Roman" w:hAnsi="Times New Roman" w:cs="Times New Roman"/>
          <w:sz w:val="24"/>
          <w:szCs w:val="24"/>
        </w:rPr>
        <w:t xml:space="preserve">Following </w:t>
      </w:r>
      <w:r w:rsidR="00D84AB0">
        <w:rPr>
          <w:rFonts w:ascii="Times New Roman" w:hAnsi="Times New Roman" w:cs="Times New Roman"/>
          <w:sz w:val="24"/>
          <w:szCs w:val="24"/>
        </w:rPr>
        <w:t>[23]</w:t>
      </w:r>
      <w:r w:rsidRPr="00393D99">
        <w:rPr>
          <w:rFonts w:ascii="Times New Roman" w:hAnsi="Times New Roman" w:cs="Times New Roman"/>
          <w:sz w:val="24"/>
          <w:szCs w:val="24"/>
        </w:rPr>
        <w:t xml:space="preserve">, we consider the asymmetric </w:t>
      </w:r>
      <w:r w:rsidR="005D2A56" w:rsidRPr="00393D99">
        <w:rPr>
          <w:rFonts w:ascii="Times New Roman" w:hAnsi="Times New Roman" w:cs="Times New Roman"/>
          <w:sz w:val="24"/>
          <w:szCs w:val="24"/>
        </w:rPr>
        <w:t>cointegration</w:t>
      </w:r>
      <w:r w:rsidRPr="00393D99">
        <w:rPr>
          <w:rFonts w:ascii="Times New Roman" w:hAnsi="Times New Roman" w:cs="Times New Roman"/>
          <w:sz w:val="24"/>
          <w:szCs w:val="24"/>
        </w:rPr>
        <w:t xml:space="preserve"> regression,</w:t>
      </w:r>
    </w:p>
    <w:p w14:paraId="3614A29D" w14:textId="74BD3FC3" w:rsidR="002A4C13" w:rsidRPr="00393D99" w:rsidRDefault="003D3344" w:rsidP="00393D99">
      <w:pPr>
        <w:pStyle w:val="BodyText1"/>
        <w:snapToGrid w:val="0"/>
        <w:spacing w:after="120" w:line="480" w:lineRule="auto"/>
        <w:ind w:firstLine="720"/>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β</m:t>
            </m:r>
          </m:e>
          <m:sup>
            <m:r>
              <w:rPr>
                <w:rFonts w:ascii="Cambria Math" w:hAnsi="Cambria Math"/>
                <w:sz w:val="24"/>
                <w:szCs w:val="24"/>
              </w:rPr>
              <m:t>-</m:t>
            </m:r>
          </m:sup>
        </m:sSup>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m:t>
            </m:r>
          </m:sup>
        </m:sSub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t</m:t>
            </m:r>
          </m:sub>
        </m:sSub>
      </m:oMath>
      <w:r w:rsidR="00602BB0" w:rsidRPr="00393D99">
        <w:rPr>
          <w:rFonts w:ascii="Times New Roman" w:hAnsi="Times New Roman"/>
          <w:sz w:val="24"/>
          <w:szCs w:val="24"/>
        </w:rPr>
        <w:tab/>
      </w:r>
      <w:r w:rsidR="00602BB0" w:rsidRPr="00393D99">
        <w:rPr>
          <w:rFonts w:ascii="Times New Roman" w:hAnsi="Times New Roman"/>
          <w:sz w:val="24"/>
          <w:szCs w:val="24"/>
        </w:rPr>
        <w:tab/>
      </w:r>
      <w:r w:rsidR="00602BB0" w:rsidRPr="00393D99">
        <w:rPr>
          <w:rFonts w:ascii="Times New Roman" w:hAnsi="Times New Roman"/>
          <w:sz w:val="24"/>
          <w:szCs w:val="24"/>
        </w:rPr>
        <w:tab/>
      </w:r>
      <w:r w:rsidR="00B26C80" w:rsidRPr="00393D99">
        <w:rPr>
          <w:rFonts w:ascii="Times New Roman" w:hAnsi="Times New Roman"/>
          <w:sz w:val="24"/>
          <w:szCs w:val="24"/>
        </w:rPr>
        <w:tab/>
      </w:r>
      <w:r w:rsidR="00B26C80" w:rsidRPr="00393D99">
        <w:rPr>
          <w:rFonts w:ascii="Times New Roman" w:hAnsi="Times New Roman"/>
          <w:sz w:val="24"/>
          <w:szCs w:val="24"/>
        </w:rPr>
        <w:tab/>
      </w:r>
      <w:r w:rsidR="00E04816">
        <w:rPr>
          <w:rFonts w:ascii="Times New Roman" w:hAnsi="Times New Roman"/>
          <w:sz w:val="24"/>
          <w:szCs w:val="24"/>
        </w:rPr>
        <w:tab/>
      </w:r>
      <w:r w:rsidR="00E04816">
        <w:rPr>
          <w:rFonts w:ascii="Times New Roman" w:hAnsi="Times New Roman"/>
          <w:sz w:val="24"/>
          <w:szCs w:val="24"/>
        </w:rPr>
        <w:tab/>
      </w:r>
      <w:r w:rsidR="00602BB0" w:rsidRPr="00393D99">
        <w:rPr>
          <w:rFonts w:ascii="Times New Roman" w:hAnsi="Times New Roman"/>
          <w:sz w:val="24"/>
          <w:szCs w:val="24"/>
        </w:rPr>
        <w:t>(4)</w:t>
      </w:r>
    </w:p>
    <w:p w14:paraId="50AF413E" w14:textId="77777777" w:rsidR="00DB205F" w:rsidRPr="00393D99" w:rsidRDefault="00DB205F" w:rsidP="00B7783C">
      <w:pPr>
        <w:snapToGrid w:val="0"/>
        <w:spacing w:after="24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 xml:space="preserve">where </w:t>
      </w:r>
      <w:r w:rsidRPr="00393D99">
        <w:rPr>
          <w:rFonts w:ascii="Times New Roman" w:hAnsi="Times New Roman" w:cs="Times New Roman"/>
          <w:i/>
          <w:sz w:val="24"/>
          <w:szCs w:val="24"/>
        </w:rPr>
        <w:t>β</w:t>
      </w:r>
      <w:r w:rsidRPr="00393D99">
        <w:rPr>
          <w:rFonts w:ascii="Times New Roman" w:hAnsi="Times New Roman" w:cs="Times New Roman"/>
          <w:i/>
          <w:sz w:val="24"/>
          <w:szCs w:val="24"/>
          <w:vertAlign w:val="superscript"/>
        </w:rPr>
        <w:t>+</w:t>
      </w:r>
      <w:r w:rsidRPr="00393D99">
        <w:rPr>
          <w:rFonts w:ascii="Times New Roman" w:hAnsi="Times New Roman" w:cs="Times New Roman"/>
          <w:sz w:val="24"/>
          <w:szCs w:val="24"/>
        </w:rPr>
        <w:t xml:space="preserve"> and </w:t>
      </w:r>
      <w:r w:rsidRPr="00393D99">
        <w:rPr>
          <w:rFonts w:ascii="Times New Roman" w:hAnsi="Times New Roman" w:cs="Times New Roman"/>
          <w:i/>
          <w:sz w:val="24"/>
          <w:szCs w:val="24"/>
        </w:rPr>
        <w:t>β</w:t>
      </w:r>
      <w:r w:rsidRPr="00393D99">
        <w:rPr>
          <w:rFonts w:ascii="Times New Roman" w:hAnsi="Times New Roman" w:cs="Times New Roman"/>
          <w:i/>
          <w:sz w:val="24"/>
          <w:szCs w:val="24"/>
          <w:vertAlign w:val="superscript"/>
        </w:rPr>
        <w:t>−</w:t>
      </w:r>
      <w:r w:rsidRPr="00393D99">
        <w:rPr>
          <w:rFonts w:ascii="Times New Roman" w:hAnsi="Times New Roman" w:cs="Times New Roman"/>
          <w:sz w:val="24"/>
          <w:szCs w:val="24"/>
        </w:rPr>
        <w:t xml:space="preserve"> are long-run positive and negative parameters while</w:t>
      </w:r>
      <w:r w:rsidR="00CE0A82" w:rsidRPr="00393D99">
        <w:rPr>
          <w:rFonts w:ascii="Times New Roman" w:hAnsi="Times New Roman" w:cs="Times New Roman"/>
          <w:sz w:val="24"/>
          <w:szCs w:val="24"/>
        </w:rPr>
        <w:t xml:space="preserve"> </w:t>
      </w:r>
      <w:proofErr w:type="spellStart"/>
      <w:r w:rsidRPr="00393D99">
        <w:rPr>
          <w:rFonts w:ascii="Times New Roman" w:hAnsi="Times New Roman" w:cs="Times New Roman"/>
          <w:i/>
          <w:sz w:val="24"/>
          <w:szCs w:val="24"/>
        </w:rPr>
        <w:t>x</w:t>
      </w:r>
      <w:r w:rsidRPr="00393D99">
        <w:rPr>
          <w:rFonts w:ascii="Times New Roman" w:hAnsi="Times New Roman" w:cs="Times New Roman"/>
          <w:i/>
          <w:sz w:val="24"/>
          <w:szCs w:val="24"/>
          <w:vertAlign w:val="subscript"/>
        </w:rPr>
        <w:t>t</w:t>
      </w:r>
      <w:proofErr w:type="spellEnd"/>
      <w:r w:rsidRPr="00393D99">
        <w:rPr>
          <w:rFonts w:ascii="Times New Roman" w:hAnsi="Times New Roman" w:cs="Times New Roman"/>
          <w:sz w:val="24"/>
          <w:szCs w:val="24"/>
        </w:rPr>
        <w:t xml:space="preserve"> is a </w:t>
      </w:r>
      <w:r w:rsidRPr="00393D99">
        <w:rPr>
          <w:rFonts w:ascii="Times New Roman" w:hAnsi="Times New Roman" w:cs="Times New Roman"/>
          <w:i/>
          <w:sz w:val="24"/>
          <w:szCs w:val="24"/>
        </w:rPr>
        <w:t>k×1</w:t>
      </w:r>
      <w:r w:rsidRPr="00393D99">
        <w:rPr>
          <w:rFonts w:ascii="Times New Roman" w:hAnsi="Times New Roman" w:cs="Times New Roman"/>
          <w:sz w:val="24"/>
          <w:szCs w:val="24"/>
        </w:rPr>
        <w:t xml:space="preserve"> vector of regressors decomposed as</w:t>
      </w:r>
      <w:r w:rsidR="00386D17" w:rsidRPr="00393D99">
        <w:rPr>
          <w:rFonts w:ascii="Times New Roman" w:hAnsi="Times New Roman" w:cs="Times New Roman"/>
          <w:sz w:val="24"/>
          <w:szCs w:val="24"/>
        </w:rPr>
        <w:t>;</w:t>
      </w:r>
    </w:p>
    <w:p w14:paraId="6E66CA0D" w14:textId="11408F11" w:rsidR="00895441" w:rsidRPr="00393D99" w:rsidRDefault="003D3344" w:rsidP="00E04816">
      <w:pPr>
        <w:snapToGrid w:val="0"/>
        <w:spacing w:after="120" w:line="48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o</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m:t>
            </m:r>
          </m:sub>
          <m:sup>
            <m:r>
              <w:rPr>
                <w:rFonts w:ascii="Cambria Math" w:hAnsi="Cambria Math" w:cs="Times New Roman"/>
                <w:sz w:val="24"/>
                <w:szCs w:val="24"/>
              </w:rPr>
              <m:t>-</m:t>
            </m:r>
          </m:sup>
        </m:sSubSup>
      </m:oMath>
      <w:r w:rsidR="00602BB0" w:rsidRPr="00393D99">
        <w:rPr>
          <w:rFonts w:ascii="Times New Roman" w:hAnsi="Times New Roman" w:cs="Times New Roman"/>
          <w:sz w:val="24"/>
          <w:szCs w:val="24"/>
        </w:rPr>
        <w:tab/>
      </w:r>
      <w:r w:rsidR="00EF3538" w:rsidRPr="00393D99">
        <w:rPr>
          <w:rFonts w:ascii="Times New Roman" w:hAnsi="Times New Roman" w:cs="Times New Roman"/>
          <w:sz w:val="24"/>
          <w:szCs w:val="24"/>
        </w:rPr>
        <w:tab/>
      </w:r>
      <w:r w:rsidR="00EF3538" w:rsidRPr="00393D99">
        <w:rPr>
          <w:rFonts w:ascii="Times New Roman" w:hAnsi="Times New Roman" w:cs="Times New Roman"/>
          <w:sz w:val="24"/>
          <w:szCs w:val="24"/>
        </w:rPr>
        <w:tab/>
      </w:r>
      <w:r w:rsidR="00EF3538" w:rsidRPr="00393D99">
        <w:rPr>
          <w:rFonts w:ascii="Times New Roman" w:hAnsi="Times New Roman" w:cs="Times New Roman"/>
          <w:sz w:val="24"/>
          <w:szCs w:val="24"/>
        </w:rPr>
        <w:tab/>
      </w:r>
      <w:r w:rsidR="00E04816">
        <w:rPr>
          <w:rFonts w:ascii="Times New Roman" w:hAnsi="Times New Roman" w:cs="Times New Roman"/>
          <w:sz w:val="24"/>
          <w:szCs w:val="24"/>
        </w:rPr>
        <w:tab/>
      </w:r>
      <w:r w:rsidR="00E04816">
        <w:rPr>
          <w:rFonts w:ascii="Times New Roman" w:hAnsi="Times New Roman" w:cs="Times New Roman"/>
          <w:sz w:val="24"/>
          <w:szCs w:val="24"/>
        </w:rPr>
        <w:tab/>
      </w:r>
      <w:r w:rsidR="00EF3538" w:rsidRPr="00393D99">
        <w:rPr>
          <w:rFonts w:ascii="Times New Roman" w:hAnsi="Times New Roman" w:cs="Times New Roman"/>
          <w:sz w:val="24"/>
          <w:szCs w:val="24"/>
        </w:rPr>
        <w:tab/>
      </w:r>
      <w:r w:rsidR="00E04816">
        <w:rPr>
          <w:rFonts w:ascii="Times New Roman" w:hAnsi="Times New Roman" w:cs="Times New Roman"/>
          <w:sz w:val="24"/>
          <w:szCs w:val="24"/>
        </w:rPr>
        <w:tab/>
      </w:r>
      <w:r w:rsidR="00E04816">
        <w:rPr>
          <w:rFonts w:ascii="Times New Roman" w:hAnsi="Times New Roman" w:cs="Times New Roman"/>
          <w:sz w:val="24"/>
          <w:szCs w:val="24"/>
        </w:rPr>
        <w:tab/>
      </w:r>
      <w:r w:rsidR="00895441" w:rsidRPr="00393D99">
        <w:rPr>
          <w:rFonts w:ascii="Times New Roman" w:hAnsi="Times New Roman" w:cs="Times New Roman"/>
          <w:sz w:val="24"/>
          <w:szCs w:val="24"/>
        </w:rPr>
        <w:t>(5</w:t>
      </w:r>
      <w:r w:rsidR="00602BB0" w:rsidRPr="00393D99">
        <w:rPr>
          <w:rFonts w:ascii="Times New Roman" w:hAnsi="Times New Roman" w:cs="Times New Roman"/>
          <w:sz w:val="24"/>
          <w:szCs w:val="24"/>
        </w:rPr>
        <w:t>)</w:t>
      </w:r>
    </w:p>
    <w:p w14:paraId="78624F74" w14:textId="727C3A28" w:rsidR="00895441" w:rsidRPr="00E04816" w:rsidRDefault="00895441" w:rsidP="00B7783C">
      <w:pPr>
        <w:pStyle w:val="BodyText1"/>
        <w:snapToGrid w:val="0"/>
        <w:spacing w:after="120" w:line="480" w:lineRule="auto"/>
        <w:jc w:val="center"/>
        <w:rPr>
          <w:rFonts w:ascii="Times New Roman" w:hAnsi="Times New Roman"/>
          <w:color w:val="000000"/>
          <w:sz w:val="22"/>
          <w:szCs w:val="22"/>
          <w:lang w:val="en-US"/>
        </w:rPr>
      </w:pPr>
      <m:oMath>
        <m:r>
          <w:rPr>
            <w:rFonts w:ascii="Cambria Math" w:hAnsi="Cambria Math"/>
            <w:sz w:val="22"/>
            <w:szCs w:val="22"/>
          </w:rPr>
          <m:t>Ln</m:t>
        </m:r>
        <m:sSub>
          <m:sSubPr>
            <m:ctrlPr>
              <w:rPr>
                <w:rFonts w:ascii="Cambria Math" w:eastAsiaTheme="minorEastAsia" w:hAnsi="Cambria Math"/>
                <w:i/>
                <w:sz w:val="22"/>
                <w:szCs w:val="22"/>
                <w:lang w:val="en-US" w:eastAsia="zh-CN"/>
              </w:rPr>
            </m:ctrlPr>
          </m:sSubPr>
          <m:e>
            <m:r>
              <w:rPr>
                <w:rFonts w:ascii="Cambria Math" w:hAnsi="Cambria Math"/>
                <w:sz w:val="22"/>
                <w:szCs w:val="22"/>
              </w:rPr>
              <m:t>Y</m:t>
            </m:r>
          </m:e>
          <m:sub>
            <m:r>
              <w:rPr>
                <w:rFonts w:ascii="Cambria Math" w:hAnsi="Cambria Math"/>
                <w:sz w:val="22"/>
                <w:szCs w:val="22"/>
              </w:rPr>
              <m:t>t</m:t>
            </m:r>
          </m:sub>
        </m:sSub>
        <m:r>
          <w:rPr>
            <w:rFonts w:ascii="Cambria Math" w:hAnsi="Cambria Math"/>
            <w:sz w:val="22"/>
            <w:szCs w:val="22"/>
          </w:rPr>
          <m:t>=βo+</m:t>
        </m:r>
        <m:sSub>
          <m:sSubPr>
            <m:ctrlPr>
              <w:rPr>
                <w:rFonts w:ascii="Cambria Math" w:eastAsiaTheme="minorEastAsia" w:hAnsi="Cambria Math"/>
                <w:i/>
                <w:sz w:val="22"/>
                <w:szCs w:val="22"/>
                <w:lang w:val="en-US" w:eastAsia="zh-CN"/>
              </w:rPr>
            </m:ctrlPr>
          </m:sSubPr>
          <m:e>
            <m:r>
              <w:rPr>
                <w:rFonts w:ascii="Cambria Math" w:hAnsi="Cambria Math"/>
                <w:sz w:val="22"/>
                <w:szCs w:val="22"/>
              </w:rPr>
              <m:t>β</m:t>
            </m:r>
          </m:e>
          <m:sub>
            <m:r>
              <w:rPr>
                <w:rFonts w:ascii="Cambria Math" w:hAnsi="Cambria Math"/>
                <w:sz w:val="22"/>
                <w:szCs w:val="22"/>
              </w:rPr>
              <m:t>1</m:t>
            </m:r>
          </m:sub>
        </m:sSub>
        <m:sSup>
          <m:sSupPr>
            <m:ctrlPr>
              <w:rPr>
                <w:rFonts w:ascii="Cambria Math" w:hAnsi="Cambria Math"/>
                <w:i/>
                <w:sz w:val="22"/>
                <w:szCs w:val="22"/>
              </w:rPr>
            </m:ctrlPr>
          </m:sSupPr>
          <m:e>
            <m:r>
              <w:rPr>
                <w:rFonts w:ascii="Cambria Math" w:hAnsi="Cambria Math"/>
                <w:sz w:val="22"/>
                <w:szCs w:val="22"/>
              </w:rPr>
              <m:t>OFDI</m:t>
            </m:r>
          </m:e>
          <m:sup>
            <m:r>
              <w:rPr>
                <w:rFonts w:ascii="Cambria Math" w:hAnsi="Cambria Math"/>
                <w:sz w:val="22"/>
                <w:szCs w:val="22"/>
              </w:rPr>
              <m:t>+</m:t>
            </m:r>
          </m:sup>
        </m:sSup>
        <m:r>
          <w:rPr>
            <w:rFonts w:ascii="Cambria Math" w:hAnsi="Cambria Math"/>
            <w:sz w:val="22"/>
            <w:szCs w:val="22"/>
          </w:rPr>
          <m:t>+</m:t>
        </m:r>
        <m:sSub>
          <m:sSubPr>
            <m:ctrlPr>
              <w:rPr>
                <w:rFonts w:ascii="Cambria Math" w:eastAsiaTheme="minorEastAsia" w:hAnsi="Cambria Math"/>
                <w:i/>
                <w:sz w:val="22"/>
                <w:szCs w:val="22"/>
                <w:lang w:val="en-US" w:eastAsia="zh-CN"/>
              </w:rPr>
            </m:ctrlPr>
          </m:sSubPr>
          <m:e>
            <m:r>
              <w:rPr>
                <w:rFonts w:ascii="Cambria Math" w:hAnsi="Cambria Math"/>
                <w:sz w:val="22"/>
                <w:szCs w:val="22"/>
              </w:rPr>
              <m:t>β</m:t>
            </m:r>
          </m:e>
          <m:sub>
            <m:r>
              <w:rPr>
                <w:rFonts w:ascii="Cambria Math" w:hAnsi="Cambria Math"/>
                <w:sz w:val="22"/>
                <w:szCs w:val="22"/>
              </w:rPr>
              <m:t>2</m:t>
            </m:r>
          </m:sub>
        </m:sSub>
        <m:sSup>
          <m:sSupPr>
            <m:ctrlPr>
              <w:rPr>
                <w:rFonts w:ascii="Cambria Math" w:hAnsi="Cambria Math"/>
                <w:i/>
                <w:sz w:val="22"/>
                <w:szCs w:val="22"/>
              </w:rPr>
            </m:ctrlPr>
          </m:sSupPr>
          <m:e>
            <m:r>
              <w:rPr>
                <w:rFonts w:ascii="Cambria Math" w:hAnsi="Cambria Math"/>
                <w:sz w:val="22"/>
                <w:szCs w:val="22"/>
              </w:rPr>
              <m:t>OFDI</m:t>
            </m:r>
          </m:e>
          <m:sup>
            <m:r>
              <w:rPr>
                <w:rFonts w:ascii="Cambria Math" w:hAnsi="Cambria Math"/>
                <w:sz w:val="22"/>
                <w:szCs w:val="22"/>
              </w:rPr>
              <m:t>-</m:t>
            </m:r>
          </m:sup>
        </m:sSup>
        <m:r>
          <w:rPr>
            <w:rFonts w:ascii="Cambria Math" w:hAnsi="Cambria Math"/>
            <w:sz w:val="22"/>
            <w:szCs w:val="22"/>
          </w:rPr>
          <m:t>+</m:t>
        </m:r>
        <m:sSub>
          <m:sSubPr>
            <m:ctrlPr>
              <w:rPr>
                <w:rFonts w:ascii="Cambria Math" w:eastAsiaTheme="minorEastAsia" w:hAnsi="Cambria Math"/>
                <w:i/>
                <w:sz w:val="22"/>
                <w:szCs w:val="22"/>
                <w:lang w:val="en-US" w:eastAsia="zh-CN"/>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IFDI+</m:t>
        </m:r>
        <m:sSub>
          <m:sSubPr>
            <m:ctrlPr>
              <w:rPr>
                <w:rFonts w:ascii="Cambria Math" w:eastAsiaTheme="minorEastAsia" w:hAnsi="Cambria Math"/>
                <w:i/>
                <w:sz w:val="22"/>
                <w:szCs w:val="22"/>
                <w:lang w:val="en-US" w:eastAsia="zh-CN"/>
              </w:rPr>
            </m:ctrlPr>
          </m:sSubPr>
          <m:e>
            <m:r>
              <w:rPr>
                <w:rFonts w:ascii="Cambria Math" w:hAnsi="Cambria Math"/>
                <w:sz w:val="22"/>
                <w:szCs w:val="22"/>
              </w:rPr>
              <m:t>β</m:t>
            </m:r>
          </m:e>
          <m:sub>
            <m:r>
              <w:rPr>
                <w:rFonts w:ascii="Cambria Math" w:hAnsi="Cambria Math"/>
                <w:sz w:val="22"/>
                <w:szCs w:val="22"/>
              </w:rPr>
              <m:t>4</m:t>
            </m:r>
          </m:sub>
        </m:sSub>
        <m:r>
          <w:rPr>
            <w:rFonts w:ascii="Cambria Math" w:hAnsi="Cambria Math"/>
            <w:sz w:val="22"/>
            <w:szCs w:val="22"/>
          </w:rPr>
          <m:t>CS+</m:t>
        </m:r>
        <m:sSub>
          <m:sSubPr>
            <m:ctrlPr>
              <w:rPr>
                <w:rFonts w:ascii="Cambria Math" w:eastAsiaTheme="minorEastAsia" w:hAnsi="Cambria Math"/>
                <w:i/>
                <w:sz w:val="22"/>
                <w:szCs w:val="22"/>
                <w:lang w:val="en-US" w:eastAsia="zh-CN"/>
              </w:rPr>
            </m:ctrlPr>
          </m:sSubPr>
          <m:e>
            <m:r>
              <w:rPr>
                <w:rFonts w:ascii="Cambria Math" w:hAnsi="Cambria Math"/>
                <w:sz w:val="22"/>
                <w:szCs w:val="22"/>
              </w:rPr>
              <m:t>β</m:t>
            </m:r>
          </m:e>
          <m:sub>
            <m:r>
              <w:rPr>
                <w:rFonts w:ascii="Cambria Math" w:hAnsi="Cambria Math"/>
                <w:sz w:val="22"/>
                <w:szCs w:val="22"/>
              </w:rPr>
              <m:t>5</m:t>
            </m:r>
          </m:sub>
        </m:sSub>
        <m:r>
          <w:rPr>
            <w:rFonts w:ascii="Cambria Math" w:hAnsi="Cambria Math"/>
            <w:sz w:val="22"/>
            <w:szCs w:val="22"/>
          </w:rPr>
          <m:t>LnLE+</m:t>
        </m:r>
        <m:sSub>
          <m:sSubPr>
            <m:ctrlPr>
              <w:rPr>
                <w:rFonts w:ascii="Cambria Math" w:eastAsiaTheme="minorEastAsia" w:hAnsi="Cambria Math"/>
                <w:i/>
                <w:sz w:val="22"/>
                <w:szCs w:val="22"/>
                <w:lang w:val="en-US" w:eastAsia="zh-CN"/>
              </w:rPr>
            </m:ctrlPr>
          </m:sSubPr>
          <m:e>
            <m:r>
              <w:rPr>
                <w:rFonts w:ascii="Cambria Math" w:hAnsi="Cambria Math"/>
                <w:sz w:val="22"/>
                <w:szCs w:val="22"/>
              </w:rPr>
              <m:t>β</m:t>
            </m:r>
          </m:e>
          <m:sub>
            <m:r>
              <w:rPr>
                <w:rFonts w:ascii="Cambria Math" w:hAnsi="Cambria Math"/>
                <w:sz w:val="22"/>
                <w:szCs w:val="22"/>
              </w:rPr>
              <m:t>6</m:t>
            </m:r>
          </m:sub>
        </m:sSub>
        <m:r>
          <w:rPr>
            <w:rFonts w:ascii="Cambria Math" w:hAnsi="Cambria Math"/>
            <w:sz w:val="22"/>
            <w:szCs w:val="22"/>
          </w:rPr>
          <m:t>LnINFR++</m:t>
        </m:r>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t</m:t>
            </m:r>
          </m:sub>
        </m:sSub>
      </m:oMath>
      <w:r w:rsidRPr="00E04816">
        <w:rPr>
          <w:rFonts w:ascii="Times New Roman" w:hAnsi="Times New Roman"/>
          <w:sz w:val="22"/>
          <w:szCs w:val="22"/>
        </w:rPr>
        <w:tab/>
        <w:t>(6)</w:t>
      </w:r>
    </w:p>
    <w:p w14:paraId="6E8F035C" w14:textId="77777777" w:rsidR="00B7783C" w:rsidRDefault="00DB205F" w:rsidP="00B7783C">
      <w:pPr>
        <w:snapToGrid w:val="0"/>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The baseline model (i.e.</w:t>
      </w:r>
      <w:r w:rsidR="008F2527" w:rsidRPr="00393D99">
        <w:rPr>
          <w:rFonts w:ascii="Times New Roman" w:hAnsi="Times New Roman" w:cs="Times New Roman"/>
          <w:sz w:val="24"/>
          <w:szCs w:val="24"/>
        </w:rPr>
        <w:t>,</w:t>
      </w:r>
      <w:r w:rsidRPr="00393D99">
        <w:rPr>
          <w:rFonts w:ascii="Times New Roman" w:hAnsi="Times New Roman" w:cs="Times New Roman"/>
          <w:sz w:val="24"/>
          <w:szCs w:val="24"/>
        </w:rPr>
        <w:t xml:space="preserve"> Equation 1) </w:t>
      </w:r>
      <w:r w:rsidR="00331F7E" w:rsidRPr="00393D99">
        <w:rPr>
          <w:rFonts w:ascii="Times New Roman" w:hAnsi="Times New Roman" w:cs="Times New Roman"/>
          <w:sz w:val="24"/>
          <w:szCs w:val="24"/>
        </w:rPr>
        <w:t>is</w:t>
      </w:r>
      <w:r w:rsidRPr="00393D99">
        <w:rPr>
          <w:rFonts w:ascii="Times New Roman" w:hAnsi="Times New Roman" w:cs="Times New Roman"/>
          <w:sz w:val="24"/>
          <w:szCs w:val="24"/>
        </w:rPr>
        <w:t xml:space="preserve"> converted into an asymmetric equation by </w:t>
      </w:r>
      <w:r w:rsidR="00B65D53" w:rsidRPr="00393D99">
        <w:rPr>
          <w:rFonts w:ascii="Times New Roman" w:hAnsi="Times New Roman" w:cs="Times New Roman"/>
          <w:sz w:val="24"/>
          <w:szCs w:val="24"/>
        </w:rPr>
        <w:t>substituting</w:t>
      </w:r>
      <w:r w:rsidRPr="00393D99">
        <w:rPr>
          <w:rFonts w:ascii="Times New Roman" w:hAnsi="Times New Roman" w:cs="Times New Roman"/>
          <w:sz w:val="24"/>
          <w:szCs w:val="24"/>
        </w:rPr>
        <w:t xml:space="preserve"> OFDI with the partial positive and negative sums decomposition following Equations (4) and (5).</w:t>
      </w:r>
    </w:p>
    <w:p w14:paraId="7F80C1C0" w14:textId="77777777" w:rsidR="00DB205F" w:rsidRPr="00393D99" w:rsidRDefault="00DB205F" w:rsidP="00B7783C">
      <w:pPr>
        <w:snapToGrid w:val="0"/>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t>In Equation (6), the movements in OFDI are decomposed into its increasing and decreasing partial sums, i.e.</w:t>
      </w:r>
      <w:r w:rsidR="008F2527" w:rsidRPr="00393D99">
        <w:rPr>
          <w:rFonts w:ascii="Times New Roman" w:hAnsi="Times New Roman" w:cs="Times New Roman"/>
          <w:sz w:val="24"/>
          <w:szCs w:val="24"/>
        </w:rPr>
        <w:t>,</w:t>
      </w:r>
      <w:r w:rsidRPr="00393D99">
        <w:rPr>
          <w:rFonts w:ascii="Times New Roman" w:hAnsi="Times New Roman" w:cs="Times New Roman"/>
          <w:sz w:val="24"/>
          <w:szCs w:val="24"/>
        </w:rPr>
        <w:t xml:space="preserve"> OFDI = OFDI</w:t>
      </w:r>
      <w:r w:rsidRPr="00393D99">
        <w:rPr>
          <w:rFonts w:ascii="Times New Roman" w:hAnsi="Times New Roman" w:cs="Times New Roman"/>
          <w:sz w:val="24"/>
          <w:szCs w:val="24"/>
          <w:vertAlign w:val="superscript"/>
        </w:rPr>
        <w:t>+</w:t>
      </w:r>
      <w:r w:rsidRPr="00393D99">
        <w:rPr>
          <w:rFonts w:ascii="Times New Roman" w:hAnsi="Times New Roman" w:cs="Times New Roman"/>
          <w:sz w:val="24"/>
          <w:szCs w:val="24"/>
        </w:rPr>
        <w:t xml:space="preserve"> + OFDI</w:t>
      </w:r>
      <w:r w:rsidR="00E45264" w:rsidRPr="00393D99">
        <w:rPr>
          <w:rFonts w:ascii="Times New Roman" w:hAnsi="Times New Roman" w:cs="Times New Roman"/>
          <w:sz w:val="24"/>
          <w:szCs w:val="24"/>
          <w:vertAlign w:val="superscript"/>
        </w:rPr>
        <w:t>-</w:t>
      </w:r>
      <w:r w:rsidR="00E45264" w:rsidRPr="00393D99">
        <w:rPr>
          <w:rFonts w:ascii="Times New Roman" w:hAnsi="Times New Roman" w:cs="Times New Roman"/>
          <w:sz w:val="24"/>
          <w:szCs w:val="24"/>
        </w:rPr>
        <w:t xml:space="preserve">, </w:t>
      </w:r>
      <w:r w:rsidR="009B1BC7" w:rsidRPr="00393D99">
        <w:rPr>
          <w:rFonts w:ascii="Times New Roman" w:hAnsi="Times New Roman" w:cs="Times New Roman"/>
          <w:sz w:val="24"/>
          <w:szCs w:val="24"/>
        </w:rPr>
        <w:t>where</w:t>
      </w:r>
      <w:r w:rsidRPr="00393D99">
        <w:rPr>
          <w:rFonts w:ascii="Times New Roman" w:hAnsi="Times New Roman" w:cs="Times New Roman"/>
          <w:sz w:val="24"/>
          <w:szCs w:val="24"/>
        </w:rPr>
        <w:t xml:space="preserve"> positive and negative signs show increase and decrease in OFDI</w:t>
      </w:r>
      <w:r w:rsidR="00E45264" w:rsidRPr="00393D99">
        <w:rPr>
          <w:rFonts w:ascii="Times New Roman" w:hAnsi="Times New Roman" w:cs="Times New Roman"/>
          <w:sz w:val="24"/>
          <w:szCs w:val="24"/>
        </w:rPr>
        <w:t>,</w:t>
      </w:r>
      <w:r w:rsidRPr="00393D99">
        <w:rPr>
          <w:rFonts w:ascii="Times New Roman" w:hAnsi="Times New Roman" w:cs="Times New Roman"/>
          <w:sz w:val="24"/>
          <w:szCs w:val="24"/>
        </w:rPr>
        <w:t xml:space="preserve"> respectively. The partial sums of positive and negative changes in OFDI are generated by the foll</w:t>
      </w:r>
      <w:r w:rsidR="00DC46C6" w:rsidRPr="00393D99">
        <w:rPr>
          <w:rFonts w:ascii="Times New Roman" w:hAnsi="Times New Roman" w:cs="Times New Roman"/>
          <w:sz w:val="24"/>
          <w:szCs w:val="24"/>
        </w:rPr>
        <w:t>owing formulas (Equations 7-</w:t>
      </w:r>
      <w:r w:rsidR="00BC0830" w:rsidRPr="00393D99">
        <w:rPr>
          <w:rFonts w:ascii="Times New Roman" w:hAnsi="Times New Roman" w:cs="Times New Roman"/>
          <w:sz w:val="24"/>
          <w:szCs w:val="24"/>
        </w:rPr>
        <w:t>8)</w:t>
      </w:r>
      <w:r w:rsidRPr="00393D99">
        <w:rPr>
          <w:rFonts w:ascii="Times New Roman" w:hAnsi="Times New Roman" w:cs="Times New Roman"/>
          <w:sz w:val="24"/>
          <w:szCs w:val="24"/>
        </w:rPr>
        <w:t>,</w:t>
      </w:r>
    </w:p>
    <w:p w14:paraId="0995E128" w14:textId="77777777" w:rsidR="005C36C7" w:rsidRPr="00393D99" w:rsidRDefault="003D3344" w:rsidP="00393D99">
      <w:pPr>
        <w:snapToGrid w:val="0"/>
        <w:spacing w:after="120" w:line="480" w:lineRule="auto"/>
        <w:ind w:firstLine="720"/>
        <w:jc w:val="center"/>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OFDI</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eastAsia="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t</m:t>
            </m:r>
          </m:sup>
          <m:e>
            <m:sSubSup>
              <m:sSubSupPr>
                <m:ctrlPr>
                  <w:rPr>
                    <w:rFonts w:ascii="Cambria Math" w:hAnsi="Cambria Math" w:cs="Times New Roman"/>
                    <w:sz w:val="24"/>
                    <w:szCs w:val="24"/>
                  </w:rPr>
                </m:ctrlPr>
              </m:sSubSupPr>
              <m:e>
                <m:r>
                  <w:rPr>
                    <w:rFonts w:ascii="Cambria Math" w:hAnsi="Cambria Math" w:cs="Times New Roman"/>
                    <w:sz w:val="24"/>
                    <w:szCs w:val="24"/>
                  </w:rPr>
                  <m:t>∆OFDI</m:t>
                </m:r>
              </m:e>
              <m:sub>
                <m:r>
                  <w:rPr>
                    <w:rFonts w:ascii="Cambria Math" w:hAnsi="Cambria Math" w:cs="Times New Roman"/>
                    <w:sz w:val="24"/>
                    <w:szCs w:val="24"/>
                  </w:rPr>
                  <m:t>i</m:t>
                </m:r>
              </m:sub>
              <m:sup>
                <m:r>
                  <w:rPr>
                    <w:rFonts w:ascii="Cambria Math" w:hAnsi="Cambria Math" w:cs="Times New Roman"/>
                    <w:sz w:val="24"/>
                    <w:szCs w:val="24"/>
                  </w:rPr>
                  <m:t>+</m:t>
                </m:r>
              </m:sup>
            </m:sSubSup>
          </m:e>
        </m:nary>
        <m:r>
          <w:rPr>
            <w:rFonts w:ascii="Cambria Math" w:hAnsi="Cambria Math" w:cs="Times New Roman"/>
            <w:sz w:val="24"/>
            <w:szCs w:val="24"/>
          </w:rPr>
          <m:t xml:space="preserve">= </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t</m:t>
            </m:r>
          </m:sup>
          <m:e>
            <m:r>
              <m:rPr>
                <m:sty m:val="p"/>
              </m:rPr>
              <w:rPr>
                <w:rFonts w:ascii="Cambria Math" w:hAnsi="Cambria Math" w:cs="Times New Roman"/>
                <w:sz w:val="24"/>
                <w:szCs w:val="24"/>
              </w:rPr>
              <m:t>max⁡(</m:t>
            </m:r>
            <m:sSub>
              <m:sSubPr>
                <m:ctrlPr>
                  <w:rPr>
                    <w:rFonts w:ascii="Cambria Math" w:hAnsi="Cambria Math" w:cs="Times New Roman"/>
                    <w:sz w:val="24"/>
                    <w:szCs w:val="24"/>
                  </w:rPr>
                </m:ctrlPr>
              </m:sSubPr>
              <m:e>
                <m:r>
                  <w:rPr>
                    <w:rFonts w:ascii="Cambria Math" w:hAnsi="Cambria Math" w:cs="Times New Roman"/>
                    <w:sz w:val="24"/>
                    <w:szCs w:val="24"/>
                  </w:rPr>
                  <m:t>∆OFDI</m:t>
                </m:r>
              </m:e>
              <m:sub>
                <m:r>
                  <w:rPr>
                    <w:rFonts w:ascii="Cambria Math" w:hAnsi="Cambria Math" w:cs="Times New Roman"/>
                    <w:sz w:val="24"/>
                    <w:szCs w:val="24"/>
                  </w:rPr>
                  <m:t>i</m:t>
                </m:r>
              </m:sub>
            </m:sSub>
            <m:r>
              <m:rPr>
                <m:sty m:val="p"/>
              </m:rPr>
              <w:rPr>
                <w:rFonts w:ascii="Cambria Math" w:hAnsi="Cambria Math" w:cs="Times New Roman"/>
                <w:sz w:val="24"/>
                <w:szCs w:val="24"/>
              </w:rPr>
              <m:t>,0)</m:t>
            </m:r>
          </m:e>
        </m:nary>
      </m:oMath>
      <w:r w:rsidR="005C36C7" w:rsidRPr="00393D99">
        <w:rPr>
          <w:rFonts w:ascii="Times New Roman" w:hAnsi="Times New Roman" w:cs="Times New Roman"/>
          <w:sz w:val="24"/>
          <w:szCs w:val="24"/>
        </w:rPr>
        <w:tab/>
      </w:r>
      <w:r w:rsidR="005C36C7" w:rsidRPr="00393D99">
        <w:rPr>
          <w:rFonts w:ascii="Times New Roman" w:hAnsi="Times New Roman" w:cs="Times New Roman"/>
          <w:sz w:val="24"/>
          <w:szCs w:val="24"/>
        </w:rPr>
        <w:tab/>
      </w:r>
      <w:r w:rsidR="005C36C7" w:rsidRPr="00393D99">
        <w:rPr>
          <w:rFonts w:ascii="Times New Roman" w:hAnsi="Times New Roman" w:cs="Times New Roman"/>
          <w:sz w:val="24"/>
          <w:szCs w:val="24"/>
        </w:rPr>
        <w:tab/>
        <w:t>(7)</w:t>
      </w:r>
    </w:p>
    <w:p w14:paraId="55EB7F7D" w14:textId="42446438" w:rsidR="005C36C7" w:rsidRPr="00393D99" w:rsidRDefault="003D3344" w:rsidP="00393D99">
      <w:pPr>
        <w:snapToGrid w:val="0"/>
        <w:spacing w:after="120" w:line="480" w:lineRule="auto"/>
        <w:ind w:left="720"/>
        <w:jc w:val="center"/>
        <w:rPr>
          <w:rFonts w:ascii="Times New Roman" w:hAnsi="Times New Roman" w:cs="Times New Roman"/>
          <w:sz w:val="24"/>
          <w:szCs w:val="24"/>
        </w:rPr>
      </w:pPr>
      <m:oMath>
        <m:sSubSup>
          <m:sSubSupPr>
            <m:ctrlPr>
              <w:rPr>
                <w:rFonts w:ascii="Cambria Math" w:hAnsi="Cambria Math" w:cs="Times New Roman"/>
                <w:sz w:val="24"/>
                <w:szCs w:val="24"/>
              </w:rPr>
            </m:ctrlPr>
          </m:sSubSupPr>
          <m:e>
            <m:r>
              <w:rPr>
                <w:rFonts w:ascii="Cambria Math" w:hAnsi="Cambria Math" w:cs="Times New Roman"/>
                <w:sz w:val="24"/>
                <w:szCs w:val="24"/>
              </w:rPr>
              <m:t>OFDI</m:t>
            </m:r>
          </m:e>
          <m:sub>
            <m:r>
              <w:rPr>
                <w:rFonts w:ascii="Cambria Math" w:hAnsi="Cambria Math" w:cs="Times New Roman"/>
                <w:sz w:val="24"/>
                <w:szCs w:val="24"/>
              </w:rPr>
              <m:t>t</m:t>
            </m:r>
          </m:sub>
          <m:sup>
            <m:r>
              <w:rPr>
                <w:rFonts w:ascii="Cambria Math" w:hAnsi="Cambria Math" w:cs="Times New Roman"/>
                <w:sz w:val="24"/>
                <w:szCs w:val="24"/>
              </w:rPr>
              <m:t>-</m:t>
            </m:r>
          </m:sup>
        </m:sSubSup>
        <m:r>
          <w:rPr>
            <w:rFonts w:ascii="Cambria Math" w:eastAsia="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i=0</m:t>
            </m:r>
          </m:sub>
          <m:sup>
            <m:r>
              <w:rPr>
                <w:rFonts w:ascii="Cambria Math" w:eastAsia="Cambria Math" w:hAnsi="Cambria Math" w:cs="Times New Roman"/>
                <w:sz w:val="24"/>
                <w:szCs w:val="24"/>
              </w:rPr>
              <m:t>t</m:t>
            </m:r>
          </m:sup>
          <m:e>
            <m:sSubSup>
              <m:sSubSupPr>
                <m:ctrlPr>
                  <w:rPr>
                    <w:rFonts w:ascii="Cambria Math" w:hAnsi="Cambria Math" w:cs="Times New Roman"/>
                    <w:sz w:val="24"/>
                    <w:szCs w:val="24"/>
                  </w:rPr>
                </m:ctrlPr>
              </m:sSubSupPr>
              <m:e>
                <m:r>
                  <w:rPr>
                    <w:rFonts w:ascii="Cambria Math" w:hAnsi="Cambria Math" w:cs="Times New Roman"/>
                    <w:sz w:val="24"/>
                    <w:szCs w:val="24"/>
                  </w:rPr>
                  <m:t>∆OFDI</m:t>
                </m:r>
              </m:e>
              <m:sub>
                <m:r>
                  <w:rPr>
                    <w:rFonts w:ascii="Cambria Math" w:hAnsi="Cambria Math" w:cs="Times New Roman"/>
                    <w:sz w:val="24"/>
                    <w:szCs w:val="24"/>
                  </w:rPr>
                  <m:t>i</m:t>
                </m:r>
              </m:sub>
              <m:sup>
                <m:r>
                  <w:rPr>
                    <w:rFonts w:ascii="Cambria Math" w:hAnsi="Cambria Math" w:cs="Times New Roman"/>
                    <w:sz w:val="24"/>
                    <w:szCs w:val="24"/>
                  </w:rPr>
                  <m:t>-</m:t>
                </m:r>
              </m:sup>
            </m:sSubSup>
          </m:e>
        </m:nary>
        <m:r>
          <w:rPr>
            <w:rFonts w:ascii="Cambria Math" w:hAnsi="Cambria Math" w:cs="Times New Roman"/>
            <w:sz w:val="24"/>
            <w:szCs w:val="24"/>
          </w:rPr>
          <m:t xml:space="preserve">= </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i=0</m:t>
            </m:r>
          </m:sub>
          <m:sup>
            <m:r>
              <w:rPr>
                <w:rFonts w:ascii="Cambria Math" w:eastAsia="Cambria Math" w:hAnsi="Cambria Math" w:cs="Times New Roman"/>
                <w:sz w:val="24"/>
                <w:szCs w:val="24"/>
              </w:rPr>
              <m:t>t</m:t>
            </m:r>
          </m:sup>
          <m:e>
            <m:r>
              <m:rPr>
                <m:sty m:val="p"/>
              </m:rPr>
              <w:rPr>
                <w:rFonts w:ascii="Cambria Math" w:hAnsi="Cambria Math" w:cs="Times New Roman"/>
                <w:sz w:val="24"/>
                <w:szCs w:val="24"/>
              </w:rPr>
              <m:t>min⁡(</m:t>
            </m:r>
            <m:sSub>
              <m:sSubPr>
                <m:ctrlPr>
                  <w:rPr>
                    <w:rFonts w:ascii="Cambria Math" w:hAnsi="Cambria Math" w:cs="Times New Roman"/>
                    <w:sz w:val="24"/>
                    <w:szCs w:val="24"/>
                  </w:rPr>
                </m:ctrlPr>
              </m:sSubPr>
              <m:e>
                <m:r>
                  <w:rPr>
                    <w:rFonts w:ascii="Cambria Math" w:hAnsi="Cambria Math" w:cs="Times New Roman"/>
                    <w:sz w:val="24"/>
                    <w:szCs w:val="24"/>
                  </w:rPr>
                  <m:t>∆OFDI</m:t>
                </m:r>
              </m:e>
              <m:sub>
                <m:r>
                  <w:rPr>
                    <w:rFonts w:ascii="Cambria Math" w:hAnsi="Cambria Math" w:cs="Times New Roman"/>
                    <w:sz w:val="24"/>
                    <w:szCs w:val="24"/>
                  </w:rPr>
                  <m:t>i</m:t>
                </m:r>
              </m:sub>
            </m:sSub>
            <m:r>
              <m:rPr>
                <m:sty m:val="p"/>
              </m:rPr>
              <w:rPr>
                <w:rFonts w:ascii="Cambria Math" w:hAnsi="Cambria Math" w:cs="Times New Roman"/>
                <w:sz w:val="24"/>
                <w:szCs w:val="24"/>
              </w:rPr>
              <m:t>,0)</m:t>
            </m:r>
          </m:e>
        </m:nary>
      </m:oMath>
      <w:r w:rsidR="005C36C7" w:rsidRPr="00393D99">
        <w:rPr>
          <w:rFonts w:ascii="Times New Roman" w:hAnsi="Times New Roman" w:cs="Times New Roman"/>
          <w:sz w:val="24"/>
          <w:szCs w:val="24"/>
        </w:rPr>
        <w:tab/>
      </w:r>
      <w:r w:rsidR="005C36C7" w:rsidRPr="00393D99">
        <w:rPr>
          <w:rFonts w:ascii="Times New Roman" w:hAnsi="Times New Roman" w:cs="Times New Roman"/>
          <w:sz w:val="24"/>
          <w:szCs w:val="24"/>
        </w:rPr>
        <w:tab/>
      </w:r>
      <w:r w:rsidR="00B7783C">
        <w:rPr>
          <w:rFonts w:ascii="Times New Roman" w:hAnsi="Times New Roman" w:cs="Times New Roman"/>
          <w:sz w:val="24"/>
          <w:szCs w:val="24"/>
        </w:rPr>
        <w:tab/>
      </w:r>
      <w:r w:rsidR="005C36C7" w:rsidRPr="00393D99">
        <w:rPr>
          <w:rFonts w:ascii="Times New Roman" w:hAnsi="Times New Roman" w:cs="Times New Roman"/>
          <w:sz w:val="24"/>
          <w:szCs w:val="24"/>
        </w:rPr>
        <w:t>(8)</w:t>
      </w:r>
    </w:p>
    <w:p w14:paraId="4686D4F2" w14:textId="77777777" w:rsidR="002A4C13" w:rsidRPr="00393D99" w:rsidRDefault="00515175" w:rsidP="00B7783C">
      <w:pPr>
        <w:snapToGrid w:val="0"/>
        <w:spacing w:after="0" w:line="480" w:lineRule="auto"/>
        <w:ind w:firstLine="720"/>
        <w:jc w:val="both"/>
        <w:rPr>
          <w:rFonts w:ascii="Times New Roman" w:hAnsi="Times New Roman" w:cs="Times New Roman"/>
          <w:sz w:val="24"/>
          <w:szCs w:val="24"/>
        </w:rPr>
      </w:pPr>
      <w:r w:rsidRPr="00393D99">
        <w:rPr>
          <w:rFonts w:ascii="Times New Roman" w:hAnsi="Times New Roman" w:cs="Times New Roman"/>
          <w:sz w:val="24"/>
          <w:szCs w:val="24"/>
        </w:rPr>
        <w:lastRenderedPageBreak/>
        <w:t xml:space="preserve">Following </w:t>
      </w:r>
      <w:r w:rsidR="00F140B5" w:rsidRPr="00393D99">
        <w:rPr>
          <w:rFonts w:ascii="Times New Roman" w:hAnsi="Times New Roman" w:cs="Times New Roman"/>
          <w:sz w:val="24"/>
          <w:szCs w:val="24"/>
        </w:rPr>
        <w:t>Shin et al. (2014), the</w:t>
      </w:r>
      <w:r w:rsidRPr="00393D99">
        <w:rPr>
          <w:rFonts w:ascii="Times New Roman" w:hAnsi="Times New Roman" w:cs="Times New Roman"/>
          <w:sz w:val="24"/>
          <w:szCs w:val="24"/>
        </w:rPr>
        <w:t xml:space="preserve"> asymmetry cointegration equation </w:t>
      </w:r>
      <w:r w:rsidR="00B65D53" w:rsidRPr="00393D99">
        <w:rPr>
          <w:rFonts w:ascii="Times New Roman" w:hAnsi="Times New Roman" w:cs="Times New Roman"/>
          <w:sz w:val="24"/>
          <w:szCs w:val="24"/>
        </w:rPr>
        <w:t>is</w:t>
      </w:r>
      <w:r w:rsidRPr="00393D99">
        <w:rPr>
          <w:rFonts w:ascii="Times New Roman" w:hAnsi="Times New Roman" w:cs="Times New Roman"/>
          <w:sz w:val="24"/>
          <w:szCs w:val="24"/>
        </w:rPr>
        <w:t xml:space="preserve"> obtained by </w:t>
      </w:r>
      <w:r w:rsidR="00F140B5" w:rsidRPr="00393D99">
        <w:rPr>
          <w:rFonts w:ascii="Times New Roman" w:hAnsi="Times New Roman" w:cs="Times New Roman"/>
          <w:sz w:val="24"/>
          <w:szCs w:val="24"/>
        </w:rPr>
        <w:t>substituting</w:t>
      </w:r>
      <w:r w:rsidRPr="00393D99">
        <w:rPr>
          <w:rFonts w:ascii="Times New Roman" w:hAnsi="Times New Roman" w:cs="Times New Roman"/>
          <w:sz w:val="24"/>
          <w:szCs w:val="24"/>
        </w:rPr>
        <w:t xml:space="preserve"> th</w:t>
      </w:r>
      <w:r w:rsidR="00C57266" w:rsidRPr="00393D99">
        <w:rPr>
          <w:rFonts w:ascii="Times New Roman" w:hAnsi="Times New Roman" w:cs="Times New Roman"/>
          <w:sz w:val="24"/>
          <w:szCs w:val="24"/>
        </w:rPr>
        <w:t xml:space="preserve">e positive and negative </w:t>
      </w:r>
      <w:r w:rsidRPr="00393D99">
        <w:rPr>
          <w:rFonts w:ascii="Times New Roman" w:hAnsi="Times New Roman" w:cs="Times New Roman"/>
          <w:sz w:val="24"/>
          <w:szCs w:val="24"/>
        </w:rPr>
        <w:t xml:space="preserve">sums </w:t>
      </w:r>
      <w:r w:rsidR="007C2A01" w:rsidRPr="00393D99">
        <w:rPr>
          <w:rFonts w:ascii="Times New Roman" w:hAnsi="Times New Roman" w:cs="Times New Roman"/>
          <w:sz w:val="24"/>
          <w:szCs w:val="24"/>
        </w:rPr>
        <w:t>of</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OFDI</m:t>
            </m:r>
          </m:e>
          <m:sub>
            <m:r>
              <w:rPr>
                <w:rFonts w:ascii="Cambria Math" w:hAnsi="Cambria Math" w:cs="Times New Roman"/>
                <w:sz w:val="24"/>
                <w:szCs w:val="24"/>
              </w:rPr>
              <m:t>t</m:t>
            </m:r>
          </m:sub>
        </m:sSub>
      </m:oMath>
      <w:r w:rsidRPr="00393D99">
        <w:rPr>
          <w:rFonts w:ascii="Times New Roman" w:hAnsi="Times New Roman" w:cs="Times New Roman"/>
          <w:sz w:val="24"/>
          <w:szCs w:val="24"/>
        </w:rPr>
        <w:t>.</w:t>
      </w:r>
    </w:p>
    <w:p w14:paraId="3DA42F64" w14:textId="77777777" w:rsidR="00DF2FB7" w:rsidRPr="00393D99" w:rsidRDefault="0056579A" w:rsidP="00393D99">
      <w:pPr>
        <w:snapToGrid w:val="0"/>
        <w:spacing w:after="120" w:line="480" w:lineRule="auto"/>
        <w:jc w:val="right"/>
        <w:rPr>
          <w:rFonts w:ascii="Times New Roman" w:hAnsi="Times New Roman" w:cs="Times New Roman"/>
          <w:sz w:val="24"/>
          <w:szCs w:val="24"/>
        </w:rPr>
      </w:pP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α</m:t>
            </m:r>
          </m:e>
          <m:sub>
            <m:r>
              <w:rPr>
                <w:rFonts w:ascii="Cambria Math" w:eastAsia="Cambria Math" w:hAnsi="Cambria Math" w:cs="Times New Roman"/>
                <w:sz w:val="24"/>
                <w:szCs w:val="24"/>
              </w:rPr>
              <m:t>0</m:t>
            </m:r>
          </m:sub>
        </m:sSub>
        <m:r>
          <w:rPr>
            <w:rFonts w:ascii="Cambria Math" w:eastAsia="Cambria Math" w:hAnsi="Cambria Math" w:cs="Times New Roman"/>
            <w:sz w:val="24"/>
            <w:szCs w:val="24"/>
          </w:rPr>
          <m:t>+</m:t>
        </m:r>
        <m:sSup>
          <m:sSupPr>
            <m:ctrlPr>
              <w:rPr>
                <w:rFonts w:ascii="Cambria Math" w:eastAsia="Cambria Math" w:hAnsi="Cambria Math" w:cs="Times New Roman"/>
                <w:i/>
                <w:sz w:val="24"/>
                <w:szCs w:val="24"/>
              </w:rPr>
            </m:ctrlPr>
          </m:sSupPr>
          <m:e>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y</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e>
          <m:sup>
            <m:r>
              <w:rPr>
                <w:rFonts w:ascii="Cambria Math" w:eastAsia="Cambria Math" w:hAnsi="Cambria Math" w:cs="Times New Roman"/>
                <w:sz w:val="24"/>
                <w:szCs w:val="24"/>
              </w:rPr>
              <m:t>+</m:t>
            </m:r>
          </m:sup>
        </m:sSup>
        <m:sSubSup>
          <m:sSubSupPr>
            <m:ctrlPr>
              <w:rPr>
                <w:rFonts w:ascii="Cambria Math" w:eastAsia="Cambria Math" w:hAnsi="Cambria Math" w:cs="Times New Roman"/>
                <w:i/>
                <w:sz w:val="24"/>
                <w:szCs w:val="24"/>
              </w:rPr>
            </m:ctrlPr>
          </m:sSubSupPr>
          <m:e>
            <m:r>
              <w:rPr>
                <w:rFonts w:ascii="Cambria Math" w:eastAsia="Cambria Math" w:hAnsi="Cambria Math" w:cs="Times New Roman"/>
                <w:sz w:val="24"/>
                <w:szCs w:val="24"/>
              </w:rPr>
              <m:t>OFDI</m:t>
            </m:r>
          </m:e>
          <m:sub>
            <m:r>
              <w:rPr>
                <w:rFonts w:ascii="Cambria Math" w:eastAsia="Cambria Math" w:hAnsi="Cambria Math" w:cs="Times New Roman"/>
                <w:sz w:val="24"/>
                <w:szCs w:val="24"/>
              </w:rPr>
              <m:t>t-1</m:t>
            </m:r>
          </m:sub>
          <m:sup>
            <m:r>
              <w:rPr>
                <w:rFonts w:ascii="Cambria Math" w:eastAsia="Cambria Math" w:hAnsi="Cambria Math" w:cs="Times New Roman"/>
                <w:sz w:val="24"/>
                <w:szCs w:val="24"/>
              </w:rPr>
              <m:t>+</m:t>
            </m:r>
          </m:sup>
        </m:sSubSup>
        <m:r>
          <w:rPr>
            <w:rFonts w:ascii="Cambria Math" w:eastAsia="Cambria Math" w:hAnsi="Cambria Math" w:cs="Times New Roman"/>
            <w:sz w:val="24"/>
            <w:szCs w:val="24"/>
          </w:rPr>
          <m:t>+</m:t>
        </m:r>
        <m:sSup>
          <m:sSupPr>
            <m:ctrlPr>
              <w:rPr>
                <w:rFonts w:ascii="Cambria Math" w:eastAsia="Cambria Math" w:hAnsi="Cambria Math" w:cs="Times New Roman"/>
                <w:i/>
                <w:sz w:val="24"/>
                <w:szCs w:val="24"/>
              </w:rPr>
            </m:ctrlPr>
          </m:sSupPr>
          <m:e>
            <m:r>
              <w:rPr>
                <w:rFonts w:ascii="Cambria Math" w:eastAsia="Cambria Math" w:hAnsi="Cambria Math" w:cs="Times New Roman"/>
                <w:sz w:val="24"/>
                <w:szCs w:val="24"/>
              </w:rPr>
              <m:t>∅</m:t>
            </m:r>
          </m:e>
          <m:sup>
            <m:r>
              <w:rPr>
                <w:rFonts w:ascii="Cambria Math" w:eastAsia="Cambria Math" w:hAnsi="Cambria Math" w:cs="Times New Roman"/>
                <w:sz w:val="24"/>
                <w:szCs w:val="24"/>
              </w:rPr>
              <m:t>-</m:t>
            </m:r>
          </m:sup>
        </m:sSup>
        <m:sSubSup>
          <m:sSubSupPr>
            <m:ctrlPr>
              <w:rPr>
                <w:rFonts w:ascii="Cambria Math" w:eastAsia="Cambria Math" w:hAnsi="Cambria Math" w:cs="Times New Roman"/>
                <w:i/>
                <w:sz w:val="24"/>
                <w:szCs w:val="24"/>
              </w:rPr>
            </m:ctrlPr>
          </m:sSubSupPr>
          <m:e>
            <m:r>
              <w:rPr>
                <w:rFonts w:ascii="Cambria Math" w:eastAsia="Cambria Math" w:hAnsi="Cambria Math" w:cs="Times New Roman"/>
                <w:sz w:val="24"/>
                <w:szCs w:val="24"/>
              </w:rPr>
              <m:t>OFDI</m:t>
            </m:r>
          </m:e>
          <m:sub>
            <m:r>
              <w:rPr>
                <w:rFonts w:ascii="Cambria Math" w:eastAsia="Cambria Math" w:hAnsi="Cambria Math" w:cs="Times New Roman"/>
                <w:sz w:val="24"/>
                <w:szCs w:val="24"/>
              </w:rPr>
              <m:t>t-1</m:t>
            </m:r>
          </m:sub>
          <m:sup>
            <m:r>
              <w:rPr>
                <w:rFonts w:ascii="Cambria Math" w:eastAsia="Cambria Math" w:hAnsi="Cambria Math" w:cs="Times New Roman"/>
                <w:sz w:val="24"/>
                <w:szCs w:val="24"/>
              </w:rPr>
              <m:t>-</m:t>
            </m:r>
          </m:sup>
        </m:sSubSup>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IFDI</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CS</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LE</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IQ</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sSub>
          <m:sSubPr>
            <m:ctrlPr>
              <w:rPr>
                <w:rFonts w:ascii="Cambria Math" w:eastAsia="Cambria Math" w:hAnsi="Cambria Math" w:cs="Times New Roman"/>
                <w:i/>
                <w:sz w:val="24"/>
                <w:szCs w:val="24"/>
              </w:rPr>
            </m:ctrlPr>
          </m:sSubPr>
          <m:e>
            <m:r>
              <w:rPr>
                <w:rFonts w:ascii="Cambria Math" w:eastAsia="Cambria Math" w:hAnsi="Cambria Math" w:cs="Times New Roman"/>
                <w:sz w:val="24"/>
                <w:szCs w:val="24"/>
              </w:rPr>
              <m:t>INFR</m:t>
            </m:r>
          </m:e>
          <m:sub>
            <m:r>
              <w:rPr>
                <w:rFonts w:ascii="Cambria Math" w:eastAsia="Cambria Math" w:hAnsi="Cambria Math" w:cs="Times New Roman"/>
                <w:sz w:val="24"/>
                <w:szCs w:val="24"/>
              </w:rPr>
              <m:t>t-1</m:t>
            </m:r>
          </m:sub>
        </m:sSub>
        <m:r>
          <w:rPr>
            <w:rFonts w:ascii="Cambria Math" w:eastAsia="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e>
        </m:nary>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IFDI</m:t>
                </m:r>
              </m:e>
              <m:sub>
                <m:r>
                  <w:rPr>
                    <w:rFonts w:ascii="Cambria Math" w:hAnsi="Cambria Math" w:cs="Times New Roman"/>
                    <w:sz w:val="24"/>
                    <w:szCs w:val="24"/>
                  </w:rPr>
                  <m:t>t-1</m:t>
                </m:r>
              </m:sub>
            </m:sSub>
          </m:e>
        </m:nary>
        <m:r>
          <m:rPr>
            <m:aln/>
          </m:rP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CS</m:t>
                </m:r>
              </m:e>
              <m:sub>
                <m:r>
                  <w:rPr>
                    <w:rFonts w:ascii="Cambria Math" w:hAnsi="Cambria Math" w:cs="Times New Roman"/>
                    <w:sz w:val="24"/>
                    <w:szCs w:val="24"/>
                  </w:rPr>
                  <m:t>t-1</m:t>
                </m:r>
              </m:sub>
            </m:sSub>
          </m:e>
        </m:nary>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LE</m:t>
                </m:r>
              </m:e>
              <m:sub>
                <m:r>
                  <w:rPr>
                    <w:rFonts w:ascii="Cambria Math" w:hAnsi="Cambria Math" w:cs="Times New Roman"/>
                    <w:sz w:val="24"/>
                    <w:szCs w:val="24"/>
                  </w:rPr>
                  <m:t>t-1</m:t>
                </m:r>
              </m:sub>
            </m:sSub>
          </m:e>
        </m:nary>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INFR</m:t>
                </m:r>
              </m:e>
              <m:sub>
                <m:r>
                  <w:rPr>
                    <w:rFonts w:ascii="Cambria Math" w:hAnsi="Cambria Math" w:cs="Times New Roman"/>
                    <w:sz w:val="24"/>
                    <w:szCs w:val="24"/>
                  </w:rPr>
                  <m:t>t-1</m:t>
                </m:r>
              </m:sub>
            </m:sSub>
          </m:e>
        </m:nary>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q</m:t>
            </m:r>
          </m:sup>
          <m:e>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IQ</m:t>
                </m:r>
              </m:e>
              <m:sub>
                <m:r>
                  <w:rPr>
                    <w:rFonts w:ascii="Cambria Math" w:hAnsi="Cambria Math" w:cs="Times New Roman"/>
                    <w:sz w:val="24"/>
                    <w:szCs w:val="24"/>
                  </w:rPr>
                  <m:t>t-1</m:t>
                </m:r>
              </m:sub>
            </m:sSub>
          </m:e>
        </m:nary>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p</m:t>
            </m:r>
          </m:sup>
          <m:e>
            <m:sSubSup>
              <m:sSubSupPr>
                <m:ctrlPr>
                  <w:rPr>
                    <w:rFonts w:ascii="Cambria Math" w:hAnsi="Cambria Math" w:cs="Times New Roman"/>
                    <w:i/>
                    <w:sz w:val="24"/>
                    <w:szCs w:val="24"/>
                  </w:rPr>
                </m:ctrlPr>
              </m:sSubSupPr>
              <m:e>
                <m:r>
                  <w:rPr>
                    <w:rFonts w:ascii="Cambria Math" w:hAnsi="Cambria Math" w:cs="Times New Roman"/>
                    <w:sz w:val="24"/>
                    <w:szCs w:val="24"/>
                  </w:rPr>
                  <m:t>ϑ</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OFDI</m:t>
                </m:r>
              </m:e>
              <m:sub>
                <m:r>
                  <w:rPr>
                    <w:rFonts w:ascii="Cambria Math" w:hAnsi="Cambria Math" w:cs="Times New Roman"/>
                    <w:sz w:val="24"/>
                    <w:szCs w:val="24"/>
                  </w:rPr>
                  <m:t>t-1</m:t>
                </m:r>
              </m:sub>
              <m:sup>
                <m:r>
                  <w:rPr>
                    <w:rFonts w:ascii="Cambria Math" w:hAnsi="Cambria Math" w:cs="Times New Roman"/>
                    <w:sz w:val="24"/>
                    <w:szCs w:val="24"/>
                  </w:rPr>
                  <m:t>+</m:t>
                </m:r>
              </m:sup>
            </m:sSubSup>
          </m:e>
        </m:nary>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ϑ</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OFDI</m:t>
            </m:r>
          </m:e>
          <m:sub>
            <m:r>
              <w:rPr>
                <w:rFonts w:ascii="Cambria Math" w:hAnsi="Cambria Math" w:cs="Times New Roman"/>
                <w:sz w:val="24"/>
                <w:szCs w:val="24"/>
              </w:rPr>
              <m:t>t-1</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400B8F" w:rsidRPr="00393D99">
        <w:rPr>
          <w:rFonts w:ascii="Times New Roman" w:hAnsi="Times New Roman" w:cs="Times New Roman"/>
          <w:bCs/>
          <w:sz w:val="24"/>
          <w:szCs w:val="24"/>
        </w:rPr>
        <w:t>(9)</w:t>
      </w:r>
    </w:p>
    <w:p w14:paraId="5EBAE33F" w14:textId="77777777" w:rsidR="00B7783C" w:rsidRDefault="00DB205F" w:rsidP="00B7783C">
      <w:pPr>
        <w:snapToGrid w:val="0"/>
        <w:spacing w:after="120" w:line="480" w:lineRule="auto"/>
        <w:ind w:firstLine="720"/>
        <w:jc w:val="both"/>
        <w:rPr>
          <w:rFonts w:ascii="Times New Roman" w:hAnsi="Times New Roman" w:cs="Times New Roman"/>
          <w:sz w:val="24"/>
          <w:szCs w:val="24"/>
        </w:rPr>
      </w:pPr>
      <w:r w:rsidRPr="00393D99">
        <w:rPr>
          <w:rFonts w:ascii="Times New Roman" w:hAnsi="Times New Roman" w:cs="Times New Roman"/>
          <w:color w:val="000000"/>
          <w:sz w:val="24"/>
          <w:szCs w:val="24"/>
        </w:rPr>
        <w:t xml:space="preserve">From Equation (9), we can see that the asymmetric ARDL cointegration approach consists of various steps. First of all, we </w:t>
      </w:r>
      <w:r w:rsidR="00C57266" w:rsidRPr="00393D99">
        <w:rPr>
          <w:rFonts w:ascii="Times New Roman" w:hAnsi="Times New Roman" w:cs="Times New Roman"/>
          <w:color w:val="000000"/>
          <w:sz w:val="24"/>
          <w:szCs w:val="24"/>
        </w:rPr>
        <w:t>will estimate long-run non-linear</w:t>
      </w:r>
      <w:r w:rsidRPr="00393D99">
        <w:rPr>
          <w:rFonts w:ascii="Times New Roman" w:hAnsi="Times New Roman" w:cs="Times New Roman"/>
          <w:color w:val="000000"/>
          <w:sz w:val="24"/>
          <w:szCs w:val="24"/>
        </w:rPr>
        <w:t xml:space="preserve"> effects by using the Wald test after evaluating the null hypothesis </w:t>
      </w:r>
      <w:r w:rsidRPr="00393D99">
        <w:rPr>
          <w:rFonts w:ascii="Times New Roman" w:hAnsi="Times New Roman" w:cs="Times New Roman"/>
          <w:i/>
          <w:color w:val="000000"/>
          <w:sz w:val="24"/>
          <w:szCs w:val="24"/>
        </w:rPr>
        <w:t xml:space="preserve">Ho = θ </w:t>
      </w:r>
      <w:r w:rsidRPr="00393D99">
        <w:rPr>
          <w:rFonts w:ascii="Times New Roman" w:hAnsi="Times New Roman" w:cs="Times New Roman"/>
          <w:i/>
          <w:color w:val="000000"/>
          <w:sz w:val="24"/>
          <w:szCs w:val="24"/>
          <w:vertAlign w:val="superscript"/>
        </w:rPr>
        <w:t>+</w:t>
      </w:r>
      <w:r w:rsidRPr="00393D99">
        <w:rPr>
          <w:rFonts w:ascii="Times New Roman" w:hAnsi="Times New Roman" w:cs="Times New Roman"/>
          <w:i/>
          <w:color w:val="000000"/>
          <w:sz w:val="24"/>
          <w:szCs w:val="24"/>
        </w:rPr>
        <w:t xml:space="preserve"> = θ </w:t>
      </w:r>
      <w:r w:rsidRPr="00393D99">
        <w:rPr>
          <w:rFonts w:ascii="Times New Roman" w:hAnsi="Times New Roman" w:cs="Times New Roman"/>
          <w:i/>
          <w:color w:val="000000"/>
          <w:sz w:val="24"/>
          <w:szCs w:val="24"/>
          <w:vertAlign w:val="superscript"/>
        </w:rPr>
        <w:t>−</w:t>
      </w:r>
      <w:r w:rsidRPr="00393D99">
        <w:rPr>
          <w:rFonts w:ascii="Times New Roman" w:hAnsi="Times New Roman" w:cs="Times New Roman"/>
          <w:color w:val="000000"/>
          <w:sz w:val="24"/>
          <w:szCs w:val="24"/>
        </w:rPr>
        <w:t xml:space="preserve"> against </w:t>
      </w:r>
      <w:r w:rsidR="00B65D53" w:rsidRPr="00393D99">
        <w:rPr>
          <w:rFonts w:ascii="Times New Roman" w:hAnsi="Times New Roman" w:cs="Times New Roman"/>
          <w:color w:val="000000"/>
          <w:sz w:val="24"/>
          <w:szCs w:val="24"/>
        </w:rPr>
        <w:t>its</w:t>
      </w:r>
      <w:r w:rsidR="008377A0" w:rsidRPr="00393D99">
        <w:rPr>
          <w:rFonts w:ascii="Times New Roman" w:hAnsi="Times New Roman" w:cs="Times New Roman"/>
          <w:color w:val="000000"/>
          <w:sz w:val="24"/>
          <w:szCs w:val="24"/>
        </w:rPr>
        <w:t xml:space="preserve"> </w:t>
      </w:r>
      <w:r w:rsidRPr="00393D99">
        <w:rPr>
          <w:rFonts w:ascii="Times New Roman" w:hAnsi="Times New Roman" w:cs="Times New Roman"/>
          <w:color w:val="000000"/>
          <w:sz w:val="24"/>
          <w:szCs w:val="24"/>
        </w:rPr>
        <w:t xml:space="preserve">alternative of </w:t>
      </w:r>
      <w:r w:rsidRPr="00393D99">
        <w:rPr>
          <w:rFonts w:ascii="Times New Roman" w:hAnsi="Times New Roman" w:cs="Times New Roman"/>
          <w:i/>
          <w:color w:val="000000"/>
          <w:sz w:val="24"/>
          <w:szCs w:val="24"/>
        </w:rPr>
        <w:t>H</w:t>
      </w:r>
      <w:r w:rsidRPr="00393D99">
        <w:rPr>
          <w:rFonts w:ascii="Times New Roman" w:hAnsi="Times New Roman" w:cs="Times New Roman"/>
          <w:i/>
          <w:color w:val="000000"/>
          <w:sz w:val="24"/>
          <w:szCs w:val="24"/>
          <w:vertAlign w:val="subscript"/>
        </w:rPr>
        <w:t>1</w:t>
      </w:r>
      <w:r w:rsidRPr="00393D99">
        <w:rPr>
          <w:rFonts w:ascii="Times New Roman" w:hAnsi="Times New Roman" w:cs="Times New Roman"/>
          <w:i/>
          <w:color w:val="000000"/>
          <w:sz w:val="24"/>
          <w:szCs w:val="24"/>
        </w:rPr>
        <w:t xml:space="preserve"> = θ </w:t>
      </w:r>
      <w:r w:rsidRPr="00393D99">
        <w:rPr>
          <w:rFonts w:ascii="Times New Roman" w:hAnsi="Times New Roman" w:cs="Times New Roman"/>
          <w:i/>
          <w:color w:val="000000"/>
          <w:sz w:val="24"/>
          <w:szCs w:val="24"/>
          <w:vertAlign w:val="superscript"/>
        </w:rPr>
        <w:t>+</w:t>
      </w:r>
      <w:r w:rsidRPr="00393D99">
        <w:rPr>
          <w:rFonts w:ascii="Times New Roman" w:hAnsi="Times New Roman" w:cs="Times New Roman"/>
          <w:i/>
          <w:color w:val="000000"/>
          <w:sz w:val="24"/>
          <w:szCs w:val="24"/>
        </w:rPr>
        <w:t xml:space="preserve"> ≠ θ </w:t>
      </w:r>
      <w:r w:rsidRPr="00393D99">
        <w:rPr>
          <w:rFonts w:ascii="Times New Roman" w:hAnsi="Times New Roman" w:cs="Times New Roman"/>
          <w:i/>
          <w:color w:val="000000"/>
          <w:sz w:val="24"/>
          <w:szCs w:val="24"/>
          <w:vertAlign w:val="superscript"/>
        </w:rPr>
        <w:t>−</w:t>
      </w:r>
      <w:r w:rsidRPr="00393D99">
        <w:rPr>
          <w:rFonts w:ascii="Times New Roman" w:hAnsi="Times New Roman" w:cs="Times New Roman"/>
          <w:color w:val="000000"/>
          <w:sz w:val="24"/>
          <w:szCs w:val="24"/>
        </w:rPr>
        <w:t>. The rejection of the null hypothesis depi</w:t>
      </w:r>
      <w:r w:rsidR="00C57266" w:rsidRPr="00393D99">
        <w:rPr>
          <w:rFonts w:ascii="Times New Roman" w:hAnsi="Times New Roman" w:cs="Times New Roman"/>
          <w:color w:val="000000"/>
          <w:sz w:val="24"/>
          <w:szCs w:val="24"/>
        </w:rPr>
        <w:t>cts the presence of asymmetric or non-linear</w:t>
      </w:r>
      <w:r w:rsidRPr="00393D99">
        <w:rPr>
          <w:rFonts w:ascii="Times New Roman" w:hAnsi="Times New Roman" w:cs="Times New Roman"/>
          <w:color w:val="000000"/>
          <w:sz w:val="24"/>
          <w:szCs w:val="24"/>
        </w:rPr>
        <w:t xml:space="preserve"> effects of OFDI on economic growth. The long-run effects of an increase and a decrease are given by </w:t>
      </w:r>
      <w:r w:rsidRPr="00393D99">
        <w:rPr>
          <w:rFonts w:ascii="Times New Roman" w:hAnsi="Times New Roman" w:cs="Times New Roman"/>
          <w:i/>
          <w:color w:val="000000"/>
          <w:sz w:val="24"/>
          <w:szCs w:val="24"/>
        </w:rPr>
        <w:t xml:space="preserve">θ </w:t>
      </w:r>
      <w:r w:rsidRPr="00393D99">
        <w:rPr>
          <w:rFonts w:ascii="Times New Roman" w:hAnsi="Times New Roman" w:cs="Times New Roman"/>
          <w:i/>
          <w:color w:val="000000"/>
          <w:sz w:val="24"/>
          <w:szCs w:val="24"/>
          <w:vertAlign w:val="superscript"/>
        </w:rPr>
        <w:t>+</w:t>
      </w:r>
      <w:r w:rsidRPr="00393D99">
        <w:rPr>
          <w:rFonts w:ascii="Times New Roman" w:hAnsi="Times New Roman" w:cs="Times New Roman"/>
          <w:color w:val="000000"/>
          <w:sz w:val="24"/>
          <w:szCs w:val="24"/>
        </w:rPr>
        <w:t xml:space="preserve"> and </w:t>
      </w:r>
      <w:r w:rsidR="008F2527" w:rsidRPr="00393D99">
        <w:rPr>
          <w:rFonts w:ascii="Times New Roman" w:hAnsi="Times New Roman" w:cs="Times New Roman"/>
          <w:color w:val="000000"/>
          <w:sz w:val="24"/>
          <w:szCs w:val="24"/>
        </w:rPr>
        <w:t>θ</w:t>
      </w:r>
      <w:r w:rsidRPr="00393D99">
        <w:rPr>
          <w:rFonts w:ascii="Times New Roman" w:hAnsi="Times New Roman" w:cs="Times New Roman"/>
          <w:i/>
          <w:color w:val="000000"/>
          <w:sz w:val="24"/>
          <w:szCs w:val="24"/>
          <w:vertAlign w:val="superscript"/>
        </w:rPr>
        <w:t>-</w:t>
      </w:r>
      <w:r w:rsidRPr="00393D99">
        <w:rPr>
          <w:rFonts w:ascii="Times New Roman" w:hAnsi="Times New Roman" w:cs="Times New Roman"/>
          <w:color w:val="000000"/>
          <w:sz w:val="24"/>
          <w:szCs w:val="24"/>
        </w:rPr>
        <w:t xml:space="preserve">, while </w:t>
      </w:r>
      <m:oMath>
        <m:sSubSup>
          <m:sSubSupPr>
            <m:ctrlPr>
              <w:rPr>
                <w:rFonts w:ascii="Cambria Math" w:hAnsi="Cambria Math" w:cs="Times New Roman"/>
                <w:i/>
                <w:sz w:val="24"/>
                <w:szCs w:val="24"/>
              </w:rPr>
            </m:ctrlPr>
          </m:sSubSupPr>
          <m:e>
            <m:r>
              <w:rPr>
                <w:rFonts w:ascii="Cambria Math" w:hAnsi="Cambria Math" w:cs="Times New Roman"/>
                <w:sz w:val="24"/>
                <w:szCs w:val="24"/>
              </w:rPr>
              <m:t>ϑ</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ϑ</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or </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p</m:t>
            </m:r>
          </m:sup>
          <m:e>
            <m:sSubSup>
              <m:sSubSupPr>
                <m:ctrlPr>
                  <w:rPr>
                    <w:rFonts w:ascii="Cambria Math" w:hAnsi="Cambria Math" w:cs="Times New Roman"/>
                    <w:i/>
                    <w:sz w:val="24"/>
                    <w:szCs w:val="24"/>
                  </w:rPr>
                </m:ctrlPr>
              </m:sSubSupPr>
              <m:e>
                <m:r>
                  <w:rPr>
                    <w:rFonts w:ascii="Cambria Math" w:hAnsi="Cambria Math" w:cs="Times New Roman"/>
                    <w:sz w:val="24"/>
                    <w:szCs w:val="24"/>
                  </w:rPr>
                  <m:t>ϑ</m:t>
                </m:r>
              </m:e>
              <m:sub>
                <m:r>
                  <w:rPr>
                    <w:rFonts w:ascii="Cambria Math" w:hAnsi="Cambria Math" w:cs="Times New Roman"/>
                    <w:sz w:val="24"/>
                    <w:szCs w:val="24"/>
                  </w:rPr>
                  <m:t>i</m:t>
                </m:r>
              </m:sub>
              <m:sup>
                <m:r>
                  <w:rPr>
                    <w:rFonts w:ascii="Cambria Math" w:hAnsi="Cambria Math" w:cs="Times New Roman"/>
                    <w:sz w:val="24"/>
                    <w:szCs w:val="24"/>
                  </w:rPr>
                  <m:t>+</m:t>
                </m:r>
              </m:sup>
            </m:sSubSup>
          </m:e>
        </m:nary>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i=1</m:t>
            </m:r>
          </m:sub>
          <m:sup>
            <m:r>
              <w:rPr>
                <w:rFonts w:ascii="Cambria Math" w:eastAsia="Cambria Math" w:hAnsi="Cambria Math" w:cs="Times New Roman"/>
                <w:sz w:val="24"/>
                <w:szCs w:val="24"/>
              </w:rPr>
              <m:t>p</m:t>
            </m:r>
          </m:sup>
          <m:e>
            <m:sSubSup>
              <m:sSubSupPr>
                <m:ctrlPr>
                  <w:rPr>
                    <w:rFonts w:ascii="Cambria Math" w:hAnsi="Cambria Math" w:cs="Times New Roman"/>
                    <w:i/>
                    <w:sz w:val="24"/>
                    <w:szCs w:val="24"/>
                  </w:rPr>
                </m:ctrlPr>
              </m:sSubSupPr>
              <m:e>
                <m:r>
                  <w:rPr>
                    <w:rFonts w:ascii="Cambria Math" w:hAnsi="Cambria Math" w:cs="Times New Roman"/>
                    <w:sz w:val="24"/>
                    <w:szCs w:val="24"/>
                  </w:rPr>
                  <m:t>ϑ</m:t>
                </m:r>
              </m:e>
              <m:sub>
                <m:r>
                  <w:rPr>
                    <w:rFonts w:ascii="Cambria Math" w:hAnsi="Cambria Math" w:cs="Times New Roman"/>
                    <w:sz w:val="24"/>
                    <w:szCs w:val="24"/>
                  </w:rPr>
                  <m:t>i</m:t>
                </m:r>
              </m:sub>
              <m:sup>
                <m:r>
                  <w:rPr>
                    <w:rFonts w:ascii="Cambria Math" w:hAnsi="Cambria Math" w:cs="Times New Roman"/>
                    <w:sz w:val="24"/>
                    <w:szCs w:val="24"/>
                  </w:rPr>
                  <m:t>-</m:t>
                </m:r>
              </m:sup>
            </m:sSubSup>
          </m:e>
        </m:nary>
      </m:oMath>
      <w:r w:rsidR="00DF2FB7" w:rsidRPr="00393D99">
        <w:rPr>
          <w:rFonts w:ascii="Times New Roman" w:hAnsi="Times New Roman" w:cs="Times New Roman"/>
          <w:sz w:val="24"/>
          <w:szCs w:val="24"/>
        </w:rPr>
        <w:t xml:space="preserve"> </w:t>
      </w:r>
      <w:r w:rsidRPr="00393D99">
        <w:rPr>
          <w:rFonts w:ascii="Times New Roman" w:hAnsi="Times New Roman" w:cs="Times New Roman"/>
          <w:color w:val="000000"/>
          <w:sz w:val="24"/>
          <w:szCs w:val="24"/>
        </w:rPr>
        <w:t>suggests the short-run asymmetric effects of positive</w:t>
      </w:r>
      <w:r w:rsidR="00DD7989" w:rsidRPr="00393D99">
        <w:rPr>
          <w:rFonts w:ascii="Times New Roman" w:hAnsi="Times New Roman" w:cs="Times New Roman"/>
          <w:color w:val="000000"/>
          <w:sz w:val="24"/>
          <w:szCs w:val="24"/>
        </w:rPr>
        <w:t xml:space="preserve"> and negative changes in OFDI.</w:t>
      </w:r>
    </w:p>
    <w:p w14:paraId="42ACD283" w14:textId="77777777" w:rsidR="00400B8F" w:rsidRPr="00393D99" w:rsidRDefault="00C57266" w:rsidP="00B7783C">
      <w:pPr>
        <w:snapToGrid w:val="0"/>
        <w:spacing w:after="120" w:line="480" w:lineRule="auto"/>
        <w:ind w:firstLine="720"/>
        <w:jc w:val="both"/>
        <w:rPr>
          <w:rFonts w:ascii="Times New Roman" w:hAnsi="Times New Roman" w:cs="Times New Roman"/>
          <w:sz w:val="24"/>
          <w:szCs w:val="24"/>
        </w:rPr>
      </w:pPr>
      <w:r w:rsidRPr="00393D99">
        <w:rPr>
          <w:rFonts w:ascii="Times New Roman" w:hAnsi="Times New Roman" w:cs="Times New Roman"/>
          <w:color w:val="000000"/>
          <w:sz w:val="24"/>
          <w:szCs w:val="24"/>
        </w:rPr>
        <w:t>W</w:t>
      </w:r>
      <w:r w:rsidR="00DB205F" w:rsidRPr="00393D99">
        <w:rPr>
          <w:rFonts w:ascii="Times New Roman" w:hAnsi="Times New Roman" w:cs="Times New Roman"/>
          <w:sz w:val="24"/>
          <w:szCs w:val="24"/>
        </w:rPr>
        <w:t xml:space="preserve">e can </w:t>
      </w:r>
      <w:r w:rsidRPr="00393D99">
        <w:rPr>
          <w:rFonts w:ascii="Times New Roman" w:hAnsi="Times New Roman" w:cs="Times New Roman"/>
          <w:sz w:val="24"/>
          <w:szCs w:val="24"/>
        </w:rPr>
        <w:t xml:space="preserve">further </w:t>
      </w:r>
      <w:r w:rsidR="00DB205F" w:rsidRPr="00393D99">
        <w:rPr>
          <w:rFonts w:ascii="Times New Roman" w:hAnsi="Times New Roman" w:cs="Times New Roman"/>
          <w:sz w:val="24"/>
          <w:szCs w:val="24"/>
        </w:rPr>
        <w:t>estimate the asymmetric cumulati</w:t>
      </w:r>
      <w:r w:rsidR="00DF2FB7" w:rsidRPr="00393D99">
        <w:rPr>
          <w:rFonts w:ascii="Times New Roman" w:hAnsi="Times New Roman" w:cs="Times New Roman"/>
          <w:sz w:val="24"/>
          <w:szCs w:val="24"/>
        </w:rPr>
        <w:t xml:space="preserve">ve dynamic multiplier effect of </w:t>
      </w:r>
      <w:r w:rsidR="00DB205F" w:rsidRPr="00393D99">
        <w:rPr>
          <w:rFonts w:ascii="Times New Roman" w:hAnsi="Times New Roman" w:cs="Times New Roman"/>
          <w:sz w:val="24"/>
          <w:szCs w:val="24"/>
        </w:rPr>
        <w:t xml:space="preserve">a unit change in </w:t>
      </w:r>
      <m:oMath>
        <m:sSubSup>
          <m:sSubSupPr>
            <m:ctrlPr>
              <w:rPr>
                <w:rFonts w:ascii="Cambria Math" w:eastAsia="Cambria Math" w:hAnsi="Cambria Math" w:cs="Times New Roman"/>
                <w:i/>
                <w:sz w:val="24"/>
                <w:szCs w:val="24"/>
              </w:rPr>
            </m:ctrlPr>
          </m:sSubSupPr>
          <m:e>
            <m:r>
              <w:rPr>
                <w:rFonts w:ascii="Cambria Math" w:eastAsia="Cambria Math" w:hAnsi="Cambria Math" w:cs="Times New Roman"/>
                <w:sz w:val="24"/>
                <w:szCs w:val="24"/>
              </w:rPr>
              <m:t>OFDI</m:t>
            </m:r>
          </m:e>
          <m:sub>
            <m:r>
              <w:rPr>
                <w:rFonts w:ascii="Cambria Math" w:eastAsia="Cambria Math" w:hAnsi="Cambria Math" w:cs="Times New Roman"/>
                <w:sz w:val="24"/>
                <w:szCs w:val="24"/>
              </w:rPr>
              <m:t>t-1</m:t>
            </m:r>
          </m:sub>
          <m:sup>
            <m:r>
              <w:rPr>
                <w:rFonts w:ascii="Cambria Math" w:eastAsia="Cambria Math" w:hAnsi="Cambria Math" w:cs="Times New Roman"/>
                <w:sz w:val="24"/>
                <w:szCs w:val="24"/>
              </w:rPr>
              <m:t>+</m:t>
            </m:r>
          </m:sup>
        </m:sSubSup>
      </m:oMath>
      <w:r w:rsidR="00DB205F" w:rsidRPr="00393D99">
        <w:rPr>
          <w:rFonts w:ascii="Times New Roman" w:hAnsi="Times New Roman" w:cs="Times New Roman"/>
          <w:sz w:val="24"/>
          <w:szCs w:val="24"/>
        </w:rPr>
        <w:t xml:space="preserve"> and </w:t>
      </w:r>
      <m:oMath>
        <m:sSubSup>
          <m:sSubSupPr>
            <m:ctrlPr>
              <w:rPr>
                <w:rFonts w:ascii="Cambria Math" w:eastAsia="Cambria Math" w:hAnsi="Cambria Math" w:cs="Times New Roman"/>
                <w:i/>
                <w:sz w:val="24"/>
                <w:szCs w:val="24"/>
              </w:rPr>
            </m:ctrlPr>
          </m:sSubSupPr>
          <m:e>
            <m:r>
              <w:rPr>
                <w:rFonts w:ascii="Cambria Math" w:eastAsia="Cambria Math" w:hAnsi="Cambria Math" w:cs="Times New Roman"/>
                <w:sz w:val="24"/>
                <w:szCs w:val="24"/>
              </w:rPr>
              <m:t>OFDI</m:t>
            </m:r>
          </m:e>
          <m:sub>
            <m:r>
              <w:rPr>
                <w:rFonts w:ascii="Cambria Math" w:eastAsia="Cambria Math" w:hAnsi="Cambria Math" w:cs="Times New Roman"/>
                <w:sz w:val="24"/>
                <w:szCs w:val="24"/>
              </w:rPr>
              <m:t>t-1</m:t>
            </m:r>
          </m:sub>
          <m:sup>
            <m:r>
              <w:rPr>
                <w:rFonts w:ascii="Cambria Math" w:eastAsia="Cambria Math" w:hAnsi="Cambria Math" w:cs="Times New Roman"/>
                <w:sz w:val="24"/>
                <w:szCs w:val="24"/>
              </w:rPr>
              <m:t>-</m:t>
            </m:r>
          </m:sup>
        </m:sSubSup>
      </m:oMath>
      <w:r w:rsidR="00DB205F" w:rsidRPr="00393D99">
        <w:rPr>
          <w:rFonts w:ascii="Times New Roman" w:hAnsi="Times New Roman" w:cs="Times New Roman"/>
          <w:sz w:val="24"/>
          <w:szCs w:val="24"/>
        </w:rPr>
        <w:t xml:space="preserve"> defined as follows:</w:t>
      </w:r>
    </w:p>
    <w:p w14:paraId="7B14B145" w14:textId="77777777" w:rsidR="00A9559F" w:rsidRPr="00393D99" w:rsidRDefault="003D3344" w:rsidP="00393D99">
      <w:pPr>
        <w:pStyle w:val="BodyText1"/>
        <w:snapToGrid w:val="0"/>
        <w:spacing w:after="120" w:line="480" w:lineRule="auto"/>
        <w:jc w:val="center"/>
        <w:rPr>
          <w:rFonts w:ascii="Times New Roman" w:hAnsi="Times New Roman"/>
          <w:sz w:val="24"/>
          <w:szCs w:val="24"/>
          <w:lang w:val="en-US" w:eastAsia="zh-CN"/>
        </w:rPr>
      </w:pPr>
      <m:oMath>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p</m:t>
            </m:r>
          </m:sub>
          <m:sup>
            <m:r>
              <w:rPr>
                <w:rFonts w:ascii="Cambria Math" w:hAnsi="Cambria Math"/>
                <w:sz w:val="24"/>
                <w:szCs w:val="24"/>
                <w:lang w:val="en-US"/>
              </w:rPr>
              <m:t>+</m:t>
            </m:r>
          </m:sup>
        </m:sSubSup>
        <m:r>
          <w:rPr>
            <w:rFonts w:ascii="Cambria Math" w:hAnsi="Cambria Math"/>
            <w:sz w:val="24"/>
            <w:szCs w:val="24"/>
            <w:lang w:val="en-US"/>
          </w:rPr>
          <m:t>=</m:t>
        </m:r>
        <m:nary>
          <m:naryPr>
            <m:chr m:val="∑"/>
            <m:grow m:val="1"/>
            <m:ctrlPr>
              <w:rPr>
                <w:rFonts w:ascii="Cambria Math" w:eastAsiaTheme="minorEastAsia" w:hAnsi="Cambria Math"/>
                <w:sz w:val="24"/>
                <w:szCs w:val="24"/>
                <w:lang w:val="en-US" w:eastAsia="zh-CN"/>
              </w:rPr>
            </m:ctrlPr>
          </m:naryPr>
          <m:sub>
            <m:r>
              <w:rPr>
                <w:rFonts w:ascii="Cambria Math" w:eastAsia="Cambria Math" w:hAnsi="Cambria Math"/>
                <w:sz w:val="24"/>
                <w:szCs w:val="24"/>
                <w:lang w:val="en-US" w:eastAsia="zh-CN"/>
              </w:rPr>
              <m:t>k=0</m:t>
            </m:r>
          </m:sub>
          <m:sup>
            <m:r>
              <w:rPr>
                <w:rFonts w:ascii="Cambria Math" w:eastAsia="Cambria Math" w:hAnsi="Cambria Math"/>
                <w:sz w:val="24"/>
                <w:szCs w:val="24"/>
                <w:lang w:val="en-US" w:eastAsia="zh-CN"/>
              </w:rPr>
              <m:t>p</m:t>
            </m:r>
          </m:sup>
          <m:e>
            <m:f>
              <m:fPr>
                <m:ctrlPr>
                  <w:rPr>
                    <w:rFonts w:ascii="Cambria Math" w:hAnsi="Cambria Math"/>
                    <w:sz w:val="24"/>
                    <w:szCs w:val="24"/>
                    <w:lang w:val="en-US"/>
                  </w:rPr>
                </m:ctrlPr>
              </m:fPr>
              <m:num>
                <m:r>
                  <w:rPr>
                    <w:rFonts w:ascii="Cambria Math" w:hAnsi="Cambria Math"/>
                    <w:sz w:val="24"/>
                    <w:szCs w:val="24"/>
                    <w:lang w:val="en-US"/>
                  </w:rPr>
                  <m:t>δ</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t+k</m:t>
                    </m:r>
                  </m:sub>
                </m:sSub>
              </m:num>
              <m:den>
                <m:r>
                  <w:rPr>
                    <w:rFonts w:ascii="Cambria Math" w:hAnsi="Cambria Math"/>
                    <w:sz w:val="24"/>
                    <w:szCs w:val="24"/>
                    <w:lang w:val="en-US"/>
                  </w:rPr>
                  <m:t>δ</m:t>
                </m:r>
                <m:sSubSup>
                  <m:sSubSupPr>
                    <m:ctrlPr>
                      <w:rPr>
                        <w:rFonts w:ascii="Cambria Math" w:hAnsi="Cambria Math"/>
                        <w:i/>
                        <w:sz w:val="24"/>
                        <w:szCs w:val="24"/>
                        <w:lang w:val="en-US"/>
                      </w:rPr>
                    </m:ctrlPr>
                  </m:sSubSupPr>
                  <m:e>
                    <m:r>
                      <w:rPr>
                        <w:rFonts w:ascii="Cambria Math" w:hAnsi="Cambria Math"/>
                        <w:sz w:val="24"/>
                        <w:szCs w:val="24"/>
                        <w:lang w:val="en-US"/>
                      </w:rPr>
                      <m:t>OFDI</m:t>
                    </m:r>
                  </m:e>
                  <m:sub>
                    <m:r>
                      <w:rPr>
                        <w:rFonts w:ascii="Cambria Math" w:hAnsi="Cambria Math"/>
                        <w:sz w:val="24"/>
                        <w:szCs w:val="24"/>
                        <w:lang w:val="en-US"/>
                      </w:rPr>
                      <m:t>t</m:t>
                    </m:r>
                  </m:sub>
                  <m:sup>
                    <m:r>
                      <w:rPr>
                        <w:rFonts w:ascii="Cambria Math" w:hAnsi="Cambria Math"/>
                        <w:sz w:val="24"/>
                        <w:szCs w:val="24"/>
                        <w:lang w:val="en-US"/>
                      </w:rPr>
                      <m:t>+</m:t>
                    </m:r>
                  </m:sup>
                </m:sSubSup>
              </m:den>
            </m:f>
          </m:e>
        </m:nary>
      </m:oMath>
      <w:r w:rsidR="00400B8F" w:rsidRPr="00393D99">
        <w:rPr>
          <w:rFonts w:ascii="Times New Roman" w:hAnsi="Times New Roman"/>
          <w:sz w:val="24"/>
          <w:szCs w:val="24"/>
          <w:lang w:val="en-US" w:eastAsia="zh-CN"/>
        </w:rPr>
        <w:tab/>
      </w:r>
      <w:r w:rsidR="00400B8F" w:rsidRPr="00393D99">
        <w:rPr>
          <w:rFonts w:ascii="Times New Roman" w:hAnsi="Times New Roman"/>
          <w:sz w:val="24"/>
          <w:szCs w:val="24"/>
          <w:lang w:val="en-US"/>
        </w:rPr>
        <w:t>P=0,1,</w:t>
      </w:r>
      <w:proofErr w:type="gramStart"/>
      <w:r w:rsidR="00400B8F" w:rsidRPr="00393D99">
        <w:rPr>
          <w:rFonts w:ascii="Times New Roman" w:hAnsi="Times New Roman"/>
          <w:sz w:val="24"/>
          <w:szCs w:val="24"/>
          <w:lang w:val="en-US"/>
        </w:rPr>
        <w:t>2,…</w:t>
      </w:r>
      <w:proofErr w:type="gramEnd"/>
      <w:r w:rsidR="004B2282" w:rsidRPr="00393D99">
        <w:rPr>
          <w:rFonts w:ascii="Times New Roman" w:hAnsi="Times New Roman"/>
          <w:sz w:val="24"/>
          <w:szCs w:val="24"/>
          <w:lang w:val="en-US"/>
        </w:rPr>
        <w:t xml:space="preserve"> </w:t>
      </w:r>
      <w:r w:rsidR="002D066F" w:rsidRPr="00393D99">
        <w:rPr>
          <w:rFonts w:ascii="Times New Roman" w:hAnsi="Times New Roman"/>
          <w:sz w:val="24"/>
          <w:szCs w:val="24"/>
          <w:lang w:val="en-US" w:eastAsia="zh-CN"/>
        </w:rPr>
        <w:tab/>
      </w:r>
      <w:r w:rsidR="00EF3538" w:rsidRPr="00393D99">
        <w:rPr>
          <w:rFonts w:ascii="Times New Roman" w:hAnsi="Times New Roman"/>
          <w:sz w:val="24"/>
          <w:szCs w:val="24"/>
          <w:lang w:val="en-US" w:eastAsia="zh-CN"/>
        </w:rPr>
        <w:tab/>
      </w:r>
      <w:r w:rsidR="00EF3538" w:rsidRPr="00393D99">
        <w:rPr>
          <w:rFonts w:ascii="Times New Roman" w:hAnsi="Times New Roman"/>
          <w:sz w:val="24"/>
          <w:szCs w:val="24"/>
          <w:lang w:val="en-US" w:eastAsia="zh-CN"/>
        </w:rPr>
        <w:tab/>
      </w:r>
      <w:r w:rsidR="00EF3538" w:rsidRPr="00393D99">
        <w:rPr>
          <w:rFonts w:ascii="Times New Roman" w:hAnsi="Times New Roman"/>
          <w:sz w:val="24"/>
          <w:szCs w:val="24"/>
          <w:lang w:val="en-US" w:eastAsia="zh-CN"/>
        </w:rPr>
        <w:tab/>
      </w:r>
      <w:r w:rsidR="00EF3538" w:rsidRPr="00393D99">
        <w:rPr>
          <w:rFonts w:ascii="Times New Roman" w:hAnsi="Times New Roman"/>
          <w:sz w:val="24"/>
          <w:szCs w:val="24"/>
          <w:lang w:val="en-US" w:eastAsia="zh-CN"/>
        </w:rPr>
        <w:tab/>
      </w:r>
      <w:r w:rsidR="00EF3538" w:rsidRPr="00393D99">
        <w:rPr>
          <w:rFonts w:ascii="Times New Roman" w:hAnsi="Times New Roman"/>
          <w:sz w:val="24"/>
          <w:szCs w:val="24"/>
          <w:lang w:val="en-US" w:eastAsia="zh-CN"/>
        </w:rPr>
        <w:tab/>
      </w:r>
      <w:r w:rsidR="002D066F" w:rsidRPr="00393D99">
        <w:rPr>
          <w:rFonts w:ascii="Times New Roman" w:hAnsi="Times New Roman"/>
          <w:sz w:val="24"/>
          <w:szCs w:val="24"/>
          <w:lang w:val="en-US" w:eastAsia="zh-CN"/>
        </w:rPr>
        <w:tab/>
        <w:t>(10)</w:t>
      </w:r>
    </w:p>
    <w:p w14:paraId="63E1A16B" w14:textId="77777777" w:rsidR="00FD5EC9" w:rsidRPr="00393D99" w:rsidRDefault="003D3344" w:rsidP="00393D99">
      <w:pPr>
        <w:pStyle w:val="BodyText1"/>
        <w:snapToGrid w:val="0"/>
        <w:spacing w:after="120" w:line="480" w:lineRule="auto"/>
        <w:jc w:val="center"/>
        <w:rPr>
          <w:rFonts w:ascii="Times New Roman" w:hAnsi="Times New Roman"/>
          <w:sz w:val="24"/>
          <w:szCs w:val="24"/>
          <w:lang w:val="en-US"/>
        </w:rPr>
      </w:pPr>
      <m:oMath>
        <m:sSubSup>
          <m:sSubSupPr>
            <m:ctrlPr>
              <w:rPr>
                <w:rFonts w:ascii="Cambria Math" w:hAnsi="Cambria Math"/>
                <w:i/>
                <w:sz w:val="24"/>
                <w:szCs w:val="24"/>
                <w:lang w:val="en-US"/>
              </w:rPr>
            </m:ctrlPr>
          </m:sSubSupPr>
          <m:e>
            <m:r>
              <w:rPr>
                <w:rFonts w:ascii="Cambria Math" w:hAnsi="Cambria Math"/>
                <w:sz w:val="24"/>
                <w:szCs w:val="24"/>
                <w:lang w:val="en-US"/>
              </w:rPr>
              <m:t>m</m:t>
            </m:r>
          </m:e>
          <m:sub>
            <m:r>
              <w:rPr>
                <w:rFonts w:ascii="Cambria Math" w:hAnsi="Cambria Math"/>
                <w:sz w:val="24"/>
                <w:szCs w:val="24"/>
                <w:lang w:val="en-US"/>
              </w:rPr>
              <m:t>p</m:t>
            </m:r>
          </m:sub>
          <m:sup>
            <m:r>
              <w:rPr>
                <w:rFonts w:ascii="Cambria Math" w:hAnsi="Cambria Math"/>
                <w:sz w:val="24"/>
                <w:szCs w:val="24"/>
                <w:lang w:val="en-US"/>
              </w:rPr>
              <m:t>+</m:t>
            </m:r>
          </m:sup>
        </m:sSubSup>
        <m:r>
          <w:rPr>
            <w:rFonts w:ascii="Cambria Math" w:hAnsi="Cambria Math"/>
            <w:sz w:val="24"/>
            <w:szCs w:val="24"/>
            <w:lang w:val="en-US"/>
          </w:rPr>
          <m:t>=</m:t>
        </m:r>
        <m:nary>
          <m:naryPr>
            <m:chr m:val="∑"/>
            <m:grow m:val="1"/>
            <m:ctrlPr>
              <w:rPr>
                <w:rFonts w:ascii="Cambria Math" w:eastAsiaTheme="minorEastAsia" w:hAnsi="Cambria Math"/>
                <w:sz w:val="24"/>
                <w:szCs w:val="24"/>
                <w:lang w:val="en-US" w:eastAsia="zh-CN"/>
              </w:rPr>
            </m:ctrlPr>
          </m:naryPr>
          <m:sub>
            <m:r>
              <w:rPr>
                <w:rFonts w:ascii="Cambria Math" w:eastAsia="Cambria Math" w:hAnsi="Cambria Math"/>
                <w:sz w:val="24"/>
                <w:szCs w:val="24"/>
                <w:lang w:val="en-US" w:eastAsia="zh-CN"/>
              </w:rPr>
              <m:t>k=0</m:t>
            </m:r>
          </m:sub>
          <m:sup>
            <m:r>
              <w:rPr>
                <w:rFonts w:ascii="Cambria Math" w:eastAsia="Cambria Math" w:hAnsi="Cambria Math"/>
                <w:sz w:val="24"/>
                <w:szCs w:val="24"/>
                <w:lang w:val="en-US" w:eastAsia="zh-CN"/>
              </w:rPr>
              <m:t>p</m:t>
            </m:r>
          </m:sup>
          <m:e>
            <m:f>
              <m:fPr>
                <m:ctrlPr>
                  <w:rPr>
                    <w:rFonts w:ascii="Cambria Math" w:hAnsi="Cambria Math"/>
                    <w:sz w:val="24"/>
                    <w:szCs w:val="24"/>
                    <w:lang w:val="en-US"/>
                  </w:rPr>
                </m:ctrlPr>
              </m:fPr>
              <m:num>
                <m:r>
                  <w:rPr>
                    <w:rFonts w:ascii="Cambria Math" w:hAnsi="Cambria Math"/>
                    <w:sz w:val="24"/>
                    <w:szCs w:val="24"/>
                    <w:lang w:val="en-US"/>
                  </w:rPr>
                  <m:t>δ</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t+k</m:t>
                    </m:r>
                  </m:sub>
                </m:sSub>
              </m:num>
              <m:den>
                <m:r>
                  <w:rPr>
                    <w:rFonts w:ascii="Cambria Math" w:hAnsi="Cambria Math"/>
                    <w:sz w:val="24"/>
                    <w:szCs w:val="24"/>
                    <w:lang w:val="en-US"/>
                  </w:rPr>
                  <m:t>δ</m:t>
                </m:r>
                <m:sSubSup>
                  <m:sSubSupPr>
                    <m:ctrlPr>
                      <w:rPr>
                        <w:rFonts w:ascii="Cambria Math" w:hAnsi="Cambria Math"/>
                        <w:i/>
                        <w:sz w:val="24"/>
                        <w:szCs w:val="24"/>
                        <w:lang w:val="en-US"/>
                      </w:rPr>
                    </m:ctrlPr>
                  </m:sSubSupPr>
                  <m:e>
                    <m:r>
                      <w:rPr>
                        <w:rFonts w:ascii="Cambria Math" w:hAnsi="Cambria Math"/>
                        <w:sz w:val="24"/>
                        <w:szCs w:val="24"/>
                        <w:lang w:val="en-US"/>
                      </w:rPr>
                      <m:t>OFDI</m:t>
                    </m:r>
                  </m:e>
                  <m:sub>
                    <m:r>
                      <w:rPr>
                        <w:rFonts w:ascii="Cambria Math" w:hAnsi="Cambria Math"/>
                        <w:sz w:val="24"/>
                        <w:szCs w:val="24"/>
                        <w:lang w:val="en-US"/>
                      </w:rPr>
                      <m:t>t</m:t>
                    </m:r>
                  </m:sub>
                  <m:sup>
                    <m:r>
                      <w:rPr>
                        <w:rFonts w:ascii="Cambria Math" w:hAnsi="Cambria Math"/>
                        <w:sz w:val="24"/>
                        <w:szCs w:val="24"/>
                        <w:lang w:val="en-US"/>
                      </w:rPr>
                      <m:t>+</m:t>
                    </m:r>
                  </m:sup>
                </m:sSubSup>
              </m:den>
            </m:f>
          </m:e>
        </m:nary>
      </m:oMath>
      <w:r w:rsidR="000F1B34" w:rsidRPr="00393D99">
        <w:rPr>
          <w:rFonts w:ascii="Times New Roman" w:hAnsi="Times New Roman"/>
          <w:sz w:val="24"/>
          <w:szCs w:val="24"/>
          <w:lang w:val="en-US"/>
        </w:rPr>
        <w:tab/>
      </w:r>
      <w:r w:rsidR="00A9559F" w:rsidRPr="00393D99">
        <w:rPr>
          <w:rFonts w:ascii="Times New Roman" w:hAnsi="Times New Roman"/>
          <w:sz w:val="24"/>
          <w:szCs w:val="24"/>
          <w:lang w:val="en-US"/>
        </w:rPr>
        <w:t>P=0,1,</w:t>
      </w:r>
      <w:proofErr w:type="gramStart"/>
      <w:r w:rsidR="00A9559F" w:rsidRPr="00393D99">
        <w:rPr>
          <w:rFonts w:ascii="Times New Roman" w:hAnsi="Times New Roman"/>
          <w:sz w:val="24"/>
          <w:szCs w:val="24"/>
          <w:lang w:val="en-US"/>
        </w:rPr>
        <w:t>2,</w:t>
      </w:r>
      <w:r w:rsidR="000F1B34" w:rsidRPr="00393D99">
        <w:rPr>
          <w:rFonts w:ascii="Times New Roman" w:hAnsi="Times New Roman"/>
          <w:sz w:val="24"/>
          <w:szCs w:val="24"/>
          <w:lang w:val="en-US"/>
        </w:rPr>
        <w:t>…</w:t>
      </w:r>
      <w:proofErr w:type="gramEnd"/>
      <w:r w:rsidR="000F1B34" w:rsidRPr="00393D99">
        <w:rPr>
          <w:rFonts w:ascii="Times New Roman" w:hAnsi="Times New Roman"/>
          <w:sz w:val="24"/>
          <w:szCs w:val="24"/>
          <w:lang w:val="en-US"/>
        </w:rPr>
        <w:tab/>
      </w:r>
      <w:r w:rsidR="00EF3538" w:rsidRPr="00393D99">
        <w:rPr>
          <w:rFonts w:ascii="Times New Roman" w:hAnsi="Times New Roman"/>
          <w:sz w:val="24"/>
          <w:szCs w:val="24"/>
          <w:lang w:val="en-US"/>
        </w:rPr>
        <w:tab/>
      </w:r>
      <w:r w:rsidR="00EF3538" w:rsidRPr="00393D99">
        <w:rPr>
          <w:rFonts w:ascii="Times New Roman" w:hAnsi="Times New Roman"/>
          <w:sz w:val="24"/>
          <w:szCs w:val="24"/>
          <w:lang w:val="en-US"/>
        </w:rPr>
        <w:tab/>
      </w:r>
      <w:r w:rsidR="00EF3538" w:rsidRPr="00393D99">
        <w:rPr>
          <w:rFonts w:ascii="Times New Roman" w:hAnsi="Times New Roman"/>
          <w:sz w:val="24"/>
          <w:szCs w:val="24"/>
          <w:lang w:val="en-US"/>
        </w:rPr>
        <w:tab/>
      </w:r>
      <w:r w:rsidR="000F1B34" w:rsidRPr="00393D99">
        <w:rPr>
          <w:rFonts w:ascii="Times New Roman" w:hAnsi="Times New Roman"/>
          <w:sz w:val="24"/>
          <w:szCs w:val="24"/>
          <w:lang w:val="en-US"/>
        </w:rPr>
        <w:tab/>
      </w:r>
      <w:r w:rsidR="00EF3538" w:rsidRPr="00393D99">
        <w:rPr>
          <w:rFonts w:ascii="Times New Roman" w:hAnsi="Times New Roman"/>
          <w:sz w:val="24"/>
          <w:szCs w:val="24"/>
          <w:lang w:val="en-US"/>
        </w:rPr>
        <w:tab/>
      </w:r>
      <w:r w:rsidR="00EF3538" w:rsidRPr="00393D99">
        <w:rPr>
          <w:rFonts w:ascii="Times New Roman" w:hAnsi="Times New Roman"/>
          <w:sz w:val="24"/>
          <w:szCs w:val="24"/>
          <w:lang w:val="en-US"/>
        </w:rPr>
        <w:tab/>
      </w:r>
      <w:r w:rsidR="00A9559F" w:rsidRPr="00393D99">
        <w:rPr>
          <w:rFonts w:ascii="Times New Roman" w:hAnsi="Times New Roman"/>
          <w:sz w:val="24"/>
          <w:szCs w:val="24"/>
          <w:lang w:val="en-US"/>
        </w:rPr>
        <w:t>(1</w:t>
      </w:r>
      <w:r w:rsidR="002D066F" w:rsidRPr="00393D99">
        <w:rPr>
          <w:rFonts w:ascii="Times New Roman" w:hAnsi="Times New Roman"/>
          <w:sz w:val="24"/>
          <w:szCs w:val="24"/>
          <w:lang w:val="en-US"/>
        </w:rPr>
        <w:t>1</w:t>
      </w:r>
      <w:r w:rsidR="00A9559F" w:rsidRPr="00393D99">
        <w:rPr>
          <w:rFonts w:ascii="Times New Roman" w:hAnsi="Times New Roman"/>
          <w:sz w:val="24"/>
          <w:szCs w:val="24"/>
          <w:lang w:val="en-US"/>
        </w:rPr>
        <w:t>)</w:t>
      </w:r>
    </w:p>
    <w:p w14:paraId="61FA81BA" w14:textId="77777777" w:rsidR="007D0DF5" w:rsidRPr="00393D99" w:rsidRDefault="00DB205F" w:rsidP="00B7783C">
      <w:pPr>
        <w:snapToGrid w:val="0"/>
        <w:spacing w:after="120" w:line="480" w:lineRule="auto"/>
        <w:jc w:val="both"/>
        <w:rPr>
          <w:rFonts w:ascii="Times New Roman" w:hAnsi="Times New Roman" w:cs="Times New Roman"/>
          <w:color w:val="000000"/>
          <w:sz w:val="24"/>
          <w:szCs w:val="24"/>
        </w:rPr>
      </w:pPr>
      <w:r w:rsidRPr="00393D99">
        <w:rPr>
          <w:rFonts w:ascii="Times New Roman" w:hAnsi="Times New Roman" w:cs="Times New Roman"/>
          <w:color w:val="000000"/>
          <w:sz w:val="24"/>
          <w:szCs w:val="24"/>
        </w:rPr>
        <w:t xml:space="preserve">Note: m → ∞, </w:t>
      </w:r>
      <w:proofErr w:type="spellStart"/>
      <w:r w:rsidRPr="00393D99">
        <w:rPr>
          <w:rFonts w:ascii="Times New Roman" w:hAnsi="Times New Roman" w:cs="Times New Roman"/>
          <w:color w:val="000000"/>
          <w:sz w:val="24"/>
          <w:szCs w:val="24"/>
        </w:rPr>
        <w:t>mp</w:t>
      </w:r>
      <w:proofErr w:type="spellEnd"/>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xml:space="preserve"> → β</w:t>
      </w:r>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xml:space="preserve"> and </w:t>
      </w:r>
      <w:proofErr w:type="spellStart"/>
      <w:r w:rsidRPr="00393D99">
        <w:rPr>
          <w:rFonts w:ascii="Times New Roman" w:hAnsi="Times New Roman" w:cs="Times New Roman"/>
          <w:color w:val="000000"/>
          <w:sz w:val="24"/>
          <w:szCs w:val="24"/>
        </w:rPr>
        <w:t>mp</w:t>
      </w:r>
      <w:proofErr w:type="spellEnd"/>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β</w:t>
      </w:r>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where β</w:t>
      </w:r>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xml:space="preserve"> and β</w:t>
      </w:r>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xml:space="preserve"> represent the long-run asymmetric coefficients, </w:t>
      </w:r>
      <w:r w:rsidR="00B651FC" w:rsidRPr="00393D99">
        <w:rPr>
          <w:rFonts w:ascii="Times New Roman" w:hAnsi="Times New Roman" w:cs="Times New Roman"/>
          <w:color w:val="000000"/>
          <w:sz w:val="24"/>
          <w:szCs w:val="24"/>
        </w:rPr>
        <w:t>respectively, as defined above.</w:t>
      </w:r>
    </w:p>
    <w:p w14:paraId="624FA013" w14:textId="77777777" w:rsidR="002754E6" w:rsidRPr="00393D99" w:rsidRDefault="004B04FB" w:rsidP="00B7783C">
      <w:pPr>
        <w:snapToGrid w:val="0"/>
        <w:spacing w:after="0" w:line="480" w:lineRule="auto"/>
        <w:ind w:firstLine="720"/>
        <w:jc w:val="both"/>
        <w:rPr>
          <w:rFonts w:ascii="Times New Roman" w:hAnsi="Times New Roman" w:cs="Times New Roman"/>
          <w:color w:val="000000"/>
          <w:sz w:val="24"/>
          <w:szCs w:val="24"/>
        </w:rPr>
      </w:pPr>
      <w:r w:rsidRPr="00393D99">
        <w:rPr>
          <w:rFonts w:ascii="Times New Roman" w:hAnsi="Times New Roman" w:cs="Times New Roman"/>
          <w:color w:val="000000"/>
          <w:sz w:val="24"/>
          <w:szCs w:val="24"/>
        </w:rPr>
        <w:lastRenderedPageBreak/>
        <w:t>For the stability test of the model</w:t>
      </w:r>
      <w:r w:rsidR="00B65D53" w:rsidRPr="00393D99">
        <w:rPr>
          <w:rFonts w:ascii="Times New Roman" w:hAnsi="Times New Roman" w:cs="Times New Roman"/>
          <w:color w:val="000000"/>
          <w:sz w:val="24"/>
          <w:szCs w:val="24"/>
        </w:rPr>
        <w:t>s</w:t>
      </w:r>
      <w:r w:rsidRPr="00393D99">
        <w:rPr>
          <w:rFonts w:ascii="Times New Roman" w:hAnsi="Times New Roman" w:cs="Times New Roman"/>
          <w:color w:val="000000"/>
          <w:sz w:val="24"/>
          <w:szCs w:val="24"/>
        </w:rPr>
        <w:t xml:space="preserve">, </w:t>
      </w:r>
      <w:r w:rsidR="00C57266" w:rsidRPr="00393D99">
        <w:rPr>
          <w:rFonts w:ascii="Times New Roman" w:hAnsi="Times New Roman" w:cs="Times New Roman"/>
          <w:color w:val="000000"/>
          <w:sz w:val="24"/>
          <w:szCs w:val="24"/>
        </w:rPr>
        <w:t xml:space="preserve">this </w:t>
      </w:r>
      <w:r w:rsidRPr="00393D99">
        <w:rPr>
          <w:rFonts w:ascii="Times New Roman" w:hAnsi="Times New Roman" w:cs="Times New Roman"/>
          <w:color w:val="000000"/>
          <w:sz w:val="24"/>
          <w:szCs w:val="24"/>
        </w:rPr>
        <w:t xml:space="preserve">study </w:t>
      </w:r>
      <w:r w:rsidR="00D515D8" w:rsidRPr="00393D99">
        <w:rPr>
          <w:rFonts w:ascii="Times New Roman" w:hAnsi="Times New Roman" w:cs="Times New Roman"/>
          <w:color w:val="000000"/>
          <w:sz w:val="24"/>
          <w:szCs w:val="24"/>
        </w:rPr>
        <w:t>emplo</w:t>
      </w:r>
      <w:r w:rsidR="00C13A8C" w:rsidRPr="00393D99">
        <w:rPr>
          <w:rFonts w:ascii="Times New Roman" w:hAnsi="Times New Roman" w:cs="Times New Roman"/>
          <w:color w:val="000000"/>
          <w:sz w:val="24"/>
          <w:szCs w:val="24"/>
        </w:rPr>
        <w:t>ys</w:t>
      </w:r>
      <w:r w:rsidRPr="00393D99">
        <w:rPr>
          <w:rFonts w:ascii="Times New Roman" w:hAnsi="Times New Roman" w:cs="Times New Roman"/>
          <w:color w:val="000000"/>
          <w:sz w:val="24"/>
          <w:szCs w:val="24"/>
        </w:rPr>
        <w:t xml:space="preserve"> the cumulative sum of recursive residuals (CUSUM)</w:t>
      </w:r>
      <w:r w:rsidR="00C13A8C" w:rsidRPr="00393D99">
        <w:rPr>
          <w:rFonts w:ascii="Times New Roman" w:hAnsi="Times New Roman" w:cs="Times New Roman"/>
          <w:color w:val="000000"/>
          <w:sz w:val="24"/>
          <w:szCs w:val="24"/>
        </w:rPr>
        <w:t>,</w:t>
      </w:r>
      <w:r w:rsidRPr="00393D99">
        <w:rPr>
          <w:rFonts w:ascii="Times New Roman" w:hAnsi="Times New Roman" w:cs="Times New Roman"/>
          <w:color w:val="000000"/>
          <w:sz w:val="24"/>
          <w:szCs w:val="24"/>
        </w:rPr>
        <w:t xml:space="preserve"> and the cumulative sum of squares of recursive residuals (CUSUMSQ) tests developed by </w:t>
      </w:r>
      <w:r w:rsidR="00D84AB0">
        <w:rPr>
          <w:rFonts w:ascii="Times New Roman" w:hAnsi="Times New Roman" w:cs="Times New Roman"/>
          <w:color w:val="000000"/>
          <w:sz w:val="24"/>
          <w:szCs w:val="24"/>
        </w:rPr>
        <w:t>[51]</w:t>
      </w:r>
      <w:r w:rsidRPr="00393D99">
        <w:rPr>
          <w:rFonts w:ascii="Times New Roman" w:hAnsi="Times New Roman" w:cs="Times New Roman"/>
          <w:color w:val="000000"/>
          <w:sz w:val="24"/>
          <w:szCs w:val="24"/>
        </w:rPr>
        <w:t>.</w:t>
      </w:r>
    </w:p>
    <w:p w14:paraId="23BCDB23" w14:textId="77777777" w:rsidR="00DB205F" w:rsidRPr="00393D99" w:rsidRDefault="00353C75" w:rsidP="00393D99">
      <w:pPr>
        <w:snapToGrid w:val="0"/>
        <w:spacing w:after="120" w:line="480" w:lineRule="auto"/>
        <w:jc w:val="both"/>
        <w:rPr>
          <w:rFonts w:ascii="Times New Roman" w:hAnsi="Times New Roman" w:cs="Times New Roman"/>
          <w:b/>
          <w:sz w:val="24"/>
          <w:szCs w:val="24"/>
        </w:rPr>
      </w:pPr>
      <w:r w:rsidRPr="00393D99">
        <w:rPr>
          <w:rFonts w:ascii="Times New Roman" w:hAnsi="Times New Roman" w:cs="Times New Roman"/>
          <w:b/>
          <w:sz w:val="24"/>
          <w:szCs w:val="24"/>
        </w:rPr>
        <w:t xml:space="preserve">4. </w:t>
      </w:r>
      <w:r w:rsidR="00DB205F" w:rsidRPr="00393D99">
        <w:rPr>
          <w:rFonts w:ascii="Times New Roman" w:hAnsi="Times New Roman" w:cs="Times New Roman"/>
          <w:b/>
          <w:sz w:val="24"/>
          <w:szCs w:val="24"/>
        </w:rPr>
        <w:t>Results and Discussion</w:t>
      </w:r>
    </w:p>
    <w:p w14:paraId="1F2F8637" w14:textId="77777777" w:rsidR="004A245A" w:rsidRPr="00393D99" w:rsidRDefault="00DB205F" w:rsidP="00B7783C">
      <w:pPr>
        <w:snapToGrid w:val="0"/>
        <w:spacing w:after="120" w:line="480" w:lineRule="auto"/>
        <w:jc w:val="both"/>
        <w:rPr>
          <w:rFonts w:ascii="Times New Roman" w:hAnsi="Times New Roman" w:cs="Times New Roman"/>
          <w:color w:val="000000"/>
          <w:sz w:val="24"/>
          <w:szCs w:val="24"/>
        </w:rPr>
      </w:pPr>
      <w:r w:rsidRPr="00393D99">
        <w:rPr>
          <w:rFonts w:ascii="Times New Roman" w:hAnsi="Times New Roman" w:cs="Times New Roman"/>
          <w:sz w:val="24"/>
          <w:szCs w:val="24"/>
        </w:rPr>
        <w:t>First of all</w:t>
      </w:r>
      <w:r w:rsidR="008F2527" w:rsidRPr="00393D99">
        <w:rPr>
          <w:rFonts w:ascii="Times New Roman" w:hAnsi="Times New Roman" w:cs="Times New Roman"/>
          <w:sz w:val="24"/>
          <w:szCs w:val="24"/>
        </w:rPr>
        <w:t>,</w:t>
      </w:r>
      <w:r w:rsidRPr="00393D99">
        <w:rPr>
          <w:rFonts w:ascii="Times New Roman" w:hAnsi="Times New Roman" w:cs="Times New Roman"/>
          <w:sz w:val="24"/>
          <w:szCs w:val="24"/>
        </w:rPr>
        <w:t xml:space="preserve"> for our empirical analysis, we used two different unit root tests, i.e.</w:t>
      </w:r>
      <w:r w:rsidR="00C13A8C" w:rsidRPr="00393D99">
        <w:rPr>
          <w:rFonts w:ascii="Times New Roman" w:hAnsi="Times New Roman" w:cs="Times New Roman"/>
          <w:sz w:val="24"/>
          <w:szCs w:val="24"/>
        </w:rPr>
        <w:t>,</w:t>
      </w:r>
      <w:r w:rsidRPr="00393D99">
        <w:rPr>
          <w:rFonts w:ascii="Times New Roman" w:hAnsi="Times New Roman" w:cs="Times New Roman"/>
          <w:sz w:val="24"/>
          <w:szCs w:val="24"/>
        </w:rPr>
        <w:t xml:space="preserve"> </w:t>
      </w:r>
      <w:r w:rsidR="00902A9B" w:rsidRPr="00393D99">
        <w:rPr>
          <w:rFonts w:ascii="Times New Roman" w:hAnsi="Times New Roman" w:cs="Times New Roman"/>
          <w:sz w:val="24"/>
          <w:szCs w:val="24"/>
        </w:rPr>
        <w:t>Augmented Dickey</w:t>
      </w:r>
      <w:r w:rsidR="00C13A8C" w:rsidRPr="00393D99">
        <w:rPr>
          <w:rFonts w:ascii="Times New Roman" w:hAnsi="Times New Roman" w:cs="Times New Roman"/>
          <w:sz w:val="24"/>
          <w:szCs w:val="24"/>
        </w:rPr>
        <w:t>-</w:t>
      </w:r>
      <w:r w:rsidR="00902A9B" w:rsidRPr="00393D99">
        <w:rPr>
          <w:rFonts w:ascii="Times New Roman" w:hAnsi="Times New Roman" w:cs="Times New Roman"/>
          <w:sz w:val="24"/>
          <w:szCs w:val="24"/>
        </w:rPr>
        <w:t>Fuller (ADF)</w:t>
      </w:r>
      <w:r w:rsidRPr="00393D99">
        <w:rPr>
          <w:rFonts w:ascii="Times New Roman" w:hAnsi="Times New Roman" w:cs="Times New Roman"/>
          <w:sz w:val="24"/>
          <w:szCs w:val="24"/>
        </w:rPr>
        <w:t xml:space="preserve"> </w:t>
      </w:r>
      <w:r w:rsidR="00D84AB0">
        <w:rPr>
          <w:rFonts w:ascii="Times New Roman" w:hAnsi="Times New Roman" w:cs="Times New Roman"/>
          <w:sz w:val="24"/>
          <w:szCs w:val="24"/>
        </w:rPr>
        <w:t>[52]</w:t>
      </w:r>
      <w:r w:rsidR="00C57266" w:rsidRPr="00393D99">
        <w:rPr>
          <w:rFonts w:ascii="Times New Roman" w:hAnsi="Times New Roman" w:cs="Times New Roman"/>
          <w:sz w:val="24"/>
          <w:szCs w:val="24"/>
        </w:rPr>
        <w:t xml:space="preserve"> </w:t>
      </w:r>
      <w:r w:rsidRPr="00393D99">
        <w:rPr>
          <w:rFonts w:ascii="Times New Roman" w:hAnsi="Times New Roman" w:cs="Times New Roman"/>
          <w:sz w:val="24"/>
          <w:szCs w:val="24"/>
        </w:rPr>
        <w:t xml:space="preserve">and </w:t>
      </w:r>
      <w:r w:rsidR="00902A9B" w:rsidRPr="00393D99">
        <w:rPr>
          <w:rFonts w:ascii="Times New Roman" w:hAnsi="Times New Roman" w:cs="Times New Roman"/>
          <w:sz w:val="24"/>
          <w:szCs w:val="24"/>
        </w:rPr>
        <w:t>Kwiatkowski–Phillips–Schmidt–Shin (KPSS)</w:t>
      </w:r>
      <w:r w:rsidR="00C57266" w:rsidRPr="00393D99">
        <w:rPr>
          <w:rFonts w:ascii="Times New Roman" w:hAnsi="Times New Roman" w:cs="Times New Roman"/>
          <w:sz w:val="24"/>
          <w:szCs w:val="24"/>
        </w:rPr>
        <w:t xml:space="preserve"> </w:t>
      </w:r>
      <w:r w:rsidR="0007408D">
        <w:rPr>
          <w:rFonts w:ascii="Times New Roman" w:hAnsi="Times New Roman" w:cs="Times New Roman"/>
          <w:sz w:val="24"/>
          <w:szCs w:val="24"/>
        </w:rPr>
        <w:t>[53]</w:t>
      </w:r>
      <w:r w:rsidR="00C57266" w:rsidRPr="00393D99">
        <w:rPr>
          <w:rFonts w:ascii="Times New Roman" w:hAnsi="Times New Roman" w:cs="Times New Roman"/>
          <w:sz w:val="24"/>
          <w:szCs w:val="24"/>
        </w:rPr>
        <w:t xml:space="preserve"> </w:t>
      </w:r>
      <w:r w:rsidR="00533885" w:rsidRPr="00393D99">
        <w:rPr>
          <w:rFonts w:ascii="Times New Roman" w:hAnsi="Times New Roman" w:cs="Times New Roman"/>
          <w:sz w:val="24"/>
          <w:szCs w:val="24"/>
        </w:rPr>
        <w:t>tests</w:t>
      </w:r>
      <w:r w:rsidR="008F2527" w:rsidRPr="00393D99">
        <w:rPr>
          <w:rFonts w:ascii="Times New Roman" w:hAnsi="Times New Roman" w:cs="Times New Roman"/>
          <w:sz w:val="24"/>
          <w:szCs w:val="24"/>
        </w:rPr>
        <w:t>,</w:t>
      </w:r>
      <w:r w:rsidRPr="00393D99">
        <w:rPr>
          <w:rFonts w:ascii="Times New Roman" w:hAnsi="Times New Roman" w:cs="Times New Roman"/>
          <w:sz w:val="24"/>
          <w:szCs w:val="24"/>
        </w:rPr>
        <w:t xml:space="preserve"> </w:t>
      </w:r>
      <w:r w:rsidR="007D0DF5" w:rsidRPr="00393D99">
        <w:rPr>
          <w:rFonts w:ascii="Times New Roman" w:hAnsi="Times New Roman" w:cs="Times New Roman"/>
          <w:sz w:val="24"/>
          <w:szCs w:val="24"/>
        </w:rPr>
        <w:t>to check the integration order of all variables included in each model.</w:t>
      </w:r>
      <w:r w:rsidR="003C1DD4" w:rsidRPr="00393D99">
        <w:rPr>
          <w:rFonts w:ascii="Times New Roman" w:hAnsi="Times New Roman" w:cs="Times New Roman"/>
          <w:sz w:val="24"/>
          <w:szCs w:val="24"/>
        </w:rPr>
        <w:t xml:space="preserve"> The unit root test depicts the level of stationarity, which is considered an </w:t>
      </w:r>
      <w:r w:rsidR="00C13A8C" w:rsidRPr="00393D99">
        <w:rPr>
          <w:rFonts w:ascii="Times New Roman" w:hAnsi="Times New Roman" w:cs="Times New Roman"/>
          <w:sz w:val="24"/>
          <w:szCs w:val="24"/>
        </w:rPr>
        <w:t>essential</w:t>
      </w:r>
      <w:r w:rsidR="003C1DD4" w:rsidRPr="00393D99">
        <w:rPr>
          <w:rFonts w:ascii="Times New Roman" w:hAnsi="Times New Roman" w:cs="Times New Roman"/>
          <w:sz w:val="24"/>
          <w:szCs w:val="24"/>
        </w:rPr>
        <w:t xml:space="preserve"> step before confirming the co-integration among variables. For example, </w:t>
      </w:r>
      <w:r w:rsidR="00C13A8C" w:rsidRPr="00393D99">
        <w:rPr>
          <w:rFonts w:ascii="Times New Roman" w:hAnsi="Times New Roman" w:cs="Times New Roman"/>
          <w:sz w:val="24"/>
          <w:szCs w:val="24"/>
        </w:rPr>
        <w:t xml:space="preserve">the </w:t>
      </w:r>
      <w:r w:rsidR="003C1DD4" w:rsidRPr="00393D99">
        <w:rPr>
          <w:rFonts w:ascii="Times New Roman" w:hAnsi="Times New Roman" w:cs="Times New Roman"/>
          <w:sz w:val="24"/>
          <w:szCs w:val="24"/>
        </w:rPr>
        <w:t xml:space="preserve">ARDL technique cannot be </w:t>
      </w:r>
      <w:r w:rsidR="00A23F2A" w:rsidRPr="00393D99">
        <w:rPr>
          <w:rFonts w:ascii="Times New Roman" w:hAnsi="Times New Roman" w:cs="Times New Roman"/>
          <w:sz w:val="24"/>
          <w:szCs w:val="24"/>
        </w:rPr>
        <w:t>used</w:t>
      </w:r>
      <w:r w:rsidR="003C1DD4" w:rsidRPr="00393D99">
        <w:rPr>
          <w:rFonts w:ascii="Times New Roman" w:hAnsi="Times New Roman" w:cs="Times New Roman"/>
          <w:sz w:val="24"/>
          <w:szCs w:val="24"/>
        </w:rPr>
        <w:t xml:space="preserve"> if any variable is integrated </w:t>
      </w:r>
      <w:r w:rsidR="00026866" w:rsidRPr="00393D99">
        <w:rPr>
          <w:rFonts w:ascii="Times New Roman" w:hAnsi="Times New Roman" w:cs="Times New Roman"/>
          <w:sz w:val="24"/>
          <w:szCs w:val="24"/>
        </w:rPr>
        <w:t>of</w:t>
      </w:r>
      <w:r w:rsidR="003C1DD4" w:rsidRPr="00393D99">
        <w:rPr>
          <w:rFonts w:ascii="Times New Roman" w:hAnsi="Times New Roman" w:cs="Times New Roman"/>
          <w:sz w:val="24"/>
          <w:szCs w:val="24"/>
        </w:rPr>
        <w:t xml:space="preserve"> order 2 </w:t>
      </w:r>
      <w:r w:rsidR="0007408D">
        <w:rPr>
          <w:rFonts w:ascii="Times New Roman" w:hAnsi="Times New Roman" w:cs="Times New Roman"/>
          <w:sz w:val="24"/>
          <w:szCs w:val="24"/>
        </w:rPr>
        <w:t>[52,53]</w:t>
      </w:r>
      <w:r w:rsidR="003C1DD4" w:rsidRPr="00393D99">
        <w:rPr>
          <w:rFonts w:ascii="Times New Roman" w:hAnsi="Times New Roman" w:cs="Times New Roman"/>
          <w:sz w:val="24"/>
          <w:szCs w:val="24"/>
        </w:rPr>
        <w:t xml:space="preserve">. The </w:t>
      </w:r>
      <w:r w:rsidR="00902A9B" w:rsidRPr="00393D99">
        <w:rPr>
          <w:rFonts w:ascii="Times New Roman" w:hAnsi="Times New Roman" w:cs="Times New Roman"/>
          <w:sz w:val="24"/>
          <w:szCs w:val="24"/>
        </w:rPr>
        <w:t xml:space="preserve">results of </w:t>
      </w:r>
      <w:r w:rsidR="003C1DD4" w:rsidRPr="00393D99">
        <w:rPr>
          <w:rFonts w:ascii="Times New Roman" w:hAnsi="Times New Roman" w:cs="Times New Roman"/>
          <w:sz w:val="24"/>
          <w:szCs w:val="24"/>
        </w:rPr>
        <w:t>ADF and KPSS test</w:t>
      </w:r>
      <w:r w:rsidR="00902A9B" w:rsidRPr="00393D99">
        <w:rPr>
          <w:rFonts w:ascii="Times New Roman" w:hAnsi="Times New Roman" w:cs="Times New Roman"/>
          <w:sz w:val="24"/>
          <w:szCs w:val="24"/>
        </w:rPr>
        <w:t>s</w:t>
      </w:r>
      <w:r w:rsidR="003C1DD4" w:rsidRPr="00393D99">
        <w:rPr>
          <w:rFonts w:ascii="Times New Roman" w:hAnsi="Times New Roman" w:cs="Times New Roman"/>
          <w:sz w:val="24"/>
          <w:szCs w:val="24"/>
        </w:rPr>
        <w:t xml:space="preserve"> confirm the sta</w:t>
      </w:r>
      <w:r w:rsidR="00DF2FB7" w:rsidRPr="00393D99">
        <w:rPr>
          <w:rFonts w:ascii="Times New Roman" w:hAnsi="Times New Roman" w:cs="Times New Roman"/>
          <w:sz w:val="24"/>
          <w:szCs w:val="24"/>
        </w:rPr>
        <w:t>tionarity</w:t>
      </w:r>
      <w:r w:rsidR="00714FBA" w:rsidRPr="00393D99">
        <w:rPr>
          <w:rFonts w:ascii="Times New Roman" w:hAnsi="Times New Roman" w:cs="Times New Roman"/>
          <w:sz w:val="24"/>
          <w:szCs w:val="24"/>
        </w:rPr>
        <w:t xml:space="preserve"> level</w:t>
      </w:r>
      <w:r w:rsidR="00DF2FB7" w:rsidRPr="00393D99">
        <w:rPr>
          <w:rFonts w:ascii="Times New Roman" w:hAnsi="Times New Roman" w:cs="Times New Roman"/>
          <w:sz w:val="24"/>
          <w:szCs w:val="24"/>
        </w:rPr>
        <w:t xml:space="preserve">, as </w:t>
      </w:r>
      <w:r w:rsidR="00331F7E" w:rsidRPr="00393D99">
        <w:rPr>
          <w:rFonts w:ascii="Times New Roman" w:hAnsi="Times New Roman" w:cs="Times New Roman"/>
          <w:sz w:val="24"/>
          <w:szCs w:val="24"/>
        </w:rPr>
        <w:t>presented</w:t>
      </w:r>
      <w:r w:rsidR="00DF2FB7" w:rsidRPr="00393D99">
        <w:rPr>
          <w:rFonts w:ascii="Times New Roman" w:hAnsi="Times New Roman" w:cs="Times New Roman"/>
          <w:sz w:val="24"/>
          <w:szCs w:val="24"/>
        </w:rPr>
        <w:t xml:space="preserve"> in Table </w:t>
      </w:r>
      <w:r w:rsidR="003C1DD4" w:rsidRPr="00393D99">
        <w:rPr>
          <w:rFonts w:ascii="Times New Roman" w:hAnsi="Times New Roman" w:cs="Times New Roman"/>
          <w:sz w:val="24"/>
          <w:szCs w:val="24"/>
        </w:rPr>
        <w:t xml:space="preserve">1. </w:t>
      </w:r>
      <w:r w:rsidR="00714FBA" w:rsidRPr="00393D99">
        <w:rPr>
          <w:rFonts w:ascii="Times New Roman" w:hAnsi="Times New Roman" w:cs="Times New Roman"/>
          <w:sz w:val="24"/>
          <w:szCs w:val="24"/>
        </w:rPr>
        <w:t>Our</w:t>
      </w:r>
      <w:r w:rsidR="003C1DD4" w:rsidRPr="00393D99">
        <w:rPr>
          <w:rFonts w:ascii="Times New Roman" w:hAnsi="Times New Roman" w:cs="Times New Roman"/>
          <w:sz w:val="24"/>
          <w:szCs w:val="24"/>
        </w:rPr>
        <w:t xml:space="preserve"> results show that the variables are not integrated </w:t>
      </w:r>
      <w:r w:rsidR="00714FBA" w:rsidRPr="00393D99">
        <w:rPr>
          <w:rFonts w:ascii="Times New Roman" w:hAnsi="Times New Roman" w:cs="Times New Roman"/>
          <w:sz w:val="24"/>
          <w:szCs w:val="24"/>
        </w:rPr>
        <w:t>at</w:t>
      </w:r>
      <w:r w:rsidR="00026866" w:rsidRPr="00393D99">
        <w:rPr>
          <w:rFonts w:ascii="Times New Roman" w:hAnsi="Times New Roman" w:cs="Times New Roman"/>
          <w:sz w:val="24"/>
          <w:szCs w:val="24"/>
        </w:rPr>
        <w:t xml:space="preserve"> </w:t>
      </w:r>
      <w:r w:rsidR="003C1DD4" w:rsidRPr="00393D99">
        <w:rPr>
          <w:rFonts w:ascii="Times New Roman" w:hAnsi="Times New Roman" w:cs="Times New Roman"/>
          <w:sz w:val="24"/>
          <w:szCs w:val="24"/>
        </w:rPr>
        <w:t xml:space="preserve">second </w:t>
      </w:r>
      <w:r w:rsidR="00714FBA" w:rsidRPr="00393D99">
        <w:rPr>
          <w:rFonts w:ascii="Times New Roman" w:hAnsi="Times New Roman" w:cs="Times New Roman"/>
          <w:sz w:val="24"/>
          <w:szCs w:val="24"/>
        </w:rPr>
        <w:t>order;</w:t>
      </w:r>
      <w:r w:rsidR="003C1DD4" w:rsidRPr="00393D99">
        <w:rPr>
          <w:rFonts w:ascii="Times New Roman" w:hAnsi="Times New Roman" w:cs="Times New Roman"/>
          <w:sz w:val="24"/>
          <w:szCs w:val="24"/>
        </w:rPr>
        <w:t xml:space="preserve"> </w:t>
      </w:r>
      <w:r w:rsidR="007F1C8F" w:rsidRPr="00393D99">
        <w:rPr>
          <w:rFonts w:ascii="Times New Roman" w:hAnsi="Times New Roman" w:cs="Times New Roman"/>
          <w:sz w:val="24"/>
          <w:szCs w:val="24"/>
        </w:rPr>
        <w:t xml:space="preserve">we can infer that </w:t>
      </w:r>
      <w:r w:rsidR="003C1DD4" w:rsidRPr="00393D99">
        <w:rPr>
          <w:rFonts w:ascii="Times New Roman" w:hAnsi="Times New Roman" w:cs="Times New Roman"/>
          <w:sz w:val="24"/>
          <w:szCs w:val="24"/>
        </w:rPr>
        <w:t>the ARDL technique is suitable for further analysis.</w:t>
      </w:r>
      <w:r w:rsidR="00293C35" w:rsidRPr="00393D99">
        <w:rPr>
          <w:rFonts w:ascii="Times New Roman" w:hAnsi="Times New Roman" w:cs="Times New Roman"/>
          <w:sz w:val="24"/>
          <w:szCs w:val="24"/>
        </w:rPr>
        <w:t xml:space="preserve"> </w:t>
      </w:r>
      <w:r w:rsidR="003C1DD4" w:rsidRPr="00393D99">
        <w:rPr>
          <w:rFonts w:ascii="Times New Roman" w:hAnsi="Times New Roman" w:cs="Times New Roman"/>
          <w:color w:val="000000"/>
          <w:sz w:val="24"/>
          <w:szCs w:val="24"/>
        </w:rPr>
        <w:t xml:space="preserve">The results in Table 1 </w:t>
      </w:r>
      <w:r w:rsidR="00D11DD6" w:rsidRPr="00393D99">
        <w:rPr>
          <w:rFonts w:ascii="Times New Roman" w:hAnsi="Times New Roman" w:cs="Times New Roman"/>
          <w:color w:val="000000"/>
          <w:sz w:val="24"/>
          <w:szCs w:val="24"/>
        </w:rPr>
        <w:t>show</w:t>
      </w:r>
      <w:r w:rsidR="003C1DD4" w:rsidRPr="00393D99">
        <w:rPr>
          <w:rFonts w:ascii="Times New Roman" w:hAnsi="Times New Roman" w:cs="Times New Roman"/>
          <w:color w:val="000000"/>
          <w:sz w:val="24"/>
          <w:szCs w:val="24"/>
        </w:rPr>
        <w:t xml:space="preserve"> that all variables are integrated</w:t>
      </w:r>
      <w:r w:rsidR="00D11DD6" w:rsidRPr="00393D99">
        <w:rPr>
          <w:rFonts w:ascii="Times New Roman" w:hAnsi="Times New Roman" w:cs="Times New Roman"/>
          <w:color w:val="000000"/>
          <w:sz w:val="24"/>
          <w:szCs w:val="24"/>
        </w:rPr>
        <w:t xml:space="preserve"> at first order</w:t>
      </w:r>
      <w:r w:rsidR="003C1DD4" w:rsidRPr="00393D99">
        <w:rPr>
          <w:rFonts w:ascii="Times New Roman" w:hAnsi="Times New Roman" w:cs="Times New Roman"/>
          <w:color w:val="000000"/>
          <w:sz w:val="24"/>
          <w:szCs w:val="24"/>
        </w:rPr>
        <w:t>, i.e.</w:t>
      </w:r>
      <w:r w:rsidR="00026866" w:rsidRPr="00393D99">
        <w:rPr>
          <w:rFonts w:ascii="Times New Roman" w:hAnsi="Times New Roman" w:cs="Times New Roman"/>
          <w:color w:val="000000"/>
          <w:sz w:val="24"/>
          <w:szCs w:val="24"/>
        </w:rPr>
        <w:t>,</w:t>
      </w:r>
      <w:r w:rsidR="003C1DD4" w:rsidRPr="00393D99">
        <w:rPr>
          <w:rFonts w:ascii="Times New Roman" w:hAnsi="Times New Roman" w:cs="Times New Roman"/>
          <w:color w:val="000000"/>
          <w:sz w:val="24"/>
          <w:szCs w:val="24"/>
        </w:rPr>
        <w:t xml:space="preserve"> </w:t>
      </w:r>
      <w:proofErr w:type="gramStart"/>
      <w:r w:rsidR="003C1DD4" w:rsidRPr="00393D99">
        <w:rPr>
          <w:rFonts w:ascii="Times New Roman" w:hAnsi="Times New Roman" w:cs="Times New Roman"/>
          <w:color w:val="000000"/>
          <w:sz w:val="24"/>
          <w:szCs w:val="24"/>
        </w:rPr>
        <w:t>I(</w:t>
      </w:r>
      <w:proofErr w:type="gramEnd"/>
      <w:r w:rsidR="003C1DD4" w:rsidRPr="00393D99">
        <w:rPr>
          <w:rFonts w:ascii="Times New Roman" w:hAnsi="Times New Roman" w:cs="Times New Roman"/>
          <w:color w:val="000000"/>
          <w:sz w:val="24"/>
          <w:szCs w:val="24"/>
        </w:rPr>
        <w:t>1), except OFDI and IQ</w:t>
      </w:r>
      <w:r w:rsidR="007F1C8F" w:rsidRPr="00393D99">
        <w:rPr>
          <w:rFonts w:ascii="Times New Roman" w:hAnsi="Times New Roman" w:cs="Times New Roman"/>
          <w:color w:val="000000"/>
          <w:sz w:val="24"/>
          <w:szCs w:val="24"/>
        </w:rPr>
        <w:t>,</w:t>
      </w:r>
      <w:r w:rsidR="003C1DD4" w:rsidRPr="00393D99">
        <w:rPr>
          <w:rFonts w:ascii="Times New Roman" w:hAnsi="Times New Roman" w:cs="Times New Roman"/>
          <w:color w:val="000000"/>
          <w:sz w:val="24"/>
          <w:szCs w:val="24"/>
        </w:rPr>
        <w:t xml:space="preserve"> which are integrated </w:t>
      </w:r>
      <w:r w:rsidR="00DF2FB7" w:rsidRPr="00393D99">
        <w:rPr>
          <w:rFonts w:ascii="Times New Roman" w:hAnsi="Times New Roman" w:cs="Times New Roman"/>
          <w:color w:val="000000"/>
          <w:sz w:val="24"/>
          <w:szCs w:val="24"/>
        </w:rPr>
        <w:t>at zero, i.e</w:t>
      </w:r>
      <w:r w:rsidR="008377A0" w:rsidRPr="00393D99">
        <w:rPr>
          <w:rFonts w:ascii="Times New Roman" w:hAnsi="Times New Roman" w:cs="Times New Roman"/>
          <w:color w:val="000000"/>
          <w:sz w:val="24"/>
          <w:szCs w:val="24"/>
        </w:rPr>
        <w:t>.</w:t>
      </w:r>
      <w:r w:rsidR="004A245A" w:rsidRPr="00393D99">
        <w:rPr>
          <w:rFonts w:ascii="Times New Roman" w:hAnsi="Times New Roman" w:cs="Times New Roman"/>
          <w:color w:val="000000"/>
          <w:sz w:val="24"/>
          <w:szCs w:val="24"/>
        </w:rPr>
        <w:t xml:space="preserve"> I(0).</w:t>
      </w:r>
    </w:p>
    <w:p w14:paraId="7D3C9DCE" w14:textId="77777777" w:rsidR="005F6E1B" w:rsidRPr="00393D99" w:rsidRDefault="004A245A" w:rsidP="00B7783C">
      <w:pPr>
        <w:snapToGrid w:val="0"/>
        <w:spacing w:after="120" w:line="480" w:lineRule="auto"/>
        <w:ind w:left="2160" w:firstLine="720"/>
        <w:jc w:val="both"/>
        <w:rPr>
          <w:rFonts w:ascii="Times New Roman" w:hAnsi="Times New Roman" w:cs="Times New Roman"/>
          <w:color w:val="000000"/>
          <w:sz w:val="24"/>
          <w:szCs w:val="24"/>
        </w:rPr>
      </w:pPr>
      <w:r w:rsidRPr="00393D99">
        <w:rPr>
          <w:rFonts w:ascii="Times New Roman" w:hAnsi="Times New Roman" w:cs="Times New Roman"/>
          <w:b/>
          <w:sz w:val="24"/>
          <w:szCs w:val="24"/>
        </w:rPr>
        <w:t>[Insert Table 1 here]</w:t>
      </w:r>
    </w:p>
    <w:p w14:paraId="197EE006" w14:textId="77777777" w:rsidR="00EE142E" w:rsidRPr="00393D99" w:rsidRDefault="00293C35" w:rsidP="00B7783C">
      <w:pPr>
        <w:snapToGrid w:val="0"/>
        <w:spacing w:after="0" w:line="480" w:lineRule="auto"/>
        <w:ind w:firstLine="720"/>
        <w:jc w:val="both"/>
        <w:rPr>
          <w:rFonts w:ascii="Times New Roman" w:hAnsi="Times New Roman" w:cs="Times New Roman"/>
          <w:color w:val="000000"/>
          <w:sz w:val="24"/>
          <w:szCs w:val="24"/>
        </w:rPr>
      </w:pPr>
      <w:r w:rsidRPr="00393D99">
        <w:rPr>
          <w:rFonts w:ascii="Times New Roman" w:hAnsi="Times New Roman" w:cs="Times New Roman"/>
          <w:sz w:val="24"/>
          <w:szCs w:val="24"/>
        </w:rPr>
        <w:t>Next, we perform the bound</w:t>
      </w:r>
      <w:r w:rsidR="007F1C8F" w:rsidRPr="00393D99">
        <w:rPr>
          <w:rFonts w:ascii="Times New Roman" w:hAnsi="Times New Roman" w:cs="Times New Roman"/>
          <w:sz w:val="24"/>
          <w:szCs w:val="24"/>
        </w:rPr>
        <w:t>s</w:t>
      </w:r>
      <w:r w:rsidRPr="00393D99">
        <w:rPr>
          <w:rFonts w:ascii="Times New Roman" w:hAnsi="Times New Roman" w:cs="Times New Roman"/>
          <w:sz w:val="24"/>
          <w:szCs w:val="24"/>
        </w:rPr>
        <w:t xml:space="preserve"> test analysis, where we check the </w:t>
      </w:r>
      <w:r w:rsidR="00A620AF" w:rsidRPr="00393D99">
        <w:rPr>
          <w:rFonts w:ascii="Times New Roman" w:hAnsi="Times New Roman" w:cs="Times New Roman"/>
          <w:sz w:val="24"/>
          <w:szCs w:val="24"/>
        </w:rPr>
        <w:t xml:space="preserve">value of </w:t>
      </w:r>
      <w:r w:rsidRPr="00393D99">
        <w:rPr>
          <w:rFonts w:ascii="Times New Roman" w:hAnsi="Times New Roman" w:cs="Times New Roman"/>
          <w:sz w:val="24"/>
          <w:szCs w:val="24"/>
        </w:rPr>
        <w:t>F</w:t>
      </w:r>
      <w:r w:rsidR="00D11DD6" w:rsidRPr="00393D99">
        <w:rPr>
          <w:rFonts w:ascii="Times New Roman" w:hAnsi="Times New Roman" w:cs="Times New Roman"/>
          <w:sz w:val="24"/>
          <w:szCs w:val="24"/>
        </w:rPr>
        <w:t>-</w:t>
      </w:r>
      <w:r w:rsidRPr="00393D99">
        <w:rPr>
          <w:rFonts w:ascii="Times New Roman" w:hAnsi="Times New Roman" w:cs="Times New Roman"/>
          <w:sz w:val="24"/>
          <w:szCs w:val="24"/>
        </w:rPr>
        <w:t xml:space="preserve">statistics to </w:t>
      </w:r>
      <w:r w:rsidR="00A272F6" w:rsidRPr="00393D99">
        <w:rPr>
          <w:rFonts w:ascii="Times New Roman" w:hAnsi="Times New Roman" w:cs="Times New Roman"/>
          <w:sz w:val="24"/>
          <w:szCs w:val="24"/>
        </w:rPr>
        <w:t>check</w:t>
      </w:r>
      <w:r w:rsidRPr="00393D99">
        <w:rPr>
          <w:rFonts w:ascii="Times New Roman" w:hAnsi="Times New Roman" w:cs="Times New Roman"/>
          <w:sz w:val="24"/>
          <w:szCs w:val="24"/>
        </w:rPr>
        <w:t xml:space="preserve"> the </w:t>
      </w:r>
      <w:r w:rsidR="00D11DD6" w:rsidRPr="00393D99">
        <w:rPr>
          <w:rFonts w:ascii="Times New Roman" w:hAnsi="Times New Roman" w:cs="Times New Roman"/>
          <w:sz w:val="24"/>
          <w:szCs w:val="24"/>
        </w:rPr>
        <w:t>existence</w:t>
      </w:r>
      <w:r w:rsidRPr="00393D99">
        <w:rPr>
          <w:rFonts w:ascii="Times New Roman" w:hAnsi="Times New Roman" w:cs="Times New Roman"/>
          <w:sz w:val="24"/>
          <w:szCs w:val="24"/>
        </w:rPr>
        <w:t xml:space="preserve"> or </w:t>
      </w:r>
      <w:r w:rsidR="00D11DD6" w:rsidRPr="00393D99">
        <w:rPr>
          <w:rFonts w:ascii="Times New Roman" w:hAnsi="Times New Roman" w:cs="Times New Roman"/>
          <w:sz w:val="24"/>
          <w:szCs w:val="24"/>
        </w:rPr>
        <w:t>non-existence</w:t>
      </w:r>
      <w:r w:rsidRPr="00393D99">
        <w:rPr>
          <w:rFonts w:ascii="Times New Roman" w:hAnsi="Times New Roman" w:cs="Times New Roman"/>
          <w:sz w:val="24"/>
          <w:szCs w:val="24"/>
        </w:rPr>
        <w:t xml:space="preserve"> of </w:t>
      </w:r>
      <w:r w:rsidR="00026866" w:rsidRPr="00393D99">
        <w:rPr>
          <w:rFonts w:ascii="Times New Roman" w:hAnsi="Times New Roman" w:cs="Times New Roman"/>
          <w:sz w:val="24"/>
          <w:szCs w:val="24"/>
        </w:rPr>
        <w:t xml:space="preserve">the </w:t>
      </w:r>
      <w:r w:rsidRPr="00393D99">
        <w:rPr>
          <w:rFonts w:ascii="Times New Roman" w:hAnsi="Times New Roman" w:cs="Times New Roman"/>
          <w:sz w:val="24"/>
          <w:szCs w:val="24"/>
        </w:rPr>
        <w:t xml:space="preserve">long-run relationship. The first order of integration </w:t>
      </w:r>
      <w:r w:rsidR="00A272F6" w:rsidRPr="00393D99">
        <w:rPr>
          <w:rFonts w:ascii="Times New Roman" w:hAnsi="Times New Roman" w:cs="Times New Roman"/>
          <w:sz w:val="24"/>
          <w:szCs w:val="24"/>
        </w:rPr>
        <w:t>proposes</w:t>
      </w:r>
      <w:r w:rsidRPr="00393D99">
        <w:rPr>
          <w:rFonts w:ascii="Times New Roman" w:hAnsi="Times New Roman" w:cs="Times New Roman"/>
          <w:sz w:val="24"/>
          <w:szCs w:val="24"/>
        </w:rPr>
        <w:t xml:space="preserve"> applying bound</w:t>
      </w:r>
      <w:r w:rsidR="007F1C8F" w:rsidRPr="00393D99">
        <w:rPr>
          <w:rFonts w:ascii="Times New Roman" w:hAnsi="Times New Roman" w:cs="Times New Roman"/>
          <w:sz w:val="24"/>
          <w:szCs w:val="24"/>
        </w:rPr>
        <w:t>s</w:t>
      </w:r>
      <w:r w:rsidRPr="00393D99">
        <w:rPr>
          <w:rFonts w:ascii="Times New Roman" w:hAnsi="Times New Roman" w:cs="Times New Roman"/>
          <w:sz w:val="24"/>
          <w:szCs w:val="24"/>
        </w:rPr>
        <w:t xml:space="preserve"> test. The result</w:t>
      </w:r>
      <w:r w:rsidR="007F1C8F" w:rsidRPr="00393D99">
        <w:rPr>
          <w:rFonts w:ascii="Times New Roman" w:hAnsi="Times New Roman" w:cs="Times New Roman"/>
          <w:sz w:val="24"/>
          <w:szCs w:val="24"/>
        </w:rPr>
        <w:t>s</w:t>
      </w:r>
      <w:r w:rsidRPr="00393D99">
        <w:rPr>
          <w:rFonts w:ascii="Times New Roman" w:hAnsi="Times New Roman" w:cs="Times New Roman"/>
          <w:sz w:val="24"/>
          <w:szCs w:val="24"/>
        </w:rPr>
        <w:t xml:space="preserve"> of the bound</w:t>
      </w:r>
      <w:r w:rsidR="007F1C8F" w:rsidRPr="00393D99">
        <w:rPr>
          <w:rFonts w:ascii="Times New Roman" w:hAnsi="Times New Roman" w:cs="Times New Roman"/>
          <w:sz w:val="24"/>
          <w:szCs w:val="24"/>
        </w:rPr>
        <w:t>s</w:t>
      </w:r>
      <w:r w:rsidRPr="00393D99">
        <w:rPr>
          <w:rFonts w:ascii="Times New Roman" w:hAnsi="Times New Roman" w:cs="Times New Roman"/>
          <w:sz w:val="24"/>
          <w:szCs w:val="24"/>
        </w:rPr>
        <w:t xml:space="preserve"> testing</w:t>
      </w:r>
      <w:r w:rsidR="007F1C8F" w:rsidRPr="00393D99">
        <w:rPr>
          <w:rFonts w:ascii="Times New Roman" w:hAnsi="Times New Roman" w:cs="Times New Roman"/>
          <w:sz w:val="24"/>
          <w:szCs w:val="24"/>
        </w:rPr>
        <w:t xml:space="preserve">, as </w:t>
      </w:r>
      <w:r w:rsidR="00BE0518" w:rsidRPr="00393D99">
        <w:rPr>
          <w:rFonts w:ascii="Times New Roman" w:hAnsi="Times New Roman" w:cs="Times New Roman"/>
          <w:sz w:val="24"/>
          <w:szCs w:val="24"/>
        </w:rPr>
        <w:t xml:space="preserve">presented </w:t>
      </w:r>
      <w:r w:rsidRPr="00393D99">
        <w:rPr>
          <w:rFonts w:ascii="Times New Roman" w:hAnsi="Times New Roman" w:cs="Times New Roman"/>
          <w:sz w:val="24"/>
          <w:szCs w:val="24"/>
        </w:rPr>
        <w:t>in Table 2</w:t>
      </w:r>
      <w:r w:rsidR="007F1C8F" w:rsidRPr="00393D99">
        <w:rPr>
          <w:rFonts w:ascii="Times New Roman" w:hAnsi="Times New Roman" w:cs="Times New Roman"/>
          <w:sz w:val="24"/>
          <w:szCs w:val="24"/>
        </w:rPr>
        <w:t>,</w:t>
      </w:r>
      <w:r w:rsidRPr="00393D99">
        <w:rPr>
          <w:rFonts w:ascii="Times New Roman" w:hAnsi="Times New Roman" w:cs="Times New Roman"/>
          <w:sz w:val="24"/>
          <w:szCs w:val="24"/>
        </w:rPr>
        <w:t xml:space="preserve"> demonstrate that the values of </w:t>
      </w:r>
      <w:r w:rsidRPr="00393D99">
        <w:rPr>
          <w:rFonts w:ascii="Times New Roman" w:hAnsi="Times New Roman" w:cs="Times New Roman"/>
          <w:color w:val="000000"/>
          <w:sz w:val="24"/>
          <w:szCs w:val="24"/>
        </w:rPr>
        <w:t>F-statistics</w:t>
      </w:r>
      <w:r w:rsidRPr="00393D99">
        <w:rPr>
          <w:rFonts w:ascii="Times New Roman" w:hAnsi="Times New Roman" w:cs="Times New Roman"/>
          <w:sz w:val="24"/>
          <w:szCs w:val="24"/>
        </w:rPr>
        <w:t xml:space="preserve"> </w:t>
      </w:r>
      <w:r w:rsidRPr="00393D99">
        <w:rPr>
          <w:rFonts w:ascii="Times New Roman" w:hAnsi="Times New Roman" w:cs="Times New Roman"/>
          <w:color w:val="000000"/>
          <w:sz w:val="24"/>
          <w:szCs w:val="24"/>
        </w:rPr>
        <w:t xml:space="preserve">are 4.569, 5.985, and 5.613, respectively, </w:t>
      </w:r>
      <w:r w:rsidR="00331F7E" w:rsidRPr="00393D99">
        <w:rPr>
          <w:rFonts w:ascii="Times New Roman" w:hAnsi="Times New Roman" w:cs="Times New Roman"/>
          <w:color w:val="000000"/>
          <w:sz w:val="24"/>
          <w:szCs w:val="24"/>
        </w:rPr>
        <w:t>that</w:t>
      </w:r>
      <w:r w:rsidRPr="00393D99">
        <w:rPr>
          <w:rFonts w:ascii="Times New Roman" w:hAnsi="Times New Roman" w:cs="Times New Roman"/>
          <w:color w:val="000000"/>
          <w:sz w:val="24"/>
          <w:szCs w:val="24"/>
        </w:rPr>
        <w:t xml:space="preserve"> exceed th</w:t>
      </w:r>
      <w:r w:rsidR="00A272F6" w:rsidRPr="00393D99">
        <w:rPr>
          <w:rFonts w:ascii="Times New Roman" w:hAnsi="Times New Roman" w:cs="Times New Roman"/>
          <w:color w:val="000000"/>
          <w:sz w:val="24"/>
          <w:szCs w:val="24"/>
        </w:rPr>
        <w:t xml:space="preserve">e upper critical values at 1% </w:t>
      </w:r>
      <w:r w:rsidR="00331F7E" w:rsidRPr="00393D99">
        <w:rPr>
          <w:rFonts w:ascii="Times New Roman" w:hAnsi="Times New Roman" w:cs="Times New Roman"/>
          <w:color w:val="000000"/>
          <w:sz w:val="24"/>
          <w:szCs w:val="24"/>
        </w:rPr>
        <w:t xml:space="preserve">significance </w:t>
      </w:r>
      <w:r w:rsidRPr="00393D99">
        <w:rPr>
          <w:rFonts w:ascii="Times New Roman" w:hAnsi="Times New Roman" w:cs="Times New Roman"/>
          <w:color w:val="000000"/>
          <w:sz w:val="24"/>
          <w:szCs w:val="24"/>
        </w:rPr>
        <w:t>level. The results confirm the presence of a stable long-run relationship among variables.</w:t>
      </w:r>
    </w:p>
    <w:p w14:paraId="33650725" w14:textId="77777777" w:rsidR="004A245A" w:rsidRPr="00393D99" w:rsidRDefault="004A245A" w:rsidP="00393D99">
      <w:pPr>
        <w:snapToGrid w:val="0"/>
        <w:spacing w:after="120" w:line="480" w:lineRule="auto"/>
        <w:ind w:left="2160" w:firstLine="720"/>
        <w:jc w:val="both"/>
        <w:rPr>
          <w:rFonts w:ascii="Times New Roman" w:hAnsi="Times New Roman" w:cs="Times New Roman"/>
          <w:color w:val="000000"/>
          <w:sz w:val="24"/>
          <w:szCs w:val="24"/>
        </w:rPr>
      </w:pPr>
      <w:r w:rsidRPr="00393D99">
        <w:rPr>
          <w:rFonts w:ascii="Times New Roman" w:hAnsi="Times New Roman" w:cs="Times New Roman"/>
          <w:b/>
          <w:sz w:val="24"/>
          <w:szCs w:val="24"/>
        </w:rPr>
        <w:t>[Insert Table 2 here]</w:t>
      </w:r>
    </w:p>
    <w:p w14:paraId="45CFDC6D" w14:textId="77777777" w:rsidR="00B7783C" w:rsidRDefault="00EE142E" w:rsidP="00B7783C">
      <w:pPr>
        <w:snapToGrid w:val="0"/>
        <w:spacing w:after="0" w:line="480" w:lineRule="auto"/>
        <w:ind w:firstLine="720"/>
        <w:jc w:val="both"/>
        <w:rPr>
          <w:rFonts w:ascii="Times New Roman" w:hAnsi="Times New Roman" w:cs="Times New Roman"/>
          <w:color w:val="000000"/>
          <w:sz w:val="24"/>
          <w:szCs w:val="24"/>
        </w:rPr>
      </w:pPr>
      <w:r w:rsidRPr="00393D99">
        <w:rPr>
          <w:rFonts w:ascii="Times New Roman" w:hAnsi="Times New Roman" w:cs="Times New Roman"/>
          <w:color w:val="000000"/>
          <w:sz w:val="24"/>
          <w:szCs w:val="24"/>
        </w:rPr>
        <w:lastRenderedPageBreak/>
        <w:t>The long-</w:t>
      </w:r>
      <w:r w:rsidRPr="00393D99">
        <w:rPr>
          <w:rFonts w:ascii="Times New Roman" w:hAnsi="Times New Roman" w:cs="Times New Roman"/>
          <w:sz w:val="24"/>
          <w:szCs w:val="24"/>
        </w:rPr>
        <w:t>run</w:t>
      </w:r>
      <w:r w:rsidRPr="00393D99">
        <w:rPr>
          <w:rFonts w:ascii="Times New Roman" w:hAnsi="Times New Roman" w:cs="Times New Roman"/>
          <w:color w:val="000000"/>
          <w:sz w:val="24"/>
          <w:szCs w:val="24"/>
        </w:rPr>
        <w:t xml:space="preserve"> parameters of </w:t>
      </w:r>
      <w:r w:rsidR="00BD3FFF" w:rsidRPr="00393D99">
        <w:rPr>
          <w:rFonts w:ascii="Times New Roman" w:hAnsi="Times New Roman" w:cs="Times New Roman"/>
          <w:color w:val="000000"/>
          <w:sz w:val="24"/>
          <w:szCs w:val="24"/>
        </w:rPr>
        <w:t>N</w:t>
      </w:r>
      <w:r w:rsidRPr="00393D99">
        <w:rPr>
          <w:rFonts w:ascii="Times New Roman" w:hAnsi="Times New Roman" w:cs="Times New Roman"/>
          <w:color w:val="000000"/>
          <w:sz w:val="24"/>
          <w:szCs w:val="24"/>
        </w:rPr>
        <w:t xml:space="preserve">ARDL models are presented in Table 3. </w:t>
      </w:r>
      <w:r w:rsidR="00110973" w:rsidRPr="00393D99">
        <w:rPr>
          <w:rFonts w:ascii="Times New Roman" w:hAnsi="Times New Roman" w:cs="Times New Roman"/>
          <w:sz w:val="24"/>
          <w:szCs w:val="24"/>
        </w:rPr>
        <w:t>The asymmetr</w:t>
      </w:r>
      <w:r w:rsidR="00054FC1" w:rsidRPr="00393D99">
        <w:rPr>
          <w:rFonts w:ascii="Times New Roman" w:hAnsi="Times New Roman" w:cs="Times New Roman"/>
          <w:sz w:val="24"/>
          <w:szCs w:val="24"/>
        </w:rPr>
        <w:t>ical</w:t>
      </w:r>
      <w:r w:rsidR="00110973" w:rsidRPr="00393D99">
        <w:rPr>
          <w:rFonts w:ascii="Times New Roman" w:hAnsi="Times New Roman" w:cs="Times New Roman"/>
          <w:sz w:val="24"/>
          <w:szCs w:val="24"/>
        </w:rPr>
        <w:t xml:space="preserve"> effects can be observed from the positive and negative partial sum of OFDI</w:t>
      </w:r>
      <w:r w:rsidR="00026866" w:rsidRPr="00393D99">
        <w:rPr>
          <w:rFonts w:ascii="Times New Roman" w:hAnsi="Times New Roman" w:cs="Times New Roman"/>
          <w:sz w:val="24"/>
          <w:szCs w:val="24"/>
        </w:rPr>
        <w:t>,</w:t>
      </w:r>
      <w:r w:rsidR="00110973" w:rsidRPr="00393D99">
        <w:rPr>
          <w:rFonts w:ascii="Times New Roman" w:hAnsi="Times New Roman" w:cs="Times New Roman"/>
          <w:sz w:val="24"/>
          <w:szCs w:val="24"/>
        </w:rPr>
        <w:t xml:space="preserve"> i.e.</w:t>
      </w:r>
      <w:r w:rsidR="004005A4" w:rsidRPr="00393D99">
        <w:rPr>
          <w:rFonts w:ascii="Times New Roman" w:hAnsi="Times New Roman" w:cs="Times New Roman"/>
          <w:sz w:val="24"/>
          <w:szCs w:val="24"/>
        </w:rPr>
        <w:t>,</w:t>
      </w:r>
      <w:r w:rsidR="00110973" w:rsidRPr="00393D99">
        <w:rPr>
          <w:rFonts w:ascii="Times New Roman" w:hAnsi="Times New Roman" w:cs="Times New Roman"/>
          <w:sz w:val="24"/>
          <w:szCs w:val="24"/>
        </w:rPr>
        <w:t xml:space="preserve"> OFDI</w:t>
      </w:r>
      <w:r w:rsidR="00110973" w:rsidRPr="00393D99">
        <w:rPr>
          <w:rFonts w:ascii="Times New Roman" w:hAnsi="Times New Roman" w:cs="Times New Roman"/>
          <w:sz w:val="24"/>
          <w:szCs w:val="24"/>
          <w:vertAlign w:val="superscript"/>
        </w:rPr>
        <w:t>+</w:t>
      </w:r>
      <w:r w:rsidR="00110973" w:rsidRPr="00393D99">
        <w:rPr>
          <w:rFonts w:ascii="Times New Roman" w:hAnsi="Times New Roman" w:cs="Times New Roman"/>
          <w:sz w:val="24"/>
          <w:szCs w:val="24"/>
        </w:rPr>
        <w:t xml:space="preserve"> and OFDI</w:t>
      </w:r>
      <w:r w:rsidR="00110973" w:rsidRPr="00393D99">
        <w:rPr>
          <w:rFonts w:ascii="Times New Roman" w:hAnsi="Times New Roman" w:cs="Times New Roman"/>
          <w:sz w:val="24"/>
          <w:szCs w:val="24"/>
          <w:vertAlign w:val="superscript"/>
        </w:rPr>
        <w:t>-</w:t>
      </w:r>
      <w:r w:rsidR="00110973" w:rsidRPr="00393D99">
        <w:rPr>
          <w:rFonts w:ascii="Times New Roman" w:hAnsi="Times New Roman" w:cs="Times New Roman"/>
          <w:sz w:val="24"/>
          <w:szCs w:val="24"/>
        </w:rPr>
        <w:t xml:space="preserve"> </w:t>
      </w:r>
      <w:r w:rsidR="0007408D">
        <w:rPr>
          <w:rFonts w:ascii="Times New Roman" w:hAnsi="Times New Roman" w:cs="Times New Roman"/>
          <w:sz w:val="24"/>
          <w:szCs w:val="24"/>
        </w:rPr>
        <w:t>[49]</w:t>
      </w:r>
      <w:r w:rsidR="00110973" w:rsidRPr="00393D99">
        <w:rPr>
          <w:rFonts w:ascii="Times New Roman" w:hAnsi="Times New Roman" w:cs="Times New Roman"/>
          <w:sz w:val="24"/>
          <w:szCs w:val="24"/>
        </w:rPr>
        <w:t>. In our analysis, both OFDI</w:t>
      </w:r>
      <w:r w:rsidR="00110973" w:rsidRPr="00393D99">
        <w:rPr>
          <w:rFonts w:ascii="Times New Roman" w:hAnsi="Times New Roman" w:cs="Times New Roman"/>
          <w:sz w:val="24"/>
          <w:szCs w:val="24"/>
          <w:vertAlign w:val="superscript"/>
        </w:rPr>
        <w:t>+</w:t>
      </w:r>
      <w:r w:rsidR="00110973" w:rsidRPr="00393D99">
        <w:rPr>
          <w:rFonts w:ascii="Times New Roman" w:hAnsi="Times New Roman" w:cs="Times New Roman"/>
          <w:sz w:val="24"/>
          <w:szCs w:val="24"/>
        </w:rPr>
        <w:t xml:space="preserve"> and OFDI</w:t>
      </w:r>
      <w:r w:rsidR="00110973" w:rsidRPr="00393D99">
        <w:rPr>
          <w:rFonts w:ascii="Times New Roman" w:hAnsi="Times New Roman" w:cs="Times New Roman"/>
          <w:sz w:val="24"/>
          <w:szCs w:val="24"/>
          <w:vertAlign w:val="superscript"/>
        </w:rPr>
        <w:t xml:space="preserve">- </w:t>
      </w:r>
      <w:r w:rsidR="0007408D" w:rsidRPr="00393D99">
        <w:rPr>
          <w:rFonts w:ascii="Times New Roman" w:hAnsi="Times New Roman" w:cs="Times New Roman"/>
          <w:sz w:val="24"/>
          <w:szCs w:val="24"/>
        </w:rPr>
        <w:t>seem</w:t>
      </w:r>
      <w:r w:rsidR="00110973" w:rsidRPr="00393D99">
        <w:rPr>
          <w:rFonts w:ascii="Times New Roman" w:hAnsi="Times New Roman" w:cs="Times New Roman"/>
          <w:sz w:val="24"/>
          <w:szCs w:val="24"/>
        </w:rPr>
        <w:t xml:space="preserve"> to be highly significant with </w:t>
      </w:r>
      <w:r w:rsidR="00250A73" w:rsidRPr="00393D99">
        <w:rPr>
          <w:rFonts w:ascii="Times New Roman" w:hAnsi="Times New Roman" w:cs="Times New Roman"/>
          <w:sz w:val="24"/>
          <w:szCs w:val="24"/>
        </w:rPr>
        <w:t>opposite</w:t>
      </w:r>
      <w:r w:rsidR="00110973" w:rsidRPr="00393D99">
        <w:rPr>
          <w:rFonts w:ascii="Times New Roman" w:hAnsi="Times New Roman" w:cs="Times New Roman"/>
          <w:sz w:val="24"/>
          <w:szCs w:val="24"/>
        </w:rPr>
        <w:t xml:space="preserve"> signs, suggesting that </w:t>
      </w:r>
      <w:r w:rsidR="00250A73" w:rsidRPr="00393D99">
        <w:rPr>
          <w:rFonts w:ascii="Times New Roman" w:hAnsi="Times New Roman" w:cs="Times New Roman"/>
          <w:sz w:val="24"/>
          <w:szCs w:val="24"/>
        </w:rPr>
        <w:t xml:space="preserve">both </w:t>
      </w:r>
      <w:r w:rsidR="00110973" w:rsidRPr="00393D99">
        <w:rPr>
          <w:rFonts w:ascii="Times New Roman" w:hAnsi="Times New Roman" w:cs="Times New Roman"/>
          <w:sz w:val="24"/>
          <w:szCs w:val="24"/>
        </w:rPr>
        <w:t xml:space="preserve">an increase and </w:t>
      </w:r>
      <w:r w:rsidR="00250A73" w:rsidRPr="00393D99">
        <w:rPr>
          <w:rFonts w:ascii="Times New Roman" w:hAnsi="Times New Roman" w:cs="Times New Roman"/>
          <w:sz w:val="24"/>
          <w:szCs w:val="24"/>
        </w:rPr>
        <w:t xml:space="preserve">a </w:t>
      </w:r>
      <w:r w:rsidR="00110973" w:rsidRPr="00393D99">
        <w:rPr>
          <w:rFonts w:ascii="Times New Roman" w:hAnsi="Times New Roman" w:cs="Times New Roman"/>
          <w:sz w:val="24"/>
          <w:szCs w:val="24"/>
        </w:rPr>
        <w:t xml:space="preserve">decrease in OFDI has </w:t>
      </w:r>
      <w:r w:rsidR="00026866" w:rsidRPr="00393D99">
        <w:rPr>
          <w:rFonts w:ascii="Times New Roman" w:hAnsi="Times New Roman" w:cs="Times New Roman"/>
          <w:sz w:val="24"/>
          <w:szCs w:val="24"/>
        </w:rPr>
        <w:t xml:space="preserve">a </w:t>
      </w:r>
      <w:r w:rsidR="00110973" w:rsidRPr="00393D99">
        <w:rPr>
          <w:rFonts w:ascii="Times New Roman" w:hAnsi="Times New Roman" w:cs="Times New Roman"/>
          <w:sz w:val="24"/>
          <w:szCs w:val="24"/>
        </w:rPr>
        <w:t xml:space="preserve">different </w:t>
      </w:r>
      <w:r w:rsidR="00A272F6" w:rsidRPr="00393D99">
        <w:rPr>
          <w:rFonts w:ascii="Times New Roman" w:hAnsi="Times New Roman" w:cs="Times New Roman"/>
          <w:sz w:val="24"/>
          <w:szCs w:val="24"/>
        </w:rPr>
        <w:t>influence</w:t>
      </w:r>
      <w:r w:rsidR="00110973" w:rsidRPr="00393D99">
        <w:rPr>
          <w:rFonts w:ascii="Times New Roman" w:hAnsi="Times New Roman" w:cs="Times New Roman"/>
          <w:sz w:val="24"/>
          <w:szCs w:val="24"/>
        </w:rPr>
        <w:t xml:space="preserve"> on economic growth. </w:t>
      </w:r>
      <w:r w:rsidR="00054FC1" w:rsidRPr="00393D99">
        <w:rPr>
          <w:rFonts w:ascii="Times New Roman" w:hAnsi="Times New Roman" w:cs="Times New Roman"/>
          <w:sz w:val="24"/>
          <w:szCs w:val="24"/>
        </w:rPr>
        <w:t xml:space="preserve">The coefficient of increase </w:t>
      </w:r>
      <w:r w:rsidR="00054FC1" w:rsidRPr="00393D99">
        <w:rPr>
          <w:rFonts w:ascii="Times New Roman" w:hAnsi="Times New Roman" w:cs="Times New Roman"/>
          <w:color w:val="000000"/>
          <w:sz w:val="24"/>
          <w:szCs w:val="24"/>
        </w:rPr>
        <w:t>in OFDI (OFDI</w:t>
      </w:r>
      <w:r w:rsidR="00054FC1" w:rsidRPr="00393D99">
        <w:rPr>
          <w:rFonts w:ascii="Times New Roman" w:hAnsi="Times New Roman" w:cs="Times New Roman"/>
          <w:color w:val="000000"/>
          <w:sz w:val="24"/>
          <w:szCs w:val="24"/>
          <w:vertAlign w:val="superscript"/>
        </w:rPr>
        <w:t>+</w:t>
      </w:r>
      <w:r w:rsidR="00054FC1" w:rsidRPr="00393D99">
        <w:rPr>
          <w:rFonts w:ascii="Times New Roman" w:hAnsi="Times New Roman" w:cs="Times New Roman"/>
          <w:color w:val="000000"/>
          <w:sz w:val="24"/>
          <w:szCs w:val="24"/>
        </w:rPr>
        <w:t xml:space="preserve">) </w:t>
      </w:r>
      <w:r w:rsidRPr="00393D99">
        <w:rPr>
          <w:rFonts w:ascii="Times New Roman" w:hAnsi="Times New Roman" w:cs="Times New Roman"/>
          <w:color w:val="000000"/>
          <w:sz w:val="24"/>
          <w:szCs w:val="24"/>
        </w:rPr>
        <w:t>indicate</w:t>
      </w:r>
      <w:r w:rsidR="00054FC1" w:rsidRPr="00393D99">
        <w:rPr>
          <w:rFonts w:ascii="Times New Roman" w:hAnsi="Times New Roman" w:cs="Times New Roman"/>
          <w:color w:val="000000"/>
          <w:sz w:val="24"/>
          <w:szCs w:val="24"/>
        </w:rPr>
        <w:t>s</w:t>
      </w:r>
      <w:r w:rsidRPr="00393D99">
        <w:rPr>
          <w:rFonts w:ascii="Times New Roman" w:hAnsi="Times New Roman" w:cs="Times New Roman"/>
          <w:color w:val="000000"/>
          <w:sz w:val="24"/>
          <w:szCs w:val="24"/>
        </w:rPr>
        <w:t xml:space="preserve"> that OFDI has a positive and significant relationship with economic growth in the long-run across all three models. These results are consistent with new growth theories, according to which overseas investment can benefit the </w:t>
      </w:r>
      <w:r w:rsidR="00A272F6" w:rsidRPr="00393D99">
        <w:rPr>
          <w:rFonts w:ascii="Times New Roman" w:hAnsi="Times New Roman" w:cs="Times New Roman"/>
          <w:color w:val="000000"/>
          <w:sz w:val="24"/>
          <w:szCs w:val="24"/>
        </w:rPr>
        <w:t>home country</w:t>
      </w:r>
      <w:r w:rsidRPr="00393D99">
        <w:rPr>
          <w:rFonts w:ascii="Times New Roman" w:hAnsi="Times New Roman" w:cs="Times New Roman"/>
          <w:color w:val="000000"/>
          <w:sz w:val="24"/>
          <w:szCs w:val="24"/>
        </w:rPr>
        <w:t xml:space="preserve"> through technology transfer in foreign markets, as well as through their positive spillovers to </w:t>
      </w:r>
      <w:r w:rsidR="00331F7E" w:rsidRPr="00393D99">
        <w:rPr>
          <w:rFonts w:ascii="Times New Roman" w:hAnsi="Times New Roman" w:cs="Times New Roman"/>
          <w:color w:val="000000"/>
          <w:sz w:val="24"/>
          <w:szCs w:val="24"/>
        </w:rPr>
        <w:t>local</w:t>
      </w:r>
      <w:r w:rsidRPr="00393D99">
        <w:rPr>
          <w:rFonts w:ascii="Times New Roman" w:hAnsi="Times New Roman" w:cs="Times New Roman"/>
          <w:color w:val="000000"/>
          <w:sz w:val="24"/>
          <w:szCs w:val="24"/>
        </w:rPr>
        <w:t xml:space="preserve"> firms, thereby </w:t>
      </w:r>
      <w:r w:rsidR="00A272F6" w:rsidRPr="00393D99">
        <w:rPr>
          <w:rFonts w:ascii="Times New Roman" w:hAnsi="Times New Roman" w:cs="Times New Roman"/>
          <w:color w:val="000000"/>
          <w:sz w:val="24"/>
          <w:szCs w:val="24"/>
        </w:rPr>
        <w:t xml:space="preserve">stimulates </w:t>
      </w:r>
      <w:r w:rsidR="00035E06" w:rsidRPr="00393D99">
        <w:rPr>
          <w:rFonts w:ascii="Times New Roman" w:hAnsi="Times New Roman" w:cs="Times New Roman"/>
          <w:color w:val="000000"/>
          <w:sz w:val="24"/>
          <w:szCs w:val="24"/>
        </w:rPr>
        <w:t xml:space="preserve">economic growth </w:t>
      </w:r>
      <w:r w:rsidR="0007408D">
        <w:rPr>
          <w:rFonts w:ascii="Times New Roman" w:hAnsi="Times New Roman" w:cs="Times New Roman"/>
          <w:color w:val="000000"/>
          <w:sz w:val="24"/>
          <w:szCs w:val="24"/>
        </w:rPr>
        <w:t>[1,6]</w:t>
      </w:r>
      <w:r w:rsidRPr="00393D99">
        <w:rPr>
          <w:rFonts w:ascii="Times New Roman" w:hAnsi="Times New Roman" w:cs="Times New Roman"/>
          <w:color w:val="000000"/>
          <w:sz w:val="24"/>
          <w:szCs w:val="24"/>
        </w:rPr>
        <w:t xml:space="preserve">. It is evident from the results that </w:t>
      </w:r>
      <w:r w:rsidR="00026866" w:rsidRPr="00393D99">
        <w:rPr>
          <w:rFonts w:ascii="Times New Roman" w:hAnsi="Times New Roman" w:cs="Times New Roman"/>
          <w:color w:val="000000"/>
          <w:sz w:val="24"/>
          <w:szCs w:val="24"/>
        </w:rPr>
        <w:t xml:space="preserve">a </w:t>
      </w:r>
      <w:r w:rsidRPr="00393D99">
        <w:rPr>
          <w:rFonts w:ascii="Times New Roman" w:hAnsi="Times New Roman" w:cs="Times New Roman"/>
          <w:color w:val="000000"/>
          <w:sz w:val="24"/>
          <w:szCs w:val="24"/>
        </w:rPr>
        <w:t xml:space="preserve">1% </w:t>
      </w:r>
      <w:r w:rsidR="0007408D" w:rsidRPr="00393D99">
        <w:rPr>
          <w:rFonts w:ascii="Times New Roman" w:hAnsi="Times New Roman" w:cs="Times New Roman"/>
          <w:color w:val="000000"/>
          <w:sz w:val="24"/>
          <w:szCs w:val="24"/>
        </w:rPr>
        <w:t>increases</w:t>
      </w:r>
      <w:r w:rsidRPr="00393D99">
        <w:rPr>
          <w:rFonts w:ascii="Times New Roman" w:hAnsi="Times New Roman" w:cs="Times New Roman"/>
          <w:color w:val="000000"/>
          <w:sz w:val="24"/>
          <w:szCs w:val="24"/>
        </w:rPr>
        <w:t xml:space="preserve"> in OFDI leads to an increase in economic growth </w:t>
      </w:r>
      <w:r w:rsidR="00A272F6" w:rsidRPr="00393D99">
        <w:rPr>
          <w:rFonts w:ascii="Times New Roman" w:hAnsi="Times New Roman" w:cs="Times New Roman"/>
          <w:color w:val="000000"/>
          <w:sz w:val="24"/>
          <w:szCs w:val="24"/>
        </w:rPr>
        <w:t>with</w:t>
      </w:r>
      <w:r w:rsidRPr="00393D99">
        <w:rPr>
          <w:rFonts w:ascii="Times New Roman" w:hAnsi="Times New Roman" w:cs="Times New Roman"/>
          <w:color w:val="000000"/>
          <w:sz w:val="24"/>
          <w:szCs w:val="24"/>
        </w:rPr>
        <w:t>in the range of 0.139% – 0.201%. The coefficient of decline in OFDI (OFDI</w:t>
      </w:r>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xml:space="preserve">) implies that a reduction in OFDI </w:t>
      </w:r>
      <w:r w:rsidR="00250A73" w:rsidRPr="00393D99">
        <w:rPr>
          <w:rFonts w:ascii="Times New Roman" w:hAnsi="Times New Roman" w:cs="Times New Roman"/>
          <w:color w:val="000000"/>
          <w:sz w:val="24"/>
          <w:szCs w:val="24"/>
        </w:rPr>
        <w:t xml:space="preserve">also </w:t>
      </w:r>
      <w:r w:rsidRPr="00393D99">
        <w:rPr>
          <w:rFonts w:ascii="Times New Roman" w:hAnsi="Times New Roman" w:cs="Times New Roman"/>
          <w:color w:val="000000"/>
          <w:sz w:val="24"/>
          <w:szCs w:val="24"/>
        </w:rPr>
        <w:t xml:space="preserve">causes </w:t>
      </w:r>
      <w:r w:rsidR="00250A73" w:rsidRPr="00393D99">
        <w:rPr>
          <w:rFonts w:ascii="Times New Roman" w:hAnsi="Times New Roman" w:cs="Times New Roman"/>
          <w:color w:val="000000"/>
          <w:sz w:val="24"/>
          <w:szCs w:val="24"/>
        </w:rPr>
        <w:t>an increase</w:t>
      </w:r>
      <w:r w:rsidRPr="00393D99">
        <w:rPr>
          <w:rFonts w:ascii="Times New Roman" w:hAnsi="Times New Roman" w:cs="Times New Roman"/>
          <w:color w:val="000000"/>
          <w:sz w:val="24"/>
          <w:szCs w:val="24"/>
        </w:rPr>
        <w:t xml:space="preserve"> in economic growth. These </w:t>
      </w:r>
      <w:r w:rsidR="00A272F6" w:rsidRPr="00393D99">
        <w:rPr>
          <w:rFonts w:ascii="Times New Roman" w:hAnsi="Times New Roman" w:cs="Times New Roman"/>
          <w:color w:val="000000"/>
          <w:sz w:val="24"/>
          <w:szCs w:val="24"/>
        </w:rPr>
        <w:t>findings</w:t>
      </w:r>
      <w:r w:rsidRPr="00393D99">
        <w:rPr>
          <w:rFonts w:ascii="Times New Roman" w:hAnsi="Times New Roman" w:cs="Times New Roman"/>
          <w:color w:val="000000"/>
          <w:sz w:val="24"/>
          <w:szCs w:val="24"/>
        </w:rPr>
        <w:t xml:space="preserve"> show that both an increase and decrease in OFDI stimulates economic</w:t>
      </w:r>
      <w:r w:rsidR="00F55FD2" w:rsidRPr="00393D99">
        <w:rPr>
          <w:rFonts w:ascii="Times New Roman" w:hAnsi="Times New Roman" w:cs="Times New Roman"/>
          <w:color w:val="000000"/>
          <w:sz w:val="24"/>
          <w:szCs w:val="24"/>
        </w:rPr>
        <w:t xml:space="preserve"> growth in Romania</w:t>
      </w:r>
      <w:r w:rsidR="00A578F7" w:rsidRPr="00393D99">
        <w:rPr>
          <w:rFonts w:ascii="Times New Roman" w:hAnsi="Times New Roman" w:cs="Times New Roman"/>
          <w:color w:val="000000"/>
          <w:sz w:val="24"/>
          <w:szCs w:val="24"/>
        </w:rPr>
        <w:t>, and further</w:t>
      </w:r>
      <w:r w:rsidRPr="00393D99">
        <w:rPr>
          <w:rFonts w:ascii="Times New Roman" w:hAnsi="Times New Roman" w:cs="Times New Roman"/>
          <w:color w:val="000000"/>
          <w:sz w:val="24"/>
          <w:szCs w:val="24"/>
        </w:rPr>
        <w:t xml:space="preserve"> confirm</w:t>
      </w:r>
      <w:r w:rsidR="00CF05F9" w:rsidRPr="00393D99">
        <w:rPr>
          <w:rFonts w:ascii="Times New Roman" w:hAnsi="Times New Roman" w:cs="Times New Roman"/>
          <w:color w:val="000000"/>
          <w:sz w:val="24"/>
          <w:szCs w:val="24"/>
        </w:rPr>
        <w:t>s</w:t>
      </w:r>
      <w:r w:rsidRPr="00393D99">
        <w:rPr>
          <w:rFonts w:ascii="Times New Roman" w:hAnsi="Times New Roman" w:cs="Times New Roman"/>
          <w:color w:val="000000"/>
          <w:sz w:val="24"/>
          <w:szCs w:val="24"/>
        </w:rPr>
        <w:t xml:space="preserve"> </w:t>
      </w:r>
      <w:r w:rsidR="00F55FD2" w:rsidRPr="00393D99">
        <w:rPr>
          <w:rFonts w:ascii="Times New Roman" w:hAnsi="Times New Roman" w:cs="Times New Roman"/>
          <w:color w:val="000000"/>
          <w:sz w:val="24"/>
          <w:szCs w:val="24"/>
        </w:rPr>
        <w:t xml:space="preserve">the asymmetric effect of </w:t>
      </w:r>
      <w:r w:rsidRPr="00393D99">
        <w:rPr>
          <w:rFonts w:ascii="Times New Roman" w:hAnsi="Times New Roman" w:cs="Times New Roman"/>
          <w:color w:val="000000"/>
          <w:sz w:val="24"/>
          <w:szCs w:val="24"/>
        </w:rPr>
        <w:t>OFD</w:t>
      </w:r>
      <w:r w:rsidR="00F55FD2" w:rsidRPr="00393D99">
        <w:rPr>
          <w:rFonts w:ascii="Times New Roman" w:hAnsi="Times New Roman" w:cs="Times New Roman"/>
          <w:color w:val="000000"/>
          <w:sz w:val="24"/>
          <w:szCs w:val="24"/>
        </w:rPr>
        <w:t>I on economic grow</w:t>
      </w:r>
      <w:r w:rsidR="004116DD" w:rsidRPr="00393D99">
        <w:rPr>
          <w:rFonts w:ascii="Times New Roman" w:hAnsi="Times New Roman" w:cs="Times New Roman"/>
          <w:color w:val="000000"/>
          <w:sz w:val="24"/>
          <w:szCs w:val="24"/>
        </w:rPr>
        <w:t>th in Romania.</w:t>
      </w:r>
    </w:p>
    <w:p w14:paraId="52480E19" w14:textId="77777777" w:rsidR="003E7647" w:rsidRPr="00393D99" w:rsidRDefault="00880761" w:rsidP="00B7783C">
      <w:pPr>
        <w:snapToGrid w:val="0"/>
        <w:spacing w:after="0" w:line="480" w:lineRule="auto"/>
        <w:ind w:firstLine="720"/>
        <w:jc w:val="both"/>
        <w:rPr>
          <w:rFonts w:ascii="Times New Roman" w:hAnsi="Times New Roman" w:cs="Times New Roman"/>
          <w:color w:val="000000"/>
          <w:sz w:val="24"/>
          <w:szCs w:val="24"/>
        </w:rPr>
      </w:pPr>
      <w:r w:rsidRPr="00393D99">
        <w:rPr>
          <w:rFonts w:ascii="Times New Roman" w:hAnsi="Times New Roman" w:cs="Times New Roman"/>
          <w:color w:val="000000"/>
          <w:sz w:val="24"/>
          <w:szCs w:val="24"/>
        </w:rPr>
        <w:t xml:space="preserve">In terms of control variables, IFDI shows positive and significant relationship with the economic growth in Models (1, 2) with a coefficient of 0.013 and 0.010 while exhibiting a negative and significant </w:t>
      </w:r>
      <w:r w:rsidR="007C6E90" w:rsidRPr="00393D99">
        <w:rPr>
          <w:rFonts w:ascii="Times New Roman" w:hAnsi="Times New Roman" w:cs="Times New Roman"/>
          <w:color w:val="000000"/>
          <w:sz w:val="24"/>
          <w:szCs w:val="24"/>
        </w:rPr>
        <w:t>relationship</w:t>
      </w:r>
      <w:r w:rsidRPr="00393D99">
        <w:rPr>
          <w:rFonts w:ascii="Times New Roman" w:hAnsi="Times New Roman" w:cs="Times New Roman"/>
          <w:color w:val="000000"/>
          <w:sz w:val="24"/>
          <w:szCs w:val="24"/>
        </w:rPr>
        <w:t xml:space="preserve"> in Model 3. The results on positive effects are consistent with those reported in studies such as </w:t>
      </w:r>
      <w:r w:rsidR="0007408D">
        <w:rPr>
          <w:rFonts w:ascii="Times New Roman" w:hAnsi="Times New Roman" w:cs="Times New Roman"/>
          <w:color w:val="000000"/>
          <w:sz w:val="24"/>
          <w:szCs w:val="24"/>
        </w:rPr>
        <w:t>[27,14,54,55,34,56]</w:t>
      </w:r>
      <w:r w:rsidRPr="00393D99">
        <w:rPr>
          <w:rFonts w:ascii="Times New Roman" w:hAnsi="Times New Roman" w:cs="Times New Roman"/>
          <w:color w:val="000000"/>
          <w:sz w:val="24"/>
          <w:szCs w:val="24"/>
        </w:rPr>
        <w:t xml:space="preserve">, who concluded that IFDI has a positive impact on economic growth. The negative effects of IFDI in Model 3 are consistent with </w:t>
      </w:r>
      <w:r w:rsidR="0007408D">
        <w:rPr>
          <w:rFonts w:ascii="Times New Roman" w:hAnsi="Times New Roman" w:cs="Times New Roman"/>
          <w:color w:val="000000"/>
          <w:sz w:val="24"/>
          <w:szCs w:val="24"/>
        </w:rPr>
        <w:t>[57,58,59]</w:t>
      </w:r>
      <w:r w:rsidRPr="00393D99">
        <w:rPr>
          <w:rFonts w:ascii="Times New Roman" w:hAnsi="Times New Roman" w:cs="Times New Roman"/>
          <w:color w:val="000000"/>
          <w:sz w:val="24"/>
          <w:szCs w:val="24"/>
        </w:rPr>
        <w:t>. The coefficients of physical and human capital (CS</w:t>
      </w:r>
      <w:r w:rsidR="00DD0F58" w:rsidRPr="00393D99">
        <w:rPr>
          <w:rFonts w:ascii="Times New Roman" w:hAnsi="Times New Roman" w:cs="Times New Roman"/>
          <w:color w:val="000000"/>
          <w:sz w:val="24"/>
          <w:szCs w:val="24"/>
        </w:rPr>
        <w:t xml:space="preserve"> and LE</w:t>
      </w:r>
      <w:r w:rsidRPr="00393D99">
        <w:rPr>
          <w:rFonts w:ascii="Times New Roman" w:hAnsi="Times New Roman" w:cs="Times New Roman"/>
          <w:color w:val="000000"/>
          <w:sz w:val="24"/>
          <w:szCs w:val="24"/>
        </w:rPr>
        <w:t xml:space="preserve">) are positive and significant across all three models, suggesting the importance of human and physical capital to Romania's economic growth prospects. The estimated coefficient of infrastructure (INFR) suggests that a 1% increase in the infrastructure stock and quality of infrastructure services is expected to cause an </w:t>
      </w:r>
      <w:r w:rsidRPr="00393D99">
        <w:rPr>
          <w:rFonts w:ascii="Times New Roman" w:hAnsi="Times New Roman" w:cs="Times New Roman"/>
          <w:color w:val="000000"/>
          <w:sz w:val="24"/>
          <w:szCs w:val="24"/>
        </w:rPr>
        <w:lastRenderedPageBreak/>
        <w:t>increase in economic growth in Romania by about 0.098% and 0.108%</w:t>
      </w:r>
      <w:r w:rsidR="008377A0" w:rsidRPr="00393D99">
        <w:rPr>
          <w:rFonts w:ascii="Times New Roman" w:hAnsi="Times New Roman" w:cs="Times New Roman"/>
          <w:color w:val="000000"/>
          <w:sz w:val="24"/>
          <w:szCs w:val="24"/>
        </w:rPr>
        <w:t>,</w:t>
      </w:r>
      <w:r w:rsidRPr="00393D99">
        <w:rPr>
          <w:rFonts w:ascii="Times New Roman" w:hAnsi="Times New Roman" w:cs="Times New Roman"/>
          <w:color w:val="000000"/>
          <w:sz w:val="24"/>
          <w:szCs w:val="24"/>
        </w:rPr>
        <w:t xml:space="preserve"> respectively. As suggested by </w:t>
      </w:r>
      <w:r w:rsidR="0007408D">
        <w:rPr>
          <w:rFonts w:ascii="Times New Roman" w:hAnsi="Times New Roman" w:cs="Times New Roman"/>
          <w:color w:val="000000"/>
          <w:sz w:val="24"/>
          <w:szCs w:val="24"/>
        </w:rPr>
        <w:t>[60]</w:t>
      </w:r>
      <w:r w:rsidRPr="00393D99">
        <w:rPr>
          <w:rFonts w:ascii="Times New Roman" w:hAnsi="Times New Roman" w:cs="Times New Roman"/>
          <w:color w:val="000000"/>
          <w:sz w:val="24"/>
          <w:szCs w:val="24"/>
        </w:rPr>
        <w:t xml:space="preserve">, the adequate provision of infrastructure can contribute towards trade liberalization strategies aimed at achieving optimal resource allocation and export growth. Our findings also suggest a positive and significant impact of infrastructure on economic growth for Romania, and the results are consistent with </w:t>
      </w:r>
      <w:r w:rsidR="0007408D">
        <w:rPr>
          <w:rFonts w:ascii="Times New Roman" w:hAnsi="Times New Roman" w:cs="Times New Roman"/>
          <w:color w:val="000000"/>
          <w:sz w:val="24"/>
          <w:szCs w:val="24"/>
        </w:rPr>
        <w:t>[47]</w:t>
      </w:r>
      <w:r w:rsidRPr="00393D99">
        <w:rPr>
          <w:rFonts w:ascii="Times New Roman" w:hAnsi="Times New Roman" w:cs="Times New Roman"/>
          <w:color w:val="000000"/>
          <w:sz w:val="24"/>
          <w:szCs w:val="24"/>
        </w:rPr>
        <w:t>. The coefficient of institutional quality (IQ) shows a positive and significant impact on economic growth in Romania. The results suggest that a 1% increase in institutional quality is expected to enhance economic growth by about 0.072%.</w:t>
      </w:r>
    </w:p>
    <w:p w14:paraId="3151C061" w14:textId="77777777" w:rsidR="004A245A" w:rsidRPr="00393D99" w:rsidRDefault="004A245A" w:rsidP="00393D99">
      <w:pPr>
        <w:snapToGrid w:val="0"/>
        <w:spacing w:after="120" w:line="480" w:lineRule="auto"/>
        <w:ind w:left="2160" w:firstLine="720"/>
        <w:jc w:val="both"/>
        <w:rPr>
          <w:rFonts w:ascii="Times New Roman" w:hAnsi="Times New Roman" w:cs="Times New Roman"/>
          <w:color w:val="000000"/>
          <w:sz w:val="24"/>
          <w:szCs w:val="24"/>
        </w:rPr>
      </w:pPr>
      <w:r w:rsidRPr="00393D99">
        <w:rPr>
          <w:rFonts w:ascii="Times New Roman" w:hAnsi="Times New Roman" w:cs="Times New Roman"/>
          <w:b/>
          <w:sz w:val="24"/>
          <w:szCs w:val="24"/>
        </w:rPr>
        <w:t>[Insert Table 3 here]</w:t>
      </w:r>
    </w:p>
    <w:p w14:paraId="284E2746" w14:textId="77777777" w:rsidR="00AB4E7E" w:rsidRPr="00393D99" w:rsidRDefault="00EE142E" w:rsidP="00B7783C">
      <w:pPr>
        <w:snapToGrid w:val="0"/>
        <w:spacing w:after="0" w:line="480" w:lineRule="auto"/>
        <w:ind w:firstLine="720"/>
        <w:rPr>
          <w:rFonts w:ascii="Times New Roman" w:hAnsi="Times New Roman" w:cs="Times New Roman"/>
          <w:color w:val="000000"/>
          <w:sz w:val="24"/>
          <w:szCs w:val="24"/>
        </w:rPr>
      </w:pPr>
      <w:r w:rsidRPr="00393D99">
        <w:rPr>
          <w:rFonts w:ascii="Times New Roman" w:hAnsi="Times New Roman" w:cs="Times New Roman"/>
          <w:color w:val="000000"/>
          <w:sz w:val="24"/>
          <w:szCs w:val="24"/>
        </w:rPr>
        <w:t>The short-run parameters are reported in Table 4.</w:t>
      </w:r>
      <w:r w:rsidR="006A4B07" w:rsidRPr="00393D99">
        <w:rPr>
          <w:rFonts w:ascii="Times New Roman" w:hAnsi="Times New Roman" w:cs="Times New Roman"/>
          <w:color w:val="000000"/>
          <w:sz w:val="24"/>
          <w:szCs w:val="24"/>
        </w:rPr>
        <w:t xml:space="preserve"> </w:t>
      </w:r>
      <w:r w:rsidRPr="00393D99">
        <w:rPr>
          <w:rFonts w:ascii="Times New Roman" w:hAnsi="Times New Roman" w:cs="Times New Roman"/>
          <w:color w:val="000000"/>
          <w:sz w:val="24"/>
          <w:szCs w:val="24"/>
        </w:rPr>
        <w:t>F</w:t>
      </w:r>
      <w:r w:rsidR="00A578F7" w:rsidRPr="00393D99">
        <w:rPr>
          <w:rFonts w:ascii="Times New Roman" w:hAnsi="Times New Roman" w:cs="Times New Roman"/>
          <w:color w:val="000000"/>
          <w:sz w:val="24"/>
          <w:szCs w:val="24"/>
        </w:rPr>
        <w:t xml:space="preserve">rom the analysis, it is </w:t>
      </w:r>
      <w:r w:rsidRPr="00393D99">
        <w:rPr>
          <w:rFonts w:ascii="Times New Roman" w:hAnsi="Times New Roman" w:cs="Times New Roman"/>
          <w:color w:val="000000"/>
          <w:sz w:val="24"/>
          <w:szCs w:val="24"/>
        </w:rPr>
        <w:t>observe</w:t>
      </w:r>
      <w:r w:rsidR="00A578F7" w:rsidRPr="00393D99">
        <w:rPr>
          <w:rFonts w:ascii="Times New Roman" w:hAnsi="Times New Roman" w:cs="Times New Roman"/>
          <w:color w:val="000000"/>
          <w:sz w:val="24"/>
          <w:szCs w:val="24"/>
        </w:rPr>
        <w:t>d</w:t>
      </w:r>
      <w:r w:rsidRPr="00393D99">
        <w:rPr>
          <w:rFonts w:ascii="Times New Roman" w:hAnsi="Times New Roman" w:cs="Times New Roman"/>
          <w:color w:val="000000"/>
          <w:sz w:val="24"/>
          <w:szCs w:val="24"/>
        </w:rPr>
        <w:t xml:space="preserve"> that the magnitude of the coefficient of </w:t>
      </w:r>
      <w:proofErr w:type="spellStart"/>
      <w:r w:rsidRPr="00393D99">
        <w:rPr>
          <w:rFonts w:ascii="Times New Roman" w:hAnsi="Times New Roman" w:cs="Times New Roman"/>
          <w:i/>
          <w:iCs/>
          <w:color w:val="000000"/>
          <w:sz w:val="24"/>
          <w:szCs w:val="24"/>
        </w:rPr>
        <w:t>OFDI</w:t>
      </w:r>
      <w:r w:rsidRPr="00393D99">
        <w:rPr>
          <w:rFonts w:ascii="Times New Roman" w:hAnsi="Times New Roman" w:cs="Times New Roman"/>
          <w:i/>
          <w:iCs/>
          <w:color w:val="000000"/>
          <w:sz w:val="24"/>
          <w:szCs w:val="24"/>
          <w:vertAlign w:val="subscript"/>
        </w:rPr>
        <w:t>t</w:t>
      </w:r>
      <w:proofErr w:type="spellEnd"/>
      <w:r w:rsidRPr="00393D99">
        <w:rPr>
          <w:rFonts w:ascii="Times New Roman" w:hAnsi="Times New Roman" w:cs="Times New Roman"/>
          <w:color w:val="000000"/>
          <w:sz w:val="24"/>
          <w:szCs w:val="24"/>
          <w:vertAlign w:val="superscript"/>
        </w:rPr>
        <w:t xml:space="preserve">+ </w:t>
      </w:r>
      <w:r w:rsidRPr="00393D99">
        <w:rPr>
          <w:rFonts w:ascii="Times New Roman" w:hAnsi="Times New Roman" w:cs="Times New Roman"/>
          <w:color w:val="000000"/>
          <w:sz w:val="24"/>
          <w:szCs w:val="24"/>
        </w:rPr>
        <w:t xml:space="preserve">is higher than that </w:t>
      </w:r>
      <w:r w:rsidR="006A4B07" w:rsidRPr="00393D99">
        <w:rPr>
          <w:rFonts w:ascii="Times New Roman" w:hAnsi="Times New Roman" w:cs="Times New Roman"/>
          <w:color w:val="000000"/>
          <w:sz w:val="24"/>
          <w:szCs w:val="24"/>
        </w:rPr>
        <w:t xml:space="preserve">of </w:t>
      </w:r>
      <w:proofErr w:type="spellStart"/>
      <w:r w:rsidRPr="00393D99">
        <w:rPr>
          <w:rFonts w:ascii="Times New Roman" w:hAnsi="Times New Roman" w:cs="Times New Roman"/>
          <w:i/>
          <w:iCs/>
          <w:color w:val="000000"/>
          <w:sz w:val="24"/>
          <w:szCs w:val="24"/>
        </w:rPr>
        <w:t>OFDI</w:t>
      </w:r>
      <w:r w:rsidRPr="00393D99">
        <w:rPr>
          <w:rFonts w:ascii="Times New Roman" w:hAnsi="Times New Roman" w:cs="Times New Roman"/>
          <w:i/>
          <w:iCs/>
          <w:color w:val="000000"/>
          <w:sz w:val="24"/>
          <w:szCs w:val="24"/>
          <w:vertAlign w:val="subscript"/>
        </w:rPr>
        <w:t>t</w:t>
      </w:r>
      <w:proofErr w:type="spellEnd"/>
      <w:r w:rsidRPr="00393D99">
        <w:rPr>
          <w:rFonts w:ascii="Times New Roman" w:hAnsi="Times New Roman" w:cs="Times New Roman"/>
          <w:color w:val="000000"/>
          <w:sz w:val="24"/>
          <w:szCs w:val="24"/>
          <w:vertAlign w:val="superscript"/>
        </w:rPr>
        <w:t>−</w:t>
      </w:r>
      <w:r w:rsidRPr="00393D99">
        <w:rPr>
          <w:rFonts w:ascii="Times New Roman" w:hAnsi="Times New Roman" w:cs="Times New Roman"/>
          <w:color w:val="000000"/>
          <w:sz w:val="24"/>
          <w:szCs w:val="24"/>
        </w:rPr>
        <w:t xml:space="preserve">, </w:t>
      </w:r>
      <w:r w:rsidR="00331F7E" w:rsidRPr="00393D99">
        <w:rPr>
          <w:rFonts w:ascii="Times New Roman" w:hAnsi="Times New Roman" w:cs="Times New Roman"/>
          <w:color w:val="000000"/>
          <w:sz w:val="24"/>
          <w:szCs w:val="24"/>
        </w:rPr>
        <w:t>suggesting</w:t>
      </w:r>
      <w:r w:rsidRPr="00393D99">
        <w:rPr>
          <w:rFonts w:ascii="Times New Roman" w:hAnsi="Times New Roman" w:cs="Times New Roman"/>
          <w:color w:val="000000"/>
          <w:sz w:val="24"/>
          <w:szCs w:val="24"/>
        </w:rPr>
        <w:t xml:space="preserve"> that the </w:t>
      </w:r>
      <w:r w:rsidR="006A4B07" w:rsidRPr="00393D99">
        <w:rPr>
          <w:rFonts w:ascii="Times New Roman" w:hAnsi="Times New Roman" w:cs="Times New Roman"/>
          <w:color w:val="000000"/>
          <w:sz w:val="24"/>
          <w:szCs w:val="24"/>
        </w:rPr>
        <w:t xml:space="preserve">stronger </w:t>
      </w:r>
      <w:r w:rsidRPr="00393D99">
        <w:rPr>
          <w:rFonts w:ascii="Times New Roman" w:hAnsi="Times New Roman" w:cs="Times New Roman"/>
          <w:color w:val="000000"/>
          <w:sz w:val="24"/>
          <w:szCs w:val="24"/>
        </w:rPr>
        <w:t>effect</w:t>
      </w:r>
      <w:r w:rsidR="006A4B07" w:rsidRPr="00393D99">
        <w:rPr>
          <w:rFonts w:ascii="Times New Roman" w:hAnsi="Times New Roman" w:cs="Times New Roman"/>
          <w:color w:val="000000"/>
          <w:sz w:val="24"/>
          <w:szCs w:val="24"/>
        </w:rPr>
        <w:t>s</w:t>
      </w:r>
      <w:r w:rsidRPr="00393D99">
        <w:rPr>
          <w:rFonts w:ascii="Times New Roman" w:hAnsi="Times New Roman" w:cs="Times New Roman"/>
          <w:color w:val="000000"/>
          <w:sz w:val="24"/>
          <w:szCs w:val="24"/>
        </w:rPr>
        <w:t xml:space="preserve"> </w:t>
      </w:r>
      <w:r w:rsidR="006A4B07" w:rsidRPr="00393D99">
        <w:rPr>
          <w:rFonts w:ascii="Times New Roman" w:hAnsi="Times New Roman" w:cs="Times New Roman"/>
          <w:color w:val="000000"/>
          <w:sz w:val="24"/>
          <w:szCs w:val="24"/>
        </w:rPr>
        <w:t xml:space="preserve">are caused by </w:t>
      </w:r>
      <w:r w:rsidRPr="00393D99">
        <w:rPr>
          <w:rFonts w:ascii="Times New Roman" w:hAnsi="Times New Roman" w:cs="Times New Roman"/>
          <w:color w:val="000000"/>
          <w:sz w:val="24"/>
          <w:szCs w:val="24"/>
        </w:rPr>
        <w:t>the positive movement in OFDI.</w:t>
      </w:r>
      <w:r w:rsidR="00D75C3A" w:rsidRPr="00393D99">
        <w:rPr>
          <w:rFonts w:ascii="Times New Roman" w:hAnsi="Times New Roman" w:cs="Times New Roman"/>
          <w:color w:val="000000"/>
          <w:sz w:val="24"/>
          <w:szCs w:val="24"/>
        </w:rPr>
        <w:t xml:space="preserve"> It is interesting to observe that GDP growth increases despite an upswing or downswing in Romanian OFDI</w:t>
      </w:r>
      <w:r w:rsidR="006E64AB" w:rsidRPr="00393D99">
        <w:rPr>
          <w:rFonts w:ascii="Times New Roman" w:hAnsi="Times New Roman" w:cs="Times New Roman"/>
          <w:color w:val="000000"/>
          <w:sz w:val="24"/>
          <w:szCs w:val="24"/>
        </w:rPr>
        <w:t>,</w:t>
      </w:r>
      <w:r w:rsidR="00D75C3A" w:rsidRPr="00393D99">
        <w:rPr>
          <w:rFonts w:ascii="Times New Roman" w:hAnsi="Times New Roman" w:cs="Times New Roman"/>
          <w:color w:val="000000"/>
          <w:sz w:val="24"/>
          <w:szCs w:val="24"/>
        </w:rPr>
        <w:t xml:space="preserve"> </w:t>
      </w:r>
      <w:r w:rsidR="00331F7E" w:rsidRPr="00393D99">
        <w:rPr>
          <w:rFonts w:ascii="Times New Roman" w:hAnsi="Times New Roman" w:cs="Times New Roman"/>
          <w:color w:val="000000"/>
          <w:sz w:val="24"/>
          <w:szCs w:val="24"/>
        </w:rPr>
        <w:t xml:space="preserve">indicating </w:t>
      </w:r>
      <w:r w:rsidR="00D75C3A" w:rsidRPr="00393D99">
        <w:rPr>
          <w:rFonts w:ascii="Times New Roman" w:hAnsi="Times New Roman" w:cs="Times New Roman"/>
          <w:color w:val="000000"/>
          <w:sz w:val="24"/>
          <w:szCs w:val="24"/>
        </w:rPr>
        <w:t xml:space="preserve">that FDI outflow is </w:t>
      </w:r>
      <w:r w:rsidR="006E64AB" w:rsidRPr="00393D99">
        <w:rPr>
          <w:rFonts w:ascii="Times New Roman" w:hAnsi="Times New Roman" w:cs="Times New Roman"/>
          <w:color w:val="000000"/>
          <w:sz w:val="24"/>
          <w:szCs w:val="24"/>
        </w:rPr>
        <w:t xml:space="preserve">a </w:t>
      </w:r>
      <w:r w:rsidR="00026866" w:rsidRPr="00393D99">
        <w:rPr>
          <w:rFonts w:ascii="Times New Roman" w:hAnsi="Times New Roman" w:cs="Times New Roman"/>
          <w:color w:val="000000"/>
          <w:sz w:val="24"/>
          <w:szCs w:val="24"/>
        </w:rPr>
        <w:t xml:space="preserve">crucial </w:t>
      </w:r>
      <w:r w:rsidR="00D75C3A" w:rsidRPr="00393D99">
        <w:rPr>
          <w:rFonts w:ascii="Times New Roman" w:hAnsi="Times New Roman" w:cs="Times New Roman"/>
          <w:color w:val="000000"/>
          <w:sz w:val="24"/>
          <w:szCs w:val="24"/>
        </w:rPr>
        <w:t xml:space="preserve">indicator </w:t>
      </w:r>
      <w:r w:rsidR="008377A0" w:rsidRPr="00393D99">
        <w:rPr>
          <w:rFonts w:ascii="Times New Roman" w:hAnsi="Times New Roman" w:cs="Times New Roman"/>
          <w:color w:val="000000"/>
          <w:sz w:val="24"/>
          <w:szCs w:val="24"/>
        </w:rPr>
        <w:t xml:space="preserve">of </w:t>
      </w:r>
      <w:r w:rsidR="00D75C3A" w:rsidRPr="00393D99">
        <w:rPr>
          <w:rFonts w:ascii="Times New Roman" w:hAnsi="Times New Roman" w:cs="Times New Roman"/>
          <w:color w:val="000000"/>
          <w:sz w:val="24"/>
          <w:szCs w:val="24"/>
        </w:rPr>
        <w:t xml:space="preserve">economic growth in Romania. </w:t>
      </w:r>
      <w:r w:rsidR="00176B5B" w:rsidRPr="00393D99">
        <w:rPr>
          <w:rFonts w:ascii="Times New Roman" w:hAnsi="Times New Roman" w:cs="Times New Roman"/>
          <w:color w:val="000000"/>
          <w:sz w:val="24"/>
          <w:szCs w:val="24"/>
        </w:rPr>
        <w:t>T</w:t>
      </w:r>
      <w:r w:rsidR="00D75C3A" w:rsidRPr="00393D99">
        <w:rPr>
          <w:rFonts w:ascii="Times New Roman" w:hAnsi="Times New Roman" w:cs="Times New Roman"/>
          <w:color w:val="000000"/>
          <w:sz w:val="24"/>
          <w:szCs w:val="24"/>
        </w:rPr>
        <w:t>he sign of the error correction term (</w:t>
      </w:r>
      <w:r w:rsidR="00D75C3A" w:rsidRPr="00393D99">
        <w:rPr>
          <w:rFonts w:ascii="Times New Roman" w:hAnsi="Times New Roman" w:cs="Times New Roman"/>
          <w:sz w:val="24"/>
          <w:szCs w:val="24"/>
        </w:rPr>
        <w:t>ECT</w:t>
      </w:r>
      <w:r w:rsidR="00D75C3A" w:rsidRPr="00393D99">
        <w:rPr>
          <w:rFonts w:ascii="Times New Roman" w:hAnsi="Times New Roman" w:cs="Times New Roman"/>
          <w:sz w:val="24"/>
          <w:szCs w:val="24"/>
          <w:vertAlign w:val="subscript"/>
        </w:rPr>
        <w:t>t-1</w:t>
      </w:r>
      <w:r w:rsidR="00D75C3A" w:rsidRPr="00393D99">
        <w:rPr>
          <w:rFonts w:ascii="Times New Roman" w:hAnsi="Times New Roman" w:cs="Times New Roman"/>
          <w:color w:val="000000"/>
          <w:sz w:val="24"/>
          <w:szCs w:val="24"/>
        </w:rPr>
        <w:t>)</w:t>
      </w:r>
      <w:r w:rsidR="00036C5F" w:rsidRPr="00393D99">
        <w:rPr>
          <w:rFonts w:ascii="Times New Roman" w:hAnsi="Times New Roman" w:cs="Times New Roman"/>
          <w:color w:val="000000"/>
          <w:sz w:val="24"/>
          <w:szCs w:val="24"/>
        </w:rPr>
        <w:t>, which is the speed of adjustment coefficient toward equilibrium,</w:t>
      </w:r>
      <w:r w:rsidR="00D75C3A" w:rsidRPr="00393D99">
        <w:rPr>
          <w:rFonts w:ascii="Times New Roman" w:hAnsi="Times New Roman" w:cs="Times New Roman"/>
          <w:color w:val="000000"/>
          <w:sz w:val="24"/>
          <w:szCs w:val="24"/>
        </w:rPr>
        <w:t xml:space="preserve"> is negative and statistically significant. </w:t>
      </w:r>
      <w:r w:rsidRPr="00393D99">
        <w:rPr>
          <w:rFonts w:ascii="Times New Roman" w:hAnsi="Times New Roman" w:cs="Times New Roman"/>
          <w:color w:val="000000"/>
          <w:sz w:val="24"/>
          <w:szCs w:val="24"/>
        </w:rPr>
        <w:t xml:space="preserve">The coefficients of </w:t>
      </w:r>
      <w:r w:rsidRPr="00393D99">
        <w:rPr>
          <w:rFonts w:ascii="Times New Roman" w:hAnsi="Times New Roman" w:cs="Times New Roman"/>
          <w:sz w:val="24"/>
          <w:szCs w:val="24"/>
        </w:rPr>
        <w:t>ECT</w:t>
      </w:r>
      <w:r w:rsidRPr="00393D99">
        <w:rPr>
          <w:rFonts w:ascii="Times New Roman" w:hAnsi="Times New Roman" w:cs="Times New Roman"/>
          <w:sz w:val="24"/>
          <w:szCs w:val="24"/>
          <w:vertAlign w:val="subscript"/>
        </w:rPr>
        <w:t>t-1</w:t>
      </w:r>
      <w:r w:rsidRPr="00393D99">
        <w:rPr>
          <w:rFonts w:ascii="Times New Roman" w:hAnsi="Times New Roman" w:cs="Times New Roman"/>
          <w:sz w:val="24"/>
          <w:szCs w:val="24"/>
        </w:rPr>
        <w:t xml:space="preserve"> </w:t>
      </w:r>
      <w:r w:rsidR="00D75C3A" w:rsidRPr="00393D99">
        <w:rPr>
          <w:rFonts w:ascii="Times New Roman" w:hAnsi="Times New Roman" w:cs="Times New Roman"/>
          <w:sz w:val="24"/>
          <w:szCs w:val="24"/>
        </w:rPr>
        <w:t>are -0.725, -0.716</w:t>
      </w:r>
      <w:r w:rsidR="00BC1F74" w:rsidRPr="00393D99">
        <w:rPr>
          <w:rFonts w:ascii="Times New Roman" w:hAnsi="Times New Roman" w:cs="Times New Roman"/>
          <w:sz w:val="24"/>
          <w:szCs w:val="24"/>
        </w:rPr>
        <w:t>,</w:t>
      </w:r>
      <w:r w:rsidR="00D75C3A" w:rsidRPr="00393D99">
        <w:rPr>
          <w:rFonts w:ascii="Times New Roman" w:hAnsi="Times New Roman" w:cs="Times New Roman"/>
          <w:sz w:val="24"/>
          <w:szCs w:val="24"/>
        </w:rPr>
        <w:t xml:space="preserve"> and -0.611 indicate that </w:t>
      </w:r>
      <w:r w:rsidRPr="00393D99">
        <w:rPr>
          <w:rFonts w:ascii="Times New Roman" w:hAnsi="Times New Roman" w:cs="Times New Roman"/>
          <w:color w:val="000000"/>
          <w:sz w:val="24"/>
          <w:szCs w:val="24"/>
        </w:rPr>
        <w:t xml:space="preserve">short-run disequilibrium is adjusted in the range of 61% to 72% towards </w:t>
      </w:r>
      <w:r w:rsidR="00026866" w:rsidRPr="00393D99">
        <w:rPr>
          <w:rFonts w:ascii="Times New Roman" w:hAnsi="Times New Roman" w:cs="Times New Roman"/>
          <w:color w:val="000000"/>
          <w:sz w:val="24"/>
          <w:szCs w:val="24"/>
        </w:rPr>
        <w:t xml:space="preserve">the </w:t>
      </w:r>
      <w:r w:rsidRPr="00393D99">
        <w:rPr>
          <w:rFonts w:ascii="Times New Roman" w:hAnsi="Times New Roman" w:cs="Times New Roman"/>
          <w:color w:val="000000"/>
          <w:sz w:val="24"/>
          <w:szCs w:val="24"/>
        </w:rPr>
        <w:t>long-run.</w:t>
      </w:r>
    </w:p>
    <w:p w14:paraId="594580B2" w14:textId="77777777" w:rsidR="004A245A" w:rsidRPr="00393D99" w:rsidRDefault="004A245A" w:rsidP="00393D99">
      <w:pPr>
        <w:snapToGrid w:val="0"/>
        <w:spacing w:after="120" w:line="480" w:lineRule="auto"/>
        <w:ind w:left="2160" w:firstLine="720"/>
        <w:jc w:val="both"/>
        <w:rPr>
          <w:rFonts w:ascii="Times New Roman" w:hAnsi="Times New Roman" w:cs="Times New Roman"/>
          <w:color w:val="000000"/>
          <w:sz w:val="24"/>
          <w:szCs w:val="24"/>
        </w:rPr>
      </w:pPr>
      <w:r w:rsidRPr="00393D99">
        <w:rPr>
          <w:rFonts w:ascii="Times New Roman" w:hAnsi="Times New Roman" w:cs="Times New Roman"/>
          <w:b/>
          <w:sz w:val="24"/>
          <w:szCs w:val="24"/>
        </w:rPr>
        <w:t>[Insert Table 4 here]</w:t>
      </w:r>
    </w:p>
    <w:p w14:paraId="5A670574" w14:textId="77777777" w:rsidR="00D25B5C" w:rsidRPr="00393D99" w:rsidRDefault="003E5D85" w:rsidP="00B7783C">
      <w:pPr>
        <w:snapToGrid w:val="0"/>
        <w:spacing w:after="0" w:line="480" w:lineRule="auto"/>
        <w:ind w:firstLine="720"/>
        <w:jc w:val="both"/>
        <w:rPr>
          <w:rFonts w:ascii="Times New Roman" w:hAnsi="Times New Roman" w:cs="Times New Roman"/>
          <w:color w:val="000000"/>
          <w:sz w:val="24"/>
          <w:szCs w:val="24"/>
        </w:rPr>
      </w:pPr>
      <w:r w:rsidRPr="00393D99">
        <w:rPr>
          <w:rFonts w:ascii="Times New Roman" w:hAnsi="Times New Roman" w:cs="Times New Roman"/>
          <w:color w:val="000000"/>
          <w:sz w:val="24"/>
          <w:szCs w:val="24"/>
        </w:rPr>
        <w:t>We</w:t>
      </w:r>
      <w:r w:rsidR="00EC231A" w:rsidRPr="00393D99">
        <w:rPr>
          <w:rFonts w:ascii="Times New Roman" w:hAnsi="Times New Roman" w:cs="Times New Roman"/>
          <w:color w:val="000000"/>
          <w:sz w:val="24"/>
          <w:szCs w:val="24"/>
        </w:rPr>
        <w:t xml:space="preserve"> </w:t>
      </w:r>
      <w:r w:rsidRPr="00393D99">
        <w:rPr>
          <w:rFonts w:ascii="Times New Roman" w:hAnsi="Times New Roman" w:cs="Times New Roman"/>
          <w:color w:val="000000"/>
          <w:sz w:val="24"/>
          <w:szCs w:val="24"/>
        </w:rPr>
        <w:t xml:space="preserve">also </w:t>
      </w:r>
      <w:r w:rsidR="00EC231A" w:rsidRPr="00393D99">
        <w:rPr>
          <w:rFonts w:ascii="Times New Roman" w:hAnsi="Times New Roman" w:cs="Times New Roman"/>
          <w:color w:val="000000"/>
          <w:sz w:val="24"/>
          <w:szCs w:val="24"/>
        </w:rPr>
        <w:t>employ diagnostic tests like RAMSEY, JB, ARCH, RESET</w:t>
      </w:r>
      <w:r w:rsidR="00026866" w:rsidRPr="00393D99">
        <w:rPr>
          <w:rFonts w:ascii="Times New Roman" w:hAnsi="Times New Roman" w:cs="Times New Roman"/>
          <w:color w:val="000000"/>
          <w:sz w:val="24"/>
          <w:szCs w:val="24"/>
        </w:rPr>
        <w:t>,</w:t>
      </w:r>
      <w:r w:rsidR="00EC231A" w:rsidRPr="00393D99">
        <w:rPr>
          <w:rFonts w:ascii="Times New Roman" w:hAnsi="Times New Roman" w:cs="Times New Roman"/>
          <w:color w:val="000000"/>
          <w:sz w:val="24"/>
          <w:szCs w:val="24"/>
        </w:rPr>
        <w:t xml:space="preserve"> and LM to check autocorrelation and heteroscedasticity. The results in Table 5 confirm the absence of autocorrelation and heteroscedasticity</w:t>
      </w:r>
      <w:r w:rsidR="00836BB4" w:rsidRPr="00393D99">
        <w:rPr>
          <w:rFonts w:ascii="Times New Roman" w:hAnsi="Times New Roman" w:cs="Times New Roman"/>
          <w:color w:val="000000"/>
          <w:sz w:val="24"/>
          <w:szCs w:val="24"/>
        </w:rPr>
        <w:t xml:space="preserve"> in this study</w:t>
      </w:r>
      <w:r w:rsidR="00EC231A" w:rsidRPr="00393D99">
        <w:rPr>
          <w:rFonts w:ascii="Times New Roman" w:hAnsi="Times New Roman" w:cs="Times New Roman"/>
          <w:color w:val="000000"/>
          <w:sz w:val="24"/>
          <w:szCs w:val="24"/>
        </w:rPr>
        <w:t>.</w:t>
      </w:r>
      <w:r w:rsidR="00AA4FE9" w:rsidRPr="00393D99">
        <w:rPr>
          <w:rFonts w:ascii="Times New Roman" w:hAnsi="Times New Roman" w:cs="Times New Roman"/>
          <w:color w:val="000000"/>
          <w:sz w:val="24"/>
          <w:szCs w:val="24"/>
        </w:rPr>
        <w:t xml:space="preserve"> </w:t>
      </w:r>
      <w:r w:rsidR="00026866" w:rsidRPr="00393D99">
        <w:rPr>
          <w:rFonts w:ascii="Times New Roman" w:hAnsi="Times New Roman" w:cs="Times New Roman"/>
          <w:color w:val="000000"/>
          <w:sz w:val="24"/>
          <w:szCs w:val="24"/>
        </w:rPr>
        <w:t>Here</w:t>
      </w:r>
      <w:r w:rsidR="00E23E34" w:rsidRPr="00393D99">
        <w:rPr>
          <w:rFonts w:ascii="Times New Roman" w:hAnsi="Times New Roman" w:cs="Times New Roman"/>
          <w:color w:val="000000"/>
          <w:sz w:val="24"/>
          <w:szCs w:val="24"/>
        </w:rPr>
        <w:t xml:space="preserve">, the findings </w:t>
      </w:r>
      <w:r w:rsidR="00176B5B" w:rsidRPr="00393D99">
        <w:rPr>
          <w:rFonts w:ascii="Times New Roman" w:hAnsi="Times New Roman" w:cs="Times New Roman"/>
          <w:color w:val="000000"/>
          <w:sz w:val="24"/>
          <w:szCs w:val="24"/>
        </w:rPr>
        <w:t>indicate</w:t>
      </w:r>
      <w:r w:rsidR="008377A0" w:rsidRPr="00393D99">
        <w:rPr>
          <w:rFonts w:ascii="Times New Roman" w:hAnsi="Times New Roman" w:cs="Times New Roman"/>
          <w:color w:val="000000"/>
          <w:sz w:val="24"/>
          <w:szCs w:val="24"/>
        </w:rPr>
        <w:t xml:space="preserve"> </w:t>
      </w:r>
      <w:r w:rsidR="00E23E34" w:rsidRPr="00393D99">
        <w:rPr>
          <w:rFonts w:ascii="Times New Roman" w:hAnsi="Times New Roman" w:cs="Times New Roman"/>
          <w:color w:val="000000"/>
          <w:sz w:val="24"/>
          <w:szCs w:val="24"/>
        </w:rPr>
        <w:t>that the mo</w:t>
      </w:r>
      <w:r w:rsidR="00D5548A" w:rsidRPr="00393D99">
        <w:rPr>
          <w:rFonts w:ascii="Times New Roman" w:hAnsi="Times New Roman" w:cs="Times New Roman"/>
          <w:color w:val="000000"/>
          <w:sz w:val="24"/>
          <w:szCs w:val="24"/>
        </w:rPr>
        <w:t xml:space="preserve">del </w:t>
      </w:r>
      <w:r w:rsidR="008377A0" w:rsidRPr="00393D99">
        <w:rPr>
          <w:rFonts w:ascii="Times New Roman" w:hAnsi="Times New Roman" w:cs="Times New Roman"/>
          <w:color w:val="000000"/>
          <w:sz w:val="24"/>
          <w:szCs w:val="24"/>
        </w:rPr>
        <w:t xml:space="preserve">is </w:t>
      </w:r>
      <w:r w:rsidR="00D5548A" w:rsidRPr="00393D99">
        <w:rPr>
          <w:rFonts w:ascii="Times New Roman" w:hAnsi="Times New Roman" w:cs="Times New Roman"/>
          <w:color w:val="000000"/>
          <w:sz w:val="24"/>
          <w:szCs w:val="24"/>
        </w:rPr>
        <w:t xml:space="preserve">perfect and well fitted. Stability tests as presented in Appendix </w:t>
      </w:r>
      <w:r w:rsidR="00385DA1" w:rsidRPr="00393D99">
        <w:rPr>
          <w:rFonts w:ascii="Times New Roman" w:hAnsi="Times New Roman" w:cs="Times New Roman"/>
          <w:color w:val="000000"/>
          <w:sz w:val="24"/>
          <w:szCs w:val="24"/>
        </w:rPr>
        <w:t>A,</w:t>
      </w:r>
      <w:r w:rsidR="00D5548A" w:rsidRPr="00393D99">
        <w:rPr>
          <w:rFonts w:ascii="Times New Roman" w:hAnsi="Times New Roman" w:cs="Times New Roman"/>
          <w:color w:val="000000"/>
          <w:sz w:val="24"/>
          <w:szCs w:val="24"/>
        </w:rPr>
        <w:t xml:space="preserve"> </w:t>
      </w:r>
      <w:r w:rsidR="00836BB4" w:rsidRPr="00393D99">
        <w:rPr>
          <w:rFonts w:ascii="Times New Roman" w:hAnsi="Times New Roman" w:cs="Times New Roman"/>
          <w:color w:val="000000"/>
          <w:sz w:val="24"/>
          <w:szCs w:val="24"/>
        </w:rPr>
        <w:t>which demonstrate the stability of</w:t>
      </w:r>
      <w:r w:rsidR="00D5548A" w:rsidRPr="00393D99">
        <w:rPr>
          <w:rFonts w:ascii="Times New Roman" w:hAnsi="Times New Roman" w:cs="Times New Roman"/>
          <w:color w:val="000000"/>
          <w:sz w:val="24"/>
          <w:szCs w:val="24"/>
        </w:rPr>
        <w:t xml:space="preserve"> all the estimated models</w:t>
      </w:r>
      <w:r w:rsidR="00836BB4" w:rsidRPr="00393D99">
        <w:rPr>
          <w:rFonts w:ascii="Times New Roman" w:hAnsi="Times New Roman" w:cs="Times New Roman"/>
          <w:color w:val="000000"/>
          <w:sz w:val="24"/>
          <w:szCs w:val="24"/>
        </w:rPr>
        <w:t>,</w:t>
      </w:r>
      <w:r w:rsidR="008377A0" w:rsidRPr="00393D99">
        <w:rPr>
          <w:rFonts w:ascii="Times New Roman" w:hAnsi="Times New Roman" w:cs="Times New Roman"/>
          <w:color w:val="000000"/>
          <w:sz w:val="24"/>
          <w:szCs w:val="24"/>
        </w:rPr>
        <w:t xml:space="preserve"> </w:t>
      </w:r>
      <w:r w:rsidR="00D5548A" w:rsidRPr="00393D99">
        <w:rPr>
          <w:rFonts w:ascii="Times New Roman" w:hAnsi="Times New Roman" w:cs="Times New Roman"/>
          <w:color w:val="000000"/>
          <w:sz w:val="24"/>
          <w:szCs w:val="24"/>
        </w:rPr>
        <w:t xml:space="preserve">as </w:t>
      </w:r>
      <w:r w:rsidR="009F0399" w:rsidRPr="00393D99">
        <w:rPr>
          <w:rFonts w:ascii="Times New Roman" w:hAnsi="Times New Roman" w:cs="Times New Roman"/>
          <w:color w:val="000000"/>
          <w:sz w:val="24"/>
          <w:szCs w:val="24"/>
        </w:rPr>
        <w:t xml:space="preserve">the plots of each blue line </w:t>
      </w:r>
      <w:r w:rsidR="00D5548A" w:rsidRPr="00393D99">
        <w:rPr>
          <w:rFonts w:ascii="Times New Roman" w:hAnsi="Times New Roman" w:cs="Times New Roman"/>
          <w:color w:val="000000"/>
          <w:sz w:val="24"/>
          <w:szCs w:val="24"/>
        </w:rPr>
        <w:t>fall within the critical bound</w:t>
      </w:r>
      <w:r w:rsidR="00BE0518" w:rsidRPr="00393D99">
        <w:rPr>
          <w:rFonts w:ascii="Times New Roman" w:hAnsi="Times New Roman" w:cs="Times New Roman"/>
          <w:color w:val="000000"/>
          <w:sz w:val="24"/>
          <w:szCs w:val="24"/>
        </w:rPr>
        <w:t>aries</w:t>
      </w:r>
      <w:r w:rsidR="00912B49" w:rsidRPr="00393D99">
        <w:rPr>
          <w:rFonts w:ascii="Times New Roman" w:hAnsi="Times New Roman" w:cs="Times New Roman"/>
          <w:color w:val="000000"/>
          <w:sz w:val="24"/>
          <w:szCs w:val="24"/>
        </w:rPr>
        <w:t>.</w:t>
      </w:r>
    </w:p>
    <w:p w14:paraId="3D491659" w14:textId="77777777" w:rsidR="004A245A" w:rsidRPr="00393D99" w:rsidRDefault="004A245A" w:rsidP="00393D99">
      <w:pPr>
        <w:snapToGrid w:val="0"/>
        <w:spacing w:after="120" w:line="480" w:lineRule="auto"/>
        <w:ind w:left="2160" w:firstLine="720"/>
        <w:jc w:val="both"/>
        <w:rPr>
          <w:rFonts w:ascii="Times New Roman" w:hAnsi="Times New Roman" w:cs="Times New Roman"/>
          <w:color w:val="000000"/>
          <w:sz w:val="24"/>
          <w:szCs w:val="24"/>
        </w:rPr>
      </w:pPr>
      <w:r w:rsidRPr="00393D99">
        <w:rPr>
          <w:rFonts w:ascii="Times New Roman" w:hAnsi="Times New Roman" w:cs="Times New Roman"/>
          <w:b/>
          <w:sz w:val="24"/>
          <w:szCs w:val="24"/>
        </w:rPr>
        <w:lastRenderedPageBreak/>
        <w:t>[Insert Table 5 here]</w:t>
      </w:r>
    </w:p>
    <w:p w14:paraId="37EB1AB1" w14:textId="77777777" w:rsidR="003E5D85" w:rsidRPr="00393D99" w:rsidRDefault="003E5D85" w:rsidP="00B7783C">
      <w:pPr>
        <w:snapToGrid w:val="0"/>
        <w:spacing w:after="0" w:line="480" w:lineRule="auto"/>
        <w:ind w:firstLine="720"/>
        <w:jc w:val="both"/>
        <w:rPr>
          <w:rFonts w:ascii="Times New Roman" w:hAnsi="Times New Roman" w:cs="Times New Roman"/>
          <w:color w:val="000000"/>
          <w:sz w:val="24"/>
          <w:szCs w:val="24"/>
        </w:rPr>
      </w:pPr>
      <w:r w:rsidRPr="00393D99">
        <w:rPr>
          <w:rFonts w:ascii="Times New Roman" w:hAnsi="Times New Roman" w:cs="Times New Roman"/>
          <w:color w:val="000000"/>
          <w:sz w:val="24"/>
          <w:szCs w:val="24"/>
        </w:rPr>
        <w:t xml:space="preserve">Finally, Figure 2 </w:t>
      </w:r>
      <w:r w:rsidRPr="00393D99">
        <w:rPr>
          <w:rFonts w:ascii="Times New Roman" w:hAnsi="Times New Roman" w:cs="Times New Roman"/>
          <w:sz w:val="24"/>
          <w:szCs w:val="24"/>
        </w:rPr>
        <w:t>illustrates</w:t>
      </w:r>
      <w:r w:rsidRPr="00393D99">
        <w:rPr>
          <w:rFonts w:ascii="Times New Roman" w:hAnsi="Times New Roman" w:cs="Times New Roman"/>
          <w:color w:val="000000"/>
          <w:sz w:val="24"/>
          <w:szCs w:val="24"/>
        </w:rPr>
        <w:t xml:space="preserve"> </w:t>
      </w:r>
      <w:r w:rsidR="008377A0" w:rsidRPr="00393D99">
        <w:rPr>
          <w:rFonts w:ascii="Times New Roman" w:hAnsi="Times New Roman" w:cs="Times New Roman"/>
          <w:color w:val="000000"/>
          <w:sz w:val="24"/>
          <w:szCs w:val="24"/>
        </w:rPr>
        <w:t xml:space="preserve">after observing a shock, how growth returns to its steady-state in the long-run through </w:t>
      </w:r>
      <w:r w:rsidRPr="00393D99">
        <w:rPr>
          <w:rFonts w:ascii="Times New Roman" w:hAnsi="Times New Roman" w:cs="Times New Roman"/>
          <w:color w:val="000000"/>
          <w:sz w:val="24"/>
          <w:szCs w:val="24"/>
        </w:rPr>
        <w:t xml:space="preserve">the dynamic asymmetric adjustment pattern. It is evident that economic growth responds positively and significantly to </w:t>
      </w:r>
      <w:r w:rsidR="008377A0" w:rsidRPr="00393D99">
        <w:rPr>
          <w:rFonts w:ascii="Times New Roman" w:hAnsi="Times New Roman" w:cs="Times New Roman"/>
          <w:color w:val="000000"/>
          <w:sz w:val="24"/>
          <w:szCs w:val="24"/>
        </w:rPr>
        <w:t xml:space="preserve">upswings </w:t>
      </w:r>
      <w:r w:rsidRPr="00393D99">
        <w:rPr>
          <w:rFonts w:ascii="Times New Roman" w:hAnsi="Times New Roman" w:cs="Times New Roman"/>
          <w:color w:val="000000"/>
          <w:sz w:val="24"/>
          <w:szCs w:val="24"/>
        </w:rPr>
        <w:t xml:space="preserve">in </w:t>
      </w:r>
      <w:r w:rsidR="00BE0518" w:rsidRPr="00393D99">
        <w:rPr>
          <w:rFonts w:ascii="Times New Roman" w:hAnsi="Times New Roman" w:cs="Times New Roman"/>
          <w:color w:val="000000"/>
          <w:sz w:val="24"/>
          <w:szCs w:val="24"/>
        </w:rPr>
        <w:t>FDI outflows</w:t>
      </w:r>
      <w:r w:rsidRPr="00393D99">
        <w:rPr>
          <w:rFonts w:ascii="Times New Roman" w:hAnsi="Times New Roman" w:cs="Times New Roman"/>
          <w:color w:val="000000"/>
          <w:sz w:val="24"/>
          <w:szCs w:val="24"/>
        </w:rPr>
        <w:t xml:space="preserve">. Moreover, the </w:t>
      </w:r>
      <w:r w:rsidR="008377A0" w:rsidRPr="00393D99">
        <w:rPr>
          <w:rFonts w:ascii="Times New Roman" w:hAnsi="Times New Roman" w:cs="Times New Roman"/>
          <w:color w:val="000000"/>
          <w:sz w:val="24"/>
          <w:szCs w:val="24"/>
        </w:rPr>
        <w:t xml:space="preserve">adjustment of the </w:t>
      </w:r>
      <w:r w:rsidRPr="00393D99">
        <w:rPr>
          <w:rFonts w:ascii="Times New Roman" w:hAnsi="Times New Roman" w:cs="Times New Roman"/>
          <w:color w:val="000000"/>
          <w:sz w:val="24"/>
          <w:szCs w:val="24"/>
        </w:rPr>
        <w:t xml:space="preserve">dynamic multipliers of the negative changes </w:t>
      </w:r>
      <w:r w:rsidR="008377A0" w:rsidRPr="00393D99">
        <w:rPr>
          <w:rFonts w:ascii="Times New Roman" w:hAnsi="Times New Roman" w:cs="Times New Roman"/>
          <w:color w:val="000000"/>
          <w:sz w:val="24"/>
          <w:szCs w:val="24"/>
        </w:rPr>
        <w:t>in OFDI is</w:t>
      </w:r>
      <w:r w:rsidRPr="00393D99">
        <w:rPr>
          <w:rFonts w:ascii="Times New Roman" w:hAnsi="Times New Roman" w:cs="Times New Roman"/>
          <w:color w:val="000000"/>
          <w:sz w:val="24"/>
          <w:szCs w:val="24"/>
        </w:rPr>
        <w:t xml:space="preserve"> more </w:t>
      </w:r>
      <w:r w:rsidR="008377A0" w:rsidRPr="00393D99">
        <w:rPr>
          <w:rFonts w:ascii="Times New Roman" w:hAnsi="Times New Roman" w:cs="Times New Roman"/>
          <w:color w:val="000000"/>
          <w:sz w:val="24"/>
          <w:szCs w:val="24"/>
        </w:rPr>
        <w:t>rapid</w:t>
      </w:r>
      <w:r w:rsidR="00990B61" w:rsidRPr="00393D99">
        <w:rPr>
          <w:rFonts w:ascii="Times New Roman" w:hAnsi="Times New Roman" w:cs="Times New Roman"/>
          <w:color w:val="000000"/>
          <w:sz w:val="24"/>
          <w:szCs w:val="24"/>
        </w:rPr>
        <w:t xml:space="preserve"> </w:t>
      </w:r>
      <w:r w:rsidRPr="00393D99">
        <w:rPr>
          <w:rFonts w:ascii="Times New Roman" w:hAnsi="Times New Roman" w:cs="Times New Roman"/>
          <w:color w:val="000000"/>
          <w:sz w:val="24"/>
          <w:szCs w:val="24"/>
        </w:rPr>
        <w:t>and non</w:t>
      </w:r>
      <w:r w:rsidR="00BE0518" w:rsidRPr="00393D99">
        <w:rPr>
          <w:rFonts w:ascii="Times New Roman" w:hAnsi="Times New Roman" w:cs="Times New Roman"/>
          <w:color w:val="000000"/>
          <w:sz w:val="24"/>
          <w:szCs w:val="24"/>
        </w:rPr>
        <w:t>-</w:t>
      </w:r>
      <w:r w:rsidRPr="00393D99">
        <w:rPr>
          <w:rFonts w:ascii="Times New Roman" w:hAnsi="Times New Roman" w:cs="Times New Roman"/>
          <w:color w:val="000000"/>
          <w:sz w:val="24"/>
          <w:szCs w:val="24"/>
        </w:rPr>
        <w:t xml:space="preserve">linear. </w:t>
      </w:r>
      <w:r w:rsidR="008377A0" w:rsidRPr="00393D99">
        <w:rPr>
          <w:rFonts w:ascii="Times New Roman" w:hAnsi="Times New Roman" w:cs="Times New Roman"/>
          <w:color w:val="000000"/>
          <w:sz w:val="24"/>
          <w:szCs w:val="24"/>
        </w:rPr>
        <w:t>After the shock hits the economy</w:t>
      </w:r>
      <w:r w:rsidRPr="00393D99">
        <w:rPr>
          <w:rFonts w:ascii="Times New Roman" w:hAnsi="Times New Roman" w:cs="Times New Roman"/>
          <w:color w:val="000000"/>
          <w:sz w:val="24"/>
          <w:szCs w:val="24"/>
        </w:rPr>
        <w:t xml:space="preserve">, </w:t>
      </w:r>
      <w:r w:rsidR="008377A0" w:rsidRPr="00393D99">
        <w:rPr>
          <w:rFonts w:ascii="Times New Roman" w:hAnsi="Times New Roman" w:cs="Times New Roman"/>
          <w:color w:val="000000"/>
          <w:sz w:val="24"/>
          <w:szCs w:val="24"/>
        </w:rPr>
        <w:t xml:space="preserve">for up to four years, </w:t>
      </w:r>
      <w:r w:rsidRPr="00393D99">
        <w:rPr>
          <w:rFonts w:ascii="Times New Roman" w:hAnsi="Times New Roman" w:cs="Times New Roman"/>
          <w:color w:val="000000"/>
          <w:sz w:val="24"/>
          <w:szCs w:val="24"/>
        </w:rPr>
        <w:t xml:space="preserve">it causes an adverse reaction. </w:t>
      </w:r>
      <w:r w:rsidR="00176B5B" w:rsidRPr="00393D99">
        <w:rPr>
          <w:rFonts w:ascii="Times New Roman" w:hAnsi="Times New Roman" w:cs="Times New Roman"/>
          <w:color w:val="000000"/>
          <w:sz w:val="24"/>
          <w:szCs w:val="24"/>
        </w:rPr>
        <w:t xml:space="preserve">For the next few years, </w:t>
      </w:r>
      <w:r w:rsidR="00990B61" w:rsidRPr="00393D99">
        <w:rPr>
          <w:rFonts w:ascii="Times New Roman" w:hAnsi="Times New Roman" w:cs="Times New Roman"/>
          <w:color w:val="000000"/>
          <w:sz w:val="24"/>
          <w:szCs w:val="24"/>
        </w:rPr>
        <w:t>the neutral response has been observed</w:t>
      </w:r>
      <w:r w:rsidRPr="00393D99">
        <w:rPr>
          <w:rFonts w:ascii="Times New Roman" w:hAnsi="Times New Roman" w:cs="Times New Roman"/>
          <w:color w:val="000000"/>
          <w:sz w:val="24"/>
          <w:szCs w:val="24"/>
        </w:rPr>
        <w:t xml:space="preserve">, and it finally </w:t>
      </w:r>
      <w:r w:rsidR="008377A0" w:rsidRPr="00393D99">
        <w:rPr>
          <w:rFonts w:ascii="Times New Roman" w:hAnsi="Times New Roman" w:cs="Times New Roman"/>
          <w:color w:val="000000"/>
          <w:sz w:val="24"/>
          <w:szCs w:val="24"/>
        </w:rPr>
        <w:t xml:space="preserve">becomes </w:t>
      </w:r>
      <w:r w:rsidRPr="00393D99">
        <w:rPr>
          <w:rFonts w:ascii="Times New Roman" w:hAnsi="Times New Roman" w:cs="Times New Roman"/>
          <w:color w:val="000000"/>
          <w:sz w:val="24"/>
          <w:szCs w:val="24"/>
        </w:rPr>
        <w:t>stabl</w:t>
      </w:r>
      <w:r w:rsidR="008377A0" w:rsidRPr="00393D99">
        <w:rPr>
          <w:rFonts w:ascii="Times New Roman" w:hAnsi="Times New Roman" w:cs="Times New Roman"/>
          <w:color w:val="000000"/>
          <w:sz w:val="24"/>
          <w:szCs w:val="24"/>
        </w:rPr>
        <w:t>e</w:t>
      </w:r>
      <w:r w:rsidRPr="00393D99">
        <w:rPr>
          <w:rFonts w:ascii="Times New Roman" w:hAnsi="Times New Roman" w:cs="Times New Roman"/>
          <w:color w:val="000000"/>
          <w:sz w:val="24"/>
          <w:szCs w:val="24"/>
        </w:rPr>
        <w:t xml:space="preserve"> after about four years. </w:t>
      </w:r>
      <w:r w:rsidR="008377A0" w:rsidRPr="00393D99">
        <w:rPr>
          <w:rFonts w:ascii="Times New Roman" w:hAnsi="Times New Roman" w:cs="Times New Roman"/>
          <w:color w:val="000000"/>
          <w:sz w:val="24"/>
          <w:szCs w:val="24"/>
        </w:rPr>
        <w:t>As a whole</w:t>
      </w:r>
      <w:r w:rsidRPr="00393D99">
        <w:rPr>
          <w:rFonts w:ascii="Times New Roman" w:hAnsi="Times New Roman" w:cs="Times New Roman"/>
          <w:color w:val="000000"/>
          <w:sz w:val="24"/>
          <w:szCs w:val="24"/>
        </w:rPr>
        <w:t xml:space="preserve">, </w:t>
      </w:r>
      <w:r w:rsidR="008377A0" w:rsidRPr="00393D99">
        <w:rPr>
          <w:rFonts w:ascii="Times New Roman" w:hAnsi="Times New Roman" w:cs="Times New Roman"/>
          <w:color w:val="000000"/>
          <w:sz w:val="24"/>
          <w:szCs w:val="24"/>
        </w:rPr>
        <w:t xml:space="preserve">we can see </w:t>
      </w:r>
      <w:r w:rsidRPr="00393D99">
        <w:rPr>
          <w:rFonts w:ascii="Times New Roman" w:hAnsi="Times New Roman" w:cs="Times New Roman"/>
          <w:color w:val="000000"/>
          <w:sz w:val="24"/>
          <w:szCs w:val="24"/>
        </w:rPr>
        <w:t xml:space="preserve">that the more significant effect is derived from the positive changes </w:t>
      </w:r>
      <w:r w:rsidR="008377A0" w:rsidRPr="00393D99">
        <w:rPr>
          <w:rFonts w:ascii="Times New Roman" w:hAnsi="Times New Roman" w:cs="Times New Roman"/>
          <w:color w:val="000000"/>
          <w:sz w:val="24"/>
          <w:szCs w:val="24"/>
        </w:rPr>
        <w:t xml:space="preserve">in OFDI </w:t>
      </w:r>
      <w:r w:rsidRPr="00393D99">
        <w:rPr>
          <w:rFonts w:ascii="Times New Roman" w:hAnsi="Times New Roman" w:cs="Times New Roman"/>
          <w:color w:val="000000"/>
          <w:sz w:val="24"/>
          <w:szCs w:val="24"/>
        </w:rPr>
        <w:t>in the long</w:t>
      </w:r>
      <w:r w:rsidR="0014144F" w:rsidRPr="00393D99">
        <w:rPr>
          <w:rFonts w:ascii="Times New Roman" w:hAnsi="Times New Roman" w:cs="Times New Roman"/>
          <w:color w:val="000000"/>
          <w:sz w:val="24"/>
          <w:szCs w:val="24"/>
        </w:rPr>
        <w:t>-</w:t>
      </w:r>
      <w:r w:rsidRPr="00393D99">
        <w:rPr>
          <w:rFonts w:ascii="Times New Roman" w:hAnsi="Times New Roman" w:cs="Times New Roman"/>
          <w:color w:val="000000"/>
          <w:sz w:val="24"/>
          <w:szCs w:val="24"/>
        </w:rPr>
        <w:t xml:space="preserve">run, while the economic growth effects of </w:t>
      </w:r>
      <w:r w:rsidR="008377A0" w:rsidRPr="00393D99">
        <w:rPr>
          <w:rFonts w:ascii="Times New Roman" w:hAnsi="Times New Roman" w:cs="Times New Roman"/>
          <w:color w:val="000000"/>
          <w:sz w:val="24"/>
          <w:szCs w:val="24"/>
        </w:rPr>
        <w:t xml:space="preserve">positive </w:t>
      </w:r>
      <w:r w:rsidRPr="00393D99">
        <w:rPr>
          <w:rFonts w:ascii="Times New Roman" w:hAnsi="Times New Roman" w:cs="Times New Roman"/>
          <w:color w:val="000000"/>
          <w:sz w:val="24"/>
          <w:szCs w:val="24"/>
        </w:rPr>
        <w:t xml:space="preserve">changes in OFDI significantly dominate the </w:t>
      </w:r>
      <w:r w:rsidR="008377A0" w:rsidRPr="00393D99">
        <w:rPr>
          <w:rFonts w:ascii="Times New Roman" w:hAnsi="Times New Roman" w:cs="Times New Roman"/>
          <w:color w:val="000000"/>
          <w:sz w:val="24"/>
          <w:szCs w:val="24"/>
        </w:rPr>
        <w:t xml:space="preserve">negative </w:t>
      </w:r>
      <w:r w:rsidRPr="00393D99">
        <w:rPr>
          <w:rFonts w:ascii="Times New Roman" w:hAnsi="Times New Roman" w:cs="Times New Roman"/>
          <w:color w:val="000000"/>
          <w:sz w:val="24"/>
          <w:szCs w:val="24"/>
        </w:rPr>
        <w:t>changes.</w:t>
      </w:r>
    </w:p>
    <w:p w14:paraId="2DE2BDDA" w14:textId="787BE8FD" w:rsidR="00C656C9" w:rsidRPr="00D82855" w:rsidRDefault="004A245A" w:rsidP="00D82855">
      <w:pPr>
        <w:snapToGrid w:val="0"/>
        <w:spacing w:after="120" w:line="480" w:lineRule="auto"/>
        <w:ind w:left="2160" w:firstLine="720"/>
        <w:jc w:val="both"/>
        <w:rPr>
          <w:rFonts w:ascii="Times New Roman" w:hAnsi="Times New Roman" w:cs="Times New Roman"/>
          <w:color w:val="000000"/>
          <w:sz w:val="24"/>
          <w:szCs w:val="24"/>
        </w:rPr>
      </w:pPr>
      <w:r w:rsidRPr="00393D99">
        <w:rPr>
          <w:rFonts w:ascii="Times New Roman" w:hAnsi="Times New Roman" w:cs="Times New Roman"/>
          <w:b/>
          <w:sz w:val="24"/>
          <w:szCs w:val="24"/>
        </w:rPr>
        <w:t>[Insert Figure 2 here]</w:t>
      </w:r>
    </w:p>
    <w:p w14:paraId="6E9A0DBD" w14:textId="77777777" w:rsidR="00310950" w:rsidRPr="00B7783C" w:rsidRDefault="00C656C9" w:rsidP="00393D99">
      <w:pPr>
        <w:pStyle w:val="BodyText1"/>
        <w:snapToGrid w:val="0"/>
        <w:spacing w:after="120" w:line="480" w:lineRule="auto"/>
        <w:rPr>
          <w:rFonts w:ascii="Times New Roman" w:hAnsi="Times New Roman"/>
          <w:b/>
          <w:color w:val="000000"/>
          <w:sz w:val="24"/>
          <w:szCs w:val="24"/>
          <w:lang w:val="en-US"/>
        </w:rPr>
      </w:pPr>
      <w:r w:rsidRPr="00393D99">
        <w:rPr>
          <w:rFonts w:ascii="Times New Roman" w:hAnsi="Times New Roman"/>
          <w:b/>
          <w:color w:val="000000"/>
          <w:sz w:val="24"/>
          <w:szCs w:val="24"/>
          <w:lang w:val="en-US"/>
        </w:rPr>
        <w:t>5. Conclusions, policy implications, limitation</w:t>
      </w:r>
      <w:r w:rsidR="0087318F" w:rsidRPr="00393D99">
        <w:rPr>
          <w:rFonts w:ascii="Times New Roman" w:hAnsi="Times New Roman"/>
          <w:b/>
          <w:color w:val="000000"/>
          <w:sz w:val="24"/>
          <w:szCs w:val="24"/>
          <w:lang w:val="en-US"/>
        </w:rPr>
        <w:t>s, and future research direction</w:t>
      </w:r>
    </w:p>
    <w:p w14:paraId="270DF8AF" w14:textId="77777777" w:rsidR="00B81BB5" w:rsidRPr="00393D99" w:rsidRDefault="00990B61" w:rsidP="00393D99">
      <w:pPr>
        <w:pStyle w:val="BodyText1"/>
        <w:snapToGrid w:val="0"/>
        <w:spacing w:after="120" w:line="480" w:lineRule="auto"/>
        <w:rPr>
          <w:rFonts w:ascii="Times New Roman" w:hAnsi="Times New Roman"/>
          <w:sz w:val="24"/>
          <w:szCs w:val="24"/>
        </w:rPr>
      </w:pPr>
      <w:r w:rsidRPr="00393D99">
        <w:rPr>
          <w:rFonts w:ascii="Times New Roman" w:hAnsi="Times New Roman"/>
          <w:color w:val="000000"/>
          <w:sz w:val="24"/>
          <w:szCs w:val="24"/>
        </w:rPr>
        <w:t>This</w:t>
      </w:r>
      <w:r w:rsidR="00D25B5C" w:rsidRPr="00393D99">
        <w:rPr>
          <w:rFonts w:ascii="Times New Roman" w:hAnsi="Times New Roman"/>
          <w:sz w:val="24"/>
          <w:szCs w:val="24"/>
        </w:rPr>
        <w:t xml:space="preserve"> study investigated the dynamics between </w:t>
      </w:r>
      <w:r w:rsidR="00A41F8E" w:rsidRPr="00393D99">
        <w:rPr>
          <w:rFonts w:ascii="Times New Roman" w:hAnsi="Times New Roman"/>
          <w:sz w:val="24"/>
          <w:szCs w:val="24"/>
        </w:rPr>
        <w:t>OFDI</w:t>
      </w:r>
      <w:r w:rsidR="00D25B5C" w:rsidRPr="00393D99">
        <w:rPr>
          <w:rFonts w:ascii="Times New Roman" w:hAnsi="Times New Roman"/>
          <w:sz w:val="24"/>
          <w:szCs w:val="24"/>
        </w:rPr>
        <w:t xml:space="preserve"> and economic growth in Romania. We used a</w:t>
      </w:r>
      <w:r w:rsidR="00983EE6" w:rsidRPr="00393D99">
        <w:rPr>
          <w:rFonts w:ascii="Times New Roman" w:hAnsi="Times New Roman"/>
          <w:sz w:val="24"/>
          <w:szCs w:val="24"/>
        </w:rPr>
        <w:t xml:space="preserve"> </w:t>
      </w:r>
      <w:r w:rsidR="00D25B5C" w:rsidRPr="00393D99">
        <w:rPr>
          <w:rFonts w:ascii="Times New Roman" w:hAnsi="Times New Roman"/>
          <w:sz w:val="24"/>
          <w:szCs w:val="24"/>
        </w:rPr>
        <w:t xml:space="preserve">nonlinear </w:t>
      </w:r>
      <w:r w:rsidR="00933267" w:rsidRPr="00393D99">
        <w:rPr>
          <w:rFonts w:ascii="Times New Roman" w:hAnsi="Times New Roman"/>
          <w:sz w:val="24"/>
          <w:szCs w:val="24"/>
        </w:rPr>
        <w:t>ARDL approach to capture the non-linear</w:t>
      </w:r>
      <w:r w:rsidR="00D25B5C" w:rsidRPr="00393D99">
        <w:rPr>
          <w:rFonts w:ascii="Times New Roman" w:hAnsi="Times New Roman"/>
          <w:sz w:val="24"/>
          <w:szCs w:val="24"/>
        </w:rPr>
        <w:t xml:space="preserve"> effects of outward FDI on economic growth. </w:t>
      </w:r>
      <w:r w:rsidR="0057502B" w:rsidRPr="00393D99">
        <w:rPr>
          <w:rFonts w:ascii="Times New Roman" w:hAnsi="Times New Roman"/>
          <w:sz w:val="24"/>
          <w:szCs w:val="24"/>
        </w:rPr>
        <w:t xml:space="preserve">Based on the </w:t>
      </w:r>
      <w:r w:rsidR="00D25B5C" w:rsidRPr="00393D99">
        <w:rPr>
          <w:rFonts w:ascii="Times New Roman" w:hAnsi="Times New Roman"/>
          <w:sz w:val="24"/>
          <w:szCs w:val="24"/>
        </w:rPr>
        <w:t xml:space="preserve">theoretical and empirical </w:t>
      </w:r>
      <w:r w:rsidR="004D33C3" w:rsidRPr="00393D99">
        <w:rPr>
          <w:rFonts w:ascii="Times New Roman" w:hAnsi="Times New Roman"/>
          <w:sz w:val="24"/>
          <w:szCs w:val="24"/>
        </w:rPr>
        <w:t>background</w:t>
      </w:r>
      <w:r w:rsidR="00D25B5C" w:rsidRPr="00393D99">
        <w:rPr>
          <w:rFonts w:ascii="Times New Roman" w:hAnsi="Times New Roman"/>
          <w:sz w:val="24"/>
          <w:szCs w:val="24"/>
        </w:rPr>
        <w:t>, it is argued that</w:t>
      </w:r>
      <w:r w:rsidR="00182482" w:rsidRPr="00393D99">
        <w:rPr>
          <w:rFonts w:ascii="Times New Roman" w:hAnsi="Times New Roman"/>
          <w:sz w:val="24"/>
          <w:szCs w:val="24"/>
        </w:rPr>
        <w:t xml:space="preserve"> multinational </w:t>
      </w:r>
      <w:r w:rsidR="0057502B" w:rsidRPr="00393D99">
        <w:rPr>
          <w:rFonts w:ascii="Times New Roman" w:hAnsi="Times New Roman"/>
          <w:sz w:val="24"/>
          <w:szCs w:val="24"/>
        </w:rPr>
        <w:t xml:space="preserve">firms </w:t>
      </w:r>
      <w:r w:rsidR="00D25B5C" w:rsidRPr="00393D99">
        <w:rPr>
          <w:rFonts w:ascii="Times New Roman" w:hAnsi="Times New Roman"/>
          <w:sz w:val="24"/>
          <w:szCs w:val="24"/>
        </w:rPr>
        <w:t xml:space="preserve">pursue assets abroad through </w:t>
      </w:r>
      <w:r w:rsidR="00933267" w:rsidRPr="00393D99">
        <w:rPr>
          <w:rFonts w:ascii="Times New Roman" w:hAnsi="Times New Roman"/>
          <w:sz w:val="24"/>
          <w:szCs w:val="24"/>
        </w:rPr>
        <w:t>OFDI in order to generate fund</w:t>
      </w:r>
      <w:r w:rsidR="0057502B" w:rsidRPr="00393D99">
        <w:rPr>
          <w:rFonts w:ascii="Times New Roman" w:hAnsi="Times New Roman"/>
          <w:sz w:val="24"/>
          <w:szCs w:val="24"/>
        </w:rPr>
        <w:t>s</w:t>
      </w:r>
      <w:r w:rsidR="00D25B5C" w:rsidRPr="00393D99">
        <w:rPr>
          <w:rFonts w:ascii="Times New Roman" w:hAnsi="Times New Roman"/>
          <w:sz w:val="24"/>
          <w:szCs w:val="24"/>
        </w:rPr>
        <w:t xml:space="preserve">. Moreover, these financial and tangible capabilities promote </w:t>
      </w:r>
      <w:r w:rsidR="008F2527" w:rsidRPr="00393D99">
        <w:rPr>
          <w:rFonts w:ascii="Times New Roman" w:hAnsi="Times New Roman"/>
          <w:sz w:val="24"/>
          <w:szCs w:val="24"/>
        </w:rPr>
        <w:t xml:space="preserve">the </w:t>
      </w:r>
      <w:r w:rsidR="00D25B5C" w:rsidRPr="00393D99">
        <w:rPr>
          <w:rFonts w:ascii="Times New Roman" w:hAnsi="Times New Roman"/>
          <w:sz w:val="24"/>
          <w:szCs w:val="24"/>
        </w:rPr>
        <w:t xml:space="preserve">country’s growth process, </w:t>
      </w:r>
      <w:r w:rsidR="0057502B" w:rsidRPr="00393D99">
        <w:rPr>
          <w:rFonts w:ascii="Times New Roman" w:hAnsi="Times New Roman"/>
          <w:sz w:val="24"/>
          <w:szCs w:val="24"/>
        </w:rPr>
        <w:t>for example,</w:t>
      </w:r>
      <w:r w:rsidR="00D25B5C" w:rsidRPr="00393D99">
        <w:rPr>
          <w:rFonts w:ascii="Times New Roman" w:hAnsi="Times New Roman"/>
          <w:sz w:val="24"/>
          <w:szCs w:val="24"/>
        </w:rPr>
        <w:t xml:space="preserve"> by </w:t>
      </w:r>
      <w:r w:rsidR="008377A0" w:rsidRPr="00393D99">
        <w:rPr>
          <w:rFonts w:ascii="Times New Roman" w:hAnsi="Times New Roman"/>
          <w:sz w:val="24"/>
          <w:szCs w:val="24"/>
        </w:rPr>
        <w:t xml:space="preserve">lending support to growth in industry </w:t>
      </w:r>
      <w:r w:rsidR="00D25B5C" w:rsidRPr="00393D99">
        <w:rPr>
          <w:rFonts w:ascii="Times New Roman" w:hAnsi="Times New Roman"/>
          <w:sz w:val="24"/>
          <w:szCs w:val="24"/>
        </w:rPr>
        <w:t xml:space="preserve">and </w:t>
      </w:r>
      <w:r w:rsidR="008377A0" w:rsidRPr="00393D99">
        <w:rPr>
          <w:rFonts w:ascii="Times New Roman" w:hAnsi="Times New Roman"/>
          <w:sz w:val="24"/>
          <w:szCs w:val="24"/>
        </w:rPr>
        <w:t xml:space="preserve">improvement in </w:t>
      </w:r>
      <w:r w:rsidR="00D25B5C" w:rsidRPr="00393D99">
        <w:rPr>
          <w:rFonts w:ascii="Times New Roman" w:hAnsi="Times New Roman"/>
          <w:sz w:val="24"/>
          <w:szCs w:val="24"/>
        </w:rPr>
        <w:t>technolog</w:t>
      </w:r>
      <w:r w:rsidR="008377A0" w:rsidRPr="00393D99">
        <w:rPr>
          <w:rFonts w:ascii="Times New Roman" w:hAnsi="Times New Roman"/>
          <w:sz w:val="24"/>
          <w:szCs w:val="24"/>
        </w:rPr>
        <w:t>y</w:t>
      </w:r>
      <w:r w:rsidR="00D25B5C" w:rsidRPr="00393D99">
        <w:rPr>
          <w:rFonts w:ascii="Times New Roman" w:hAnsi="Times New Roman"/>
          <w:sz w:val="24"/>
          <w:szCs w:val="24"/>
        </w:rPr>
        <w:t xml:space="preserve">, </w:t>
      </w:r>
      <w:r w:rsidR="0057502B" w:rsidRPr="00393D99">
        <w:rPr>
          <w:rFonts w:ascii="Times New Roman" w:hAnsi="Times New Roman"/>
          <w:sz w:val="24"/>
          <w:szCs w:val="24"/>
        </w:rPr>
        <w:t>increasing</w:t>
      </w:r>
      <w:r w:rsidR="00D25B5C" w:rsidRPr="00393D99">
        <w:rPr>
          <w:rFonts w:ascii="Times New Roman" w:hAnsi="Times New Roman"/>
          <w:sz w:val="24"/>
          <w:szCs w:val="24"/>
        </w:rPr>
        <w:t xml:space="preserve"> production capacit</w:t>
      </w:r>
      <w:r w:rsidR="00C13193" w:rsidRPr="00393D99">
        <w:rPr>
          <w:rFonts w:ascii="Times New Roman" w:hAnsi="Times New Roman"/>
          <w:sz w:val="24"/>
          <w:szCs w:val="24"/>
        </w:rPr>
        <w:t>y</w:t>
      </w:r>
      <w:r w:rsidR="00D25B5C" w:rsidRPr="00393D99">
        <w:rPr>
          <w:rFonts w:ascii="Times New Roman" w:hAnsi="Times New Roman"/>
          <w:sz w:val="24"/>
          <w:szCs w:val="24"/>
        </w:rPr>
        <w:t>, and providing</w:t>
      </w:r>
      <w:r w:rsidR="008377A0" w:rsidRPr="00393D99">
        <w:rPr>
          <w:rFonts w:ascii="Times New Roman" w:hAnsi="Times New Roman"/>
          <w:sz w:val="24"/>
          <w:szCs w:val="24"/>
        </w:rPr>
        <w:t xml:space="preserve"> </w:t>
      </w:r>
      <w:r w:rsidR="00D25B5C" w:rsidRPr="00393D99">
        <w:rPr>
          <w:rFonts w:ascii="Times New Roman" w:hAnsi="Times New Roman"/>
          <w:sz w:val="24"/>
          <w:szCs w:val="24"/>
        </w:rPr>
        <w:t xml:space="preserve">stability </w:t>
      </w:r>
      <w:r w:rsidR="008377A0" w:rsidRPr="00393D99">
        <w:rPr>
          <w:rFonts w:ascii="Times New Roman" w:hAnsi="Times New Roman"/>
          <w:sz w:val="24"/>
          <w:szCs w:val="24"/>
        </w:rPr>
        <w:t xml:space="preserve">essential for </w:t>
      </w:r>
      <w:r w:rsidR="00C656C9" w:rsidRPr="00393D99">
        <w:rPr>
          <w:rFonts w:ascii="Times New Roman" w:hAnsi="Times New Roman"/>
          <w:sz w:val="24"/>
          <w:szCs w:val="24"/>
        </w:rPr>
        <w:t xml:space="preserve">the </w:t>
      </w:r>
      <w:r w:rsidR="00C13193" w:rsidRPr="00393D99">
        <w:rPr>
          <w:rFonts w:ascii="Times New Roman" w:hAnsi="Times New Roman"/>
          <w:sz w:val="24"/>
          <w:szCs w:val="24"/>
        </w:rPr>
        <w:t>growth</w:t>
      </w:r>
      <w:r w:rsidR="008377A0" w:rsidRPr="00393D99">
        <w:rPr>
          <w:rFonts w:ascii="Times New Roman" w:hAnsi="Times New Roman"/>
          <w:sz w:val="24"/>
          <w:szCs w:val="24"/>
        </w:rPr>
        <w:t xml:space="preserve"> </w:t>
      </w:r>
      <w:r w:rsidR="00C656C9" w:rsidRPr="00393D99">
        <w:rPr>
          <w:rFonts w:ascii="Times New Roman" w:hAnsi="Times New Roman"/>
          <w:sz w:val="24"/>
          <w:szCs w:val="24"/>
        </w:rPr>
        <w:t>process.</w:t>
      </w:r>
    </w:p>
    <w:p w14:paraId="5E0A1023" w14:textId="77777777" w:rsidR="00B81BB5" w:rsidRPr="00393D99" w:rsidRDefault="00D25B5C" w:rsidP="00B7783C">
      <w:pPr>
        <w:pStyle w:val="BodyText1"/>
        <w:snapToGrid w:val="0"/>
        <w:spacing w:after="0" w:line="480" w:lineRule="auto"/>
        <w:ind w:firstLine="720"/>
        <w:rPr>
          <w:rFonts w:ascii="Times New Roman" w:hAnsi="Times New Roman"/>
          <w:sz w:val="24"/>
          <w:szCs w:val="24"/>
        </w:rPr>
      </w:pPr>
      <w:r w:rsidRPr="00393D99">
        <w:rPr>
          <w:rFonts w:ascii="Times New Roman" w:hAnsi="Times New Roman"/>
          <w:sz w:val="24"/>
          <w:szCs w:val="24"/>
        </w:rPr>
        <w:t xml:space="preserve">The empirical findings of the present study indicate an asymmetric relationship between OFDI and economic growth, </w:t>
      </w:r>
      <w:r w:rsidR="004D33C3" w:rsidRPr="00393D99">
        <w:rPr>
          <w:rFonts w:ascii="Times New Roman" w:hAnsi="Times New Roman"/>
          <w:sz w:val="24"/>
          <w:szCs w:val="24"/>
        </w:rPr>
        <w:t>contrary to existing</w:t>
      </w:r>
      <w:r w:rsidRPr="00393D99">
        <w:rPr>
          <w:rFonts w:ascii="Times New Roman" w:hAnsi="Times New Roman"/>
          <w:sz w:val="24"/>
          <w:szCs w:val="24"/>
        </w:rPr>
        <w:t xml:space="preserve"> studies that mainly focused on their symmetric relationship. The overall findings of the study show that both an </w:t>
      </w:r>
      <w:r w:rsidRPr="00393D99">
        <w:rPr>
          <w:rFonts w:ascii="Times New Roman" w:hAnsi="Times New Roman"/>
          <w:sz w:val="24"/>
          <w:szCs w:val="24"/>
        </w:rPr>
        <w:lastRenderedPageBreak/>
        <w:t xml:space="preserve">increase and a decrease in OFDI have </w:t>
      </w:r>
      <w:r w:rsidR="008F2527" w:rsidRPr="00393D99">
        <w:rPr>
          <w:rFonts w:ascii="Times New Roman" w:hAnsi="Times New Roman"/>
          <w:sz w:val="24"/>
          <w:szCs w:val="24"/>
        </w:rPr>
        <w:t xml:space="preserve">a </w:t>
      </w:r>
      <w:r w:rsidRPr="00393D99">
        <w:rPr>
          <w:rFonts w:ascii="Times New Roman" w:hAnsi="Times New Roman"/>
          <w:sz w:val="24"/>
          <w:szCs w:val="24"/>
        </w:rPr>
        <w:t xml:space="preserve">positive and significant influence on Romania’s economic growth. </w:t>
      </w:r>
      <w:r w:rsidR="004D33C3" w:rsidRPr="00393D99">
        <w:rPr>
          <w:rFonts w:ascii="Times New Roman" w:hAnsi="Times New Roman"/>
          <w:sz w:val="24"/>
          <w:szCs w:val="24"/>
        </w:rPr>
        <w:t>Nevertheless</w:t>
      </w:r>
      <w:r w:rsidRPr="00393D99">
        <w:rPr>
          <w:rFonts w:ascii="Times New Roman" w:hAnsi="Times New Roman"/>
          <w:sz w:val="24"/>
          <w:szCs w:val="24"/>
        </w:rPr>
        <w:t xml:space="preserve">, the </w:t>
      </w:r>
      <w:r w:rsidR="008F2527" w:rsidRPr="00393D99">
        <w:rPr>
          <w:rFonts w:ascii="Times New Roman" w:hAnsi="Times New Roman"/>
          <w:sz w:val="24"/>
          <w:szCs w:val="24"/>
        </w:rPr>
        <w:t xml:space="preserve">more significant </w:t>
      </w:r>
      <w:r w:rsidRPr="00393D99">
        <w:rPr>
          <w:rFonts w:ascii="Times New Roman" w:hAnsi="Times New Roman"/>
          <w:sz w:val="24"/>
          <w:szCs w:val="24"/>
        </w:rPr>
        <w:t>effect is observed from the positive changes in the long-run, s</w:t>
      </w:r>
      <w:r w:rsidR="00177532" w:rsidRPr="00393D99">
        <w:rPr>
          <w:rFonts w:ascii="Times New Roman" w:hAnsi="Times New Roman"/>
          <w:sz w:val="24"/>
          <w:szCs w:val="24"/>
        </w:rPr>
        <w:t>uggesting that</w:t>
      </w:r>
      <w:r w:rsidRPr="00393D99">
        <w:rPr>
          <w:rFonts w:ascii="Times New Roman" w:hAnsi="Times New Roman"/>
          <w:sz w:val="24"/>
          <w:szCs w:val="24"/>
        </w:rPr>
        <w:t xml:space="preserve"> </w:t>
      </w:r>
      <w:r w:rsidR="00933267" w:rsidRPr="00393D99">
        <w:rPr>
          <w:rFonts w:ascii="Times New Roman" w:hAnsi="Times New Roman"/>
          <w:sz w:val="24"/>
          <w:szCs w:val="24"/>
        </w:rPr>
        <w:t xml:space="preserve">the </w:t>
      </w:r>
      <w:r w:rsidRPr="00393D99">
        <w:rPr>
          <w:rFonts w:ascii="Times New Roman" w:hAnsi="Times New Roman"/>
          <w:sz w:val="24"/>
          <w:szCs w:val="24"/>
        </w:rPr>
        <w:t xml:space="preserve">upward changes in OFDI dominates the downward changes. In general, overseas investment-related activities of Romanian firms improve the productivity of </w:t>
      </w:r>
      <w:r w:rsidR="004D33C3" w:rsidRPr="00393D99">
        <w:rPr>
          <w:rFonts w:ascii="Times New Roman" w:hAnsi="Times New Roman"/>
          <w:sz w:val="24"/>
          <w:szCs w:val="24"/>
        </w:rPr>
        <w:t>domestic</w:t>
      </w:r>
      <w:r w:rsidRPr="00393D99">
        <w:rPr>
          <w:rFonts w:ascii="Times New Roman" w:hAnsi="Times New Roman"/>
          <w:sz w:val="24"/>
          <w:szCs w:val="24"/>
        </w:rPr>
        <w:t xml:space="preserve"> activities</w:t>
      </w:r>
      <w:r w:rsidR="008F2527" w:rsidRPr="00393D99">
        <w:rPr>
          <w:rFonts w:ascii="Times New Roman" w:hAnsi="Times New Roman"/>
          <w:sz w:val="24"/>
          <w:szCs w:val="24"/>
        </w:rPr>
        <w:t>,</w:t>
      </w:r>
      <w:r w:rsidRPr="00393D99">
        <w:rPr>
          <w:rFonts w:ascii="Times New Roman" w:hAnsi="Times New Roman"/>
          <w:sz w:val="24"/>
          <w:szCs w:val="24"/>
        </w:rPr>
        <w:t xml:space="preserve"> which in turn stimulate the economic growth of the country. The findings of the current </w:t>
      </w:r>
      <w:r w:rsidR="001F6FC8" w:rsidRPr="00393D99">
        <w:rPr>
          <w:rFonts w:ascii="Times New Roman" w:hAnsi="Times New Roman"/>
          <w:sz w:val="24"/>
          <w:szCs w:val="24"/>
        </w:rPr>
        <w:t>supports</w:t>
      </w:r>
      <w:r w:rsidRPr="00393D99">
        <w:rPr>
          <w:rFonts w:ascii="Times New Roman" w:hAnsi="Times New Roman"/>
          <w:sz w:val="24"/>
          <w:szCs w:val="24"/>
        </w:rPr>
        <w:t xml:space="preserve"> to the new OFDI-led growth theories, which postulate that countries get involved in outward investment in order to acquire valued input factors at lower prices and to access the latest technology to promote economic growth in the country through transferring assets back to the home country.</w:t>
      </w:r>
    </w:p>
    <w:p w14:paraId="431A0241" w14:textId="77777777" w:rsidR="00B7783C" w:rsidRDefault="005B7E42" w:rsidP="00B7783C">
      <w:pPr>
        <w:pStyle w:val="BodyText1"/>
        <w:snapToGrid w:val="0"/>
        <w:spacing w:after="120" w:line="480" w:lineRule="auto"/>
        <w:rPr>
          <w:rFonts w:ascii="Times New Roman" w:hAnsi="Times New Roman"/>
          <w:sz w:val="24"/>
          <w:szCs w:val="24"/>
          <w:lang w:eastAsia="en-US"/>
        </w:rPr>
      </w:pPr>
      <w:r w:rsidRPr="00393D99">
        <w:rPr>
          <w:rFonts w:ascii="Times New Roman" w:hAnsi="Times New Roman"/>
          <w:sz w:val="24"/>
          <w:szCs w:val="24"/>
        </w:rPr>
        <w:t xml:space="preserve">In terms of policy implications, our analysis suggests </w:t>
      </w:r>
      <w:r w:rsidR="00C13193" w:rsidRPr="00393D99">
        <w:rPr>
          <w:rFonts w:ascii="Times New Roman" w:hAnsi="Times New Roman"/>
          <w:sz w:val="24"/>
          <w:szCs w:val="24"/>
        </w:rPr>
        <w:t xml:space="preserve">an </w:t>
      </w:r>
      <w:r w:rsidRPr="00393D99">
        <w:rPr>
          <w:rFonts w:ascii="Times New Roman" w:hAnsi="Times New Roman"/>
          <w:sz w:val="24"/>
          <w:szCs w:val="24"/>
        </w:rPr>
        <w:t>increase</w:t>
      </w:r>
      <w:r w:rsidRPr="00393D99">
        <w:rPr>
          <w:rFonts w:ascii="Times New Roman" w:hAnsi="Times New Roman"/>
          <w:sz w:val="24"/>
          <w:szCs w:val="24"/>
          <w:lang w:eastAsia="en-US"/>
        </w:rPr>
        <w:t xml:space="preserve"> in GDP and </w:t>
      </w:r>
      <w:r w:rsidR="001F6FC8" w:rsidRPr="00393D99">
        <w:rPr>
          <w:rFonts w:ascii="Times New Roman" w:hAnsi="Times New Roman"/>
          <w:sz w:val="24"/>
          <w:szCs w:val="24"/>
          <w:lang w:eastAsia="en-US"/>
        </w:rPr>
        <w:t>related</w:t>
      </w:r>
      <w:r w:rsidRPr="00393D99">
        <w:rPr>
          <w:rFonts w:ascii="Times New Roman" w:hAnsi="Times New Roman"/>
          <w:sz w:val="24"/>
          <w:szCs w:val="24"/>
          <w:lang w:eastAsia="en-US"/>
        </w:rPr>
        <w:t xml:space="preserve"> productivity improvements</w:t>
      </w:r>
      <w:r w:rsidR="00D260B4" w:rsidRPr="00393D99">
        <w:rPr>
          <w:rFonts w:ascii="Times New Roman" w:hAnsi="Times New Roman"/>
          <w:sz w:val="24"/>
          <w:szCs w:val="24"/>
          <w:lang w:eastAsia="en-US"/>
        </w:rPr>
        <w:t>, in turn,</w:t>
      </w:r>
      <w:r w:rsidRPr="00393D99">
        <w:rPr>
          <w:rFonts w:ascii="Times New Roman" w:hAnsi="Times New Roman"/>
          <w:sz w:val="24"/>
          <w:szCs w:val="24"/>
          <w:lang w:eastAsia="en-US"/>
        </w:rPr>
        <w:t xml:space="preserve"> </w:t>
      </w:r>
      <w:r w:rsidR="00C13193" w:rsidRPr="00393D99">
        <w:rPr>
          <w:rFonts w:ascii="Times New Roman" w:hAnsi="Times New Roman"/>
          <w:sz w:val="24"/>
          <w:szCs w:val="24"/>
          <w:lang w:eastAsia="en-US"/>
        </w:rPr>
        <w:t xml:space="preserve">encourage </w:t>
      </w:r>
      <w:r w:rsidRPr="00393D99">
        <w:rPr>
          <w:rFonts w:ascii="Times New Roman" w:hAnsi="Times New Roman"/>
          <w:sz w:val="24"/>
          <w:szCs w:val="24"/>
          <w:lang w:eastAsia="en-US"/>
        </w:rPr>
        <w:t xml:space="preserve">ﬁrms </w:t>
      </w:r>
      <w:r w:rsidR="00C13193" w:rsidRPr="00393D99">
        <w:rPr>
          <w:rFonts w:ascii="Times New Roman" w:hAnsi="Times New Roman"/>
          <w:sz w:val="24"/>
          <w:szCs w:val="24"/>
          <w:lang w:eastAsia="en-US"/>
        </w:rPr>
        <w:t xml:space="preserve">for higher </w:t>
      </w:r>
      <w:r w:rsidR="00106498" w:rsidRPr="00393D99">
        <w:rPr>
          <w:rFonts w:ascii="Times New Roman" w:hAnsi="Times New Roman"/>
          <w:sz w:val="24"/>
          <w:szCs w:val="24"/>
          <w:lang w:eastAsia="en-US"/>
        </w:rPr>
        <w:t xml:space="preserve">cross-border </w:t>
      </w:r>
      <w:r w:rsidR="00C13193" w:rsidRPr="00393D99">
        <w:rPr>
          <w:rFonts w:ascii="Times New Roman" w:hAnsi="Times New Roman"/>
          <w:sz w:val="24"/>
          <w:szCs w:val="24"/>
          <w:lang w:eastAsia="en-US"/>
        </w:rPr>
        <w:t>invest</w:t>
      </w:r>
      <w:r w:rsidR="008377A0" w:rsidRPr="00393D99">
        <w:rPr>
          <w:rFonts w:ascii="Times New Roman" w:hAnsi="Times New Roman"/>
          <w:sz w:val="24"/>
          <w:szCs w:val="24"/>
          <w:lang w:eastAsia="en-US"/>
        </w:rPr>
        <w:t>ments</w:t>
      </w:r>
      <w:r w:rsidRPr="00393D99">
        <w:rPr>
          <w:rFonts w:ascii="Times New Roman" w:hAnsi="Times New Roman"/>
          <w:sz w:val="24"/>
          <w:szCs w:val="24"/>
          <w:lang w:eastAsia="en-US"/>
        </w:rPr>
        <w:t xml:space="preserve">. </w:t>
      </w:r>
      <w:r w:rsidR="00177532" w:rsidRPr="00393D99">
        <w:rPr>
          <w:rFonts w:ascii="Times New Roman" w:hAnsi="Times New Roman"/>
          <w:sz w:val="24"/>
          <w:szCs w:val="24"/>
          <w:lang w:eastAsia="en-US"/>
        </w:rPr>
        <w:t xml:space="preserve">However, as a decline in OFDI also does not hurt the Romanian economy, we suggest that the government needs to find a balanced approach that promotes FDI outflows but still keeps it in </w:t>
      </w:r>
      <w:r w:rsidR="00D260B4" w:rsidRPr="00393D99">
        <w:rPr>
          <w:rFonts w:ascii="Times New Roman" w:hAnsi="Times New Roman"/>
          <w:sz w:val="24"/>
          <w:szCs w:val="24"/>
          <w:lang w:eastAsia="en-US"/>
        </w:rPr>
        <w:t xml:space="preserve">a </w:t>
      </w:r>
      <w:r w:rsidR="00177532" w:rsidRPr="00393D99">
        <w:rPr>
          <w:rFonts w:ascii="Times New Roman" w:hAnsi="Times New Roman"/>
          <w:sz w:val="24"/>
          <w:szCs w:val="24"/>
          <w:lang w:eastAsia="en-US"/>
        </w:rPr>
        <w:t>moderate range so that the benefits of both an increase and a decrease in OFDI can be realized in the long-run.</w:t>
      </w:r>
      <w:r w:rsidR="00D260B4" w:rsidRPr="00393D99">
        <w:rPr>
          <w:rFonts w:ascii="Times New Roman" w:hAnsi="Times New Roman"/>
          <w:sz w:val="24"/>
          <w:szCs w:val="24"/>
          <w:lang w:eastAsia="en-US"/>
        </w:rPr>
        <w:t xml:space="preserve"> The implications can also be applied to other transition economies who are looking at sustainable policies to promote OFDI.</w:t>
      </w:r>
    </w:p>
    <w:p w14:paraId="57D554E6" w14:textId="77777777" w:rsidR="004F34EB" w:rsidRPr="00B7783C" w:rsidRDefault="007133B7" w:rsidP="00B7783C">
      <w:pPr>
        <w:pStyle w:val="BodyText1"/>
        <w:snapToGrid w:val="0"/>
        <w:spacing w:after="120" w:line="480" w:lineRule="auto"/>
        <w:rPr>
          <w:rFonts w:ascii="Times New Roman" w:hAnsi="Times New Roman"/>
          <w:b/>
          <w:color w:val="000000"/>
          <w:sz w:val="24"/>
          <w:szCs w:val="24"/>
          <w:lang w:val="en-US"/>
        </w:rPr>
      </w:pPr>
      <w:r w:rsidRPr="00393D99">
        <w:rPr>
          <w:rFonts w:ascii="Times New Roman" w:hAnsi="Times New Roman"/>
          <w:sz w:val="24"/>
          <w:szCs w:val="24"/>
          <w:lang w:eastAsia="en-US"/>
        </w:rPr>
        <w:t>In terms of the limitations of this study, as this is a single country analysis, we suggest that future studies can employ the NARDL approach to a larger sample of countries for broader conclu</w:t>
      </w:r>
      <w:r w:rsidR="004F34EB" w:rsidRPr="00393D99">
        <w:rPr>
          <w:rFonts w:ascii="Times New Roman" w:hAnsi="Times New Roman"/>
          <w:sz w:val="24"/>
          <w:szCs w:val="24"/>
          <w:lang w:eastAsia="en-US"/>
        </w:rPr>
        <w:t>sions.</w:t>
      </w:r>
    </w:p>
    <w:p w14:paraId="2E26DADD" w14:textId="77777777" w:rsidR="00B076A3" w:rsidRPr="00B7783C" w:rsidRDefault="00B076A3" w:rsidP="00B7783C">
      <w:pPr>
        <w:spacing w:after="0" w:line="480" w:lineRule="auto"/>
        <w:rPr>
          <w:rFonts w:ascii="Times New Roman" w:hAnsi="Times New Roman" w:cs="Times New Roman"/>
          <w:b/>
          <w:sz w:val="24"/>
          <w:szCs w:val="24"/>
        </w:rPr>
      </w:pPr>
      <w:r w:rsidRPr="00B7783C">
        <w:rPr>
          <w:rFonts w:ascii="Times New Roman" w:hAnsi="Times New Roman" w:cs="Times New Roman"/>
          <w:b/>
          <w:sz w:val="24"/>
          <w:szCs w:val="24"/>
        </w:rPr>
        <w:t>Acknowledgments</w:t>
      </w:r>
    </w:p>
    <w:p w14:paraId="23A72BED" w14:textId="77777777" w:rsidR="00B076A3" w:rsidRPr="00B7783C" w:rsidRDefault="00B076A3" w:rsidP="00B7783C">
      <w:pPr>
        <w:spacing w:after="0" w:line="480" w:lineRule="auto"/>
        <w:jc w:val="both"/>
        <w:rPr>
          <w:rFonts w:ascii="Times New Roman" w:hAnsi="Times New Roman" w:cs="Times New Roman"/>
          <w:sz w:val="24"/>
          <w:szCs w:val="24"/>
        </w:rPr>
      </w:pPr>
      <w:r w:rsidRPr="00B7783C">
        <w:rPr>
          <w:rFonts w:ascii="Times New Roman" w:hAnsi="Times New Roman" w:cs="Times New Roman"/>
          <w:sz w:val="24"/>
          <w:szCs w:val="24"/>
        </w:rPr>
        <w:t xml:space="preserve">We would like to acknowledge the support from the National Social Science Fund of China (No.18BGL200), the National Key Statistical Science Research Project </w:t>
      </w:r>
      <w:r w:rsidRPr="00B7783C">
        <w:rPr>
          <w:rFonts w:ascii="Times New Roman" w:hAnsi="Times New Roman" w:cs="Times New Roman"/>
          <w:sz w:val="24"/>
          <w:szCs w:val="24"/>
        </w:rPr>
        <w:lastRenderedPageBreak/>
        <w:t>(No.2016LZ11), the support from the Research on Major Theories and Practices in Shandong Province (NO.18BSJ03).</w:t>
      </w:r>
    </w:p>
    <w:p w14:paraId="5F4CDC31" w14:textId="77777777" w:rsidR="00B7783C" w:rsidRDefault="00B7783C" w:rsidP="001C5370">
      <w:pPr>
        <w:spacing w:after="120"/>
        <w:rPr>
          <w:rFonts w:ascii="Times New Roman" w:hAnsi="Times New Roman" w:cs="Times New Roman"/>
          <w:b/>
          <w:sz w:val="20"/>
          <w:szCs w:val="20"/>
        </w:rPr>
      </w:pPr>
    </w:p>
    <w:p w14:paraId="673B2415" w14:textId="77777777" w:rsidR="00FB1B80" w:rsidRPr="00FB1B80" w:rsidRDefault="00FB1B80" w:rsidP="00FB1B80">
      <w:pPr>
        <w:pStyle w:val="BodyText5"/>
        <w:spacing w:after="120" w:line="480" w:lineRule="auto"/>
        <w:jc w:val="left"/>
        <w:rPr>
          <w:rFonts w:ascii="Times New Roman" w:hAnsi="Times New Roman" w:cs="Times New Roman"/>
          <w:b/>
          <w:sz w:val="24"/>
          <w:szCs w:val="24"/>
          <w:lang w:val="en-US"/>
        </w:rPr>
      </w:pPr>
      <w:r w:rsidRPr="00FB1B80">
        <w:rPr>
          <w:rFonts w:ascii="Times New Roman" w:hAnsi="Times New Roman" w:cs="Times New Roman"/>
          <w:b/>
          <w:sz w:val="24"/>
          <w:szCs w:val="24"/>
          <w:lang w:val="en-US"/>
        </w:rPr>
        <w:t>Reference</w:t>
      </w:r>
    </w:p>
    <w:p w14:paraId="62E4284C" w14:textId="74663C44"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1]J.</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Knoerich</w:t>
      </w:r>
      <w:proofErr w:type="spellEnd"/>
      <w:r w:rsidRPr="00FB1B80">
        <w:rPr>
          <w:rFonts w:ascii="Times New Roman" w:hAnsi="Times New Roman" w:cs="Times New Roman"/>
          <w:sz w:val="24"/>
          <w:szCs w:val="24"/>
          <w:lang w:val="en-US"/>
        </w:rPr>
        <w:t>, “How does outward foreign direct investment contribute to economic</w:t>
      </w:r>
      <w:r w:rsidR="00561424">
        <w:rPr>
          <w:rFonts w:ascii="Times New Roman" w:hAnsi="Times New Roman" w:cs="Times New Roman"/>
          <w:sz w:val="24"/>
          <w:szCs w:val="24"/>
          <w:lang w:val="en-US"/>
        </w:rPr>
        <w:t xml:space="preserve"> </w:t>
      </w:r>
      <w:r w:rsidRPr="00FB1B80">
        <w:rPr>
          <w:rFonts w:ascii="Times New Roman" w:hAnsi="Times New Roman" w:cs="Times New Roman"/>
          <w:sz w:val="24"/>
          <w:szCs w:val="24"/>
          <w:lang w:val="en-US"/>
        </w:rPr>
        <w:t>development in less advanced home countries?,” Oxford Development Studies, vol. 45, no. 4, January 2017, pp. 443-459. https://doi.org/10.1080/13600818.2017.1283009</w:t>
      </w:r>
    </w:p>
    <w:p w14:paraId="65EAD050" w14:textId="77777777" w:rsidR="00FB1B80" w:rsidRPr="00FB1B80" w:rsidRDefault="00FB1B80" w:rsidP="00FB1B80">
      <w:pPr>
        <w:pStyle w:val="BodyText5"/>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2]A.</w:t>
      </w:r>
      <w:proofErr w:type="gramEnd"/>
      <w:r w:rsidRPr="00FB1B80">
        <w:rPr>
          <w:rFonts w:ascii="Times New Roman" w:hAnsi="Times New Roman" w:cs="Times New Roman"/>
          <w:sz w:val="24"/>
          <w:szCs w:val="24"/>
          <w:lang w:val="en-US"/>
        </w:rPr>
        <w:t xml:space="preserve"> Al-Sadiq, “Outward FDI and domestic investment: The case of developing countries,” (Working Paper, No. 13/52). International Monetary Fund, February 2013.</w:t>
      </w:r>
    </w:p>
    <w:p w14:paraId="7C466BB2"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3]M.</w:t>
      </w:r>
      <w:proofErr w:type="gramEnd"/>
      <w:r w:rsidRPr="00FB1B80">
        <w:rPr>
          <w:rFonts w:ascii="Times New Roman" w:hAnsi="Times New Roman" w:cs="Times New Roman"/>
          <w:sz w:val="24"/>
          <w:szCs w:val="24"/>
          <w:lang w:val="en-US"/>
        </w:rPr>
        <w:t xml:space="preserve"> C. Desai, C. F. Foley and J. R. Hines, “Foreign direct investment and domestic capital stock,” American Economic Review, vol. 95, no. 2, January 2005, pp. 33-38. http://doi.org/10.1257/000282805774670185</w:t>
      </w:r>
    </w:p>
    <w:p w14:paraId="349E7550"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4]G.</w:t>
      </w:r>
      <w:proofErr w:type="gramEnd"/>
      <w:r w:rsidRPr="00FB1B80">
        <w:rPr>
          <w:rFonts w:ascii="Times New Roman" w:hAnsi="Times New Roman" w:cs="Times New Roman"/>
          <w:sz w:val="24"/>
          <w:szCs w:val="24"/>
          <w:lang w:val="en-US"/>
        </w:rPr>
        <w:t xml:space="preserve"> B. </w:t>
      </w:r>
      <w:proofErr w:type="spellStart"/>
      <w:r w:rsidRPr="00FB1B80">
        <w:rPr>
          <w:rFonts w:ascii="Times New Roman" w:hAnsi="Times New Roman" w:cs="Times New Roman"/>
          <w:sz w:val="24"/>
          <w:szCs w:val="24"/>
          <w:lang w:val="en-US"/>
        </w:rPr>
        <w:t>Navaratti</w:t>
      </w:r>
      <w:proofErr w:type="spellEnd"/>
      <w:r w:rsidRPr="00FB1B80">
        <w:rPr>
          <w:rFonts w:ascii="Times New Roman" w:hAnsi="Times New Roman" w:cs="Times New Roman"/>
          <w:sz w:val="24"/>
          <w:szCs w:val="24"/>
          <w:lang w:val="en-US"/>
        </w:rPr>
        <w:t xml:space="preserve"> and D. Castellani, “Does investing abroad affect performance at home? Comparing Italian multinational and national enterprises,” CEPR Working Paper No. 4284, London, March, October 2002.</w:t>
      </w:r>
    </w:p>
    <w:p w14:paraId="3E075C66"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5]H.</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Braconier</w:t>
      </w:r>
      <w:proofErr w:type="spellEnd"/>
      <w:r w:rsidRPr="00FB1B80">
        <w:rPr>
          <w:rFonts w:ascii="Times New Roman" w:hAnsi="Times New Roman" w:cs="Times New Roman"/>
          <w:sz w:val="24"/>
          <w:szCs w:val="24"/>
          <w:lang w:val="en-US"/>
        </w:rPr>
        <w:t xml:space="preserve">, K. </w:t>
      </w:r>
      <w:proofErr w:type="spellStart"/>
      <w:r w:rsidRPr="00FB1B80">
        <w:rPr>
          <w:rFonts w:ascii="Times New Roman" w:hAnsi="Times New Roman" w:cs="Times New Roman"/>
          <w:sz w:val="24"/>
          <w:szCs w:val="24"/>
          <w:lang w:val="en-US"/>
        </w:rPr>
        <w:t>Ekholm</w:t>
      </w:r>
      <w:proofErr w:type="spellEnd"/>
      <w:r w:rsidRPr="00FB1B80">
        <w:rPr>
          <w:rFonts w:ascii="Times New Roman" w:hAnsi="Times New Roman" w:cs="Times New Roman"/>
          <w:sz w:val="24"/>
          <w:szCs w:val="24"/>
          <w:lang w:val="en-US"/>
        </w:rPr>
        <w:t xml:space="preserve"> and K.H.M. </w:t>
      </w:r>
      <w:proofErr w:type="spellStart"/>
      <w:r w:rsidRPr="00FB1B80">
        <w:rPr>
          <w:rFonts w:ascii="Times New Roman" w:hAnsi="Times New Roman" w:cs="Times New Roman"/>
          <w:sz w:val="24"/>
          <w:szCs w:val="24"/>
          <w:lang w:val="en-US"/>
        </w:rPr>
        <w:t>Knarvik</w:t>
      </w:r>
      <w:proofErr w:type="spellEnd"/>
      <w:r w:rsidRPr="00FB1B80">
        <w:rPr>
          <w:rFonts w:ascii="Times New Roman" w:hAnsi="Times New Roman" w:cs="Times New Roman"/>
          <w:sz w:val="24"/>
          <w:szCs w:val="24"/>
          <w:lang w:val="en-US"/>
        </w:rPr>
        <w:t>, “Does FDI work as a channel for R&amp;D spillovers? Evidence based on Swedish data,” Review of World Economics, vol. 137, no. 4, June 2001, pp. 644-665.</w:t>
      </w:r>
    </w:p>
    <w:p w14:paraId="3B7082D5"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6]D.</w:t>
      </w:r>
      <w:proofErr w:type="gramEnd"/>
      <w:r w:rsidRPr="00FB1B80">
        <w:rPr>
          <w:rFonts w:ascii="Times New Roman" w:hAnsi="Times New Roman" w:cs="Times New Roman"/>
          <w:sz w:val="24"/>
          <w:szCs w:val="24"/>
          <w:lang w:val="en-US"/>
        </w:rPr>
        <w:t xml:space="preserve"> Herzer, “Outward FDI and economic growth,” Journal of Economic Studies, vol. 37, no. 5, September 2010, pp. 476-494. https://doi.org/10.1108/01443581011075424</w:t>
      </w:r>
    </w:p>
    <w:p w14:paraId="6657EDAF"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rPr>
      </w:pPr>
      <w:r w:rsidRPr="00FB1B80">
        <w:rPr>
          <w:rFonts w:ascii="Times New Roman" w:hAnsi="Times New Roman" w:cs="Times New Roman"/>
          <w:sz w:val="24"/>
          <w:szCs w:val="24"/>
        </w:rPr>
        <w:lastRenderedPageBreak/>
        <w:t xml:space="preserve">[7]D. Herzer and M. Schrooten,  </w:t>
      </w:r>
      <w:r w:rsidRPr="00FB1B80">
        <w:rPr>
          <w:rFonts w:ascii="Times New Roman" w:hAnsi="Times New Roman" w:cs="Times New Roman"/>
          <w:sz w:val="24"/>
          <w:szCs w:val="24"/>
          <w:lang w:val="en-US"/>
        </w:rPr>
        <w:t>“</w:t>
      </w:r>
      <w:r w:rsidRPr="00FB1B80">
        <w:rPr>
          <w:rFonts w:ascii="Times New Roman" w:hAnsi="Times New Roman" w:cs="Times New Roman"/>
          <w:sz w:val="24"/>
          <w:szCs w:val="24"/>
        </w:rPr>
        <w:t>Outward FDI and Domestic Investment,” DIW Berlin, Discussion Paper No. 679, March 2007.</w:t>
      </w:r>
    </w:p>
    <w:p w14:paraId="56463747"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8]UNCTAD</w:t>
      </w:r>
      <w:proofErr w:type="gramEnd"/>
      <w:r w:rsidRPr="00FB1B80">
        <w:rPr>
          <w:rFonts w:ascii="Times New Roman" w:hAnsi="Times New Roman" w:cs="Times New Roman"/>
          <w:sz w:val="24"/>
          <w:szCs w:val="24"/>
          <w:lang w:val="en-US"/>
        </w:rPr>
        <w:t>, “World investment report 2006: FDI from developing and transition economies: Implications for development,” United Nations: New York.</w:t>
      </w:r>
    </w:p>
    <w:p w14:paraId="5EC37D6D"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9]S.</w:t>
      </w:r>
      <w:proofErr w:type="gramEnd"/>
      <w:r w:rsidRPr="00FB1B80">
        <w:rPr>
          <w:rFonts w:ascii="Times New Roman" w:hAnsi="Times New Roman" w:cs="Times New Roman"/>
          <w:sz w:val="24"/>
          <w:szCs w:val="24"/>
          <w:lang w:val="en-US"/>
        </w:rPr>
        <w:t xml:space="preserve"> G. </w:t>
      </w:r>
      <w:proofErr w:type="spellStart"/>
      <w:r w:rsidRPr="00FB1B80">
        <w:rPr>
          <w:rFonts w:ascii="Times New Roman" w:hAnsi="Times New Roman" w:cs="Times New Roman"/>
          <w:sz w:val="24"/>
          <w:szCs w:val="24"/>
          <w:lang w:val="en-US"/>
        </w:rPr>
        <w:t>Maşca</w:t>
      </w:r>
      <w:proofErr w:type="spellEnd"/>
      <w:r w:rsidRPr="00FB1B80">
        <w:rPr>
          <w:rFonts w:ascii="Times New Roman" w:hAnsi="Times New Roman" w:cs="Times New Roman"/>
          <w:sz w:val="24"/>
          <w:szCs w:val="24"/>
          <w:lang w:val="en-US"/>
        </w:rPr>
        <w:t xml:space="preserve"> and V. L. </w:t>
      </w:r>
      <w:proofErr w:type="spellStart"/>
      <w:r w:rsidRPr="00FB1B80">
        <w:rPr>
          <w:rFonts w:ascii="Times New Roman" w:hAnsi="Times New Roman" w:cs="Times New Roman"/>
          <w:sz w:val="24"/>
          <w:szCs w:val="24"/>
          <w:lang w:val="en-US"/>
        </w:rPr>
        <w:t>Văidean</w:t>
      </w:r>
      <w:proofErr w:type="spellEnd"/>
      <w:r w:rsidRPr="00FB1B80">
        <w:rPr>
          <w:rFonts w:ascii="Times New Roman" w:hAnsi="Times New Roman" w:cs="Times New Roman"/>
          <w:sz w:val="24"/>
          <w:szCs w:val="24"/>
          <w:lang w:val="en-US"/>
        </w:rPr>
        <w:t xml:space="preserve">, “Outward FDI and the Investment Development Path in Romania,” </w:t>
      </w:r>
      <w:proofErr w:type="spellStart"/>
      <w:r w:rsidRPr="00FB1B80">
        <w:rPr>
          <w:rFonts w:ascii="Times New Roman" w:hAnsi="Times New Roman" w:cs="Times New Roman"/>
          <w:sz w:val="24"/>
          <w:szCs w:val="24"/>
          <w:lang w:val="en-US"/>
        </w:rPr>
        <w:t>Revista</w:t>
      </w:r>
      <w:proofErr w:type="spell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Tinerilor</w:t>
      </w:r>
      <w:proofErr w:type="spell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Economisti</w:t>
      </w:r>
      <w:proofErr w:type="spellEnd"/>
      <w:r w:rsidRPr="00FB1B80">
        <w:rPr>
          <w:rFonts w:ascii="Times New Roman" w:hAnsi="Times New Roman" w:cs="Times New Roman"/>
          <w:sz w:val="24"/>
          <w:szCs w:val="24"/>
          <w:lang w:val="en-US"/>
        </w:rPr>
        <w:t xml:space="preserve"> (The Young Economists Journal), vol. 1, no. 15S, December 2010, pp. 27-38.</w:t>
      </w:r>
    </w:p>
    <w:p w14:paraId="0CAFA840"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10]I.</w:t>
      </w:r>
      <w:proofErr w:type="gramEnd"/>
      <w:r w:rsidRPr="00FB1B80">
        <w:rPr>
          <w:rFonts w:ascii="Times New Roman" w:hAnsi="Times New Roman" w:cs="Times New Roman"/>
          <w:sz w:val="24"/>
          <w:szCs w:val="24"/>
          <w:lang w:val="en-US"/>
        </w:rPr>
        <w:t xml:space="preserve"> Mirela, C. Diana and M. Sorin, “FDI in Romania between EU and The Global Economic Crisis,” Procedia Economics and Finance, vol. 23, July 2015, pp. 644-651. </w:t>
      </w:r>
      <w:hyperlink r:id="rId9" w:history="1">
        <w:r w:rsidRPr="00FB1B80">
          <w:rPr>
            <w:rStyle w:val="Hyperlink"/>
            <w:rFonts w:ascii="Times New Roman" w:hAnsi="Times New Roman" w:cs="Times New Roman"/>
            <w:sz w:val="24"/>
            <w:szCs w:val="24"/>
            <w:lang w:val="en-US"/>
          </w:rPr>
          <w:t>https://doi.org/10.1016/S2212-5671(15)00571-7</w:t>
        </w:r>
      </w:hyperlink>
    </w:p>
    <w:p w14:paraId="49D65712"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rPr>
      </w:pPr>
      <w:r w:rsidRPr="00FB1B80">
        <w:rPr>
          <w:rFonts w:ascii="Times New Roman" w:hAnsi="Times New Roman" w:cs="Times New Roman"/>
          <w:sz w:val="24"/>
          <w:szCs w:val="24"/>
        </w:rPr>
        <w:t xml:space="preserve">[11]M. R. Sârbu and L. Carp, </w:t>
      </w:r>
      <w:r w:rsidRPr="00FB1B80">
        <w:rPr>
          <w:rFonts w:ascii="Times New Roman" w:hAnsi="Times New Roman" w:cs="Times New Roman"/>
          <w:sz w:val="24"/>
          <w:szCs w:val="24"/>
          <w:lang w:val="en-US"/>
        </w:rPr>
        <w:t>“T</w:t>
      </w:r>
      <w:r w:rsidRPr="00FB1B80">
        <w:rPr>
          <w:rFonts w:ascii="Times New Roman" w:hAnsi="Times New Roman" w:cs="Times New Roman"/>
          <w:sz w:val="24"/>
          <w:szCs w:val="24"/>
        </w:rPr>
        <w:t>he Impact of Foreign Direct Investment on Economic Growth: The Case of Romania,” Acta Universitatis Danubius. Œconomica, vol. 11, August 2015, pp. 127–137.</w:t>
      </w:r>
    </w:p>
    <w:p w14:paraId="3ED733BE"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12]L.</w:t>
      </w:r>
      <w:proofErr w:type="gramEnd"/>
      <w:r w:rsidRPr="00FB1B80">
        <w:rPr>
          <w:rFonts w:ascii="Times New Roman" w:hAnsi="Times New Roman" w:cs="Times New Roman"/>
          <w:sz w:val="24"/>
          <w:szCs w:val="24"/>
          <w:lang w:val="en-US"/>
        </w:rPr>
        <w:t xml:space="preserve"> N. </w:t>
      </w:r>
      <w:proofErr w:type="spellStart"/>
      <w:r w:rsidRPr="00FB1B80">
        <w:rPr>
          <w:rFonts w:ascii="Times New Roman" w:hAnsi="Times New Roman" w:cs="Times New Roman"/>
          <w:sz w:val="24"/>
          <w:szCs w:val="24"/>
          <w:lang w:val="en-US"/>
        </w:rPr>
        <w:t>Haar</w:t>
      </w:r>
      <w:proofErr w:type="spellEnd"/>
      <w:r w:rsidRPr="00FB1B80">
        <w:rPr>
          <w:rFonts w:ascii="Times New Roman" w:hAnsi="Times New Roman" w:cs="Times New Roman"/>
          <w:sz w:val="24"/>
          <w:szCs w:val="24"/>
          <w:lang w:val="en-US"/>
        </w:rPr>
        <w:t xml:space="preserve"> and N. Marinescu, “Entry Modes and Firm Performance in a Transition Economy: Evidence from Inward FDI to Romania,” Journal of East-West Business, vol. 20, no. 1, March 2014, pp. 44-67. https://doi.org/10.1080/10669868.2013.862515</w:t>
      </w:r>
    </w:p>
    <w:p w14:paraId="60E8D092"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eastAsia="pl-PL"/>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13]P.</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Nistor</w:t>
      </w:r>
      <w:proofErr w:type="spellEnd"/>
      <w:r w:rsidRPr="00FB1B80">
        <w:rPr>
          <w:rFonts w:ascii="Times New Roman" w:hAnsi="Times New Roman" w:cs="Times New Roman"/>
          <w:sz w:val="24"/>
          <w:szCs w:val="24"/>
          <w:lang w:val="en-US"/>
        </w:rPr>
        <w:t xml:space="preserve">, “FDI and economic growth, the case of Romania,” Procedia Economics and Finance, vol. 15, December 2014, pp. 577-582. </w:t>
      </w:r>
      <w:hyperlink r:id="rId10" w:tgtFrame="_blank" w:tooltip="Persistent link using digital object identifier" w:history="1">
        <w:r w:rsidRPr="00FB1B80">
          <w:rPr>
            <w:rStyle w:val="Hyperlink"/>
            <w:rFonts w:ascii="Times New Roman" w:hAnsi="Times New Roman" w:cs="Times New Roman"/>
            <w:sz w:val="24"/>
            <w:szCs w:val="24"/>
            <w:lang w:val="en-US"/>
          </w:rPr>
          <w:t>https://doi.org/10.1016/S2212-5671(14)00514-0</w:t>
        </w:r>
      </w:hyperlink>
    </w:p>
    <w:p w14:paraId="5E9654FE"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rPr>
        <w:t xml:space="preserve">[14]R. Moura and R. Forte, </w:t>
      </w:r>
      <w:r w:rsidRPr="00FB1B80">
        <w:rPr>
          <w:rFonts w:ascii="Times New Roman" w:hAnsi="Times New Roman" w:cs="Times New Roman"/>
          <w:sz w:val="24"/>
          <w:szCs w:val="24"/>
          <w:lang w:val="en-US"/>
        </w:rPr>
        <w:t>“</w:t>
      </w:r>
      <w:r w:rsidRPr="00FB1B80">
        <w:rPr>
          <w:rFonts w:ascii="Times New Roman" w:hAnsi="Times New Roman" w:cs="Times New Roman"/>
          <w:sz w:val="24"/>
          <w:szCs w:val="24"/>
        </w:rPr>
        <w:t>The Effects of Foreign Direct Investment on the Host Country’s Economic Growth: Theory and Empirical Evidence,” The Singapore Economic Review, vol. 58, no. 3, September 2013, pp. 1-28. DOI: 10.1142/S0217590813500173</w:t>
      </w:r>
    </w:p>
    <w:p w14:paraId="484779F3"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lastRenderedPageBreak/>
        <w:t>[</w:t>
      </w:r>
      <w:proofErr w:type="gramStart"/>
      <w:r w:rsidRPr="00FB1B80">
        <w:rPr>
          <w:rFonts w:ascii="Times New Roman" w:hAnsi="Times New Roman" w:cs="Times New Roman"/>
          <w:sz w:val="24"/>
          <w:szCs w:val="24"/>
          <w:lang w:val="en-US"/>
        </w:rPr>
        <w:t>15]O.</w:t>
      </w:r>
      <w:proofErr w:type="gramEnd"/>
      <w:r w:rsidRPr="00FB1B80">
        <w:rPr>
          <w:rFonts w:ascii="Times New Roman" w:hAnsi="Times New Roman" w:cs="Times New Roman"/>
          <w:sz w:val="24"/>
          <w:szCs w:val="24"/>
          <w:lang w:val="en-US"/>
        </w:rPr>
        <w:t xml:space="preserve"> S. </w:t>
      </w:r>
      <w:proofErr w:type="spellStart"/>
      <w:r w:rsidRPr="00FB1B80">
        <w:rPr>
          <w:rFonts w:ascii="Times New Roman" w:hAnsi="Times New Roman" w:cs="Times New Roman"/>
          <w:sz w:val="24"/>
          <w:szCs w:val="24"/>
          <w:lang w:val="en-US"/>
        </w:rPr>
        <w:t>Hudea</w:t>
      </w:r>
      <w:proofErr w:type="spellEnd"/>
      <w:r w:rsidRPr="00FB1B80">
        <w:rPr>
          <w:rFonts w:ascii="Times New Roman" w:hAnsi="Times New Roman" w:cs="Times New Roman"/>
          <w:sz w:val="24"/>
          <w:szCs w:val="24"/>
          <w:lang w:val="en-US"/>
        </w:rPr>
        <w:t xml:space="preserve"> and S. </w:t>
      </w:r>
      <w:proofErr w:type="spellStart"/>
      <w:r w:rsidRPr="00FB1B80">
        <w:rPr>
          <w:rFonts w:ascii="Times New Roman" w:hAnsi="Times New Roman" w:cs="Times New Roman"/>
          <w:sz w:val="24"/>
          <w:szCs w:val="24"/>
          <w:lang w:val="en-US"/>
        </w:rPr>
        <w:t>Stancu</w:t>
      </w:r>
      <w:proofErr w:type="spellEnd"/>
      <w:r w:rsidRPr="00FB1B80">
        <w:rPr>
          <w:rFonts w:ascii="Times New Roman" w:hAnsi="Times New Roman" w:cs="Times New Roman"/>
          <w:sz w:val="24"/>
          <w:szCs w:val="24"/>
          <w:lang w:val="en-US"/>
        </w:rPr>
        <w:t xml:space="preserve">, “Foreign Direct Investments, Technology Transfer and Economic Growth: A Panel Approach,” Romanian Journal of Economic Forecasting, vol. 15, no. 2, January 2012, pp. 85-102. </w:t>
      </w:r>
    </w:p>
    <w:p w14:paraId="791E4BC5"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16]G.</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Ruxanda</w:t>
      </w:r>
      <w:proofErr w:type="spellEnd"/>
      <w:r w:rsidRPr="00FB1B80">
        <w:rPr>
          <w:rFonts w:ascii="Times New Roman" w:hAnsi="Times New Roman" w:cs="Times New Roman"/>
          <w:sz w:val="24"/>
          <w:szCs w:val="24"/>
          <w:lang w:val="en-US"/>
        </w:rPr>
        <w:t xml:space="preserve"> and A. </w:t>
      </w:r>
      <w:proofErr w:type="spellStart"/>
      <w:r w:rsidRPr="00FB1B80">
        <w:rPr>
          <w:rFonts w:ascii="Times New Roman" w:hAnsi="Times New Roman" w:cs="Times New Roman"/>
          <w:sz w:val="24"/>
          <w:szCs w:val="24"/>
          <w:lang w:val="en-US"/>
        </w:rPr>
        <w:t>Muraru</w:t>
      </w:r>
      <w:proofErr w:type="spellEnd"/>
      <w:r w:rsidRPr="00FB1B80">
        <w:rPr>
          <w:rFonts w:ascii="Times New Roman" w:hAnsi="Times New Roman" w:cs="Times New Roman"/>
          <w:sz w:val="24"/>
          <w:szCs w:val="24"/>
          <w:lang w:val="en-US"/>
        </w:rPr>
        <w:t>, “FDI and Economic Growth. Evidence from Simultaneous Equation Models,” Romanian Journal of Economic Forecasting, vol. 13, no. 1, January 2010, pp. 45-58.</w:t>
      </w:r>
    </w:p>
    <w:p w14:paraId="1A4DC55F"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17]E.</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Pelinescu</w:t>
      </w:r>
      <w:proofErr w:type="spellEnd"/>
      <w:r w:rsidRPr="00FB1B80">
        <w:rPr>
          <w:rFonts w:ascii="Times New Roman" w:hAnsi="Times New Roman" w:cs="Times New Roman"/>
          <w:sz w:val="24"/>
          <w:szCs w:val="24"/>
          <w:lang w:val="en-US"/>
        </w:rPr>
        <w:t xml:space="preserve"> and M. </w:t>
      </w:r>
      <w:proofErr w:type="spellStart"/>
      <w:r w:rsidRPr="00FB1B80">
        <w:rPr>
          <w:rFonts w:ascii="Times New Roman" w:hAnsi="Times New Roman" w:cs="Times New Roman"/>
          <w:sz w:val="24"/>
          <w:szCs w:val="24"/>
          <w:lang w:val="en-US"/>
        </w:rPr>
        <w:t>Radulescu</w:t>
      </w:r>
      <w:proofErr w:type="spellEnd"/>
      <w:r w:rsidRPr="00FB1B80">
        <w:rPr>
          <w:rFonts w:ascii="Times New Roman" w:hAnsi="Times New Roman" w:cs="Times New Roman"/>
          <w:sz w:val="24"/>
          <w:szCs w:val="24"/>
          <w:lang w:val="en-US"/>
        </w:rPr>
        <w:t>, “The impact of Foreign Direct Investment on the Economic Growth and Countries’ Export Potential,” Romanian Journal of Economic Forecasting, vol. 12, no. 4, January 2009, pp. 153-169.</w:t>
      </w:r>
    </w:p>
    <w:p w14:paraId="34998A48"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18]K.</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Kalotay</w:t>
      </w:r>
      <w:proofErr w:type="spellEnd"/>
      <w:r w:rsidRPr="00FB1B80">
        <w:rPr>
          <w:rFonts w:ascii="Times New Roman" w:hAnsi="Times New Roman" w:cs="Times New Roman"/>
          <w:sz w:val="24"/>
          <w:szCs w:val="24"/>
          <w:lang w:val="en-US"/>
        </w:rPr>
        <w:t>, “FDI in Romania and Bulgaria in the Wake of the EU Accession,” Journal of East-West Business, vol. 14, no. 1, October 2008, pp. 5-40. https://doi.org/10.1300/J097v14n01_02</w:t>
      </w:r>
    </w:p>
    <w:p w14:paraId="015AAB8D"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19]B.</w:t>
      </w:r>
      <w:proofErr w:type="gramEnd"/>
      <w:r w:rsidRPr="00FB1B80">
        <w:rPr>
          <w:rFonts w:ascii="Times New Roman" w:hAnsi="Times New Roman" w:cs="Times New Roman"/>
          <w:sz w:val="24"/>
          <w:szCs w:val="24"/>
          <w:lang w:val="en-US"/>
        </w:rPr>
        <w:t xml:space="preserve"> W. Tan, S. K. Goh and K. N Wong, “The effects of inward and outward FDI on domestic investment: Evidence using panel data of ASEAN–8 countries,” Journal of Business Economics and Management, vol. 17, no. 5, October 2016, pp. 717-733. </w:t>
      </w:r>
      <w:hyperlink r:id="rId11" w:history="1">
        <w:r w:rsidRPr="00FB1B80">
          <w:rPr>
            <w:rStyle w:val="Hyperlink"/>
            <w:rFonts w:ascii="Times New Roman" w:hAnsi="Times New Roman" w:cs="Times New Roman"/>
            <w:sz w:val="24"/>
            <w:szCs w:val="24"/>
            <w:lang w:val="en-US"/>
          </w:rPr>
          <w:t>http://doi.org/10.3846/16111699.2015.1114515</w:t>
        </w:r>
      </w:hyperlink>
    </w:p>
    <w:p w14:paraId="0E73E6F7"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20]A.</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Hijzen</w:t>
      </w:r>
      <w:proofErr w:type="spellEnd"/>
      <w:r w:rsidRPr="00FB1B80">
        <w:rPr>
          <w:rFonts w:ascii="Times New Roman" w:hAnsi="Times New Roman" w:cs="Times New Roman"/>
          <w:sz w:val="24"/>
          <w:szCs w:val="24"/>
          <w:lang w:val="en-US"/>
        </w:rPr>
        <w:t>, S. Jean and T. Mayer, “The effects at home of initiating production abroad: Evidence from matched French firms,” Review of World Economics, vol. 147, no. 3, March 2011, pp. 457-483. https://doi.org/10.1007/s10290-011-0094-x</w:t>
      </w:r>
    </w:p>
    <w:p w14:paraId="0F7041B0"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21]D.</w:t>
      </w:r>
      <w:proofErr w:type="gramEnd"/>
      <w:r w:rsidRPr="00FB1B80">
        <w:rPr>
          <w:rFonts w:ascii="Times New Roman" w:hAnsi="Times New Roman" w:cs="Times New Roman"/>
          <w:sz w:val="24"/>
          <w:szCs w:val="24"/>
          <w:lang w:val="en-US"/>
        </w:rPr>
        <w:t xml:space="preserve"> Herzer, “The long-run relationship between outward FDI and domestic output: Evidence from panel data,” Economics Letters, vol. 100, December 2008, pp. 146-149. </w:t>
      </w:r>
      <w:hyperlink r:id="rId12" w:history="1">
        <w:r w:rsidRPr="00FB1B80">
          <w:rPr>
            <w:rStyle w:val="Hyperlink"/>
            <w:rFonts w:ascii="Times New Roman" w:hAnsi="Times New Roman" w:cs="Times New Roman"/>
            <w:sz w:val="24"/>
            <w:szCs w:val="24"/>
            <w:lang w:val="en-US"/>
          </w:rPr>
          <w:t>https://doi.org/10.1016/j.econlet.2007.12.004</w:t>
        </w:r>
      </w:hyperlink>
    </w:p>
    <w:p w14:paraId="6094C581"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22]E.</w:t>
      </w:r>
      <w:proofErr w:type="gramEnd"/>
      <w:r w:rsidRPr="00FB1B80">
        <w:rPr>
          <w:rFonts w:ascii="Times New Roman" w:hAnsi="Times New Roman" w:cs="Times New Roman"/>
          <w:sz w:val="24"/>
          <w:szCs w:val="24"/>
          <w:lang w:val="en-US"/>
        </w:rPr>
        <w:t xml:space="preserve"> R. </w:t>
      </w:r>
      <w:proofErr w:type="spellStart"/>
      <w:r w:rsidRPr="00FB1B80">
        <w:rPr>
          <w:rFonts w:ascii="Times New Roman" w:hAnsi="Times New Roman" w:cs="Times New Roman"/>
          <w:sz w:val="24"/>
          <w:szCs w:val="24"/>
          <w:lang w:val="en-US"/>
        </w:rPr>
        <w:t>Sunesen</w:t>
      </w:r>
      <w:proofErr w:type="spellEnd"/>
      <w:r w:rsidRPr="00FB1B80">
        <w:rPr>
          <w:rFonts w:ascii="Times New Roman" w:hAnsi="Times New Roman" w:cs="Times New Roman"/>
          <w:sz w:val="24"/>
          <w:szCs w:val="24"/>
          <w:lang w:val="en-US"/>
        </w:rPr>
        <w:t>, S. T. Jespersen and M. H. Telle, “Impacts of EU outward FDI. In the final report,” Copenhagen Economics, May 2010.</w:t>
      </w:r>
    </w:p>
    <w:p w14:paraId="4669CFC6"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lastRenderedPageBreak/>
        <w:t>[</w:t>
      </w:r>
      <w:proofErr w:type="gramStart"/>
      <w:r w:rsidRPr="00FB1B80">
        <w:rPr>
          <w:rFonts w:ascii="Times New Roman" w:hAnsi="Times New Roman" w:cs="Times New Roman"/>
          <w:sz w:val="24"/>
          <w:szCs w:val="24"/>
          <w:lang w:val="en-US"/>
        </w:rPr>
        <w:t>23]Y.</w:t>
      </w:r>
      <w:proofErr w:type="gramEnd"/>
      <w:r w:rsidRPr="00FB1B80">
        <w:rPr>
          <w:rFonts w:ascii="Times New Roman" w:hAnsi="Times New Roman" w:cs="Times New Roman"/>
          <w:sz w:val="24"/>
          <w:szCs w:val="24"/>
          <w:lang w:val="en-US"/>
        </w:rPr>
        <w:t xml:space="preserve"> Shin, B. Yu and M. Greenwood-Nimmo, “Modelling asymmetric cointegration and dynamic multiplier in a nonlinear ARDL framework,” In R. C. Sickles &amp; W. C. </w:t>
      </w:r>
      <w:proofErr w:type="spellStart"/>
      <w:r w:rsidRPr="00FB1B80">
        <w:rPr>
          <w:rFonts w:ascii="Times New Roman" w:hAnsi="Times New Roman" w:cs="Times New Roman"/>
          <w:sz w:val="24"/>
          <w:szCs w:val="24"/>
          <w:lang w:val="en-US"/>
        </w:rPr>
        <w:t>Horrace</w:t>
      </w:r>
      <w:proofErr w:type="spellEnd"/>
      <w:r w:rsidRPr="00FB1B80">
        <w:rPr>
          <w:rFonts w:ascii="Times New Roman" w:hAnsi="Times New Roman" w:cs="Times New Roman"/>
          <w:sz w:val="24"/>
          <w:szCs w:val="24"/>
          <w:lang w:val="en-US"/>
        </w:rPr>
        <w:t xml:space="preserve"> (Eds.), Festschrift in Honor of Peter Schmidt: Econometric Methods and applications (pp. 281-314), 2014.</w:t>
      </w:r>
    </w:p>
    <w:p w14:paraId="6454C248"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24]A.</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Kokko</w:t>
      </w:r>
      <w:proofErr w:type="spellEnd"/>
      <w:r w:rsidRPr="00FB1B80">
        <w:rPr>
          <w:rFonts w:ascii="Times New Roman" w:hAnsi="Times New Roman" w:cs="Times New Roman"/>
          <w:sz w:val="24"/>
          <w:szCs w:val="24"/>
          <w:lang w:val="en-US"/>
        </w:rPr>
        <w:t>, “The home country effects of FDI in developed economies,” EIJS Working Paper No. 225, European Institute of Japanese Studies, Stockholm, 2006.</w:t>
      </w:r>
    </w:p>
    <w:p w14:paraId="22AE3ED1"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25]A.</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Fosfuri</w:t>
      </w:r>
      <w:proofErr w:type="spellEnd"/>
      <w:r w:rsidRPr="00FB1B80">
        <w:rPr>
          <w:rFonts w:ascii="Times New Roman" w:hAnsi="Times New Roman" w:cs="Times New Roman"/>
          <w:sz w:val="24"/>
          <w:szCs w:val="24"/>
          <w:lang w:val="en-US"/>
        </w:rPr>
        <w:t xml:space="preserve"> and M. Motta, “Multinationals without advantages,” Scandinavian Journal of Economics, vol. 101, no. 4, December 1999, pp. 617-630. </w:t>
      </w:r>
      <w:hyperlink r:id="rId13" w:history="1">
        <w:r w:rsidRPr="00FB1B80">
          <w:rPr>
            <w:rStyle w:val="Hyperlink"/>
            <w:rFonts w:ascii="Times New Roman" w:hAnsi="Times New Roman" w:cs="Times New Roman"/>
            <w:sz w:val="24"/>
            <w:szCs w:val="24"/>
            <w:lang w:val="en-US"/>
          </w:rPr>
          <w:t>https://doi.org/10.1111/1467-9442.00176</w:t>
        </w:r>
      </w:hyperlink>
    </w:p>
    <w:p w14:paraId="11AC98AB" w14:textId="77777777" w:rsidR="00FB1B80" w:rsidRPr="00FB1B80" w:rsidRDefault="00FB1B80" w:rsidP="00FB1B80">
      <w:pPr>
        <w:pStyle w:val="BodyText5"/>
        <w:snapToGrid w:val="0"/>
        <w:spacing w:after="120" w:line="480" w:lineRule="auto"/>
        <w:ind w:left="567" w:hanging="567"/>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26]M.</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Blomström</w:t>
      </w:r>
      <w:proofErr w:type="spellEnd"/>
      <w:r w:rsidRPr="00FB1B80">
        <w:rPr>
          <w:rFonts w:ascii="Times New Roman" w:hAnsi="Times New Roman" w:cs="Times New Roman"/>
          <w:sz w:val="24"/>
          <w:szCs w:val="24"/>
          <w:lang w:val="en-US"/>
        </w:rPr>
        <w:t xml:space="preserve"> and A. </w:t>
      </w:r>
      <w:proofErr w:type="spellStart"/>
      <w:r w:rsidRPr="00FB1B80">
        <w:rPr>
          <w:rFonts w:ascii="Times New Roman" w:hAnsi="Times New Roman" w:cs="Times New Roman"/>
          <w:sz w:val="24"/>
          <w:szCs w:val="24"/>
          <w:lang w:val="en-US"/>
        </w:rPr>
        <w:t>Kokko</w:t>
      </w:r>
      <w:proofErr w:type="spellEnd"/>
      <w:r w:rsidRPr="00FB1B80">
        <w:rPr>
          <w:rFonts w:ascii="Times New Roman" w:hAnsi="Times New Roman" w:cs="Times New Roman"/>
          <w:sz w:val="24"/>
          <w:szCs w:val="24"/>
          <w:lang w:val="en-US"/>
        </w:rPr>
        <w:t>, “Multinational corporations and spillovers,” Journal of Economic Surveys, vol. 12, no. 3, July 1998, pp. 247-277. https://doi.org/10.1111/1467-6419.00056</w:t>
      </w:r>
    </w:p>
    <w:p w14:paraId="25698933"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27]J.</w:t>
      </w:r>
      <w:proofErr w:type="gramEnd"/>
      <w:r w:rsidRPr="00FB1B80">
        <w:rPr>
          <w:rFonts w:ascii="Times New Roman" w:hAnsi="Times New Roman" w:cs="Times New Roman"/>
          <w:sz w:val="24"/>
          <w:szCs w:val="24"/>
          <w:lang w:val="en-US"/>
        </w:rPr>
        <w:t xml:space="preserve"> B. </w:t>
      </w:r>
      <w:proofErr w:type="spellStart"/>
      <w:r w:rsidRPr="00FB1B80">
        <w:rPr>
          <w:rFonts w:ascii="Times New Roman" w:hAnsi="Times New Roman" w:cs="Times New Roman"/>
          <w:sz w:val="24"/>
          <w:szCs w:val="24"/>
          <w:lang w:val="en-US"/>
        </w:rPr>
        <w:t>Carbonell</w:t>
      </w:r>
      <w:proofErr w:type="spellEnd"/>
      <w:r w:rsidRPr="00FB1B80">
        <w:rPr>
          <w:rFonts w:ascii="Times New Roman" w:hAnsi="Times New Roman" w:cs="Times New Roman"/>
          <w:sz w:val="24"/>
          <w:szCs w:val="24"/>
          <w:lang w:val="en-US"/>
        </w:rPr>
        <w:t xml:space="preserve"> and R. A. Werner, “Does Foreign Direct Investment Generate Economic Growth? A New Empirical Approach Applied to Spain,” Journal Economic Geography, vol. 94, no. 4, January 2018, pp. 425-456. </w:t>
      </w:r>
      <w:hyperlink r:id="rId14" w:history="1">
        <w:r w:rsidRPr="00FB1B80">
          <w:rPr>
            <w:rStyle w:val="Hyperlink"/>
            <w:rFonts w:ascii="Times New Roman" w:hAnsi="Times New Roman" w:cs="Times New Roman"/>
            <w:sz w:val="24"/>
            <w:szCs w:val="24"/>
            <w:lang w:val="en-US"/>
          </w:rPr>
          <w:t>https://doi.org/10.1080/00130095.2017.1393312</w:t>
        </w:r>
      </w:hyperlink>
    </w:p>
    <w:p w14:paraId="5CC14264"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rPr>
      </w:pPr>
      <w:r w:rsidRPr="00FB1B80">
        <w:rPr>
          <w:rFonts w:ascii="Times New Roman" w:hAnsi="Times New Roman" w:cs="Times New Roman"/>
          <w:sz w:val="24"/>
          <w:szCs w:val="24"/>
        </w:rPr>
        <w:t xml:space="preserve">[28]M. R. Sultanuzzaman, H. Fan, M. Akash, B. Wang and U. S. M. Shakij, </w:t>
      </w:r>
      <w:r w:rsidRPr="00FB1B80">
        <w:rPr>
          <w:rFonts w:ascii="Times New Roman" w:hAnsi="Times New Roman" w:cs="Times New Roman"/>
          <w:sz w:val="24"/>
          <w:szCs w:val="24"/>
          <w:lang w:val="en-US"/>
        </w:rPr>
        <w:t>“</w:t>
      </w:r>
      <w:r w:rsidRPr="00FB1B80">
        <w:rPr>
          <w:rFonts w:ascii="Times New Roman" w:hAnsi="Times New Roman" w:cs="Times New Roman"/>
          <w:sz w:val="24"/>
          <w:szCs w:val="24"/>
        </w:rPr>
        <w:t>The role of FDI inflows and export on economic growth in Sri Lanka: An ARDL approach,” Cogent Economics &amp; Finance, vol. 6, September 2018, pp. 1518116. https://doi.org/10.1080/23322039.2018.1518116</w:t>
      </w:r>
    </w:p>
    <w:p w14:paraId="7D1CE080"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GB"/>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29]N.</w:t>
      </w:r>
      <w:proofErr w:type="gramEnd"/>
      <w:r w:rsidRPr="00FB1B80">
        <w:rPr>
          <w:rFonts w:ascii="Times New Roman" w:hAnsi="Times New Roman" w:cs="Times New Roman"/>
          <w:sz w:val="24"/>
          <w:szCs w:val="24"/>
          <w:lang w:val="en-US"/>
        </w:rPr>
        <w:t xml:space="preserve"> Rehman, “FDI and economic growth: empirical evidence from Pakistan,” Journal of Economic and Administrative Sciences, vol. 32, no. 1, May 2016, pp. 63-76. https://doi.org/10.1108/JEAS-12-2014-0035</w:t>
      </w:r>
    </w:p>
    <w:p w14:paraId="57DD7719"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lastRenderedPageBreak/>
        <w:t>[</w:t>
      </w:r>
      <w:proofErr w:type="gramStart"/>
      <w:r w:rsidRPr="00FB1B80">
        <w:rPr>
          <w:rFonts w:ascii="Times New Roman" w:hAnsi="Times New Roman" w:cs="Times New Roman"/>
          <w:sz w:val="24"/>
          <w:szCs w:val="24"/>
          <w:lang w:val="en-US"/>
        </w:rPr>
        <w:t>30]C.</w:t>
      </w:r>
      <w:proofErr w:type="gramEnd"/>
      <w:r w:rsidRPr="00FB1B80">
        <w:rPr>
          <w:rFonts w:ascii="Times New Roman" w:hAnsi="Times New Roman" w:cs="Times New Roman"/>
          <w:sz w:val="24"/>
          <w:szCs w:val="24"/>
          <w:lang w:val="en-US"/>
        </w:rPr>
        <w:t xml:space="preserve"> F. Tang and E. C. Tan, “The Relative Contributions of </w:t>
      </w:r>
      <w:r w:rsidRPr="00FB1B80">
        <w:rPr>
          <w:rFonts w:ascii="Times New Roman" w:hAnsi="Times New Roman" w:cs="Times New Roman"/>
          <w:sz w:val="24"/>
          <w:szCs w:val="24"/>
        </w:rPr>
        <w:t>Domestic and Foreign direct investments and exports to Malaysia’s Economic Growth,” Singapore Economic Review, vol. 60, no. 2, June 2015, pp. 1550011 (20 pages). https://doi.org/10.1142/S0217590815500113</w:t>
      </w:r>
    </w:p>
    <w:p w14:paraId="662EE9CC"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31]P.</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Kotrajaras</w:t>
      </w:r>
      <w:proofErr w:type="spellEnd"/>
      <w:r w:rsidRPr="00FB1B80">
        <w:rPr>
          <w:rFonts w:ascii="Times New Roman" w:hAnsi="Times New Roman" w:cs="Times New Roman"/>
          <w:sz w:val="24"/>
          <w:szCs w:val="24"/>
          <w:lang w:val="en-US"/>
        </w:rPr>
        <w:t>, “Foreign direct investment and economic growth: A comparative study among East Asian countries,” Applied Economics Journal, vol. 17, no. 2, March 2010, pp. 12-26.</w:t>
      </w:r>
    </w:p>
    <w:p w14:paraId="30CC30A5" w14:textId="77777777" w:rsidR="00FB1B80" w:rsidRPr="00FB1B80" w:rsidRDefault="00FB1B80" w:rsidP="00FB1B80">
      <w:pPr>
        <w:pStyle w:val="BodyText5"/>
        <w:adjustRightInd w:val="0"/>
        <w:snapToGrid w:val="0"/>
        <w:spacing w:after="120" w:line="480" w:lineRule="auto"/>
        <w:ind w:left="567" w:hanging="567"/>
        <w:jc w:val="left"/>
        <w:rPr>
          <w:rStyle w:val="Hyperlink"/>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32]X.</w:t>
      </w:r>
      <w:proofErr w:type="gramEnd"/>
      <w:r w:rsidRPr="00FB1B80">
        <w:rPr>
          <w:rFonts w:ascii="Times New Roman" w:hAnsi="Times New Roman" w:cs="Times New Roman"/>
          <w:sz w:val="24"/>
          <w:szCs w:val="24"/>
          <w:lang w:val="en-US"/>
        </w:rPr>
        <w:t xml:space="preserve"> Fu, “Foreign direct investment, absorptive capacity and regional innovation capabilities: Evidence from China,” Oxford Development Studies, vol. 36, no. 1, March 2008, pp. 89-110. </w:t>
      </w:r>
      <w:hyperlink r:id="rId15" w:history="1">
        <w:r w:rsidRPr="00FB1B80">
          <w:rPr>
            <w:rStyle w:val="Hyperlink"/>
            <w:rFonts w:ascii="Times New Roman" w:hAnsi="Times New Roman" w:cs="Times New Roman"/>
            <w:sz w:val="24"/>
            <w:szCs w:val="24"/>
            <w:lang w:val="en-US"/>
          </w:rPr>
          <w:t>https://doi.org/10.1080/13600810701848193</w:t>
        </w:r>
      </w:hyperlink>
    </w:p>
    <w:p w14:paraId="2472F53F"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33]C.</w:t>
      </w:r>
      <w:proofErr w:type="gramEnd"/>
      <w:r w:rsidRPr="00FB1B80">
        <w:rPr>
          <w:rFonts w:ascii="Times New Roman" w:hAnsi="Times New Roman" w:cs="Times New Roman"/>
          <w:sz w:val="24"/>
          <w:szCs w:val="24"/>
          <w:lang w:val="en-US"/>
        </w:rPr>
        <w:t xml:space="preserve"> K. Choong, Z. </w:t>
      </w:r>
      <w:proofErr w:type="spellStart"/>
      <w:r w:rsidRPr="00FB1B80">
        <w:rPr>
          <w:rFonts w:ascii="Times New Roman" w:hAnsi="Times New Roman" w:cs="Times New Roman"/>
          <w:sz w:val="24"/>
          <w:szCs w:val="24"/>
          <w:lang w:val="en-US"/>
        </w:rPr>
        <w:t>Yusop</w:t>
      </w:r>
      <w:proofErr w:type="spellEnd"/>
      <w:r w:rsidRPr="00FB1B80">
        <w:rPr>
          <w:rFonts w:ascii="Times New Roman" w:hAnsi="Times New Roman" w:cs="Times New Roman"/>
          <w:sz w:val="24"/>
          <w:szCs w:val="24"/>
          <w:lang w:val="en-US"/>
        </w:rPr>
        <w:t xml:space="preserve"> and S. Soo, “Foreign direct investment and economic growth in Malaysia: the role of domestic financial sector,” Singapore Economic Review, vol. 50, no. 2, February 2005, pp. 245-268. https://doi.org/10.1142/S0217590805001986</w:t>
      </w:r>
    </w:p>
    <w:p w14:paraId="69373A6A"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34]X.</w:t>
      </w:r>
      <w:proofErr w:type="gramEnd"/>
      <w:r w:rsidRPr="00FB1B80">
        <w:rPr>
          <w:rFonts w:ascii="Times New Roman" w:hAnsi="Times New Roman" w:cs="Times New Roman"/>
          <w:sz w:val="24"/>
          <w:szCs w:val="24"/>
          <w:lang w:val="en-US"/>
        </w:rPr>
        <w:t xml:space="preserve"> Li and X. Liu, “Foreign direct investment and economic growth: an increasingly endogenous relationship,” World Development, vol. 33, no. 3, February 2005, pp. 393–407. https://doi.org/10.1016/j.worlddev.2004.11.001</w:t>
      </w:r>
    </w:p>
    <w:p w14:paraId="06C8EE1F" w14:textId="77777777" w:rsidR="00FB1B80" w:rsidRPr="00FB1B80" w:rsidRDefault="00FB1B80" w:rsidP="00FB1B80">
      <w:pPr>
        <w:pStyle w:val="BodyText5"/>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35]A.E.</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Akinlo</w:t>
      </w:r>
      <w:proofErr w:type="spellEnd"/>
      <w:r w:rsidRPr="00FB1B80">
        <w:rPr>
          <w:rFonts w:ascii="Times New Roman" w:hAnsi="Times New Roman" w:cs="Times New Roman"/>
          <w:sz w:val="24"/>
          <w:szCs w:val="24"/>
          <w:lang w:val="en-US"/>
        </w:rPr>
        <w:t>, “Foreign direct investment and growth in Nigeria: An empirical investigation,” Journal of Policy Modeling, vol. 26, no. 5, February 2004, pp. 627-639. https://doi.org/10.1016/j.jpolmod.2004.04.011</w:t>
      </w:r>
    </w:p>
    <w:p w14:paraId="6563C72B"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rPr>
      </w:pPr>
      <w:r w:rsidRPr="00FB1B80">
        <w:rPr>
          <w:rFonts w:ascii="Times New Roman" w:hAnsi="Times New Roman" w:cs="Times New Roman"/>
          <w:sz w:val="24"/>
          <w:szCs w:val="24"/>
        </w:rPr>
        <w:t xml:space="preserve">[36]D. Sahoo and M. K. Mathiyazhagan, </w:t>
      </w:r>
      <w:r w:rsidRPr="00FB1B80">
        <w:rPr>
          <w:rFonts w:ascii="Times New Roman" w:hAnsi="Times New Roman" w:cs="Times New Roman"/>
          <w:sz w:val="24"/>
          <w:szCs w:val="24"/>
          <w:lang w:val="en-US"/>
        </w:rPr>
        <w:t>“</w:t>
      </w:r>
      <w:r w:rsidRPr="00FB1B80">
        <w:rPr>
          <w:rFonts w:ascii="Times New Roman" w:hAnsi="Times New Roman" w:cs="Times New Roman"/>
          <w:sz w:val="24"/>
          <w:szCs w:val="24"/>
        </w:rPr>
        <w:t xml:space="preserve">Economic growth in India: Does foreign direct investment inflow matter?,” Singapore Economic Review, vol 48, October 2003, pp. 151–171. </w:t>
      </w:r>
      <w:r w:rsidRPr="00FB1B80">
        <w:rPr>
          <w:rFonts w:ascii="Times New Roman" w:hAnsi="Times New Roman" w:cs="Times New Roman"/>
          <w:sz w:val="24"/>
          <w:szCs w:val="24"/>
        </w:rPr>
        <w:fldChar w:fldCharType="begin"/>
      </w:r>
      <w:r w:rsidRPr="00FB1B80">
        <w:rPr>
          <w:rFonts w:ascii="Times New Roman" w:hAnsi="Times New Roman" w:cs="Times New Roman"/>
          <w:sz w:val="24"/>
          <w:szCs w:val="24"/>
        </w:rPr>
        <w:instrText xml:space="preserve"> HYPERLINK "https://doi.org/10.1142/S0217590803000748" </w:instrText>
      </w:r>
      <w:r w:rsidRPr="00FB1B80">
        <w:rPr>
          <w:rFonts w:ascii="Times New Roman" w:hAnsi="Times New Roman" w:cs="Times New Roman"/>
          <w:sz w:val="24"/>
          <w:szCs w:val="24"/>
        </w:rPr>
        <w:fldChar w:fldCharType="separate"/>
      </w:r>
      <w:r w:rsidRPr="00FB1B80">
        <w:rPr>
          <w:rStyle w:val="Hyperlink"/>
          <w:rFonts w:ascii="Times New Roman" w:hAnsi="Times New Roman" w:cs="Times New Roman"/>
          <w:sz w:val="24"/>
          <w:szCs w:val="24"/>
        </w:rPr>
        <w:t>https://doi.org/10.1142/S0217590803000748</w:t>
      </w:r>
      <w:r w:rsidRPr="00FB1B80">
        <w:rPr>
          <w:rFonts w:ascii="Times New Roman" w:hAnsi="Times New Roman" w:cs="Times New Roman"/>
          <w:sz w:val="24"/>
          <w:szCs w:val="24"/>
        </w:rPr>
        <w:fldChar w:fldCharType="end"/>
      </w:r>
    </w:p>
    <w:p w14:paraId="3FDCA765"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lastRenderedPageBreak/>
        <w:t>[</w:t>
      </w:r>
      <w:proofErr w:type="gramStart"/>
      <w:r w:rsidRPr="00FB1B80">
        <w:rPr>
          <w:rFonts w:ascii="Times New Roman" w:hAnsi="Times New Roman" w:cs="Times New Roman"/>
          <w:sz w:val="24"/>
          <w:szCs w:val="24"/>
          <w:lang w:val="en-US"/>
        </w:rPr>
        <w:t>37]E.</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Borensztein</w:t>
      </w:r>
      <w:proofErr w:type="spellEnd"/>
      <w:r w:rsidRPr="00FB1B80">
        <w:rPr>
          <w:rFonts w:ascii="Times New Roman" w:hAnsi="Times New Roman" w:cs="Times New Roman"/>
          <w:sz w:val="24"/>
          <w:szCs w:val="24"/>
          <w:lang w:val="en-US"/>
        </w:rPr>
        <w:t xml:space="preserve">, J. D. </w:t>
      </w:r>
      <w:proofErr w:type="spellStart"/>
      <w:r w:rsidRPr="00FB1B80">
        <w:rPr>
          <w:rFonts w:ascii="Times New Roman" w:hAnsi="Times New Roman" w:cs="Times New Roman"/>
          <w:sz w:val="24"/>
          <w:szCs w:val="24"/>
          <w:lang w:val="en-US"/>
        </w:rPr>
        <w:t>Geogorie</w:t>
      </w:r>
      <w:proofErr w:type="spellEnd"/>
      <w:r w:rsidRPr="00FB1B80">
        <w:rPr>
          <w:rFonts w:ascii="Times New Roman" w:hAnsi="Times New Roman" w:cs="Times New Roman"/>
          <w:sz w:val="24"/>
          <w:szCs w:val="24"/>
          <w:lang w:val="en-US"/>
        </w:rPr>
        <w:t xml:space="preserve"> and J. W. Lee, “How does foreign direct investment affect economic growth?,” Journal of International Economics, vol. 45, no. 1, June 1998, pp. 115–135.  http//doi.org/10.1016/S0022-1996(97)00033-0</w:t>
      </w:r>
    </w:p>
    <w:p w14:paraId="0F0EA151"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eastAsia="pl-PL"/>
        </w:rPr>
      </w:pPr>
      <w:r w:rsidRPr="00FB1B80">
        <w:rPr>
          <w:rStyle w:val="Hyperlink"/>
          <w:rFonts w:ascii="Times New Roman" w:hAnsi="Times New Roman" w:cs="Times New Roman"/>
          <w:sz w:val="24"/>
          <w:szCs w:val="24"/>
          <w:lang w:val="en-US"/>
        </w:rPr>
        <w:t>[</w:t>
      </w:r>
      <w:proofErr w:type="gramStart"/>
      <w:r w:rsidRPr="00FB1B80">
        <w:rPr>
          <w:rStyle w:val="Hyperlink"/>
          <w:rFonts w:ascii="Times New Roman" w:hAnsi="Times New Roman" w:cs="Times New Roman"/>
          <w:sz w:val="24"/>
          <w:szCs w:val="24"/>
          <w:lang w:val="en-US"/>
        </w:rPr>
        <w:t>38]J.</w:t>
      </w:r>
      <w:proofErr w:type="gramEnd"/>
      <w:r w:rsidRPr="00FB1B80">
        <w:rPr>
          <w:rStyle w:val="Hyperlink"/>
          <w:rFonts w:ascii="Times New Roman" w:hAnsi="Times New Roman" w:cs="Times New Roman"/>
          <w:sz w:val="24"/>
          <w:szCs w:val="24"/>
          <w:lang w:val="en-US"/>
        </w:rPr>
        <w:t xml:space="preserve"> E. Chen and S. A. M. </w:t>
      </w:r>
      <w:proofErr w:type="spellStart"/>
      <w:r w:rsidRPr="00FB1B80">
        <w:rPr>
          <w:rStyle w:val="Hyperlink"/>
          <w:rFonts w:ascii="Times New Roman" w:hAnsi="Times New Roman" w:cs="Times New Roman"/>
          <w:sz w:val="24"/>
          <w:szCs w:val="24"/>
          <w:lang w:val="en-US"/>
        </w:rPr>
        <w:t>Zulkifli</w:t>
      </w:r>
      <w:proofErr w:type="spellEnd"/>
      <w:r w:rsidRPr="00FB1B80">
        <w:rPr>
          <w:rStyle w:val="Hyperlink"/>
          <w:rFonts w:ascii="Times New Roman" w:hAnsi="Times New Roman" w:cs="Times New Roman"/>
          <w:sz w:val="24"/>
          <w:szCs w:val="24"/>
          <w:lang w:val="en-US"/>
        </w:rPr>
        <w:t>, “Malaysian Outward FDI and Economic Growth,” Procedia - Social and Behavioral Sciences, vol. 65, no. 3, December 2012, pp. 717-722. https://doi.org/10.1016/j.sbspro.2012.11.189</w:t>
      </w:r>
    </w:p>
    <w:p w14:paraId="3F4F48D0"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39]C.</w:t>
      </w:r>
      <w:proofErr w:type="gramEnd"/>
      <w:r w:rsidRPr="00FB1B80">
        <w:rPr>
          <w:rFonts w:ascii="Times New Roman" w:hAnsi="Times New Roman" w:cs="Times New Roman"/>
          <w:sz w:val="24"/>
          <w:szCs w:val="24"/>
          <w:lang w:val="en-US"/>
        </w:rPr>
        <w:t xml:space="preserve"> G. Lee, “Outward foreign direct investment and economic growth: Evidence from Japan,” Global Economic Review, vol. 39, no. 3, September 2010, pp. 317-326. </w:t>
      </w:r>
      <w:hyperlink r:id="rId16" w:history="1">
        <w:r w:rsidRPr="00FB1B80">
          <w:rPr>
            <w:rStyle w:val="Hyperlink"/>
            <w:rFonts w:ascii="Times New Roman" w:hAnsi="Times New Roman" w:cs="Times New Roman"/>
            <w:sz w:val="24"/>
            <w:szCs w:val="24"/>
            <w:lang w:val="en-US"/>
          </w:rPr>
          <w:t>https://doi.org/10.1080/1226508X.2010.513143</w:t>
        </w:r>
      </w:hyperlink>
    </w:p>
    <w:p w14:paraId="5FA929BA" w14:textId="77777777" w:rsidR="00FB1B80" w:rsidRPr="00FB1B80" w:rsidRDefault="00FB1B80" w:rsidP="00FB1B80">
      <w:pPr>
        <w:pStyle w:val="BodyText5"/>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40]U.</w:t>
      </w:r>
      <w:proofErr w:type="gramEnd"/>
      <w:r w:rsidRPr="00FB1B80">
        <w:rPr>
          <w:rFonts w:ascii="Times New Roman" w:hAnsi="Times New Roman" w:cs="Times New Roman"/>
          <w:sz w:val="24"/>
          <w:szCs w:val="24"/>
          <w:lang w:val="en-US"/>
        </w:rPr>
        <w:t xml:space="preserve"> Ali, W. Shan, J. Wang and A. Amin, “Outward Foreign Direct Investment and Economic Growth in China: Evidence from Asymmetric ARDL approach,” Journal of Business Economics &amp; Management, vol. 19, no. 5, December 2018 706-721. </w:t>
      </w:r>
      <w:hyperlink r:id="rId17" w:history="1">
        <w:r w:rsidRPr="00FB1B80">
          <w:rPr>
            <w:rStyle w:val="Hyperlink"/>
            <w:rFonts w:ascii="Times New Roman" w:hAnsi="Times New Roman" w:cs="Times New Roman"/>
            <w:sz w:val="24"/>
            <w:szCs w:val="24"/>
            <w:lang w:val="en-US"/>
          </w:rPr>
          <w:t>https://doi.org/10.3846/jbem.2018.6263</w:t>
        </w:r>
      </w:hyperlink>
    </w:p>
    <w:p w14:paraId="77B2C06C"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41]M.</w:t>
      </w:r>
      <w:proofErr w:type="gramEnd"/>
      <w:r w:rsidRPr="00FB1B80">
        <w:rPr>
          <w:rFonts w:ascii="Times New Roman" w:hAnsi="Times New Roman" w:cs="Times New Roman"/>
          <w:sz w:val="24"/>
          <w:szCs w:val="24"/>
          <w:lang w:val="en-US"/>
        </w:rPr>
        <w:t xml:space="preserve"> Gibney, L. Cornett, R. Wood, P. </w:t>
      </w:r>
      <w:proofErr w:type="spellStart"/>
      <w:r w:rsidRPr="00FB1B80">
        <w:rPr>
          <w:rFonts w:ascii="Times New Roman" w:hAnsi="Times New Roman" w:cs="Times New Roman"/>
          <w:sz w:val="24"/>
          <w:szCs w:val="24"/>
          <w:lang w:val="en-US"/>
        </w:rPr>
        <w:t>Haschke</w:t>
      </w:r>
      <w:proofErr w:type="spellEnd"/>
      <w:r w:rsidRPr="00FB1B80">
        <w:rPr>
          <w:rFonts w:ascii="Times New Roman" w:hAnsi="Times New Roman" w:cs="Times New Roman"/>
          <w:sz w:val="24"/>
          <w:szCs w:val="24"/>
          <w:lang w:val="en-US"/>
        </w:rPr>
        <w:t xml:space="preserve">, A. Daniel and A. </w:t>
      </w:r>
      <w:r w:rsidRPr="00FB1B80">
        <w:rPr>
          <w:rFonts w:ascii="Times New Roman" w:hAnsi="Times New Roman" w:cs="Times New Roman"/>
          <w:sz w:val="24"/>
          <w:szCs w:val="24"/>
        </w:rPr>
        <w:t xml:space="preserve">Pisanò, </w:t>
      </w:r>
      <w:r w:rsidRPr="00FB1B80">
        <w:rPr>
          <w:rFonts w:ascii="Times New Roman" w:hAnsi="Times New Roman" w:cs="Times New Roman"/>
          <w:sz w:val="24"/>
          <w:szCs w:val="24"/>
          <w:lang w:val="en-US"/>
        </w:rPr>
        <w:t>“Political Terror Scale,” 1976–2016.</w:t>
      </w:r>
    </w:p>
    <w:p w14:paraId="1F8CF91B" w14:textId="77777777" w:rsidR="00FB1B80" w:rsidRPr="00FB1B80" w:rsidRDefault="00FB1B80" w:rsidP="00FB1B80">
      <w:pPr>
        <w:pStyle w:val="BodyText5"/>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42]W.</w:t>
      </w:r>
      <w:proofErr w:type="gramEnd"/>
      <w:r w:rsidRPr="00FB1B80">
        <w:rPr>
          <w:rFonts w:ascii="Times New Roman" w:hAnsi="Times New Roman" w:cs="Times New Roman"/>
          <w:sz w:val="24"/>
          <w:szCs w:val="24"/>
          <w:lang w:val="en-US"/>
        </w:rPr>
        <w:t xml:space="preserve"> N. W. Azman-Saini, A. Z. </w:t>
      </w:r>
      <w:proofErr w:type="spellStart"/>
      <w:r w:rsidRPr="00FB1B80">
        <w:rPr>
          <w:rFonts w:ascii="Times New Roman" w:hAnsi="Times New Roman" w:cs="Times New Roman"/>
          <w:sz w:val="24"/>
          <w:szCs w:val="24"/>
          <w:lang w:val="en-US"/>
        </w:rPr>
        <w:t>Baharumshah</w:t>
      </w:r>
      <w:proofErr w:type="spellEnd"/>
      <w:r w:rsidRPr="00FB1B80">
        <w:rPr>
          <w:rFonts w:ascii="Times New Roman" w:hAnsi="Times New Roman" w:cs="Times New Roman"/>
          <w:sz w:val="24"/>
          <w:szCs w:val="24"/>
          <w:lang w:val="en-US"/>
        </w:rPr>
        <w:t xml:space="preserve"> and S. H. Law, “Foreign direct investment, economic freedom and economic growth: International evidence. Economic Modelling,” vol. 27, no. 5, September 2010, pp. 1079-1089. </w:t>
      </w:r>
      <w:hyperlink r:id="rId18" w:history="1">
        <w:r w:rsidRPr="00FB1B80">
          <w:rPr>
            <w:rStyle w:val="Hyperlink"/>
            <w:rFonts w:ascii="Times New Roman" w:hAnsi="Times New Roman" w:cs="Times New Roman"/>
            <w:sz w:val="24"/>
            <w:szCs w:val="24"/>
            <w:lang w:val="en-US"/>
          </w:rPr>
          <w:t>https://doi.org/10.1016/j.econmod.2010.04.001</w:t>
        </w:r>
      </w:hyperlink>
    </w:p>
    <w:p w14:paraId="7E3D3CAC" w14:textId="77777777" w:rsidR="00FB1B80" w:rsidRPr="00FB1B80" w:rsidRDefault="00FB1B80" w:rsidP="00FB1B80">
      <w:pPr>
        <w:pStyle w:val="BodyText5"/>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43]R.</w:t>
      </w:r>
      <w:proofErr w:type="gramEnd"/>
      <w:r w:rsidRPr="00FB1B80">
        <w:rPr>
          <w:rFonts w:ascii="Times New Roman" w:hAnsi="Times New Roman" w:cs="Times New Roman"/>
          <w:sz w:val="24"/>
          <w:szCs w:val="24"/>
          <w:lang w:val="en-US"/>
        </w:rPr>
        <w:t xml:space="preserve"> J. Barro and X. I. Sala-</w:t>
      </w:r>
      <w:proofErr w:type="spellStart"/>
      <w:r w:rsidRPr="00FB1B80">
        <w:rPr>
          <w:rFonts w:ascii="Times New Roman" w:hAnsi="Times New Roman" w:cs="Times New Roman"/>
          <w:sz w:val="24"/>
          <w:szCs w:val="24"/>
          <w:lang w:val="en-US"/>
        </w:rPr>
        <w:t>i</w:t>
      </w:r>
      <w:proofErr w:type="spellEnd"/>
      <w:r w:rsidRPr="00FB1B80">
        <w:rPr>
          <w:rFonts w:ascii="Times New Roman" w:hAnsi="Times New Roman" w:cs="Times New Roman"/>
          <w:sz w:val="24"/>
          <w:szCs w:val="24"/>
          <w:lang w:val="en-US"/>
        </w:rPr>
        <w:t>-Martin, “Economic growth (2nd ed.),” Cambridge, London: The MIT Press, 2004.</w:t>
      </w:r>
    </w:p>
    <w:p w14:paraId="0E4D97B6"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44]M.</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Yingxi</w:t>
      </w:r>
      <w:proofErr w:type="spellEnd"/>
      <w:r w:rsidRPr="00FB1B80">
        <w:rPr>
          <w:rFonts w:ascii="Times New Roman" w:hAnsi="Times New Roman" w:cs="Times New Roman"/>
          <w:sz w:val="24"/>
          <w:szCs w:val="24"/>
          <w:lang w:val="en-US"/>
        </w:rPr>
        <w:t xml:space="preserve"> and J. H. Hung, “Inward FDI and Economic Growth: A Comparative Analysis of China versus India,” Chapter 10. The State of China’s State Capitalism, 2018.</w:t>
      </w:r>
    </w:p>
    <w:p w14:paraId="51C1D318"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lastRenderedPageBreak/>
        <w:t>[</w:t>
      </w:r>
      <w:proofErr w:type="gramStart"/>
      <w:r w:rsidRPr="00FB1B80">
        <w:rPr>
          <w:rFonts w:ascii="Times New Roman" w:hAnsi="Times New Roman" w:cs="Times New Roman"/>
          <w:sz w:val="24"/>
          <w:szCs w:val="24"/>
          <w:lang w:val="en-US"/>
        </w:rPr>
        <w:t>45]X.</w:t>
      </w:r>
      <w:proofErr w:type="gramEnd"/>
      <w:r w:rsidRPr="00FB1B80">
        <w:rPr>
          <w:rFonts w:ascii="Times New Roman" w:hAnsi="Times New Roman" w:cs="Times New Roman"/>
          <w:sz w:val="24"/>
          <w:szCs w:val="24"/>
          <w:lang w:val="en-US"/>
        </w:rPr>
        <w:t xml:space="preserve"> Cao and P. </w:t>
      </w:r>
      <w:proofErr w:type="spellStart"/>
      <w:r w:rsidRPr="00FB1B80">
        <w:rPr>
          <w:rFonts w:ascii="Times New Roman" w:hAnsi="Times New Roman" w:cs="Times New Roman"/>
          <w:sz w:val="24"/>
          <w:szCs w:val="24"/>
          <w:lang w:val="en-US"/>
        </w:rPr>
        <w:t>Jariyapan</w:t>
      </w:r>
      <w:proofErr w:type="spellEnd"/>
      <w:r w:rsidRPr="00FB1B80">
        <w:rPr>
          <w:rFonts w:ascii="Times New Roman" w:hAnsi="Times New Roman" w:cs="Times New Roman"/>
          <w:sz w:val="24"/>
          <w:szCs w:val="24"/>
          <w:lang w:val="en-US"/>
        </w:rPr>
        <w:t>, “Foreign Direct Investment, Human Capital and Economic Growth of People’s Republic of China Using Panel Data Approach,” CMU. Journal of Economics. Vol. 16, no. 1, June 2012, pp. 30-42.</w:t>
      </w:r>
    </w:p>
    <w:p w14:paraId="13CC1F7B" w14:textId="77777777" w:rsidR="00FB1B80" w:rsidRPr="00FB1B80" w:rsidRDefault="00FB1B80" w:rsidP="00FB1B80">
      <w:pPr>
        <w:pStyle w:val="BodyText5"/>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46]U.</w:t>
      </w:r>
      <w:proofErr w:type="gramEnd"/>
      <w:r w:rsidRPr="00FB1B80">
        <w:rPr>
          <w:rFonts w:ascii="Times New Roman" w:hAnsi="Times New Roman" w:cs="Times New Roman"/>
          <w:sz w:val="24"/>
          <w:szCs w:val="24"/>
          <w:lang w:val="en-US"/>
        </w:rPr>
        <w:t xml:space="preserve"> Ali and J. J. Wang, “Does outbound foreign direct investment crowd out domestic investment in China? Evidence from time series analysis,” Global Economic Review, vol. 47, no. 4, October 2018, pp. 419–433. </w:t>
      </w:r>
      <w:hyperlink r:id="rId19" w:history="1">
        <w:r w:rsidRPr="00FB1B80">
          <w:rPr>
            <w:rStyle w:val="Hyperlink"/>
            <w:rFonts w:ascii="Times New Roman" w:hAnsi="Times New Roman" w:cs="Times New Roman"/>
            <w:sz w:val="24"/>
            <w:szCs w:val="24"/>
            <w:lang w:val="en-US"/>
          </w:rPr>
          <w:t>https://doi.org/10.1080/1226508X.2018.1492431</w:t>
        </w:r>
      </w:hyperlink>
    </w:p>
    <w:p w14:paraId="18E06A68"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47]C.</w:t>
      </w:r>
      <w:proofErr w:type="gramEnd"/>
      <w:r w:rsidRPr="00FB1B80">
        <w:rPr>
          <w:rFonts w:ascii="Times New Roman" w:hAnsi="Times New Roman" w:cs="Times New Roman"/>
          <w:sz w:val="24"/>
          <w:szCs w:val="24"/>
          <w:lang w:val="en-US"/>
        </w:rPr>
        <w:t xml:space="preserve"> Calderón, “Infrastructure and Growth in Africa,” The World Bank, Policy Research Working Paper Series, Africa Region, 2009.</w:t>
      </w:r>
    </w:p>
    <w:p w14:paraId="745EDE83" w14:textId="77777777" w:rsidR="00FB1B80" w:rsidRPr="00FB1B80" w:rsidRDefault="00FB1B80" w:rsidP="00FB1B80">
      <w:pPr>
        <w:pStyle w:val="BodyText5"/>
        <w:adjustRightInd w:val="0"/>
        <w:snapToGrid w:val="0"/>
        <w:spacing w:after="120" w:line="480" w:lineRule="auto"/>
        <w:ind w:left="567" w:hanging="567"/>
        <w:jc w:val="left"/>
        <w:rPr>
          <w:rStyle w:val="Hyperlink"/>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48]C.</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Katrakilidis</w:t>
      </w:r>
      <w:proofErr w:type="spellEnd"/>
      <w:r w:rsidRPr="00FB1B80">
        <w:rPr>
          <w:rFonts w:ascii="Times New Roman" w:hAnsi="Times New Roman" w:cs="Times New Roman"/>
          <w:sz w:val="24"/>
          <w:szCs w:val="24"/>
          <w:lang w:val="en-US"/>
        </w:rPr>
        <w:t xml:space="preserve"> and E. </w:t>
      </w:r>
      <w:proofErr w:type="spellStart"/>
      <w:r w:rsidRPr="00FB1B80">
        <w:rPr>
          <w:rFonts w:ascii="Times New Roman" w:hAnsi="Times New Roman" w:cs="Times New Roman"/>
          <w:sz w:val="24"/>
          <w:szCs w:val="24"/>
          <w:lang w:val="en-US"/>
        </w:rPr>
        <w:t>Trachanas</w:t>
      </w:r>
      <w:proofErr w:type="spellEnd"/>
      <w:r w:rsidRPr="00FB1B80">
        <w:rPr>
          <w:rFonts w:ascii="Times New Roman" w:hAnsi="Times New Roman" w:cs="Times New Roman"/>
          <w:sz w:val="24"/>
          <w:szCs w:val="24"/>
          <w:lang w:val="en-US"/>
        </w:rPr>
        <w:t xml:space="preserve">, “What drives housing price dynamics in Greece: new evidence from asymmetric ARDL cointegration,” Economic Modelling, vol. 29, no. 4, July 2012, pp. 1064-1069. </w:t>
      </w:r>
      <w:hyperlink r:id="rId20" w:tgtFrame="_blank" w:tooltip="Persistent link using digital object identifier" w:history="1">
        <w:r w:rsidRPr="00FB1B80">
          <w:rPr>
            <w:rStyle w:val="Hyperlink"/>
            <w:rFonts w:ascii="Times New Roman" w:hAnsi="Times New Roman" w:cs="Times New Roman"/>
            <w:sz w:val="24"/>
            <w:szCs w:val="24"/>
            <w:lang w:val="en-US"/>
          </w:rPr>
          <w:t>https://doi.org/10.1016/j.econmod.2012.03.029</w:t>
        </w:r>
      </w:hyperlink>
    </w:p>
    <w:p w14:paraId="768B3369"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49]M.</w:t>
      </w:r>
      <w:proofErr w:type="gramEnd"/>
      <w:r w:rsidRPr="00FB1B80">
        <w:rPr>
          <w:rFonts w:ascii="Times New Roman" w:hAnsi="Times New Roman" w:cs="Times New Roman"/>
          <w:sz w:val="24"/>
          <w:szCs w:val="24"/>
          <w:lang w:val="en-US"/>
        </w:rPr>
        <w:t xml:space="preserve"> Bahmani-</w:t>
      </w:r>
      <w:proofErr w:type="spellStart"/>
      <w:r w:rsidRPr="00FB1B80">
        <w:rPr>
          <w:rFonts w:ascii="Times New Roman" w:hAnsi="Times New Roman" w:cs="Times New Roman"/>
          <w:sz w:val="24"/>
          <w:szCs w:val="24"/>
          <w:lang w:val="en-US"/>
        </w:rPr>
        <w:t>Oskooee</w:t>
      </w:r>
      <w:proofErr w:type="spellEnd"/>
      <w:r w:rsidRPr="00FB1B80">
        <w:rPr>
          <w:rFonts w:ascii="Times New Roman" w:hAnsi="Times New Roman" w:cs="Times New Roman"/>
          <w:sz w:val="24"/>
          <w:szCs w:val="24"/>
          <w:lang w:val="en-US"/>
        </w:rPr>
        <w:t xml:space="preserve"> and S. H. </w:t>
      </w:r>
      <w:proofErr w:type="spellStart"/>
      <w:r w:rsidRPr="00FB1B80">
        <w:rPr>
          <w:rFonts w:ascii="Times New Roman" w:hAnsi="Times New Roman" w:cs="Times New Roman"/>
          <w:sz w:val="24"/>
          <w:szCs w:val="24"/>
          <w:lang w:val="en-US"/>
        </w:rPr>
        <w:t>Ghodsi</w:t>
      </w:r>
      <w:proofErr w:type="spellEnd"/>
      <w:r w:rsidRPr="00FB1B80">
        <w:rPr>
          <w:rFonts w:ascii="Times New Roman" w:hAnsi="Times New Roman" w:cs="Times New Roman"/>
          <w:sz w:val="24"/>
          <w:szCs w:val="24"/>
          <w:lang w:val="en-US"/>
        </w:rPr>
        <w:t>, “Asymmetric Causality and Asymmetric Cointegration between Income and House Prices in the United States of America,” International Real Estate Review, vol. 20, no. 2, 2017, pp. 127-165.</w:t>
      </w:r>
    </w:p>
    <w:p w14:paraId="55402BAB"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50]P.</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Fousekis</w:t>
      </w:r>
      <w:proofErr w:type="spellEnd"/>
      <w:r w:rsidRPr="00FB1B80">
        <w:rPr>
          <w:rFonts w:ascii="Times New Roman" w:hAnsi="Times New Roman" w:cs="Times New Roman"/>
          <w:sz w:val="24"/>
          <w:szCs w:val="24"/>
          <w:lang w:val="en-US"/>
        </w:rPr>
        <w:t xml:space="preserve">, C. </w:t>
      </w:r>
      <w:proofErr w:type="spellStart"/>
      <w:r w:rsidRPr="00FB1B80">
        <w:rPr>
          <w:rFonts w:ascii="Times New Roman" w:hAnsi="Times New Roman" w:cs="Times New Roman"/>
          <w:sz w:val="24"/>
          <w:szCs w:val="24"/>
          <w:lang w:val="en-US"/>
        </w:rPr>
        <w:t>Katrakilidis</w:t>
      </w:r>
      <w:proofErr w:type="spellEnd"/>
      <w:r w:rsidRPr="00FB1B80">
        <w:rPr>
          <w:rFonts w:ascii="Times New Roman" w:hAnsi="Times New Roman" w:cs="Times New Roman"/>
          <w:sz w:val="24"/>
          <w:szCs w:val="24"/>
          <w:lang w:val="en-US"/>
        </w:rPr>
        <w:t xml:space="preserve"> and E. </w:t>
      </w:r>
      <w:proofErr w:type="spellStart"/>
      <w:r w:rsidRPr="00FB1B80">
        <w:rPr>
          <w:rFonts w:ascii="Times New Roman" w:hAnsi="Times New Roman" w:cs="Times New Roman"/>
          <w:sz w:val="24"/>
          <w:szCs w:val="24"/>
          <w:lang w:val="en-US"/>
        </w:rPr>
        <w:t>Trachanas</w:t>
      </w:r>
      <w:proofErr w:type="spellEnd"/>
      <w:r w:rsidRPr="00FB1B80">
        <w:rPr>
          <w:rFonts w:ascii="Times New Roman" w:hAnsi="Times New Roman" w:cs="Times New Roman"/>
          <w:sz w:val="24"/>
          <w:szCs w:val="24"/>
          <w:lang w:val="en-US"/>
        </w:rPr>
        <w:t>, “Vertical price transmission in the US beef sector: Evidence from the nonlinear ARDL model,” Economic Modelling, vol. 52, January 2016, pp. 499-506. https://doi.org/10.1016/j.econmod.2015.09.030</w:t>
      </w:r>
    </w:p>
    <w:p w14:paraId="19D827F3"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rPr>
      </w:pPr>
      <w:r w:rsidRPr="00FB1B80">
        <w:rPr>
          <w:rFonts w:ascii="Times New Roman" w:hAnsi="Times New Roman" w:cs="Times New Roman"/>
          <w:sz w:val="24"/>
          <w:szCs w:val="24"/>
        </w:rPr>
        <w:t xml:space="preserve">[51]R. L. Brown, J.  Durbin and J. M. Evans, </w:t>
      </w:r>
      <w:r w:rsidRPr="00FB1B80">
        <w:rPr>
          <w:rFonts w:ascii="Times New Roman" w:hAnsi="Times New Roman" w:cs="Times New Roman"/>
          <w:sz w:val="24"/>
          <w:szCs w:val="24"/>
          <w:lang w:val="en-US"/>
        </w:rPr>
        <w:t>“</w:t>
      </w:r>
      <w:r w:rsidRPr="00FB1B80">
        <w:rPr>
          <w:rFonts w:ascii="Times New Roman" w:hAnsi="Times New Roman" w:cs="Times New Roman"/>
          <w:sz w:val="24"/>
          <w:szCs w:val="24"/>
        </w:rPr>
        <w:t>Techniques for testing the constancy of regression relationships over time,” Journal of the Royal Statistical Society, vol. 37, no. 2, January 1975, pp. 149–192.</w:t>
      </w:r>
    </w:p>
    <w:p w14:paraId="14814D2D" w14:textId="77777777" w:rsidR="00FB1B80" w:rsidRPr="00FB1B80" w:rsidRDefault="00FB1B80" w:rsidP="00FB1B80">
      <w:pPr>
        <w:pStyle w:val="BodyText5"/>
        <w:adjustRightInd w:val="0"/>
        <w:snapToGrid w:val="0"/>
        <w:spacing w:after="120" w:line="480" w:lineRule="auto"/>
        <w:ind w:left="567" w:hanging="567"/>
        <w:jc w:val="left"/>
        <w:rPr>
          <w:rStyle w:val="Hyperlink"/>
          <w:rFonts w:ascii="Times New Roman" w:hAnsi="Times New Roman" w:cs="Times New Roman"/>
          <w:sz w:val="24"/>
          <w:szCs w:val="24"/>
          <w:lang w:val="en-US"/>
        </w:rPr>
      </w:pPr>
      <w:r w:rsidRPr="00FB1B80">
        <w:rPr>
          <w:rFonts w:ascii="Times New Roman" w:hAnsi="Times New Roman" w:cs="Times New Roman"/>
          <w:sz w:val="24"/>
          <w:szCs w:val="24"/>
          <w:lang w:val="en-US"/>
        </w:rPr>
        <w:lastRenderedPageBreak/>
        <w:t>[</w:t>
      </w:r>
      <w:proofErr w:type="gramStart"/>
      <w:r w:rsidRPr="00FB1B80">
        <w:rPr>
          <w:rFonts w:ascii="Times New Roman" w:hAnsi="Times New Roman" w:cs="Times New Roman"/>
          <w:sz w:val="24"/>
          <w:szCs w:val="24"/>
          <w:lang w:val="en-US"/>
        </w:rPr>
        <w:t>52]D.</w:t>
      </w:r>
      <w:proofErr w:type="gramEnd"/>
      <w:r w:rsidRPr="00FB1B80">
        <w:rPr>
          <w:rFonts w:ascii="Times New Roman" w:hAnsi="Times New Roman" w:cs="Times New Roman"/>
          <w:sz w:val="24"/>
          <w:szCs w:val="24"/>
          <w:lang w:val="en-US"/>
        </w:rPr>
        <w:t xml:space="preserve"> A. Dickey and W. A. Fuller, “Likelihood Ratio Statistics for Autoregressive Time Series with a Unit Root,” </w:t>
      </w:r>
      <w:proofErr w:type="spellStart"/>
      <w:r w:rsidRPr="00FB1B80">
        <w:rPr>
          <w:rFonts w:ascii="Times New Roman" w:hAnsi="Times New Roman" w:cs="Times New Roman"/>
          <w:sz w:val="24"/>
          <w:szCs w:val="24"/>
          <w:lang w:val="en-US"/>
        </w:rPr>
        <w:t>Econometrica</w:t>
      </w:r>
      <w:proofErr w:type="spellEnd"/>
      <w:r w:rsidRPr="00FB1B80">
        <w:rPr>
          <w:rFonts w:ascii="Times New Roman" w:hAnsi="Times New Roman" w:cs="Times New Roman"/>
          <w:sz w:val="24"/>
          <w:szCs w:val="24"/>
          <w:lang w:val="en-US"/>
        </w:rPr>
        <w:t xml:space="preserve">, vol. 49, January 1979, pp. 1059-1072. </w:t>
      </w:r>
      <w:hyperlink r:id="rId21" w:history="1">
        <w:r w:rsidRPr="00FB1B80">
          <w:rPr>
            <w:rStyle w:val="Hyperlink"/>
            <w:rFonts w:ascii="Times New Roman" w:hAnsi="Times New Roman" w:cs="Times New Roman"/>
            <w:sz w:val="24"/>
            <w:szCs w:val="24"/>
            <w:lang w:val="en-US"/>
          </w:rPr>
          <w:t>http://doi.org/10.2307/1912517</w:t>
        </w:r>
      </w:hyperlink>
    </w:p>
    <w:p w14:paraId="3F7A7E28"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 xml:space="preserve">[53]D. Kwiatkowski, P. C. B. Phillips, P. Schmidt and Y. Shin, “Testing the null hypothesis of stationarity against the alternative of a unit root: how sure are we that economic time series have a unit root?,” Journal of Econometrics, vol. 54, no. 1-3, December 1992, pp. 159–178. </w:t>
      </w:r>
      <w:hyperlink r:id="rId22" w:history="1">
        <w:r w:rsidRPr="00FB1B80">
          <w:rPr>
            <w:rStyle w:val="Hyperlink"/>
            <w:rFonts w:ascii="Times New Roman" w:hAnsi="Times New Roman" w:cs="Times New Roman"/>
            <w:sz w:val="24"/>
            <w:szCs w:val="24"/>
            <w:lang w:val="en-US"/>
          </w:rPr>
          <w:t>https://doi.org/10.1016/0304-4076(92)90104-Y</w:t>
        </w:r>
      </w:hyperlink>
    </w:p>
    <w:p w14:paraId="594690F5"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54]P.</w:t>
      </w:r>
      <w:proofErr w:type="gramEnd"/>
      <w:r w:rsidRPr="00FB1B80">
        <w:rPr>
          <w:rFonts w:ascii="Times New Roman" w:hAnsi="Times New Roman" w:cs="Times New Roman"/>
          <w:sz w:val="24"/>
          <w:szCs w:val="24"/>
          <w:lang w:val="en-US"/>
        </w:rPr>
        <w:t xml:space="preserve"> N. </w:t>
      </w:r>
      <w:proofErr w:type="spellStart"/>
      <w:r w:rsidRPr="00FB1B80">
        <w:rPr>
          <w:rFonts w:ascii="Times New Roman" w:hAnsi="Times New Roman" w:cs="Times New Roman"/>
          <w:sz w:val="24"/>
          <w:szCs w:val="24"/>
          <w:lang w:val="en-US"/>
        </w:rPr>
        <w:t>Ghauri</w:t>
      </w:r>
      <w:proofErr w:type="spellEnd"/>
      <w:r w:rsidRPr="00FB1B80">
        <w:rPr>
          <w:rFonts w:ascii="Times New Roman" w:hAnsi="Times New Roman" w:cs="Times New Roman"/>
          <w:sz w:val="24"/>
          <w:szCs w:val="24"/>
          <w:lang w:val="en-US"/>
        </w:rPr>
        <w:t xml:space="preserve"> and M. </w:t>
      </w:r>
      <w:proofErr w:type="spellStart"/>
      <w:r w:rsidRPr="00FB1B80">
        <w:rPr>
          <w:rFonts w:ascii="Times New Roman" w:hAnsi="Times New Roman" w:cs="Times New Roman"/>
          <w:sz w:val="24"/>
          <w:szCs w:val="24"/>
          <w:lang w:val="en-US"/>
        </w:rPr>
        <w:t>Yamin</w:t>
      </w:r>
      <w:proofErr w:type="spellEnd"/>
      <w:r w:rsidRPr="00FB1B80">
        <w:rPr>
          <w:rFonts w:ascii="Times New Roman" w:hAnsi="Times New Roman" w:cs="Times New Roman"/>
          <w:sz w:val="24"/>
          <w:szCs w:val="24"/>
          <w:lang w:val="en-US"/>
        </w:rPr>
        <w:t>, “Revisiting the impact of multinational enterprises on economic development,” Journal of World Business,</w:t>
      </w:r>
      <w:r w:rsidRPr="00FB1B80">
        <w:rPr>
          <w:rFonts w:ascii="Times New Roman" w:hAnsi="Times New Roman" w:cs="Times New Roman"/>
          <w:iCs/>
          <w:sz w:val="24"/>
          <w:szCs w:val="24"/>
          <w:lang w:val="en-US"/>
        </w:rPr>
        <w:t xml:space="preserve"> vol. 44, no. 2, April 2009,</w:t>
      </w:r>
      <w:r w:rsidRPr="00FB1B80">
        <w:rPr>
          <w:rFonts w:ascii="Times New Roman" w:hAnsi="Times New Roman" w:cs="Times New Roman"/>
          <w:sz w:val="24"/>
          <w:szCs w:val="24"/>
          <w:lang w:val="en-US"/>
        </w:rPr>
        <w:t xml:space="preserve"> pp. 105-107 https://doi.org/10.1016/j.jwb.2008.05.010</w:t>
      </w:r>
    </w:p>
    <w:p w14:paraId="0333EB56" w14:textId="77777777" w:rsidR="00FB1B80" w:rsidRPr="00FB1B80" w:rsidRDefault="00FB1B80" w:rsidP="00FB1B80">
      <w:pPr>
        <w:pStyle w:val="BodyText5"/>
        <w:adjustRightInd w:val="0"/>
        <w:snapToGrid w:val="0"/>
        <w:spacing w:after="120" w:line="480" w:lineRule="auto"/>
        <w:ind w:left="567" w:hanging="567"/>
        <w:jc w:val="left"/>
        <w:rPr>
          <w:rStyle w:val="Hyperlink"/>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55]N.</w:t>
      </w:r>
      <w:proofErr w:type="gramEnd"/>
      <w:r w:rsidRPr="00FB1B80">
        <w:rPr>
          <w:rFonts w:ascii="Times New Roman" w:hAnsi="Times New Roman" w:cs="Times New Roman"/>
          <w:sz w:val="24"/>
          <w:szCs w:val="24"/>
          <w:lang w:val="en-US"/>
        </w:rPr>
        <w:t xml:space="preserve"> Crespo and M. P. </w:t>
      </w:r>
      <w:proofErr w:type="spellStart"/>
      <w:r w:rsidRPr="00FB1B80">
        <w:rPr>
          <w:rFonts w:ascii="Times New Roman" w:hAnsi="Times New Roman" w:cs="Times New Roman"/>
          <w:sz w:val="24"/>
          <w:szCs w:val="24"/>
          <w:lang w:val="en-US"/>
        </w:rPr>
        <w:t>Fontoura</w:t>
      </w:r>
      <w:proofErr w:type="spellEnd"/>
      <w:r w:rsidRPr="00FB1B80">
        <w:rPr>
          <w:rFonts w:ascii="Times New Roman" w:hAnsi="Times New Roman" w:cs="Times New Roman"/>
          <w:sz w:val="24"/>
          <w:szCs w:val="24"/>
          <w:lang w:val="en-US"/>
        </w:rPr>
        <w:t xml:space="preserve">, “Determinant factors of FDI Spillovers – What do we really know?,” </w:t>
      </w:r>
      <w:r w:rsidRPr="00FB1B80">
        <w:rPr>
          <w:rFonts w:ascii="Times New Roman" w:hAnsi="Times New Roman" w:cs="Times New Roman"/>
          <w:iCs/>
          <w:sz w:val="24"/>
          <w:szCs w:val="24"/>
          <w:lang w:val="en-US"/>
        </w:rPr>
        <w:t>World Development, vol. 35, no. 3</w:t>
      </w:r>
      <w:r w:rsidRPr="00FB1B80">
        <w:rPr>
          <w:rFonts w:ascii="Times New Roman" w:hAnsi="Times New Roman" w:cs="Times New Roman"/>
          <w:sz w:val="24"/>
          <w:szCs w:val="24"/>
          <w:lang w:val="en-US"/>
        </w:rPr>
        <w:t xml:space="preserve">, March 2007, pp. 410–425. </w:t>
      </w:r>
      <w:hyperlink r:id="rId23" w:tgtFrame="_blank" w:tooltip="Persistent link using digital object identifier" w:history="1">
        <w:r w:rsidRPr="00FB1B80">
          <w:rPr>
            <w:rStyle w:val="Hyperlink"/>
            <w:rFonts w:ascii="Times New Roman" w:hAnsi="Times New Roman" w:cs="Times New Roman"/>
            <w:sz w:val="24"/>
            <w:szCs w:val="24"/>
            <w:lang w:val="en-US"/>
          </w:rPr>
          <w:t>https://doi.org/10.1016/j.worlddev.2006.04.001</w:t>
        </w:r>
      </w:hyperlink>
    </w:p>
    <w:p w14:paraId="79D7FE08"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56]E.</w:t>
      </w:r>
      <w:proofErr w:type="gramEnd"/>
      <w:r w:rsidRPr="00FB1B80">
        <w:rPr>
          <w:rFonts w:ascii="Times New Roman" w:hAnsi="Times New Roman" w:cs="Times New Roman"/>
          <w:sz w:val="24"/>
          <w:szCs w:val="24"/>
          <w:lang w:val="en-US"/>
        </w:rPr>
        <w:t xml:space="preserve"> X. Fan, “Technological spillovers from foreign direct investment – A survey,” </w:t>
      </w:r>
      <w:r w:rsidRPr="00FB1B80">
        <w:rPr>
          <w:rFonts w:ascii="Times New Roman" w:hAnsi="Times New Roman" w:cs="Times New Roman"/>
          <w:iCs/>
          <w:sz w:val="24"/>
          <w:szCs w:val="24"/>
          <w:lang w:val="en-US"/>
        </w:rPr>
        <w:t>Asian Development Review, vol. 20</w:t>
      </w:r>
      <w:r w:rsidRPr="00FB1B80">
        <w:rPr>
          <w:rFonts w:ascii="Times New Roman" w:hAnsi="Times New Roman" w:cs="Times New Roman"/>
          <w:sz w:val="24"/>
          <w:szCs w:val="24"/>
          <w:lang w:val="en-US"/>
        </w:rPr>
        <w:t>, December 2003, pp. 34–56.</w:t>
      </w:r>
    </w:p>
    <w:p w14:paraId="6E397729" w14:textId="77777777" w:rsidR="00FB1B80" w:rsidRPr="00FB1B80" w:rsidRDefault="00FB1B80" w:rsidP="00FB1B80">
      <w:pPr>
        <w:pStyle w:val="BodyText5"/>
        <w:adjustRightInd w:val="0"/>
        <w:snapToGrid w:val="0"/>
        <w:spacing w:after="120" w:line="480" w:lineRule="auto"/>
        <w:ind w:left="567" w:hanging="567"/>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57]J.</w:t>
      </w:r>
      <w:proofErr w:type="gramEnd"/>
      <w:r w:rsidRPr="00FB1B80">
        <w:rPr>
          <w:rFonts w:ascii="Times New Roman" w:hAnsi="Times New Roman" w:cs="Times New Roman"/>
          <w:sz w:val="24"/>
          <w:szCs w:val="24"/>
          <w:lang w:val="en-US"/>
        </w:rPr>
        <w:t xml:space="preserve"> </w:t>
      </w:r>
      <w:proofErr w:type="spellStart"/>
      <w:r w:rsidRPr="00FB1B80">
        <w:rPr>
          <w:rFonts w:ascii="Times New Roman" w:hAnsi="Times New Roman" w:cs="Times New Roman"/>
          <w:sz w:val="24"/>
          <w:szCs w:val="24"/>
          <w:lang w:val="en-US"/>
        </w:rPr>
        <w:t>Kentor</w:t>
      </w:r>
      <w:proofErr w:type="spellEnd"/>
      <w:r w:rsidRPr="00FB1B80">
        <w:rPr>
          <w:rFonts w:ascii="Times New Roman" w:hAnsi="Times New Roman" w:cs="Times New Roman"/>
          <w:sz w:val="24"/>
          <w:szCs w:val="24"/>
          <w:lang w:val="en-US"/>
        </w:rPr>
        <w:t xml:space="preserve"> and T. Boswell, “Foreign capital dependence and development: A new direction,” American sociological review, vol. 68, no. 2, April 2003, pp. 301–313. </w:t>
      </w:r>
      <w:r w:rsidRPr="00FB1B80">
        <w:rPr>
          <w:rFonts w:ascii="Times New Roman" w:hAnsi="Times New Roman" w:cs="Times New Roman"/>
          <w:sz w:val="24"/>
          <w:szCs w:val="24"/>
          <w:shd w:val="clear" w:color="auto" w:fill="FFFFFF"/>
        </w:rPr>
        <w:t>DOI: 10.2307/1519770</w:t>
      </w:r>
    </w:p>
    <w:p w14:paraId="2D9D5336" w14:textId="77777777" w:rsidR="00FB1B80" w:rsidRPr="00FB1B80" w:rsidRDefault="00FB1B80" w:rsidP="00FB1B80">
      <w:pPr>
        <w:pStyle w:val="BodyText5"/>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58]V.</w:t>
      </w:r>
      <w:proofErr w:type="gramEnd"/>
      <w:r w:rsidRPr="00FB1B80">
        <w:rPr>
          <w:rFonts w:ascii="Times New Roman" w:hAnsi="Times New Roman" w:cs="Times New Roman"/>
          <w:sz w:val="24"/>
          <w:szCs w:val="24"/>
          <w:lang w:val="en-US"/>
        </w:rPr>
        <w:t xml:space="preserve"> N. </w:t>
      </w:r>
      <w:proofErr w:type="spellStart"/>
      <w:r w:rsidRPr="00FB1B80">
        <w:rPr>
          <w:rFonts w:ascii="Times New Roman" w:hAnsi="Times New Roman" w:cs="Times New Roman"/>
          <w:sz w:val="24"/>
          <w:szCs w:val="24"/>
          <w:lang w:val="en-US"/>
        </w:rPr>
        <w:t>Balasubramanyam</w:t>
      </w:r>
      <w:proofErr w:type="spellEnd"/>
      <w:r w:rsidRPr="00FB1B80">
        <w:rPr>
          <w:rFonts w:ascii="Times New Roman" w:hAnsi="Times New Roman" w:cs="Times New Roman"/>
          <w:sz w:val="24"/>
          <w:szCs w:val="24"/>
          <w:lang w:val="en-US"/>
        </w:rPr>
        <w:t xml:space="preserve">, M. </w:t>
      </w:r>
      <w:proofErr w:type="spellStart"/>
      <w:r w:rsidRPr="00FB1B80">
        <w:rPr>
          <w:rFonts w:ascii="Times New Roman" w:hAnsi="Times New Roman" w:cs="Times New Roman"/>
          <w:sz w:val="24"/>
          <w:szCs w:val="24"/>
          <w:lang w:val="en-US"/>
        </w:rPr>
        <w:t>Salisu</w:t>
      </w:r>
      <w:proofErr w:type="spellEnd"/>
      <w:r w:rsidRPr="00FB1B80">
        <w:rPr>
          <w:rFonts w:ascii="Times New Roman" w:hAnsi="Times New Roman" w:cs="Times New Roman"/>
          <w:sz w:val="24"/>
          <w:szCs w:val="24"/>
          <w:lang w:val="en-US"/>
        </w:rPr>
        <w:t xml:space="preserve"> and D. Sapsford, “Foreign direct investment and growth in EP and IS countries,” The Economic Journal, vol. 106, no. 434, February 1996, pp. 92–105. http://doi.org/10.2307/2234933</w:t>
      </w:r>
    </w:p>
    <w:p w14:paraId="078E0714" w14:textId="77777777" w:rsidR="00FB1B80" w:rsidRPr="00FB1B80" w:rsidRDefault="00FB1B80" w:rsidP="00FB1B80">
      <w:pPr>
        <w:pStyle w:val="BodyText5"/>
        <w:adjustRightInd w:val="0"/>
        <w:snapToGrid w:val="0"/>
        <w:spacing w:after="120" w:line="480" w:lineRule="auto"/>
        <w:ind w:left="567" w:hanging="567"/>
        <w:rPr>
          <w:rFonts w:ascii="Times New Roman" w:hAnsi="Times New Roman" w:cs="Times New Roman"/>
          <w:sz w:val="24"/>
          <w:szCs w:val="24"/>
          <w:lang w:val="en-US"/>
        </w:rPr>
      </w:pPr>
      <w:r w:rsidRPr="00FB1B80">
        <w:rPr>
          <w:rFonts w:ascii="Times New Roman" w:hAnsi="Times New Roman" w:cs="Times New Roman"/>
          <w:sz w:val="24"/>
          <w:szCs w:val="24"/>
          <w:lang w:val="en-US"/>
        </w:rPr>
        <w:lastRenderedPageBreak/>
        <w:t>[</w:t>
      </w:r>
      <w:proofErr w:type="gramStart"/>
      <w:r w:rsidRPr="00FB1B80">
        <w:rPr>
          <w:rFonts w:ascii="Times New Roman" w:hAnsi="Times New Roman" w:cs="Times New Roman"/>
          <w:sz w:val="24"/>
          <w:szCs w:val="24"/>
          <w:lang w:val="en-US"/>
        </w:rPr>
        <w:t>59]W.</w:t>
      </w:r>
      <w:proofErr w:type="gramEnd"/>
      <w:r w:rsidRPr="00FB1B80">
        <w:rPr>
          <w:rFonts w:ascii="Times New Roman" w:hAnsi="Times New Roman" w:cs="Times New Roman"/>
          <w:sz w:val="24"/>
          <w:szCs w:val="24"/>
          <w:lang w:val="en-US"/>
        </w:rPr>
        <w:t xml:space="preserve"> J. Dixon and T. Boswell, “Dependency, disarticulation, and denominator effects: Another look at foreign capital penetration,” American Journal of Sociology, vol. 102, no. 2, September 1996, pp. 543–562.</w:t>
      </w:r>
    </w:p>
    <w:p w14:paraId="6EB2302D"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60]D.</w:t>
      </w:r>
      <w:proofErr w:type="gramEnd"/>
      <w:r w:rsidRPr="00FB1B80">
        <w:rPr>
          <w:rFonts w:ascii="Times New Roman" w:hAnsi="Times New Roman" w:cs="Times New Roman"/>
          <w:sz w:val="24"/>
          <w:szCs w:val="24"/>
          <w:lang w:val="en-US"/>
        </w:rPr>
        <w:t xml:space="preserve"> Lederman, W. F. Maloney and  L. </w:t>
      </w:r>
      <w:proofErr w:type="spellStart"/>
      <w:r w:rsidRPr="00FB1B80">
        <w:rPr>
          <w:rFonts w:ascii="Times New Roman" w:hAnsi="Times New Roman" w:cs="Times New Roman"/>
          <w:sz w:val="24"/>
          <w:szCs w:val="24"/>
          <w:lang w:val="en-US"/>
        </w:rPr>
        <w:t>Servén</w:t>
      </w:r>
      <w:proofErr w:type="spellEnd"/>
      <w:r w:rsidRPr="00FB1B80">
        <w:rPr>
          <w:rFonts w:ascii="Times New Roman" w:hAnsi="Times New Roman" w:cs="Times New Roman"/>
          <w:sz w:val="24"/>
          <w:szCs w:val="24"/>
          <w:lang w:val="en-US"/>
        </w:rPr>
        <w:t>, “Lessons from NAFTA for Latin America and the Caribbean. Palo Alto and Washington, DC: Stanford University Press and World Bank, 2005.</w:t>
      </w:r>
    </w:p>
    <w:p w14:paraId="44EF2B1A"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61]M.</w:t>
      </w:r>
      <w:proofErr w:type="gramEnd"/>
      <w:r w:rsidRPr="00FB1B80">
        <w:rPr>
          <w:rFonts w:ascii="Times New Roman" w:hAnsi="Times New Roman" w:cs="Times New Roman"/>
          <w:sz w:val="24"/>
          <w:szCs w:val="24"/>
          <w:lang w:val="en-US"/>
        </w:rPr>
        <w:t xml:space="preserve"> H. </w:t>
      </w:r>
      <w:proofErr w:type="spellStart"/>
      <w:r w:rsidRPr="00FB1B80">
        <w:rPr>
          <w:rFonts w:ascii="Times New Roman" w:hAnsi="Times New Roman" w:cs="Times New Roman"/>
          <w:sz w:val="24"/>
          <w:szCs w:val="24"/>
          <w:lang w:val="en-US"/>
        </w:rPr>
        <w:t>Pesaran</w:t>
      </w:r>
      <w:proofErr w:type="spellEnd"/>
      <w:r w:rsidRPr="00FB1B80">
        <w:rPr>
          <w:rFonts w:ascii="Times New Roman" w:hAnsi="Times New Roman" w:cs="Times New Roman"/>
          <w:sz w:val="24"/>
          <w:szCs w:val="24"/>
          <w:lang w:val="en-US"/>
        </w:rPr>
        <w:t xml:space="preserve">, Y. Shin and R. J. Smith, “Bounds testing approaches to the analysis of level relationships,” Journal of Applied Econometrics, vol. 16, no. 3, May 2001, pp. 289-326. </w:t>
      </w:r>
      <w:hyperlink r:id="rId24" w:history="1">
        <w:r w:rsidRPr="00FB1B80">
          <w:rPr>
            <w:rStyle w:val="Hyperlink"/>
            <w:rFonts w:ascii="Times New Roman" w:hAnsi="Times New Roman" w:cs="Times New Roman"/>
            <w:sz w:val="24"/>
            <w:szCs w:val="24"/>
            <w:lang w:val="en-US"/>
          </w:rPr>
          <w:t>https://doi.org/10.1002/jae.616</w:t>
        </w:r>
      </w:hyperlink>
    </w:p>
    <w:p w14:paraId="26556EEC" w14:textId="77777777" w:rsidR="00FB1B80" w:rsidRPr="00FB1B80" w:rsidRDefault="00FB1B80" w:rsidP="00FB1B80">
      <w:pPr>
        <w:pStyle w:val="BodyText5"/>
        <w:adjustRightInd w:val="0"/>
        <w:snapToGrid w:val="0"/>
        <w:spacing w:after="120" w:line="480" w:lineRule="auto"/>
        <w:ind w:left="567" w:hanging="567"/>
        <w:jc w:val="left"/>
        <w:rPr>
          <w:rFonts w:ascii="Times New Roman" w:hAnsi="Times New Roman" w:cs="Times New Roman"/>
          <w:sz w:val="24"/>
          <w:szCs w:val="24"/>
          <w:lang w:val="en-US"/>
        </w:rPr>
      </w:pPr>
      <w:r w:rsidRPr="00FB1B80">
        <w:rPr>
          <w:rFonts w:ascii="Times New Roman" w:hAnsi="Times New Roman" w:cs="Times New Roman"/>
          <w:sz w:val="24"/>
          <w:szCs w:val="24"/>
          <w:lang w:val="en-US"/>
        </w:rPr>
        <w:t>[</w:t>
      </w:r>
      <w:proofErr w:type="gramStart"/>
      <w:r w:rsidRPr="00FB1B80">
        <w:rPr>
          <w:rFonts w:ascii="Times New Roman" w:hAnsi="Times New Roman" w:cs="Times New Roman"/>
          <w:sz w:val="24"/>
          <w:szCs w:val="24"/>
          <w:lang w:val="en-US"/>
        </w:rPr>
        <w:t>62]UNCTAD</w:t>
      </w:r>
      <w:proofErr w:type="gramEnd"/>
      <w:r w:rsidRPr="00FB1B80">
        <w:rPr>
          <w:rFonts w:ascii="Times New Roman" w:hAnsi="Times New Roman" w:cs="Times New Roman"/>
          <w:sz w:val="24"/>
          <w:szCs w:val="24"/>
          <w:lang w:val="en-US"/>
        </w:rPr>
        <w:t>, “World investment report 2019: Investment and the digital economy,” United Nations: New York and Geneva, 2019.</w:t>
      </w:r>
    </w:p>
    <w:p w14:paraId="368D0B7B" w14:textId="77777777" w:rsidR="00FB1B80" w:rsidRPr="003C09FF" w:rsidRDefault="00FB1B80" w:rsidP="00FB1B80">
      <w:pPr>
        <w:pStyle w:val="BodyText5"/>
        <w:adjustRightInd w:val="0"/>
        <w:snapToGrid w:val="0"/>
        <w:spacing w:after="120" w:line="480" w:lineRule="auto"/>
        <w:ind w:left="567" w:hanging="567"/>
        <w:jc w:val="left"/>
        <w:rPr>
          <w:rFonts w:ascii="Times New Roman" w:hAnsi="Times New Roman" w:cs="Times New Roman"/>
          <w:lang w:val="en-US"/>
        </w:rPr>
      </w:pPr>
      <w:r w:rsidRPr="00FB1B80">
        <w:rPr>
          <w:rFonts w:ascii="Times New Roman" w:hAnsi="Times New Roman" w:cs="Times New Roman"/>
          <w:sz w:val="24"/>
          <w:szCs w:val="24"/>
          <w:lang w:val="en-US"/>
        </w:rPr>
        <w:t xml:space="preserve">World Bank databank, 2017. Retrieved from </w:t>
      </w:r>
      <w:hyperlink r:id="rId25" w:history="1">
        <w:r w:rsidRPr="00FB1B80">
          <w:rPr>
            <w:rStyle w:val="Hyperlink"/>
            <w:rFonts w:ascii="Times New Roman" w:hAnsi="Times New Roman" w:cs="Times New Roman"/>
            <w:sz w:val="24"/>
            <w:szCs w:val="24"/>
            <w:lang w:val="en-US"/>
          </w:rPr>
          <w:t>http://databank.worldbank.org/data/</w:t>
        </w:r>
      </w:hyperlink>
    </w:p>
    <w:p w14:paraId="28E19318" w14:textId="77777777" w:rsidR="002949B4" w:rsidRDefault="002949B4" w:rsidP="001C5370">
      <w:pPr>
        <w:pStyle w:val="BodyText5"/>
        <w:adjustRightInd w:val="0"/>
        <w:snapToGrid w:val="0"/>
        <w:spacing w:after="120" w:line="480" w:lineRule="auto"/>
        <w:ind w:left="567" w:hanging="567"/>
        <w:jc w:val="left"/>
        <w:rPr>
          <w:rFonts w:ascii="Times New Roman" w:hAnsi="Times New Roman" w:cs="Times New Roman"/>
          <w:lang w:val="en-US"/>
        </w:rPr>
      </w:pPr>
    </w:p>
    <w:p w14:paraId="70D4C3AD" w14:textId="77777777" w:rsidR="002949B4" w:rsidRDefault="002949B4" w:rsidP="001C5370">
      <w:pPr>
        <w:pStyle w:val="BodyText5"/>
        <w:adjustRightInd w:val="0"/>
        <w:snapToGrid w:val="0"/>
        <w:spacing w:after="120" w:line="480" w:lineRule="auto"/>
        <w:ind w:left="567" w:hanging="567"/>
        <w:jc w:val="left"/>
        <w:rPr>
          <w:rFonts w:ascii="Times New Roman" w:hAnsi="Times New Roman" w:cs="Times New Roman"/>
          <w:lang w:val="en-US"/>
        </w:rPr>
      </w:pPr>
    </w:p>
    <w:p w14:paraId="2D63BA63" w14:textId="77777777" w:rsidR="002949B4" w:rsidRDefault="002949B4" w:rsidP="001C5370">
      <w:pPr>
        <w:pStyle w:val="BodyText5"/>
        <w:adjustRightInd w:val="0"/>
        <w:snapToGrid w:val="0"/>
        <w:spacing w:after="120" w:line="480" w:lineRule="auto"/>
        <w:ind w:left="567" w:hanging="567"/>
        <w:jc w:val="left"/>
        <w:rPr>
          <w:rFonts w:ascii="Times New Roman" w:hAnsi="Times New Roman" w:cs="Times New Roman"/>
          <w:lang w:val="en-US"/>
        </w:rPr>
      </w:pPr>
    </w:p>
    <w:p w14:paraId="1B62A2B4" w14:textId="77777777" w:rsidR="000B7399" w:rsidRDefault="000B7399" w:rsidP="004A245A">
      <w:pPr>
        <w:pStyle w:val="BodyText5"/>
        <w:adjustRightInd w:val="0"/>
        <w:snapToGrid w:val="0"/>
        <w:spacing w:after="120" w:line="480" w:lineRule="auto"/>
        <w:jc w:val="left"/>
        <w:rPr>
          <w:rFonts w:ascii="Times New Roman" w:hAnsi="Times New Roman" w:cs="Times New Roman"/>
          <w:lang w:val="en-US"/>
        </w:rPr>
      </w:pPr>
    </w:p>
    <w:p w14:paraId="3208969A" w14:textId="44A62959" w:rsidR="000B7399" w:rsidRDefault="000B7399" w:rsidP="004A245A">
      <w:pPr>
        <w:pStyle w:val="BodyText5"/>
        <w:adjustRightInd w:val="0"/>
        <w:snapToGrid w:val="0"/>
        <w:spacing w:after="120" w:line="480" w:lineRule="auto"/>
        <w:jc w:val="left"/>
        <w:rPr>
          <w:rFonts w:ascii="Times New Roman" w:hAnsi="Times New Roman" w:cs="Times New Roman"/>
          <w:lang w:val="en-US"/>
        </w:rPr>
      </w:pPr>
    </w:p>
    <w:p w14:paraId="358D037D" w14:textId="7DCBA92C" w:rsidR="00D82855" w:rsidRDefault="00D82855" w:rsidP="004A245A">
      <w:pPr>
        <w:pStyle w:val="BodyText5"/>
        <w:adjustRightInd w:val="0"/>
        <w:snapToGrid w:val="0"/>
        <w:spacing w:after="120" w:line="480" w:lineRule="auto"/>
        <w:jc w:val="left"/>
        <w:rPr>
          <w:rFonts w:ascii="Times New Roman" w:hAnsi="Times New Roman" w:cs="Times New Roman"/>
          <w:lang w:val="en-US"/>
        </w:rPr>
      </w:pPr>
    </w:p>
    <w:p w14:paraId="09260A3A" w14:textId="136315AF" w:rsidR="00D82855" w:rsidRDefault="00D82855" w:rsidP="004A245A">
      <w:pPr>
        <w:pStyle w:val="BodyText5"/>
        <w:adjustRightInd w:val="0"/>
        <w:snapToGrid w:val="0"/>
        <w:spacing w:after="120" w:line="480" w:lineRule="auto"/>
        <w:jc w:val="left"/>
        <w:rPr>
          <w:rFonts w:ascii="Times New Roman" w:hAnsi="Times New Roman" w:cs="Times New Roman"/>
          <w:lang w:val="en-US"/>
        </w:rPr>
      </w:pPr>
    </w:p>
    <w:p w14:paraId="5B43A068" w14:textId="4C6D9AB6" w:rsidR="00D82855" w:rsidRDefault="00D82855" w:rsidP="004A245A">
      <w:pPr>
        <w:pStyle w:val="BodyText5"/>
        <w:adjustRightInd w:val="0"/>
        <w:snapToGrid w:val="0"/>
        <w:spacing w:after="120" w:line="480" w:lineRule="auto"/>
        <w:jc w:val="left"/>
        <w:rPr>
          <w:rFonts w:ascii="Times New Roman" w:hAnsi="Times New Roman" w:cs="Times New Roman"/>
          <w:lang w:val="en-US"/>
        </w:rPr>
      </w:pPr>
    </w:p>
    <w:p w14:paraId="23D5054C" w14:textId="3E38EB88" w:rsidR="00D82855" w:rsidRDefault="00D82855" w:rsidP="004A245A">
      <w:pPr>
        <w:pStyle w:val="BodyText5"/>
        <w:adjustRightInd w:val="0"/>
        <w:snapToGrid w:val="0"/>
        <w:spacing w:after="120" w:line="480" w:lineRule="auto"/>
        <w:jc w:val="left"/>
        <w:rPr>
          <w:rFonts w:ascii="Times New Roman" w:hAnsi="Times New Roman" w:cs="Times New Roman"/>
          <w:lang w:val="en-US"/>
        </w:rPr>
      </w:pPr>
    </w:p>
    <w:p w14:paraId="28B09FB7" w14:textId="1AEC0B1F" w:rsidR="00D82855" w:rsidRDefault="00D82855" w:rsidP="004A245A">
      <w:pPr>
        <w:pStyle w:val="BodyText5"/>
        <w:adjustRightInd w:val="0"/>
        <w:snapToGrid w:val="0"/>
        <w:spacing w:after="120" w:line="480" w:lineRule="auto"/>
        <w:jc w:val="left"/>
        <w:rPr>
          <w:rFonts w:ascii="Times New Roman" w:hAnsi="Times New Roman" w:cs="Times New Roman"/>
          <w:lang w:val="en-US"/>
        </w:rPr>
      </w:pPr>
    </w:p>
    <w:p w14:paraId="6C735D5B" w14:textId="20D155A3" w:rsidR="00D82855" w:rsidRDefault="00D82855" w:rsidP="004A245A">
      <w:pPr>
        <w:pStyle w:val="BodyText5"/>
        <w:adjustRightInd w:val="0"/>
        <w:snapToGrid w:val="0"/>
        <w:spacing w:after="120" w:line="480" w:lineRule="auto"/>
        <w:jc w:val="left"/>
        <w:rPr>
          <w:rFonts w:ascii="Times New Roman" w:hAnsi="Times New Roman" w:cs="Times New Roman"/>
          <w:lang w:val="en-US"/>
        </w:rPr>
      </w:pPr>
    </w:p>
    <w:p w14:paraId="19CEFF25" w14:textId="77777777" w:rsidR="00D82855" w:rsidRPr="001C5370" w:rsidRDefault="00D82855" w:rsidP="004A245A">
      <w:pPr>
        <w:pStyle w:val="BodyText5"/>
        <w:adjustRightInd w:val="0"/>
        <w:snapToGrid w:val="0"/>
        <w:spacing w:after="120" w:line="480" w:lineRule="auto"/>
        <w:jc w:val="left"/>
        <w:rPr>
          <w:rFonts w:ascii="Times New Roman" w:hAnsi="Times New Roman" w:cs="Times New Roman"/>
          <w:lang w:val="en-US"/>
        </w:rPr>
      </w:pPr>
    </w:p>
    <w:tbl>
      <w:tblPr>
        <w:tblW w:w="5000" w:type="pct"/>
        <w:tblLook w:val="04A0" w:firstRow="1" w:lastRow="0" w:firstColumn="1" w:lastColumn="0" w:noHBand="0" w:noVBand="1"/>
      </w:tblPr>
      <w:tblGrid>
        <w:gridCol w:w="1409"/>
        <w:gridCol w:w="1633"/>
        <w:gridCol w:w="1634"/>
        <w:gridCol w:w="562"/>
        <w:gridCol w:w="1528"/>
        <w:gridCol w:w="1738"/>
      </w:tblGrid>
      <w:tr w:rsidR="002949B4" w:rsidRPr="00310950" w14:paraId="557D3437" w14:textId="77777777" w:rsidTr="00DF1409">
        <w:trPr>
          <w:trHeight w:val="330"/>
        </w:trPr>
        <w:tc>
          <w:tcPr>
            <w:tcW w:w="5000" w:type="pct"/>
            <w:gridSpan w:val="6"/>
            <w:tcBorders>
              <w:top w:val="nil"/>
              <w:left w:val="nil"/>
              <w:bottom w:val="single" w:sz="12" w:space="0" w:color="auto"/>
              <w:right w:val="nil"/>
            </w:tcBorders>
            <w:shd w:val="clear" w:color="auto" w:fill="auto"/>
            <w:noWrap/>
            <w:vAlign w:val="bottom"/>
            <w:hideMark/>
          </w:tcPr>
          <w:p w14:paraId="0E86692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b/>
                <w:bCs/>
                <w:color w:val="000000"/>
                <w:sz w:val="20"/>
                <w:szCs w:val="20"/>
                <w:lang w:val="en-GB"/>
              </w:rPr>
              <w:lastRenderedPageBreak/>
              <w:t>Table 1</w:t>
            </w:r>
            <w:r w:rsidRPr="00310950">
              <w:rPr>
                <w:rFonts w:ascii="Times New Roman" w:eastAsia="Times New Roman" w:hAnsi="Times New Roman" w:cs="Times New Roman"/>
                <w:color w:val="000000"/>
                <w:sz w:val="20"/>
                <w:szCs w:val="20"/>
                <w:lang w:val="en-GB"/>
              </w:rPr>
              <w:t>. Unit root test results</w:t>
            </w:r>
          </w:p>
        </w:tc>
      </w:tr>
      <w:tr w:rsidR="002949B4" w:rsidRPr="00310950" w14:paraId="261D9978" w14:textId="77777777" w:rsidTr="00DF1409">
        <w:trPr>
          <w:trHeight w:val="330"/>
        </w:trPr>
        <w:tc>
          <w:tcPr>
            <w:tcW w:w="828" w:type="pct"/>
            <w:tcBorders>
              <w:top w:val="single" w:sz="12" w:space="0" w:color="auto"/>
              <w:left w:val="nil"/>
              <w:bottom w:val="nil"/>
              <w:right w:val="nil"/>
            </w:tcBorders>
            <w:shd w:val="clear" w:color="auto" w:fill="auto"/>
            <w:noWrap/>
            <w:vAlign w:val="bottom"/>
            <w:hideMark/>
          </w:tcPr>
          <w:p w14:paraId="3F49188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4" w:type="pct"/>
            <w:gridSpan w:val="2"/>
            <w:tcBorders>
              <w:top w:val="single" w:sz="12" w:space="0" w:color="auto"/>
              <w:left w:val="nil"/>
              <w:bottom w:val="single" w:sz="4" w:space="0" w:color="auto"/>
              <w:right w:val="nil"/>
            </w:tcBorders>
            <w:shd w:val="clear" w:color="auto" w:fill="auto"/>
            <w:noWrap/>
            <w:vAlign w:val="bottom"/>
            <w:hideMark/>
          </w:tcPr>
          <w:p w14:paraId="723E676D"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xml:space="preserve">                     ADF</w:t>
            </w:r>
          </w:p>
        </w:tc>
        <w:tc>
          <w:tcPr>
            <w:tcW w:w="282" w:type="pct"/>
            <w:tcBorders>
              <w:top w:val="single" w:sz="12" w:space="0" w:color="auto"/>
              <w:left w:val="nil"/>
              <w:bottom w:val="single" w:sz="4" w:space="0" w:color="auto"/>
              <w:right w:val="nil"/>
            </w:tcBorders>
            <w:shd w:val="clear" w:color="auto" w:fill="auto"/>
            <w:noWrap/>
            <w:vAlign w:val="bottom"/>
            <w:hideMark/>
          </w:tcPr>
          <w:p w14:paraId="5F12BAE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6" w:type="pct"/>
            <w:gridSpan w:val="2"/>
            <w:tcBorders>
              <w:top w:val="single" w:sz="12" w:space="0" w:color="auto"/>
              <w:left w:val="nil"/>
              <w:bottom w:val="single" w:sz="4" w:space="0" w:color="auto"/>
              <w:right w:val="nil"/>
            </w:tcBorders>
            <w:shd w:val="clear" w:color="auto" w:fill="auto"/>
            <w:noWrap/>
            <w:vAlign w:val="bottom"/>
            <w:hideMark/>
          </w:tcPr>
          <w:p w14:paraId="6C98345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xml:space="preserve">         KPSS</w:t>
            </w:r>
          </w:p>
        </w:tc>
      </w:tr>
      <w:tr w:rsidR="002949B4" w:rsidRPr="00310950" w14:paraId="2CF0E7BB" w14:textId="77777777" w:rsidTr="00DF1409">
        <w:trPr>
          <w:trHeight w:val="330"/>
        </w:trPr>
        <w:tc>
          <w:tcPr>
            <w:tcW w:w="828" w:type="pct"/>
            <w:tcBorders>
              <w:top w:val="nil"/>
              <w:left w:val="nil"/>
              <w:bottom w:val="single" w:sz="4" w:space="0" w:color="auto"/>
              <w:right w:val="nil"/>
            </w:tcBorders>
            <w:shd w:val="clear" w:color="auto" w:fill="auto"/>
            <w:noWrap/>
            <w:vAlign w:val="bottom"/>
            <w:hideMark/>
          </w:tcPr>
          <w:p w14:paraId="589567B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Variables</w:t>
            </w:r>
          </w:p>
        </w:tc>
        <w:tc>
          <w:tcPr>
            <w:tcW w:w="972" w:type="pct"/>
            <w:tcBorders>
              <w:top w:val="single" w:sz="4" w:space="0" w:color="auto"/>
              <w:left w:val="nil"/>
              <w:bottom w:val="single" w:sz="4" w:space="0" w:color="auto"/>
              <w:right w:val="nil"/>
            </w:tcBorders>
            <w:shd w:val="clear" w:color="auto" w:fill="auto"/>
            <w:noWrap/>
            <w:vAlign w:val="bottom"/>
            <w:hideMark/>
          </w:tcPr>
          <w:p w14:paraId="76B97AA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At level</w:t>
            </w:r>
          </w:p>
        </w:tc>
        <w:tc>
          <w:tcPr>
            <w:tcW w:w="973" w:type="pct"/>
            <w:tcBorders>
              <w:top w:val="single" w:sz="4" w:space="0" w:color="auto"/>
              <w:left w:val="nil"/>
              <w:bottom w:val="single" w:sz="4" w:space="0" w:color="auto"/>
              <w:right w:val="nil"/>
            </w:tcBorders>
            <w:shd w:val="clear" w:color="auto" w:fill="auto"/>
            <w:noWrap/>
            <w:vAlign w:val="bottom"/>
            <w:hideMark/>
          </w:tcPr>
          <w:p w14:paraId="44A32CF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First difference</w:t>
            </w:r>
          </w:p>
        </w:tc>
        <w:tc>
          <w:tcPr>
            <w:tcW w:w="282" w:type="pct"/>
            <w:tcBorders>
              <w:top w:val="single" w:sz="4" w:space="0" w:color="auto"/>
              <w:left w:val="nil"/>
              <w:bottom w:val="single" w:sz="4" w:space="0" w:color="auto"/>
              <w:right w:val="nil"/>
            </w:tcBorders>
            <w:shd w:val="clear" w:color="auto" w:fill="auto"/>
            <w:noWrap/>
            <w:vAlign w:val="bottom"/>
            <w:hideMark/>
          </w:tcPr>
          <w:p w14:paraId="4300C08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905" w:type="pct"/>
            <w:tcBorders>
              <w:top w:val="single" w:sz="4" w:space="0" w:color="auto"/>
              <w:left w:val="nil"/>
              <w:bottom w:val="single" w:sz="4" w:space="0" w:color="auto"/>
              <w:right w:val="nil"/>
            </w:tcBorders>
            <w:shd w:val="clear" w:color="auto" w:fill="auto"/>
            <w:noWrap/>
            <w:vAlign w:val="bottom"/>
            <w:hideMark/>
          </w:tcPr>
          <w:p w14:paraId="0EE772E9"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At level</w:t>
            </w:r>
          </w:p>
        </w:tc>
        <w:tc>
          <w:tcPr>
            <w:tcW w:w="1040" w:type="pct"/>
            <w:tcBorders>
              <w:top w:val="single" w:sz="4" w:space="0" w:color="auto"/>
              <w:left w:val="nil"/>
              <w:bottom w:val="single" w:sz="4" w:space="0" w:color="auto"/>
              <w:right w:val="nil"/>
            </w:tcBorders>
            <w:shd w:val="clear" w:color="auto" w:fill="auto"/>
            <w:noWrap/>
            <w:vAlign w:val="bottom"/>
            <w:hideMark/>
          </w:tcPr>
          <w:p w14:paraId="6030030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First difference</w:t>
            </w:r>
          </w:p>
        </w:tc>
      </w:tr>
      <w:tr w:rsidR="002949B4" w:rsidRPr="00310950" w14:paraId="2A2AF27A" w14:textId="77777777" w:rsidTr="00DF1409">
        <w:trPr>
          <w:trHeight w:val="315"/>
        </w:trPr>
        <w:tc>
          <w:tcPr>
            <w:tcW w:w="828" w:type="pct"/>
            <w:tcBorders>
              <w:top w:val="single" w:sz="4" w:space="0" w:color="auto"/>
              <w:left w:val="nil"/>
              <w:bottom w:val="nil"/>
              <w:right w:val="nil"/>
            </w:tcBorders>
            <w:shd w:val="clear" w:color="auto" w:fill="auto"/>
            <w:noWrap/>
            <w:vAlign w:val="bottom"/>
            <w:hideMark/>
          </w:tcPr>
          <w:p w14:paraId="30F6AFA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Y</w:t>
            </w:r>
          </w:p>
        </w:tc>
        <w:tc>
          <w:tcPr>
            <w:tcW w:w="972" w:type="pct"/>
            <w:tcBorders>
              <w:top w:val="single" w:sz="4" w:space="0" w:color="auto"/>
              <w:left w:val="nil"/>
              <w:bottom w:val="nil"/>
              <w:right w:val="nil"/>
            </w:tcBorders>
            <w:shd w:val="clear" w:color="auto" w:fill="auto"/>
            <w:noWrap/>
            <w:vAlign w:val="bottom"/>
            <w:hideMark/>
          </w:tcPr>
          <w:p w14:paraId="02BD4E6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-2.559</w:t>
            </w:r>
          </w:p>
        </w:tc>
        <w:tc>
          <w:tcPr>
            <w:tcW w:w="1254" w:type="pct"/>
            <w:gridSpan w:val="2"/>
            <w:tcBorders>
              <w:top w:val="single" w:sz="4" w:space="0" w:color="auto"/>
              <w:left w:val="nil"/>
              <w:bottom w:val="nil"/>
              <w:right w:val="nil"/>
            </w:tcBorders>
            <w:shd w:val="clear" w:color="auto" w:fill="auto"/>
            <w:noWrap/>
            <w:vAlign w:val="bottom"/>
            <w:hideMark/>
          </w:tcPr>
          <w:p w14:paraId="337633E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-3.483</w:t>
            </w:r>
            <w:r w:rsidRPr="00310950">
              <w:rPr>
                <w:rFonts w:ascii="Times New Roman" w:eastAsia="Times New Roman" w:hAnsi="Times New Roman" w:cs="Times New Roman"/>
                <w:color w:val="000000"/>
                <w:sz w:val="20"/>
                <w:szCs w:val="20"/>
                <w:vertAlign w:val="superscript"/>
                <w:lang w:val="en-GB"/>
              </w:rPr>
              <w:t>***</w:t>
            </w:r>
          </w:p>
        </w:tc>
        <w:tc>
          <w:tcPr>
            <w:tcW w:w="905" w:type="pct"/>
            <w:tcBorders>
              <w:top w:val="single" w:sz="4" w:space="0" w:color="auto"/>
              <w:left w:val="nil"/>
              <w:bottom w:val="nil"/>
              <w:right w:val="nil"/>
            </w:tcBorders>
            <w:shd w:val="clear" w:color="auto" w:fill="auto"/>
            <w:noWrap/>
            <w:vAlign w:val="bottom"/>
            <w:hideMark/>
          </w:tcPr>
          <w:p w14:paraId="58B2781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0.128</w:t>
            </w:r>
          </w:p>
        </w:tc>
        <w:tc>
          <w:tcPr>
            <w:tcW w:w="1040" w:type="pct"/>
            <w:tcBorders>
              <w:top w:val="single" w:sz="4" w:space="0" w:color="auto"/>
              <w:left w:val="nil"/>
              <w:bottom w:val="nil"/>
              <w:right w:val="nil"/>
            </w:tcBorders>
            <w:shd w:val="clear" w:color="auto" w:fill="auto"/>
            <w:noWrap/>
            <w:vAlign w:val="bottom"/>
            <w:hideMark/>
          </w:tcPr>
          <w:p w14:paraId="51B50FC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0.115</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0BB23662" w14:textId="77777777" w:rsidTr="00DF1409">
        <w:trPr>
          <w:trHeight w:val="300"/>
        </w:trPr>
        <w:tc>
          <w:tcPr>
            <w:tcW w:w="828" w:type="pct"/>
            <w:tcBorders>
              <w:top w:val="nil"/>
              <w:left w:val="nil"/>
              <w:bottom w:val="nil"/>
              <w:right w:val="nil"/>
            </w:tcBorders>
            <w:shd w:val="clear" w:color="auto" w:fill="auto"/>
            <w:noWrap/>
            <w:vAlign w:val="bottom"/>
            <w:hideMark/>
          </w:tcPr>
          <w:p w14:paraId="4CA4FA1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OFDI</w:t>
            </w:r>
          </w:p>
        </w:tc>
        <w:tc>
          <w:tcPr>
            <w:tcW w:w="972" w:type="pct"/>
            <w:tcBorders>
              <w:top w:val="nil"/>
              <w:left w:val="nil"/>
              <w:bottom w:val="nil"/>
              <w:right w:val="nil"/>
            </w:tcBorders>
            <w:shd w:val="clear" w:color="auto" w:fill="auto"/>
            <w:noWrap/>
            <w:vAlign w:val="bottom"/>
            <w:hideMark/>
          </w:tcPr>
          <w:p w14:paraId="701B91B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-4.856</w:t>
            </w:r>
            <w:r w:rsidRPr="00310950">
              <w:rPr>
                <w:rFonts w:ascii="Times New Roman" w:eastAsia="Times New Roman" w:hAnsi="Times New Roman" w:cs="Times New Roman"/>
                <w:color w:val="000000"/>
                <w:sz w:val="20"/>
                <w:szCs w:val="20"/>
                <w:vertAlign w:val="superscript"/>
                <w:lang w:val="en-GB"/>
              </w:rPr>
              <w:t>***</w:t>
            </w:r>
          </w:p>
        </w:tc>
        <w:tc>
          <w:tcPr>
            <w:tcW w:w="1254" w:type="pct"/>
            <w:gridSpan w:val="2"/>
            <w:tcBorders>
              <w:top w:val="nil"/>
              <w:left w:val="nil"/>
              <w:bottom w:val="nil"/>
              <w:right w:val="nil"/>
            </w:tcBorders>
            <w:shd w:val="clear" w:color="auto" w:fill="auto"/>
            <w:noWrap/>
            <w:vAlign w:val="bottom"/>
            <w:hideMark/>
          </w:tcPr>
          <w:p w14:paraId="6CB2AE6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-4.489</w:t>
            </w:r>
            <w:r w:rsidRPr="00310950">
              <w:rPr>
                <w:rFonts w:ascii="Times New Roman" w:eastAsia="Times New Roman" w:hAnsi="Times New Roman" w:cs="Times New Roman"/>
                <w:color w:val="000000"/>
                <w:sz w:val="20"/>
                <w:szCs w:val="20"/>
                <w:vertAlign w:val="superscript"/>
                <w:lang w:val="en-GB"/>
              </w:rPr>
              <w:t>***</w:t>
            </w:r>
          </w:p>
        </w:tc>
        <w:tc>
          <w:tcPr>
            <w:tcW w:w="905" w:type="pct"/>
            <w:tcBorders>
              <w:top w:val="nil"/>
              <w:left w:val="nil"/>
              <w:bottom w:val="nil"/>
              <w:right w:val="nil"/>
            </w:tcBorders>
            <w:shd w:val="clear" w:color="auto" w:fill="auto"/>
            <w:noWrap/>
            <w:vAlign w:val="bottom"/>
            <w:hideMark/>
          </w:tcPr>
          <w:p w14:paraId="1DD9FF89"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0.382</w:t>
            </w:r>
          </w:p>
        </w:tc>
        <w:tc>
          <w:tcPr>
            <w:tcW w:w="1040" w:type="pct"/>
            <w:tcBorders>
              <w:top w:val="nil"/>
              <w:left w:val="nil"/>
              <w:bottom w:val="nil"/>
              <w:right w:val="nil"/>
            </w:tcBorders>
            <w:shd w:val="clear" w:color="auto" w:fill="auto"/>
            <w:noWrap/>
            <w:vAlign w:val="bottom"/>
            <w:hideMark/>
          </w:tcPr>
          <w:p w14:paraId="4F2CFB5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0.085</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2B75EFBD" w14:textId="77777777" w:rsidTr="00DF1409">
        <w:trPr>
          <w:trHeight w:val="300"/>
        </w:trPr>
        <w:tc>
          <w:tcPr>
            <w:tcW w:w="828" w:type="pct"/>
            <w:tcBorders>
              <w:top w:val="nil"/>
              <w:left w:val="nil"/>
              <w:bottom w:val="nil"/>
              <w:right w:val="nil"/>
            </w:tcBorders>
            <w:shd w:val="clear" w:color="auto" w:fill="auto"/>
            <w:noWrap/>
            <w:vAlign w:val="bottom"/>
            <w:hideMark/>
          </w:tcPr>
          <w:p w14:paraId="4EDD0CE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IFDI</w:t>
            </w:r>
          </w:p>
        </w:tc>
        <w:tc>
          <w:tcPr>
            <w:tcW w:w="972" w:type="pct"/>
            <w:tcBorders>
              <w:top w:val="nil"/>
              <w:left w:val="nil"/>
              <w:bottom w:val="nil"/>
              <w:right w:val="nil"/>
            </w:tcBorders>
            <w:shd w:val="clear" w:color="auto" w:fill="auto"/>
            <w:noWrap/>
            <w:vAlign w:val="bottom"/>
            <w:hideMark/>
          </w:tcPr>
          <w:p w14:paraId="11455982"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-2.057</w:t>
            </w:r>
          </w:p>
        </w:tc>
        <w:tc>
          <w:tcPr>
            <w:tcW w:w="1254" w:type="pct"/>
            <w:gridSpan w:val="2"/>
            <w:tcBorders>
              <w:top w:val="nil"/>
              <w:left w:val="nil"/>
              <w:bottom w:val="nil"/>
              <w:right w:val="nil"/>
            </w:tcBorders>
            <w:shd w:val="clear" w:color="auto" w:fill="auto"/>
            <w:noWrap/>
            <w:vAlign w:val="bottom"/>
            <w:hideMark/>
          </w:tcPr>
          <w:p w14:paraId="2C87844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-6.428</w:t>
            </w:r>
            <w:r w:rsidRPr="00310950">
              <w:rPr>
                <w:rFonts w:ascii="Times New Roman" w:eastAsia="Times New Roman" w:hAnsi="Times New Roman" w:cs="Times New Roman"/>
                <w:color w:val="000000"/>
                <w:sz w:val="20"/>
                <w:szCs w:val="20"/>
                <w:vertAlign w:val="superscript"/>
                <w:lang w:val="en-GB"/>
              </w:rPr>
              <w:t>***</w:t>
            </w:r>
          </w:p>
        </w:tc>
        <w:tc>
          <w:tcPr>
            <w:tcW w:w="905" w:type="pct"/>
            <w:tcBorders>
              <w:top w:val="nil"/>
              <w:left w:val="nil"/>
              <w:bottom w:val="nil"/>
              <w:right w:val="nil"/>
            </w:tcBorders>
            <w:shd w:val="clear" w:color="auto" w:fill="auto"/>
            <w:noWrap/>
            <w:vAlign w:val="bottom"/>
            <w:hideMark/>
          </w:tcPr>
          <w:p w14:paraId="65EB6107"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0.135</w:t>
            </w:r>
          </w:p>
        </w:tc>
        <w:tc>
          <w:tcPr>
            <w:tcW w:w="1040" w:type="pct"/>
            <w:tcBorders>
              <w:top w:val="nil"/>
              <w:left w:val="nil"/>
              <w:bottom w:val="nil"/>
              <w:right w:val="nil"/>
            </w:tcBorders>
            <w:shd w:val="clear" w:color="auto" w:fill="auto"/>
            <w:noWrap/>
            <w:vAlign w:val="bottom"/>
            <w:hideMark/>
          </w:tcPr>
          <w:p w14:paraId="11F6285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0.055</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0516E760" w14:textId="77777777" w:rsidTr="00DF1409">
        <w:trPr>
          <w:trHeight w:val="300"/>
        </w:trPr>
        <w:tc>
          <w:tcPr>
            <w:tcW w:w="828" w:type="pct"/>
            <w:tcBorders>
              <w:top w:val="nil"/>
              <w:left w:val="nil"/>
              <w:bottom w:val="nil"/>
              <w:right w:val="nil"/>
            </w:tcBorders>
            <w:shd w:val="clear" w:color="auto" w:fill="auto"/>
            <w:noWrap/>
            <w:vAlign w:val="bottom"/>
            <w:hideMark/>
          </w:tcPr>
          <w:p w14:paraId="667AFB9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CS</w:t>
            </w:r>
          </w:p>
        </w:tc>
        <w:tc>
          <w:tcPr>
            <w:tcW w:w="972" w:type="pct"/>
            <w:tcBorders>
              <w:top w:val="nil"/>
              <w:left w:val="nil"/>
              <w:bottom w:val="nil"/>
              <w:right w:val="nil"/>
            </w:tcBorders>
            <w:shd w:val="clear" w:color="auto" w:fill="auto"/>
            <w:noWrap/>
            <w:vAlign w:val="bottom"/>
            <w:hideMark/>
          </w:tcPr>
          <w:p w14:paraId="171329E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-2.249</w:t>
            </w:r>
          </w:p>
        </w:tc>
        <w:tc>
          <w:tcPr>
            <w:tcW w:w="1254" w:type="pct"/>
            <w:gridSpan w:val="2"/>
            <w:tcBorders>
              <w:top w:val="nil"/>
              <w:left w:val="nil"/>
              <w:bottom w:val="nil"/>
              <w:right w:val="nil"/>
            </w:tcBorders>
            <w:shd w:val="clear" w:color="auto" w:fill="auto"/>
            <w:noWrap/>
            <w:vAlign w:val="bottom"/>
            <w:hideMark/>
          </w:tcPr>
          <w:p w14:paraId="553B260F"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-4.437</w:t>
            </w:r>
            <w:r w:rsidRPr="00310950">
              <w:rPr>
                <w:rFonts w:ascii="Times New Roman" w:eastAsia="Times New Roman" w:hAnsi="Times New Roman" w:cs="Times New Roman"/>
                <w:color w:val="000000"/>
                <w:sz w:val="20"/>
                <w:szCs w:val="20"/>
                <w:vertAlign w:val="superscript"/>
                <w:lang w:val="en-GB"/>
              </w:rPr>
              <w:t>***</w:t>
            </w:r>
          </w:p>
        </w:tc>
        <w:tc>
          <w:tcPr>
            <w:tcW w:w="905" w:type="pct"/>
            <w:tcBorders>
              <w:top w:val="nil"/>
              <w:left w:val="nil"/>
              <w:bottom w:val="nil"/>
              <w:right w:val="nil"/>
            </w:tcBorders>
            <w:shd w:val="clear" w:color="auto" w:fill="auto"/>
            <w:noWrap/>
            <w:vAlign w:val="bottom"/>
            <w:hideMark/>
          </w:tcPr>
          <w:p w14:paraId="592FEE8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0.109</w:t>
            </w:r>
            <w:r w:rsidRPr="00310950">
              <w:rPr>
                <w:rFonts w:ascii="Times New Roman" w:eastAsia="Times New Roman" w:hAnsi="Times New Roman" w:cs="Times New Roman"/>
                <w:color w:val="000000"/>
                <w:sz w:val="20"/>
                <w:szCs w:val="20"/>
                <w:vertAlign w:val="superscript"/>
                <w:lang w:val="en-GB"/>
              </w:rPr>
              <w:t>*</w:t>
            </w:r>
          </w:p>
        </w:tc>
        <w:tc>
          <w:tcPr>
            <w:tcW w:w="1040" w:type="pct"/>
            <w:tcBorders>
              <w:top w:val="nil"/>
              <w:left w:val="nil"/>
              <w:bottom w:val="nil"/>
              <w:right w:val="nil"/>
            </w:tcBorders>
            <w:shd w:val="clear" w:color="auto" w:fill="auto"/>
            <w:noWrap/>
            <w:vAlign w:val="bottom"/>
            <w:hideMark/>
          </w:tcPr>
          <w:p w14:paraId="1EDFA703"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0.155</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0A3EBC5B" w14:textId="77777777" w:rsidTr="00DF1409">
        <w:trPr>
          <w:trHeight w:val="300"/>
        </w:trPr>
        <w:tc>
          <w:tcPr>
            <w:tcW w:w="828" w:type="pct"/>
            <w:tcBorders>
              <w:top w:val="nil"/>
              <w:left w:val="nil"/>
              <w:bottom w:val="nil"/>
              <w:right w:val="nil"/>
            </w:tcBorders>
            <w:shd w:val="clear" w:color="auto" w:fill="auto"/>
            <w:noWrap/>
            <w:vAlign w:val="bottom"/>
            <w:hideMark/>
          </w:tcPr>
          <w:p w14:paraId="5AB6F3B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LE</w:t>
            </w:r>
          </w:p>
        </w:tc>
        <w:tc>
          <w:tcPr>
            <w:tcW w:w="972" w:type="pct"/>
            <w:tcBorders>
              <w:top w:val="nil"/>
              <w:left w:val="nil"/>
              <w:bottom w:val="nil"/>
              <w:right w:val="nil"/>
            </w:tcBorders>
            <w:shd w:val="clear" w:color="auto" w:fill="auto"/>
            <w:noWrap/>
            <w:vAlign w:val="bottom"/>
            <w:hideMark/>
          </w:tcPr>
          <w:p w14:paraId="37B082E8"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-2.51</w:t>
            </w:r>
          </w:p>
        </w:tc>
        <w:tc>
          <w:tcPr>
            <w:tcW w:w="1254" w:type="pct"/>
            <w:gridSpan w:val="2"/>
            <w:tcBorders>
              <w:top w:val="nil"/>
              <w:left w:val="nil"/>
              <w:bottom w:val="nil"/>
              <w:right w:val="nil"/>
            </w:tcBorders>
            <w:shd w:val="clear" w:color="auto" w:fill="auto"/>
            <w:noWrap/>
            <w:vAlign w:val="bottom"/>
            <w:hideMark/>
          </w:tcPr>
          <w:p w14:paraId="099AC67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-3.384</w:t>
            </w:r>
            <w:r w:rsidRPr="00310950">
              <w:rPr>
                <w:rFonts w:ascii="Times New Roman" w:eastAsia="Times New Roman" w:hAnsi="Times New Roman" w:cs="Times New Roman"/>
                <w:color w:val="000000"/>
                <w:sz w:val="20"/>
                <w:szCs w:val="20"/>
                <w:vertAlign w:val="superscript"/>
                <w:lang w:val="en-GB"/>
              </w:rPr>
              <w:t>***</w:t>
            </w:r>
          </w:p>
        </w:tc>
        <w:tc>
          <w:tcPr>
            <w:tcW w:w="905" w:type="pct"/>
            <w:tcBorders>
              <w:top w:val="nil"/>
              <w:left w:val="nil"/>
              <w:bottom w:val="nil"/>
              <w:right w:val="nil"/>
            </w:tcBorders>
            <w:shd w:val="clear" w:color="auto" w:fill="auto"/>
            <w:noWrap/>
            <w:vAlign w:val="bottom"/>
            <w:hideMark/>
          </w:tcPr>
          <w:p w14:paraId="11BB8D7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0.145</w:t>
            </w:r>
          </w:p>
        </w:tc>
        <w:tc>
          <w:tcPr>
            <w:tcW w:w="1040" w:type="pct"/>
            <w:tcBorders>
              <w:top w:val="nil"/>
              <w:left w:val="nil"/>
              <w:bottom w:val="nil"/>
              <w:right w:val="nil"/>
            </w:tcBorders>
            <w:shd w:val="clear" w:color="auto" w:fill="auto"/>
            <w:noWrap/>
            <w:vAlign w:val="bottom"/>
            <w:hideMark/>
          </w:tcPr>
          <w:p w14:paraId="632E820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0.092</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764A0D60" w14:textId="77777777" w:rsidTr="00DF1409">
        <w:trPr>
          <w:trHeight w:val="300"/>
        </w:trPr>
        <w:tc>
          <w:tcPr>
            <w:tcW w:w="828" w:type="pct"/>
            <w:tcBorders>
              <w:top w:val="nil"/>
              <w:left w:val="nil"/>
              <w:bottom w:val="nil"/>
              <w:right w:val="nil"/>
            </w:tcBorders>
            <w:shd w:val="clear" w:color="auto" w:fill="auto"/>
            <w:noWrap/>
            <w:vAlign w:val="bottom"/>
            <w:hideMark/>
          </w:tcPr>
          <w:p w14:paraId="23CCADED"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IQ</w:t>
            </w:r>
          </w:p>
        </w:tc>
        <w:tc>
          <w:tcPr>
            <w:tcW w:w="972" w:type="pct"/>
            <w:tcBorders>
              <w:top w:val="nil"/>
              <w:left w:val="nil"/>
              <w:bottom w:val="nil"/>
              <w:right w:val="nil"/>
            </w:tcBorders>
            <w:shd w:val="clear" w:color="auto" w:fill="auto"/>
            <w:noWrap/>
            <w:vAlign w:val="bottom"/>
            <w:hideMark/>
          </w:tcPr>
          <w:p w14:paraId="7E391FC8"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-3.586</w:t>
            </w:r>
            <w:r w:rsidRPr="00310950">
              <w:rPr>
                <w:rFonts w:ascii="Times New Roman" w:eastAsia="Times New Roman" w:hAnsi="Times New Roman" w:cs="Times New Roman"/>
                <w:color w:val="000000"/>
                <w:sz w:val="20"/>
                <w:szCs w:val="20"/>
                <w:vertAlign w:val="superscript"/>
                <w:lang w:val="en-GB"/>
              </w:rPr>
              <w:t>***</w:t>
            </w:r>
          </w:p>
        </w:tc>
        <w:tc>
          <w:tcPr>
            <w:tcW w:w="1254" w:type="pct"/>
            <w:gridSpan w:val="2"/>
            <w:tcBorders>
              <w:top w:val="nil"/>
              <w:left w:val="nil"/>
              <w:bottom w:val="nil"/>
              <w:right w:val="nil"/>
            </w:tcBorders>
            <w:shd w:val="clear" w:color="auto" w:fill="auto"/>
            <w:noWrap/>
            <w:vAlign w:val="bottom"/>
            <w:hideMark/>
          </w:tcPr>
          <w:p w14:paraId="70852ED2"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-8.398</w:t>
            </w:r>
            <w:r w:rsidRPr="00310950">
              <w:rPr>
                <w:rFonts w:ascii="Times New Roman" w:eastAsia="Times New Roman" w:hAnsi="Times New Roman" w:cs="Times New Roman"/>
                <w:color w:val="000000"/>
                <w:sz w:val="20"/>
                <w:szCs w:val="20"/>
                <w:vertAlign w:val="superscript"/>
                <w:lang w:val="en-GB"/>
              </w:rPr>
              <w:t>***</w:t>
            </w:r>
          </w:p>
        </w:tc>
        <w:tc>
          <w:tcPr>
            <w:tcW w:w="905" w:type="pct"/>
            <w:tcBorders>
              <w:top w:val="nil"/>
              <w:left w:val="nil"/>
              <w:bottom w:val="nil"/>
              <w:right w:val="nil"/>
            </w:tcBorders>
            <w:shd w:val="clear" w:color="auto" w:fill="auto"/>
            <w:noWrap/>
            <w:vAlign w:val="bottom"/>
            <w:hideMark/>
          </w:tcPr>
          <w:p w14:paraId="40620F2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0.156</w:t>
            </w:r>
          </w:p>
        </w:tc>
        <w:tc>
          <w:tcPr>
            <w:tcW w:w="1040" w:type="pct"/>
            <w:tcBorders>
              <w:top w:val="nil"/>
              <w:left w:val="nil"/>
              <w:bottom w:val="nil"/>
              <w:right w:val="nil"/>
            </w:tcBorders>
            <w:shd w:val="clear" w:color="auto" w:fill="auto"/>
            <w:noWrap/>
            <w:vAlign w:val="bottom"/>
            <w:hideMark/>
          </w:tcPr>
          <w:p w14:paraId="0CECDF9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0.236</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38D67E56" w14:textId="77777777" w:rsidTr="00DF1409">
        <w:trPr>
          <w:trHeight w:val="315"/>
        </w:trPr>
        <w:tc>
          <w:tcPr>
            <w:tcW w:w="828" w:type="pct"/>
            <w:tcBorders>
              <w:top w:val="nil"/>
              <w:left w:val="nil"/>
              <w:bottom w:val="single" w:sz="12" w:space="0" w:color="auto"/>
              <w:right w:val="nil"/>
            </w:tcBorders>
            <w:shd w:val="clear" w:color="auto" w:fill="auto"/>
            <w:noWrap/>
            <w:vAlign w:val="bottom"/>
            <w:hideMark/>
          </w:tcPr>
          <w:p w14:paraId="11F00933"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INFR</w:t>
            </w:r>
          </w:p>
        </w:tc>
        <w:tc>
          <w:tcPr>
            <w:tcW w:w="972" w:type="pct"/>
            <w:tcBorders>
              <w:top w:val="nil"/>
              <w:left w:val="nil"/>
              <w:bottom w:val="single" w:sz="12" w:space="0" w:color="auto"/>
              <w:right w:val="nil"/>
            </w:tcBorders>
            <w:shd w:val="clear" w:color="auto" w:fill="auto"/>
            <w:noWrap/>
            <w:vAlign w:val="bottom"/>
            <w:hideMark/>
          </w:tcPr>
          <w:p w14:paraId="409D9D9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1.234</w:t>
            </w:r>
          </w:p>
        </w:tc>
        <w:tc>
          <w:tcPr>
            <w:tcW w:w="1254" w:type="pct"/>
            <w:gridSpan w:val="2"/>
            <w:tcBorders>
              <w:top w:val="nil"/>
              <w:left w:val="nil"/>
              <w:bottom w:val="single" w:sz="12" w:space="0" w:color="auto"/>
              <w:right w:val="nil"/>
            </w:tcBorders>
            <w:shd w:val="clear" w:color="auto" w:fill="auto"/>
            <w:noWrap/>
            <w:vAlign w:val="bottom"/>
            <w:hideMark/>
          </w:tcPr>
          <w:p w14:paraId="79B3FFFF"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-4.318</w:t>
            </w:r>
            <w:r w:rsidRPr="00310950">
              <w:rPr>
                <w:rFonts w:ascii="Times New Roman" w:eastAsia="Times New Roman" w:hAnsi="Times New Roman" w:cs="Times New Roman"/>
                <w:color w:val="000000"/>
                <w:sz w:val="20"/>
                <w:szCs w:val="20"/>
                <w:vertAlign w:val="superscript"/>
                <w:lang w:val="en-GB"/>
              </w:rPr>
              <w:t>***</w:t>
            </w:r>
          </w:p>
        </w:tc>
        <w:tc>
          <w:tcPr>
            <w:tcW w:w="905" w:type="pct"/>
            <w:tcBorders>
              <w:top w:val="nil"/>
              <w:left w:val="nil"/>
              <w:bottom w:val="single" w:sz="12" w:space="0" w:color="auto"/>
              <w:right w:val="nil"/>
            </w:tcBorders>
            <w:shd w:val="clear" w:color="auto" w:fill="auto"/>
            <w:noWrap/>
            <w:vAlign w:val="bottom"/>
            <w:hideMark/>
          </w:tcPr>
          <w:p w14:paraId="0970DEC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0.181</w:t>
            </w:r>
          </w:p>
        </w:tc>
        <w:tc>
          <w:tcPr>
            <w:tcW w:w="1040" w:type="pct"/>
            <w:tcBorders>
              <w:top w:val="nil"/>
              <w:left w:val="nil"/>
              <w:bottom w:val="single" w:sz="12" w:space="0" w:color="auto"/>
              <w:right w:val="nil"/>
            </w:tcBorders>
            <w:shd w:val="clear" w:color="auto" w:fill="auto"/>
            <w:noWrap/>
            <w:vAlign w:val="bottom"/>
            <w:hideMark/>
          </w:tcPr>
          <w:p w14:paraId="4A1F965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0.101</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4D49CB57" w14:textId="77777777" w:rsidTr="00DF1409">
        <w:trPr>
          <w:trHeight w:val="169"/>
        </w:trPr>
        <w:tc>
          <w:tcPr>
            <w:tcW w:w="5000" w:type="pct"/>
            <w:gridSpan w:val="6"/>
            <w:tcBorders>
              <w:top w:val="single" w:sz="12" w:space="0" w:color="auto"/>
              <w:left w:val="nil"/>
              <w:right w:val="nil"/>
            </w:tcBorders>
            <w:shd w:val="clear" w:color="auto" w:fill="auto"/>
            <w:noWrap/>
            <w:vAlign w:val="bottom"/>
          </w:tcPr>
          <w:p w14:paraId="17B98C13" w14:textId="77777777" w:rsidR="002949B4" w:rsidRPr="00310950" w:rsidRDefault="002949B4" w:rsidP="00DF1409">
            <w:pPr>
              <w:spacing w:after="0" w:line="240" w:lineRule="auto"/>
              <w:jc w:val="both"/>
              <w:rPr>
                <w:rFonts w:ascii="Times New Roman" w:hAnsi="Times New Roman" w:cs="Times New Roman"/>
                <w:sz w:val="20"/>
                <w:szCs w:val="20"/>
              </w:rPr>
            </w:pPr>
            <w:r w:rsidRPr="00310950">
              <w:rPr>
                <w:rFonts w:ascii="Times New Roman" w:hAnsi="Times New Roman" w:cs="Times New Roman"/>
                <w:sz w:val="20"/>
                <w:szCs w:val="20"/>
              </w:rPr>
              <w:t>Source: Author’s own calculations</w:t>
            </w:r>
          </w:p>
          <w:p w14:paraId="443F7EC8" w14:textId="77777777" w:rsidR="002949B4" w:rsidRPr="00310950" w:rsidRDefault="002949B4" w:rsidP="00DF1409">
            <w:pPr>
              <w:spacing w:after="0" w:line="240" w:lineRule="auto"/>
              <w:jc w:val="both"/>
              <w:rPr>
                <w:rFonts w:ascii="Times New Roman" w:hAnsi="Times New Roman" w:cs="Times New Roman"/>
                <w:color w:val="000000"/>
                <w:sz w:val="20"/>
                <w:szCs w:val="20"/>
              </w:rPr>
            </w:pPr>
            <w:r w:rsidRPr="00310950">
              <w:rPr>
                <w:rFonts w:ascii="Times New Roman" w:hAnsi="Times New Roman" w:cs="Times New Roman"/>
                <w:color w:val="000000"/>
                <w:sz w:val="20"/>
                <w:szCs w:val="20"/>
              </w:rPr>
              <w:t>Note: *, ** and *** shows level of significance at 10%, 5% and 1%.</w:t>
            </w:r>
          </w:p>
          <w:p w14:paraId="52EF9C3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hAnsi="Times New Roman" w:cs="Times New Roman"/>
                <w:color w:val="000000"/>
                <w:sz w:val="20"/>
                <w:szCs w:val="20"/>
              </w:rPr>
              <w:t xml:space="preserve">Y denotes GDP per capita, OFDI, IFDI are an outward and inward foreign direct investment, </w:t>
            </w:r>
            <w:r w:rsidRPr="00310950">
              <w:rPr>
                <w:rFonts w:ascii="Times New Roman" w:hAnsi="Times New Roman" w:cs="Times New Roman"/>
                <w:sz w:val="20"/>
                <w:szCs w:val="20"/>
              </w:rPr>
              <w:t>CS is the capital stock, LE is life expectancy used to measure human capital, IQ and INFR are institutional and Infrastructure quality.</w:t>
            </w:r>
          </w:p>
        </w:tc>
      </w:tr>
    </w:tbl>
    <w:p w14:paraId="230ABA20" w14:textId="77777777" w:rsidR="00D15471" w:rsidRPr="00310950" w:rsidRDefault="00D15471" w:rsidP="004F34EB">
      <w:pPr>
        <w:spacing w:after="120"/>
        <w:rPr>
          <w:rFonts w:ascii="Times New Roman" w:hAnsi="Times New Roman" w:cs="Times New Roman"/>
          <w:b/>
          <w:sz w:val="20"/>
          <w:szCs w:val="20"/>
        </w:rPr>
      </w:pPr>
    </w:p>
    <w:tbl>
      <w:tblPr>
        <w:tblpPr w:leftFromText="180" w:rightFromText="180" w:vertAnchor="text" w:horzAnchor="margin" w:tblpY="196"/>
        <w:tblW w:w="4872" w:type="pct"/>
        <w:tblLook w:val="04A0" w:firstRow="1" w:lastRow="0" w:firstColumn="1" w:lastColumn="0" w:noHBand="0" w:noVBand="1"/>
      </w:tblPr>
      <w:tblGrid>
        <w:gridCol w:w="3832"/>
        <w:gridCol w:w="1557"/>
        <w:gridCol w:w="1557"/>
        <w:gridCol w:w="1558"/>
      </w:tblGrid>
      <w:tr w:rsidR="002949B4" w:rsidRPr="00310950" w14:paraId="3F14F7D5" w14:textId="77777777" w:rsidTr="00DF1409">
        <w:trPr>
          <w:trHeight w:val="300"/>
        </w:trPr>
        <w:tc>
          <w:tcPr>
            <w:tcW w:w="5000" w:type="pct"/>
            <w:gridSpan w:val="4"/>
            <w:tcBorders>
              <w:top w:val="nil"/>
              <w:left w:val="nil"/>
              <w:bottom w:val="single" w:sz="12" w:space="0" w:color="auto"/>
              <w:right w:val="nil"/>
            </w:tcBorders>
            <w:shd w:val="clear" w:color="auto" w:fill="auto"/>
            <w:noWrap/>
            <w:vAlign w:val="center"/>
            <w:hideMark/>
          </w:tcPr>
          <w:p w14:paraId="6D931837" w14:textId="77777777" w:rsidR="002949B4" w:rsidRPr="00310950" w:rsidRDefault="002949B4" w:rsidP="00DF1409">
            <w:pPr>
              <w:spacing w:after="0" w:line="240" w:lineRule="auto"/>
              <w:rPr>
                <w:rFonts w:ascii="Times New Roman" w:eastAsia="Times New Roman" w:hAnsi="Times New Roman" w:cs="Times New Roman"/>
                <w:b/>
                <w:bCs/>
                <w:color w:val="000000"/>
                <w:sz w:val="20"/>
                <w:szCs w:val="20"/>
              </w:rPr>
            </w:pPr>
            <w:r w:rsidRPr="00310950">
              <w:rPr>
                <w:rFonts w:ascii="Times New Roman" w:eastAsia="Times New Roman" w:hAnsi="Times New Roman" w:cs="Times New Roman"/>
                <w:b/>
                <w:bCs/>
                <w:color w:val="000000"/>
                <w:sz w:val="20"/>
                <w:szCs w:val="20"/>
              </w:rPr>
              <w:t xml:space="preserve">Table 2. </w:t>
            </w:r>
            <w:r w:rsidRPr="00310950">
              <w:rPr>
                <w:rFonts w:ascii="Times New Roman" w:eastAsia="Times New Roman" w:hAnsi="Times New Roman" w:cs="Times New Roman"/>
                <w:color w:val="000000"/>
                <w:sz w:val="20"/>
                <w:szCs w:val="20"/>
              </w:rPr>
              <w:t>Bound cointegration test results</w:t>
            </w:r>
          </w:p>
        </w:tc>
      </w:tr>
      <w:tr w:rsidR="002949B4" w:rsidRPr="00310950" w14:paraId="2AEAF9D4" w14:textId="77777777" w:rsidTr="00DF1409">
        <w:trPr>
          <w:trHeight w:val="300"/>
        </w:trPr>
        <w:tc>
          <w:tcPr>
            <w:tcW w:w="2287" w:type="pct"/>
            <w:tcBorders>
              <w:top w:val="single" w:sz="12" w:space="0" w:color="auto"/>
              <w:left w:val="nil"/>
              <w:bottom w:val="nil"/>
              <w:right w:val="nil"/>
            </w:tcBorders>
            <w:shd w:val="clear" w:color="auto" w:fill="auto"/>
            <w:noWrap/>
            <w:vAlign w:val="bottom"/>
            <w:hideMark/>
          </w:tcPr>
          <w:p w14:paraId="227477FA"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p>
        </w:tc>
        <w:tc>
          <w:tcPr>
            <w:tcW w:w="904" w:type="pct"/>
            <w:tcBorders>
              <w:top w:val="single" w:sz="12" w:space="0" w:color="auto"/>
              <w:left w:val="nil"/>
              <w:bottom w:val="single" w:sz="4" w:space="0" w:color="auto"/>
              <w:right w:val="nil"/>
            </w:tcBorders>
            <w:shd w:val="clear" w:color="auto" w:fill="auto"/>
            <w:noWrap/>
            <w:vAlign w:val="center"/>
            <w:hideMark/>
          </w:tcPr>
          <w:p w14:paraId="692B843D"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Model 1</w:t>
            </w:r>
          </w:p>
        </w:tc>
        <w:tc>
          <w:tcPr>
            <w:tcW w:w="904" w:type="pct"/>
            <w:tcBorders>
              <w:top w:val="single" w:sz="12" w:space="0" w:color="auto"/>
              <w:left w:val="nil"/>
              <w:bottom w:val="single" w:sz="4" w:space="0" w:color="auto"/>
              <w:right w:val="nil"/>
            </w:tcBorders>
            <w:shd w:val="clear" w:color="auto" w:fill="auto"/>
            <w:noWrap/>
            <w:vAlign w:val="center"/>
            <w:hideMark/>
          </w:tcPr>
          <w:p w14:paraId="457D10DF"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Model 2</w:t>
            </w:r>
          </w:p>
        </w:tc>
        <w:tc>
          <w:tcPr>
            <w:tcW w:w="905" w:type="pct"/>
            <w:tcBorders>
              <w:top w:val="single" w:sz="12" w:space="0" w:color="auto"/>
              <w:left w:val="nil"/>
              <w:bottom w:val="single" w:sz="4" w:space="0" w:color="auto"/>
              <w:right w:val="nil"/>
            </w:tcBorders>
            <w:shd w:val="clear" w:color="auto" w:fill="auto"/>
            <w:noWrap/>
            <w:vAlign w:val="center"/>
            <w:hideMark/>
          </w:tcPr>
          <w:p w14:paraId="69FD0663"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Model 3</w:t>
            </w:r>
          </w:p>
        </w:tc>
      </w:tr>
      <w:tr w:rsidR="002949B4" w:rsidRPr="00310950" w14:paraId="691853CC" w14:textId="77777777" w:rsidTr="00DF1409">
        <w:trPr>
          <w:trHeight w:val="315"/>
        </w:trPr>
        <w:tc>
          <w:tcPr>
            <w:tcW w:w="2287" w:type="pct"/>
            <w:tcBorders>
              <w:top w:val="nil"/>
              <w:left w:val="nil"/>
              <w:bottom w:val="nil"/>
              <w:right w:val="nil"/>
            </w:tcBorders>
            <w:shd w:val="clear" w:color="auto" w:fill="auto"/>
            <w:noWrap/>
            <w:vAlign w:val="center"/>
            <w:hideMark/>
          </w:tcPr>
          <w:p w14:paraId="137F0925"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F-statistics</w:t>
            </w:r>
          </w:p>
        </w:tc>
        <w:tc>
          <w:tcPr>
            <w:tcW w:w="904" w:type="pct"/>
            <w:tcBorders>
              <w:top w:val="single" w:sz="4" w:space="0" w:color="auto"/>
              <w:left w:val="nil"/>
              <w:bottom w:val="nil"/>
              <w:right w:val="nil"/>
            </w:tcBorders>
            <w:shd w:val="clear" w:color="auto" w:fill="auto"/>
            <w:noWrap/>
            <w:vAlign w:val="center"/>
            <w:hideMark/>
          </w:tcPr>
          <w:p w14:paraId="0B8E7CBA"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4.569</w:t>
            </w:r>
            <w:r w:rsidRPr="00310950">
              <w:rPr>
                <w:rFonts w:ascii="Times New Roman" w:eastAsia="Times New Roman" w:hAnsi="Times New Roman" w:cs="Times New Roman"/>
                <w:color w:val="000000"/>
                <w:sz w:val="20"/>
                <w:szCs w:val="20"/>
                <w:vertAlign w:val="superscript"/>
              </w:rPr>
              <w:t>***</w:t>
            </w:r>
          </w:p>
        </w:tc>
        <w:tc>
          <w:tcPr>
            <w:tcW w:w="904" w:type="pct"/>
            <w:tcBorders>
              <w:top w:val="single" w:sz="4" w:space="0" w:color="auto"/>
              <w:left w:val="nil"/>
              <w:bottom w:val="nil"/>
              <w:right w:val="nil"/>
            </w:tcBorders>
            <w:shd w:val="clear" w:color="auto" w:fill="auto"/>
            <w:noWrap/>
            <w:vAlign w:val="center"/>
            <w:hideMark/>
          </w:tcPr>
          <w:p w14:paraId="7453AC75"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5.985</w:t>
            </w:r>
            <w:r w:rsidRPr="00310950">
              <w:rPr>
                <w:rFonts w:ascii="Times New Roman" w:eastAsia="Times New Roman" w:hAnsi="Times New Roman" w:cs="Times New Roman"/>
                <w:color w:val="000000"/>
                <w:sz w:val="20"/>
                <w:szCs w:val="20"/>
                <w:vertAlign w:val="superscript"/>
              </w:rPr>
              <w:t>***</w:t>
            </w:r>
          </w:p>
        </w:tc>
        <w:tc>
          <w:tcPr>
            <w:tcW w:w="905" w:type="pct"/>
            <w:tcBorders>
              <w:top w:val="single" w:sz="4" w:space="0" w:color="auto"/>
              <w:left w:val="nil"/>
              <w:bottom w:val="nil"/>
              <w:right w:val="nil"/>
            </w:tcBorders>
            <w:shd w:val="clear" w:color="auto" w:fill="auto"/>
            <w:noWrap/>
            <w:vAlign w:val="center"/>
            <w:hideMark/>
          </w:tcPr>
          <w:p w14:paraId="490BE9E2"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5.613</w:t>
            </w:r>
            <w:r w:rsidRPr="00310950">
              <w:rPr>
                <w:rFonts w:ascii="Times New Roman" w:eastAsia="Times New Roman" w:hAnsi="Times New Roman" w:cs="Times New Roman"/>
                <w:color w:val="000000"/>
                <w:sz w:val="20"/>
                <w:szCs w:val="20"/>
                <w:vertAlign w:val="superscript"/>
              </w:rPr>
              <w:t>***</w:t>
            </w:r>
          </w:p>
        </w:tc>
      </w:tr>
      <w:tr w:rsidR="002949B4" w:rsidRPr="00310950" w14:paraId="693D1988" w14:textId="77777777" w:rsidTr="00DF1409">
        <w:trPr>
          <w:trHeight w:val="300"/>
        </w:trPr>
        <w:tc>
          <w:tcPr>
            <w:tcW w:w="2287" w:type="pct"/>
            <w:tcBorders>
              <w:top w:val="nil"/>
              <w:left w:val="nil"/>
              <w:bottom w:val="nil"/>
              <w:right w:val="nil"/>
            </w:tcBorders>
            <w:shd w:val="clear" w:color="auto" w:fill="auto"/>
            <w:noWrap/>
            <w:vAlign w:val="center"/>
            <w:hideMark/>
          </w:tcPr>
          <w:p w14:paraId="6553AB00"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Lower-upper bound (1%)</w:t>
            </w:r>
          </w:p>
        </w:tc>
        <w:tc>
          <w:tcPr>
            <w:tcW w:w="904" w:type="pct"/>
            <w:tcBorders>
              <w:top w:val="nil"/>
              <w:left w:val="nil"/>
              <w:bottom w:val="nil"/>
              <w:right w:val="nil"/>
            </w:tcBorders>
            <w:shd w:val="clear" w:color="auto" w:fill="auto"/>
            <w:noWrap/>
            <w:vAlign w:val="center"/>
            <w:hideMark/>
          </w:tcPr>
          <w:p w14:paraId="55D3FC6F"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3.41-4.68</w:t>
            </w:r>
          </w:p>
        </w:tc>
        <w:tc>
          <w:tcPr>
            <w:tcW w:w="904" w:type="pct"/>
            <w:tcBorders>
              <w:top w:val="nil"/>
              <w:left w:val="nil"/>
              <w:bottom w:val="nil"/>
              <w:right w:val="nil"/>
            </w:tcBorders>
            <w:shd w:val="clear" w:color="auto" w:fill="auto"/>
            <w:noWrap/>
            <w:vAlign w:val="center"/>
            <w:hideMark/>
          </w:tcPr>
          <w:p w14:paraId="40881B92"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3.15-4.43</w:t>
            </w:r>
          </w:p>
        </w:tc>
        <w:tc>
          <w:tcPr>
            <w:tcW w:w="905" w:type="pct"/>
            <w:tcBorders>
              <w:top w:val="nil"/>
              <w:left w:val="nil"/>
              <w:bottom w:val="nil"/>
              <w:right w:val="nil"/>
            </w:tcBorders>
            <w:shd w:val="clear" w:color="auto" w:fill="auto"/>
            <w:noWrap/>
            <w:vAlign w:val="center"/>
            <w:hideMark/>
          </w:tcPr>
          <w:p w14:paraId="4096836F"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3.15-4.43</w:t>
            </w:r>
          </w:p>
        </w:tc>
      </w:tr>
      <w:tr w:rsidR="002949B4" w:rsidRPr="00310950" w14:paraId="5F79C1EF" w14:textId="77777777" w:rsidTr="00DF1409">
        <w:trPr>
          <w:trHeight w:val="300"/>
        </w:trPr>
        <w:tc>
          <w:tcPr>
            <w:tcW w:w="2287" w:type="pct"/>
            <w:tcBorders>
              <w:top w:val="nil"/>
              <w:left w:val="nil"/>
              <w:bottom w:val="nil"/>
              <w:right w:val="nil"/>
            </w:tcBorders>
            <w:shd w:val="clear" w:color="auto" w:fill="auto"/>
            <w:noWrap/>
            <w:vAlign w:val="center"/>
            <w:hideMark/>
          </w:tcPr>
          <w:p w14:paraId="680958EF"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Lower-upper bound (5%)</w:t>
            </w:r>
          </w:p>
        </w:tc>
        <w:tc>
          <w:tcPr>
            <w:tcW w:w="904" w:type="pct"/>
            <w:tcBorders>
              <w:top w:val="nil"/>
              <w:left w:val="nil"/>
              <w:bottom w:val="nil"/>
              <w:right w:val="nil"/>
            </w:tcBorders>
            <w:shd w:val="clear" w:color="auto" w:fill="auto"/>
            <w:noWrap/>
            <w:vAlign w:val="center"/>
            <w:hideMark/>
          </w:tcPr>
          <w:p w14:paraId="49A5C38E"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2.62-3.79</w:t>
            </w:r>
          </w:p>
        </w:tc>
        <w:tc>
          <w:tcPr>
            <w:tcW w:w="904" w:type="pct"/>
            <w:tcBorders>
              <w:top w:val="nil"/>
              <w:left w:val="nil"/>
              <w:bottom w:val="nil"/>
              <w:right w:val="nil"/>
            </w:tcBorders>
            <w:shd w:val="clear" w:color="auto" w:fill="auto"/>
            <w:noWrap/>
            <w:vAlign w:val="center"/>
            <w:hideMark/>
          </w:tcPr>
          <w:p w14:paraId="774C0CA7"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2.45-3.61</w:t>
            </w:r>
          </w:p>
        </w:tc>
        <w:tc>
          <w:tcPr>
            <w:tcW w:w="905" w:type="pct"/>
            <w:tcBorders>
              <w:top w:val="nil"/>
              <w:left w:val="nil"/>
              <w:bottom w:val="nil"/>
              <w:right w:val="nil"/>
            </w:tcBorders>
            <w:shd w:val="clear" w:color="auto" w:fill="auto"/>
            <w:noWrap/>
            <w:vAlign w:val="center"/>
            <w:hideMark/>
          </w:tcPr>
          <w:p w14:paraId="3B8E5C5A"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2.45-3.61</w:t>
            </w:r>
          </w:p>
        </w:tc>
      </w:tr>
      <w:tr w:rsidR="002949B4" w:rsidRPr="00310950" w14:paraId="6ADD92A8" w14:textId="77777777" w:rsidTr="00DF1409">
        <w:trPr>
          <w:trHeight w:val="300"/>
        </w:trPr>
        <w:tc>
          <w:tcPr>
            <w:tcW w:w="2287" w:type="pct"/>
            <w:tcBorders>
              <w:top w:val="nil"/>
              <w:left w:val="nil"/>
              <w:bottom w:val="nil"/>
              <w:right w:val="nil"/>
            </w:tcBorders>
            <w:shd w:val="clear" w:color="auto" w:fill="auto"/>
            <w:noWrap/>
            <w:vAlign w:val="center"/>
            <w:hideMark/>
          </w:tcPr>
          <w:p w14:paraId="5D11D479"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Lower-upper bound (10%)</w:t>
            </w:r>
          </w:p>
        </w:tc>
        <w:tc>
          <w:tcPr>
            <w:tcW w:w="904" w:type="pct"/>
            <w:tcBorders>
              <w:top w:val="nil"/>
              <w:left w:val="nil"/>
              <w:bottom w:val="nil"/>
              <w:right w:val="nil"/>
            </w:tcBorders>
            <w:shd w:val="clear" w:color="auto" w:fill="auto"/>
            <w:noWrap/>
            <w:vAlign w:val="center"/>
            <w:hideMark/>
          </w:tcPr>
          <w:p w14:paraId="10112051"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2.26-3.35</w:t>
            </w:r>
          </w:p>
        </w:tc>
        <w:tc>
          <w:tcPr>
            <w:tcW w:w="904" w:type="pct"/>
            <w:tcBorders>
              <w:top w:val="nil"/>
              <w:left w:val="nil"/>
              <w:bottom w:val="nil"/>
              <w:right w:val="nil"/>
            </w:tcBorders>
            <w:shd w:val="clear" w:color="auto" w:fill="auto"/>
            <w:noWrap/>
            <w:vAlign w:val="center"/>
            <w:hideMark/>
          </w:tcPr>
          <w:p w14:paraId="7C118EA7"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2.12-3.23</w:t>
            </w:r>
          </w:p>
        </w:tc>
        <w:tc>
          <w:tcPr>
            <w:tcW w:w="905" w:type="pct"/>
            <w:tcBorders>
              <w:top w:val="nil"/>
              <w:left w:val="nil"/>
              <w:bottom w:val="nil"/>
              <w:right w:val="nil"/>
            </w:tcBorders>
            <w:shd w:val="clear" w:color="auto" w:fill="auto"/>
            <w:noWrap/>
            <w:vAlign w:val="center"/>
            <w:hideMark/>
          </w:tcPr>
          <w:p w14:paraId="489A8498"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2.12-3.23</w:t>
            </w:r>
          </w:p>
        </w:tc>
      </w:tr>
      <w:tr w:rsidR="002949B4" w:rsidRPr="00310950" w14:paraId="1EF83B4B" w14:textId="77777777" w:rsidTr="00DF1409">
        <w:trPr>
          <w:trHeight w:val="315"/>
        </w:trPr>
        <w:tc>
          <w:tcPr>
            <w:tcW w:w="2287" w:type="pct"/>
            <w:tcBorders>
              <w:top w:val="nil"/>
              <w:left w:val="nil"/>
              <w:bottom w:val="single" w:sz="12" w:space="0" w:color="auto"/>
              <w:right w:val="nil"/>
            </w:tcBorders>
            <w:shd w:val="clear" w:color="auto" w:fill="auto"/>
            <w:noWrap/>
            <w:vAlign w:val="center"/>
            <w:hideMark/>
          </w:tcPr>
          <w:p w14:paraId="51503642"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K</w:t>
            </w:r>
          </w:p>
        </w:tc>
        <w:tc>
          <w:tcPr>
            <w:tcW w:w="904" w:type="pct"/>
            <w:tcBorders>
              <w:top w:val="nil"/>
              <w:left w:val="nil"/>
              <w:bottom w:val="single" w:sz="12" w:space="0" w:color="auto"/>
              <w:right w:val="nil"/>
            </w:tcBorders>
            <w:shd w:val="clear" w:color="auto" w:fill="auto"/>
            <w:noWrap/>
            <w:vAlign w:val="center"/>
            <w:hideMark/>
          </w:tcPr>
          <w:p w14:paraId="0D3E6C4E"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4</w:t>
            </w:r>
          </w:p>
        </w:tc>
        <w:tc>
          <w:tcPr>
            <w:tcW w:w="904" w:type="pct"/>
            <w:tcBorders>
              <w:top w:val="nil"/>
              <w:left w:val="nil"/>
              <w:bottom w:val="single" w:sz="12" w:space="0" w:color="auto"/>
              <w:right w:val="nil"/>
            </w:tcBorders>
            <w:shd w:val="clear" w:color="auto" w:fill="auto"/>
            <w:noWrap/>
            <w:vAlign w:val="center"/>
            <w:hideMark/>
          </w:tcPr>
          <w:p w14:paraId="2ECD9626"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5</w:t>
            </w:r>
          </w:p>
        </w:tc>
        <w:tc>
          <w:tcPr>
            <w:tcW w:w="905" w:type="pct"/>
            <w:tcBorders>
              <w:top w:val="nil"/>
              <w:left w:val="nil"/>
              <w:bottom w:val="single" w:sz="12" w:space="0" w:color="auto"/>
              <w:right w:val="nil"/>
            </w:tcBorders>
            <w:shd w:val="clear" w:color="auto" w:fill="auto"/>
            <w:noWrap/>
            <w:vAlign w:val="center"/>
            <w:hideMark/>
          </w:tcPr>
          <w:p w14:paraId="2005F0EB" w14:textId="77777777" w:rsidR="002949B4" w:rsidRPr="00310950" w:rsidRDefault="002949B4" w:rsidP="00DF1409">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6</w:t>
            </w:r>
          </w:p>
        </w:tc>
      </w:tr>
      <w:tr w:rsidR="002949B4" w:rsidRPr="00310950" w14:paraId="26EDF1A3" w14:textId="77777777" w:rsidTr="00DF1409">
        <w:trPr>
          <w:trHeight w:val="315"/>
        </w:trPr>
        <w:tc>
          <w:tcPr>
            <w:tcW w:w="1" w:type="pct"/>
            <w:gridSpan w:val="4"/>
            <w:tcBorders>
              <w:top w:val="single" w:sz="12" w:space="0" w:color="auto"/>
              <w:left w:val="nil"/>
              <w:right w:val="nil"/>
            </w:tcBorders>
            <w:shd w:val="clear" w:color="auto" w:fill="auto"/>
            <w:noWrap/>
            <w:vAlign w:val="center"/>
          </w:tcPr>
          <w:p w14:paraId="34077082" w14:textId="77777777" w:rsidR="002949B4" w:rsidRPr="00310950" w:rsidRDefault="002949B4" w:rsidP="00DF1409">
            <w:pPr>
              <w:spacing w:after="0" w:line="240" w:lineRule="auto"/>
              <w:jc w:val="both"/>
              <w:rPr>
                <w:rFonts w:ascii="Times New Roman" w:hAnsi="Times New Roman" w:cs="Times New Roman"/>
                <w:sz w:val="20"/>
                <w:szCs w:val="20"/>
              </w:rPr>
            </w:pPr>
            <w:r w:rsidRPr="00310950">
              <w:rPr>
                <w:rFonts w:ascii="Times New Roman" w:hAnsi="Times New Roman" w:cs="Times New Roman"/>
                <w:sz w:val="20"/>
                <w:szCs w:val="20"/>
              </w:rPr>
              <w:t>Source: Authors’ calculations.</w:t>
            </w:r>
          </w:p>
          <w:p w14:paraId="1C73F0EA" w14:textId="77777777" w:rsidR="002949B4" w:rsidRPr="00310950" w:rsidRDefault="002949B4" w:rsidP="0007408D">
            <w:pPr>
              <w:spacing w:after="0" w:line="240" w:lineRule="auto"/>
              <w:jc w:val="both"/>
              <w:rPr>
                <w:rFonts w:ascii="Times New Roman" w:hAnsi="Times New Roman" w:cs="Times New Roman"/>
                <w:sz w:val="20"/>
                <w:szCs w:val="20"/>
              </w:rPr>
            </w:pPr>
            <w:r w:rsidRPr="00310950">
              <w:rPr>
                <w:rFonts w:ascii="Times New Roman" w:eastAsia="Times New Roman" w:hAnsi="Times New Roman" w:cs="Times New Roman"/>
                <w:color w:val="000000"/>
                <w:sz w:val="20"/>
                <w:szCs w:val="20"/>
              </w:rPr>
              <w:t xml:space="preserve">Note: *** denotes a statistical significance </w:t>
            </w:r>
            <w:r w:rsidRPr="00310950">
              <w:rPr>
                <w:rFonts w:ascii="Times New Roman" w:hAnsi="Times New Roman" w:cs="Times New Roman"/>
                <w:sz w:val="20"/>
                <w:szCs w:val="20"/>
              </w:rPr>
              <w:t xml:space="preserve">of 1%. </w:t>
            </w:r>
            <w:r w:rsidRPr="00310950">
              <w:rPr>
                <w:rFonts w:ascii="Times New Roman" w:hAnsi="Times New Roman" w:cs="Times New Roman"/>
                <w:color w:val="000000"/>
                <w:sz w:val="20"/>
                <w:szCs w:val="20"/>
              </w:rPr>
              <w:t>The critical Values are from</w:t>
            </w:r>
            <w:r w:rsidRPr="00310950">
              <w:rPr>
                <w:rFonts w:ascii="Times New Roman" w:hAnsi="Times New Roman" w:cs="Times New Roman"/>
                <w:sz w:val="20"/>
                <w:szCs w:val="20"/>
              </w:rPr>
              <w:t xml:space="preserve"> </w:t>
            </w:r>
            <w:r w:rsidR="0007408D">
              <w:rPr>
                <w:rFonts w:ascii="Times New Roman" w:hAnsi="Times New Roman" w:cs="Times New Roman"/>
                <w:sz w:val="20"/>
                <w:szCs w:val="20"/>
              </w:rPr>
              <w:t>[61]</w:t>
            </w:r>
            <w:r w:rsidRPr="00310950">
              <w:rPr>
                <w:rFonts w:ascii="Times New Roman" w:hAnsi="Times New Roman" w:cs="Times New Roman"/>
                <w:color w:val="000000"/>
                <w:sz w:val="20"/>
                <w:szCs w:val="20"/>
              </w:rPr>
              <w:t xml:space="preserve">. </w:t>
            </w:r>
            <w:r w:rsidRPr="00310950">
              <w:rPr>
                <w:rFonts w:ascii="Times New Roman" w:hAnsi="Times New Roman" w:cs="Times New Roman"/>
                <w:iCs/>
                <w:sz w:val="20"/>
                <w:szCs w:val="20"/>
              </w:rPr>
              <w:t xml:space="preserve">K </w:t>
            </w:r>
            <w:r w:rsidRPr="00310950">
              <w:rPr>
                <w:rFonts w:ascii="Times New Roman" w:hAnsi="Times New Roman" w:cs="Times New Roman"/>
                <w:sz w:val="20"/>
                <w:szCs w:val="20"/>
              </w:rPr>
              <w:t>signifies the number of regressors included in all three models.</w:t>
            </w:r>
          </w:p>
        </w:tc>
      </w:tr>
    </w:tbl>
    <w:p w14:paraId="115BCFA3" w14:textId="77777777" w:rsidR="002949B4" w:rsidRPr="00310950" w:rsidRDefault="002949B4" w:rsidP="004F34EB">
      <w:pPr>
        <w:spacing w:after="120"/>
        <w:rPr>
          <w:rFonts w:ascii="Times New Roman" w:hAnsi="Times New Roman" w:cs="Times New Roman"/>
          <w:b/>
          <w:sz w:val="20"/>
          <w:szCs w:val="20"/>
        </w:rPr>
      </w:pPr>
    </w:p>
    <w:tbl>
      <w:tblPr>
        <w:tblW w:w="5000" w:type="pct"/>
        <w:tblLook w:val="04A0" w:firstRow="1" w:lastRow="0" w:firstColumn="1" w:lastColumn="0" w:noHBand="0" w:noVBand="1"/>
      </w:tblPr>
      <w:tblGrid>
        <w:gridCol w:w="2018"/>
        <w:gridCol w:w="1772"/>
        <w:gridCol w:w="476"/>
        <w:gridCol w:w="1840"/>
        <w:gridCol w:w="475"/>
        <w:gridCol w:w="1923"/>
      </w:tblGrid>
      <w:tr w:rsidR="002949B4" w:rsidRPr="00310950" w14:paraId="54B3FA51" w14:textId="77777777" w:rsidTr="00DF1409">
        <w:trPr>
          <w:trHeight w:val="330"/>
        </w:trPr>
        <w:tc>
          <w:tcPr>
            <w:tcW w:w="5000" w:type="pct"/>
            <w:gridSpan w:val="6"/>
            <w:tcBorders>
              <w:top w:val="nil"/>
              <w:left w:val="nil"/>
              <w:bottom w:val="single" w:sz="12" w:space="0" w:color="auto"/>
              <w:right w:val="nil"/>
            </w:tcBorders>
            <w:shd w:val="clear" w:color="auto" w:fill="auto"/>
            <w:noWrap/>
            <w:vAlign w:val="center"/>
            <w:hideMark/>
          </w:tcPr>
          <w:p w14:paraId="0A395664" w14:textId="77777777" w:rsidR="002949B4" w:rsidRPr="00310950" w:rsidRDefault="002949B4" w:rsidP="00DF1409">
            <w:pPr>
              <w:spacing w:after="0" w:line="240" w:lineRule="auto"/>
              <w:rPr>
                <w:rFonts w:ascii="Times New Roman" w:eastAsia="Times New Roman" w:hAnsi="Times New Roman" w:cs="Times New Roman"/>
                <w:b/>
                <w:bCs/>
                <w:color w:val="000000"/>
                <w:sz w:val="20"/>
                <w:szCs w:val="20"/>
                <w:lang w:val="en-GB"/>
              </w:rPr>
            </w:pPr>
            <w:r w:rsidRPr="00310950">
              <w:rPr>
                <w:rFonts w:ascii="Times New Roman" w:eastAsia="Times New Roman" w:hAnsi="Times New Roman" w:cs="Times New Roman"/>
                <w:b/>
                <w:bCs/>
                <w:color w:val="000000"/>
                <w:sz w:val="20"/>
                <w:szCs w:val="20"/>
                <w:lang w:val="en-GB"/>
              </w:rPr>
              <w:t>Table 3.</w:t>
            </w:r>
            <w:r w:rsidRPr="00310950">
              <w:rPr>
                <w:rFonts w:ascii="Times New Roman" w:eastAsia="Times New Roman" w:hAnsi="Times New Roman" w:cs="Times New Roman"/>
                <w:color w:val="000000"/>
                <w:sz w:val="20"/>
                <w:szCs w:val="20"/>
                <w:lang w:val="en-GB"/>
              </w:rPr>
              <w:t xml:space="preserve"> Long-run results of asymmetric ARDL models</w:t>
            </w:r>
          </w:p>
        </w:tc>
      </w:tr>
      <w:tr w:rsidR="002949B4" w:rsidRPr="00310950" w14:paraId="2F51EF56" w14:textId="77777777" w:rsidTr="00DF1409">
        <w:trPr>
          <w:trHeight w:val="315"/>
        </w:trPr>
        <w:tc>
          <w:tcPr>
            <w:tcW w:w="1224" w:type="pct"/>
            <w:tcBorders>
              <w:top w:val="single" w:sz="12" w:space="0" w:color="auto"/>
              <w:left w:val="nil"/>
              <w:bottom w:val="single" w:sz="4" w:space="0" w:color="auto"/>
              <w:right w:val="nil"/>
            </w:tcBorders>
            <w:shd w:val="clear" w:color="auto" w:fill="auto"/>
            <w:noWrap/>
            <w:vAlign w:val="center"/>
            <w:hideMark/>
          </w:tcPr>
          <w:p w14:paraId="1796D3E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Variables</w:t>
            </w:r>
          </w:p>
        </w:tc>
        <w:tc>
          <w:tcPr>
            <w:tcW w:w="1064" w:type="pct"/>
            <w:tcBorders>
              <w:top w:val="single" w:sz="12" w:space="0" w:color="auto"/>
              <w:left w:val="nil"/>
              <w:bottom w:val="single" w:sz="4" w:space="0" w:color="auto"/>
              <w:right w:val="nil"/>
            </w:tcBorders>
            <w:shd w:val="clear" w:color="auto" w:fill="auto"/>
            <w:noWrap/>
            <w:vAlign w:val="center"/>
            <w:hideMark/>
          </w:tcPr>
          <w:p w14:paraId="104C6D5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Model 1</w:t>
            </w:r>
          </w:p>
        </w:tc>
        <w:tc>
          <w:tcPr>
            <w:tcW w:w="221" w:type="pct"/>
            <w:tcBorders>
              <w:top w:val="single" w:sz="12" w:space="0" w:color="auto"/>
              <w:left w:val="nil"/>
              <w:bottom w:val="single" w:sz="4" w:space="0" w:color="auto"/>
              <w:right w:val="nil"/>
            </w:tcBorders>
            <w:shd w:val="clear" w:color="auto" w:fill="auto"/>
            <w:noWrap/>
            <w:vAlign w:val="center"/>
            <w:hideMark/>
          </w:tcPr>
          <w:p w14:paraId="5F0C227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08" w:type="pct"/>
            <w:tcBorders>
              <w:top w:val="single" w:sz="12" w:space="0" w:color="auto"/>
              <w:left w:val="nil"/>
              <w:bottom w:val="single" w:sz="4" w:space="0" w:color="auto"/>
              <w:right w:val="nil"/>
            </w:tcBorders>
            <w:shd w:val="clear" w:color="auto" w:fill="auto"/>
            <w:noWrap/>
            <w:vAlign w:val="center"/>
            <w:hideMark/>
          </w:tcPr>
          <w:p w14:paraId="6F93D47F"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Model 2</w:t>
            </w:r>
          </w:p>
        </w:tc>
        <w:tc>
          <w:tcPr>
            <w:tcW w:w="221" w:type="pct"/>
            <w:tcBorders>
              <w:top w:val="single" w:sz="12" w:space="0" w:color="auto"/>
              <w:left w:val="nil"/>
              <w:bottom w:val="single" w:sz="4" w:space="0" w:color="auto"/>
              <w:right w:val="nil"/>
            </w:tcBorders>
            <w:shd w:val="clear" w:color="auto" w:fill="auto"/>
            <w:noWrap/>
            <w:vAlign w:val="center"/>
            <w:hideMark/>
          </w:tcPr>
          <w:p w14:paraId="154C0A18"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62" w:type="pct"/>
            <w:tcBorders>
              <w:top w:val="single" w:sz="12" w:space="0" w:color="auto"/>
              <w:left w:val="nil"/>
              <w:bottom w:val="single" w:sz="4" w:space="0" w:color="auto"/>
              <w:right w:val="nil"/>
            </w:tcBorders>
            <w:shd w:val="clear" w:color="auto" w:fill="auto"/>
            <w:noWrap/>
            <w:vAlign w:val="center"/>
            <w:hideMark/>
          </w:tcPr>
          <w:p w14:paraId="212BFB3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Model 3</w:t>
            </w:r>
          </w:p>
        </w:tc>
      </w:tr>
      <w:tr w:rsidR="002949B4" w:rsidRPr="00310950" w14:paraId="31FA7536" w14:textId="77777777" w:rsidTr="00DF1409">
        <w:trPr>
          <w:trHeight w:val="330"/>
        </w:trPr>
        <w:tc>
          <w:tcPr>
            <w:tcW w:w="1224" w:type="pct"/>
            <w:tcBorders>
              <w:top w:val="single" w:sz="4" w:space="0" w:color="auto"/>
              <w:left w:val="nil"/>
              <w:bottom w:val="nil"/>
              <w:right w:val="nil"/>
            </w:tcBorders>
            <w:shd w:val="clear" w:color="auto" w:fill="auto"/>
            <w:noWrap/>
            <w:vAlign w:val="center"/>
            <w:hideMark/>
          </w:tcPr>
          <w:p w14:paraId="7557751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OFDI</w:t>
            </w:r>
            <w:r w:rsidRPr="00310950">
              <w:rPr>
                <w:rFonts w:ascii="Times New Roman" w:eastAsia="Times New Roman" w:hAnsi="Times New Roman" w:cs="Times New Roman"/>
                <w:color w:val="000000"/>
                <w:sz w:val="20"/>
                <w:szCs w:val="20"/>
                <w:vertAlign w:val="superscript"/>
                <w:lang w:val="en-GB"/>
              </w:rPr>
              <w:t>+</w:t>
            </w:r>
          </w:p>
        </w:tc>
        <w:tc>
          <w:tcPr>
            <w:tcW w:w="1064" w:type="pct"/>
            <w:tcBorders>
              <w:top w:val="single" w:sz="4" w:space="0" w:color="auto"/>
              <w:left w:val="nil"/>
              <w:bottom w:val="nil"/>
              <w:right w:val="nil"/>
            </w:tcBorders>
            <w:shd w:val="clear" w:color="auto" w:fill="auto"/>
            <w:noWrap/>
            <w:vAlign w:val="center"/>
            <w:hideMark/>
          </w:tcPr>
          <w:p w14:paraId="373475D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0.139</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single" w:sz="4" w:space="0" w:color="auto"/>
              <w:left w:val="nil"/>
              <w:bottom w:val="nil"/>
              <w:right w:val="nil"/>
            </w:tcBorders>
            <w:shd w:val="clear" w:color="auto" w:fill="auto"/>
            <w:noWrap/>
            <w:vAlign w:val="center"/>
            <w:hideMark/>
          </w:tcPr>
          <w:p w14:paraId="729A45D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08" w:type="pct"/>
            <w:tcBorders>
              <w:top w:val="single" w:sz="4" w:space="0" w:color="auto"/>
              <w:left w:val="nil"/>
              <w:bottom w:val="nil"/>
              <w:right w:val="nil"/>
            </w:tcBorders>
            <w:shd w:val="clear" w:color="auto" w:fill="auto"/>
            <w:noWrap/>
            <w:vAlign w:val="center"/>
            <w:hideMark/>
          </w:tcPr>
          <w:p w14:paraId="23776AC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0.171</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single" w:sz="4" w:space="0" w:color="auto"/>
              <w:left w:val="nil"/>
              <w:bottom w:val="nil"/>
              <w:right w:val="nil"/>
            </w:tcBorders>
            <w:shd w:val="clear" w:color="auto" w:fill="auto"/>
            <w:noWrap/>
            <w:vAlign w:val="center"/>
            <w:hideMark/>
          </w:tcPr>
          <w:p w14:paraId="374759F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61" w:type="pct"/>
            <w:tcBorders>
              <w:top w:val="single" w:sz="4" w:space="0" w:color="auto"/>
              <w:left w:val="nil"/>
              <w:bottom w:val="nil"/>
              <w:right w:val="nil"/>
            </w:tcBorders>
            <w:shd w:val="clear" w:color="auto" w:fill="auto"/>
            <w:noWrap/>
            <w:vAlign w:val="center"/>
            <w:hideMark/>
          </w:tcPr>
          <w:p w14:paraId="47520E4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0.201</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091E307E" w14:textId="77777777" w:rsidTr="00DF1409">
        <w:trPr>
          <w:trHeight w:val="315"/>
        </w:trPr>
        <w:tc>
          <w:tcPr>
            <w:tcW w:w="1224" w:type="pct"/>
            <w:tcBorders>
              <w:top w:val="nil"/>
              <w:left w:val="nil"/>
              <w:bottom w:val="nil"/>
              <w:right w:val="nil"/>
            </w:tcBorders>
            <w:shd w:val="clear" w:color="auto" w:fill="auto"/>
            <w:noWrap/>
            <w:vAlign w:val="center"/>
            <w:hideMark/>
          </w:tcPr>
          <w:p w14:paraId="706F7407"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7EC3217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(0.034)</w:t>
            </w:r>
          </w:p>
        </w:tc>
        <w:tc>
          <w:tcPr>
            <w:tcW w:w="221" w:type="pct"/>
            <w:tcBorders>
              <w:top w:val="nil"/>
              <w:left w:val="nil"/>
              <w:bottom w:val="nil"/>
              <w:right w:val="nil"/>
            </w:tcBorders>
            <w:shd w:val="clear" w:color="auto" w:fill="auto"/>
            <w:noWrap/>
            <w:vAlign w:val="center"/>
            <w:hideMark/>
          </w:tcPr>
          <w:p w14:paraId="1EE77B8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317A541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(0.016)</w:t>
            </w:r>
          </w:p>
        </w:tc>
        <w:tc>
          <w:tcPr>
            <w:tcW w:w="221" w:type="pct"/>
            <w:tcBorders>
              <w:top w:val="nil"/>
              <w:left w:val="nil"/>
              <w:bottom w:val="nil"/>
              <w:right w:val="nil"/>
            </w:tcBorders>
            <w:shd w:val="clear" w:color="auto" w:fill="auto"/>
            <w:noWrap/>
            <w:vAlign w:val="center"/>
            <w:hideMark/>
          </w:tcPr>
          <w:p w14:paraId="3CF8C7B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2F130E7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(0.040)</w:t>
            </w:r>
          </w:p>
        </w:tc>
      </w:tr>
      <w:tr w:rsidR="002949B4" w:rsidRPr="00310950" w14:paraId="14DD4B3E" w14:textId="77777777" w:rsidTr="00DF1409">
        <w:trPr>
          <w:trHeight w:val="330"/>
        </w:trPr>
        <w:tc>
          <w:tcPr>
            <w:tcW w:w="1224" w:type="pct"/>
            <w:tcBorders>
              <w:top w:val="nil"/>
              <w:left w:val="nil"/>
              <w:bottom w:val="nil"/>
              <w:right w:val="nil"/>
            </w:tcBorders>
            <w:shd w:val="clear" w:color="auto" w:fill="auto"/>
            <w:noWrap/>
            <w:vAlign w:val="center"/>
            <w:hideMark/>
          </w:tcPr>
          <w:p w14:paraId="6636F5A9"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OFDI</w:t>
            </w:r>
            <w:r w:rsidRPr="00310950">
              <w:rPr>
                <w:rFonts w:ascii="Times New Roman" w:eastAsia="Times New Roman" w:hAnsi="Times New Roman" w:cs="Times New Roman"/>
                <w:color w:val="000000"/>
                <w:sz w:val="20"/>
                <w:szCs w:val="20"/>
                <w:vertAlign w:val="superscript"/>
                <w:lang w:val="en-GB"/>
              </w:rPr>
              <w:t>-</w:t>
            </w:r>
          </w:p>
        </w:tc>
        <w:tc>
          <w:tcPr>
            <w:tcW w:w="1064" w:type="pct"/>
            <w:tcBorders>
              <w:top w:val="nil"/>
              <w:left w:val="nil"/>
              <w:bottom w:val="nil"/>
              <w:right w:val="nil"/>
            </w:tcBorders>
            <w:shd w:val="clear" w:color="auto" w:fill="auto"/>
            <w:noWrap/>
            <w:vAlign w:val="center"/>
            <w:hideMark/>
          </w:tcPr>
          <w:p w14:paraId="657B54D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-0.089</w:t>
            </w:r>
          </w:p>
        </w:tc>
        <w:tc>
          <w:tcPr>
            <w:tcW w:w="221" w:type="pct"/>
            <w:tcBorders>
              <w:top w:val="nil"/>
              <w:left w:val="nil"/>
              <w:bottom w:val="nil"/>
              <w:right w:val="nil"/>
            </w:tcBorders>
            <w:shd w:val="clear" w:color="auto" w:fill="auto"/>
            <w:noWrap/>
            <w:vAlign w:val="center"/>
            <w:hideMark/>
          </w:tcPr>
          <w:p w14:paraId="4771E2D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77192BA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-0.075</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1BAD5B3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649074C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0.136</w:t>
            </w:r>
          </w:p>
        </w:tc>
      </w:tr>
      <w:tr w:rsidR="002949B4" w:rsidRPr="00310950" w14:paraId="782EDF0E" w14:textId="77777777" w:rsidTr="00DF1409">
        <w:trPr>
          <w:trHeight w:val="315"/>
        </w:trPr>
        <w:tc>
          <w:tcPr>
            <w:tcW w:w="1224" w:type="pct"/>
            <w:tcBorders>
              <w:top w:val="nil"/>
              <w:left w:val="nil"/>
              <w:bottom w:val="nil"/>
              <w:right w:val="nil"/>
            </w:tcBorders>
            <w:shd w:val="clear" w:color="auto" w:fill="auto"/>
            <w:noWrap/>
            <w:vAlign w:val="center"/>
            <w:hideMark/>
          </w:tcPr>
          <w:p w14:paraId="089C458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6E24ABE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(-0.008)</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0FE4996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4FDE23C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(0.0130)</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180FE3A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349CA33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(0.167)</w:t>
            </w:r>
          </w:p>
        </w:tc>
      </w:tr>
      <w:tr w:rsidR="002949B4" w:rsidRPr="00310950" w14:paraId="7EC5FF18" w14:textId="77777777" w:rsidTr="00DF1409">
        <w:trPr>
          <w:trHeight w:val="330"/>
        </w:trPr>
        <w:tc>
          <w:tcPr>
            <w:tcW w:w="1224" w:type="pct"/>
            <w:tcBorders>
              <w:top w:val="nil"/>
              <w:left w:val="nil"/>
              <w:bottom w:val="nil"/>
              <w:right w:val="nil"/>
            </w:tcBorders>
            <w:shd w:val="clear" w:color="auto" w:fill="auto"/>
            <w:noWrap/>
            <w:vAlign w:val="center"/>
            <w:hideMark/>
          </w:tcPr>
          <w:p w14:paraId="39300702"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IFDI</w:t>
            </w:r>
          </w:p>
        </w:tc>
        <w:tc>
          <w:tcPr>
            <w:tcW w:w="1064" w:type="pct"/>
            <w:tcBorders>
              <w:top w:val="nil"/>
              <w:left w:val="nil"/>
              <w:bottom w:val="nil"/>
              <w:right w:val="nil"/>
            </w:tcBorders>
            <w:shd w:val="clear" w:color="auto" w:fill="auto"/>
            <w:noWrap/>
            <w:vAlign w:val="center"/>
            <w:hideMark/>
          </w:tcPr>
          <w:p w14:paraId="0289B95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0.013</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7898CBE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18D3095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0.010</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731AA78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609993B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-0.004</w:t>
            </w:r>
          </w:p>
        </w:tc>
      </w:tr>
      <w:tr w:rsidR="002949B4" w:rsidRPr="00310950" w14:paraId="15644A4C" w14:textId="77777777" w:rsidTr="00DF1409">
        <w:trPr>
          <w:trHeight w:val="315"/>
        </w:trPr>
        <w:tc>
          <w:tcPr>
            <w:tcW w:w="1224" w:type="pct"/>
            <w:tcBorders>
              <w:top w:val="nil"/>
              <w:left w:val="nil"/>
              <w:bottom w:val="nil"/>
              <w:right w:val="nil"/>
            </w:tcBorders>
            <w:shd w:val="clear" w:color="auto" w:fill="auto"/>
            <w:noWrap/>
            <w:vAlign w:val="center"/>
            <w:hideMark/>
          </w:tcPr>
          <w:p w14:paraId="0CD82D77"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5C54D78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(0.005)</w:t>
            </w:r>
          </w:p>
        </w:tc>
        <w:tc>
          <w:tcPr>
            <w:tcW w:w="221" w:type="pct"/>
            <w:tcBorders>
              <w:top w:val="nil"/>
              <w:left w:val="nil"/>
              <w:bottom w:val="nil"/>
              <w:right w:val="nil"/>
            </w:tcBorders>
            <w:shd w:val="clear" w:color="auto" w:fill="auto"/>
            <w:noWrap/>
            <w:vAlign w:val="center"/>
            <w:hideMark/>
          </w:tcPr>
          <w:p w14:paraId="3DDCC00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58BF23D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(0.002)</w:t>
            </w:r>
          </w:p>
        </w:tc>
        <w:tc>
          <w:tcPr>
            <w:tcW w:w="221" w:type="pct"/>
            <w:tcBorders>
              <w:top w:val="nil"/>
              <w:left w:val="nil"/>
              <w:bottom w:val="nil"/>
              <w:right w:val="nil"/>
            </w:tcBorders>
            <w:shd w:val="clear" w:color="auto" w:fill="auto"/>
            <w:noWrap/>
            <w:vAlign w:val="center"/>
            <w:hideMark/>
          </w:tcPr>
          <w:p w14:paraId="37CF708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2C1DFC4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w:t>
            </w:r>
            <w:r w:rsidR="00035E06" w:rsidRPr="00310950">
              <w:rPr>
                <w:rFonts w:ascii="Times New Roman" w:eastAsia="Times New Roman" w:hAnsi="Times New Roman" w:cs="Times New Roman"/>
                <w:color w:val="000000"/>
                <w:sz w:val="20"/>
                <w:szCs w:val="20"/>
                <w:lang w:val="en-GB"/>
              </w:rPr>
              <w:t>0</w:t>
            </w:r>
            <w:r w:rsidRPr="00310950">
              <w:rPr>
                <w:rFonts w:ascii="Times New Roman" w:eastAsia="Times New Roman" w:hAnsi="Times New Roman" w:cs="Times New Roman"/>
                <w:color w:val="000000"/>
                <w:sz w:val="20"/>
                <w:szCs w:val="20"/>
                <w:lang w:val="en-GB"/>
              </w:rPr>
              <w:t>30)</w:t>
            </w:r>
          </w:p>
        </w:tc>
      </w:tr>
      <w:tr w:rsidR="002949B4" w:rsidRPr="00310950" w14:paraId="46F5E655" w14:textId="77777777" w:rsidTr="00DF1409">
        <w:trPr>
          <w:trHeight w:val="330"/>
        </w:trPr>
        <w:tc>
          <w:tcPr>
            <w:tcW w:w="1224" w:type="pct"/>
            <w:tcBorders>
              <w:top w:val="nil"/>
              <w:left w:val="nil"/>
              <w:bottom w:val="nil"/>
              <w:right w:val="nil"/>
            </w:tcBorders>
            <w:shd w:val="clear" w:color="auto" w:fill="auto"/>
            <w:noWrap/>
            <w:vAlign w:val="center"/>
            <w:hideMark/>
          </w:tcPr>
          <w:p w14:paraId="43830DE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LE</w:t>
            </w:r>
          </w:p>
        </w:tc>
        <w:tc>
          <w:tcPr>
            <w:tcW w:w="1064" w:type="pct"/>
            <w:tcBorders>
              <w:top w:val="nil"/>
              <w:left w:val="nil"/>
              <w:bottom w:val="nil"/>
              <w:right w:val="nil"/>
            </w:tcBorders>
            <w:shd w:val="clear" w:color="auto" w:fill="auto"/>
            <w:noWrap/>
            <w:vAlign w:val="center"/>
            <w:hideMark/>
          </w:tcPr>
          <w:p w14:paraId="15B9AEB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4.993</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0F705AC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6456616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4.165</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60E3643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0E895E5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5.839</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25777311" w14:textId="77777777" w:rsidTr="00DF1409">
        <w:trPr>
          <w:trHeight w:val="315"/>
        </w:trPr>
        <w:tc>
          <w:tcPr>
            <w:tcW w:w="1224" w:type="pct"/>
            <w:tcBorders>
              <w:top w:val="nil"/>
              <w:left w:val="nil"/>
              <w:bottom w:val="nil"/>
              <w:right w:val="nil"/>
            </w:tcBorders>
            <w:shd w:val="clear" w:color="auto" w:fill="auto"/>
            <w:noWrap/>
            <w:vAlign w:val="center"/>
            <w:hideMark/>
          </w:tcPr>
          <w:p w14:paraId="62922ED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1D1B870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(1.604)</w:t>
            </w:r>
          </w:p>
        </w:tc>
        <w:tc>
          <w:tcPr>
            <w:tcW w:w="221" w:type="pct"/>
            <w:tcBorders>
              <w:top w:val="nil"/>
              <w:left w:val="nil"/>
              <w:bottom w:val="nil"/>
              <w:right w:val="nil"/>
            </w:tcBorders>
            <w:shd w:val="clear" w:color="auto" w:fill="auto"/>
            <w:noWrap/>
            <w:vAlign w:val="center"/>
            <w:hideMark/>
          </w:tcPr>
          <w:p w14:paraId="4419109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109DFE9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(0.396)</w:t>
            </w:r>
          </w:p>
        </w:tc>
        <w:tc>
          <w:tcPr>
            <w:tcW w:w="221" w:type="pct"/>
            <w:tcBorders>
              <w:top w:val="nil"/>
              <w:left w:val="nil"/>
              <w:bottom w:val="nil"/>
              <w:right w:val="nil"/>
            </w:tcBorders>
            <w:shd w:val="clear" w:color="auto" w:fill="auto"/>
            <w:noWrap/>
            <w:vAlign w:val="center"/>
            <w:hideMark/>
          </w:tcPr>
          <w:p w14:paraId="183BE3B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4C9C5BB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(2.077)</w:t>
            </w:r>
          </w:p>
        </w:tc>
      </w:tr>
      <w:tr w:rsidR="002949B4" w:rsidRPr="00310950" w14:paraId="7F9F5457" w14:textId="77777777" w:rsidTr="00DF1409">
        <w:trPr>
          <w:trHeight w:val="330"/>
        </w:trPr>
        <w:tc>
          <w:tcPr>
            <w:tcW w:w="1224" w:type="pct"/>
            <w:tcBorders>
              <w:top w:val="nil"/>
              <w:left w:val="nil"/>
              <w:bottom w:val="nil"/>
              <w:right w:val="nil"/>
            </w:tcBorders>
            <w:shd w:val="clear" w:color="auto" w:fill="auto"/>
            <w:noWrap/>
            <w:vAlign w:val="center"/>
            <w:hideMark/>
          </w:tcPr>
          <w:p w14:paraId="7286291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CS</w:t>
            </w:r>
          </w:p>
        </w:tc>
        <w:tc>
          <w:tcPr>
            <w:tcW w:w="1064" w:type="pct"/>
            <w:tcBorders>
              <w:top w:val="nil"/>
              <w:left w:val="nil"/>
              <w:bottom w:val="nil"/>
              <w:right w:val="nil"/>
            </w:tcBorders>
            <w:shd w:val="clear" w:color="auto" w:fill="auto"/>
            <w:noWrap/>
            <w:vAlign w:val="center"/>
            <w:hideMark/>
          </w:tcPr>
          <w:p w14:paraId="1FE44AD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0.024</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141856D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04C8B1E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0.023</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225CBF8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5B2D9AF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0.025</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2052BC03" w14:textId="77777777" w:rsidTr="00DF1409">
        <w:trPr>
          <w:trHeight w:val="315"/>
        </w:trPr>
        <w:tc>
          <w:tcPr>
            <w:tcW w:w="1224" w:type="pct"/>
            <w:tcBorders>
              <w:top w:val="nil"/>
              <w:left w:val="nil"/>
              <w:bottom w:val="nil"/>
              <w:right w:val="nil"/>
            </w:tcBorders>
            <w:shd w:val="clear" w:color="auto" w:fill="auto"/>
            <w:noWrap/>
            <w:vAlign w:val="center"/>
            <w:hideMark/>
          </w:tcPr>
          <w:p w14:paraId="1E73808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501746E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(0.003)</w:t>
            </w:r>
          </w:p>
        </w:tc>
        <w:tc>
          <w:tcPr>
            <w:tcW w:w="221" w:type="pct"/>
            <w:tcBorders>
              <w:top w:val="nil"/>
              <w:left w:val="nil"/>
              <w:bottom w:val="nil"/>
              <w:right w:val="nil"/>
            </w:tcBorders>
            <w:shd w:val="clear" w:color="auto" w:fill="auto"/>
            <w:noWrap/>
            <w:vAlign w:val="center"/>
            <w:hideMark/>
          </w:tcPr>
          <w:p w14:paraId="2808407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5F9F188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(0.004)</w:t>
            </w:r>
          </w:p>
        </w:tc>
        <w:tc>
          <w:tcPr>
            <w:tcW w:w="221" w:type="pct"/>
            <w:tcBorders>
              <w:top w:val="nil"/>
              <w:left w:val="nil"/>
              <w:bottom w:val="nil"/>
              <w:right w:val="nil"/>
            </w:tcBorders>
            <w:shd w:val="clear" w:color="auto" w:fill="auto"/>
            <w:noWrap/>
            <w:vAlign w:val="center"/>
            <w:hideMark/>
          </w:tcPr>
          <w:p w14:paraId="757D15C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5AB9ADF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(0.003)</w:t>
            </w:r>
          </w:p>
        </w:tc>
      </w:tr>
      <w:tr w:rsidR="002949B4" w:rsidRPr="00310950" w14:paraId="04626687" w14:textId="77777777" w:rsidTr="00DF1409">
        <w:trPr>
          <w:trHeight w:val="330"/>
        </w:trPr>
        <w:tc>
          <w:tcPr>
            <w:tcW w:w="1224" w:type="pct"/>
            <w:tcBorders>
              <w:top w:val="nil"/>
              <w:left w:val="nil"/>
              <w:bottom w:val="nil"/>
              <w:right w:val="nil"/>
            </w:tcBorders>
            <w:shd w:val="clear" w:color="auto" w:fill="auto"/>
            <w:noWrap/>
            <w:vAlign w:val="center"/>
            <w:hideMark/>
          </w:tcPr>
          <w:p w14:paraId="2103812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INFR</w:t>
            </w:r>
          </w:p>
        </w:tc>
        <w:tc>
          <w:tcPr>
            <w:tcW w:w="1064" w:type="pct"/>
            <w:tcBorders>
              <w:top w:val="nil"/>
              <w:left w:val="nil"/>
              <w:bottom w:val="nil"/>
              <w:right w:val="nil"/>
            </w:tcBorders>
            <w:shd w:val="clear" w:color="auto" w:fill="auto"/>
            <w:noWrap/>
            <w:vAlign w:val="center"/>
            <w:hideMark/>
          </w:tcPr>
          <w:p w14:paraId="1E7F7D2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221" w:type="pct"/>
            <w:tcBorders>
              <w:top w:val="nil"/>
              <w:left w:val="nil"/>
              <w:bottom w:val="nil"/>
              <w:right w:val="nil"/>
            </w:tcBorders>
            <w:shd w:val="clear" w:color="auto" w:fill="auto"/>
            <w:noWrap/>
            <w:vAlign w:val="center"/>
            <w:hideMark/>
          </w:tcPr>
          <w:p w14:paraId="1BF0366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6963D7F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0.098</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36613B0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4B22780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0.108</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2B65DDCE" w14:textId="77777777" w:rsidTr="00DF1409">
        <w:trPr>
          <w:trHeight w:val="315"/>
        </w:trPr>
        <w:tc>
          <w:tcPr>
            <w:tcW w:w="1224" w:type="pct"/>
            <w:tcBorders>
              <w:top w:val="nil"/>
              <w:left w:val="nil"/>
              <w:bottom w:val="nil"/>
              <w:right w:val="nil"/>
            </w:tcBorders>
            <w:shd w:val="clear" w:color="auto" w:fill="auto"/>
            <w:noWrap/>
            <w:vAlign w:val="center"/>
            <w:hideMark/>
          </w:tcPr>
          <w:p w14:paraId="4E040A4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0C0C343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221" w:type="pct"/>
            <w:tcBorders>
              <w:top w:val="nil"/>
              <w:left w:val="nil"/>
              <w:bottom w:val="nil"/>
              <w:right w:val="nil"/>
            </w:tcBorders>
            <w:shd w:val="clear" w:color="auto" w:fill="auto"/>
            <w:noWrap/>
            <w:vAlign w:val="center"/>
            <w:hideMark/>
          </w:tcPr>
          <w:p w14:paraId="4B3B1E2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3601B78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(0.003)</w:t>
            </w:r>
          </w:p>
        </w:tc>
        <w:tc>
          <w:tcPr>
            <w:tcW w:w="221" w:type="pct"/>
            <w:tcBorders>
              <w:top w:val="nil"/>
              <w:left w:val="nil"/>
              <w:bottom w:val="nil"/>
              <w:right w:val="nil"/>
            </w:tcBorders>
            <w:shd w:val="clear" w:color="auto" w:fill="auto"/>
            <w:noWrap/>
            <w:vAlign w:val="center"/>
            <w:hideMark/>
          </w:tcPr>
          <w:p w14:paraId="7AE9C62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75647EE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(0.079)</w:t>
            </w:r>
          </w:p>
        </w:tc>
      </w:tr>
      <w:tr w:rsidR="002949B4" w:rsidRPr="00310950" w14:paraId="6D6E5EF5" w14:textId="77777777" w:rsidTr="00DF1409">
        <w:trPr>
          <w:trHeight w:val="330"/>
        </w:trPr>
        <w:tc>
          <w:tcPr>
            <w:tcW w:w="1224" w:type="pct"/>
            <w:tcBorders>
              <w:top w:val="nil"/>
              <w:left w:val="nil"/>
              <w:bottom w:val="nil"/>
              <w:right w:val="nil"/>
            </w:tcBorders>
            <w:shd w:val="clear" w:color="auto" w:fill="auto"/>
            <w:noWrap/>
            <w:vAlign w:val="center"/>
            <w:hideMark/>
          </w:tcPr>
          <w:p w14:paraId="7DFAF8F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IQ</w:t>
            </w:r>
          </w:p>
        </w:tc>
        <w:tc>
          <w:tcPr>
            <w:tcW w:w="1064" w:type="pct"/>
            <w:tcBorders>
              <w:top w:val="nil"/>
              <w:left w:val="nil"/>
              <w:bottom w:val="nil"/>
              <w:right w:val="nil"/>
            </w:tcBorders>
            <w:shd w:val="clear" w:color="auto" w:fill="auto"/>
            <w:noWrap/>
            <w:vAlign w:val="center"/>
            <w:hideMark/>
          </w:tcPr>
          <w:p w14:paraId="202EAA8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221" w:type="pct"/>
            <w:tcBorders>
              <w:top w:val="nil"/>
              <w:left w:val="nil"/>
              <w:bottom w:val="nil"/>
              <w:right w:val="nil"/>
            </w:tcBorders>
            <w:shd w:val="clear" w:color="auto" w:fill="auto"/>
            <w:noWrap/>
            <w:vAlign w:val="center"/>
            <w:hideMark/>
          </w:tcPr>
          <w:p w14:paraId="39509B8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646BD43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221" w:type="pct"/>
            <w:tcBorders>
              <w:top w:val="nil"/>
              <w:left w:val="nil"/>
              <w:bottom w:val="nil"/>
              <w:right w:val="nil"/>
            </w:tcBorders>
            <w:shd w:val="clear" w:color="auto" w:fill="auto"/>
            <w:noWrap/>
            <w:vAlign w:val="center"/>
            <w:hideMark/>
          </w:tcPr>
          <w:p w14:paraId="17B884E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1CCFDD6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0.072</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73257AA0" w14:textId="77777777" w:rsidTr="00DF1409">
        <w:trPr>
          <w:trHeight w:val="300"/>
        </w:trPr>
        <w:tc>
          <w:tcPr>
            <w:tcW w:w="1224" w:type="pct"/>
            <w:tcBorders>
              <w:top w:val="nil"/>
              <w:left w:val="nil"/>
              <w:bottom w:val="nil"/>
              <w:right w:val="nil"/>
            </w:tcBorders>
            <w:shd w:val="clear" w:color="auto" w:fill="auto"/>
            <w:noWrap/>
            <w:vAlign w:val="center"/>
            <w:hideMark/>
          </w:tcPr>
          <w:p w14:paraId="3E3DDE5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66872A2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221" w:type="pct"/>
            <w:tcBorders>
              <w:top w:val="nil"/>
              <w:left w:val="nil"/>
              <w:bottom w:val="nil"/>
              <w:right w:val="nil"/>
            </w:tcBorders>
            <w:shd w:val="clear" w:color="auto" w:fill="auto"/>
            <w:noWrap/>
            <w:vAlign w:val="center"/>
            <w:hideMark/>
          </w:tcPr>
          <w:p w14:paraId="6A68509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3EE87C7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221" w:type="pct"/>
            <w:tcBorders>
              <w:top w:val="nil"/>
              <w:left w:val="nil"/>
              <w:bottom w:val="nil"/>
              <w:right w:val="nil"/>
            </w:tcBorders>
            <w:shd w:val="clear" w:color="auto" w:fill="auto"/>
            <w:noWrap/>
            <w:vAlign w:val="center"/>
            <w:hideMark/>
          </w:tcPr>
          <w:p w14:paraId="77FB78E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055A456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(0.055)</w:t>
            </w:r>
          </w:p>
        </w:tc>
      </w:tr>
      <w:tr w:rsidR="002949B4" w:rsidRPr="00310950" w14:paraId="47BC1EC8" w14:textId="77777777" w:rsidTr="00DF1409">
        <w:trPr>
          <w:trHeight w:val="315"/>
        </w:trPr>
        <w:tc>
          <w:tcPr>
            <w:tcW w:w="1224" w:type="pct"/>
            <w:tcBorders>
              <w:top w:val="nil"/>
              <w:left w:val="nil"/>
              <w:bottom w:val="nil"/>
              <w:right w:val="nil"/>
            </w:tcBorders>
            <w:shd w:val="clear" w:color="auto" w:fill="auto"/>
            <w:noWrap/>
            <w:vAlign w:val="center"/>
            <w:hideMark/>
          </w:tcPr>
          <w:p w14:paraId="7FDE2FC7"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constant</w:t>
            </w:r>
          </w:p>
        </w:tc>
        <w:tc>
          <w:tcPr>
            <w:tcW w:w="1064" w:type="pct"/>
            <w:tcBorders>
              <w:top w:val="nil"/>
              <w:left w:val="nil"/>
              <w:bottom w:val="nil"/>
              <w:right w:val="nil"/>
            </w:tcBorders>
            <w:shd w:val="clear" w:color="auto" w:fill="auto"/>
            <w:noWrap/>
            <w:vAlign w:val="center"/>
            <w:hideMark/>
          </w:tcPr>
          <w:p w14:paraId="09DBD59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-13.236</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519EA64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4E5EAFA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-9.953</w:t>
            </w:r>
            <w:r w:rsidRPr="00310950">
              <w:rPr>
                <w:rFonts w:ascii="Times New Roman" w:eastAsia="Times New Roman" w:hAnsi="Times New Roman" w:cs="Times New Roman"/>
                <w:color w:val="000000"/>
                <w:sz w:val="20"/>
                <w:szCs w:val="20"/>
                <w:vertAlign w:val="superscript"/>
                <w:lang w:val="en-GB"/>
              </w:rPr>
              <w:t>***</w:t>
            </w:r>
          </w:p>
        </w:tc>
        <w:tc>
          <w:tcPr>
            <w:tcW w:w="221" w:type="pct"/>
            <w:tcBorders>
              <w:top w:val="nil"/>
              <w:left w:val="nil"/>
              <w:bottom w:val="nil"/>
              <w:right w:val="nil"/>
            </w:tcBorders>
            <w:shd w:val="clear" w:color="auto" w:fill="auto"/>
            <w:noWrap/>
            <w:vAlign w:val="center"/>
            <w:hideMark/>
          </w:tcPr>
          <w:p w14:paraId="2184EDF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03AABA5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-17.148</w:t>
            </w:r>
            <w:r w:rsidRPr="00310950">
              <w:rPr>
                <w:rFonts w:ascii="Times New Roman" w:eastAsia="Times New Roman" w:hAnsi="Times New Roman" w:cs="Times New Roman"/>
                <w:color w:val="000000"/>
                <w:sz w:val="20"/>
                <w:szCs w:val="20"/>
                <w:vertAlign w:val="superscript"/>
                <w:lang w:val="en-GB"/>
              </w:rPr>
              <w:t>**</w:t>
            </w:r>
          </w:p>
        </w:tc>
      </w:tr>
      <w:tr w:rsidR="002949B4" w:rsidRPr="00310950" w14:paraId="2537FDDD" w14:textId="77777777" w:rsidTr="00DF1409">
        <w:trPr>
          <w:trHeight w:val="300"/>
        </w:trPr>
        <w:tc>
          <w:tcPr>
            <w:tcW w:w="1224" w:type="pct"/>
            <w:tcBorders>
              <w:top w:val="nil"/>
              <w:left w:val="nil"/>
              <w:bottom w:val="nil"/>
              <w:right w:val="nil"/>
            </w:tcBorders>
            <w:shd w:val="clear" w:color="auto" w:fill="auto"/>
            <w:noWrap/>
            <w:vAlign w:val="center"/>
            <w:hideMark/>
          </w:tcPr>
          <w:p w14:paraId="16F5C3D0"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064" w:type="pct"/>
            <w:tcBorders>
              <w:top w:val="nil"/>
              <w:left w:val="nil"/>
              <w:bottom w:val="nil"/>
              <w:right w:val="nil"/>
            </w:tcBorders>
            <w:shd w:val="clear" w:color="auto" w:fill="auto"/>
            <w:noWrap/>
            <w:vAlign w:val="center"/>
            <w:hideMark/>
          </w:tcPr>
          <w:p w14:paraId="6D65BE4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(-6.772)</w:t>
            </w:r>
          </w:p>
        </w:tc>
        <w:tc>
          <w:tcPr>
            <w:tcW w:w="221" w:type="pct"/>
            <w:tcBorders>
              <w:top w:val="nil"/>
              <w:left w:val="nil"/>
              <w:bottom w:val="nil"/>
              <w:right w:val="nil"/>
            </w:tcBorders>
            <w:shd w:val="clear" w:color="auto" w:fill="auto"/>
            <w:noWrap/>
            <w:vAlign w:val="center"/>
            <w:hideMark/>
          </w:tcPr>
          <w:p w14:paraId="7341A11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center"/>
            <w:hideMark/>
          </w:tcPr>
          <w:p w14:paraId="37CD5CB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(-1.668)</w:t>
            </w:r>
          </w:p>
        </w:tc>
        <w:tc>
          <w:tcPr>
            <w:tcW w:w="221" w:type="pct"/>
            <w:tcBorders>
              <w:top w:val="nil"/>
              <w:left w:val="nil"/>
              <w:bottom w:val="nil"/>
              <w:right w:val="nil"/>
            </w:tcBorders>
            <w:shd w:val="clear" w:color="auto" w:fill="auto"/>
            <w:noWrap/>
            <w:vAlign w:val="center"/>
            <w:hideMark/>
          </w:tcPr>
          <w:p w14:paraId="5C6A102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center"/>
            <w:hideMark/>
          </w:tcPr>
          <w:p w14:paraId="6BFB5D5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(-8.741)</w:t>
            </w:r>
          </w:p>
        </w:tc>
      </w:tr>
      <w:tr w:rsidR="002949B4" w:rsidRPr="00310950" w14:paraId="2E3941F4" w14:textId="77777777" w:rsidTr="00DF1409">
        <w:trPr>
          <w:trHeight w:val="300"/>
        </w:trPr>
        <w:tc>
          <w:tcPr>
            <w:tcW w:w="1224" w:type="pct"/>
            <w:tcBorders>
              <w:top w:val="nil"/>
              <w:left w:val="nil"/>
              <w:bottom w:val="nil"/>
              <w:right w:val="nil"/>
            </w:tcBorders>
            <w:shd w:val="clear" w:color="auto" w:fill="auto"/>
            <w:noWrap/>
            <w:vAlign w:val="center"/>
            <w:hideMark/>
          </w:tcPr>
          <w:p w14:paraId="7012D07D"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R</w:t>
            </w:r>
            <w:r w:rsidRPr="00310950">
              <w:rPr>
                <w:rFonts w:ascii="Times New Roman" w:eastAsia="Times New Roman" w:hAnsi="Times New Roman" w:cs="Times New Roman"/>
                <w:color w:val="000000"/>
                <w:sz w:val="20"/>
                <w:szCs w:val="20"/>
                <w:vertAlign w:val="superscript"/>
                <w:lang w:val="en-GB"/>
              </w:rPr>
              <w:t>2</w:t>
            </w:r>
          </w:p>
        </w:tc>
        <w:tc>
          <w:tcPr>
            <w:tcW w:w="1064" w:type="pct"/>
            <w:tcBorders>
              <w:top w:val="nil"/>
              <w:left w:val="nil"/>
              <w:bottom w:val="nil"/>
              <w:right w:val="nil"/>
            </w:tcBorders>
            <w:shd w:val="clear" w:color="auto" w:fill="auto"/>
            <w:noWrap/>
            <w:vAlign w:val="bottom"/>
            <w:hideMark/>
          </w:tcPr>
          <w:p w14:paraId="1CD5370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0.99</w:t>
            </w:r>
          </w:p>
        </w:tc>
        <w:tc>
          <w:tcPr>
            <w:tcW w:w="221" w:type="pct"/>
            <w:tcBorders>
              <w:top w:val="nil"/>
              <w:left w:val="nil"/>
              <w:bottom w:val="nil"/>
              <w:right w:val="nil"/>
            </w:tcBorders>
            <w:shd w:val="clear" w:color="auto" w:fill="auto"/>
            <w:noWrap/>
            <w:vAlign w:val="bottom"/>
            <w:hideMark/>
          </w:tcPr>
          <w:p w14:paraId="3AAC1B4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bottom"/>
            <w:hideMark/>
          </w:tcPr>
          <w:p w14:paraId="779F143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0.76</w:t>
            </w:r>
          </w:p>
        </w:tc>
        <w:tc>
          <w:tcPr>
            <w:tcW w:w="221" w:type="pct"/>
            <w:tcBorders>
              <w:top w:val="nil"/>
              <w:left w:val="nil"/>
              <w:bottom w:val="nil"/>
              <w:right w:val="nil"/>
            </w:tcBorders>
            <w:shd w:val="clear" w:color="auto" w:fill="auto"/>
            <w:noWrap/>
            <w:vAlign w:val="bottom"/>
            <w:hideMark/>
          </w:tcPr>
          <w:p w14:paraId="2CD735E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bottom"/>
            <w:hideMark/>
          </w:tcPr>
          <w:p w14:paraId="573BDA7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0.98</w:t>
            </w:r>
          </w:p>
        </w:tc>
      </w:tr>
      <w:tr w:rsidR="002949B4" w:rsidRPr="00310950" w14:paraId="3B3B9775" w14:textId="77777777" w:rsidTr="00DF1409">
        <w:trPr>
          <w:trHeight w:val="300"/>
        </w:trPr>
        <w:tc>
          <w:tcPr>
            <w:tcW w:w="1224" w:type="pct"/>
            <w:tcBorders>
              <w:top w:val="nil"/>
              <w:left w:val="nil"/>
              <w:bottom w:val="nil"/>
              <w:right w:val="nil"/>
            </w:tcBorders>
            <w:shd w:val="clear" w:color="auto" w:fill="auto"/>
            <w:noWrap/>
            <w:vAlign w:val="center"/>
            <w:hideMark/>
          </w:tcPr>
          <w:p w14:paraId="65A3F9F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roofErr w:type="spellStart"/>
            <w:r w:rsidRPr="00310950">
              <w:rPr>
                <w:rFonts w:ascii="Times New Roman" w:eastAsia="Times New Roman" w:hAnsi="Times New Roman" w:cs="Times New Roman"/>
                <w:color w:val="000000"/>
                <w:sz w:val="20"/>
                <w:szCs w:val="20"/>
                <w:lang w:val="en-GB"/>
              </w:rPr>
              <w:t>Adj</w:t>
            </w:r>
            <w:proofErr w:type="spellEnd"/>
            <w:r w:rsidRPr="00310950">
              <w:rPr>
                <w:rFonts w:ascii="Times New Roman" w:eastAsia="Times New Roman" w:hAnsi="Times New Roman" w:cs="Times New Roman"/>
                <w:color w:val="000000"/>
                <w:sz w:val="20"/>
                <w:szCs w:val="20"/>
                <w:lang w:val="en-GB"/>
              </w:rPr>
              <w:t xml:space="preserve"> R</w:t>
            </w:r>
            <w:r w:rsidRPr="00310950">
              <w:rPr>
                <w:rFonts w:ascii="Times New Roman" w:eastAsia="Times New Roman" w:hAnsi="Times New Roman" w:cs="Times New Roman"/>
                <w:color w:val="000000"/>
                <w:sz w:val="20"/>
                <w:szCs w:val="20"/>
                <w:vertAlign w:val="superscript"/>
                <w:lang w:val="en-GB"/>
              </w:rPr>
              <w:t>2</w:t>
            </w:r>
          </w:p>
        </w:tc>
        <w:tc>
          <w:tcPr>
            <w:tcW w:w="1064" w:type="pct"/>
            <w:tcBorders>
              <w:top w:val="nil"/>
              <w:left w:val="nil"/>
              <w:bottom w:val="nil"/>
              <w:right w:val="nil"/>
            </w:tcBorders>
            <w:shd w:val="clear" w:color="auto" w:fill="auto"/>
            <w:noWrap/>
            <w:vAlign w:val="bottom"/>
            <w:hideMark/>
          </w:tcPr>
          <w:p w14:paraId="5EBA62A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0.53</w:t>
            </w:r>
          </w:p>
        </w:tc>
        <w:tc>
          <w:tcPr>
            <w:tcW w:w="221" w:type="pct"/>
            <w:tcBorders>
              <w:top w:val="nil"/>
              <w:left w:val="nil"/>
              <w:bottom w:val="nil"/>
              <w:right w:val="nil"/>
            </w:tcBorders>
            <w:shd w:val="clear" w:color="auto" w:fill="auto"/>
            <w:noWrap/>
            <w:vAlign w:val="bottom"/>
            <w:hideMark/>
          </w:tcPr>
          <w:p w14:paraId="2F66C72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8" w:type="pct"/>
            <w:tcBorders>
              <w:top w:val="nil"/>
              <w:left w:val="nil"/>
              <w:bottom w:val="nil"/>
              <w:right w:val="nil"/>
            </w:tcBorders>
            <w:shd w:val="clear" w:color="auto" w:fill="auto"/>
            <w:noWrap/>
            <w:vAlign w:val="bottom"/>
            <w:hideMark/>
          </w:tcPr>
          <w:p w14:paraId="14F2148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0.64</w:t>
            </w:r>
          </w:p>
        </w:tc>
        <w:tc>
          <w:tcPr>
            <w:tcW w:w="221" w:type="pct"/>
            <w:tcBorders>
              <w:top w:val="nil"/>
              <w:left w:val="nil"/>
              <w:bottom w:val="nil"/>
              <w:right w:val="nil"/>
            </w:tcBorders>
            <w:shd w:val="clear" w:color="auto" w:fill="auto"/>
            <w:noWrap/>
            <w:vAlign w:val="bottom"/>
            <w:hideMark/>
          </w:tcPr>
          <w:p w14:paraId="260978B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61" w:type="pct"/>
            <w:tcBorders>
              <w:top w:val="nil"/>
              <w:left w:val="nil"/>
              <w:bottom w:val="nil"/>
              <w:right w:val="nil"/>
            </w:tcBorders>
            <w:shd w:val="clear" w:color="auto" w:fill="auto"/>
            <w:noWrap/>
            <w:vAlign w:val="bottom"/>
            <w:hideMark/>
          </w:tcPr>
          <w:p w14:paraId="54682AB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0.43</w:t>
            </w:r>
          </w:p>
        </w:tc>
      </w:tr>
      <w:tr w:rsidR="002949B4" w:rsidRPr="00310950" w14:paraId="20E2F3F8" w14:textId="77777777" w:rsidTr="00DF1409">
        <w:trPr>
          <w:trHeight w:val="300"/>
        </w:trPr>
        <w:tc>
          <w:tcPr>
            <w:tcW w:w="1224" w:type="pct"/>
            <w:tcBorders>
              <w:top w:val="nil"/>
              <w:left w:val="nil"/>
              <w:bottom w:val="single" w:sz="12" w:space="0" w:color="auto"/>
              <w:right w:val="nil"/>
            </w:tcBorders>
            <w:shd w:val="clear" w:color="auto" w:fill="auto"/>
            <w:noWrap/>
            <w:vAlign w:val="center"/>
            <w:hideMark/>
          </w:tcPr>
          <w:p w14:paraId="782E295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F-statistic</w:t>
            </w:r>
          </w:p>
        </w:tc>
        <w:tc>
          <w:tcPr>
            <w:tcW w:w="1064" w:type="pct"/>
            <w:tcBorders>
              <w:top w:val="nil"/>
              <w:left w:val="nil"/>
              <w:bottom w:val="single" w:sz="12" w:space="0" w:color="auto"/>
              <w:right w:val="nil"/>
            </w:tcBorders>
            <w:shd w:val="clear" w:color="auto" w:fill="auto"/>
            <w:noWrap/>
            <w:vAlign w:val="bottom"/>
            <w:hideMark/>
          </w:tcPr>
          <w:p w14:paraId="1DF4AD2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944.46</w:t>
            </w:r>
          </w:p>
        </w:tc>
        <w:tc>
          <w:tcPr>
            <w:tcW w:w="221" w:type="pct"/>
            <w:tcBorders>
              <w:top w:val="nil"/>
              <w:left w:val="nil"/>
              <w:bottom w:val="single" w:sz="12" w:space="0" w:color="auto"/>
              <w:right w:val="nil"/>
            </w:tcBorders>
            <w:shd w:val="clear" w:color="auto" w:fill="auto"/>
            <w:noWrap/>
            <w:vAlign w:val="bottom"/>
            <w:hideMark/>
          </w:tcPr>
          <w:p w14:paraId="4EA43E3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08" w:type="pct"/>
            <w:tcBorders>
              <w:top w:val="nil"/>
              <w:left w:val="nil"/>
              <w:bottom w:val="single" w:sz="12" w:space="0" w:color="auto"/>
              <w:right w:val="nil"/>
            </w:tcBorders>
            <w:shd w:val="clear" w:color="auto" w:fill="auto"/>
            <w:noWrap/>
            <w:vAlign w:val="bottom"/>
            <w:hideMark/>
          </w:tcPr>
          <w:p w14:paraId="0DF4680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986.27</w:t>
            </w:r>
          </w:p>
        </w:tc>
        <w:tc>
          <w:tcPr>
            <w:tcW w:w="221" w:type="pct"/>
            <w:tcBorders>
              <w:top w:val="nil"/>
              <w:left w:val="nil"/>
              <w:bottom w:val="single" w:sz="12" w:space="0" w:color="auto"/>
              <w:right w:val="nil"/>
            </w:tcBorders>
            <w:shd w:val="clear" w:color="auto" w:fill="auto"/>
            <w:noWrap/>
            <w:vAlign w:val="bottom"/>
            <w:hideMark/>
          </w:tcPr>
          <w:p w14:paraId="744895E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61" w:type="pct"/>
            <w:tcBorders>
              <w:top w:val="nil"/>
              <w:left w:val="nil"/>
              <w:bottom w:val="single" w:sz="12" w:space="0" w:color="auto"/>
              <w:right w:val="nil"/>
            </w:tcBorders>
            <w:shd w:val="clear" w:color="auto" w:fill="auto"/>
            <w:noWrap/>
            <w:vAlign w:val="bottom"/>
            <w:hideMark/>
          </w:tcPr>
          <w:p w14:paraId="1FABE7A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949.78</w:t>
            </w:r>
          </w:p>
        </w:tc>
      </w:tr>
      <w:tr w:rsidR="002949B4" w:rsidRPr="00310950" w14:paraId="15E40D17" w14:textId="77777777" w:rsidTr="00DF1409">
        <w:trPr>
          <w:trHeight w:val="300"/>
        </w:trPr>
        <w:tc>
          <w:tcPr>
            <w:tcW w:w="1" w:type="pct"/>
            <w:gridSpan w:val="6"/>
            <w:tcBorders>
              <w:top w:val="single" w:sz="12" w:space="0" w:color="auto"/>
              <w:left w:val="nil"/>
              <w:right w:val="nil"/>
            </w:tcBorders>
            <w:shd w:val="clear" w:color="auto" w:fill="auto"/>
            <w:noWrap/>
            <w:vAlign w:val="center"/>
          </w:tcPr>
          <w:p w14:paraId="3DB64610" w14:textId="77777777" w:rsidR="002949B4" w:rsidRPr="00310950" w:rsidRDefault="002949B4" w:rsidP="00DF1409">
            <w:pPr>
              <w:spacing w:after="0"/>
              <w:rPr>
                <w:rFonts w:ascii="Times New Roman" w:hAnsi="Times New Roman" w:cs="Times New Roman"/>
                <w:color w:val="231F20"/>
                <w:sz w:val="20"/>
                <w:szCs w:val="20"/>
              </w:rPr>
            </w:pPr>
            <w:r w:rsidRPr="00310950">
              <w:rPr>
                <w:rFonts w:ascii="Times New Roman" w:hAnsi="Times New Roman" w:cs="Times New Roman"/>
                <w:color w:val="231F20"/>
                <w:sz w:val="20"/>
                <w:szCs w:val="20"/>
              </w:rPr>
              <w:t>Source: Authors’ calculations</w:t>
            </w:r>
          </w:p>
          <w:p w14:paraId="14AAACE8" w14:textId="77777777" w:rsidR="002949B4" w:rsidRPr="00310950" w:rsidRDefault="002949B4" w:rsidP="00DF1409">
            <w:pPr>
              <w:spacing w:after="0"/>
              <w:rPr>
                <w:rFonts w:ascii="Times New Roman" w:hAnsi="Times New Roman" w:cs="Times New Roman"/>
                <w:color w:val="231F20"/>
                <w:sz w:val="20"/>
                <w:szCs w:val="20"/>
              </w:rPr>
            </w:pPr>
            <w:r w:rsidRPr="00310950">
              <w:rPr>
                <w:rFonts w:ascii="Times New Roman" w:hAnsi="Times New Roman" w:cs="Times New Roman"/>
                <w:color w:val="231F20"/>
                <w:sz w:val="20"/>
                <w:szCs w:val="20"/>
              </w:rPr>
              <w:t>Note: ***, ** and * denote significance level at 1%, 5% and 10%. Std. errors are given in parenthesis.</w:t>
            </w:r>
          </w:p>
          <w:p w14:paraId="72B7F2A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hAnsi="Times New Roman" w:cs="Times New Roman"/>
                <w:color w:val="000000"/>
                <w:sz w:val="20"/>
                <w:szCs w:val="20"/>
              </w:rPr>
              <w:t>OFDI</w:t>
            </w:r>
            <w:r w:rsidRPr="00310950">
              <w:rPr>
                <w:rFonts w:ascii="Times New Roman" w:hAnsi="Times New Roman" w:cs="Times New Roman"/>
                <w:color w:val="000000"/>
                <w:sz w:val="20"/>
                <w:szCs w:val="20"/>
                <w:vertAlign w:val="superscript"/>
              </w:rPr>
              <w:t>+</w:t>
            </w:r>
            <w:r w:rsidRPr="00310950">
              <w:rPr>
                <w:rFonts w:ascii="Times New Roman" w:hAnsi="Times New Roman" w:cs="Times New Roman"/>
                <w:color w:val="000000"/>
                <w:sz w:val="20"/>
                <w:szCs w:val="20"/>
              </w:rPr>
              <w:t>, OFDI</w:t>
            </w:r>
            <w:r w:rsidRPr="00310950">
              <w:rPr>
                <w:rFonts w:ascii="Times New Roman" w:hAnsi="Times New Roman" w:cs="Times New Roman"/>
                <w:color w:val="000000"/>
                <w:sz w:val="20"/>
                <w:szCs w:val="20"/>
                <w:vertAlign w:val="superscript"/>
              </w:rPr>
              <w:t>-</w:t>
            </w:r>
            <w:r w:rsidRPr="00310950">
              <w:rPr>
                <w:rFonts w:ascii="Times New Roman" w:hAnsi="Times New Roman" w:cs="Times New Roman"/>
                <w:color w:val="000000"/>
                <w:sz w:val="20"/>
                <w:szCs w:val="20"/>
              </w:rPr>
              <w:t xml:space="preserve"> are increasing and decreasing outward foreign direct investment, IFDI is inward foreign direct investment, </w:t>
            </w:r>
            <w:r w:rsidRPr="00310950">
              <w:rPr>
                <w:rFonts w:ascii="Times New Roman" w:hAnsi="Times New Roman" w:cs="Times New Roman"/>
                <w:sz w:val="20"/>
                <w:szCs w:val="20"/>
              </w:rPr>
              <w:t>CS is the capital stock, LE is life expectancy used to measure human capital, IQ and INFR are institutional and Infrastructure quality.</w:t>
            </w:r>
          </w:p>
        </w:tc>
      </w:tr>
    </w:tbl>
    <w:p w14:paraId="68D6F5E8" w14:textId="77777777" w:rsidR="002949B4" w:rsidRPr="00310950" w:rsidRDefault="002949B4" w:rsidP="004F34EB">
      <w:pPr>
        <w:spacing w:after="120"/>
        <w:rPr>
          <w:rFonts w:ascii="Times New Roman" w:hAnsi="Times New Roman" w:cs="Times New Roman"/>
          <w:b/>
          <w:sz w:val="20"/>
          <w:szCs w:val="20"/>
        </w:rPr>
      </w:pPr>
    </w:p>
    <w:tbl>
      <w:tblPr>
        <w:tblW w:w="5000" w:type="pct"/>
        <w:tblLook w:val="04A0" w:firstRow="1" w:lastRow="0" w:firstColumn="1" w:lastColumn="0" w:noHBand="0" w:noVBand="1"/>
      </w:tblPr>
      <w:tblGrid>
        <w:gridCol w:w="2108"/>
        <w:gridCol w:w="330"/>
        <w:gridCol w:w="2175"/>
        <w:gridCol w:w="330"/>
        <w:gridCol w:w="1187"/>
        <w:gridCol w:w="1187"/>
        <w:gridCol w:w="1187"/>
      </w:tblGrid>
      <w:tr w:rsidR="002949B4" w:rsidRPr="00310950" w14:paraId="5CBB2B61" w14:textId="77777777" w:rsidTr="00DF1409">
        <w:trPr>
          <w:trHeight w:val="315"/>
        </w:trPr>
        <w:tc>
          <w:tcPr>
            <w:tcW w:w="2905" w:type="pct"/>
            <w:gridSpan w:val="4"/>
            <w:tcBorders>
              <w:top w:val="nil"/>
              <w:left w:val="nil"/>
              <w:bottom w:val="single" w:sz="12" w:space="0" w:color="auto"/>
              <w:right w:val="nil"/>
            </w:tcBorders>
            <w:shd w:val="clear" w:color="auto" w:fill="auto"/>
            <w:noWrap/>
            <w:vAlign w:val="center"/>
            <w:hideMark/>
          </w:tcPr>
          <w:p w14:paraId="19A4BB39" w14:textId="77777777" w:rsidR="002949B4" w:rsidRPr="00310950" w:rsidRDefault="002949B4" w:rsidP="00DF1409">
            <w:pPr>
              <w:spacing w:after="0" w:line="240" w:lineRule="auto"/>
              <w:rPr>
                <w:rFonts w:ascii="Times New Roman" w:eastAsia="Times New Roman" w:hAnsi="Times New Roman" w:cs="Times New Roman"/>
                <w:b/>
                <w:bCs/>
                <w:color w:val="000000"/>
                <w:sz w:val="20"/>
                <w:szCs w:val="20"/>
                <w:lang w:val="en-GB"/>
              </w:rPr>
            </w:pPr>
            <w:r w:rsidRPr="00310950">
              <w:rPr>
                <w:rFonts w:ascii="Times New Roman" w:eastAsia="Times New Roman" w:hAnsi="Times New Roman" w:cs="Times New Roman"/>
                <w:b/>
                <w:bCs/>
                <w:color w:val="000000"/>
                <w:sz w:val="20"/>
                <w:szCs w:val="20"/>
              </w:rPr>
              <w:t>Table 4.</w:t>
            </w:r>
            <w:r w:rsidRPr="00310950">
              <w:rPr>
                <w:rFonts w:ascii="Times New Roman" w:eastAsia="Times New Roman" w:hAnsi="Times New Roman" w:cs="Times New Roman"/>
                <w:color w:val="000000"/>
                <w:sz w:val="20"/>
                <w:szCs w:val="20"/>
              </w:rPr>
              <w:t xml:space="preserve"> Short-run results of NARDL models</w:t>
            </w:r>
          </w:p>
        </w:tc>
        <w:tc>
          <w:tcPr>
            <w:tcW w:w="698" w:type="pct"/>
            <w:tcBorders>
              <w:top w:val="nil"/>
              <w:left w:val="nil"/>
              <w:bottom w:val="single" w:sz="12" w:space="0" w:color="auto"/>
              <w:right w:val="nil"/>
            </w:tcBorders>
            <w:shd w:val="clear" w:color="auto" w:fill="auto"/>
            <w:noWrap/>
            <w:vAlign w:val="center"/>
            <w:hideMark/>
          </w:tcPr>
          <w:p w14:paraId="5FAF296F"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698" w:type="pct"/>
            <w:tcBorders>
              <w:top w:val="nil"/>
              <w:left w:val="nil"/>
              <w:bottom w:val="single" w:sz="12" w:space="0" w:color="auto"/>
              <w:right w:val="nil"/>
            </w:tcBorders>
            <w:shd w:val="clear" w:color="auto" w:fill="auto"/>
            <w:noWrap/>
            <w:vAlign w:val="center"/>
            <w:hideMark/>
          </w:tcPr>
          <w:p w14:paraId="5DD57C36"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698" w:type="pct"/>
            <w:tcBorders>
              <w:top w:val="nil"/>
              <w:left w:val="nil"/>
              <w:bottom w:val="single" w:sz="12" w:space="0" w:color="auto"/>
              <w:right w:val="nil"/>
            </w:tcBorders>
            <w:shd w:val="clear" w:color="auto" w:fill="auto"/>
            <w:noWrap/>
            <w:vAlign w:val="center"/>
            <w:hideMark/>
          </w:tcPr>
          <w:p w14:paraId="620B0B3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r>
      <w:tr w:rsidR="002949B4" w:rsidRPr="00310950" w14:paraId="62BB8647" w14:textId="77777777" w:rsidTr="00DF1409">
        <w:trPr>
          <w:trHeight w:val="330"/>
        </w:trPr>
        <w:tc>
          <w:tcPr>
            <w:tcW w:w="1239" w:type="pct"/>
            <w:tcBorders>
              <w:top w:val="single" w:sz="12" w:space="0" w:color="auto"/>
              <w:left w:val="nil"/>
              <w:bottom w:val="single" w:sz="4" w:space="0" w:color="auto"/>
              <w:right w:val="nil"/>
            </w:tcBorders>
            <w:shd w:val="clear" w:color="auto" w:fill="auto"/>
            <w:noWrap/>
            <w:vAlign w:val="center"/>
            <w:hideMark/>
          </w:tcPr>
          <w:p w14:paraId="137C0A9F"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Variable</w:t>
            </w:r>
          </w:p>
        </w:tc>
        <w:tc>
          <w:tcPr>
            <w:tcW w:w="194" w:type="pct"/>
            <w:tcBorders>
              <w:top w:val="single" w:sz="12" w:space="0" w:color="auto"/>
              <w:left w:val="nil"/>
              <w:bottom w:val="single" w:sz="4" w:space="0" w:color="auto"/>
              <w:right w:val="nil"/>
            </w:tcBorders>
            <w:shd w:val="clear" w:color="auto" w:fill="auto"/>
            <w:noWrap/>
            <w:vAlign w:val="center"/>
            <w:hideMark/>
          </w:tcPr>
          <w:p w14:paraId="18B03C32"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 </w:t>
            </w:r>
          </w:p>
        </w:tc>
        <w:tc>
          <w:tcPr>
            <w:tcW w:w="1279" w:type="pct"/>
            <w:tcBorders>
              <w:top w:val="single" w:sz="12" w:space="0" w:color="auto"/>
              <w:left w:val="nil"/>
              <w:bottom w:val="single" w:sz="4" w:space="0" w:color="auto"/>
              <w:right w:val="nil"/>
            </w:tcBorders>
            <w:shd w:val="clear" w:color="auto" w:fill="auto"/>
            <w:noWrap/>
            <w:vAlign w:val="center"/>
            <w:hideMark/>
          </w:tcPr>
          <w:p w14:paraId="3C021A1D"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Model 1</w:t>
            </w:r>
          </w:p>
        </w:tc>
        <w:tc>
          <w:tcPr>
            <w:tcW w:w="194" w:type="pct"/>
            <w:tcBorders>
              <w:top w:val="single" w:sz="12" w:space="0" w:color="auto"/>
              <w:left w:val="nil"/>
              <w:bottom w:val="single" w:sz="4" w:space="0" w:color="auto"/>
              <w:right w:val="nil"/>
            </w:tcBorders>
            <w:shd w:val="clear" w:color="auto" w:fill="auto"/>
            <w:noWrap/>
            <w:vAlign w:val="center"/>
            <w:hideMark/>
          </w:tcPr>
          <w:p w14:paraId="37B09D1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 </w:t>
            </w:r>
          </w:p>
        </w:tc>
        <w:tc>
          <w:tcPr>
            <w:tcW w:w="698" w:type="pct"/>
            <w:tcBorders>
              <w:top w:val="single" w:sz="12" w:space="0" w:color="auto"/>
              <w:left w:val="nil"/>
              <w:bottom w:val="single" w:sz="4" w:space="0" w:color="auto"/>
              <w:right w:val="nil"/>
            </w:tcBorders>
            <w:shd w:val="clear" w:color="auto" w:fill="auto"/>
            <w:noWrap/>
            <w:vAlign w:val="center"/>
            <w:hideMark/>
          </w:tcPr>
          <w:p w14:paraId="0D87F518"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Model 2</w:t>
            </w:r>
          </w:p>
        </w:tc>
        <w:tc>
          <w:tcPr>
            <w:tcW w:w="698" w:type="pct"/>
            <w:tcBorders>
              <w:top w:val="single" w:sz="12" w:space="0" w:color="auto"/>
              <w:left w:val="nil"/>
              <w:bottom w:val="single" w:sz="4" w:space="0" w:color="auto"/>
              <w:right w:val="nil"/>
            </w:tcBorders>
            <w:shd w:val="clear" w:color="auto" w:fill="auto"/>
            <w:noWrap/>
            <w:vAlign w:val="center"/>
            <w:hideMark/>
          </w:tcPr>
          <w:p w14:paraId="33D25CD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 </w:t>
            </w:r>
          </w:p>
        </w:tc>
        <w:tc>
          <w:tcPr>
            <w:tcW w:w="698" w:type="pct"/>
            <w:tcBorders>
              <w:top w:val="single" w:sz="12" w:space="0" w:color="auto"/>
              <w:left w:val="nil"/>
              <w:bottom w:val="single" w:sz="4" w:space="0" w:color="auto"/>
              <w:right w:val="nil"/>
            </w:tcBorders>
            <w:shd w:val="clear" w:color="auto" w:fill="auto"/>
            <w:noWrap/>
            <w:vAlign w:val="center"/>
            <w:hideMark/>
          </w:tcPr>
          <w:p w14:paraId="28410DCF"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Model 3</w:t>
            </w:r>
          </w:p>
        </w:tc>
      </w:tr>
      <w:tr w:rsidR="002949B4" w:rsidRPr="00310950" w14:paraId="51C714A1" w14:textId="77777777" w:rsidTr="00DF1409">
        <w:trPr>
          <w:trHeight w:val="330"/>
        </w:trPr>
        <w:tc>
          <w:tcPr>
            <w:tcW w:w="1239" w:type="pct"/>
            <w:tcBorders>
              <w:top w:val="single" w:sz="4" w:space="0" w:color="auto"/>
              <w:left w:val="nil"/>
              <w:bottom w:val="nil"/>
              <w:right w:val="nil"/>
            </w:tcBorders>
            <w:shd w:val="clear" w:color="auto" w:fill="auto"/>
            <w:noWrap/>
            <w:vAlign w:val="center"/>
            <w:hideMark/>
          </w:tcPr>
          <w:p w14:paraId="4F1B47F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ΔOFDI</w:t>
            </w:r>
            <w:r w:rsidRPr="00310950">
              <w:rPr>
                <w:rFonts w:ascii="Times New Roman" w:eastAsia="Times New Roman" w:hAnsi="Times New Roman" w:cs="Times New Roman"/>
                <w:color w:val="000000"/>
                <w:sz w:val="20"/>
                <w:szCs w:val="20"/>
                <w:vertAlign w:val="superscript"/>
              </w:rPr>
              <w:t>+</w:t>
            </w:r>
          </w:p>
        </w:tc>
        <w:tc>
          <w:tcPr>
            <w:tcW w:w="194" w:type="pct"/>
            <w:tcBorders>
              <w:top w:val="single" w:sz="4" w:space="0" w:color="auto"/>
              <w:left w:val="nil"/>
              <w:bottom w:val="nil"/>
              <w:right w:val="nil"/>
            </w:tcBorders>
            <w:shd w:val="clear" w:color="auto" w:fill="auto"/>
            <w:noWrap/>
            <w:vAlign w:val="center"/>
            <w:hideMark/>
          </w:tcPr>
          <w:p w14:paraId="64A446A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single" w:sz="4" w:space="0" w:color="auto"/>
              <w:left w:val="nil"/>
              <w:bottom w:val="nil"/>
              <w:right w:val="nil"/>
            </w:tcBorders>
            <w:shd w:val="clear" w:color="auto" w:fill="auto"/>
            <w:noWrap/>
            <w:vAlign w:val="center"/>
            <w:hideMark/>
          </w:tcPr>
          <w:p w14:paraId="0D36C3B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0.282</w:t>
            </w:r>
            <w:r w:rsidRPr="00310950">
              <w:rPr>
                <w:rFonts w:ascii="Times New Roman" w:eastAsia="Times New Roman" w:hAnsi="Times New Roman" w:cs="Times New Roman"/>
                <w:color w:val="000000"/>
                <w:sz w:val="20"/>
                <w:szCs w:val="20"/>
                <w:vertAlign w:val="superscript"/>
              </w:rPr>
              <w:t>***</w:t>
            </w:r>
          </w:p>
        </w:tc>
        <w:tc>
          <w:tcPr>
            <w:tcW w:w="194" w:type="pct"/>
            <w:tcBorders>
              <w:top w:val="single" w:sz="4" w:space="0" w:color="auto"/>
              <w:left w:val="nil"/>
              <w:bottom w:val="nil"/>
              <w:right w:val="nil"/>
            </w:tcBorders>
            <w:shd w:val="clear" w:color="auto" w:fill="auto"/>
            <w:noWrap/>
            <w:vAlign w:val="center"/>
            <w:hideMark/>
          </w:tcPr>
          <w:p w14:paraId="0900126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single" w:sz="4" w:space="0" w:color="auto"/>
              <w:left w:val="nil"/>
              <w:bottom w:val="nil"/>
              <w:right w:val="nil"/>
            </w:tcBorders>
            <w:shd w:val="clear" w:color="auto" w:fill="auto"/>
            <w:noWrap/>
            <w:vAlign w:val="center"/>
            <w:hideMark/>
          </w:tcPr>
          <w:p w14:paraId="62CF1D6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0.122</w:t>
            </w:r>
            <w:r w:rsidRPr="00310950">
              <w:rPr>
                <w:rFonts w:ascii="Times New Roman" w:eastAsia="Times New Roman" w:hAnsi="Times New Roman" w:cs="Times New Roman"/>
                <w:color w:val="000000"/>
                <w:sz w:val="20"/>
                <w:szCs w:val="20"/>
                <w:vertAlign w:val="superscript"/>
              </w:rPr>
              <w:t>***</w:t>
            </w:r>
          </w:p>
        </w:tc>
        <w:tc>
          <w:tcPr>
            <w:tcW w:w="698" w:type="pct"/>
            <w:tcBorders>
              <w:top w:val="single" w:sz="4" w:space="0" w:color="auto"/>
              <w:left w:val="nil"/>
              <w:bottom w:val="nil"/>
              <w:right w:val="nil"/>
            </w:tcBorders>
            <w:shd w:val="clear" w:color="auto" w:fill="auto"/>
            <w:noWrap/>
            <w:vAlign w:val="center"/>
            <w:hideMark/>
          </w:tcPr>
          <w:p w14:paraId="3EA91C9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single" w:sz="4" w:space="0" w:color="auto"/>
              <w:left w:val="nil"/>
              <w:bottom w:val="nil"/>
              <w:right w:val="nil"/>
            </w:tcBorders>
            <w:shd w:val="clear" w:color="auto" w:fill="auto"/>
            <w:noWrap/>
            <w:vAlign w:val="center"/>
            <w:hideMark/>
          </w:tcPr>
          <w:p w14:paraId="78BBA57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0.123</w:t>
            </w:r>
            <w:r w:rsidRPr="00310950">
              <w:rPr>
                <w:rFonts w:ascii="Times New Roman" w:eastAsia="Times New Roman" w:hAnsi="Times New Roman" w:cs="Times New Roman"/>
                <w:color w:val="000000"/>
                <w:sz w:val="20"/>
                <w:szCs w:val="20"/>
                <w:vertAlign w:val="superscript"/>
              </w:rPr>
              <w:t>***</w:t>
            </w:r>
          </w:p>
        </w:tc>
      </w:tr>
      <w:tr w:rsidR="002949B4" w:rsidRPr="00310950" w14:paraId="1AB473D6" w14:textId="77777777" w:rsidTr="00DF1409">
        <w:trPr>
          <w:trHeight w:val="330"/>
        </w:trPr>
        <w:tc>
          <w:tcPr>
            <w:tcW w:w="1239" w:type="pct"/>
            <w:tcBorders>
              <w:top w:val="nil"/>
              <w:left w:val="nil"/>
              <w:bottom w:val="nil"/>
              <w:right w:val="nil"/>
            </w:tcBorders>
            <w:shd w:val="clear" w:color="auto" w:fill="auto"/>
            <w:noWrap/>
            <w:vAlign w:val="center"/>
            <w:hideMark/>
          </w:tcPr>
          <w:p w14:paraId="5D6F3509"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0E527E3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0DC1366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(0.031)</w:t>
            </w:r>
          </w:p>
        </w:tc>
        <w:tc>
          <w:tcPr>
            <w:tcW w:w="194" w:type="pct"/>
            <w:tcBorders>
              <w:top w:val="nil"/>
              <w:left w:val="nil"/>
              <w:bottom w:val="nil"/>
              <w:right w:val="nil"/>
            </w:tcBorders>
            <w:shd w:val="clear" w:color="auto" w:fill="auto"/>
            <w:noWrap/>
            <w:vAlign w:val="center"/>
            <w:hideMark/>
          </w:tcPr>
          <w:p w14:paraId="48503A1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48D1AB8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(0.016)</w:t>
            </w:r>
          </w:p>
        </w:tc>
        <w:tc>
          <w:tcPr>
            <w:tcW w:w="698" w:type="pct"/>
            <w:tcBorders>
              <w:top w:val="nil"/>
              <w:left w:val="nil"/>
              <w:bottom w:val="nil"/>
              <w:right w:val="nil"/>
            </w:tcBorders>
            <w:shd w:val="clear" w:color="auto" w:fill="auto"/>
            <w:noWrap/>
            <w:vAlign w:val="center"/>
            <w:hideMark/>
          </w:tcPr>
          <w:p w14:paraId="2EADF05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61EB4B4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(0.034)</w:t>
            </w:r>
          </w:p>
        </w:tc>
      </w:tr>
      <w:tr w:rsidR="002949B4" w:rsidRPr="00310950" w14:paraId="41CDD613" w14:textId="77777777" w:rsidTr="00DF1409">
        <w:trPr>
          <w:trHeight w:val="330"/>
        </w:trPr>
        <w:tc>
          <w:tcPr>
            <w:tcW w:w="1239" w:type="pct"/>
            <w:tcBorders>
              <w:top w:val="nil"/>
              <w:left w:val="nil"/>
              <w:bottom w:val="nil"/>
              <w:right w:val="nil"/>
            </w:tcBorders>
            <w:shd w:val="clear" w:color="auto" w:fill="auto"/>
            <w:noWrap/>
            <w:vAlign w:val="center"/>
            <w:hideMark/>
          </w:tcPr>
          <w:p w14:paraId="17CC8853"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ΔOFDI</w:t>
            </w:r>
            <w:r w:rsidRPr="00310950">
              <w:rPr>
                <w:rFonts w:ascii="Times New Roman" w:eastAsia="Times New Roman" w:hAnsi="Times New Roman" w:cs="Times New Roman"/>
                <w:color w:val="000000"/>
                <w:sz w:val="20"/>
                <w:szCs w:val="20"/>
                <w:vertAlign w:val="superscript"/>
              </w:rPr>
              <w:t>-</w:t>
            </w:r>
          </w:p>
        </w:tc>
        <w:tc>
          <w:tcPr>
            <w:tcW w:w="194" w:type="pct"/>
            <w:tcBorders>
              <w:top w:val="nil"/>
              <w:left w:val="nil"/>
              <w:bottom w:val="nil"/>
              <w:right w:val="nil"/>
            </w:tcBorders>
            <w:shd w:val="clear" w:color="auto" w:fill="auto"/>
            <w:noWrap/>
            <w:vAlign w:val="center"/>
            <w:hideMark/>
          </w:tcPr>
          <w:p w14:paraId="1C9698B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586E7A8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-0.101</w:t>
            </w:r>
            <w:r w:rsidRPr="00310950">
              <w:rPr>
                <w:rFonts w:ascii="Times New Roman" w:eastAsia="Times New Roman" w:hAnsi="Times New Roman" w:cs="Times New Roman"/>
                <w:color w:val="000000"/>
                <w:sz w:val="20"/>
                <w:szCs w:val="20"/>
                <w:vertAlign w:val="superscript"/>
              </w:rPr>
              <w:t>**</w:t>
            </w:r>
          </w:p>
        </w:tc>
        <w:tc>
          <w:tcPr>
            <w:tcW w:w="194" w:type="pct"/>
            <w:tcBorders>
              <w:top w:val="nil"/>
              <w:left w:val="nil"/>
              <w:bottom w:val="nil"/>
              <w:right w:val="nil"/>
            </w:tcBorders>
            <w:shd w:val="clear" w:color="auto" w:fill="auto"/>
            <w:noWrap/>
            <w:vAlign w:val="center"/>
            <w:hideMark/>
          </w:tcPr>
          <w:p w14:paraId="215F6E2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6511913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-0.261</w:t>
            </w:r>
            <w:r w:rsidRPr="00310950">
              <w:rPr>
                <w:rFonts w:ascii="Times New Roman" w:eastAsia="Times New Roman" w:hAnsi="Times New Roman" w:cs="Times New Roman"/>
                <w:color w:val="000000"/>
                <w:sz w:val="20"/>
                <w:szCs w:val="20"/>
                <w:vertAlign w:val="superscript"/>
              </w:rPr>
              <w:t>***</w:t>
            </w:r>
          </w:p>
        </w:tc>
        <w:tc>
          <w:tcPr>
            <w:tcW w:w="698" w:type="pct"/>
            <w:tcBorders>
              <w:top w:val="nil"/>
              <w:left w:val="nil"/>
              <w:bottom w:val="nil"/>
              <w:right w:val="nil"/>
            </w:tcBorders>
            <w:shd w:val="clear" w:color="auto" w:fill="auto"/>
            <w:noWrap/>
            <w:vAlign w:val="center"/>
            <w:hideMark/>
          </w:tcPr>
          <w:p w14:paraId="6DFD4DB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299B31A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-0.358</w:t>
            </w:r>
          </w:p>
        </w:tc>
      </w:tr>
      <w:tr w:rsidR="002949B4" w:rsidRPr="00310950" w14:paraId="3EA476FD" w14:textId="77777777" w:rsidTr="00DF1409">
        <w:trPr>
          <w:trHeight w:val="330"/>
        </w:trPr>
        <w:tc>
          <w:tcPr>
            <w:tcW w:w="1239" w:type="pct"/>
            <w:tcBorders>
              <w:top w:val="nil"/>
              <w:left w:val="nil"/>
              <w:bottom w:val="nil"/>
              <w:right w:val="nil"/>
            </w:tcBorders>
            <w:shd w:val="clear" w:color="auto" w:fill="auto"/>
            <w:noWrap/>
            <w:vAlign w:val="center"/>
            <w:hideMark/>
          </w:tcPr>
          <w:p w14:paraId="109A6608"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0E48ED3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1EC031B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w:t>
            </w:r>
            <w:r w:rsidRPr="00310950">
              <w:rPr>
                <w:rFonts w:ascii="Times New Roman" w:eastAsia="Times New Roman" w:hAnsi="Times New Roman" w:cs="Times New Roman"/>
                <w:color w:val="000000" w:themeColor="text1"/>
                <w:sz w:val="20"/>
                <w:szCs w:val="20"/>
              </w:rPr>
              <w:t>026</w:t>
            </w:r>
            <w:r w:rsidRPr="00310950">
              <w:rPr>
                <w:rFonts w:ascii="Times New Roman" w:eastAsia="Times New Roman" w:hAnsi="Times New Roman" w:cs="Times New Roman"/>
                <w:color w:val="000000"/>
                <w:sz w:val="20"/>
                <w:szCs w:val="20"/>
              </w:rPr>
              <w:t>)</w:t>
            </w:r>
          </w:p>
        </w:tc>
        <w:tc>
          <w:tcPr>
            <w:tcW w:w="194" w:type="pct"/>
            <w:tcBorders>
              <w:top w:val="nil"/>
              <w:left w:val="nil"/>
              <w:bottom w:val="nil"/>
              <w:right w:val="nil"/>
            </w:tcBorders>
            <w:shd w:val="clear" w:color="auto" w:fill="auto"/>
            <w:noWrap/>
            <w:vAlign w:val="center"/>
            <w:hideMark/>
          </w:tcPr>
          <w:p w14:paraId="4E3F125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64AE7E0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(-0.001)</w:t>
            </w:r>
          </w:p>
        </w:tc>
        <w:tc>
          <w:tcPr>
            <w:tcW w:w="698" w:type="pct"/>
            <w:tcBorders>
              <w:top w:val="nil"/>
              <w:left w:val="nil"/>
              <w:bottom w:val="nil"/>
              <w:right w:val="nil"/>
            </w:tcBorders>
            <w:shd w:val="clear" w:color="auto" w:fill="auto"/>
            <w:noWrap/>
            <w:vAlign w:val="center"/>
            <w:hideMark/>
          </w:tcPr>
          <w:p w14:paraId="15267D4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00A114B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(-0.133)</w:t>
            </w:r>
          </w:p>
        </w:tc>
      </w:tr>
      <w:tr w:rsidR="002949B4" w:rsidRPr="00310950" w14:paraId="2E8431CA" w14:textId="77777777" w:rsidTr="00DF1409">
        <w:trPr>
          <w:trHeight w:val="330"/>
        </w:trPr>
        <w:tc>
          <w:tcPr>
            <w:tcW w:w="1239" w:type="pct"/>
            <w:tcBorders>
              <w:top w:val="nil"/>
              <w:left w:val="nil"/>
              <w:bottom w:val="nil"/>
              <w:right w:val="nil"/>
            </w:tcBorders>
            <w:shd w:val="clear" w:color="auto" w:fill="auto"/>
            <w:noWrap/>
            <w:vAlign w:val="center"/>
            <w:hideMark/>
          </w:tcPr>
          <w:p w14:paraId="46759ED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ΔIFDI</w:t>
            </w:r>
          </w:p>
        </w:tc>
        <w:tc>
          <w:tcPr>
            <w:tcW w:w="194" w:type="pct"/>
            <w:tcBorders>
              <w:top w:val="nil"/>
              <w:left w:val="nil"/>
              <w:bottom w:val="nil"/>
              <w:right w:val="nil"/>
            </w:tcBorders>
            <w:shd w:val="clear" w:color="auto" w:fill="auto"/>
            <w:noWrap/>
            <w:vAlign w:val="center"/>
            <w:hideMark/>
          </w:tcPr>
          <w:p w14:paraId="295B04E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23D8F71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0.009</w:t>
            </w:r>
            <w:r w:rsidRPr="00310950">
              <w:rPr>
                <w:rFonts w:ascii="Times New Roman" w:eastAsia="Times New Roman" w:hAnsi="Times New Roman" w:cs="Times New Roman"/>
                <w:color w:val="000000"/>
                <w:sz w:val="20"/>
                <w:szCs w:val="20"/>
                <w:vertAlign w:val="superscript"/>
              </w:rPr>
              <w:t>**</w:t>
            </w:r>
          </w:p>
        </w:tc>
        <w:tc>
          <w:tcPr>
            <w:tcW w:w="194" w:type="pct"/>
            <w:tcBorders>
              <w:top w:val="nil"/>
              <w:left w:val="nil"/>
              <w:bottom w:val="nil"/>
              <w:right w:val="nil"/>
            </w:tcBorders>
            <w:shd w:val="clear" w:color="auto" w:fill="auto"/>
            <w:noWrap/>
            <w:vAlign w:val="center"/>
            <w:hideMark/>
          </w:tcPr>
          <w:p w14:paraId="558C75B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088CBC1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0.007</w:t>
            </w:r>
            <w:r w:rsidRPr="00310950">
              <w:rPr>
                <w:rFonts w:ascii="Times New Roman" w:eastAsia="Times New Roman" w:hAnsi="Times New Roman" w:cs="Times New Roman"/>
                <w:color w:val="000000"/>
                <w:sz w:val="20"/>
                <w:szCs w:val="20"/>
                <w:vertAlign w:val="superscript"/>
              </w:rPr>
              <w:t>***</w:t>
            </w:r>
          </w:p>
        </w:tc>
        <w:tc>
          <w:tcPr>
            <w:tcW w:w="698" w:type="pct"/>
            <w:tcBorders>
              <w:top w:val="nil"/>
              <w:left w:val="nil"/>
              <w:bottom w:val="nil"/>
              <w:right w:val="nil"/>
            </w:tcBorders>
            <w:shd w:val="clear" w:color="auto" w:fill="auto"/>
            <w:noWrap/>
            <w:vAlign w:val="center"/>
            <w:hideMark/>
          </w:tcPr>
          <w:p w14:paraId="1A1839D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2E708AA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0.007</w:t>
            </w:r>
            <w:r w:rsidRPr="00310950">
              <w:rPr>
                <w:rFonts w:ascii="Times New Roman" w:eastAsia="Times New Roman" w:hAnsi="Times New Roman" w:cs="Times New Roman"/>
                <w:color w:val="000000"/>
                <w:sz w:val="20"/>
                <w:szCs w:val="20"/>
                <w:vertAlign w:val="superscript"/>
              </w:rPr>
              <w:t>**</w:t>
            </w:r>
          </w:p>
        </w:tc>
      </w:tr>
      <w:tr w:rsidR="002949B4" w:rsidRPr="00310950" w14:paraId="3B5A729D" w14:textId="77777777" w:rsidTr="00DF1409">
        <w:trPr>
          <w:trHeight w:val="330"/>
        </w:trPr>
        <w:tc>
          <w:tcPr>
            <w:tcW w:w="1239" w:type="pct"/>
            <w:tcBorders>
              <w:top w:val="nil"/>
              <w:left w:val="nil"/>
              <w:bottom w:val="nil"/>
              <w:right w:val="nil"/>
            </w:tcBorders>
            <w:shd w:val="clear" w:color="auto" w:fill="auto"/>
            <w:noWrap/>
            <w:vAlign w:val="center"/>
            <w:hideMark/>
          </w:tcPr>
          <w:p w14:paraId="2076D54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09E17FF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2AF6881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(0.004)</w:t>
            </w:r>
          </w:p>
        </w:tc>
        <w:tc>
          <w:tcPr>
            <w:tcW w:w="194" w:type="pct"/>
            <w:tcBorders>
              <w:top w:val="nil"/>
              <w:left w:val="nil"/>
              <w:bottom w:val="nil"/>
              <w:right w:val="nil"/>
            </w:tcBorders>
            <w:shd w:val="clear" w:color="auto" w:fill="auto"/>
            <w:noWrap/>
            <w:vAlign w:val="center"/>
            <w:hideMark/>
          </w:tcPr>
          <w:p w14:paraId="4ECF82A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09D4A95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(0.001)</w:t>
            </w:r>
          </w:p>
        </w:tc>
        <w:tc>
          <w:tcPr>
            <w:tcW w:w="698" w:type="pct"/>
            <w:tcBorders>
              <w:top w:val="nil"/>
              <w:left w:val="nil"/>
              <w:bottom w:val="nil"/>
              <w:right w:val="nil"/>
            </w:tcBorders>
            <w:shd w:val="clear" w:color="auto" w:fill="auto"/>
            <w:noWrap/>
            <w:vAlign w:val="center"/>
            <w:hideMark/>
          </w:tcPr>
          <w:p w14:paraId="3E70886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7E2DBA8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(0.003)</w:t>
            </w:r>
          </w:p>
        </w:tc>
      </w:tr>
      <w:tr w:rsidR="002949B4" w:rsidRPr="00310950" w14:paraId="219F3685" w14:textId="77777777" w:rsidTr="00DF1409">
        <w:trPr>
          <w:trHeight w:val="330"/>
        </w:trPr>
        <w:tc>
          <w:tcPr>
            <w:tcW w:w="1239" w:type="pct"/>
            <w:tcBorders>
              <w:top w:val="nil"/>
              <w:left w:val="nil"/>
              <w:bottom w:val="nil"/>
              <w:right w:val="nil"/>
            </w:tcBorders>
            <w:shd w:val="clear" w:color="auto" w:fill="auto"/>
            <w:noWrap/>
            <w:vAlign w:val="center"/>
            <w:hideMark/>
          </w:tcPr>
          <w:p w14:paraId="17EBBE4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ΔLE</w:t>
            </w:r>
          </w:p>
        </w:tc>
        <w:tc>
          <w:tcPr>
            <w:tcW w:w="194" w:type="pct"/>
            <w:tcBorders>
              <w:top w:val="nil"/>
              <w:left w:val="nil"/>
              <w:bottom w:val="nil"/>
              <w:right w:val="nil"/>
            </w:tcBorders>
            <w:shd w:val="clear" w:color="auto" w:fill="auto"/>
            <w:noWrap/>
            <w:vAlign w:val="center"/>
            <w:hideMark/>
          </w:tcPr>
          <w:p w14:paraId="49EFDAC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11A8B91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0.307</w:t>
            </w:r>
          </w:p>
        </w:tc>
        <w:tc>
          <w:tcPr>
            <w:tcW w:w="194" w:type="pct"/>
            <w:tcBorders>
              <w:top w:val="nil"/>
              <w:left w:val="nil"/>
              <w:bottom w:val="nil"/>
              <w:right w:val="nil"/>
            </w:tcBorders>
            <w:shd w:val="clear" w:color="auto" w:fill="auto"/>
            <w:noWrap/>
            <w:vAlign w:val="center"/>
            <w:hideMark/>
          </w:tcPr>
          <w:p w14:paraId="10D28FE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78E7B99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-0.387</w:t>
            </w:r>
            <w:r w:rsidRPr="00310950">
              <w:rPr>
                <w:rFonts w:ascii="Times New Roman" w:eastAsia="Times New Roman" w:hAnsi="Times New Roman" w:cs="Times New Roman"/>
                <w:color w:val="000000"/>
                <w:sz w:val="20"/>
                <w:szCs w:val="20"/>
                <w:vertAlign w:val="superscript"/>
              </w:rPr>
              <w:t>***</w:t>
            </w:r>
          </w:p>
        </w:tc>
        <w:tc>
          <w:tcPr>
            <w:tcW w:w="698" w:type="pct"/>
            <w:tcBorders>
              <w:top w:val="nil"/>
              <w:left w:val="nil"/>
              <w:bottom w:val="nil"/>
              <w:right w:val="nil"/>
            </w:tcBorders>
            <w:shd w:val="clear" w:color="auto" w:fill="auto"/>
            <w:noWrap/>
            <w:vAlign w:val="center"/>
            <w:hideMark/>
          </w:tcPr>
          <w:p w14:paraId="6CC75E1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3771BE5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1.028</w:t>
            </w:r>
          </w:p>
        </w:tc>
      </w:tr>
      <w:tr w:rsidR="002949B4" w:rsidRPr="00310950" w14:paraId="7D0D72CF" w14:textId="77777777" w:rsidTr="00DF1409">
        <w:trPr>
          <w:trHeight w:val="330"/>
        </w:trPr>
        <w:tc>
          <w:tcPr>
            <w:tcW w:w="1239" w:type="pct"/>
            <w:tcBorders>
              <w:top w:val="nil"/>
              <w:left w:val="nil"/>
              <w:bottom w:val="nil"/>
              <w:right w:val="nil"/>
            </w:tcBorders>
            <w:shd w:val="clear" w:color="auto" w:fill="auto"/>
            <w:noWrap/>
            <w:vAlign w:val="center"/>
            <w:hideMark/>
          </w:tcPr>
          <w:p w14:paraId="73FB40E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08F63E7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69C7B6B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(1.154)</w:t>
            </w:r>
          </w:p>
        </w:tc>
        <w:tc>
          <w:tcPr>
            <w:tcW w:w="194" w:type="pct"/>
            <w:tcBorders>
              <w:top w:val="nil"/>
              <w:left w:val="nil"/>
              <w:bottom w:val="nil"/>
              <w:right w:val="nil"/>
            </w:tcBorders>
            <w:shd w:val="clear" w:color="auto" w:fill="auto"/>
            <w:noWrap/>
            <w:vAlign w:val="center"/>
            <w:hideMark/>
          </w:tcPr>
          <w:p w14:paraId="2DB8A57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1FB118D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(-0.127)</w:t>
            </w:r>
          </w:p>
        </w:tc>
        <w:tc>
          <w:tcPr>
            <w:tcW w:w="698" w:type="pct"/>
            <w:tcBorders>
              <w:top w:val="nil"/>
              <w:left w:val="nil"/>
              <w:bottom w:val="nil"/>
              <w:right w:val="nil"/>
            </w:tcBorders>
            <w:shd w:val="clear" w:color="auto" w:fill="auto"/>
            <w:noWrap/>
            <w:vAlign w:val="center"/>
            <w:hideMark/>
          </w:tcPr>
          <w:p w14:paraId="681353B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48804CC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(1.376)</w:t>
            </w:r>
          </w:p>
        </w:tc>
      </w:tr>
      <w:tr w:rsidR="002949B4" w:rsidRPr="00310950" w14:paraId="5CA9F78B" w14:textId="77777777" w:rsidTr="00DF1409">
        <w:trPr>
          <w:trHeight w:val="330"/>
        </w:trPr>
        <w:tc>
          <w:tcPr>
            <w:tcW w:w="1239" w:type="pct"/>
            <w:tcBorders>
              <w:top w:val="nil"/>
              <w:left w:val="nil"/>
              <w:bottom w:val="nil"/>
              <w:right w:val="nil"/>
            </w:tcBorders>
            <w:shd w:val="clear" w:color="auto" w:fill="auto"/>
            <w:noWrap/>
            <w:vAlign w:val="center"/>
            <w:hideMark/>
          </w:tcPr>
          <w:p w14:paraId="07FA6238"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ΔCS</w:t>
            </w:r>
          </w:p>
        </w:tc>
        <w:tc>
          <w:tcPr>
            <w:tcW w:w="194" w:type="pct"/>
            <w:tcBorders>
              <w:top w:val="nil"/>
              <w:left w:val="nil"/>
              <w:bottom w:val="nil"/>
              <w:right w:val="nil"/>
            </w:tcBorders>
            <w:shd w:val="clear" w:color="auto" w:fill="auto"/>
            <w:noWrap/>
            <w:vAlign w:val="center"/>
            <w:hideMark/>
          </w:tcPr>
          <w:p w14:paraId="2B96AAE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4E2822D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0.009</w:t>
            </w:r>
            <w:r w:rsidRPr="00310950">
              <w:rPr>
                <w:rFonts w:ascii="Times New Roman" w:eastAsia="Times New Roman" w:hAnsi="Times New Roman" w:cs="Times New Roman"/>
                <w:color w:val="000000"/>
                <w:sz w:val="20"/>
                <w:szCs w:val="20"/>
                <w:vertAlign w:val="superscript"/>
              </w:rPr>
              <w:t>***</w:t>
            </w:r>
          </w:p>
        </w:tc>
        <w:tc>
          <w:tcPr>
            <w:tcW w:w="194" w:type="pct"/>
            <w:tcBorders>
              <w:top w:val="nil"/>
              <w:left w:val="nil"/>
              <w:bottom w:val="nil"/>
              <w:right w:val="nil"/>
            </w:tcBorders>
            <w:shd w:val="clear" w:color="auto" w:fill="auto"/>
            <w:noWrap/>
            <w:vAlign w:val="center"/>
            <w:hideMark/>
          </w:tcPr>
          <w:p w14:paraId="74CE26D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23B3F20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0.009</w:t>
            </w:r>
            <w:r w:rsidRPr="00310950">
              <w:rPr>
                <w:rFonts w:ascii="Times New Roman" w:eastAsia="Times New Roman" w:hAnsi="Times New Roman" w:cs="Times New Roman"/>
                <w:color w:val="000000"/>
                <w:sz w:val="20"/>
                <w:szCs w:val="20"/>
                <w:vertAlign w:val="superscript"/>
              </w:rPr>
              <w:t>***</w:t>
            </w:r>
          </w:p>
        </w:tc>
        <w:tc>
          <w:tcPr>
            <w:tcW w:w="698" w:type="pct"/>
            <w:tcBorders>
              <w:top w:val="nil"/>
              <w:left w:val="nil"/>
              <w:bottom w:val="nil"/>
              <w:right w:val="nil"/>
            </w:tcBorders>
            <w:shd w:val="clear" w:color="auto" w:fill="auto"/>
            <w:noWrap/>
            <w:vAlign w:val="center"/>
            <w:hideMark/>
          </w:tcPr>
          <w:p w14:paraId="4959933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0C70C10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0.008</w:t>
            </w:r>
            <w:r w:rsidRPr="00310950">
              <w:rPr>
                <w:rFonts w:ascii="Times New Roman" w:eastAsia="Times New Roman" w:hAnsi="Times New Roman" w:cs="Times New Roman"/>
                <w:color w:val="000000"/>
                <w:sz w:val="20"/>
                <w:szCs w:val="20"/>
                <w:vertAlign w:val="superscript"/>
              </w:rPr>
              <w:t>***</w:t>
            </w:r>
          </w:p>
        </w:tc>
      </w:tr>
      <w:tr w:rsidR="002949B4" w:rsidRPr="00310950" w14:paraId="7897BB25" w14:textId="77777777" w:rsidTr="00DF1409">
        <w:trPr>
          <w:trHeight w:val="300"/>
        </w:trPr>
        <w:tc>
          <w:tcPr>
            <w:tcW w:w="1239" w:type="pct"/>
            <w:tcBorders>
              <w:top w:val="nil"/>
              <w:left w:val="nil"/>
              <w:bottom w:val="nil"/>
              <w:right w:val="nil"/>
            </w:tcBorders>
            <w:shd w:val="clear" w:color="auto" w:fill="auto"/>
            <w:noWrap/>
            <w:vAlign w:val="center"/>
            <w:hideMark/>
          </w:tcPr>
          <w:p w14:paraId="7F8A6CB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7C79341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50D05C8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(0.002)</w:t>
            </w:r>
          </w:p>
        </w:tc>
        <w:tc>
          <w:tcPr>
            <w:tcW w:w="194" w:type="pct"/>
            <w:tcBorders>
              <w:top w:val="nil"/>
              <w:left w:val="nil"/>
              <w:bottom w:val="nil"/>
              <w:right w:val="nil"/>
            </w:tcBorders>
            <w:shd w:val="clear" w:color="auto" w:fill="auto"/>
            <w:noWrap/>
            <w:vAlign w:val="center"/>
            <w:hideMark/>
          </w:tcPr>
          <w:p w14:paraId="647B735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6F050D4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(0.000)</w:t>
            </w:r>
          </w:p>
        </w:tc>
        <w:tc>
          <w:tcPr>
            <w:tcW w:w="698" w:type="pct"/>
            <w:tcBorders>
              <w:top w:val="nil"/>
              <w:left w:val="nil"/>
              <w:bottom w:val="nil"/>
              <w:right w:val="nil"/>
            </w:tcBorders>
            <w:shd w:val="clear" w:color="auto" w:fill="auto"/>
            <w:noWrap/>
            <w:vAlign w:val="center"/>
            <w:hideMark/>
          </w:tcPr>
          <w:p w14:paraId="2FDB1E8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042E203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(0.002)</w:t>
            </w:r>
          </w:p>
        </w:tc>
      </w:tr>
      <w:tr w:rsidR="002949B4" w:rsidRPr="00310950" w14:paraId="695954D7" w14:textId="77777777" w:rsidTr="00DF1409">
        <w:trPr>
          <w:trHeight w:val="315"/>
        </w:trPr>
        <w:tc>
          <w:tcPr>
            <w:tcW w:w="1239" w:type="pct"/>
            <w:tcBorders>
              <w:top w:val="nil"/>
              <w:left w:val="nil"/>
              <w:bottom w:val="nil"/>
              <w:right w:val="nil"/>
            </w:tcBorders>
            <w:shd w:val="clear" w:color="auto" w:fill="auto"/>
            <w:noWrap/>
            <w:vAlign w:val="center"/>
            <w:hideMark/>
          </w:tcPr>
          <w:p w14:paraId="6FF3655D"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ΔINFR</w:t>
            </w:r>
          </w:p>
        </w:tc>
        <w:tc>
          <w:tcPr>
            <w:tcW w:w="194" w:type="pct"/>
            <w:tcBorders>
              <w:top w:val="nil"/>
              <w:left w:val="nil"/>
              <w:bottom w:val="nil"/>
              <w:right w:val="nil"/>
            </w:tcBorders>
            <w:shd w:val="clear" w:color="auto" w:fill="auto"/>
            <w:noWrap/>
            <w:vAlign w:val="center"/>
            <w:hideMark/>
          </w:tcPr>
          <w:p w14:paraId="6784826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618C106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555ED8F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32B79FB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0.070</w:t>
            </w:r>
            <w:r w:rsidRPr="00310950">
              <w:rPr>
                <w:rFonts w:ascii="Times New Roman" w:eastAsia="Times New Roman" w:hAnsi="Times New Roman" w:cs="Times New Roman"/>
                <w:color w:val="000000"/>
                <w:sz w:val="20"/>
                <w:szCs w:val="20"/>
                <w:vertAlign w:val="superscript"/>
              </w:rPr>
              <w:t>***</w:t>
            </w:r>
          </w:p>
        </w:tc>
        <w:tc>
          <w:tcPr>
            <w:tcW w:w="698" w:type="pct"/>
            <w:tcBorders>
              <w:top w:val="nil"/>
              <w:left w:val="nil"/>
              <w:bottom w:val="nil"/>
              <w:right w:val="nil"/>
            </w:tcBorders>
            <w:shd w:val="clear" w:color="auto" w:fill="auto"/>
            <w:noWrap/>
            <w:vAlign w:val="center"/>
            <w:hideMark/>
          </w:tcPr>
          <w:p w14:paraId="497699E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65FB00C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0.066</w:t>
            </w:r>
          </w:p>
        </w:tc>
      </w:tr>
      <w:tr w:rsidR="002949B4" w:rsidRPr="00310950" w14:paraId="64412196" w14:textId="77777777" w:rsidTr="00DF1409">
        <w:trPr>
          <w:trHeight w:val="300"/>
        </w:trPr>
        <w:tc>
          <w:tcPr>
            <w:tcW w:w="1239" w:type="pct"/>
            <w:tcBorders>
              <w:top w:val="nil"/>
              <w:left w:val="nil"/>
              <w:bottom w:val="nil"/>
              <w:right w:val="nil"/>
            </w:tcBorders>
            <w:shd w:val="clear" w:color="auto" w:fill="auto"/>
            <w:noWrap/>
            <w:vAlign w:val="center"/>
            <w:hideMark/>
          </w:tcPr>
          <w:p w14:paraId="23189CB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023FEAF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69252C0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52176B9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6786E57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(0.005)</w:t>
            </w:r>
          </w:p>
        </w:tc>
        <w:tc>
          <w:tcPr>
            <w:tcW w:w="698" w:type="pct"/>
            <w:tcBorders>
              <w:top w:val="nil"/>
              <w:left w:val="nil"/>
              <w:bottom w:val="nil"/>
              <w:right w:val="nil"/>
            </w:tcBorders>
            <w:shd w:val="clear" w:color="auto" w:fill="auto"/>
            <w:noWrap/>
            <w:vAlign w:val="center"/>
            <w:hideMark/>
          </w:tcPr>
          <w:p w14:paraId="3D1E7BE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5584D73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(0.045)</w:t>
            </w:r>
          </w:p>
        </w:tc>
      </w:tr>
      <w:tr w:rsidR="002949B4" w:rsidRPr="00310950" w14:paraId="36C4C533" w14:textId="77777777" w:rsidTr="00DF1409">
        <w:trPr>
          <w:trHeight w:val="315"/>
        </w:trPr>
        <w:tc>
          <w:tcPr>
            <w:tcW w:w="1239" w:type="pct"/>
            <w:tcBorders>
              <w:top w:val="nil"/>
              <w:left w:val="nil"/>
              <w:bottom w:val="nil"/>
              <w:right w:val="nil"/>
            </w:tcBorders>
            <w:shd w:val="clear" w:color="auto" w:fill="auto"/>
            <w:noWrap/>
            <w:vAlign w:val="center"/>
            <w:hideMark/>
          </w:tcPr>
          <w:p w14:paraId="31B251B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ΔIQ</w:t>
            </w:r>
          </w:p>
        </w:tc>
        <w:tc>
          <w:tcPr>
            <w:tcW w:w="194" w:type="pct"/>
            <w:tcBorders>
              <w:top w:val="nil"/>
              <w:left w:val="nil"/>
              <w:bottom w:val="nil"/>
              <w:right w:val="nil"/>
            </w:tcBorders>
            <w:shd w:val="clear" w:color="auto" w:fill="auto"/>
            <w:noWrap/>
            <w:vAlign w:val="center"/>
            <w:hideMark/>
          </w:tcPr>
          <w:p w14:paraId="20F55AE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7FAD3B1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33BFCB4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5FE61D0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19F3DB1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3B29343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0.044</w:t>
            </w:r>
            <w:r w:rsidRPr="00310950">
              <w:rPr>
                <w:rFonts w:ascii="Times New Roman" w:eastAsia="Times New Roman" w:hAnsi="Times New Roman" w:cs="Times New Roman"/>
                <w:color w:val="000000"/>
                <w:sz w:val="20"/>
                <w:szCs w:val="20"/>
                <w:vertAlign w:val="superscript"/>
              </w:rPr>
              <w:t>*</w:t>
            </w:r>
          </w:p>
        </w:tc>
      </w:tr>
      <w:tr w:rsidR="002949B4" w:rsidRPr="00310950" w14:paraId="2DDDF0E1" w14:textId="77777777" w:rsidTr="00DF1409">
        <w:trPr>
          <w:trHeight w:val="300"/>
        </w:trPr>
        <w:tc>
          <w:tcPr>
            <w:tcW w:w="1239" w:type="pct"/>
            <w:tcBorders>
              <w:top w:val="nil"/>
              <w:left w:val="nil"/>
              <w:bottom w:val="nil"/>
              <w:right w:val="nil"/>
            </w:tcBorders>
            <w:shd w:val="clear" w:color="auto" w:fill="auto"/>
            <w:noWrap/>
            <w:vAlign w:val="center"/>
            <w:hideMark/>
          </w:tcPr>
          <w:p w14:paraId="35CDF73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3992C47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4E87D2E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94" w:type="pct"/>
            <w:tcBorders>
              <w:top w:val="nil"/>
              <w:left w:val="nil"/>
              <w:bottom w:val="nil"/>
              <w:right w:val="nil"/>
            </w:tcBorders>
            <w:shd w:val="clear" w:color="auto" w:fill="auto"/>
            <w:noWrap/>
            <w:vAlign w:val="center"/>
            <w:hideMark/>
          </w:tcPr>
          <w:p w14:paraId="4BB2172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0A2EC7A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3FAD0F2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6D2B36B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(0.028)</w:t>
            </w:r>
          </w:p>
        </w:tc>
      </w:tr>
      <w:tr w:rsidR="002949B4" w:rsidRPr="00310950" w14:paraId="097E70B3" w14:textId="77777777" w:rsidTr="00DF1409">
        <w:trPr>
          <w:trHeight w:val="315"/>
        </w:trPr>
        <w:tc>
          <w:tcPr>
            <w:tcW w:w="1239" w:type="pct"/>
            <w:tcBorders>
              <w:top w:val="nil"/>
              <w:left w:val="nil"/>
              <w:bottom w:val="nil"/>
              <w:right w:val="nil"/>
            </w:tcBorders>
            <w:shd w:val="clear" w:color="auto" w:fill="auto"/>
            <w:noWrap/>
            <w:vAlign w:val="center"/>
            <w:hideMark/>
          </w:tcPr>
          <w:p w14:paraId="366EB3C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ECT</w:t>
            </w:r>
            <w:r w:rsidRPr="00310950">
              <w:rPr>
                <w:rFonts w:ascii="Times New Roman" w:eastAsia="Times New Roman" w:hAnsi="Times New Roman" w:cs="Times New Roman"/>
                <w:color w:val="000000"/>
                <w:sz w:val="20"/>
                <w:szCs w:val="20"/>
                <w:vertAlign w:val="subscript"/>
              </w:rPr>
              <w:t>t-1</w:t>
            </w:r>
          </w:p>
        </w:tc>
        <w:tc>
          <w:tcPr>
            <w:tcW w:w="194" w:type="pct"/>
            <w:tcBorders>
              <w:top w:val="nil"/>
              <w:left w:val="nil"/>
              <w:bottom w:val="nil"/>
              <w:right w:val="nil"/>
            </w:tcBorders>
            <w:shd w:val="clear" w:color="auto" w:fill="auto"/>
            <w:noWrap/>
            <w:vAlign w:val="center"/>
            <w:hideMark/>
          </w:tcPr>
          <w:p w14:paraId="4FF4343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279" w:type="pct"/>
            <w:tcBorders>
              <w:top w:val="nil"/>
              <w:left w:val="nil"/>
              <w:bottom w:val="nil"/>
              <w:right w:val="nil"/>
            </w:tcBorders>
            <w:shd w:val="clear" w:color="auto" w:fill="auto"/>
            <w:noWrap/>
            <w:vAlign w:val="center"/>
            <w:hideMark/>
          </w:tcPr>
          <w:p w14:paraId="6684B23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-0.725</w:t>
            </w:r>
            <w:r w:rsidRPr="00310950">
              <w:rPr>
                <w:rFonts w:ascii="Times New Roman" w:eastAsia="Times New Roman" w:hAnsi="Times New Roman" w:cs="Times New Roman"/>
                <w:color w:val="000000"/>
                <w:sz w:val="20"/>
                <w:szCs w:val="20"/>
                <w:vertAlign w:val="superscript"/>
              </w:rPr>
              <w:t>***</w:t>
            </w:r>
          </w:p>
        </w:tc>
        <w:tc>
          <w:tcPr>
            <w:tcW w:w="194" w:type="pct"/>
            <w:tcBorders>
              <w:top w:val="nil"/>
              <w:left w:val="nil"/>
              <w:bottom w:val="nil"/>
              <w:right w:val="nil"/>
            </w:tcBorders>
            <w:shd w:val="clear" w:color="auto" w:fill="auto"/>
            <w:noWrap/>
            <w:vAlign w:val="center"/>
            <w:hideMark/>
          </w:tcPr>
          <w:p w14:paraId="0BB4FE2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398818A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-0.716</w:t>
            </w:r>
            <w:r w:rsidRPr="00310950">
              <w:rPr>
                <w:rFonts w:ascii="Times New Roman" w:eastAsia="Times New Roman" w:hAnsi="Times New Roman" w:cs="Times New Roman"/>
                <w:color w:val="000000"/>
                <w:sz w:val="20"/>
                <w:szCs w:val="20"/>
                <w:vertAlign w:val="superscript"/>
              </w:rPr>
              <w:t>***</w:t>
            </w:r>
          </w:p>
        </w:tc>
        <w:tc>
          <w:tcPr>
            <w:tcW w:w="698" w:type="pct"/>
            <w:tcBorders>
              <w:top w:val="nil"/>
              <w:left w:val="nil"/>
              <w:bottom w:val="nil"/>
              <w:right w:val="nil"/>
            </w:tcBorders>
            <w:shd w:val="clear" w:color="auto" w:fill="auto"/>
            <w:noWrap/>
            <w:vAlign w:val="center"/>
            <w:hideMark/>
          </w:tcPr>
          <w:p w14:paraId="3525C43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8" w:type="pct"/>
            <w:tcBorders>
              <w:top w:val="nil"/>
              <w:left w:val="nil"/>
              <w:bottom w:val="nil"/>
              <w:right w:val="nil"/>
            </w:tcBorders>
            <w:shd w:val="clear" w:color="auto" w:fill="auto"/>
            <w:noWrap/>
            <w:vAlign w:val="center"/>
            <w:hideMark/>
          </w:tcPr>
          <w:p w14:paraId="04E6134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-0.611</w:t>
            </w:r>
            <w:r w:rsidRPr="00310950">
              <w:rPr>
                <w:rFonts w:ascii="Times New Roman" w:eastAsia="Times New Roman" w:hAnsi="Times New Roman" w:cs="Times New Roman"/>
                <w:color w:val="000000"/>
                <w:sz w:val="20"/>
                <w:szCs w:val="20"/>
                <w:vertAlign w:val="superscript"/>
              </w:rPr>
              <w:t>***</w:t>
            </w:r>
          </w:p>
        </w:tc>
      </w:tr>
      <w:tr w:rsidR="002949B4" w:rsidRPr="00310950" w14:paraId="6675ADA5" w14:textId="77777777" w:rsidTr="00DF1409">
        <w:trPr>
          <w:trHeight w:val="315"/>
        </w:trPr>
        <w:tc>
          <w:tcPr>
            <w:tcW w:w="1239" w:type="pct"/>
            <w:tcBorders>
              <w:top w:val="nil"/>
              <w:left w:val="nil"/>
              <w:bottom w:val="single" w:sz="12" w:space="0" w:color="auto"/>
              <w:right w:val="nil"/>
            </w:tcBorders>
            <w:shd w:val="clear" w:color="auto" w:fill="auto"/>
            <w:noWrap/>
            <w:vAlign w:val="center"/>
            <w:hideMark/>
          </w:tcPr>
          <w:p w14:paraId="52B637B3"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 </w:t>
            </w:r>
          </w:p>
        </w:tc>
        <w:tc>
          <w:tcPr>
            <w:tcW w:w="194" w:type="pct"/>
            <w:tcBorders>
              <w:top w:val="nil"/>
              <w:left w:val="nil"/>
              <w:bottom w:val="single" w:sz="12" w:space="0" w:color="auto"/>
              <w:right w:val="nil"/>
            </w:tcBorders>
            <w:shd w:val="clear" w:color="auto" w:fill="auto"/>
            <w:noWrap/>
            <w:vAlign w:val="center"/>
            <w:hideMark/>
          </w:tcPr>
          <w:p w14:paraId="3383C27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 </w:t>
            </w:r>
          </w:p>
        </w:tc>
        <w:tc>
          <w:tcPr>
            <w:tcW w:w="1279" w:type="pct"/>
            <w:tcBorders>
              <w:top w:val="nil"/>
              <w:left w:val="nil"/>
              <w:bottom w:val="single" w:sz="12" w:space="0" w:color="auto"/>
              <w:right w:val="nil"/>
            </w:tcBorders>
            <w:shd w:val="clear" w:color="auto" w:fill="auto"/>
            <w:noWrap/>
            <w:vAlign w:val="center"/>
            <w:hideMark/>
          </w:tcPr>
          <w:p w14:paraId="60C8336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(-0.133)</w:t>
            </w:r>
          </w:p>
        </w:tc>
        <w:tc>
          <w:tcPr>
            <w:tcW w:w="194" w:type="pct"/>
            <w:tcBorders>
              <w:top w:val="nil"/>
              <w:left w:val="nil"/>
              <w:bottom w:val="single" w:sz="12" w:space="0" w:color="auto"/>
              <w:right w:val="nil"/>
            </w:tcBorders>
            <w:shd w:val="clear" w:color="auto" w:fill="auto"/>
            <w:noWrap/>
            <w:vAlign w:val="center"/>
            <w:hideMark/>
          </w:tcPr>
          <w:p w14:paraId="7B69175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 </w:t>
            </w:r>
          </w:p>
        </w:tc>
        <w:tc>
          <w:tcPr>
            <w:tcW w:w="698" w:type="pct"/>
            <w:tcBorders>
              <w:top w:val="nil"/>
              <w:left w:val="nil"/>
              <w:bottom w:val="single" w:sz="12" w:space="0" w:color="auto"/>
              <w:right w:val="nil"/>
            </w:tcBorders>
            <w:shd w:val="clear" w:color="auto" w:fill="auto"/>
            <w:noWrap/>
            <w:vAlign w:val="center"/>
            <w:hideMark/>
          </w:tcPr>
          <w:p w14:paraId="09B22AE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(-0.029)</w:t>
            </w:r>
          </w:p>
        </w:tc>
        <w:tc>
          <w:tcPr>
            <w:tcW w:w="698" w:type="pct"/>
            <w:tcBorders>
              <w:top w:val="nil"/>
              <w:left w:val="nil"/>
              <w:bottom w:val="single" w:sz="12" w:space="0" w:color="auto"/>
              <w:right w:val="nil"/>
            </w:tcBorders>
            <w:shd w:val="clear" w:color="auto" w:fill="auto"/>
            <w:noWrap/>
            <w:vAlign w:val="center"/>
            <w:hideMark/>
          </w:tcPr>
          <w:p w14:paraId="1325550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 </w:t>
            </w:r>
          </w:p>
        </w:tc>
        <w:tc>
          <w:tcPr>
            <w:tcW w:w="698" w:type="pct"/>
            <w:tcBorders>
              <w:top w:val="nil"/>
              <w:left w:val="nil"/>
              <w:bottom w:val="single" w:sz="12" w:space="0" w:color="auto"/>
              <w:right w:val="nil"/>
            </w:tcBorders>
            <w:shd w:val="clear" w:color="auto" w:fill="auto"/>
            <w:noWrap/>
            <w:vAlign w:val="center"/>
            <w:hideMark/>
          </w:tcPr>
          <w:p w14:paraId="1A3B0D3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rPr>
              <w:t>(-0.136)</w:t>
            </w:r>
          </w:p>
        </w:tc>
      </w:tr>
      <w:tr w:rsidR="002949B4" w:rsidRPr="00310950" w14:paraId="0E4FEBC1" w14:textId="77777777" w:rsidTr="00DF1409">
        <w:trPr>
          <w:trHeight w:val="315"/>
        </w:trPr>
        <w:tc>
          <w:tcPr>
            <w:tcW w:w="5000" w:type="pct"/>
            <w:gridSpan w:val="7"/>
            <w:tcBorders>
              <w:top w:val="single" w:sz="12" w:space="0" w:color="auto"/>
              <w:left w:val="nil"/>
              <w:right w:val="nil"/>
            </w:tcBorders>
            <w:shd w:val="clear" w:color="auto" w:fill="auto"/>
            <w:noWrap/>
            <w:vAlign w:val="center"/>
          </w:tcPr>
          <w:p w14:paraId="4B939085" w14:textId="77777777" w:rsidR="002949B4" w:rsidRPr="00310950" w:rsidRDefault="002949B4" w:rsidP="00DF1409">
            <w:pPr>
              <w:spacing w:after="0"/>
              <w:rPr>
                <w:rFonts w:ascii="Times New Roman" w:hAnsi="Times New Roman" w:cs="Times New Roman"/>
                <w:color w:val="231F20"/>
                <w:sz w:val="20"/>
                <w:szCs w:val="20"/>
              </w:rPr>
            </w:pPr>
            <w:r w:rsidRPr="00310950">
              <w:rPr>
                <w:rFonts w:ascii="Times New Roman" w:hAnsi="Times New Roman" w:cs="Times New Roman"/>
                <w:color w:val="231F20"/>
                <w:sz w:val="20"/>
                <w:szCs w:val="20"/>
              </w:rPr>
              <w:t>Source: Authors calculations</w:t>
            </w:r>
          </w:p>
          <w:p w14:paraId="771C28A3" w14:textId="77777777" w:rsidR="002949B4" w:rsidRPr="00310950" w:rsidRDefault="002949B4" w:rsidP="00DF1409">
            <w:pPr>
              <w:spacing w:after="0"/>
              <w:rPr>
                <w:rFonts w:ascii="Times New Roman" w:hAnsi="Times New Roman" w:cs="Times New Roman"/>
                <w:color w:val="231F20"/>
                <w:sz w:val="20"/>
                <w:szCs w:val="20"/>
              </w:rPr>
            </w:pPr>
            <w:r w:rsidRPr="00310950">
              <w:rPr>
                <w:rFonts w:ascii="Times New Roman" w:hAnsi="Times New Roman" w:cs="Times New Roman"/>
                <w:color w:val="231F20"/>
                <w:sz w:val="20"/>
                <w:szCs w:val="20"/>
              </w:rPr>
              <w:t>Note: ***, ** and * denote significance level at 1%, 5% and 10%. Std. errors are given in parenthesis.</w:t>
            </w:r>
          </w:p>
        </w:tc>
      </w:tr>
    </w:tbl>
    <w:p w14:paraId="2B140C61" w14:textId="77777777" w:rsidR="002949B4" w:rsidRPr="00310950" w:rsidRDefault="002949B4" w:rsidP="004F34EB">
      <w:pPr>
        <w:spacing w:after="120"/>
        <w:rPr>
          <w:rFonts w:ascii="Times New Roman" w:hAnsi="Times New Roman" w:cs="Times New Roman"/>
          <w:b/>
          <w:sz w:val="20"/>
          <w:szCs w:val="20"/>
        </w:rPr>
      </w:pPr>
    </w:p>
    <w:tbl>
      <w:tblPr>
        <w:tblW w:w="5000" w:type="pct"/>
        <w:tblLook w:val="04A0" w:firstRow="1" w:lastRow="0" w:firstColumn="1" w:lastColumn="0" w:noHBand="0" w:noVBand="1"/>
      </w:tblPr>
      <w:tblGrid>
        <w:gridCol w:w="1720"/>
        <w:gridCol w:w="328"/>
        <w:gridCol w:w="1883"/>
        <w:gridCol w:w="328"/>
        <w:gridCol w:w="1883"/>
        <w:gridCol w:w="1182"/>
        <w:gridCol w:w="1180"/>
      </w:tblGrid>
      <w:tr w:rsidR="002949B4" w:rsidRPr="00310950" w14:paraId="6110B4DE" w14:textId="77777777" w:rsidTr="00DF1409">
        <w:trPr>
          <w:trHeight w:val="300"/>
        </w:trPr>
        <w:tc>
          <w:tcPr>
            <w:tcW w:w="3611" w:type="pct"/>
            <w:gridSpan w:val="5"/>
            <w:tcBorders>
              <w:top w:val="nil"/>
              <w:left w:val="nil"/>
              <w:bottom w:val="single" w:sz="12" w:space="0" w:color="auto"/>
              <w:right w:val="nil"/>
            </w:tcBorders>
            <w:shd w:val="clear" w:color="auto" w:fill="auto"/>
            <w:noWrap/>
            <w:vAlign w:val="center"/>
            <w:hideMark/>
          </w:tcPr>
          <w:p w14:paraId="3B2BA0BB" w14:textId="77777777" w:rsidR="002949B4" w:rsidRPr="00310950" w:rsidRDefault="002949B4" w:rsidP="00DF1409">
            <w:pPr>
              <w:spacing w:after="0" w:line="240" w:lineRule="auto"/>
              <w:rPr>
                <w:rFonts w:ascii="Times New Roman" w:eastAsia="Times New Roman" w:hAnsi="Times New Roman" w:cs="Times New Roman"/>
                <w:b/>
                <w:bCs/>
                <w:color w:val="000000"/>
                <w:sz w:val="20"/>
                <w:szCs w:val="20"/>
                <w:lang w:val="en-GB"/>
              </w:rPr>
            </w:pPr>
            <w:r w:rsidRPr="00310950">
              <w:rPr>
                <w:rFonts w:ascii="Times New Roman" w:eastAsia="Times New Roman" w:hAnsi="Times New Roman" w:cs="Times New Roman"/>
                <w:b/>
                <w:bCs/>
                <w:color w:val="000000"/>
                <w:sz w:val="20"/>
                <w:szCs w:val="20"/>
                <w:lang w:val="en-GB"/>
              </w:rPr>
              <w:t>Table 5.</w:t>
            </w:r>
            <w:r w:rsidRPr="00310950">
              <w:rPr>
                <w:rFonts w:ascii="Times New Roman" w:eastAsia="Times New Roman" w:hAnsi="Times New Roman" w:cs="Times New Roman"/>
                <w:color w:val="000000"/>
                <w:sz w:val="20"/>
                <w:szCs w:val="20"/>
                <w:lang w:val="en-GB"/>
              </w:rPr>
              <w:t xml:space="preserve"> Sensitivity tests results</w:t>
            </w:r>
          </w:p>
        </w:tc>
        <w:tc>
          <w:tcPr>
            <w:tcW w:w="695" w:type="pct"/>
            <w:tcBorders>
              <w:top w:val="nil"/>
              <w:left w:val="nil"/>
              <w:bottom w:val="single" w:sz="12" w:space="0" w:color="auto"/>
              <w:right w:val="nil"/>
            </w:tcBorders>
            <w:shd w:val="clear" w:color="auto" w:fill="auto"/>
            <w:noWrap/>
            <w:vAlign w:val="center"/>
            <w:hideMark/>
          </w:tcPr>
          <w:p w14:paraId="13C2085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694" w:type="pct"/>
            <w:tcBorders>
              <w:top w:val="nil"/>
              <w:left w:val="nil"/>
              <w:bottom w:val="single" w:sz="12" w:space="0" w:color="auto"/>
              <w:right w:val="nil"/>
            </w:tcBorders>
            <w:shd w:val="clear" w:color="auto" w:fill="auto"/>
            <w:noWrap/>
            <w:vAlign w:val="center"/>
            <w:hideMark/>
          </w:tcPr>
          <w:p w14:paraId="15C5D1D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r>
      <w:tr w:rsidR="002949B4" w:rsidRPr="00310950" w14:paraId="7CB817F2" w14:textId="77777777" w:rsidTr="00DF1409">
        <w:trPr>
          <w:trHeight w:val="300"/>
        </w:trPr>
        <w:tc>
          <w:tcPr>
            <w:tcW w:w="1011" w:type="pct"/>
            <w:tcBorders>
              <w:top w:val="single" w:sz="12" w:space="0" w:color="auto"/>
              <w:left w:val="nil"/>
              <w:bottom w:val="single" w:sz="4" w:space="0" w:color="auto"/>
              <w:right w:val="nil"/>
            </w:tcBorders>
            <w:shd w:val="clear" w:color="auto" w:fill="auto"/>
            <w:noWrap/>
            <w:vAlign w:val="center"/>
            <w:hideMark/>
          </w:tcPr>
          <w:p w14:paraId="58F7A195"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Test</w:t>
            </w:r>
          </w:p>
        </w:tc>
        <w:tc>
          <w:tcPr>
            <w:tcW w:w="193" w:type="pct"/>
            <w:tcBorders>
              <w:top w:val="single" w:sz="12" w:space="0" w:color="auto"/>
              <w:left w:val="nil"/>
              <w:bottom w:val="single" w:sz="4" w:space="0" w:color="auto"/>
              <w:right w:val="nil"/>
            </w:tcBorders>
            <w:shd w:val="clear" w:color="auto" w:fill="auto"/>
            <w:noWrap/>
            <w:vAlign w:val="center"/>
            <w:hideMark/>
          </w:tcPr>
          <w:p w14:paraId="2EFEB16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07" w:type="pct"/>
            <w:tcBorders>
              <w:top w:val="single" w:sz="12" w:space="0" w:color="auto"/>
              <w:left w:val="nil"/>
              <w:bottom w:val="single" w:sz="4" w:space="0" w:color="auto"/>
              <w:right w:val="nil"/>
            </w:tcBorders>
            <w:shd w:val="clear" w:color="auto" w:fill="auto"/>
            <w:noWrap/>
            <w:vAlign w:val="center"/>
            <w:hideMark/>
          </w:tcPr>
          <w:p w14:paraId="7BE8F2A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Model 1</w:t>
            </w:r>
          </w:p>
        </w:tc>
        <w:tc>
          <w:tcPr>
            <w:tcW w:w="193" w:type="pct"/>
            <w:tcBorders>
              <w:top w:val="single" w:sz="12" w:space="0" w:color="auto"/>
              <w:left w:val="nil"/>
              <w:bottom w:val="single" w:sz="4" w:space="0" w:color="auto"/>
              <w:right w:val="nil"/>
            </w:tcBorders>
            <w:shd w:val="clear" w:color="auto" w:fill="auto"/>
            <w:noWrap/>
            <w:vAlign w:val="center"/>
            <w:hideMark/>
          </w:tcPr>
          <w:p w14:paraId="32B1743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07" w:type="pct"/>
            <w:tcBorders>
              <w:top w:val="single" w:sz="12" w:space="0" w:color="auto"/>
              <w:left w:val="nil"/>
              <w:bottom w:val="single" w:sz="4" w:space="0" w:color="auto"/>
              <w:right w:val="nil"/>
            </w:tcBorders>
            <w:shd w:val="clear" w:color="auto" w:fill="auto"/>
            <w:noWrap/>
            <w:vAlign w:val="center"/>
            <w:hideMark/>
          </w:tcPr>
          <w:p w14:paraId="5CC343F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Model 2</w:t>
            </w:r>
          </w:p>
        </w:tc>
        <w:tc>
          <w:tcPr>
            <w:tcW w:w="695" w:type="pct"/>
            <w:tcBorders>
              <w:top w:val="single" w:sz="12" w:space="0" w:color="auto"/>
              <w:left w:val="nil"/>
              <w:bottom w:val="single" w:sz="4" w:space="0" w:color="auto"/>
              <w:right w:val="nil"/>
            </w:tcBorders>
            <w:shd w:val="clear" w:color="auto" w:fill="auto"/>
            <w:noWrap/>
            <w:vAlign w:val="center"/>
            <w:hideMark/>
          </w:tcPr>
          <w:p w14:paraId="4A12E4C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695" w:type="pct"/>
            <w:tcBorders>
              <w:top w:val="single" w:sz="12" w:space="0" w:color="auto"/>
              <w:left w:val="nil"/>
              <w:bottom w:val="single" w:sz="4" w:space="0" w:color="auto"/>
              <w:right w:val="nil"/>
            </w:tcBorders>
            <w:shd w:val="clear" w:color="auto" w:fill="auto"/>
            <w:noWrap/>
            <w:vAlign w:val="center"/>
            <w:hideMark/>
          </w:tcPr>
          <w:p w14:paraId="51DF407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Model 3</w:t>
            </w:r>
          </w:p>
        </w:tc>
      </w:tr>
      <w:tr w:rsidR="002949B4" w:rsidRPr="00310950" w14:paraId="0D7C4C90" w14:textId="77777777" w:rsidTr="00DF1409">
        <w:trPr>
          <w:trHeight w:val="300"/>
        </w:trPr>
        <w:tc>
          <w:tcPr>
            <w:tcW w:w="1204" w:type="pct"/>
            <w:gridSpan w:val="2"/>
            <w:tcBorders>
              <w:top w:val="single" w:sz="4" w:space="0" w:color="auto"/>
              <w:left w:val="nil"/>
              <w:bottom w:val="nil"/>
              <w:right w:val="nil"/>
            </w:tcBorders>
            <w:shd w:val="clear" w:color="auto" w:fill="auto"/>
            <w:noWrap/>
            <w:vAlign w:val="center"/>
            <w:hideMark/>
          </w:tcPr>
          <w:p w14:paraId="3D7BAA82"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RAMSEY</w:t>
            </w:r>
          </w:p>
        </w:tc>
        <w:tc>
          <w:tcPr>
            <w:tcW w:w="1107" w:type="pct"/>
            <w:tcBorders>
              <w:top w:val="single" w:sz="4" w:space="0" w:color="auto"/>
              <w:left w:val="nil"/>
              <w:bottom w:val="nil"/>
              <w:right w:val="nil"/>
            </w:tcBorders>
            <w:shd w:val="clear" w:color="auto" w:fill="auto"/>
            <w:noWrap/>
            <w:vAlign w:val="center"/>
            <w:hideMark/>
          </w:tcPr>
          <w:p w14:paraId="4C48FFF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1.634</w:t>
            </w:r>
          </w:p>
        </w:tc>
        <w:tc>
          <w:tcPr>
            <w:tcW w:w="193" w:type="pct"/>
            <w:tcBorders>
              <w:top w:val="single" w:sz="4" w:space="0" w:color="auto"/>
              <w:left w:val="nil"/>
              <w:bottom w:val="nil"/>
              <w:right w:val="nil"/>
            </w:tcBorders>
            <w:shd w:val="clear" w:color="auto" w:fill="auto"/>
            <w:noWrap/>
            <w:vAlign w:val="bottom"/>
            <w:hideMark/>
          </w:tcPr>
          <w:p w14:paraId="279160A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single" w:sz="4" w:space="0" w:color="auto"/>
              <w:left w:val="nil"/>
              <w:bottom w:val="nil"/>
              <w:right w:val="nil"/>
            </w:tcBorders>
            <w:shd w:val="clear" w:color="auto" w:fill="auto"/>
            <w:noWrap/>
            <w:vAlign w:val="center"/>
            <w:hideMark/>
          </w:tcPr>
          <w:p w14:paraId="0F36CFE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1.822</w:t>
            </w:r>
          </w:p>
        </w:tc>
        <w:tc>
          <w:tcPr>
            <w:tcW w:w="695" w:type="pct"/>
            <w:tcBorders>
              <w:top w:val="single" w:sz="4" w:space="0" w:color="auto"/>
              <w:left w:val="nil"/>
              <w:bottom w:val="nil"/>
              <w:right w:val="nil"/>
            </w:tcBorders>
            <w:shd w:val="clear" w:color="auto" w:fill="auto"/>
            <w:noWrap/>
            <w:vAlign w:val="bottom"/>
            <w:hideMark/>
          </w:tcPr>
          <w:p w14:paraId="44D2787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single" w:sz="4" w:space="0" w:color="auto"/>
              <w:left w:val="nil"/>
              <w:bottom w:val="nil"/>
              <w:right w:val="nil"/>
            </w:tcBorders>
            <w:shd w:val="clear" w:color="auto" w:fill="auto"/>
            <w:noWrap/>
            <w:vAlign w:val="center"/>
            <w:hideMark/>
          </w:tcPr>
          <w:p w14:paraId="5964DCE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0.661</w:t>
            </w:r>
          </w:p>
        </w:tc>
      </w:tr>
      <w:tr w:rsidR="002949B4" w:rsidRPr="00310950" w14:paraId="60BB2F5C" w14:textId="77777777" w:rsidTr="00DF1409">
        <w:trPr>
          <w:trHeight w:val="300"/>
        </w:trPr>
        <w:tc>
          <w:tcPr>
            <w:tcW w:w="1011" w:type="pct"/>
            <w:tcBorders>
              <w:top w:val="nil"/>
              <w:left w:val="nil"/>
              <w:bottom w:val="nil"/>
              <w:right w:val="nil"/>
            </w:tcBorders>
            <w:shd w:val="clear" w:color="auto" w:fill="auto"/>
            <w:noWrap/>
            <w:vAlign w:val="bottom"/>
            <w:hideMark/>
          </w:tcPr>
          <w:p w14:paraId="7491E95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3" w:type="pct"/>
            <w:tcBorders>
              <w:top w:val="nil"/>
              <w:left w:val="nil"/>
              <w:bottom w:val="nil"/>
              <w:right w:val="nil"/>
            </w:tcBorders>
            <w:shd w:val="clear" w:color="auto" w:fill="auto"/>
            <w:noWrap/>
            <w:vAlign w:val="bottom"/>
            <w:hideMark/>
          </w:tcPr>
          <w:p w14:paraId="1CB1447D"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579D246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(-0.441)</w:t>
            </w:r>
          </w:p>
        </w:tc>
        <w:tc>
          <w:tcPr>
            <w:tcW w:w="193" w:type="pct"/>
            <w:tcBorders>
              <w:top w:val="nil"/>
              <w:left w:val="nil"/>
              <w:bottom w:val="nil"/>
              <w:right w:val="nil"/>
            </w:tcBorders>
            <w:shd w:val="clear" w:color="auto" w:fill="auto"/>
            <w:noWrap/>
            <w:vAlign w:val="bottom"/>
            <w:hideMark/>
          </w:tcPr>
          <w:p w14:paraId="4289AD8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36D3CDE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(-0.401)</w:t>
            </w:r>
          </w:p>
        </w:tc>
        <w:tc>
          <w:tcPr>
            <w:tcW w:w="695" w:type="pct"/>
            <w:tcBorders>
              <w:top w:val="nil"/>
              <w:left w:val="nil"/>
              <w:bottom w:val="nil"/>
              <w:right w:val="nil"/>
            </w:tcBorders>
            <w:shd w:val="clear" w:color="auto" w:fill="auto"/>
            <w:noWrap/>
            <w:vAlign w:val="bottom"/>
            <w:hideMark/>
          </w:tcPr>
          <w:p w14:paraId="768F861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7B17F26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(-0.718)</w:t>
            </w:r>
          </w:p>
        </w:tc>
      </w:tr>
      <w:tr w:rsidR="002949B4" w:rsidRPr="00310950" w14:paraId="7D025FF8" w14:textId="77777777" w:rsidTr="00DF1409">
        <w:trPr>
          <w:trHeight w:val="300"/>
        </w:trPr>
        <w:tc>
          <w:tcPr>
            <w:tcW w:w="1204" w:type="pct"/>
            <w:gridSpan w:val="2"/>
            <w:tcBorders>
              <w:top w:val="nil"/>
              <w:left w:val="nil"/>
              <w:bottom w:val="nil"/>
              <w:right w:val="nil"/>
            </w:tcBorders>
            <w:shd w:val="clear" w:color="auto" w:fill="auto"/>
            <w:noWrap/>
            <w:vAlign w:val="center"/>
            <w:hideMark/>
          </w:tcPr>
          <w:p w14:paraId="0814C37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JB</w:t>
            </w:r>
          </w:p>
        </w:tc>
        <w:tc>
          <w:tcPr>
            <w:tcW w:w="1107" w:type="pct"/>
            <w:tcBorders>
              <w:top w:val="nil"/>
              <w:left w:val="nil"/>
              <w:bottom w:val="nil"/>
              <w:right w:val="nil"/>
            </w:tcBorders>
            <w:shd w:val="clear" w:color="auto" w:fill="auto"/>
            <w:noWrap/>
            <w:vAlign w:val="center"/>
            <w:hideMark/>
          </w:tcPr>
          <w:p w14:paraId="1F9AE34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10.046</w:t>
            </w:r>
          </w:p>
        </w:tc>
        <w:tc>
          <w:tcPr>
            <w:tcW w:w="193" w:type="pct"/>
            <w:tcBorders>
              <w:top w:val="nil"/>
              <w:left w:val="nil"/>
              <w:bottom w:val="nil"/>
              <w:right w:val="nil"/>
            </w:tcBorders>
            <w:shd w:val="clear" w:color="auto" w:fill="auto"/>
            <w:noWrap/>
            <w:vAlign w:val="bottom"/>
            <w:hideMark/>
          </w:tcPr>
          <w:p w14:paraId="140CEB3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4EA9469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8.651</w:t>
            </w:r>
          </w:p>
        </w:tc>
        <w:tc>
          <w:tcPr>
            <w:tcW w:w="695" w:type="pct"/>
            <w:tcBorders>
              <w:top w:val="nil"/>
              <w:left w:val="nil"/>
              <w:bottom w:val="nil"/>
              <w:right w:val="nil"/>
            </w:tcBorders>
            <w:shd w:val="clear" w:color="auto" w:fill="auto"/>
            <w:noWrap/>
            <w:vAlign w:val="bottom"/>
            <w:hideMark/>
          </w:tcPr>
          <w:p w14:paraId="4F06215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3939E49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15.466</w:t>
            </w:r>
          </w:p>
        </w:tc>
      </w:tr>
      <w:tr w:rsidR="002949B4" w:rsidRPr="00310950" w14:paraId="0D438A7E" w14:textId="77777777" w:rsidTr="00DF1409">
        <w:trPr>
          <w:trHeight w:val="300"/>
        </w:trPr>
        <w:tc>
          <w:tcPr>
            <w:tcW w:w="1011" w:type="pct"/>
            <w:tcBorders>
              <w:top w:val="nil"/>
              <w:left w:val="nil"/>
              <w:bottom w:val="nil"/>
              <w:right w:val="nil"/>
            </w:tcBorders>
            <w:shd w:val="clear" w:color="auto" w:fill="auto"/>
            <w:noWrap/>
            <w:vAlign w:val="bottom"/>
            <w:hideMark/>
          </w:tcPr>
          <w:p w14:paraId="5F28B05E"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3" w:type="pct"/>
            <w:tcBorders>
              <w:top w:val="nil"/>
              <w:left w:val="nil"/>
              <w:bottom w:val="nil"/>
              <w:right w:val="nil"/>
            </w:tcBorders>
            <w:shd w:val="clear" w:color="auto" w:fill="auto"/>
            <w:noWrap/>
            <w:vAlign w:val="bottom"/>
            <w:hideMark/>
          </w:tcPr>
          <w:p w14:paraId="3702E8F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05B0AF1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(-0.346)</w:t>
            </w:r>
          </w:p>
        </w:tc>
        <w:tc>
          <w:tcPr>
            <w:tcW w:w="193" w:type="pct"/>
            <w:tcBorders>
              <w:top w:val="nil"/>
              <w:left w:val="nil"/>
              <w:bottom w:val="nil"/>
              <w:right w:val="nil"/>
            </w:tcBorders>
            <w:shd w:val="clear" w:color="auto" w:fill="auto"/>
            <w:noWrap/>
            <w:vAlign w:val="bottom"/>
            <w:hideMark/>
          </w:tcPr>
          <w:p w14:paraId="6638D66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2D85DBE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(-0.565)</w:t>
            </w:r>
          </w:p>
        </w:tc>
        <w:tc>
          <w:tcPr>
            <w:tcW w:w="695" w:type="pct"/>
            <w:tcBorders>
              <w:top w:val="nil"/>
              <w:left w:val="nil"/>
              <w:bottom w:val="nil"/>
              <w:right w:val="nil"/>
            </w:tcBorders>
            <w:shd w:val="clear" w:color="auto" w:fill="auto"/>
            <w:noWrap/>
            <w:vAlign w:val="bottom"/>
            <w:hideMark/>
          </w:tcPr>
          <w:p w14:paraId="0350EB8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52687B0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(-0.216)</w:t>
            </w:r>
          </w:p>
        </w:tc>
      </w:tr>
      <w:tr w:rsidR="002949B4" w:rsidRPr="00310950" w14:paraId="094CE067" w14:textId="77777777" w:rsidTr="00DF1409">
        <w:trPr>
          <w:trHeight w:val="300"/>
        </w:trPr>
        <w:tc>
          <w:tcPr>
            <w:tcW w:w="1011" w:type="pct"/>
            <w:tcBorders>
              <w:top w:val="nil"/>
              <w:left w:val="nil"/>
              <w:bottom w:val="nil"/>
              <w:right w:val="nil"/>
            </w:tcBorders>
            <w:shd w:val="clear" w:color="auto" w:fill="auto"/>
            <w:noWrap/>
            <w:vAlign w:val="center"/>
            <w:hideMark/>
          </w:tcPr>
          <w:p w14:paraId="7324C5EF"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ARCH</w:t>
            </w:r>
          </w:p>
        </w:tc>
        <w:tc>
          <w:tcPr>
            <w:tcW w:w="193" w:type="pct"/>
            <w:tcBorders>
              <w:top w:val="nil"/>
              <w:left w:val="nil"/>
              <w:bottom w:val="nil"/>
              <w:right w:val="nil"/>
            </w:tcBorders>
            <w:shd w:val="clear" w:color="auto" w:fill="auto"/>
            <w:noWrap/>
            <w:vAlign w:val="bottom"/>
            <w:hideMark/>
          </w:tcPr>
          <w:p w14:paraId="64CA4A92"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3F9BC0D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1.234</w:t>
            </w:r>
          </w:p>
        </w:tc>
        <w:tc>
          <w:tcPr>
            <w:tcW w:w="193" w:type="pct"/>
            <w:tcBorders>
              <w:top w:val="nil"/>
              <w:left w:val="nil"/>
              <w:bottom w:val="nil"/>
              <w:right w:val="nil"/>
            </w:tcBorders>
            <w:shd w:val="clear" w:color="auto" w:fill="auto"/>
            <w:noWrap/>
            <w:vAlign w:val="bottom"/>
            <w:hideMark/>
          </w:tcPr>
          <w:p w14:paraId="5541F75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5EBA620D"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1.481</w:t>
            </w:r>
          </w:p>
        </w:tc>
        <w:tc>
          <w:tcPr>
            <w:tcW w:w="695" w:type="pct"/>
            <w:tcBorders>
              <w:top w:val="nil"/>
              <w:left w:val="nil"/>
              <w:bottom w:val="nil"/>
              <w:right w:val="nil"/>
            </w:tcBorders>
            <w:shd w:val="clear" w:color="auto" w:fill="auto"/>
            <w:noWrap/>
            <w:vAlign w:val="bottom"/>
            <w:hideMark/>
          </w:tcPr>
          <w:p w14:paraId="2F50755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3CB1BA8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5.554</w:t>
            </w:r>
          </w:p>
        </w:tc>
      </w:tr>
      <w:tr w:rsidR="002949B4" w:rsidRPr="00310950" w14:paraId="15FB8A1D" w14:textId="77777777" w:rsidTr="00DF1409">
        <w:trPr>
          <w:trHeight w:val="315"/>
        </w:trPr>
        <w:tc>
          <w:tcPr>
            <w:tcW w:w="1011" w:type="pct"/>
            <w:tcBorders>
              <w:top w:val="nil"/>
              <w:left w:val="nil"/>
              <w:bottom w:val="nil"/>
              <w:right w:val="nil"/>
            </w:tcBorders>
            <w:shd w:val="clear" w:color="auto" w:fill="auto"/>
            <w:noWrap/>
            <w:vAlign w:val="bottom"/>
            <w:hideMark/>
          </w:tcPr>
          <w:p w14:paraId="6549745B"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3" w:type="pct"/>
            <w:tcBorders>
              <w:top w:val="nil"/>
              <w:left w:val="nil"/>
              <w:bottom w:val="nil"/>
              <w:right w:val="nil"/>
            </w:tcBorders>
            <w:shd w:val="clear" w:color="auto" w:fill="auto"/>
            <w:noWrap/>
            <w:vAlign w:val="bottom"/>
            <w:hideMark/>
          </w:tcPr>
          <w:p w14:paraId="4E01B5F4"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32AE24E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(-0.266)</w:t>
            </w:r>
          </w:p>
        </w:tc>
        <w:tc>
          <w:tcPr>
            <w:tcW w:w="193" w:type="pct"/>
            <w:tcBorders>
              <w:top w:val="nil"/>
              <w:left w:val="nil"/>
              <w:bottom w:val="nil"/>
              <w:right w:val="nil"/>
            </w:tcBorders>
            <w:shd w:val="clear" w:color="auto" w:fill="auto"/>
            <w:noWrap/>
            <w:vAlign w:val="bottom"/>
            <w:hideMark/>
          </w:tcPr>
          <w:p w14:paraId="5DC9EABC"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263F191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(-0.223)</w:t>
            </w:r>
          </w:p>
        </w:tc>
        <w:tc>
          <w:tcPr>
            <w:tcW w:w="695" w:type="pct"/>
            <w:tcBorders>
              <w:top w:val="nil"/>
              <w:left w:val="nil"/>
              <w:bottom w:val="nil"/>
              <w:right w:val="nil"/>
            </w:tcBorders>
            <w:shd w:val="clear" w:color="auto" w:fill="auto"/>
            <w:noWrap/>
            <w:vAlign w:val="bottom"/>
            <w:hideMark/>
          </w:tcPr>
          <w:p w14:paraId="5DB19B28"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019A42A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(-0.91)</w:t>
            </w:r>
          </w:p>
        </w:tc>
      </w:tr>
      <w:tr w:rsidR="002949B4" w:rsidRPr="00310950" w14:paraId="4CEBF371" w14:textId="77777777" w:rsidTr="00DF1409">
        <w:trPr>
          <w:trHeight w:val="315"/>
        </w:trPr>
        <w:tc>
          <w:tcPr>
            <w:tcW w:w="1011" w:type="pct"/>
            <w:tcBorders>
              <w:top w:val="nil"/>
              <w:left w:val="nil"/>
              <w:bottom w:val="nil"/>
              <w:right w:val="nil"/>
            </w:tcBorders>
            <w:shd w:val="clear" w:color="auto" w:fill="auto"/>
            <w:noWrap/>
            <w:vAlign w:val="center"/>
            <w:hideMark/>
          </w:tcPr>
          <w:p w14:paraId="6DEE29AA"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RESET</w:t>
            </w:r>
          </w:p>
        </w:tc>
        <w:tc>
          <w:tcPr>
            <w:tcW w:w="193" w:type="pct"/>
            <w:tcBorders>
              <w:top w:val="nil"/>
              <w:left w:val="nil"/>
              <w:bottom w:val="nil"/>
              <w:right w:val="nil"/>
            </w:tcBorders>
            <w:shd w:val="clear" w:color="auto" w:fill="auto"/>
            <w:noWrap/>
            <w:vAlign w:val="bottom"/>
            <w:hideMark/>
          </w:tcPr>
          <w:p w14:paraId="64C14DC3"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66D122C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5.772</w:t>
            </w:r>
          </w:p>
        </w:tc>
        <w:tc>
          <w:tcPr>
            <w:tcW w:w="193" w:type="pct"/>
            <w:tcBorders>
              <w:top w:val="nil"/>
              <w:left w:val="nil"/>
              <w:bottom w:val="nil"/>
              <w:right w:val="nil"/>
            </w:tcBorders>
            <w:shd w:val="clear" w:color="auto" w:fill="auto"/>
            <w:noWrap/>
            <w:vAlign w:val="bottom"/>
            <w:hideMark/>
          </w:tcPr>
          <w:p w14:paraId="002F3C0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2F1F94D1"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5.449</w:t>
            </w:r>
          </w:p>
        </w:tc>
        <w:tc>
          <w:tcPr>
            <w:tcW w:w="695" w:type="pct"/>
            <w:tcBorders>
              <w:top w:val="nil"/>
              <w:left w:val="nil"/>
              <w:bottom w:val="nil"/>
              <w:right w:val="nil"/>
            </w:tcBorders>
            <w:shd w:val="clear" w:color="auto" w:fill="auto"/>
            <w:noWrap/>
            <w:vAlign w:val="bottom"/>
            <w:hideMark/>
          </w:tcPr>
          <w:p w14:paraId="699CE47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42F505CA"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3.095</w:t>
            </w:r>
          </w:p>
        </w:tc>
      </w:tr>
      <w:tr w:rsidR="002949B4" w:rsidRPr="00310950" w14:paraId="51CEF378" w14:textId="77777777" w:rsidTr="00DF1409">
        <w:trPr>
          <w:trHeight w:val="300"/>
        </w:trPr>
        <w:tc>
          <w:tcPr>
            <w:tcW w:w="1011" w:type="pct"/>
            <w:tcBorders>
              <w:top w:val="nil"/>
              <w:left w:val="nil"/>
              <w:bottom w:val="nil"/>
              <w:right w:val="nil"/>
            </w:tcBorders>
            <w:shd w:val="clear" w:color="auto" w:fill="auto"/>
            <w:noWrap/>
            <w:vAlign w:val="bottom"/>
            <w:hideMark/>
          </w:tcPr>
          <w:p w14:paraId="12E726D2"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93" w:type="pct"/>
            <w:tcBorders>
              <w:top w:val="nil"/>
              <w:left w:val="nil"/>
              <w:bottom w:val="nil"/>
              <w:right w:val="nil"/>
            </w:tcBorders>
            <w:shd w:val="clear" w:color="auto" w:fill="auto"/>
            <w:noWrap/>
            <w:vAlign w:val="bottom"/>
            <w:hideMark/>
          </w:tcPr>
          <w:p w14:paraId="48C907ED"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6341ED6E"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(-0.030)</w:t>
            </w:r>
          </w:p>
        </w:tc>
        <w:tc>
          <w:tcPr>
            <w:tcW w:w="193" w:type="pct"/>
            <w:tcBorders>
              <w:top w:val="nil"/>
              <w:left w:val="nil"/>
              <w:bottom w:val="nil"/>
              <w:right w:val="nil"/>
            </w:tcBorders>
            <w:shd w:val="clear" w:color="auto" w:fill="auto"/>
            <w:noWrap/>
            <w:vAlign w:val="bottom"/>
            <w:hideMark/>
          </w:tcPr>
          <w:p w14:paraId="733E8919"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411E72C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(-0.036)</w:t>
            </w:r>
          </w:p>
        </w:tc>
        <w:tc>
          <w:tcPr>
            <w:tcW w:w="695" w:type="pct"/>
            <w:tcBorders>
              <w:top w:val="nil"/>
              <w:left w:val="nil"/>
              <w:bottom w:val="nil"/>
              <w:right w:val="nil"/>
            </w:tcBorders>
            <w:shd w:val="clear" w:color="auto" w:fill="auto"/>
            <w:noWrap/>
            <w:vAlign w:val="bottom"/>
            <w:hideMark/>
          </w:tcPr>
          <w:p w14:paraId="4825148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519164A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(-0.016)</w:t>
            </w:r>
          </w:p>
        </w:tc>
      </w:tr>
      <w:tr w:rsidR="002949B4" w:rsidRPr="00310950" w14:paraId="01FA5AAF" w14:textId="77777777" w:rsidTr="00DF1409">
        <w:trPr>
          <w:trHeight w:val="300"/>
        </w:trPr>
        <w:tc>
          <w:tcPr>
            <w:tcW w:w="1011" w:type="pct"/>
            <w:tcBorders>
              <w:top w:val="nil"/>
              <w:left w:val="nil"/>
              <w:bottom w:val="nil"/>
              <w:right w:val="nil"/>
            </w:tcBorders>
            <w:shd w:val="clear" w:color="auto" w:fill="auto"/>
            <w:noWrap/>
            <w:vAlign w:val="bottom"/>
            <w:hideMark/>
          </w:tcPr>
          <w:p w14:paraId="0B5F2128"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LM</w:t>
            </w:r>
          </w:p>
        </w:tc>
        <w:tc>
          <w:tcPr>
            <w:tcW w:w="193" w:type="pct"/>
            <w:tcBorders>
              <w:top w:val="nil"/>
              <w:left w:val="nil"/>
              <w:bottom w:val="nil"/>
              <w:right w:val="nil"/>
            </w:tcBorders>
            <w:shd w:val="clear" w:color="auto" w:fill="auto"/>
            <w:noWrap/>
            <w:vAlign w:val="bottom"/>
            <w:hideMark/>
          </w:tcPr>
          <w:p w14:paraId="5B87B7D9"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00A4E224"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1.392</w:t>
            </w:r>
          </w:p>
        </w:tc>
        <w:tc>
          <w:tcPr>
            <w:tcW w:w="193" w:type="pct"/>
            <w:tcBorders>
              <w:top w:val="nil"/>
              <w:left w:val="nil"/>
              <w:bottom w:val="nil"/>
              <w:right w:val="nil"/>
            </w:tcBorders>
            <w:shd w:val="clear" w:color="auto" w:fill="auto"/>
            <w:noWrap/>
            <w:vAlign w:val="bottom"/>
            <w:hideMark/>
          </w:tcPr>
          <w:p w14:paraId="50843E8B"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1107" w:type="pct"/>
            <w:tcBorders>
              <w:top w:val="nil"/>
              <w:left w:val="nil"/>
              <w:bottom w:val="nil"/>
              <w:right w:val="nil"/>
            </w:tcBorders>
            <w:shd w:val="clear" w:color="auto" w:fill="auto"/>
            <w:noWrap/>
            <w:vAlign w:val="center"/>
            <w:hideMark/>
          </w:tcPr>
          <w:p w14:paraId="7C602E90"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0.782</w:t>
            </w:r>
          </w:p>
        </w:tc>
        <w:tc>
          <w:tcPr>
            <w:tcW w:w="695" w:type="pct"/>
            <w:tcBorders>
              <w:top w:val="nil"/>
              <w:left w:val="nil"/>
              <w:bottom w:val="nil"/>
              <w:right w:val="nil"/>
            </w:tcBorders>
            <w:shd w:val="clear" w:color="auto" w:fill="auto"/>
            <w:noWrap/>
            <w:vAlign w:val="bottom"/>
            <w:hideMark/>
          </w:tcPr>
          <w:p w14:paraId="10E74E57"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p>
        </w:tc>
        <w:tc>
          <w:tcPr>
            <w:tcW w:w="695" w:type="pct"/>
            <w:tcBorders>
              <w:top w:val="nil"/>
              <w:left w:val="nil"/>
              <w:bottom w:val="nil"/>
              <w:right w:val="nil"/>
            </w:tcBorders>
            <w:shd w:val="clear" w:color="auto" w:fill="auto"/>
            <w:noWrap/>
            <w:vAlign w:val="center"/>
            <w:hideMark/>
          </w:tcPr>
          <w:p w14:paraId="14B5152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1.143</w:t>
            </w:r>
          </w:p>
        </w:tc>
      </w:tr>
      <w:tr w:rsidR="002949B4" w:rsidRPr="00310950" w14:paraId="0BAC43B4" w14:textId="77777777" w:rsidTr="00DF1409">
        <w:trPr>
          <w:trHeight w:val="300"/>
        </w:trPr>
        <w:tc>
          <w:tcPr>
            <w:tcW w:w="1011" w:type="pct"/>
            <w:tcBorders>
              <w:top w:val="nil"/>
              <w:left w:val="nil"/>
              <w:bottom w:val="single" w:sz="12" w:space="0" w:color="auto"/>
              <w:right w:val="nil"/>
            </w:tcBorders>
            <w:shd w:val="clear" w:color="auto" w:fill="auto"/>
            <w:noWrap/>
            <w:vAlign w:val="bottom"/>
            <w:hideMark/>
          </w:tcPr>
          <w:p w14:paraId="7C759E4C"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93" w:type="pct"/>
            <w:tcBorders>
              <w:top w:val="nil"/>
              <w:left w:val="nil"/>
              <w:bottom w:val="single" w:sz="12" w:space="0" w:color="auto"/>
              <w:right w:val="nil"/>
            </w:tcBorders>
            <w:shd w:val="clear" w:color="auto" w:fill="auto"/>
            <w:noWrap/>
            <w:vAlign w:val="bottom"/>
            <w:hideMark/>
          </w:tcPr>
          <w:p w14:paraId="4746C8B1" w14:textId="77777777" w:rsidR="002949B4" w:rsidRPr="00310950" w:rsidRDefault="002949B4" w:rsidP="00DF1409">
            <w:pPr>
              <w:spacing w:after="0" w:line="240" w:lineRule="auto"/>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07" w:type="pct"/>
            <w:tcBorders>
              <w:top w:val="nil"/>
              <w:left w:val="nil"/>
              <w:bottom w:val="single" w:sz="12" w:space="0" w:color="auto"/>
              <w:right w:val="nil"/>
            </w:tcBorders>
            <w:shd w:val="clear" w:color="auto" w:fill="auto"/>
            <w:noWrap/>
            <w:vAlign w:val="center"/>
            <w:hideMark/>
          </w:tcPr>
          <w:p w14:paraId="018DFB42"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-0.247</w:t>
            </w:r>
          </w:p>
        </w:tc>
        <w:tc>
          <w:tcPr>
            <w:tcW w:w="193" w:type="pct"/>
            <w:tcBorders>
              <w:top w:val="nil"/>
              <w:left w:val="nil"/>
              <w:bottom w:val="single" w:sz="12" w:space="0" w:color="auto"/>
              <w:right w:val="nil"/>
            </w:tcBorders>
            <w:shd w:val="clear" w:color="auto" w:fill="auto"/>
            <w:noWrap/>
            <w:vAlign w:val="bottom"/>
            <w:hideMark/>
          </w:tcPr>
          <w:p w14:paraId="3EECB4FF"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1107" w:type="pct"/>
            <w:tcBorders>
              <w:top w:val="nil"/>
              <w:left w:val="nil"/>
              <w:bottom w:val="single" w:sz="12" w:space="0" w:color="auto"/>
              <w:right w:val="nil"/>
            </w:tcBorders>
            <w:shd w:val="clear" w:color="auto" w:fill="auto"/>
            <w:noWrap/>
            <w:vAlign w:val="center"/>
            <w:hideMark/>
          </w:tcPr>
          <w:p w14:paraId="19E85FF3"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0.376</w:t>
            </w:r>
          </w:p>
        </w:tc>
        <w:tc>
          <w:tcPr>
            <w:tcW w:w="695" w:type="pct"/>
            <w:tcBorders>
              <w:top w:val="nil"/>
              <w:left w:val="nil"/>
              <w:bottom w:val="single" w:sz="12" w:space="0" w:color="auto"/>
              <w:right w:val="nil"/>
            </w:tcBorders>
            <w:shd w:val="clear" w:color="auto" w:fill="auto"/>
            <w:noWrap/>
            <w:vAlign w:val="bottom"/>
            <w:hideMark/>
          </w:tcPr>
          <w:p w14:paraId="02B5ACE5"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 </w:t>
            </w:r>
          </w:p>
        </w:tc>
        <w:tc>
          <w:tcPr>
            <w:tcW w:w="695" w:type="pct"/>
            <w:tcBorders>
              <w:top w:val="nil"/>
              <w:left w:val="nil"/>
              <w:bottom w:val="single" w:sz="12" w:space="0" w:color="auto"/>
              <w:right w:val="nil"/>
            </w:tcBorders>
            <w:shd w:val="clear" w:color="auto" w:fill="auto"/>
            <w:noWrap/>
            <w:vAlign w:val="center"/>
            <w:hideMark/>
          </w:tcPr>
          <w:p w14:paraId="0EB688D6" w14:textId="77777777" w:rsidR="002949B4" w:rsidRPr="00310950" w:rsidRDefault="002949B4" w:rsidP="00DF1409">
            <w:pPr>
              <w:spacing w:after="0" w:line="240" w:lineRule="auto"/>
              <w:jc w:val="center"/>
              <w:rPr>
                <w:rFonts w:ascii="Times New Roman" w:eastAsia="Times New Roman" w:hAnsi="Times New Roman" w:cs="Times New Roman"/>
                <w:color w:val="000000"/>
                <w:sz w:val="20"/>
                <w:szCs w:val="20"/>
                <w:lang w:val="en-GB"/>
              </w:rPr>
            </w:pPr>
            <w:r w:rsidRPr="00310950">
              <w:rPr>
                <w:rFonts w:ascii="Times New Roman" w:eastAsia="Times New Roman" w:hAnsi="Times New Roman" w:cs="Times New Roman"/>
                <w:color w:val="000000"/>
                <w:sz w:val="20"/>
                <w:szCs w:val="20"/>
                <w:lang w:val="en-GB"/>
              </w:rPr>
              <w:t>0.338</w:t>
            </w:r>
          </w:p>
        </w:tc>
      </w:tr>
      <w:tr w:rsidR="002949B4" w:rsidRPr="00310950" w14:paraId="14E4D6F6" w14:textId="77777777" w:rsidTr="00DF1409">
        <w:trPr>
          <w:trHeight w:val="300"/>
        </w:trPr>
        <w:tc>
          <w:tcPr>
            <w:tcW w:w="1" w:type="pct"/>
            <w:gridSpan w:val="7"/>
            <w:tcBorders>
              <w:top w:val="single" w:sz="12" w:space="0" w:color="auto"/>
              <w:left w:val="nil"/>
              <w:right w:val="nil"/>
            </w:tcBorders>
            <w:shd w:val="clear" w:color="auto" w:fill="auto"/>
            <w:noWrap/>
            <w:vAlign w:val="bottom"/>
          </w:tcPr>
          <w:p w14:paraId="6AADFF38" w14:textId="77777777" w:rsidR="002949B4" w:rsidRPr="00310950" w:rsidRDefault="002949B4" w:rsidP="00DF1409">
            <w:pPr>
              <w:spacing w:after="0"/>
              <w:rPr>
                <w:rFonts w:ascii="Times New Roman" w:hAnsi="Times New Roman" w:cs="Times New Roman"/>
                <w:color w:val="000000"/>
                <w:sz w:val="20"/>
                <w:szCs w:val="20"/>
              </w:rPr>
            </w:pPr>
            <w:r w:rsidRPr="00310950">
              <w:rPr>
                <w:rFonts w:ascii="Times New Roman" w:hAnsi="Times New Roman" w:cs="Times New Roman"/>
                <w:color w:val="000000"/>
                <w:sz w:val="20"/>
                <w:szCs w:val="20"/>
              </w:rPr>
              <w:t>Source: Authors’ calculations.</w:t>
            </w:r>
          </w:p>
          <w:p w14:paraId="3024F557" w14:textId="77777777" w:rsidR="002949B4" w:rsidRPr="00310950" w:rsidRDefault="002949B4" w:rsidP="00DF1409">
            <w:pPr>
              <w:spacing w:after="0"/>
              <w:rPr>
                <w:rFonts w:ascii="Times New Roman" w:hAnsi="Times New Roman" w:cs="Times New Roman"/>
                <w:i/>
                <w:sz w:val="20"/>
                <w:szCs w:val="20"/>
              </w:rPr>
            </w:pPr>
            <w:r w:rsidRPr="00310950">
              <w:rPr>
                <w:rFonts w:ascii="Times New Roman" w:hAnsi="Times New Roman" w:cs="Times New Roman"/>
                <w:sz w:val="20"/>
                <w:szCs w:val="20"/>
              </w:rPr>
              <w:t xml:space="preserve">Note: numbers in parenthesis are </w:t>
            </w:r>
            <w:r w:rsidRPr="00310950">
              <w:rPr>
                <w:rFonts w:ascii="Times New Roman" w:hAnsi="Times New Roman" w:cs="Times New Roman"/>
                <w:iCs/>
                <w:sz w:val="20"/>
                <w:szCs w:val="20"/>
              </w:rPr>
              <w:t>p</w:t>
            </w:r>
            <w:r w:rsidRPr="00310950">
              <w:rPr>
                <w:rFonts w:ascii="Times New Roman" w:hAnsi="Times New Roman" w:cs="Times New Roman"/>
                <w:sz w:val="20"/>
                <w:szCs w:val="20"/>
              </w:rPr>
              <w:t>-values</w:t>
            </w:r>
            <w:r w:rsidRPr="00310950">
              <w:rPr>
                <w:rFonts w:ascii="Times New Roman" w:hAnsi="Times New Roman" w:cs="Times New Roman"/>
                <w:i/>
                <w:sz w:val="20"/>
                <w:szCs w:val="20"/>
              </w:rPr>
              <w:t>.</w:t>
            </w:r>
          </w:p>
        </w:tc>
      </w:tr>
    </w:tbl>
    <w:p w14:paraId="2A17525E" w14:textId="77777777" w:rsidR="002949B4" w:rsidRDefault="002949B4" w:rsidP="004F34EB">
      <w:pPr>
        <w:spacing w:after="120"/>
        <w:rPr>
          <w:rFonts w:asciiTheme="majorBidi" w:hAnsiTheme="majorBidi" w:cstheme="majorBidi"/>
          <w:b/>
        </w:rPr>
      </w:pPr>
    </w:p>
    <w:p w14:paraId="5BBFA010" w14:textId="77777777" w:rsidR="007D5B3F" w:rsidRPr="002949B4" w:rsidRDefault="007D5B3F" w:rsidP="002949B4">
      <w:pPr>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2949B4" w:rsidRPr="00182482" w14:paraId="15453F5A" w14:textId="77777777" w:rsidTr="00DF1409">
        <w:tc>
          <w:tcPr>
            <w:tcW w:w="8522" w:type="dxa"/>
          </w:tcPr>
          <w:p w14:paraId="616C5D54" w14:textId="77777777" w:rsidR="002949B4" w:rsidRPr="00310950" w:rsidRDefault="002949B4" w:rsidP="00DF1409">
            <w:pPr>
              <w:spacing w:after="120"/>
              <w:jc w:val="both"/>
              <w:rPr>
                <w:rFonts w:asciiTheme="majorBidi" w:hAnsiTheme="majorBidi" w:cstheme="majorBidi"/>
                <w:sz w:val="20"/>
                <w:szCs w:val="20"/>
              </w:rPr>
            </w:pPr>
            <w:r w:rsidRPr="00310950">
              <w:rPr>
                <w:rFonts w:asciiTheme="majorBidi" w:hAnsiTheme="majorBidi" w:cstheme="majorBidi"/>
                <w:noProof/>
                <w:sz w:val="20"/>
                <w:szCs w:val="20"/>
                <w:lang w:val="en-GB"/>
              </w:rPr>
              <w:drawing>
                <wp:inline distT="0" distB="0" distL="0" distR="0" wp14:anchorId="2EF8EEE2" wp14:editId="1EF120AE">
                  <wp:extent cx="4559300" cy="210396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949B4" w:rsidRPr="00182482" w14:paraId="67308299" w14:textId="77777777" w:rsidTr="00DF1409">
        <w:tc>
          <w:tcPr>
            <w:tcW w:w="8522" w:type="dxa"/>
          </w:tcPr>
          <w:p w14:paraId="1C9C1F63" w14:textId="77777777" w:rsidR="004E60EC" w:rsidRDefault="004E60EC" w:rsidP="004A245A">
            <w:pPr>
              <w:rPr>
                <w:rFonts w:asciiTheme="majorBidi" w:hAnsiTheme="majorBidi" w:cstheme="majorBidi"/>
                <w:sz w:val="20"/>
                <w:szCs w:val="20"/>
              </w:rPr>
            </w:pPr>
            <w:r w:rsidRPr="00182482">
              <w:rPr>
                <w:rFonts w:asciiTheme="majorBidi" w:hAnsiTheme="majorBidi" w:cstheme="majorBidi"/>
                <w:b/>
                <w:bCs/>
                <w:sz w:val="20"/>
                <w:szCs w:val="20"/>
              </w:rPr>
              <w:t>Figure 1.</w:t>
            </w:r>
            <w:r w:rsidRPr="00182482">
              <w:rPr>
                <w:rFonts w:asciiTheme="majorBidi" w:hAnsiTheme="majorBidi" w:cstheme="majorBidi"/>
                <w:sz w:val="20"/>
                <w:szCs w:val="20"/>
              </w:rPr>
              <w:t xml:space="preserve"> Romania’s OFDI flows</w:t>
            </w:r>
            <w:r>
              <w:rPr>
                <w:rFonts w:asciiTheme="majorBidi" w:hAnsiTheme="majorBidi" w:cstheme="majorBidi"/>
                <w:sz w:val="20"/>
                <w:szCs w:val="20"/>
              </w:rPr>
              <w:t xml:space="preserve"> during 1990-2017 (Million US$)</w:t>
            </w:r>
          </w:p>
          <w:p w14:paraId="00517D91" w14:textId="514AE52A" w:rsidR="009A03C4" w:rsidRDefault="002949B4" w:rsidP="0007408D">
            <w:pPr>
              <w:rPr>
                <w:rFonts w:asciiTheme="majorBidi" w:hAnsiTheme="majorBidi" w:cstheme="majorBidi"/>
                <w:sz w:val="20"/>
                <w:szCs w:val="20"/>
              </w:rPr>
            </w:pPr>
            <w:r w:rsidRPr="00641691">
              <w:rPr>
                <w:rFonts w:asciiTheme="majorBidi" w:hAnsiTheme="majorBidi" w:cstheme="majorBidi"/>
                <w:i/>
                <w:iCs/>
                <w:sz w:val="20"/>
                <w:szCs w:val="20"/>
              </w:rPr>
              <w:t>Source:</w:t>
            </w:r>
            <w:r w:rsidRPr="00182482">
              <w:rPr>
                <w:rFonts w:asciiTheme="majorBidi" w:hAnsiTheme="majorBidi" w:cstheme="majorBidi"/>
                <w:sz w:val="20"/>
                <w:szCs w:val="20"/>
              </w:rPr>
              <w:t xml:space="preserve"> </w:t>
            </w:r>
            <w:r w:rsidR="0007408D">
              <w:rPr>
                <w:rFonts w:asciiTheme="majorBidi" w:hAnsiTheme="majorBidi" w:cstheme="majorBidi"/>
                <w:sz w:val="20"/>
                <w:szCs w:val="20"/>
              </w:rPr>
              <w:t>[62]</w:t>
            </w:r>
          </w:p>
          <w:p w14:paraId="2C6CDB94" w14:textId="351EF95F" w:rsidR="00D82855" w:rsidRPr="00641691" w:rsidRDefault="00D82855" w:rsidP="0007408D">
            <w:pPr>
              <w:rPr>
                <w:rFonts w:asciiTheme="majorBidi" w:hAnsiTheme="majorBidi" w:cstheme="majorBidi"/>
                <w:sz w:val="20"/>
                <w:szCs w:val="20"/>
              </w:rPr>
            </w:pPr>
          </w:p>
        </w:tc>
      </w:tr>
      <w:tr w:rsidR="002949B4" w14:paraId="1B5FCAC5" w14:textId="77777777" w:rsidTr="00DF1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top w:val="nil"/>
              <w:left w:val="nil"/>
              <w:bottom w:val="nil"/>
              <w:right w:val="nil"/>
            </w:tcBorders>
          </w:tcPr>
          <w:p w14:paraId="4B0F0C83" w14:textId="77777777" w:rsidR="002949B4" w:rsidRDefault="002949B4" w:rsidP="00DF1409">
            <w:pPr>
              <w:jc w:val="both"/>
              <w:rPr>
                <w:rFonts w:asciiTheme="majorBidi" w:hAnsiTheme="majorBidi" w:cstheme="majorBidi"/>
                <w:color w:val="000000"/>
                <w:sz w:val="20"/>
                <w:szCs w:val="20"/>
              </w:rPr>
            </w:pPr>
            <w:r w:rsidRPr="00BF389A">
              <w:rPr>
                <w:rFonts w:asciiTheme="majorBidi" w:hAnsiTheme="majorBidi" w:cstheme="majorBidi"/>
                <w:noProof/>
                <w:sz w:val="20"/>
                <w:lang w:val="en-GB"/>
              </w:rPr>
              <w:drawing>
                <wp:inline distT="0" distB="0" distL="0" distR="0" wp14:anchorId="237F7F1E" wp14:editId="6D3C5572">
                  <wp:extent cx="3776133" cy="19809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7561" cy="1992211"/>
                          </a:xfrm>
                          <a:prstGeom prst="rect">
                            <a:avLst/>
                          </a:prstGeom>
                          <a:noFill/>
                          <a:ln>
                            <a:noFill/>
                          </a:ln>
                        </pic:spPr>
                      </pic:pic>
                    </a:graphicData>
                  </a:graphic>
                </wp:inline>
              </w:drawing>
            </w:r>
          </w:p>
        </w:tc>
      </w:tr>
      <w:tr w:rsidR="002949B4" w14:paraId="2AB700B8" w14:textId="77777777" w:rsidTr="00DF1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2" w:type="dxa"/>
            <w:tcBorders>
              <w:top w:val="nil"/>
              <w:left w:val="nil"/>
              <w:bottom w:val="nil"/>
              <w:right w:val="nil"/>
            </w:tcBorders>
          </w:tcPr>
          <w:p w14:paraId="44F29E7D" w14:textId="77777777" w:rsidR="002949B4" w:rsidRDefault="002949B4" w:rsidP="00DF1409">
            <w:pPr>
              <w:jc w:val="both"/>
              <w:rPr>
                <w:rFonts w:asciiTheme="majorBidi" w:hAnsiTheme="majorBidi" w:cstheme="majorBidi"/>
                <w:color w:val="000000"/>
                <w:sz w:val="20"/>
                <w:szCs w:val="20"/>
              </w:rPr>
            </w:pPr>
          </w:p>
        </w:tc>
      </w:tr>
    </w:tbl>
    <w:p w14:paraId="49A36E7B" w14:textId="77777777" w:rsidR="004E1857" w:rsidRPr="00182482" w:rsidRDefault="004E60EC">
      <w:pPr>
        <w:rPr>
          <w:rFonts w:asciiTheme="majorBidi" w:eastAsia="Times New Roman" w:hAnsiTheme="majorBidi" w:cstheme="majorBidi"/>
          <w:b/>
          <w:color w:val="000000"/>
          <w:sz w:val="20"/>
          <w:szCs w:val="20"/>
        </w:rPr>
      </w:pPr>
      <w:r w:rsidRPr="004A245A">
        <w:rPr>
          <w:rFonts w:asciiTheme="majorBidi" w:hAnsiTheme="majorBidi" w:cstheme="majorBidi"/>
          <w:b/>
          <w:sz w:val="20"/>
          <w:szCs w:val="20"/>
        </w:rPr>
        <w:t>Figure 2.</w:t>
      </w:r>
      <w:r w:rsidRPr="009A03C4">
        <w:rPr>
          <w:rFonts w:asciiTheme="majorBidi" w:hAnsiTheme="majorBidi" w:cstheme="majorBidi"/>
          <w:sz w:val="20"/>
          <w:szCs w:val="20"/>
        </w:rPr>
        <w:t xml:space="preserve"> Asymmetric Cumulative Dynamic Adjustment of GDP Per Capita to OFDI</w:t>
      </w:r>
      <w:r w:rsidRPr="00182482">
        <w:rPr>
          <w:rFonts w:asciiTheme="majorBidi" w:eastAsia="Times New Roman" w:hAnsiTheme="majorBidi" w:cstheme="majorBidi"/>
          <w:b/>
          <w:color w:val="000000"/>
          <w:sz w:val="20"/>
          <w:szCs w:val="20"/>
        </w:rPr>
        <w:t xml:space="preserve"> </w:t>
      </w:r>
      <w:r w:rsidR="004E1857" w:rsidRPr="00182482">
        <w:rPr>
          <w:rFonts w:asciiTheme="majorBidi" w:eastAsia="Times New Roman" w:hAnsiTheme="majorBidi" w:cstheme="majorBidi"/>
          <w:b/>
          <w:color w:val="000000"/>
          <w:sz w:val="20"/>
          <w:szCs w:val="20"/>
        </w:rPr>
        <w:br w:type="page"/>
      </w:r>
    </w:p>
    <w:p w14:paraId="1DD24425" w14:textId="77777777" w:rsidR="003A4C37" w:rsidRPr="00310950" w:rsidRDefault="003A4C37" w:rsidP="003A4C37">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b/>
          <w:color w:val="000000"/>
          <w:sz w:val="20"/>
          <w:szCs w:val="20"/>
        </w:rPr>
        <w:lastRenderedPageBreak/>
        <w:t>Appendix A</w:t>
      </w:r>
    </w:p>
    <w:tbl>
      <w:tblPr>
        <w:tblW w:w="9060" w:type="dxa"/>
        <w:tblInd w:w="93" w:type="dxa"/>
        <w:tblLook w:val="04A0" w:firstRow="1" w:lastRow="0" w:firstColumn="1" w:lastColumn="0" w:noHBand="0" w:noVBand="1"/>
      </w:tblPr>
      <w:tblGrid>
        <w:gridCol w:w="1951"/>
        <w:gridCol w:w="839"/>
        <w:gridCol w:w="4490"/>
        <w:gridCol w:w="1780"/>
      </w:tblGrid>
      <w:tr w:rsidR="003A4C37" w:rsidRPr="00310950" w14:paraId="0AAB97E3" w14:textId="77777777" w:rsidTr="00D87E6B">
        <w:trPr>
          <w:trHeight w:val="330"/>
        </w:trPr>
        <w:tc>
          <w:tcPr>
            <w:tcW w:w="9060" w:type="dxa"/>
            <w:gridSpan w:val="4"/>
            <w:tcBorders>
              <w:left w:val="nil"/>
              <w:bottom w:val="single" w:sz="12" w:space="0" w:color="auto"/>
              <w:right w:val="nil"/>
            </w:tcBorders>
            <w:shd w:val="clear" w:color="auto" w:fill="auto"/>
            <w:noWrap/>
            <w:vAlign w:val="bottom"/>
            <w:hideMark/>
          </w:tcPr>
          <w:p w14:paraId="268D02A7" w14:textId="77777777" w:rsidR="003A4C37" w:rsidRPr="00310950" w:rsidRDefault="003A4C37">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b/>
                <w:color w:val="000000"/>
                <w:sz w:val="20"/>
                <w:szCs w:val="20"/>
              </w:rPr>
              <w:t xml:space="preserve">Table A1. </w:t>
            </w:r>
            <w:r w:rsidRPr="00310950">
              <w:rPr>
                <w:rFonts w:ascii="Times New Roman" w:eastAsia="Times New Roman" w:hAnsi="Times New Roman" w:cs="Times New Roman"/>
                <w:bCs/>
                <w:color w:val="000000"/>
                <w:sz w:val="20"/>
                <w:szCs w:val="20"/>
              </w:rPr>
              <w:t>Description and sources of data</w:t>
            </w:r>
            <w:r w:rsidRPr="00310950">
              <w:rPr>
                <w:rFonts w:ascii="Times New Roman" w:eastAsia="Times New Roman" w:hAnsi="Times New Roman" w:cs="Times New Roman"/>
                <w:color w:val="000000"/>
                <w:sz w:val="20"/>
                <w:szCs w:val="20"/>
              </w:rPr>
              <w:t> </w:t>
            </w:r>
          </w:p>
        </w:tc>
      </w:tr>
      <w:tr w:rsidR="003A4C37" w:rsidRPr="00310950" w14:paraId="346B19F1" w14:textId="77777777" w:rsidTr="006E23F6">
        <w:trPr>
          <w:trHeight w:val="330"/>
        </w:trPr>
        <w:tc>
          <w:tcPr>
            <w:tcW w:w="1951" w:type="dxa"/>
            <w:tcBorders>
              <w:top w:val="nil"/>
              <w:left w:val="nil"/>
              <w:bottom w:val="single" w:sz="4" w:space="0" w:color="auto"/>
              <w:right w:val="nil"/>
            </w:tcBorders>
            <w:shd w:val="clear" w:color="auto" w:fill="auto"/>
            <w:noWrap/>
            <w:vAlign w:val="bottom"/>
            <w:hideMark/>
          </w:tcPr>
          <w:p w14:paraId="73EEA36C" w14:textId="77777777" w:rsidR="003A4C37" w:rsidRPr="00310950" w:rsidRDefault="003A4C37" w:rsidP="00FA11D3">
            <w:pPr>
              <w:spacing w:after="0" w:line="240" w:lineRule="auto"/>
              <w:rPr>
                <w:rFonts w:ascii="Times New Roman" w:eastAsia="Times New Roman" w:hAnsi="Times New Roman" w:cs="Times New Roman"/>
                <w:b/>
                <w:bCs/>
                <w:color w:val="000000"/>
                <w:sz w:val="20"/>
                <w:szCs w:val="20"/>
              </w:rPr>
            </w:pPr>
            <w:r w:rsidRPr="00310950">
              <w:rPr>
                <w:rFonts w:ascii="Times New Roman" w:eastAsia="Times New Roman" w:hAnsi="Times New Roman" w:cs="Times New Roman"/>
                <w:b/>
                <w:bCs/>
                <w:color w:val="000000"/>
                <w:sz w:val="20"/>
                <w:szCs w:val="20"/>
              </w:rPr>
              <w:t>Variable Name</w:t>
            </w:r>
          </w:p>
        </w:tc>
        <w:tc>
          <w:tcPr>
            <w:tcW w:w="839" w:type="dxa"/>
            <w:tcBorders>
              <w:top w:val="nil"/>
              <w:left w:val="nil"/>
              <w:bottom w:val="single" w:sz="4" w:space="0" w:color="auto"/>
              <w:right w:val="nil"/>
            </w:tcBorders>
            <w:shd w:val="clear" w:color="auto" w:fill="auto"/>
            <w:noWrap/>
            <w:vAlign w:val="bottom"/>
            <w:hideMark/>
          </w:tcPr>
          <w:p w14:paraId="25005CC6" w14:textId="77777777" w:rsidR="003A4C37" w:rsidRPr="00310950" w:rsidRDefault="003A4C37" w:rsidP="00FA11D3">
            <w:pPr>
              <w:spacing w:after="0" w:line="240" w:lineRule="auto"/>
              <w:rPr>
                <w:rFonts w:ascii="Times New Roman" w:eastAsia="Times New Roman" w:hAnsi="Times New Roman" w:cs="Times New Roman"/>
                <w:b/>
                <w:bCs/>
                <w:color w:val="000000"/>
                <w:sz w:val="20"/>
                <w:szCs w:val="20"/>
              </w:rPr>
            </w:pPr>
            <w:r w:rsidRPr="00310950">
              <w:rPr>
                <w:rFonts w:ascii="Times New Roman" w:eastAsia="Times New Roman" w:hAnsi="Times New Roman" w:cs="Times New Roman"/>
                <w:b/>
                <w:bCs/>
                <w:color w:val="000000"/>
                <w:sz w:val="20"/>
                <w:szCs w:val="20"/>
              </w:rPr>
              <w:t>Label</w:t>
            </w:r>
          </w:p>
        </w:tc>
        <w:tc>
          <w:tcPr>
            <w:tcW w:w="4490" w:type="dxa"/>
            <w:tcBorders>
              <w:top w:val="nil"/>
              <w:left w:val="nil"/>
              <w:bottom w:val="single" w:sz="4" w:space="0" w:color="auto"/>
              <w:right w:val="nil"/>
            </w:tcBorders>
            <w:shd w:val="clear" w:color="auto" w:fill="auto"/>
            <w:noWrap/>
            <w:vAlign w:val="bottom"/>
            <w:hideMark/>
          </w:tcPr>
          <w:p w14:paraId="19F3D932" w14:textId="77777777" w:rsidR="003A4C37" w:rsidRPr="00310950" w:rsidRDefault="003A4C37" w:rsidP="00FA11D3">
            <w:pPr>
              <w:spacing w:after="0" w:line="240" w:lineRule="auto"/>
              <w:rPr>
                <w:rFonts w:ascii="Times New Roman" w:eastAsia="Times New Roman" w:hAnsi="Times New Roman" w:cs="Times New Roman"/>
                <w:b/>
                <w:bCs/>
                <w:color w:val="000000"/>
                <w:sz w:val="20"/>
                <w:szCs w:val="20"/>
              </w:rPr>
            </w:pPr>
            <w:r w:rsidRPr="00310950">
              <w:rPr>
                <w:rFonts w:ascii="Times New Roman" w:eastAsia="Times New Roman" w:hAnsi="Times New Roman" w:cs="Times New Roman"/>
                <w:b/>
                <w:bCs/>
                <w:color w:val="000000"/>
                <w:sz w:val="20"/>
                <w:szCs w:val="20"/>
              </w:rPr>
              <w:t>Definition</w:t>
            </w:r>
          </w:p>
        </w:tc>
        <w:tc>
          <w:tcPr>
            <w:tcW w:w="1780" w:type="dxa"/>
            <w:tcBorders>
              <w:top w:val="nil"/>
              <w:left w:val="nil"/>
              <w:bottom w:val="single" w:sz="4" w:space="0" w:color="auto"/>
              <w:right w:val="nil"/>
            </w:tcBorders>
            <w:shd w:val="clear" w:color="auto" w:fill="auto"/>
            <w:noWrap/>
            <w:vAlign w:val="bottom"/>
            <w:hideMark/>
          </w:tcPr>
          <w:p w14:paraId="3AE00EA8" w14:textId="77777777" w:rsidR="00B13CBF" w:rsidRPr="00310950" w:rsidRDefault="003A4C37" w:rsidP="00B13CBF">
            <w:pPr>
              <w:spacing w:after="0" w:line="240" w:lineRule="auto"/>
              <w:rPr>
                <w:rFonts w:ascii="Times New Roman" w:eastAsia="Times New Roman" w:hAnsi="Times New Roman" w:cs="Times New Roman"/>
                <w:b/>
                <w:bCs/>
                <w:color w:val="000000"/>
                <w:sz w:val="20"/>
                <w:szCs w:val="20"/>
              </w:rPr>
            </w:pPr>
            <w:r w:rsidRPr="00310950">
              <w:rPr>
                <w:rFonts w:ascii="Times New Roman" w:eastAsia="Times New Roman" w:hAnsi="Times New Roman" w:cs="Times New Roman"/>
                <w:color w:val="000000"/>
                <w:sz w:val="20"/>
                <w:szCs w:val="20"/>
              </w:rPr>
              <w:t> </w:t>
            </w:r>
          </w:p>
          <w:p w14:paraId="409F256A" w14:textId="77777777" w:rsidR="003A4C37" w:rsidRPr="00310950" w:rsidRDefault="00B13CBF" w:rsidP="00FA11D3">
            <w:pPr>
              <w:spacing w:after="0" w:line="240" w:lineRule="auto"/>
              <w:rPr>
                <w:rFonts w:ascii="Times New Roman" w:eastAsia="Times New Roman" w:hAnsi="Times New Roman" w:cs="Times New Roman"/>
                <w:b/>
                <w:bCs/>
                <w:color w:val="000000"/>
                <w:sz w:val="20"/>
                <w:szCs w:val="20"/>
              </w:rPr>
            </w:pPr>
            <w:r w:rsidRPr="00310950">
              <w:rPr>
                <w:rFonts w:ascii="Times New Roman" w:eastAsia="Times New Roman" w:hAnsi="Times New Roman" w:cs="Times New Roman"/>
                <w:b/>
                <w:bCs/>
                <w:color w:val="000000"/>
                <w:sz w:val="20"/>
                <w:szCs w:val="20"/>
              </w:rPr>
              <w:t>Source</w:t>
            </w:r>
          </w:p>
        </w:tc>
      </w:tr>
      <w:tr w:rsidR="00FA11D3" w:rsidRPr="00310950" w14:paraId="45EA9BA2" w14:textId="77777777" w:rsidTr="00D87E6B">
        <w:trPr>
          <w:trHeight w:val="315"/>
        </w:trPr>
        <w:tc>
          <w:tcPr>
            <w:tcW w:w="1951" w:type="dxa"/>
            <w:tcBorders>
              <w:top w:val="single" w:sz="4" w:space="0" w:color="auto"/>
              <w:left w:val="nil"/>
              <w:bottom w:val="nil"/>
              <w:right w:val="nil"/>
            </w:tcBorders>
            <w:shd w:val="clear" w:color="auto" w:fill="auto"/>
            <w:noWrap/>
            <w:vAlign w:val="bottom"/>
            <w:hideMark/>
          </w:tcPr>
          <w:p w14:paraId="0BCF0281"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Economic Growth</w:t>
            </w:r>
          </w:p>
        </w:tc>
        <w:tc>
          <w:tcPr>
            <w:tcW w:w="839" w:type="dxa"/>
            <w:tcBorders>
              <w:top w:val="single" w:sz="4" w:space="0" w:color="auto"/>
              <w:left w:val="nil"/>
              <w:bottom w:val="nil"/>
              <w:right w:val="nil"/>
            </w:tcBorders>
            <w:shd w:val="clear" w:color="auto" w:fill="auto"/>
            <w:noWrap/>
            <w:vAlign w:val="bottom"/>
            <w:hideMark/>
          </w:tcPr>
          <w:p w14:paraId="1F9FBB13"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Y</w:t>
            </w:r>
          </w:p>
        </w:tc>
        <w:tc>
          <w:tcPr>
            <w:tcW w:w="4490" w:type="dxa"/>
            <w:tcBorders>
              <w:top w:val="single" w:sz="4" w:space="0" w:color="auto"/>
              <w:left w:val="nil"/>
              <w:bottom w:val="nil"/>
              <w:right w:val="nil"/>
            </w:tcBorders>
            <w:shd w:val="clear" w:color="auto" w:fill="auto"/>
            <w:noWrap/>
            <w:vAlign w:val="bottom"/>
            <w:hideMark/>
          </w:tcPr>
          <w:p w14:paraId="4DD881D2"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Real GDP per capita</w:t>
            </w:r>
          </w:p>
        </w:tc>
        <w:tc>
          <w:tcPr>
            <w:tcW w:w="1780" w:type="dxa"/>
            <w:tcBorders>
              <w:top w:val="single" w:sz="4" w:space="0" w:color="auto"/>
              <w:left w:val="nil"/>
              <w:bottom w:val="nil"/>
              <w:right w:val="nil"/>
            </w:tcBorders>
            <w:shd w:val="clear" w:color="auto" w:fill="auto"/>
            <w:noWrap/>
            <w:vAlign w:val="bottom"/>
            <w:hideMark/>
          </w:tcPr>
          <w:p w14:paraId="05F93ECB"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World Bank, 2017</w:t>
            </w:r>
          </w:p>
        </w:tc>
      </w:tr>
      <w:tr w:rsidR="00FA11D3" w:rsidRPr="00310950" w14:paraId="7B8952BF" w14:textId="77777777" w:rsidTr="00FA11D3">
        <w:trPr>
          <w:trHeight w:val="300"/>
        </w:trPr>
        <w:tc>
          <w:tcPr>
            <w:tcW w:w="1951" w:type="dxa"/>
            <w:tcBorders>
              <w:top w:val="nil"/>
              <w:left w:val="nil"/>
              <w:bottom w:val="nil"/>
              <w:right w:val="nil"/>
            </w:tcBorders>
            <w:shd w:val="clear" w:color="auto" w:fill="auto"/>
            <w:noWrap/>
            <w:vAlign w:val="bottom"/>
            <w:hideMark/>
          </w:tcPr>
          <w:p w14:paraId="54615DEF"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Outward FDI</w:t>
            </w:r>
          </w:p>
        </w:tc>
        <w:tc>
          <w:tcPr>
            <w:tcW w:w="839" w:type="dxa"/>
            <w:tcBorders>
              <w:top w:val="nil"/>
              <w:left w:val="nil"/>
              <w:bottom w:val="nil"/>
              <w:right w:val="nil"/>
            </w:tcBorders>
            <w:shd w:val="clear" w:color="auto" w:fill="auto"/>
            <w:noWrap/>
            <w:vAlign w:val="bottom"/>
            <w:hideMark/>
          </w:tcPr>
          <w:p w14:paraId="365D69A0"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OFDI</w:t>
            </w:r>
          </w:p>
        </w:tc>
        <w:tc>
          <w:tcPr>
            <w:tcW w:w="4490" w:type="dxa"/>
            <w:tcBorders>
              <w:top w:val="nil"/>
              <w:left w:val="nil"/>
              <w:bottom w:val="nil"/>
              <w:right w:val="nil"/>
            </w:tcBorders>
            <w:shd w:val="clear" w:color="auto" w:fill="auto"/>
            <w:noWrap/>
            <w:vAlign w:val="bottom"/>
            <w:hideMark/>
          </w:tcPr>
          <w:p w14:paraId="38A9E3C3"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Net outward FDI to GDP ratio</w:t>
            </w:r>
          </w:p>
        </w:tc>
        <w:tc>
          <w:tcPr>
            <w:tcW w:w="1780" w:type="dxa"/>
            <w:tcBorders>
              <w:top w:val="nil"/>
              <w:left w:val="nil"/>
              <w:bottom w:val="nil"/>
              <w:right w:val="nil"/>
            </w:tcBorders>
            <w:shd w:val="clear" w:color="auto" w:fill="auto"/>
            <w:noWrap/>
            <w:vAlign w:val="bottom"/>
            <w:hideMark/>
          </w:tcPr>
          <w:p w14:paraId="68937200"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World Bank, 2017</w:t>
            </w:r>
          </w:p>
        </w:tc>
      </w:tr>
      <w:tr w:rsidR="00FA11D3" w:rsidRPr="00310950" w14:paraId="072DF9A3" w14:textId="77777777" w:rsidTr="00FA11D3">
        <w:trPr>
          <w:trHeight w:val="300"/>
        </w:trPr>
        <w:tc>
          <w:tcPr>
            <w:tcW w:w="1951" w:type="dxa"/>
            <w:tcBorders>
              <w:top w:val="nil"/>
              <w:left w:val="nil"/>
              <w:bottom w:val="nil"/>
              <w:right w:val="nil"/>
            </w:tcBorders>
            <w:shd w:val="clear" w:color="auto" w:fill="auto"/>
            <w:noWrap/>
            <w:vAlign w:val="bottom"/>
            <w:hideMark/>
          </w:tcPr>
          <w:p w14:paraId="5E38670A"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Inward FDI</w:t>
            </w:r>
          </w:p>
        </w:tc>
        <w:tc>
          <w:tcPr>
            <w:tcW w:w="839" w:type="dxa"/>
            <w:tcBorders>
              <w:top w:val="nil"/>
              <w:left w:val="nil"/>
              <w:bottom w:val="nil"/>
              <w:right w:val="nil"/>
            </w:tcBorders>
            <w:shd w:val="clear" w:color="auto" w:fill="auto"/>
            <w:noWrap/>
            <w:vAlign w:val="bottom"/>
            <w:hideMark/>
          </w:tcPr>
          <w:p w14:paraId="34D5DC00"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IFDI</w:t>
            </w:r>
          </w:p>
        </w:tc>
        <w:tc>
          <w:tcPr>
            <w:tcW w:w="4490" w:type="dxa"/>
            <w:tcBorders>
              <w:top w:val="nil"/>
              <w:left w:val="nil"/>
              <w:bottom w:val="nil"/>
              <w:right w:val="nil"/>
            </w:tcBorders>
            <w:shd w:val="clear" w:color="auto" w:fill="auto"/>
            <w:noWrap/>
            <w:vAlign w:val="bottom"/>
            <w:hideMark/>
          </w:tcPr>
          <w:p w14:paraId="0B65BF06"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Net inward FDI to GDP ratio</w:t>
            </w:r>
          </w:p>
        </w:tc>
        <w:tc>
          <w:tcPr>
            <w:tcW w:w="1780" w:type="dxa"/>
            <w:tcBorders>
              <w:top w:val="nil"/>
              <w:left w:val="nil"/>
              <w:bottom w:val="nil"/>
              <w:right w:val="nil"/>
            </w:tcBorders>
            <w:shd w:val="clear" w:color="auto" w:fill="auto"/>
            <w:noWrap/>
            <w:vAlign w:val="bottom"/>
            <w:hideMark/>
          </w:tcPr>
          <w:p w14:paraId="595E068B"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World Bank, 2017</w:t>
            </w:r>
          </w:p>
        </w:tc>
      </w:tr>
      <w:tr w:rsidR="00FA11D3" w:rsidRPr="00310950" w14:paraId="5D444930" w14:textId="77777777" w:rsidTr="00FA11D3">
        <w:trPr>
          <w:trHeight w:val="300"/>
        </w:trPr>
        <w:tc>
          <w:tcPr>
            <w:tcW w:w="1951" w:type="dxa"/>
            <w:tcBorders>
              <w:top w:val="nil"/>
              <w:left w:val="nil"/>
              <w:bottom w:val="nil"/>
              <w:right w:val="nil"/>
            </w:tcBorders>
            <w:shd w:val="clear" w:color="auto" w:fill="auto"/>
            <w:noWrap/>
            <w:vAlign w:val="bottom"/>
            <w:hideMark/>
          </w:tcPr>
          <w:p w14:paraId="09CE8E5A"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Capital Stock</w:t>
            </w:r>
          </w:p>
        </w:tc>
        <w:tc>
          <w:tcPr>
            <w:tcW w:w="839" w:type="dxa"/>
            <w:tcBorders>
              <w:top w:val="nil"/>
              <w:left w:val="nil"/>
              <w:bottom w:val="nil"/>
              <w:right w:val="nil"/>
            </w:tcBorders>
            <w:shd w:val="clear" w:color="auto" w:fill="auto"/>
            <w:noWrap/>
            <w:vAlign w:val="bottom"/>
            <w:hideMark/>
          </w:tcPr>
          <w:p w14:paraId="5437C5A5"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CS</w:t>
            </w:r>
          </w:p>
        </w:tc>
        <w:tc>
          <w:tcPr>
            <w:tcW w:w="4490" w:type="dxa"/>
            <w:tcBorders>
              <w:top w:val="nil"/>
              <w:left w:val="nil"/>
              <w:bottom w:val="nil"/>
              <w:right w:val="nil"/>
            </w:tcBorders>
            <w:shd w:val="clear" w:color="auto" w:fill="auto"/>
            <w:noWrap/>
            <w:vAlign w:val="bottom"/>
            <w:hideMark/>
          </w:tcPr>
          <w:p w14:paraId="7AA6388F"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Gross fixed capital formation (% of GDP)</w:t>
            </w:r>
          </w:p>
        </w:tc>
        <w:tc>
          <w:tcPr>
            <w:tcW w:w="1780" w:type="dxa"/>
            <w:tcBorders>
              <w:top w:val="nil"/>
              <w:left w:val="nil"/>
              <w:bottom w:val="nil"/>
              <w:right w:val="nil"/>
            </w:tcBorders>
            <w:shd w:val="clear" w:color="auto" w:fill="auto"/>
            <w:noWrap/>
            <w:vAlign w:val="bottom"/>
            <w:hideMark/>
          </w:tcPr>
          <w:p w14:paraId="55D4BC2F"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World Bank, 2017</w:t>
            </w:r>
          </w:p>
        </w:tc>
      </w:tr>
      <w:tr w:rsidR="00FA11D3" w:rsidRPr="00310950" w14:paraId="13E1C354" w14:textId="77777777" w:rsidTr="00FA11D3">
        <w:trPr>
          <w:trHeight w:val="300"/>
        </w:trPr>
        <w:tc>
          <w:tcPr>
            <w:tcW w:w="1951" w:type="dxa"/>
            <w:tcBorders>
              <w:top w:val="nil"/>
              <w:left w:val="nil"/>
              <w:bottom w:val="nil"/>
              <w:right w:val="nil"/>
            </w:tcBorders>
            <w:shd w:val="clear" w:color="auto" w:fill="auto"/>
            <w:noWrap/>
            <w:vAlign w:val="bottom"/>
            <w:hideMark/>
          </w:tcPr>
          <w:p w14:paraId="1FB8A8C8"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Life Expectancy</w:t>
            </w:r>
          </w:p>
        </w:tc>
        <w:tc>
          <w:tcPr>
            <w:tcW w:w="839" w:type="dxa"/>
            <w:tcBorders>
              <w:top w:val="nil"/>
              <w:left w:val="nil"/>
              <w:bottom w:val="nil"/>
              <w:right w:val="nil"/>
            </w:tcBorders>
            <w:shd w:val="clear" w:color="auto" w:fill="auto"/>
            <w:noWrap/>
            <w:vAlign w:val="bottom"/>
            <w:hideMark/>
          </w:tcPr>
          <w:p w14:paraId="0A2FBB2E"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LE</w:t>
            </w:r>
          </w:p>
        </w:tc>
        <w:tc>
          <w:tcPr>
            <w:tcW w:w="4490" w:type="dxa"/>
            <w:tcBorders>
              <w:top w:val="nil"/>
              <w:left w:val="nil"/>
              <w:bottom w:val="nil"/>
              <w:right w:val="nil"/>
            </w:tcBorders>
            <w:shd w:val="clear" w:color="auto" w:fill="auto"/>
            <w:noWrap/>
            <w:vAlign w:val="bottom"/>
            <w:hideMark/>
          </w:tcPr>
          <w:p w14:paraId="642C81DD"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Life expectancy at birth, total (years)</w:t>
            </w:r>
          </w:p>
        </w:tc>
        <w:tc>
          <w:tcPr>
            <w:tcW w:w="1780" w:type="dxa"/>
            <w:tcBorders>
              <w:top w:val="nil"/>
              <w:left w:val="nil"/>
              <w:bottom w:val="nil"/>
              <w:right w:val="nil"/>
            </w:tcBorders>
            <w:shd w:val="clear" w:color="auto" w:fill="auto"/>
            <w:noWrap/>
            <w:vAlign w:val="bottom"/>
            <w:hideMark/>
          </w:tcPr>
          <w:p w14:paraId="1A7EF74B"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World Bank, 2017</w:t>
            </w:r>
          </w:p>
        </w:tc>
      </w:tr>
      <w:tr w:rsidR="00FA11D3" w:rsidRPr="00310950" w14:paraId="45F8FEAC" w14:textId="77777777" w:rsidTr="00FA11D3">
        <w:trPr>
          <w:trHeight w:val="300"/>
        </w:trPr>
        <w:tc>
          <w:tcPr>
            <w:tcW w:w="1951" w:type="dxa"/>
            <w:tcBorders>
              <w:top w:val="nil"/>
              <w:left w:val="nil"/>
              <w:bottom w:val="nil"/>
              <w:right w:val="nil"/>
            </w:tcBorders>
            <w:shd w:val="clear" w:color="auto" w:fill="auto"/>
            <w:noWrap/>
            <w:vAlign w:val="bottom"/>
            <w:hideMark/>
          </w:tcPr>
          <w:p w14:paraId="570F2124"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Infrastructure</w:t>
            </w:r>
          </w:p>
        </w:tc>
        <w:tc>
          <w:tcPr>
            <w:tcW w:w="839" w:type="dxa"/>
            <w:tcBorders>
              <w:top w:val="nil"/>
              <w:left w:val="nil"/>
              <w:bottom w:val="nil"/>
              <w:right w:val="nil"/>
            </w:tcBorders>
            <w:shd w:val="clear" w:color="auto" w:fill="auto"/>
            <w:noWrap/>
            <w:vAlign w:val="bottom"/>
            <w:hideMark/>
          </w:tcPr>
          <w:p w14:paraId="7A7741AF"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INFR</w:t>
            </w:r>
          </w:p>
        </w:tc>
        <w:tc>
          <w:tcPr>
            <w:tcW w:w="4490" w:type="dxa"/>
            <w:tcBorders>
              <w:top w:val="nil"/>
              <w:left w:val="nil"/>
              <w:bottom w:val="nil"/>
              <w:right w:val="nil"/>
            </w:tcBorders>
            <w:shd w:val="clear" w:color="auto" w:fill="auto"/>
            <w:noWrap/>
            <w:vAlign w:val="bottom"/>
            <w:hideMark/>
          </w:tcPr>
          <w:p w14:paraId="4C1FCE16"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Fixed telephone subscriptions (per 100 people)</w:t>
            </w:r>
          </w:p>
        </w:tc>
        <w:tc>
          <w:tcPr>
            <w:tcW w:w="1780" w:type="dxa"/>
            <w:tcBorders>
              <w:top w:val="nil"/>
              <w:left w:val="nil"/>
              <w:bottom w:val="nil"/>
              <w:right w:val="nil"/>
            </w:tcBorders>
            <w:shd w:val="clear" w:color="auto" w:fill="auto"/>
            <w:noWrap/>
            <w:vAlign w:val="bottom"/>
            <w:hideMark/>
          </w:tcPr>
          <w:p w14:paraId="7B31F10A"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World Bank, 2017</w:t>
            </w:r>
          </w:p>
        </w:tc>
      </w:tr>
      <w:tr w:rsidR="00FA11D3" w:rsidRPr="00310950" w14:paraId="101FFC33" w14:textId="77777777" w:rsidTr="00FA11D3">
        <w:trPr>
          <w:trHeight w:val="315"/>
        </w:trPr>
        <w:tc>
          <w:tcPr>
            <w:tcW w:w="1951" w:type="dxa"/>
            <w:tcBorders>
              <w:top w:val="nil"/>
              <w:left w:val="nil"/>
              <w:bottom w:val="single" w:sz="12" w:space="0" w:color="auto"/>
              <w:right w:val="nil"/>
            </w:tcBorders>
            <w:shd w:val="clear" w:color="auto" w:fill="auto"/>
            <w:noWrap/>
            <w:vAlign w:val="bottom"/>
            <w:hideMark/>
          </w:tcPr>
          <w:p w14:paraId="7C4EF801"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Institutional Quality</w:t>
            </w:r>
          </w:p>
        </w:tc>
        <w:tc>
          <w:tcPr>
            <w:tcW w:w="839" w:type="dxa"/>
            <w:tcBorders>
              <w:top w:val="nil"/>
              <w:left w:val="nil"/>
              <w:bottom w:val="single" w:sz="12" w:space="0" w:color="auto"/>
              <w:right w:val="nil"/>
            </w:tcBorders>
            <w:shd w:val="clear" w:color="auto" w:fill="auto"/>
            <w:noWrap/>
            <w:vAlign w:val="bottom"/>
            <w:hideMark/>
          </w:tcPr>
          <w:p w14:paraId="7C8D314D"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IQ</w:t>
            </w:r>
          </w:p>
        </w:tc>
        <w:tc>
          <w:tcPr>
            <w:tcW w:w="4490" w:type="dxa"/>
            <w:tcBorders>
              <w:top w:val="nil"/>
              <w:left w:val="nil"/>
              <w:bottom w:val="single" w:sz="12" w:space="0" w:color="auto"/>
              <w:right w:val="nil"/>
            </w:tcBorders>
            <w:shd w:val="clear" w:color="auto" w:fill="auto"/>
            <w:noWrap/>
            <w:vAlign w:val="bottom"/>
            <w:hideMark/>
          </w:tcPr>
          <w:p w14:paraId="4FA94963"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Political terror scale of Gibney et al., 2016</w:t>
            </w:r>
          </w:p>
        </w:tc>
        <w:tc>
          <w:tcPr>
            <w:tcW w:w="1780" w:type="dxa"/>
            <w:tcBorders>
              <w:top w:val="nil"/>
              <w:left w:val="nil"/>
              <w:bottom w:val="single" w:sz="12" w:space="0" w:color="auto"/>
              <w:right w:val="nil"/>
            </w:tcBorders>
            <w:shd w:val="clear" w:color="auto" w:fill="auto"/>
            <w:noWrap/>
            <w:vAlign w:val="bottom"/>
            <w:hideMark/>
          </w:tcPr>
          <w:p w14:paraId="2C7142E4" w14:textId="77777777" w:rsidR="00FA11D3" w:rsidRPr="00310950" w:rsidRDefault="00FA11D3" w:rsidP="00FA11D3">
            <w:pPr>
              <w:spacing w:after="0" w:line="240" w:lineRule="auto"/>
              <w:rPr>
                <w:rFonts w:ascii="Times New Roman" w:eastAsia="Times New Roman" w:hAnsi="Times New Roman" w:cs="Times New Roman"/>
                <w:color w:val="000000"/>
                <w:sz w:val="20"/>
                <w:szCs w:val="20"/>
              </w:rPr>
            </w:pPr>
            <w:r w:rsidRPr="00310950">
              <w:rPr>
                <w:rFonts w:ascii="Times New Roman" w:eastAsia="Times New Roman" w:hAnsi="Times New Roman" w:cs="Times New Roman"/>
                <w:color w:val="000000"/>
                <w:sz w:val="20"/>
                <w:szCs w:val="20"/>
              </w:rPr>
              <w:t>Gibney et al., 2016</w:t>
            </w:r>
          </w:p>
        </w:tc>
      </w:tr>
    </w:tbl>
    <w:p w14:paraId="361ADC10" w14:textId="77777777" w:rsidR="00AA2C9F" w:rsidRPr="00310950" w:rsidRDefault="00AA2C9F" w:rsidP="00D25B5C">
      <w:pPr>
        <w:jc w:val="both"/>
        <w:rPr>
          <w:rFonts w:ascii="Times New Roman" w:hAnsi="Times New Roman" w:cs="Times New Roman"/>
          <w:sz w:val="20"/>
          <w:szCs w:val="20"/>
          <w:lang w:eastAsia="en-US"/>
        </w:rPr>
      </w:pPr>
    </w:p>
    <w:p w14:paraId="3F7919BE" w14:textId="77777777" w:rsidR="008B699E" w:rsidRDefault="008B699E" w:rsidP="008B699E">
      <w:r w:rsidRPr="00310950">
        <w:rPr>
          <w:rFonts w:ascii="Times New Roman" w:hAnsi="Times New Roman" w:cs="Times New Roman"/>
          <w:sz w:val="20"/>
          <w:szCs w:val="20"/>
        </w:rPr>
        <w:object w:dxaOrig="7216" w:dyaOrig="5116" w14:anchorId="3EA6F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5pt;height:116.95pt" o:ole="">
            <v:imagedata r:id="rId28" o:title=""/>
          </v:shape>
          <o:OLEObject Type="Embed" ProgID="EViews.Workfile.2" ShapeID="_x0000_i1025" DrawAspect="Content" ObjectID="_1642065965" r:id="rId29"/>
        </w:object>
      </w:r>
      <w:r w:rsidRPr="00310950">
        <w:rPr>
          <w:rFonts w:ascii="Times New Roman" w:hAnsi="Times New Roman" w:cs="Times New Roman"/>
          <w:sz w:val="20"/>
          <w:szCs w:val="20"/>
        </w:rPr>
        <w:t xml:space="preserve">         </w:t>
      </w:r>
      <w:r w:rsidRPr="00310950">
        <w:rPr>
          <w:rFonts w:ascii="Times New Roman" w:hAnsi="Times New Roman" w:cs="Times New Roman"/>
          <w:sz w:val="20"/>
          <w:szCs w:val="20"/>
        </w:rPr>
        <w:object w:dxaOrig="7276" w:dyaOrig="5116" w14:anchorId="2621DF37">
          <v:shape id="_x0000_i1026" type="#_x0000_t75" style="width:180.3pt;height:126.7pt" o:ole="">
            <v:imagedata r:id="rId30" o:title=""/>
          </v:shape>
          <o:OLEObject Type="Embed" ProgID="EViews.Workfile.2" ShapeID="_x0000_i1026" DrawAspect="Content" ObjectID="_1642065966" r:id="rId31"/>
        </w:object>
      </w:r>
    </w:p>
    <w:p w14:paraId="23DD7640" w14:textId="77777777" w:rsidR="008B699E" w:rsidRPr="00310950" w:rsidRDefault="008B699E" w:rsidP="008B699E">
      <w:pPr>
        <w:pStyle w:val="BodyText1"/>
        <w:rPr>
          <w:rFonts w:ascii="Times New Roman" w:hAnsi="Times New Roman"/>
          <w:color w:val="000000"/>
          <w:sz w:val="20"/>
          <w:lang w:val="en-US"/>
        </w:rPr>
      </w:pPr>
      <w:r w:rsidRPr="00310950">
        <w:rPr>
          <w:rFonts w:ascii="Times New Roman" w:hAnsi="Times New Roman"/>
          <w:b/>
          <w:sz w:val="20"/>
          <w:lang w:val="en-US" w:eastAsia="en-US"/>
        </w:rPr>
        <w:t>Figure A1.</w:t>
      </w:r>
      <w:r w:rsidRPr="00310950">
        <w:rPr>
          <w:rFonts w:ascii="Times New Roman" w:hAnsi="Times New Roman"/>
          <w:sz w:val="20"/>
          <w:lang w:val="en-US" w:eastAsia="en-US"/>
        </w:rPr>
        <w:t xml:space="preserve"> A p</w:t>
      </w:r>
      <w:r w:rsidRPr="00310950">
        <w:rPr>
          <w:rFonts w:ascii="Times New Roman" w:hAnsi="Times New Roman"/>
          <w:color w:val="000000"/>
          <w:sz w:val="20"/>
          <w:lang w:val="en-US"/>
        </w:rPr>
        <w:t>lot of CUSUM &amp; CUSUM of square of the recursive residuals from model 1.</w:t>
      </w:r>
    </w:p>
    <w:p w14:paraId="020E4221" w14:textId="77777777" w:rsidR="008B699E" w:rsidRPr="00310950" w:rsidRDefault="008B699E" w:rsidP="008B699E">
      <w:pPr>
        <w:rPr>
          <w:rFonts w:ascii="Times New Roman" w:hAnsi="Times New Roman" w:cs="Times New Roman"/>
          <w:sz w:val="20"/>
          <w:szCs w:val="20"/>
        </w:rPr>
      </w:pPr>
      <w:r w:rsidRPr="00310950">
        <w:rPr>
          <w:rFonts w:ascii="Times New Roman" w:hAnsi="Times New Roman" w:cs="Times New Roman"/>
          <w:sz w:val="20"/>
          <w:szCs w:val="20"/>
        </w:rPr>
        <w:object w:dxaOrig="7216" w:dyaOrig="5116" w14:anchorId="7C7D168C">
          <v:shape id="_x0000_i1027" type="#_x0000_t75" style="width:172.2pt;height:121.55pt" o:ole="">
            <v:imagedata r:id="rId32" o:title=""/>
          </v:shape>
          <o:OLEObject Type="Embed" ProgID="EViews.Workfile.2" ShapeID="_x0000_i1027" DrawAspect="Content" ObjectID="_1642065967" r:id="rId33"/>
        </w:object>
      </w:r>
      <w:r w:rsidRPr="00310950">
        <w:rPr>
          <w:rFonts w:ascii="Times New Roman" w:hAnsi="Times New Roman" w:cs="Times New Roman"/>
          <w:sz w:val="20"/>
          <w:szCs w:val="20"/>
        </w:rPr>
        <w:t xml:space="preserve">        </w:t>
      </w:r>
      <w:r w:rsidRPr="00310950">
        <w:rPr>
          <w:rFonts w:ascii="Times New Roman" w:hAnsi="Times New Roman" w:cs="Times New Roman"/>
          <w:sz w:val="20"/>
          <w:szCs w:val="20"/>
        </w:rPr>
        <w:object w:dxaOrig="7261" w:dyaOrig="5116" w14:anchorId="65D6E355">
          <v:shape id="_x0000_i1028" type="#_x0000_t75" style="width:180.3pt;height:127.3pt" o:ole="">
            <v:imagedata r:id="rId34" o:title=""/>
          </v:shape>
          <o:OLEObject Type="Embed" ProgID="EViews.Workfile.2" ShapeID="_x0000_i1028" DrawAspect="Content" ObjectID="_1642065968" r:id="rId35"/>
        </w:object>
      </w:r>
    </w:p>
    <w:p w14:paraId="780BAD66" w14:textId="77777777" w:rsidR="008B699E" w:rsidRPr="00310950" w:rsidRDefault="008B699E" w:rsidP="008B699E">
      <w:pPr>
        <w:pStyle w:val="BodyText1"/>
        <w:rPr>
          <w:rFonts w:ascii="Times New Roman" w:hAnsi="Times New Roman"/>
          <w:color w:val="000000"/>
          <w:sz w:val="20"/>
          <w:lang w:val="en-US"/>
        </w:rPr>
      </w:pPr>
      <w:r w:rsidRPr="00310950">
        <w:rPr>
          <w:rFonts w:ascii="Times New Roman" w:hAnsi="Times New Roman"/>
          <w:b/>
          <w:sz w:val="20"/>
          <w:lang w:val="en-US" w:eastAsia="en-US"/>
        </w:rPr>
        <w:t>Figure A2.</w:t>
      </w:r>
      <w:r w:rsidRPr="00310950">
        <w:rPr>
          <w:rFonts w:ascii="Times New Roman" w:hAnsi="Times New Roman"/>
          <w:sz w:val="20"/>
          <w:lang w:val="en-US" w:eastAsia="en-US"/>
        </w:rPr>
        <w:t xml:space="preserve"> A p</w:t>
      </w:r>
      <w:r w:rsidRPr="00310950">
        <w:rPr>
          <w:rFonts w:ascii="Times New Roman" w:hAnsi="Times New Roman"/>
          <w:color w:val="000000"/>
          <w:sz w:val="20"/>
          <w:lang w:val="en-US"/>
        </w:rPr>
        <w:t>lot of CUSUM &amp; CUSUM of square of the recursive residuals from model 2.</w:t>
      </w:r>
    </w:p>
    <w:p w14:paraId="730811D9" w14:textId="77777777" w:rsidR="008B699E" w:rsidRPr="00310950" w:rsidRDefault="008B699E" w:rsidP="008B699E">
      <w:pPr>
        <w:rPr>
          <w:rFonts w:ascii="Times New Roman" w:hAnsi="Times New Roman" w:cs="Times New Roman"/>
          <w:sz w:val="20"/>
          <w:szCs w:val="20"/>
        </w:rPr>
      </w:pPr>
    </w:p>
    <w:p w14:paraId="17A1A30D" w14:textId="77777777" w:rsidR="008B699E" w:rsidRPr="00310950" w:rsidRDefault="008B699E" w:rsidP="00B416CF">
      <w:pPr>
        <w:rPr>
          <w:rFonts w:ascii="Times New Roman" w:hAnsi="Times New Roman" w:cs="Times New Roman"/>
          <w:sz w:val="20"/>
          <w:szCs w:val="20"/>
        </w:rPr>
      </w:pPr>
      <w:r w:rsidRPr="00310950">
        <w:rPr>
          <w:rFonts w:ascii="Times New Roman" w:hAnsi="Times New Roman" w:cs="Times New Roman"/>
          <w:sz w:val="20"/>
          <w:szCs w:val="20"/>
        </w:rPr>
        <w:object w:dxaOrig="7216" w:dyaOrig="5116" w14:anchorId="7FDC120F">
          <v:shape id="_x0000_i1029" type="#_x0000_t75" style="width:199.85pt;height:141.7pt" o:ole="">
            <v:imagedata r:id="rId36" o:title=""/>
          </v:shape>
          <o:OLEObject Type="Embed" ProgID="EViews.Workfile.2" ShapeID="_x0000_i1029" DrawAspect="Content" ObjectID="_1642065969" r:id="rId37"/>
        </w:object>
      </w:r>
      <w:r w:rsidRPr="00310950">
        <w:rPr>
          <w:rFonts w:ascii="Times New Roman" w:hAnsi="Times New Roman" w:cs="Times New Roman"/>
          <w:sz w:val="20"/>
          <w:szCs w:val="20"/>
        </w:rPr>
        <w:t xml:space="preserve">  </w:t>
      </w:r>
      <w:r w:rsidR="00D67FE3" w:rsidRPr="00310950">
        <w:rPr>
          <w:rFonts w:ascii="Times New Roman" w:hAnsi="Times New Roman" w:cs="Times New Roman"/>
          <w:sz w:val="20"/>
          <w:szCs w:val="20"/>
        </w:rPr>
        <w:t xml:space="preserve">   </w:t>
      </w:r>
      <w:r w:rsidRPr="00310950">
        <w:rPr>
          <w:rFonts w:ascii="Times New Roman" w:hAnsi="Times New Roman" w:cs="Times New Roman"/>
          <w:sz w:val="20"/>
          <w:szCs w:val="20"/>
        </w:rPr>
        <w:t xml:space="preserve"> </w:t>
      </w:r>
      <w:r w:rsidRPr="00310950">
        <w:rPr>
          <w:rFonts w:ascii="Times New Roman" w:hAnsi="Times New Roman" w:cs="Times New Roman"/>
          <w:sz w:val="20"/>
          <w:szCs w:val="20"/>
        </w:rPr>
        <w:object w:dxaOrig="7261" w:dyaOrig="5116" w14:anchorId="38ADD604">
          <v:shape id="_x0000_i1030" type="#_x0000_t75" style="width:177.4pt;height:125pt" o:ole="">
            <v:imagedata r:id="rId38" o:title=""/>
          </v:shape>
          <o:OLEObject Type="Embed" ProgID="EViews.Workfile.2" ShapeID="_x0000_i1030" DrawAspect="Content" ObjectID="_1642065970" r:id="rId39"/>
        </w:object>
      </w:r>
      <w:r w:rsidRPr="00310950">
        <w:rPr>
          <w:rFonts w:ascii="Times New Roman" w:hAnsi="Times New Roman" w:cs="Times New Roman"/>
          <w:b/>
          <w:sz w:val="20"/>
          <w:szCs w:val="20"/>
          <w:lang w:eastAsia="en-US"/>
        </w:rPr>
        <w:t>Figure A3.</w:t>
      </w:r>
      <w:r w:rsidRPr="00310950">
        <w:rPr>
          <w:rFonts w:ascii="Times New Roman" w:hAnsi="Times New Roman" w:cs="Times New Roman"/>
          <w:sz w:val="20"/>
          <w:szCs w:val="20"/>
          <w:lang w:eastAsia="en-US"/>
        </w:rPr>
        <w:t xml:space="preserve"> A p</w:t>
      </w:r>
      <w:r w:rsidRPr="00310950">
        <w:rPr>
          <w:rFonts w:ascii="Times New Roman" w:hAnsi="Times New Roman" w:cs="Times New Roman"/>
          <w:color w:val="000000"/>
          <w:sz w:val="20"/>
          <w:szCs w:val="20"/>
        </w:rPr>
        <w:t>lot of CUSUM &amp; CUSUM of square of the recursive residuals from model 3.</w:t>
      </w:r>
    </w:p>
    <w:sectPr w:rsidR="008B699E" w:rsidRPr="00310950" w:rsidSect="00DF1409">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1A7EC" w14:textId="77777777" w:rsidR="003D3344" w:rsidRDefault="003D3344" w:rsidP="00DB205F">
      <w:pPr>
        <w:spacing w:after="0" w:line="240" w:lineRule="auto"/>
      </w:pPr>
      <w:r>
        <w:separator/>
      </w:r>
    </w:p>
  </w:endnote>
  <w:endnote w:type="continuationSeparator" w:id="0">
    <w:p w14:paraId="7658E16D" w14:textId="77777777" w:rsidR="003D3344" w:rsidRDefault="003D3344" w:rsidP="00DB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5B5C6" w14:textId="77777777" w:rsidR="003D3344" w:rsidRDefault="003D3344" w:rsidP="00DB205F">
      <w:pPr>
        <w:spacing w:after="0" w:line="240" w:lineRule="auto"/>
      </w:pPr>
      <w:r>
        <w:separator/>
      </w:r>
    </w:p>
  </w:footnote>
  <w:footnote w:type="continuationSeparator" w:id="0">
    <w:p w14:paraId="32C528FE" w14:textId="77777777" w:rsidR="003D3344" w:rsidRDefault="003D3344" w:rsidP="00DB205F">
      <w:pPr>
        <w:spacing w:after="0" w:line="240" w:lineRule="auto"/>
      </w:pPr>
      <w:r>
        <w:continuationSeparator/>
      </w:r>
    </w:p>
  </w:footnote>
  <w:footnote w:id="1">
    <w:p w14:paraId="59884E47" w14:textId="3C0B24DA" w:rsidR="006F07B3" w:rsidRDefault="006F07B3">
      <w:pPr>
        <w:pStyle w:val="FootnoteText"/>
      </w:pPr>
      <w:r>
        <w:rPr>
          <w:rStyle w:val="FootnoteReference"/>
        </w:rPr>
        <w:footnoteRef/>
      </w:r>
      <w:r>
        <w:t xml:space="preserve"> </w:t>
      </w:r>
      <w:r>
        <w:t>[6]</w:t>
      </w:r>
      <w:r>
        <w:rPr>
          <w:rFonts w:asciiTheme="majorBidi" w:hAnsiTheme="majorBidi" w:cstheme="majorBidi"/>
          <w:lang w:val="en-GB"/>
        </w:rPr>
        <w:t xml:space="preserve"> found that domestic production responds positively and significantly to the positive changes in OFDI by employing </w:t>
      </w:r>
      <w:r>
        <w:rPr>
          <w:rFonts w:asciiTheme="majorBidi" w:hAnsiTheme="majorBidi" w:cstheme="majorBidi"/>
        </w:rPr>
        <w:t>Granger Causality test for the USA.</w:t>
      </w:r>
    </w:p>
  </w:footnote>
  <w:footnote w:id="2">
    <w:p w14:paraId="1A4AE18B" w14:textId="3FBA904B" w:rsidR="006F07B3" w:rsidRDefault="006F07B3">
      <w:pPr>
        <w:pStyle w:val="FootnoteText"/>
      </w:pPr>
      <w:r>
        <w:rPr>
          <w:rStyle w:val="FootnoteReference"/>
        </w:rPr>
        <w:footnoteRef/>
      </w:r>
      <w:r>
        <w:t xml:space="preserve"> </w:t>
      </w:r>
      <w:r w:rsidRPr="0049486A">
        <w:rPr>
          <w:rFonts w:ascii="Times New Roman" w:eastAsia="Times New Roman" w:hAnsi="Times New Roman" w:cs="Times New Roman"/>
        </w:rPr>
        <w:t>Education is usually considered as a proxy of human capital. In</w:t>
      </w:r>
      <w:r w:rsidRPr="00907530">
        <w:rPr>
          <w:rFonts w:ascii="Times New Roman" w:eastAsia="Times New Roman" w:hAnsi="Times New Roman" w:cs="Times New Roman"/>
        </w:rPr>
        <w:t xml:space="preserve"> the present study, we use life expectancy</w:t>
      </w:r>
      <w:r>
        <w:rPr>
          <w:rFonts w:ascii="Times New Roman" w:eastAsia="Times New Roman" w:hAnsi="Times New Roman" w:cs="Times New Roman"/>
        </w:rPr>
        <w:t xml:space="preserve"> as the alternate proxy, based on the argument that </w:t>
      </w:r>
      <w:r w:rsidRPr="0049486A">
        <w:rPr>
          <w:rFonts w:ascii="Times New Roman" w:eastAsia="Times New Roman" w:hAnsi="Times New Roman" w:cs="Times New Roman"/>
        </w:rPr>
        <w:t xml:space="preserve">economic growth </w:t>
      </w:r>
      <w:r>
        <w:rPr>
          <w:rFonts w:ascii="Times New Roman" w:eastAsia="Times New Roman" w:hAnsi="Times New Roman" w:cs="Times New Roman"/>
        </w:rPr>
        <w:t xml:space="preserve">shows a positive response to </w:t>
      </w:r>
      <w:r w:rsidRPr="0049486A">
        <w:rPr>
          <w:rFonts w:ascii="Times New Roman" w:eastAsia="Times New Roman" w:hAnsi="Times New Roman" w:cs="Times New Roman"/>
        </w:rPr>
        <w:t>the level of human capital in the form of education and health</w:t>
      </w:r>
      <w:r>
        <w:rPr>
          <w:rFonts w:ascii="Times New Roman" w:eastAsia="Times New Roman" w:hAnsi="Times New Roman" w:cs="Times New Roman"/>
        </w:rPr>
        <w:t xml:space="preserve"> [42,43]</w:t>
      </w:r>
      <w:r w:rsidRPr="0049486A">
        <w:rPr>
          <w:rFonts w:ascii="Times New Roman" w:eastAsia="Times New Roman" w:hAnsi="Times New Roman" w:cs="Times New Roman"/>
        </w:rPr>
        <w:t>.</w:t>
      </w:r>
    </w:p>
  </w:footnote>
  <w:footnote w:id="3">
    <w:p w14:paraId="3C3C3281" w14:textId="50B53972" w:rsidR="004D3A10" w:rsidRPr="009B1BC7" w:rsidRDefault="004D3A10" w:rsidP="007C2A01">
      <w:pPr>
        <w:pStyle w:val="FootnoteText"/>
        <w:snapToGrid w:val="0"/>
        <w:spacing w:after="120"/>
        <w:jc w:val="both"/>
        <w:rPr>
          <w:rFonts w:ascii="Times New Roman" w:hAnsi="Times New Roman" w:cs="Times New Roman"/>
        </w:rPr>
      </w:pPr>
      <w:r w:rsidRPr="009B1BC7">
        <w:rPr>
          <w:rStyle w:val="FootnoteReference"/>
          <w:rFonts w:ascii="Times New Roman" w:hAnsi="Times New Roman" w:cs="Times New Roman"/>
        </w:rPr>
        <w:footnoteRef/>
      </w:r>
      <w:r w:rsidRPr="009B1BC7">
        <w:rPr>
          <w:rFonts w:ascii="Times New Roman" w:hAnsi="Times New Roman" w:cs="Times New Roman"/>
        </w:rPr>
        <w:t xml:space="preserve"> Nonlinearity or asymmetry </w:t>
      </w:r>
      <w:r>
        <w:rPr>
          <w:rFonts w:ascii="Times New Roman" w:hAnsi="Times New Roman" w:cs="Times New Roman"/>
        </w:rPr>
        <w:t xml:space="preserve">does not mean </w:t>
      </w:r>
      <w:r w:rsidRPr="009B1BC7">
        <w:rPr>
          <w:rFonts w:ascii="Times New Roman" w:hAnsi="Times New Roman" w:cs="Times New Roman"/>
        </w:rPr>
        <w:t xml:space="preserve">that the parameters are log linear or quadratic as </w:t>
      </w:r>
      <w:r>
        <w:rPr>
          <w:rFonts w:ascii="Times New Roman" w:hAnsi="Times New Roman" w:cs="Times New Roman"/>
        </w:rPr>
        <w:t>normally</w:t>
      </w:r>
      <w:r w:rsidRPr="009B1BC7">
        <w:rPr>
          <w:rFonts w:ascii="Times New Roman" w:hAnsi="Times New Roman" w:cs="Times New Roman"/>
        </w:rPr>
        <w:t xml:space="preserve"> described, it is actually a decomposed linear relationship to describe the influence of exogenous variable</w:t>
      </w:r>
      <w:r w:rsidR="00E04816">
        <w:rPr>
          <w:rFonts w:ascii="Times New Roman" w:hAnsi="Times New Roman" w:cs="Times New Roman"/>
        </w:rPr>
        <w:t xml:space="preserve"> </w:t>
      </w:r>
      <w:r w:rsidR="00E04816" w:rsidRPr="009B1BC7">
        <w:rPr>
          <w:rFonts w:ascii="Times New Roman" w:hAnsi="Times New Roman" w:cs="Times New Roman"/>
        </w:rPr>
        <w:t xml:space="preserve">on endogenous variable in ARDL to examine if positive and negative changes in exogenous variable have </w:t>
      </w:r>
      <w:r w:rsidR="00E04816">
        <w:rPr>
          <w:rFonts w:ascii="Times New Roman" w:hAnsi="Times New Roman" w:cs="Times New Roman"/>
        </w:rPr>
        <w:t>different relations [23]</w:t>
      </w:r>
      <w:r w:rsidR="00E04816">
        <w:rPr>
          <w:rFonts w:ascii="Times New Roman" w:hAnsi="Times New Roman" w:cs="Times New Roman"/>
        </w:rPr>
        <w:t>.</w:t>
      </w:r>
      <w:r w:rsidRPr="009B1BC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600B"/>
    <w:multiLevelType w:val="hybridMultilevel"/>
    <w:tmpl w:val="6F06B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tjQxBZJGxsaGxko6SsGpxcWZ+XkgBWa1AIBpR8QsAAAA"/>
  </w:docVars>
  <w:rsids>
    <w:rsidRoot w:val="0094142C"/>
    <w:rsid w:val="00000B1F"/>
    <w:rsid w:val="0000478D"/>
    <w:rsid w:val="00005355"/>
    <w:rsid w:val="00005505"/>
    <w:rsid w:val="000056D8"/>
    <w:rsid w:val="00005FFA"/>
    <w:rsid w:val="00012400"/>
    <w:rsid w:val="00013074"/>
    <w:rsid w:val="00017E0B"/>
    <w:rsid w:val="00020765"/>
    <w:rsid w:val="00020CC7"/>
    <w:rsid w:val="0002386C"/>
    <w:rsid w:val="00023C3D"/>
    <w:rsid w:val="00026866"/>
    <w:rsid w:val="00032C7F"/>
    <w:rsid w:val="00034DBF"/>
    <w:rsid w:val="00035E06"/>
    <w:rsid w:val="00036C5F"/>
    <w:rsid w:val="000412FF"/>
    <w:rsid w:val="0004414B"/>
    <w:rsid w:val="00052CF5"/>
    <w:rsid w:val="00053C07"/>
    <w:rsid w:val="00054BDC"/>
    <w:rsid w:val="00054FC1"/>
    <w:rsid w:val="0005696F"/>
    <w:rsid w:val="000718DE"/>
    <w:rsid w:val="00073358"/>
    <w:rsid w:val="0007408D"/>
    <w:rsid w:val="000772F4"/>
    <w:rsid w:val="00080558"/>
    <w:rsid w:val="000809D2"/>
    <w:rsid w:val="00086494"/>
    <w:rsid w:val="00092CA9"/>
    <w:rsid w:val="00095B9A"/>
    <w:rsid w:val="00095FF4"/>
    <w:rsid w:val="000A3EBB"/>
    <w:rsid w:val="000B3902"/>
    <w:rsid w:val="000B7399"/>
    <w:rsid w:val="000C7875"/>
    <w:rsid w:val="000D710E"/>
    <w:rsid w:val="000F0DAE"/>
    <w:rsid w:val="000F0DBD"/>
    <w:rsid w:val="000F1B34"/>
    <w:rsid w:val="000F7DB8"/>
    <w:rsid w:val="001037DA"/>
    <w:rsid w:val="00106498"/>
    <w:rsid w:val="00110973"/>
    <w:rsid w:val="001123E5"/>
    <w:rsid w:val="00112EC8"/>
    <w:rsid w:val="001131DD"/>
    <w:rsid w:val="00113DB1"/>
    <w:rsid w:val="00116694"/>
    <w:rsid w:val="00122933"/>
    <w:rsid w:val="00122DD0"/>
    <w:rsid w:val="00125DAC"/>
    <w:rsid w:val="0013732E"/>
    <w:rsid w:val="0014144F"/>
    <w:rsid w:val="0014446B"/>
    <w:rsid w:val="001704F8"/>
    <w:rsid w:val="00172D69"/>
    <w:rsid w:val="001751D2"/>
    <w:rsid w:val="00175C00"/>
    <w:rsid w:val="00176B5B"/>
    <w:rsid w:val="00177532"/>
    <w:rsid w:val="00177BD6"/>
    <w:rsid w:val="00182482"/>
    <w:rsid w:val="001841E6"/>
    <w:rsid w:val="00184981"/>
    <w:rsid w:val="00187D5F"/>
    <w:rsid w:val="00190B1D"/>
    <w:rsid w:val="00195CC5"/>
    <w:rsid w:val="001A21E8"/>
    <w:rsid w:val="001A3611"/>
    <w:rsid w:val="001C5370"/>
    <w:rsid w:val="001C7E7D"/>
    <w:rsid w:val="001D5A0D"/>
    <w:rsid w:val="001E10AB"/>
    <w:rsid w:val="001E1CD8"/>
    <w:rsid w:val="001F6FC8"/>
    <w:rsid w:val="00203DBD"/>
    <w:rsid w:val="00211A9B"/>
    <w:rsid w:val="00212B4A"/>
    <w:rsid w:val="00215F15"/>
    <w:rsid w:val="00217420"/>
    <w:rsid w:val="00222997"/>
    <w:rsid w:val="002256EC"/>
    <w:rsid w:val="00234963"/>
    <w:rsid w:val="00234F8C"/>
    <w:rsid w:val="00236618"/>
    <w:rsid w:val="00240B44"/>
    <w:rsid w:val="00240C7A"/>
    <w:rsid w:val="002430DD"/>
    <w:rsid w:val="00243FD6"/>
    <w:rsid w:val="00245CD8"/>
    <w:rsid w:val="0024694F"/>
    <w:rsid w:val="00250A73"/>
    <w:rsid w:val="00255ADB"/>
    <w:rsid w:val="00263C0F"/>
    <w:rsid w:val="002669BD"/>
    <w:rsid w:val="002754E6"/>
    <w:rsid w:val="00280459"/>
    <w:rsid w:val="00284547"/>
    <w:rsid w:val="00285723"/>
    <w:rsid w:val="00293C35"/>
    <w:rsid w:val="002949B4"/>
    <w:rsid w:val="00296AA2"/>
    <w:rsid w:val="002A15AD"/>
    <w:rsid w:val="002A4C13"/>
    <w:rsid w:val="002B1422"/>
    <w:rsid w:val="002B3D4C"/>
    <w:rsid w:val="002B51C8"/>
    <w:rsid w:val="002C64E2"/>
    <w:rsid w:val="002C7127"/>
    <w:rsid w:val="002C7D12"/>
    <w:rsid w:val="002D066F"/>
    <w:rsid w:val="002D2C08"/>
    <w:rsid w:val="002D5B15"/>
    <w:rsid w:val="002E198B"/>
    <w:rsid w:val="002E35E8"/>
    <w:rsid w:val="002E37EA"/>
    <w:rsid w:val="002E4629"/>
    <w:rsid w:val="002F28AD"/>
    <w:rsid w:val="00301BD4"/>
    <w:rsid w:val="0030244F"/>
    <w:rsid w:val="00302EC9"/>
    <w:rsid w:val="0030527A"/>
    <w:rsid w:val="00306FB9"/>
    <w:rsid w:val="00310950"/>
    <w:rsid w:val="00320049"/>
    <w:rsid w:val="00324214"/>
    <w:rsid w:val="00325BF4"/>
    <w:rsid w:val="00327323"/>
    <w:rsid w:val="00331F7E"/>
    <w:rsid w:val="00333139"/>
    <w:rsid w:val="00336636"/>
    <w:rsid w:val="003405E2"/>
    <w:rsid w:val="0034211D"/>
    <w:rsid w:val="00350BF5"/>
    <w:rsid w:val="00353C75"/>
    <w:rsid w:val="003555A7"/>
    <w:rsid w:val="00355F23"/>
    <w:rsid w:val="00355F63"/>
    <w:rsid w:val="00356158"/>
    <w:rsid w:val="003574EF"/>
    <w:rsid w:val="00361A60"/>
    <w:rsid w:val="00375F0C"/>
    <w:rsid w:val="00377D27"/>
    <w:rsid w:val="0038405E"/>
    <w:rsid w:val="00385383"/>
    <w:rsid w:val="00385778"/>
    <w:rsid w:val="00385DA1"/>
    <w:rsid w:val="00386B65"/>
    <w:rsid w:val="00386D17"/>
    <w:rsid w:val="00393D99"/>
    <w:rsid w:val="00395A39"/>
    <w:rsid w:val="003975DC"/>
    <w:rsid w:val="003A0BF2"/>
    <w:rsid w:val="003A1D2B"/>
    <w:rsid w:val="003A2969"/>
    <w:rsid w:val="003A4C37"/>
    <w:rsid w:val="003A739F"/>
    <w:rsid w:val="003B22D3"/>
    <w:rsid w:val="003B2A51"/>
    <w:rsid w:val="003B32CA"/>
    <w:rsid w:val="003B6E44"/>
    <w:rsid w:val="003C1DD4"/>
    <w:rsid w:val="003C3A4D"/>
    <w:rsid w:val="003D0870"/>
    <w:rsid w:val="003D09CD"/>
    <w:rsid w:val="003D3344"/>
    <w:rsid w:val="003D37AB"/>
    <w:rsid w:val="003D521F"/>
    <w:rsid w:val="003E524F"/>
    <w:rsid w:val="003E532F"/>
    <w:rsid w:val="003E5D85"/>
    <w:rsid w:val="003E7647"/>
    <w:rsid w:val="003F1F91"/>
    <w:rsid w:val="003F5EA3"/>
    <w:rsid w:val="003F6689"/>
    <w:rsid w:val="004005A4"/>
    <w:rsid w:val="00400B8F"/>
    <w:rsid w:val="00400CC0"/>
    <w:rsid w:val="00401BB3"/>
    <w:rsid w:val="0040596A"/>
    <w:rsid w:val="004116DD"/>
    <w:rsid w:val="00412D98"/>
    <w:rsid w:val="00420508"/>
    <w:rsid w:val="00421811"/>
    <w:rsid w:val="00433E42"/>
    <w:rsid w:val="00435EBE"/>
    <w:rsid w:val="004434E9"/>
    <w:rsid w:val="004519DA"/>
    <w:rsid w:val="00455A56"/>
    <w:rsid w:val="00457132"/>
    <w:rsid w:val="00460631"/>
    <w:rsid w:val="00471210"/>
    <w:rsid w:val="004741F8"/>
    <w:rsid w:val="00474D03"/>
    <w:rsid w:val="004864C2"/>
    <w:rsid w:val="004875A2"/>
    <w:rsid w:val="0049486A"/>
    <w:rsid w:val="004A0184"/>
    <w:rsid w:val="004A0EBD"/>
    <w:rsid w:val="004A135E"/>
    <w:rsid w:val="004A1DE7"/>
    <w:rsid w:val="004A245A"/>
    <w:rsid w:val="004A3646"/>
    <w:rsid w:val="004A6072"/>
    <w:rsid w:val="004A7398"/>
    <w:rsid w:val="004A75A9"/>
    <w:rsid w:val="004B04FB"/>
    <w:rsid w:val="004B2282"/>
    <w:rsid w:val="004B4D87"/>
    <w:rsid w:val="004C03F6"/>
    <w:rsid w:val="004C241E"/>
    <w:rsid w:val="004C3689"/>
    <w:rsid w:val="004D187B"/>
    <w:rsid w:val="004D33C3"/>
    <w:rsid w:val="004D3A10"/>
    <w:rsid w:val="004D43A3"/>
    <w:rsid w:val="004D612C"/>
    <w:rsid w:val="004E1857"/>
    <w:rsid w:val="004E31C5"/>
    <w:rsid w:val="004E60EC"/>
    <w:rsid w:val="004E62DD"/>
    <w:rsid w:val="004F0612"/>
    <w:rsid w:val="004F34EB"/>
    <w:rsid w:val="004F4757"/>
    <w:rsid w:val="004F702F"/>
    <w:rsid w:val="0050059B"/>
    <w:rsid w:val="00500701"/>
    <w:rsid w:val="005015F1"/>
    <w:rsid w:val="005019FA"/>
    <w:rsid w:val="005049D4"/>
    <w:rsid w:val="005049F8"/>
    <w:rsid w:val="00506918"/>
    <w:rsid w:val="0051355D"/>
    <w:rsid w:val="00515175"/>
    <w:rsid w:val="00516DCA"/>
    <w:rsid w:val="00532590"/>
    <w:rsid w:val="00532D65"/>
    <w:rsid w:val="0053382D"/>
    <w:rsid w:val="00533885"/>
    <w:rsid w:val="005366A7"/>
    <w:rsid w:val="00540F5B"/>
    <w:rsid w:val="00545513"/>
    <w:rsid w:val="005510CD"/>
    <w:rsid w:val="00554698"/>
    <w:rsid w:val="00561424"/>
    <w:rsid w:val="0056579A"/>
    <w:rsid w:val="00566F5F"/>
    <w:rsid w:val="0057177B"/>
    <w:rsid w:val="0057502B"/>
    <w:rsid w:val="00575281"/>
    <w:rsid w:val="0057733B"/>
    <w:rsid w:val="005773C5"/>
    <w:rsid w:val="00581905"/>
    <w:rsid w:val="00582BB2"/>
    <w:rsid w:val="005916AA"/>
    <w:rsid w:val="005934DE"/>
    <w:rsid w:val="00594B28"/>
    <w:rsid w:val="00596C28"/>
    <w:rsid w:val="005A1603"/>
    <w:rsid w:val="005A3E2C"/>
    <w:rsid w:val="005B1B34"/>
    <w:rsid w:val="005B3B0A"/>
    <w:rsid w:val="005B5883"/>
    <w:rsid w:val="005B5E50"/>
    <w:rsid w:val="005B7E42"/>
    <w:rsid w:val="005C36C7"/>
    <w:rsid w:val="005C4557"/>
    <w:rsid w:val="005C67D1"/>
    <w:rsid w:val="005C6854"/>
    <w:rsid w:val="005D2A56"/>
    <w:rsid w:val="005E137A"/>
    <w:rsid w:val="005E188D"/>
    <w:rsid w:val="005E4194"/>
    <w:rsid w:val="005E7ED6"/>
    <w:rsid w:val="005F2284"/>
    <w:rsid w:val="005F38AB"/>
    <w:rsid w:val="005F6E1B"/>
    <w:rsid w:val="006005AA"/>
    <w:rsid w:val="006019A8"/>
    <w:rsid w:val="00602BB0"/>
    <w:rsid w:val="00602E4D"/>
    <w:rsid w:val="00607A1E"/>
    <w:rsid w:val="00615690"/>
    <w:rsid w:val="0061721B"/>
    <w:rsid w:val="006220D8"/>
    <w:rsid w:val="00623547"/>
    <w:rsid w:val="00624774"/>
    <w:rsid w:val="00633AD8"/>
    <w:rsid w:val="00634937"/>
    <w:rsid w:val="00634984"/>
    <w:rsid w:val="006349D9"/>
    <w:rsid w:val="00635342"/>
    <w:rsid w:val="00637804"/>
    <w:rsid w:val="00641691"/>
    <w:rsid w:val="00642602"/>
    <w:rsid w:val="00642F4D"/>
    <w:rsid w:val="006507D6"/>
    <w:rsid w:val="00650C1C"/>
    <w:rsid w:val="00657197"/>
    <w:rsid w:val="0066657C"/>
    <w:rsid w:val="00671DCB"/>
    <w:rsid w:val="00673A2A"/>
    <w:rsid w:val="00673F77"/>
    <w:rsid w:val="00674E59"/>
    <w:rsid w:val="006751A4"/>
    <w:rsid w:val="00683719"/>
    <w:rsid w:val="00686DF5"/>
    <w:rsid w:val="0069105F"/>
    <w:rsid w:val="0069272D"/>
    <w:rsid w:val="00694F03"/>
    <w:rsid w:val="0069703C"/>
    <w:rsid w:val="006A4B07"/>
    <w:rsid w:val="006B27B4"/>
    <w:rsid w:val="006B355C"/>
    <w:rsid w:val="006B3928"/>
    <w:rsid w:val="006B545E"/>
    <w:rsid w:val="006C177B"/>
    <w:rsid w:val="006C2988"/>
    <w:rsid w:val="006C5465"/>
    <w:rsid w:val="006C74B0"/>
    <w:rsid w:val="006C7AD5"/>
    <w:rsid w:val="006D0CE7"/>
    <w:rsid w:val="006D2C89"/>
    <w:rsid w:val="006D35CF"/>
    <w:rsid w:val="006D5AB0"/>
    <w:rsid w:val="006D6D07"/>
    <w:rsid w:val="006E15A6"/>
    <w:rsid w:val="006E1E5E"/>
    <w:rsid w:val="006E23F6"/>
    <w:rsid w:val="006E4CB9"/>
    <w:rsid w:val="006E64AB"/>
    <w:rsid w:val="006F07B3"/>
    <w:rsid w:val="006F6F4F"/>
    <w:rsid w:val="00700CE9"/>
    <w:rsid w:val="00701873"/>
    <w:rsid w:val="00703CAB"/>
    <w:rsid w:val="00707DA5"/>
    <w:rsid w:val="00711D55"/>
    <w:rsid w:val="007133B7"/>
    <w:rsid w:val="00714571"/>
    <w:rsid w:val="00714FBA"/>
    <w:rsid w:val="0071587F"/>
    <w:rsid w:val="00716843"/>
    <w:rsid w:val="00717C48"/>
    <w:rsid w:val="00740F44"/>
    <w:rsid w:val="0074441C"/>
    <w:rsid w:val="007449B3"/>
    <w:rsid w:val="00750DB1"/>
    <w:rsid w:val="007560B8"/>
    <w:rsid w:val="007603A4"/>
    <w:rsid w:val="00761631"/>
    <w:rsid w:val="0076503D"/>
    <w:rsid w:val="00774A15"/>
    <w:rsid w:val="0078736E"/>
    <w:rsid w:val="00791EB7"/>
    <w:rsid w:val="00796DE3"/>
    <w:rsid w:val="007A25D5"/>
    <w:rsid w:val="007B08C8"/>
    <w:rsid w:val="007B3288"/>
    <w:rsid w:val="007B6FA9"/>
    <w:rsid w:val="007B7B31"/>
    <w:rsid w:val="007C2A01"/>
    <w:rsid w:val="007C42CE"/>
    <w:rsid w:val="007C491F"/>
    <w:rsid w:val="007C6E90"/>
    <w:rsid w:val="007D0DF5"/>
    <w:rsid w:val="007D4EA9"/>
    <w:rsid w:val="007D597D"/>
    <w:rsid w:val="007D5B3F"/>
    <w:rsid w:val="007E1609"/>
    <w:rsid w:val="007E4131"/>
    <w:rsid w:val="007E4378"/>
    <w:rsid w:val="007E5358"/>
    <w:rsid w:val="007F1C8F"/>
    <w:rsid w:val="008004D0"/>
    <w:rsid w:val="00811D4F"/>
    <w:rsid w:val="00812012"/>
    <w:rsid w:val="00815EAA"/>
    <w:rsid w:val="00822000"/>
    <w:rsid w:val="0082258D"/>
    <w:rsid w:val="008235C0"/>
    <w:rsid w:val="00826907"/>
    <w:rsid w:val="0083315D"/>
    <w:rsid w:val="00836BB4"/>
    <w:rsid w:val="008377A0"/>
    <w:rsid w:val="00841248"/>
    <w:rsid w:val="008441BC"/>
    <w:rsid w:val="00844CF7"/>
    <w:rsid w:val="008463B6"/>
    <w:rsid w:val="00847A94"/>
    <w:rsid w:val="008537DA"/>
    <w:rsid w:val="0085775D"/>
    <w:rsid w:val="00862B3B"/>
    <w:rsid w:val="0086324D"/>
    <w:rsid w:val="00864DDE"/>
    <w:rsid w:val="008709C9"/>
    <w:rsid w:val="0087318F"/>
    <w:rsid w:val="008732C2"/>
    <w:rsid w:val="00880761"/>
    <w:rsid w:val="008807AB"/>
    <w:rsid w:val="008821ED"/>
    <w:rsid w:val="00883C93"/>
    <w:rsid w:val="00884EAE"/>
    <w:rsid w:val="00885659"/>
    <w:rsid w:val="00891B76"/>
    <w:rsid w:val="00893509"/>
    <w:rsid w:val="0089443B"/>
    <w:rsid w:val="00895441"/>
    <w:rsid w:val="008A00D3"/>
    <w:rsid w:val="008B699E"/>
    <w:rsid w:val="008B7751"/>
    <w:rsid w:val="008C0EE8"/>
    <w:rsid w:val="008C2DE2"/>
    <w:rsid w:val="008D2192"/>
    <w:rsid w:val="008D2677"/>
    <w:rsid w:val="008D46DC"/>
    <w:rsid w:val="008D5189"/>
    <w:rsid w:val="008D7878"/>
    <w:rsid w:val="008E2B87"/>
    <w:rsid w:val="008F2527"/>
    <w:rsid w:val="008F6D08"/>
    <w:rsid w:val="009009BE"/>
    <w:rsid w:val="00902A9B"/>
    <w:rsid w:val="00903054"/>
    <w:rsid w:val="0090543F"/>
    <w:rsid w:val="00907530"/>
    <w:rsid w:val="00912B49"/>
    <w:rsid w:val="0091419F"/>
    <w:rsid w:val="00924269"/>
    <w:rsid w:val="00925BE2"/>
    <w:rsid w:val="009302EA"/>
    <w:rsid w:val="00932339"/>
    <w:rsid w:val="00933267"/>
    <w:rsid w:val="009354CC"/>
    <w:rsid w:val="00935AD9"/>
    <w:rsid w:val="00936F28"/>
    <w:rsid w:val="00940985"/>
    <w:rsid w:val="0094142C"/>
    <w:rsid w:val="00943382"/>
    <w:rsid w:val="00943F00"/>
    <w:rsid w:val="00945E9A"/>
    <w:rsid w:val="00954406"/>
    <w:rsid w:val="0095616A"/>
    <w:rsid w:val="00965063"/>
    <w:rsid w:val="00973CFF"/>
    <w:rsid w:val="009747FB"/>
    <w:rsid w:val="00975F32"/>
    <w:rsid w:val="009809D7"/>
    <w:rsid w:val="00983EE6"/>
    <w:rsid w:val="00990B61"/>
    <w:rsid w:val="009932EA"/>
    <w:rsid w:val="00997DDF"/>
    <w:rsid w:val="009A03C4"/>
    <w:rsid w:val="009A7477"/>
    <w:rsid w:val="009B1465"/>
    <w:rsid w:val="009B1BC7"/>
    <w:rsid w:val="009B268B"/>
    <w:rsid w:val="009B4BCB"/>
    <w:rsid w:val="009C524E"/>
    <w:rsid w:val="009D0852"/>
    <w:rsid w:val="009D0FAA"/>
    <w:rsid w:val="009D2B24"/>
    <w:rsid w:val="009D4DCA"/>
    <w:rsid w:val="009E0376"/>
    <w:rsid w:val="009E132A"/>
    <w:rsid w:val="009E3EDA"/>
    <w:rsid w:val="009F0399"/>
    <w:rsid w:val="009F06CA"/>
    <w:rsid w:val="009F4684"/>
    <w:rsid w:val="00A0043C"/>
    <w:rsid w:val="00A1312D"/>
    <w:rsid w:val="00A136AC"/>
    <w:rsid w:val="00A163CD"/>
    <w:rsid w:val="00A23F2A"/>
    <w:rsid w:val="00A272F6"/>
    <w:rsid w:val="00A2791B"/>
    <w:rsid w:val="00A31D45"/>
    <w:rsid w:val="00A333E0"/>
    <w:rsid w:val="00A336C1"/>
    <w:rsid w:val="00A34FA6"/>
    <w:rsid w:val="00A37A35"/>
    <w:rsid w:val="00A41F8E"/>
    <w:rsid w:val="00A4402F"/>
    <w:rsid w:val="00A470A8"/>
    <w:rsid w:val="00A475D1"/>
    <w:rsid w:val="00A51ED8"/>
    <w:rsid w:val="00A52FFD"/>
    <w:rsid w:val="00A55391"/>
    <w:rsid w:val="00A578F7"/>
    <w:rsid w:val="00A620AF"/>
    <w:rsid w:val="00A63C12"/>
    <w:rsid w:val="00A67E11"/>
    <w:rsid w:val="00A75F9E"/>
    <w:rsid w:val="00A7737F"/>
    <w:rsid w:val="00A774FD"/>
    <w:rsid w:val="00A83984"/>
    <w:rsid w:val="00A84235"/>
    <w:rsid w:val="00A844B7"/>
    <w:rsid w:val="00A84942"/>
    <w:rsid w:val="00A91FEF"/>
    <w:rsid w:val="00A92D00"/>
    <w:rsid w:val="00A944D8"/>
    <w:rsid w:val="00A9559F"/>
    <w:rsid w:val="00AA2522"/>
    <w:rsid w:val="00AA2C9F"/>
    <w:rsid w:val="00AA4FE9"/>
    <w:rsid w:val="00AA5B37"/>
    <w:rsid w:val="00AA5BD7"/>
    <w:rsid w:val="00AA707F"/>
    <w:rsid w:val="00AB0DC5"/>
    <w:rsid w:val="00AB4612"/>
    <w:rsid w:val="00AB4E7E"/>
    <w:rsid w:val="00AB68EA"/>
    <w:rsid w:val="00AC074B"/>
    <w:rsid w:val="00AC09FF"/>
    <w:rsid w:val="00AD3343"/>
    <w:rsid w:val="00AD3E79"/>
    <w:rsid w:val="00AD7648"/>
    <w:rsid w:val="00AD7D0E"/>
    <w:rsid w:val="00AE0C3A"/>
    <w:rsid w:val="00AE525C"/>
    <w:rsid w:val="00AE5A54"/>
    <w:rsid w:val="00AE5C13"/>
    <w:rsid w:val="00AF597E"/>
    <w:rsid w:val="00AF7466"/>
    <w:rsid w:val="00B076A3"/>
    <w:rsid w:val="00B12553"/>
    <w:rsid w:val="00B128C5"/>
    <w:rsid w:val="00B12D93"/>
    <w:rsid w:val="00B13CBF"/>
    <w:rsid w:val="00B20123"/>
    <w:rsid w:val="00B20652"/>
    <w:rsid w:val="00B26C80"/>
    <w:rsid w:val="00B30B8C"/>
    <w:rsid w:val="00B416CF"/>
    <w:rsid w:val="00B424B6"/>
    <w:rsid w:val="00B5184B"/>
    <w:rsid w:val="00B5599A"/>
    <w:rsid w:val="00B56263"/>
    <w:rsid w:val="00B64137"/>
    <w:rsid w:val="00B651FC"/>
    <w:rsid w:val="00B65D53"/>
    <w:rsid w:val="00B73BFD"/>
    <w:rsid w:val="00B75D73"/>
    <w:rsid w:val="00B7783C"/>
    <w:rsid w:val="00B81BB5"/>
    <w:rsid w:val="00B86104"/>
    <w:rsid w:val="00B92922"/>
    <w:rsid w:val="00B96914"/>
    <w:rsid w:val="00BA3160"/>
    <w:rsid w:val="00BB4156"/>
    <w:rsid w:val="00BB563C"/>
    <w:rsid w:val="00BC043C"/>
    <w:rsid w:val="00BC0830"/>
    <w:rsid w:val="00BC1F74"/>
    <w:rsid w:val="00BD0FB7"/>
    <w:rsid w:val="00BD23DD"/>
    <w:rsid w:val="00BD3072"/>
    <w:rsid w:val="00BD3FFF"/>
    <w:rsid w:val="00BD545A"/>
    <w:rsid w:val="00BE0272"/>
    <w:rsid w:val="00BE0518"/>
    <w:rsid w:val="00BE2DE3"/>
    <w:rsid w:val="00BE5EC2"/>
    <w:rsid w:val="00BE6A15"/>
    <w:rsid w:val="00BF21FE"/>
    <w:rsid w:val="00BF32B4"/>
    <w:rsid w:val="00BF389A"/>
    <w:rsid w:val="00BF5447"/>
    <w:rsid w:val="00C00118"/>
    <w:rsid w:val="00C0364C"/>
    <w:rsid w:val="00C048DB"/>
    <w:rsid w:val="00C07B18"/>
    <w:rsid w:val="00C11FE9"/>
    <w:rsid w:val="00C125B7"/>
    <w:rsid w:val="00C127F7"/>
    <w:rsid w:val="00C13193"/>
    <w:rsid w:val="00C13A8C"/>
    <w:rsid w:val="00C15C54"/>
    <w:rsid w:val="00C17413"/>
    <w:rsid w:val="00C2653C"/>
    <w:rsid w:val="00C2707E"/>
    <w:rsid w:val="00C272EC"/>
    <w:rsid w:val="00C37863"/>
    <w:rsid w:val="00C379B5"/>
    <w:rsid w:val="00C41B5E"/>
    <w:rsid w:val="00C447AA"/>
    <w:rsid w:val="00C57266"/>
    <w:rsid w:val="00C572F6"/>
    <w:rsid w:val="00C605B0"/>
    <w:rsid w:val="00C610DB"/>
    <w:rsid w:val="00C656C9"/>
    <w:rsid w:val="00C65718"/>
    <w:rsid w:val="00C756AE"/>
    <w:rsid w:val="00C75FC9"/>
    <w:rsid w:val="00C81971"/>
    <w:rsid w:val="00C8571C"/>
    <w:rsid w:val="00C87604"/>
    <w:rsid w:val="00C91708"/>
    <w:rsid w:val="00C95397"/>
    <w:rsid w:val="00C96757"/>
    <w:rsid w:val="00CA0BD3"/>
    <w:rsid w:val="00CA2960"/>
    <w:rsid w:val="00CA7116"/>
    <w:rsid w:val="00CB1714"/>
    <w:rsid w:val="00CB6BA5"/>
    <w:rsid w:val="00CB7004"/>
    <w:rsid w:val="00CC30CC"/>
    <w:rsid w:val="00CC484E"/>
    <w:rsid w:val="00CD184E"/>
    <w:rsid w:val="00CD2F38"/>
    <w:rsid w:val="00CD385F"/>
    <w:rsid w:val="00CD4929"/>
    <w:rsid w:val="00CD51DD"/>
    <w:rsid w:val="00CD5EE9"/>
    <w:rsid w:val="00CE0A82"/>
    <w:rsid w:val="00CF05F9"/>
    <w:rsid w:val="00CF18B5"/>
    <w:rsid w:val="00D03471"/>
    <w:rsid w:val="00D05DB1"/>
    <w:rsid w:val="00D07871"/>
    <w:rsid w:val="00D11DD6"/>
    <w:rsid w:val="00D15471"/>
    <w:rsid w:val="00D1692C"/>
    <w:rsid w:val="00D24617"/>
    <w:rsid w:val="00D25B5C"/>
    <w:rsid w:val="00D260B4"/>
    <w:rsid w:val="00D355B7"/>
    <w:rsid w:val="00D3759D"/>
    <w:rsid w:val="00D37752"/>
    <w:rsid w:val="00D4669D"/>
    <w:rsid w:val="00D515D8"/>
    <w:rsid w:val="00D51C5D"/>
    <w:rsid w:val="00D52F4A"/>
    <w:rsid w:val="00D53051"/>
    <w:rsid w:val="00D5548A"/>
    <w:rsid w:val="00D62F78"/>
    <w:rsid w:val="00D65FA4"/>
    <w:rsid w:val="00D67FE3"/>
    <w:rsid w:val="00D72847"/>
    <w:rsid w:val="00D72D9B"/>
    <w:rsid w:val="00D745E4"/>
    <w:rsid w:val="00D75C3A"/>
    <w:rsid w:val="00D80366"/>
    <w:rsid w:val="00D824F7"/>
    <w:rsid w:val="00D82855"/>
    <w:rsid w:val="00D82ECA"/>
    <w:rsid w:val="00D84AB0"/>
    <w:rsid w:val="00D84CDB"/>
    <w:rsid w:val="00D87E6B"/>
    <w:rsid w:val="00D92899"/>
    <w:rsid w:val="00D95E68"/>
    <w:rsid w:val="00DA1CCA"/>
    <w:rsid w:val="00DA5384"/>
    <w:rsid w:val="00DA776C"/>
    <w:rsid w:val="00DA7C68"/>
    <w:rsid w:val="00DB0AE2"/>
    <w:rsid w:val="00DB205F"/>
    <w:rsid w:val="00DC2D1D"/>
    <w:rsid w:val="00DC46C6"/>
    <w:rsid w:val="00DD0F58"/>
    <w:rsid w:val="00DD2A20"/>
    <w:rsid w:val="00DD3924"/>
    <w:rsid w:val="00DD655A"/>
    <w:rsid w:val="00DD6CF1"/>
    <w:rsid w:val="00DD7989"/>
    <w:rsid w:val="00DF1409"/>
    <w:rsid w:val="00DF2FB7"/>
    <w:rsid w:val="00E04816"/>
    <w:rsid w:val="00E04834"/>
    <w:rsid w:val="00E06035"/>
    <w:rsid w:val="00E217DC"/>
    <w:rsid w:val="00E23E34"/>
    <w:rsid w:val="00E25A75"/>
    <w:rsid w:val="00E34A61"/>
    <w:rsid w:val="00E37A7F"/>
    <w:rsid w:val="00E4073C"/>
    <w:rsid w:val="00E41E3D"/>
    <w:rsid w:val="00E43D47"/>
    <w:rsid w:val="00E44E69"/>
    <w:rsid w:val="00E45264"/>
    <w:rsid w:val="00E459B7"/>
    <w:rsid w:val="00E46768"/>
    <w:rsid w:val="00E5531C"/>
    <w:rsid w:val="00E55B0A"/>
    <w:rsid w:val="00E55B90"/>
    <w:rsid w:val="00E60E8E"/>
    <w:rsid w:val="00E62E3E"/>
    <w:rsid w:val="00E63D5F"/>
    <w:rsid w:val="00E67B4E"/>
    <w:rsid w:val="00E72A2B"/>
    <w:rsid w:val="00E7523A"/>
    <w:rsid w:val="00E80574"/>
    <w:rsid w:val="00E81937"/>
    <w:rsid w:val="00E8387D"/>
    <w:rsid w:val="00E963E7"/>
    <w:rsid w:val="00EA00E6"/>
    <w:rsid w:val="00EA233D"/>
    <w:rsid w:val="00EA58CB"/>
    <w:rsid w:val="00EA5E6A"/>
    <w:rsid w:val="00EC0905"/>
    <w:rsid w:val="00EC1157"/>
    <w:rsid w:val="00EC20BC"/>
    <w:rsid w:val="00EC231A"/>
    <w:rsid w:val="00EC68F6"/>
    <w:rsid w:val="00EC7988"/>
    <w:rsid w:val="00ED10B5"/>
    <w:rsid w:val="00ED3087"/>
    <w:rsid w:val="00EE12D6"/>
    <w:rsid w:val="00EE142E"/>
    <w:rsid w:val="00EE611F"/>
    <w:rsid w:val="00EF3538"/>
    <w:rsid w:val="00EF7D07"/>
    <w:rsid w:val="00F00E42"/>
    <w:rsid w:val="00F01802"/>
    <w:rsid w:val="00F02F72"/>
    <w:rsid w:val="00F05482"/>
    <w:rsid w:val="00F075C8"/>
    <w:rsid w:val="00F140B5"/>
    <w:rsid w:val="00F15E63"/>
    <w:rsid w:val="00F173B5"/>
    <w:rsid w:val="00F17BD4"/>
    <w:rsid w:val="00F217A3"/>
    <w:rsid w:val="00F25A38"/>
    <w:rsid w:val="00F30B83"/>
    <w:rsid w:val="00F35542"/>
    <w:rsid w:val="00F40260"/>
    <w:rsid w:val="00F40F1B"/>
    <w:rsid w:val="00F41B7B"/>
    <w:rsid w:val="00F42E60"/>
    <w:rsid w:val="00F47FBF"/>
    <w:rsid w:val="00F53365"/>
    <w:rsid w:val="00F55890"/>
    <w:rsid w:val="00F55FD2"/>
    <w:rsid w:val="00F65AC7"/>
    <w:rsid w:val="00F72AD3"/>
    <w:rsid w:val="00F73430"/>
    <w:rsid w:val="00F74451"/>
    <w:rsid w:val="00F75CF9"/>
    <w:rsid w:val="00F75FDF"/>
    <w:rsid w:val="00F772CA"/>
    <w:rsid w:val="00F8561D"/>
    <w:rsid w:val="00F86D5C"/>
    <w:rsid w:val="00F90BEC"/>
    <w:rsid w:val="00F9144F"/>
    <w:rsid w:val="00F924CC"/>
    <w:rsid w:val="00F927E1"/>
    <w:rsid w:val="00F932C2"/>
    <w:rsid w:val="00F95D97"/>
    <w:rsid w:val="00F95F2F"/>
    <w:rsid w:val="00F97B52"/>
    <w:rsid w:val="00F97E18"/>
    <w:rsid w:val="00FA0CE4"/>
    <w:rsid w:val="00FA11D3"/>
    <w:rsid w:val="00FA3071"/>
    <w:rsid w:val="00FA3808"/>
    <w:rsid w:val="00FA7AF5"/>
    <w:rsid w:val="00FB0F4F"/>
    <w:rsid w:val="00FB197F"/>
    <w:rsid w:val="00FB1B80"/>
    <w:rsid w:val="00FB2AF8"/>
    <w:rsid w:val="00FB53D0"/>
    <w:rsid w:val="00FC1695"/>
    <w:rsid w:val="00FC2049"/>
    <w:rsid w:val="00FC2536"/>
    <w:rsid w:val="00FC58A4"/>
    <w:rsid w:val="00FD5EC9"/>
    <w:rsid w:val="00FE06FF"/>
    <w:rsid w:val="00FE0894"/>
    <w:rsid w:val="00FE4B12"/>
    <w:rsid w:val="00FF2843"/>
    <w:rsid w:val="00FF36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1619"/>
  <w15:docId w15:val="{02ABFB84-5DA1-43FC-8CAA-577797AF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2">
    <w:name w:val="heading 2"/>
    <w:aliases w:val="Heading 2a"/>
    <w:basedOn w:val="Normal"/>
    <w:next w:val="Normal"/>
    <w:link w:val="Heading2Char"/>
    <w:autoRedefine/>
    <w:qFormat/>
    <w:rsid w:val="007449B3"/>
    <w:pPr>
      <w:keepNext/>
      <w:widowControl w:val="0"/>
      <w:tabs>
        <w:tab w:val="left" w:pos="-1440"/>
        <w:tab w:val="left" w:pos="-720"/>
      </w:tabs>
      <w:overflowPunct w:val="0"/>
      <w:autoSpaceDE w:val="0"/>
      <w:autoSpaceDN w:val="0"/>
      <w:adjustRightInd w:val="0"/>
      <w:spacing w:before="240" w:after="120" w:line="240" w:lineRule="auto"/>
      <w:jc w:val="both"/>
      <w:textAlignment w:val="baseline"/>
      <w:outlineLvl w:val="1"/>
    </w:pPr>
    <w:rPr>
      <w:rFonts w:ascii="Arial" w:eastAsia="SimSun" w:hAnsi="Arial" w:cs="Times New Roman"/>
      <w:b/>
      <w:spacing w:val="-1"/>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B20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05F"/>
    <w:rPr>
      <w:sz w:val="20"/>
      <w:szCs w:val="20"/>
    </w:rPr>
  </w:style>
  <w:style w:type="character" w:styleId="FootnoteReference">
    <w:name w:val="footnote reference"/>
    <w:basedOn w:val="DefaultParagraphFont"/>
    <w:uiPriority w:val="99"/>
    <w:semiHidden/>
    <w:unhideWhenUsed/>
    <w:rsid w:val="00DB205F"/>
    <w:rPr>
      <w:vertAlign w:val="superscript"/>
    </w:rPr>
  </w:style>
  <w:style w:type="paragraph" w:customStyle="1" w:styleId="BodyText1">
    <w:name w:val="Body Text1"/>
    <w:basedOn w:val="Normal"/>
    <w:rsid w:val="00DB205F"/>
    <w:pPr>
      <w:spacing w:after="40" w:line="240" w:lineRule="auto"/>
      <w:jc w:val="both"/>
    </w:pPr>
    <w:rPr>
      <w:rFonts w:ascii="Arial" w:eastAsia="SimSun" w:hAnsi="Arial" w:cs="Times New Roman"/>
      <w:sz w:val="19"/>
      <w:szCs w:val="20"/>
      <w:lang w:val="pl-PL" w:eastAsia="pl-PL"/>
    </w:rPr>
  </w:style>
  <w:style w:type="paragraph" w:customStyle="1" w:styleId="TabletextLeft">
    <w:name w:val="Table text Left"/>
    <w:basedOn w:val="Normal"/>
    <w:link w:val="TabletextLeftChar"/>
    <w:autoRedefine/>
    <w:qFormat/>
    <w:rsid w:val="00D25B5C"/>
    <w:pPr>
      <w:overflowPunct w:val="0"/>
      <w:autoSpaceDE w:val="0"/>
      <w:autoSpaceDN w:val="0"/>
      <w:adjustRightInd w:val="0"/>
      <w:snapToGrid w:val="0"/>
      <w:spacing w:after="40" w:line="240" w:lineRule="auto"/>
      <w:ind w:left="101"/>
      <w:textAlignment w:val="baseline"/>
    </w:pPr>
    <w:rPr>
      <w:rFonts w:ascii="Arial" w:eastAsia="Calibri" w:hAnsi="Arial" w:cs="Times New Roman"/>
      <w:color w:val="000000"/>
      <w:position w:val="-4"/>
      <w:sz w:val="18"/>
      <w:lang w:val="x-none" w:eastAsia="zh-TW"/>
    </w:rPr>
  </w:style>
  <w:style w:type="character" w:customStyle="1" w:styleId="TabletextLeftChar">
    <w:name w:val="Table text Left Char"/>
    <w:link w:val="TabletextLeft"/>
    <w:rsid w:val="00D25B5C"/>
    <w:rPr>
      <w:rFonts w:ascii="Arial" w:eastAsia="Calibri" w:hAnsi="Arial" w:cs="Times New Roman"/>
      <w:color w:val="000000"/>
      <w:position w:val="-4"/>
      <w:sz w:val="18"/>
      <w:lang w:val="x-none" w:eastAsia="zh-TW"/>
    </w:rPr>
  </w:style>
  <w:style w:type="paragraph" w:customStyle="1" w:styleId="tablefigureno">
    <w:name w:val="table/figure no."/>
    <w:basedOn w:val="NoSpacing"/>
    <w:link w:val="tablefigurenoChar"/>
    <w:autoRedefine/>
    <w:qFormat/>
    <w:rsid w:val="00D25B5C"/>
    <w:pPr>
      <w:keepNext/>
      <w:spacing w:before="60"/>
      <w:jc w:val="right"/>
    </w:pPr>
    <w:rPr>
      <w:rFonts w:ascii="Arial" w:eastAsia="Calibri" w:hAnsi="Arial" w:cs="Times New Roman"/>
      <w:b/>
      <w:sz w:val="20"/>
      <w:szCs w:val="20"/>
      <w:lang w:val="x-none" w:eastAsia="x-none"/>
    </w:rPr>
  </w:style>
  <w:style w:type="character" w:customStyle="1" w:styleId="tablefigurenoChar">
    <w:name w:val="table/figure no. Char"/>
    <w:link w:val="tablefigureno"/>
    <w:rsid w:val="00D25B5C"/>
    <w:rPr>
      <w:rFonts w:ascii="Arial" w:eastAsia="Calibri" w:hAnsi="Arial" w:cs="Times New Roman"/>
      <w:b/>
      <w:sz w:val="20"/>
      <w:szCs w:val="20"/>
      <w:lang w:val="x-none" w:eastAsia="x-none"/>
    </w:rPr>
  </w:style>
  <w:style w:type="paragraph" w:styleId="NoSpacing">
    <w:name w:val="No Spacing"/>
    <w:uiPriority w:val="1"/>
    <w:qFormat/>
    <w:rsid w:val="00D25B5C"/>
    <w:pPr>
      <w:spacing w:after="0" w:line="240" w:lineRule="auto"/>
    </w:pPr>
  </w:style>
  <w:style w:type="paragraph" w:styleId="BalloonText">
    <w:name w:val="Balloon Text"/>
    <w:basedOn w:val="Normal"/>
    <w:link w:val="BalloonTextChar"/>
    <w:uiPriority w:val="99"/>
    <w:semiHidden/>
    <w:unhideWhenUsed/>
    <w:rsid w:val="00D25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5C"/>
    <w:rPr>
      <w:rFonts w:ascii="Tahoma" w:hAnsi="Tahoma" w:cs="Tahoma"/>
      <w:sz w:val="16"/>
      <w:szCs w:val="16"/>
    </w:rPr>
  </w:style>
  <w:style w:type="character" w:customStyle="1" w:styleId="Heading2Char">
    <w:name w:val="Heading 2 Char"/>
    <w:aliases w:val="Heading 2a Char"/>
    <w:basedOn w:val="DefaultParagraphFont"/>
    <w:link w:val="Heading2"/>
    <w:rsid w:val="007449B3"/>
    <w:rPr>
      <w:rFonts w:ascii="Arial" w:eastAsia="SimSun" w:hAnsi="Arial" w:cs="Times New Roman"/>
      <w:b/>
      <w:spacing w:val="-1"/>
      <w:sz w:val="24"/>
      <w:szCs w:val="20"/>
      <w:lang w:val="en-US" w:eastAsia="en-US"/>
    </w:rPr>
  </w:style>
  <w:style w:type="character" w:styleId="Hyperlink">
    <w:name w:val="Hyperlink"/>
    <w:semiHidden/>
    <w:rsid w:val="00D25B5C"/>
    <w:rPr>
      <w:rFonts w:ascii="Arial" w:hAnsi="Arial"/>
      <w:sz w:val="20"/>
      <w:u w:val="single"/>
      <w:lang w:val="pl-PL" w:eastAsia="pl-PL" w:bidi="ar-SA"/>
    </w:rPr>
  </w:style>
  <w:style w:type="paragraph" w:customStyle="1" w:styleId="BodyText5">
    <w:name w:val="Body Text5"/>
    <w:basedOn w:val="Normal"/>
    <w:rsid w:val="00D25B5C"/>
    <w:pPr>
      <w:suppressAutoHyphens/>
      <w:spacing w:after="40" w:line="240" w:lineRule="auto"/>
      <w:jc w:val="both"/>
    </w:pPr>
    <w:rPr>
      <w:rFonts w:ascii="Arial" w:eastAsia="SimSun" w:hAnsi="Arial" w:cs="Arial"/>
      <w:sz w:val="20"/>
      <w:szCs w:val="20"/>
      <w:lang w:val="pl-PL"/>
    </w:rPr>
  </w:style>
  <w:style w:type="paragraph" w:customStyle="1" w:styleId="BodyText2">
    <w:name w:val="Body Text2"/>
    <w:basedOn w:val="Normal"/>
    <w:rsid w:val="003F5EA3"/>
    <w:pPr>
      <w:spacing w:after="40" w:line="240" w:lineRule="auto"/>
      <w:jc w:val="both"/>
    </w:pPr>
    <w:rPr>
      <w:rFonts w:ascii="Arial" w:eastAsia="SimSun" w:hAnsi="Arial" w:cs="Times New Roman"/>
      <w:sz w:val="19"/>
      <w:szCs w:val="20"/>
      <w:lang w:val="pl-PL" w:eastAsia="pl-PL"/>
    </w:rPr>
  </w:style>
  <w:style w:type="paragraph" w:styleId="ListParagraph">
    <w:name w:val="List Paragraph"/>
    <w:basedOn w:val="Normal"/>
    <w:uiPriority w:val="34"/>
    <w:qFormat/>
    <w:rsid w:val="006E1E5E"/>
    <w:pPr>
      <w:ind w:left="720"/>
      <w:contextualSpacing/>
    </w:pPr>
  </w:style>
  <w:style w:type="paragraph" w:styleId="Revision">
    <w:name w:val="Revision"/>
    <w:hidden/>
    <w:uiPriority w:val="99"/>
    <w:semiHidden/>
    <w:rsid w:val="006E1E5E"/>
    <w:pPr>
      <w:spacing w:after="0" w:line="240" w:lineRule="auto"/>
    </w:pPr>
    <w:rPr>
      <w:lang w:val="en-US"/>
    </w:rPr>
  </w:style>
  <w:style w:type="character" w:styleId="PlaceholderText">
    <w:name w:val="Placeholder Text"/>
    <w:basedOn w:val="DefaultParagraphFont"/>
    <w:uiPriority w:val="99"/>
    <w:semiHidden/>
    <w:rsid w:val="002669BD"/>
    <w:rPr>
      <w:color w:val="808080"/>
    </w:rPr>
  </w:style>
  <w:style w:type="table" w:styleId="TableGrid">
    <w:name w:val="Table Grid"/>
    <w:basedOn w:val="TableNormal"/>
    <w:uiPriority w:val="59"/>
    <w:rsid w:val="0082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4D187B"/>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8807AB"/>
    <w:pPr>
      <w:spacing w:before="240" w:after="0" w:line="360" w:lineRule="auto"/>
    </w:pPr>
    <w:rPr>
      <w:rFonts w:ascii="Times New Roman" w:eastAsia="Times New Roman" w:hAnsi="Times New Roman" w:cs="Times New Roman"/>
      <w: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7354">
      <w:bodyDiv w:val="1"/>
      <w:marLeft w:val="0"/>
      <w:marRight w:val="0"/>
      <w:marTop w:val="0"/>
      <w:marBottom w:val="0"/>
      <w:divBdr>
        <w:top w:val="none" w:sz="0" w:space="0" w:color="auto"/>
        <w:left w:val="none" w:sz="0" w:space="0" w:color="auto"/>
        <w:bottom w:val="none" w:sz="0" w:space="0" w:color="auto"/>
        <w:right w:val="none" w:sz="0" w:space="0" w:color="auto"/>
      </w:divBdr>
    </w:div>
    <w:div w:id="209348519">
      <w:bodyDiv w:val="1"/>
      <w:marLeft w:val="0"/>
      <w:marRight w:val="0"/>
      <w:marTop w:val="0"/>
      <w:marBottom w:val="0"/>
      <w:divBdr>
        <w:top w:val="none" w:sz="0" w:space="0" w:color="auto"/>
        <w:left w:val="none" w:sz="0" w:space="0" w:color="auto"/>
        <w:bottom w:val="none" w:sz="0" w:space="0" w:color="auto"/>
        <w:right w:val="none" w:sz="0" w:space="0" w:color="auto"/>
      </w:divBdr>
      <w:divsChild>
        <w:div w:id="1286039579">
          <w:marLeft w:val="0"/>
          <w:marRight w:val="0"/>
          <w:marTop w:val="0"/>
          <w:marBottom w:val="0"/>
          <w:divBdr>
            <w:top w:val="none" w:sz="0" w:space="0" w:color="auto"/>
            <w:left w:val="none" w:sz="0" w:space="0" w:color="auto"/>
            <w:bottom w:val="none" w:sz="0" w:space="0" w:color="auto"/>
            <w:right w:val="none" w:sz="0" w:space="0" w:color="auto"/>
          </w:divBdr>
        </w:div>
        <w:div w:id="1928492345">
          <w:marLeft w:val="0"/>
          <w:marRight w:val="0"/>
          <w:marTop w:val="0"/>
          <w:marBottom w:val="0"/>
          <w:divBdr>
            <w:top w:val="none" w:sz="0" w:space="0" w:color="auto"/>
            <w:left w:val="none" w:sz="0" w:space="0" w:color="auto"/>
            <w:bottom w:val="none" w:sz="0" w:space="0" w:color="auto"/>
            <w:right w:val="none" w:sz="0" w:space="0" w:color="auto"/>
          </w:divBdr>
        </w:div>
        <w:div w:id="879050103">
          <w:marLeft w:val="0"/>
          <w:marRight w:val="0"/>
          <w:marTop w:val="0"/>
          <w:marBottom w:val="0"/>
          <w:divBdr>
            <w:top w:val="none" w:sz="0" w:space="0" w:color="auto"/>
            <w:left w:val="none" w:sz="0" w:space="0" w:color="auto"/>
            <w:bottom w:val="none" w:sz="0" w:space="0" w:color="auto"/>
            <w:right w:val="none" w:sz="0" w:space="0" w:color="auto"/>
          </w:divBdr>
        </w:div>
      </w:divsChild>
    </w:div>
    <w:div w:id="226230321">
      <w:bodyDiv w:val="1"/>
      <w:marLeft w:val="0"/>
      <w:marRight w:val="0"/>
      <w:marTop w:val="0"/>
      <w:marBottom w:val="0"/>
      <w:divBdr>
        <w:top w:val="none" w:sz="0" w:space="0" w:color="auto"/>
        <w:left w:val="none" w:sz="0" w:space="0" w:color="auto"/>
        <w:bottom w:val="none" w:sz="0" w:space="0" w:color="auto"/>
        <w:right w:val="none" w:sz="0" w:space="0" w:color="auto"/>
      </w:divBdr>
    </w:div>
    <w:div w:id="291790546">
      <w:bodyDiv w:val="1"/>
      <w:marLeft w:val="0"/>
      <w:marRight w:val="0"/>
      <w:marTop w:val="0"/>
      <w:marBottom w:val="0"/>
      <w:divBdr>
        <w:top w:val="none" w:sz="0" w:space="0" w:color="auto"/>
        <w:left w:val="none" w:sz="0" w:space="0" w:color="auto"/>
        <w:bottom w:val="none" w:sz="0" w:space="0" w:color="auto"/>
        <w:right w:val="none" w:sz="0" w:space="0" w:color="auto"/>
      </w:divBdr>
      <w:divsChild>
        <w:div w:id="507722200">
          <w:marLeft w:val="0"/>
          <w:marRight w:val="0"/>
          <w:marTop w:val="225"/>
          <w:marBottom w:val="225"/>
          <w:divBdr>
            <w:top w:val="none" w:sz="0" w:space="0" w:color="auto"/>
            <w:left w:val="none" w:sz="0" w:space="0" w:color="auto"/>
            <w:bottom w:val="none" w:sz="0" w:space="0" w:color="auto"/>
            <w:right w:val="none" w:sz="0" w:space="0" w:color="auto"/>
          </w:divBdr>
          <w:divsChild>
            <w:div w:id="847446667">
              <w:marLeft w:val="0"/>
              <w:marRight w:val="0"/>
              <w:marTop w:val="0"/>
              <w:marBottom w:val="0"/>
              <w:divBdr>
                <w:top w:val="none" w:sz="0" w:space="0" w:color="auto"/>
                <w:left w:val="none" w:sz="0" w:space="0" w:color="auto"/>
                <w:bottom w:val="none" w:sz="0" w:space="0" w:color="auto"/>
                <w:right w:val="none" w:sz="0" w:space="0" w:color="auto"/>
              </w:divBdr>
              <w:divsChild>
                <w:div w:id="749737166">
                  <w:marLeft w:val="0"/>
                  <w:marRight w:val="0"/>
                  <w:marTop w:val="0"/>
                  <w:marBottom w:val="0"/>
                  <w:divBdr>
                    <w:top w:val="none" w:sz="0" w:space="0" w:color="auto"/>
                    <w:left w:val="none" w:sz="0" w:space="0" w:color="auto"/>
                    <w:bottom w:val="none" w:sz="0" w:space="0" w:color="auto"/>
                    <w:right w:val="none" w:sz="0" w:space="0" w:color="auto"/>
                  </w:divBdr>
                  <w:divsChild>
                    <w:div w:id="206262113">
                      <w:marLeft w:val="0"/>
                      <w:marRight w:val="0"/>
                      <w:marTop w:val="0"/>
                      <w:marBottom w:val="0"/>
                      <w:divBdr>
                        <w:top w:val="none" w:sz="0" w:space="0" w:color="auto"/>
                        <w:left w:val="none" w:sz="0" w:space="0" w:color="auto"/>
                        <w:bottom w:val="none" w:sz="0" w:space="0" w:color="auto"/>
                        <w:right w:val="none" w:sz="0" w:space="0" w:color="auto"/>
                      </w:divBdr>
                    </w:div>
                    <w:div w:id="13007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1340">
          <w:marLeft w:val="0"/>
          <w:marRight w:val="0"/>
          <w:marTop w:val="225"/>
          <w:marBottom w:val="225"/>
          <w:divBdr>
            <w:top w:val="none" w:sz="0" w:space="0" w:color="auto"/>
            <w:left w:val="none" w:sz="0" w:space="0" w:color="auto"/>
            <w:bottom w:val="none" w:sz="0" w:space="0" w:color="auto"/>
            <w:right w:val="none" w:sz="0" w:space="0" w:color="auto"/>
          </w:divBdr>
          <w:divsChild>
            <w:div w:id="731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692">
      <w:bodyDiv w:val="1"/>
      <w:marLeft w:val="0"/>
      <w:marRight w:val="0"/>
      <w:marTop w:val="0"/>
      <w:marBottom w:val="0"/>
      <w:divBdr>
        <w:top w:val="none" w:sz="0" w:space="0" w:color="auto"/>
        <w:left w:val="none" w:sz="0" w:space="0" w:color="auto"/>
        <w:bottom w:val="none" w:sz="0" w:space="0" w:color="auto"/>
        <w:right w:val="none" w:sz="0" w:space="0" w:color="auto"/>
      </w:divBdr>
    </w:div>
    <w:div w:id="637565363">
      <w:bodyDiv w:val="1"/>
      <w:marLeft w:val="0"/>
      <w:marRight w:val="0"/>
      <w:marTop w:val="0"/>
      <w:marBottom w:val="0"/>
      <w:divBdr>
        <w:top w:val="none" w:sz="0" w:space="0" w:color="auto"/>
        <w:left w:val="none" w:sz="0" w:space="0" w:color="auto"/>
        <w:bottom w:val="none" w:sz="0" w:space="0" w:color="auto"/>
        <w:right w:val="none" w:sz="0" w:space="0" w:color="auto"/>
      </w:divBdr>
    </w:div>
    <w:div w:id="685719608">
      <w:bodyDiv w:val="1"/>
      <w:marLeft w:val="0"/>
      <w:marRight w:val="0"/>
      <w:marTop w:val="0"/>
      <w:marBottom w:val="0"/>
      <w:divBdr>
        <w:top w:val="none" w:sz="0" w:space="0" w:color="auto"/>
        <w:left w:val="none" w:sz="0" w:space="0" w:color="auto"/>
        <w:bottom w:val="none" w:sz="0" w:space="0" w:color="auto"/>
        <w:right w:val="none" w:sz="0" w:space="0" w:color="auto"/>
      </w:divBdr>
    </w:div>
    <w:div w:id="721909945">
      <w:bodyDiv w:val="1"/>
      <w:marLeft w:val="0"/>
      <w:marRight w:val="0"/>
      <w:marTop w:val="0"/>
      <w:marBottom w:val="0"/>
      <w:divBdr>
        <w:top w:val="none" w:sz="0" w:space="0" w:color="auto"/>
        <w:left w:val="none" w:sz="0" w:space="0" w:color="auto"/>
        <w:bottom w:val="none" w:sz="0" w:space="0" w:color="auto"/>
        <w:right w:val="none" w:sz="0" w:space="0" w:color="auto"/>
      </w:divBdr>
    </w:div>
    <w:div w:id="765200170">
      <w:bodyDiv w:val="1"/>
      <w:marLeft w:val="0"/>
      <w:marRight w:val="0"/>
      <w:marTop w:val="0"/>
      <w:marBottom w:val="0"/>
      <w:divBdr>
        <w:top w:val="none" w:sz="0" w:space="0" w:color="auto"/>
        <w:left w:val="none" w:sz="0" w:space="0" w:color="auto"/>
        <w:bottom w:val="none" w:sz="0" w:space="0" w:color="auto"/>
        <w:right w:val="none" w:sz="0" w:space="0" w:color="auto"/>
      </w:divBdr>
    </w:div>
    <w:div w:id="1127236087">
      <w:bodyDiv w:val="1"/>
      <w:marLeft w:val="0"/>
      <w:marRight w:val="0"/>
      <w:marTop w:val="0"/>
      <w:marBottom w:val="0"/>
      <w:divBdr>
        <w:top w:val="none" w:sz="0" w:space="0" w:color="auto"/>
        <w:left w:val="none" w:sz="0" w:space="0" w:color="auto"/>
        <w:bottom w:val="none" w:sz="0" w:space="0" w:color="auto"/>
        <w:right w:val="none" w:sz="0" w:space="0" w:color="auto"/>
      </w:divBdr>
    </w:div>
    <w:div w:id="1198927080">
      <w:bodyDiv w:val="1"/>
      <w:marLeft w:val="0"/>
      <w:marRight w:val="0"/>
      <w:marTop w:val="0"/>
      <w:marBottom w:val="0"/>
      <w:divBdr>
        <w:top w:val="none" w:sz="0" w:space="0" w:color="auto"/>
        <w:left w:val="none" w:sz="0" w:space="0" w:color="auto"/>
        <w:bottom w:val="none" w:sz="0" w:space="0" w:color="auto"/>
        <w:right w:val="none" w:sz="0" w:space="0" w:color="auto"/>
      </w:divBdr>
    </w:div>
    <w:div w:id="1231695714">
      <w:bodyDiv w:val="1"/>
      <w:marLeft w:val="0"/>
      <w:marRight w:val="0"/>
      <w:marTop w:val="0"/>
      <w:marBottom w:val="0"/>
      <w:divBdr>
        <w:top w:val="none" w:sz="0" w:space="0" w:color="auto"/>
        <w:left w:val="none" w:sz="0" w:space="0" w:color="auto"/>
        <w:bottom w:val="none" w:sz="0" w:space="0" w:color="auto"/>
        <w:right w:val="none" w:sz="0" w:space="0" w:color="auto"/>
      </w:divBdr>
    </w:div>
    <w:div w:id="1253856037">
      <w:bodyDiv w:val="1"/>
      <w:marLeft w:val="0"/>
      <w:marRight w:val="0"/>
      <w:marTop w:val="0"/>
      <w:marBottom w:val="0"/>
      <w:divBdr>
        <w:top w:val="none" w:sz="0" w:space="0" w:color="auto"/>
        <w:left w:val="none" w:sz="0" w:space="0" w:color="auto"/>
        <w:bottom w:val="none" w:sz="0" w:space="0" w:color="auto"/>
        <w:right w:val="none" w:sz="0" w:space="0" w:color="auto"/>
      </w:divBdr>
    </w:div>
    <w:div w:id="1440837256">
      <w:bodyDiv w:val="1"/>
      <w:marLeft w:val="0"/>
      <w:marRight w:val="0"/>
      <w:marTop w:val="0"/>
      <w:marBottom w:val="0"/>
      <w:divBdr>
        <w:top w:val="none" w:sz="0" w:space="0" w:color="auto"/>
        <w:left w:val="none" w:sz="0" w:space="0" w:color="auto"/>
        <w:bottom w:val="none" w:sz="0" w:space="0" w:color="auto"/>
        <w:right w:val="none" w:sz="0" w:space="0" w:color="auto"/>
      </w:divBdr>
    </w:div>
    <w:div w:id="1472596143">
      <w:bodyDiv w:val="1"/>
      <w:marLeft w:val="0"/>
      <w:marRight w:val="0"/>
      <w:marTop w:val="0"/>
      <w:marBottom w:val="0"/>
      <w:divBdr>
        <w:top w:val="none" w:sz="0" w:space="0" w:color="auto"/>
        <w:left w:val="none" w:sz="0" w:space="0" w:color="auto"/>
        <w:bottom w:val="none" w:sz="0" w:space="0" w:color="auto"/>
        <w:right w:val="none" w:sz="0" w:space="0" w:color="auto"/>
      </w:divBdr>
    </w:div>
    <w:div w:id="1510876656">
      <w:bodyDiv w:val="1"/>
      <w:marLeft w:val="0"/>
      <w:marRight w:val="0"/>
      <w:marTop w:val="0"/>
      <w:marBottom w:val="0"/>
      <w:divBdr>
        <w:top w:val="none" w:sz="0" w:space="0" w:color="auto"/>
        <w:left w:val="none" w:sz="0" w:space="0" w:color="auto"/>
        <w:bottom w:val="none" w:sz="0" w:space="0" w:color="auto"/>
        <w:right w:val="none" w:sz="0" w:space="0" w:color="auto"/>
      </w:divBdr>
    </w:div>
    <w:div w:id="1570265262">
      <w:bodyDiv w:val="1"/>
      <w:marLeft w:val="0"/>
      <w:marRight w:val="0"/>
      <w:marTop w:val="0"/>
      <w:marBottom w:val="0"/>
      <w:divBdr>
        <w:top w:val="none" w:sz="0" w:space="0" w:color="auto"/>
        <w:left w:val="none" w:sz="0" w:space="0" w:color="auto"/>
        <w:bottom w:val="none" w:sz="0" w:space="0" w:color="auto"/>
        <w:right w:val="none" w:sz="0" w:space="0" w:color="auto"/>
      </w:divBdr>
    </w:div>
    <w:div w:id="1750153562">
      <w:bodyDiv w:val="1"/>
      <w:marLeft w:val="0"/>
      <w:marRight w:val="0"/>
      <w:marTop w:val="0"/>
      <w:marBottom w:val="0"/>
      <w:divBdr>
        <w:top w:val="none" w:sz="0" w:space="0" w:color="auto"/>
        <w:left w:val="none" w:sz="0" w:space="0" w:color="auto"/>
        <w:bottom w:val="none" w:sz="0" w:space="0" w:color="auto"/>
        <w:right w:val="none" w:sz="0" w:space="0" w:color="auto"/>
      </w:divBdr>
    </w:div>
    <w:div w:id="1792629345">
      <w:bodyDiv w:val="1"/>
      <w:marLeft w:val="0"/>
      <w:marRight w:val="0"/>
      <w:marTop w:val="0"/>
      <w:marBottom w:val="0"/>
      <w:divBdr>
        <w:top w:val="none" w:sz="0" w:space="0" w:color="auto"/>
        <w:left w:val="none" w:sz="0" w:space="0" w:color="auto"/>
        <w:bottom w:val="none" w:sz="0" w:space="0" w:color="auto"/>
        <w:right w:val="none" w:sz="0" w:space="0" w:color="auto"/>
      </w:divBdr>
    </w:div>
    <w:div w:id="20784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hua-liu@163.com" TargetMode="External"/><Relationship Id="rId13" Type="http://schemas.openxmlformats.org/officeDocument/2006/relationships/hyperlink" Target="https://doi.org/10.1111/1467-9442.00176" TargetMode="External"/><Relationship Id="rId18" Type="http://schemas.openxmlformats.org/officeDocument/2006/relationships/hyperlink" Target="https://doi.org/10.1016/j.econmod.2010.04.001" TargetMode="External"/><Relationship Id="rId26" Type="http://schemas.openxmlformats.org/officeDocument/2006/relationships/chart" Target="charts/chart1.xml"/><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doi.org/10.2307/1912517" TargetMode="External"/><Relationship Id="rId34"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doi.org/10.1016/j.econlet.2007.12.004" TargetMode="External"/><Relationship Id="rId17" Type="http://schemas.openxmlformats.org/officeDocument/2006/relationships/hyperlink" Target="https://doi.org/10.3846/jbem.2018.6263" TargetMode="External"/><Relationship Id="rId25" Type="http://schemas.openxmlformats.org/officeDocument/2006/relationships/hyperlink" Target="http://databank.worldbank.org/data/" TargetMode="External"/><Relationship Id="rId33" Type="http://schemas.openxmlformats.org/officeDocument/2006/relationships/oleObject" Target="embeddings/oleObject3.bin"/><Relationship Id="rId38"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s://doi.org/10.1080/1226508X.2010.513143" TargetMode="External"/><Relationship Id="rId20" Type="http://schemas.openxmlformats.org/officeDocument/2006/relationships/hyperlink" Target="https://doi.org/10.1016/j.econmod.2012.03.029" TargetMode="External"/><Relationship Id="rId29" Type="http://schemas.openxmlformats.org/officeDocument/2006/relationships/oleObject" Target="embeddings/oleObject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3846/16111699.2015.1114515" TargetMode="External"/><Relationship Id="rId24" Type="http://schemas.openxmlformats.org/officeDocument/2006/relationships/hyperlink" Target="https://doi.org/10.1002/jae.616" TargetMode="External"/><Relationship Id="rId32" Type="http://schemas.openxmlformats.org/officeDocument/2006/relationships/image" Target="media/image4.emf"/><Relationship Id="rId37" Type="http://schemas.openxmlformats.org/officeDocument/2006/relationships/oleObject" Target="embeddings/oleObject5.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80/13600810701848193" TargetMode="External"/><Relationship Id="rId23" Type="http://schemas.openxmlformats.org/officeDocument/2006/relationships/hyperlink" Target="https://doi.org/10.1016/j.worlddev.2006.04.001" TargetMode="External"/><Relationship Id="rId28" Type="http://schemas.openxmlformats.org/officeDocument/2006/relationships/image" Target="media/image2.emf"/><Relationship Id="rId36" Type="http://schemas.openxmlformats.org/officeDocument/2006/relationships/image" Target="media/image6.emf"/><Relationship Id="rId10" Type="http://schemas.openxmlformats.org/officeDocument/2006/relationships/hyperlink" Target="https://doi.org/10.1016/S2212-5671(14)00514-0" TargetMode="External"/><Relationship Id="rId19" Type="http://schemas.openxmlformats.org/officeDocument/2006/relationships/hyperlink" Target="https://doi.org/10.1080/1226508X.2018.1492431"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doi.org/10.1016/S2212-5671(15)00571-7" TargetMode="External"/><Relationship Id="rId14" Type="http://schemas.openxmlformats.org/officeDocument/2006/relationships/hyperlink" Target="https://doi.org/10.1080/00130095.2017.1393312" TargetMode="External"/><Relationship Id="rId22" Type="http://schemas.openxmlformats.org/officeDocument/2006/relationships/hyperlink" Target="https://doi.org/10.1016/0304-4076(92)90104-Y" TargetMode="External"/><Relationship Id="rId27" Type="http://schemas.openxmlformats.org/officeDocument/2006/relationships/image" Target="media/image1.png"/><Relationship Id="rId30" Type="http://schemas.openxmlformats.org/officeDocument/2006/relationships/image" Target="media/image3.emf"/><Relationship Id="rId35" Type="http://schemas.openxmlformats.org/officeDocument/2006/relationships/oleObject" Target="embeddings/oleObject4.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09687890684973"/>
          <c:y val="5.9143061662746695E-2"/>
          <c:w val="0.83932270304652035"/>
          <c:h val="0.83010815872378019"/>
        </c:manualLayout>
      </c:layout>
      <c:lineChart>
        <c:grouping val="standard"/>
        <c:varyColors val="0"/>
        <c:ser>
          <c:idx val="1"/>
          <c:order val="0"/>
          <c:tx>
            <c:v>Year</c:v>
          </c:tx>
          <c:spPr>
            <a:ln w="22225"/>
          </c:spPr>
          <c:marker>
            <c:symbol val="square"/>
            <c:size val="3"/>
            <c:spPr>
              <a:solidFill>
                <a:srgbClr val="C00000"/>
              </a:solidFill>
            </c:spPr>
          </c:marker>
          <c:cat>
            <c:numRef>
              <c:f>Sheet8!$A$3:$A$30</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Sheet8!$B$3:$B$30</c:f>
              <c:numCache>
                <c:formatCode>General</c:formatCode>
                <c:ptCount val="28"/>
                <c:pt idx="0">
                  <c:v>66</c:v>
                </c:pt>
                <c:pt idx="1">
                  <c:v>87</c:v>
                </c:pt>
                <c:pt idx="2">
                  <c:v>79</c:v>
                </c:pt>
                <c:pt idx="3">
                  <c:v>82</c:v>
                </c:pt>
                <c:pt idx="4">
                  <c:v>72</c:v>
                </c:pt>
                <c:pt idx="5">
                  <c:v>95</c:v>
                </c:pt>
                <c:pt idx="6">
                  <c:v>91</c:v>
                </c:pt>
                <c:pt idx="7">
                  <c:v>82</c:v>
                </c:pt>
                <c:pt idx="8">
                  <c:v>83</c:v>
                </c:pt>
                <c:pt idx="9">
                  <c:v>91</c:v>
                </c:pt>
                <c:pt idx="10">
                  <c:v>116</c:v>
                </c:pt>
                <c:pt idx="11">
                  <c:v>145</c:v>
                </c:pt>
                <c:pt idx="12">
                  <c:v>208</c:v>
                </c:pt>
                <c:pt idx="13">
                  <c:v>272</c:v>
                </c:pt>
                <c:pt idx="14">
                  <c:v>213</c:v>
                </c:pt>
                <c:pt idx="15">
                  <c:v>711</c:v>
                </c:pt>
                <c:pt idx="16">
                  <c:v>758</c:v>
                </c:pt>
                <c:pt idx="17">
                  <c:v>850</c:v>
                </c:pt>
                <c:pt idx="18">
                  <c:v>767</c:v>
                </c:pt>
                <c:pt idx="19">
                  <c:v>879</c:v>
                </c:pt>
                <c:pt idx="20">
                  <c:v>1243</c:v>
                </c:pt>
                <c:pt idx="21">
                  <c:v>1678</c:v>
                </c:pt>
                <c:pt idx="22">
                  <c:v>1942</c:v>
                </c:pt>
                <c:pt idx="23">
                  <c:v>1228</c:v>
                </c:pt>
                <c:pt idx="24">
                  <c:v>1455</c:v>
                </c:pt>
                <c:pt idx="25">
                  <c:v>2011</c:v>
                </c:pt>
                <c:pt idx="26">
                  <c:v>2081</c:v>
                </c:pt>
                <c:pt idx="27">
                  <c:v>2327</c:v>
                </c:pt>
              </c:numCache>
            </c:numRef>
          </c:val>
          <c:smooth val="0"/>
          <c:extLst>
            <c:ext xmlns:c16="http://schemas.microsoft.com/office/drawing/2014/chart" uri="{C3380CC4-5D6E-409C-BE32-E72D297353CC}">
              <c16:uniqueId val="{00000000-01BF-4DEA-855A-865B3AF13A87}"/>
            </c:ext>
          </c:extLst>
        </c:ser>
        <c:dLbls>
          <c:showLegendKey val="0"/>
          <c:showVal val="0"/>
          <c:showCatName val="0"/>
          <c:showSerName val="0"/>
          <c:showPercent val="0"/>
          <c:showBubbleSize val="0"/>
        </c:dLbls>
        <c:marker val="1"/>
        <c:smooth val="0"/>
        <c:axId val="145007744"/>
        <c:axId val="145009664"/>
      </c:lineChart>
      <c:catAx>
        <c:axId val="145007744"/>
        <c:scaling>
          <c:orientation val="minMax"/>
        </c:scaling>
        <c:delete val="0"/>
        <c:axPos val="b"/>
        <c:numFmt formatCode="General" sourceLinked="1"/>
        <c:majorTickMark val="out"/>
        <c:minorTickMark val="none"/>
        <c:tickLblPos val="nextTo"/>
        <c:spPr>
          <a:ln/>
        </c:spPr>
        <c:crossAx val="145009664"/>
        <c:crosses val="autoZero"/>
        <c:auto val="1"/>
        <c:lblAlgn val="ctr"/>
        <c:lblOffset val="100"/>
        <c:tickLblSkip val="3"/>
        <c:noMultiLvlLbl val="0"/>
      </c:catAx>
      <c:valAx>
        <c:axId val="145009664"/>
        <c:scaling>
          <c:orientation val="minMax"/>
        </c:scaling>
        <c:delete val="0"/>
        <c:axPos val="l"/>
        <c:title>
          <c:tx>
            <c:rich>
              <a:bodyPr/>
              <a:lstStyle/>
              <a:p>
                <a:pPr>
                  <a:defRPr b="0"/>
                </a:pPr>
                <a:r>
                  <a:rPr lang="en-GB" b="0"/>
                  <a:t>OFDI Stock (Million US$)</a:t>
                </a:r>
              </a:p>
            </c:rich>
          </c:tx>
          <c:layout>
            <c:manualLayout>
              <c:xMode val="edge"/>
              <c:yMode val="edge"/>
              <c:x val="1.2181467266340455E-2"/>
              <c:y val="0.16998503114487598"/>
            </c:manualLayout>
          </c:layout>
          <c:overlay val="0"/>
        </c:title>
        <c:numFmt formatCode="General" sourceLinked="1"/>
        <c:majorTickMark val="out"/>
        <c:minorTickMark val="none"/>
        <c:tickLblPos val="nextTo"/>
        <c:spPr>
          <a:ln/>
        </c:spPr>
        <c:crossAx val="145007744"/>
        <c:crosses val="autoZero"/>
        <c:crossBetween val="between"/>
      </c:valAx>
      <c:spPr>
        <a:ln cmpd="sng">
          <a:solidFill>
            <a:schemeClr val="tx1">
              <a:lumMod val="50000"/>
              <a:lumOff val="50000"/>
            </a:schemeClr>
          </a:solidFill>
          <a:prstDash val="solid"/>
        </a:ln>
      </c:spPr>
    </c:plotArea>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en-PK"/>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8E05-9C1E-47BA-AE89-7A427717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6920</Words>
  <Characters>39448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 Azka Amin</cp:lastModifiedBy>
  <cp:revision>2</cp:revision>
  <dcterms:created xsi:type="dcterms:W3CDTF">2020-02-01T07:39:00Z</dcterms:created>
  <dcterms:modified xsi:type="dcterms:W3CDTF">2020-02-01T07:39:00Z</dcterms:modified>
</cp:coreProperties>
</file>