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DE7" w:rsidRDefault="006B1C25" w:rsidP="00B94C08">
      <w:pPr>
        <w:spacing w:after="0" w:line="240" w:lineRule="auto"/>
        <w:jc w:val="center"/>
        <w:rPr>
          <w:rFonts w:ascii="Times New Roman" w:hAnsi="Times New Roman"/>
          <w:b/>
          <w:sz w:val="24"/>
          <w:szCs w:val="24"/>
        </w:rPr>
      </w:pPr>
      <w:r w:rsidRPr="00B94C08">
        <w:rPr>
          <w:rFonts w:ascii="Times New Roman" w:hAnsi="Times New Roman"/>
          <w:b/>
          <w:sz w:val="24"/>
          <w:szCs w:val="24"/>
        </w:rPr>
        <w:t>Mergers and Acquisitions of Cooperative Banks</w:t>
      </w:r>
      <w:r w:rsidR="006103BA" w:rsidRPr="00B94C08">
        <w:rPr>
          <w:rFonts w:ascii="Times New Roman" w:hAnsi="Times New Roman"/>
          <w:b/>
          <w:sz w:val="24"/>
          <w:szCs w:val="24"/>
        </w:rPr>
        <w:t xml:space="preserve">. </w:t>
      </w:r>
      <w:r w:rsidR="009E6A19" w:rsidRPr="00B94C08">
        <w:rPr>
          <w:rFonts w:ascii="Times New Roman" w:hAnsi="Times New Roman"/>
          <w:b/>
          <w:sz w:val="24"/>
          <w:szCs w:val="24"/>
        </w:rPr>
        <w:t>B</w:t>
      </w:r>
      <w:r w:rsidR="009D44C7" w:rsidRPr="00B94C08">
        <w:rPr>
          <w:rFonts w:ascii="Times New Roman" w:hAnsi="Times New Roman"/>
          <w:b/>
          <w:sz w:val="24"/>
          <w:szCs w:val="24"/>
        </w:rPr>
        <w:t xml:space="preserve">efore and </w:t>
      </w:r>
      <w:r w:rsidR="009E6A19" w:rsidRPr="00B94C08">
        <w:rPr>
          <w:rFonts w:ascii="Times New Roman" w:hAnsi="Times New Roman"/>
          <w:b/>
          <w:sz w:val="24"/>
          <w:szCs w:val="24"/>
        </w:rPr>
        <w:t>A</w:t>
      </w:r>
      <w:r w:rsidR="009D44C7" w:rsidRPr="00B94C08">
        <w:rPr>
          <w:rFonts w:ascii="Times New Roman" w:hAnsi="Times New Roman"/>
          <w:b/>
          <w:sz w:val="24"/>
          <w:szCs w:val="24"/>
        </w:rPr>
        <w:t>fter a Takeover</w:t>
      </w:r>
      <w:r w:rsidR="00173B34" w:rsidRPr="00B94C08">
        <w:rPr>
          <w:rFonts w:ascii="Times New Roman" w:hAnsi="Times New Roman"/>
          <w:b/>
          <w:sz w:val="24"/>
          <w:szCs w:val="24"/>
        </w:rPr>
        <w:t xml:space="preserve">. </w:t>
      </w:r>
    </w:p>
    <w:p w:rsidR="00421501" w:rsidRPr="00B94C08" w:rsidRDefault="00173B34" w:rsidP="00B94C08">
      <w:pPr>
        <w:spacing w:after="0" w:line="240" w:lineRule="auto"/>
        <w:jc w:val="center"/>
        <w:rPr>
          <w:rFonts w:ascii="Times New Roman" w:hAnsi="Times New Roman"/>
          <w:b/>
          <w:sz w:val="24"/>
          <w:szCs w:val="24"/>
        </w:rPr>
      </w:pPr>
      <w:r w:rsidRPr="00B94C08">
        <w:rPr>
          <w:rFonts w:ascii="Times New Roman" w:hAnsi="Times New Roman"/>
          <w:b/>
          <w:sz w:val="24"/>
          <w:szCs w:val="24"/>
        </w:rPr>
        <w:t>A Financial Analysis</w:t>
      </w:r>
      <w:r w:rsidR="006B1C25" w:rsidRPr="00B94C08">
        <w:rPr>
          <w:rFonts w:ascii="Times New Roman" w:hAnsi="Times New Roman"/>
          <w:b/>
          <w:sz w:val="24"/>
          <w:szCs w:val="24"/>
        </w:rPr>
        <w:t xml:space="preserve">. </w:t>
      </w:r>
    </w:p>
    <w:p w:rsidR="006B1C25" w:rsidRPr="00F12E8B" w:rsidRDefault="006B1C25" w:rsidP="00B94C08">
      <w:pPr>
        <w:spacing w:after="0" w:line="240" w:lineRule="auto"/>
        <w:rPr>
          <w:rFonts w:ascii="Times New Roman" w:hAnsi="Times New Roman"/>
          <w:sz w:val="20"/>
          <w:szCs w:val="20"/>
        </w:rPr>
      </w:pPr>
    </w:p>
    <w:p w:rsidR="006B1C25" w:rsidRPr="00F12E8B" w:rsidRDefault="006B1C25" w:rsidP="00B94C08">
      <w:pPr>
        <w:spacing w:after="0" w:line="240" w:lineRule="auto"/>
        <w:jc w:val="center"/>
        <w:rPr>
          <w:rFonts w:ascii="Times New Roman" w:hAnsi="Times New Roman"/>
          <w:b/>
          <w:sz w:val="20"/>
          <w:szCs w:val="20"/>
          <w:lang w:val="es-ES"/>
        </w:rPr>
      </w:pPr>
      <w:r w:rsidRPr="00F12E8B">
        <w:rPr>
          <w:rFonts w:ascii="Times New Roman" w:hAnsi="Times New Roman"/>
          <w:b/>
          <w:sz w:val="20"/>
          <w:szCs w:val="20"/>
          <w:lang w:val="es-ES"/>
        </w:rPr>
        <w:t>Dr Kyriazopoulos Georgios</w:t>
      </w:r>
      <w:r w:rsidR="00B94C08">
        <w:rPr>
          <w:rStyle w:val="ac"/>
          <w:rFonts w:ascii="Times New Roman" w:hAnsi="Times New Roman"/>
          <w:b/>
          <w:sz w:val="20"/>
          <w:szCs w:val="20"/>
          <w:lang w:val="es-ES"/>
        </w:rPr>
        <w:footnoteReference w:id="1"/>
      </w:r>
      <w:r w:rsidRPr="00F12E8B">
        <w:rPr>
          <w:rFonts w:ascii="Times New Roman" w:hAnsi="Times New Roman"/>
          <w:b/>
          <w:sz w:val="20"/>
          <w:szCs w:val="20"/>
          <w:lang w:val="es-ES"/>
        </w:rPr>
        <w:t>*</w:t>
      </w:r>
    </w:p>
    <w:p w:rsidR="006B1C25" w:rsidRPr="00F12E8B" w:rsidRDefault="006B1C25" w:rsidP="00B94C08">
      <w:pPr>
        <w:spacing w:after="0" w:line="240" w:lineRule="auto"/>
        <w:jc w:val="center"/>
        <w:rPr>
          <w:rFonts w:ascii="Times New Roman" w:hAnsi="Times New Roman"/>
          <w:sz w:val="20"/>
          <w:szCs w:val="20"/>
        </w:rPr>
      </w:pPr>
      <w:r w:rsidRPr="00F12E8B">
        <w:rPr>
          <w:rFonts w:ascii="Times New Roman" w:hAnsi="Times New Roman"/>
          <w:sz w:val="20"/>
          <w:szCs w:val="20"/>
        </w:rPr>
        <w:t>Associate Professor</w:t>
      </w:r>
    </w:p>
    <w:p w:rsidR="006B1C25" w:rsidRPr="00F12E8B" w:rsidRDefault="006B1C25" w:rsidP="00B94C08">
      <w:pPr>
        <w:spacing w:after="0" w:line="240" w:lineRule="auto"/>
        <w:jc w:val="center"/>
        <w:rPr>
          <w:rFonts w:ascii="Times New Roman" w:hAnsi="Times New Roman"/>
          <w:sz w:val="20"/>
          <w:szCs w:val="20"/>
        </w:rPr>
      </w:pPr>
      <w:r w:rsidRPr="00F12E8B">
        <w:rPr>
          <w:rFonts w:ascii="Times New Roman" w:hAnsi="Times New Roman"/>
          <w:sz w:val="20"/>
          <w:szCs w:val="20"/>
        </w:rPr>
        <w:t>Vice President of Department of Accounting and Finance</w:t>
      </w:r>
    </w:p>
    <w:p w:rsidR="006B1C25" w:rsidRPr="00F12E8B" w:rsidRDefault="006B1C25" w:rsidP="00B94C08">
      <w:pPr>
        <w:spacing w:after="0" w:line="240" w:lineRule="auto"/>
        <w:jc w:val="center"/>
        <w:rPr>
          <w:rFonts w:ascii="Times New Roman" w:hAnsi="Times New Roman"/>
          <w:bCs/>
          <w:sz w:val="20"/>
          <w:szCs w:val="20"/>
          <w:lang w:val="en-GB"/>
        </w:rPr>
      </w:pPr>
      <w:r w:rsidRPr="00F12E8B">
        <w:rPr>
          <w:rFonts w:ascii="Times New Roman" w:hAnsi="Times New Roman"/>
          <w:bCs/>
          <w:sz w:val="20"/>
          <w:szCs w:val="20"/>
          <w:lang w:val="en-GB"/>
        </w:rPr>
        <w:t>University of Western Macedonia</w:t>
      </w:r>
      <w:r w:rsidR="00C90316" w:rsidRPr="00F12E8B">
        <w:rPr>
          <w:rFonts w:ascii="Times New Roman" w:hAnsi="Times New Roman"/>
          <w:bCs/>
          <w:sz w:val="20"/>
          <w:szCs w:val="20"/>
          <w:lang w:val="en-GB"/>
        </w:rPr>
        <w:t>, Kozani, Greece</w:t>
      </w:r>
    </w:p>
    <w:p w:rsidR="00C90316" w:rsidRPr="00F12E8B" w:rsidRDefault="00C90316" w:rsidP="00B94C08">
      <w:pPr>
        <w:spacing w:after="0" w:line="240" w:lineRule="auto"/>
        <w:jc w:val="center"/>
        <w:rPr>
          <w:rFonts w:ascii="Times New Roman" w:hAnsi="Times New Roman"/>
          <w:sz w:val="20"/>
          <w:szCs w:val="20"/>
        </w:rPr>
      </w:pPr>
      <w:r w:rsidRPr="00F12E8B">
        <w:rPr>
          <w:rFonts w:ascii="Times New Roman" w:hAnsi="Times New Roman"/>
          <w:sz w:val="20"/>
          <w:szCs w:val="20"/>
        </w:rPr>
        <w:t>Vice President of International Conference of Development and Economy (I.CO.D.ECON)</w:t>
      </w:r>
    </w:p>
    <w:p w:rsidR="006B1C25" w:rsidRPr="00F12E8B" w:rsidRDefault="006103BA" w:rsidP="00B94C08">
      <w:pPr>
        <w:spacing w:after="0" w:line="240" w:lineRule="auto"/>
        <w:jc w:val="center"/>
        <w:rPr>
          <w:rFonts w:ascii="Times New Roman" w:hAnsi="Times New Roman"/>
          <w:sz w:val="20"/>
          <w:szCs w:val="20"/>
          <w:lang w:val="es-ES"/>
        </w:rPr>
      </w:pPr>
      <w:r w:rsidRPr="00F12E8B">
        <w:rPr>
          <w:rFonts w:ascii="Times New Roman" w:hAnsi="Times New Roman"/>
          <w:bCs/>
          <w:sz w:val="20"/>
          <w:szCs w:val="20"/>
        </w:rPr>
        <w:t xml:space="preserve">E-mail: </w:t>
      </w:r>
      <w:hyperlink r:id="rId8" w:history="1">
        <w:r w:rsidR="006B1C25" w:rsidRPr="00F12E8B">
          <w:rPr>
            <w:rStyle w:val="-"/>
            <w:rFonts w:ascii="Times New Roman" w:hAnsi="Times New Roman"/>
            <w:color w:val="auto"/>
            <w:sz w:val="20"/>
            <w:szCs w:val="20"/>
            <w:lang w:val="fr-FR"/>
          </w:rPr>
          <w:t>gkyriazopoulos@uowm.gr</w:t>
        </w:r>
      </w:hyperlink>
    </w:p>
    <w:p w:rsidR="006B1C25" w:rsidRPr="00F12E8B" w:rsidRDefault="006B1C25" w:rsidP="00B94C08">
      <w:pPr>
        <w:spacing w:after="0" w:line="240" w:lineRule="auto"/>
        <w:rPr>
          <w:rFonts w:ascii="Times New Roman" w:hAnsi="Times New Roman"/>
          <w:sz w:val="20"/>
          <w:szCs w:val="20"/>
          <w:lang w:val="de-DE"/>
        </w:rPr>
      </w:pPr>
    </w:p>
    <w:p w:rsidR="006103BA" w:rsidRPr="00F12E8B" w:rsidRDefault="006103BA" w:rsidP="00B94C08">
      <w:pPr>
        <w:shd w:val="clear" w:color="auto" w:fill="FFFFFF"/>
        <w:spacing w:after="0" w:line="240" w:lineRule="auto"/>
        <w:jc w:val="center"/>
        <w:rPr>
          <w:rFonts w:ascii="Times New Roman" w:hAnsi="Times New Roman"/>
          <w:b/>
          <w:sz w:val="20"/>
          <w:szCs w:val="20"/>
        </w:rPr>
      </w:pPr>
      <w:r w:rsidRPr="00F12E8B">
        <w:rPr>
          <w:rFonts w:ascii="Times New Roman" w:hAnsi="Times New Roman"/>
          <w:b/>
          <w:bCs/>
          <w:sz w:val="20"/>
          <w:szCs w:val="20"/>
        </w:rPr>
        <w:t>Dr. Emiljan Mustaqe</w:t>
      </w:r>
    </w:p>
    <w:p w:rsidR="006103BA" w:rsidRPr="00F12E8B" w:rsidRDefault="006103BA" w:rsidP="00B94C08">
      <w:pPr>
        <w:shd w:val="clear" w:color="auto" w:fill="FFFFFF"/>
        <w:spacing w:after="0" w:line="240" w:lineRule="auto"/>
        <w:jc w:val="center"/>
        <w:rPr>
          <w:rFonts w:ascii="Times New Roman" w:hAnsi="Times New Roman"/>
          <w:sz w:val="20"/>
          <w:szCs w:val="20"/>
        </w:rPr>
      </w:pPr>
      <w:r w:rsidRPr="00F12E8B">
        <w:rPr>
          <w:rFonts w:ascii="Times New Roman" w:hAnsi="Times New Roman"/>
          <w:bCs/>
          <w:sz w:val="20"/>
          <w:szCs w:val="20"/>
        </w:rPr>
        <w:t>Agricultural University of Tirana</w:t>
      </w:r>
    </w:p>
    <w:p w:rsidR="006103BA" w:rsidRPr="00F12E8B" w:rsidRDefault="006103BA" w:rsidP="00B94C08">
      <w:pPr>
        <w:shd w:val="clear" w:color="auto" w:fill="FFFFFF"/>
        <w:spacing w:after="0" w:line="240" w:lineRule="auto"/>
        <w:jc w:val="center"/>
        <w:rPr>
          <w:rFonts w:ascii="Times New Roman" w:hAnsi="Times New Roman"/>
          <w:sz w:val="20"/>
          <w:szCs w:val="20"/>
        </w:rPr>
      </w:pPr>
      <w:r w:rsidRPr="00F12E8B">
        <w:rPr>
          <w:rFonts w:ascii="Times New Roman" w:hAnsi="Times New Roman"/>
          <w:bCs/>
          <w:sz w:val="20"/>
          <w:szCs w:val="20"/>
        </w:rPr>
        <w:t>Faculty of Economy and Agribusiness</w:t>
      </w:r>
    </w:p>
    <w:p w:rsidR="006103BA" w:rsidRPr="00F12E8B" w:rsidRDefault="006103BA" w:rsidP="00B94C08">
      <w:pPr>
        <w:pStyle w:val="Web"/>
        <w:shd w:val="clear" w:color="auto" w:fill="FFFFFF"/>
        <w:spacing w:before="0" w:beforeAutospacing="0" w:after="0" w:afterAutospacing="0"/>
        <w:jc w:val="center"/>
        <w:rPr>
          <w:sz w:val="20"/>
          <w:szCs w:val="20"/>
          <w:lang w:val="en-US"/>
        </w:rPr>
      </w:pPr>
      <w:r w:rsidRPr="00F12E8B">
        <w:rPr>
          <w:bCs/>
          <w:sz w:val="20"/>
          <w:szCs w:val="20"/>
          <w:lang w:val="en-US"/>
        </w:rPr>
        <w:t>"Pajsi Vodica" St., 1029 Tirana, Albania</w:t>
      </w:r>
    </w:p>
    <w:p w:rsidR="006103BA" w:rsidRPr="00F12E8B" w:rsidRDefault="006103BA" w:rsidP="00B94C08">
      <w:pPr>
        <w:pStyle w:val="Web"/>
        <w:shd w:val="clear" w:color="auto" w:fill="FFFFFF"/>
        <w:spacing w:before="0" w:beforeAutospacing="0" w:after="0" w:afterAutospacing="0"/>
        <w:jc w:val="center"/>
        <w:rPr>
          <w:sz w:val="20"/>
          <w:szCs w:val="20"/>
          <w:lang w:val="en-US"/>
        </w:rPr>
      </w:pPr>
      <w:r w:rsidRPr="00F12E8B">
        <w:rPr>
          <w:bCs/>
          <w:sz w:val="20"/>
          <w:szCs w:val="20"/>
          <w:lang w:val="en-US"/>
        </w:rPr>
        <w:t xml:space="preserve">E-mail: </w:t>
      </w:r>
      <w:hyperlink r:id="rId9" w:tgtFrame="_blank" w:history="1">
        <w:r w:rsidRPr="00F12E8B">
          <w:rPr>
            <w:rStyle w:val="-"/>
            <w:bCs/>
            <w:color w:val="auto"/>
            <w:sz w:val="20"/>
            <w:szCs w:val="20"/>
            <w:lang w:val="en-US"/>
          </w:rPr>
          <w:t>emustaqe@ubt.edu.al</w:t>
        </w:r>
      </w:hyperlink>
    </w:p>
    <w:p w:rsidR="00F12E8B" w:rsidRDefault="00F12E8B" w:rsidP="00B94C08">
      <w:pPr>
        <w:pStyle w:val="Web"/>
        <w:shd w:val="clear" w:color="auto" w:fill="FFFFFF"/>
        <w:spacing w:before="0" w:beforeAutospacing="0" w:after="0" w:afterAutospacing="0"/>
        <w:jc w:val="center"/>
        <w:rPr>
          <w:sz w:val="20"/>
          <w:szCs w:val="20"/>
          <w:lang w:val="en-US"/>
        </w:rPr>
      </w:pPr>
    </w:p>
    <w:p w:rsidR="00D65DAD" w:rsidRPr="00B94C08" w:rsidRDefault="00D65DAD" w:rsidP="00B94C08">
      <w:pPr>
        <w:pStyle w:val="Web"/>
        <w:shd w:val="clear" w:color="auto" w:fill="FFFFFF"/>
        <w:spacing w:before="0" w:beforeAutospacing="0" w:after="0" w:afterAutospacing="0"/>
        <w:jc w:val="center"/>
        <w:rPr>
          <w:b/>
          <w:sz w:val="20"/>
          <w:szCs w:val="20"/>
          <w:lang w:val="en-US"/>
        </w:rPr>
      </w:pPr>
      <w:r w:rsidRPr="00B94C08">
        <w:rPr>
          <w:b/>
          <w:sz w:val="20"/>
          <w:szCs w:val="20"/>
          <w:lang w:val="en-US"/>
        </w:rPr>
        <w:t>Petropoulos Dimitrios</w:t>
      </w:r>
    </w:p>
    <w:p w:rsidR="00D65DAD" w:rsidRDefault="00D65DAD" w:rsidP="00B94C08">
      <w:pPr>
        <w:pStyle w:val="Web"/>
        <w:shd w:val="clear" w:color="auto" w:fill="FFFFFF"/>
        <w:spacing w:before="0" w:beforeAutospacing="0" w:after="0" w:afterAutospacing="0"/>
        <w:jc w:val="center"/>
        <w:rPr>
          <w:sz w:val="20"/>
          <w:szCs w:val="20"/>
          <w:lang w:val="en-US"/>
        </w:rPr>
      </w:pPr>
      <w:r>
        <w:rPr>
          <w:sz w:val="20"/>
          <w:szCs w:val="20"/>
          <w:lang w:val="en-US"/>
        </w:rPr>
        <w:t>Proffesor</w:t>
      </w:r>
      <w:r w:rsidR="00B94C08">
        <w:rPr>
          <w:sz w:val="20"/>
          <w:szCs w:val="20"/>
          <w:lang w:val="en-US"/>
        </w:rPr>
        <w:t xml:space="preserve"> of Agricultural Economy</w:t>
      </w:r>
    </w:p>
    <w:p w:rsidR="00D65DAD" w:rsidRPr="00D65DAD" w:rsidRDefault="00D65DAD" w:rsidP="00B94C08">
      <w:pPr>
        <w:pStyle w:val="Web"/>
        <w:shd w:val="clear" w:color="auto" w:fill="FFFFFF"/>
        <w:spacing w:before="0" w:beforeAutospacing="0" w:after="0" w:afterAutospacing="0"/>
        <w:jc w:val="center"/>
        <w:rPr>
          <w:sz w:val="20"/>
          <w:szCs w:val="20"/>
          <w:lang w:val="en-US"/>
        </w:rPr>
      </w:pPr>
      <w:r>
        <w:rPr>
          <w:sz w:val="20"/>
          <w:szCs w:val="20"/>
          <w:lang w:val="en-US"/>
        </w:rPr>
        <w:t>Dean of Sc</w:t>
      </w:r>
      <w:r w:rsidR="00B94C08">
        <w:rPr>
          <w:sz w:val="20"/>
          <w:szCs w:val="20"/>
          <w:lang w:val="en-US"/>
        </w:rPr>
        <w:t>hool of Agriculture and Food</w:t>
      </w:r>
    </w:p>
    <w:p w:rsidR="00D65DAD" w:rsidRDefault="00B94C08" w:rsidP="00B94C08">
      <w:pPr>
        <w:pStyle w:val="Web"/>
        <w:shd w:val="clear" w:color="auto" w:fill="FFFFFF"/>
        <w:spacing w:before="0" w:beforeAutospacing="0" w:after="0" w:afterAutospacing="0"/>
        <w:jc w:val="center"/>
        <w:rPr>
          <w:sz w:val="20"/>
          <w:szCs w:val="20"/>
          <w:lang w:val="en-US"/>
        </w:rPr>
      </w:pPr>
      <w:r>
        <w:rPr>
          <w:sz w:val="20"/>
          <w:szCs w:val="20"/>
          <w:lang w:val="en-US"/>
        </w:rPr>
        <w:t xml:space="preserve">President </w:t>
      </w:r>
      <w:r w:rsidRPr="00B94C08">
        <w:rPr>
          <w:sz w:val="20"/>
          <w:szCs w:val="20"/>
          <w:lang w:val="en-US"/>
        </w:rPr>
        <w:t>of International Conference of Development and Economy (I.CO.D.ECON)</w:t>
      </w:r>
    </w:p>
    <w:p w:rsidR="00B94C08" w:rsidRPr="00B94C08" w:rsidRDefault="00B94C08" w:rsidP="00B94C08">
      <w:pPr>
        <w:shd w:val="clear" w:color="auto" w:fill="FFFFFF"/>
        <w:spacing w:after="0" w:line="240" w:lineRule="auto"/>
        <w:jc w:val="center"/>
        <w:rPr>
          <w:rFonts w:ascii="Times New Roman" w:hAnsi="Times New Roman"/>
          <w:sz w:val="20"/>
          <w:szCs w:val="20"/>
        </w:rPr>
      </w:pPr>
      <w:r w:rsidRPr="00F12E8B">
        <w:rPr>
          <w:rFonts w:ascii="Times New Roman" w:hAnsi="Times New Roman"/>
          <w:bCs/>
          <w:sz w:val="20"/>
          <w:szCs w:val="20"/>
        </w:rPr>
        <w:t xml:space="preserve">E-mail: </w:t>
      </w:r>
      <w:hyperlink r:id="rId10" w:tgtFrame="_blank" w:history="1">
        <w:r w:rsidRPr="00B94C08">
          <w:rPr>
            <w:rStyle w:val="-"/>
            <w:rFonts w:ascii="Times New Roman" w:hAnsi="Times New Roman"/>
            <w:color w:val="auto"/>
            <w:sz w:val="20"/>
            <w:szCs w:val="20"/>
          </w:rPr>
          <w:t>d.petropoulos@uop.gr</w:t>
        </w:r>
      </w:hyperlink>
    </w:p>
    <w:p w:rsidR="00B94C08" w:rsidRDefault="00B94C08" w:rsidP="006B1C25">
      <w:pPr>
        <w:spacing w:after="0" w:line="360" w:lineRule="auto"/>
        <w:outlineLvl w:val="0"/>
        <w:rPr>
          <w:rFonts w:ascii="Times New Roman" w:hAnsi="Times New Roman"/>
          <w:sz w:val="20"/>
          <w:szCs w:val="20"/>
        </w:rPr>
      </w:pPr>
    </w:p>
    <w:p w:rsidR="008B5B24" w:rsidRPr="00F12E8B" w:rsidRDefault="008B5B24" w:rsidP="006A381D">
      <w:pPr>
        <w:spacing w:after="0" w:line="240" w:lineRule="auto"/>
        <w:jc w:val="both"/>
        <w:rPr>
          <w:rFonts w:ascii="Times New Roman" w:hAnsi="Times New Roman"/>
          <w:b/>
          <w:sz w:val="20"/>
          <w:szCs w:val="20"/>
        </w:rPr>
      </w:pPr>
      <w:r w:rsidRPr="00F12E8B">
        <w:rPr>
          <w:rFonts w:ascii="Times New Roman" w:hAnsi="Times New Roman"/>
          <w:b/>
          <w:sz w:val="20"/>
          <w:szCs w:val="20"/>
        </w:rPr>
        <w:t>Abstract</w:t>
      </w:r>
    </w:p>
    <w:p w:rsidR="00CF62EA" w:rsidRPr="00F12E8B" w:rsidRDefault="00E82882" w:rsidP="00C90316">
      <w:pPr>
        <w:spacing w:after="0" w:line="240" w:lineRule="auto"/>
        <w:jc w:val="both"/>
        <w:rPr>
          <w:rFonts w:ascii="Times New Roman" w:hAnsi="Times New Roman"/>
          <w:sz w:val="20"/>
          <w:szCs w:val="20"/>
        </w:rPr>
      </w:pPr>
      <w:r w:rsidRPr="00F12E8B">
        <w:rPr>
          <w:rFonts w:ascii="Times New Roman" w:hAnsi="Times New Roman"/>
          <w:sz w:val="20"/>
          <w:szCs w:val="20"/>
        </w:rPr>
        <w:tab/>
      </w:r>
      <w:r w:rsidR="0040350A" w:rsidRPr="00F12E8B">
        <w:rPr>
          <w:rFonts w:ascii="Times New Roman" w:hAnsi="Times New Roman"/>
          <w:sz w:val="20"/>
          <w:szCs w:val="20"/>
        </w:rPr>
        <w:t>T</w:t>
      </w:r>
      <w:r w:rsidR="00875DFF" w:rsidRPr="00F12E8B">
        <w:rPr>
          <w:rFonts w:ascii="Times New Roman" w:hAnsi="Times New Roman"/>
          <w:sz w:val="20"/>
          <w:szCs w:val="20"/>
        </w:rPr>
        <w:t xml:space="preserve">he purpose of this paper is to present and study the evaluation of mergers and acquisitions of cooperative banks. </w:t>
      </w:r>
      <w:r w:rsidR="00CA160A" w:rsidRPr="00F12E8B">
        <w:rPr>
          <w:rFonts w:ascii="Times New Roman" w:hAnsi="Times New Roman"/>
          <w:sz w:val="20"/>
          <w:szCs w:val="20"/>
        </w:rPr>
        <w:t>In this paper</w:t>
      </w:r>
      <w:r w:rsidR="00CF62EA" w:rsidRPr="00F12E8B">
        <w:rPr>
          <w:rFonts w:ascii="Times New Roman" w:hAnsi="Times New Roman"/>
          <w:sz w:val="20"/>
          <w:szCs w:val="20"/>
        </w:rPr>
        <w:t xml:space="preserve"> we present </w:t>
      </w:r>
      <w:r w:rsidR="00CA160A" w:rsidRPr="00F12E8B">
        <w:rPr>
          <w:rFonts w:ascii="Times New Roman" w:hAnsi="Times New Roman"/>
          <w:sz w:val="20"/>
          <w:szCs w:val="20"/>
        </w:rPr>
        <w:t>and afterwards we calculate Financial</w:t>
      </w:r>
      <w:r w:rsidR="00CF62EA" w:rsidRPr="00F12E8B">
        <w:rPr>
          <w:rFonts w:ascii="Times New Roman" w:hAnsi="Times New Roman"/>
          <w:sz w:val="20"/>
          <w:szCs w:val="20"/>
        </w:rPr>
        <w:t xml:space="preserve"> Ratios</w:t>
      </w:r>
      <w:r w:rsidR="00CA160A" w:rsidRPr="00F12E8B">
        <w:rPr>
          <w:rFonts w:ascii="Times New Roman" w:hAnsi="Times New Roman"/>
          <w:sz w:val="20"/>
          <w:szCs w:val="20"/>
        </w:rPr>
        <w:t xml:space="preserve"> that extract from Financial Cash Flow Statements</w:t>
      </w:r>
      <w:r w:rsidR="009C3DA4" w:rsidRPr="00F12E8B">
        <w:rPr>
          <w:rFonts w:ascii="Times New Roman" w:hAnsi="Times New Roman"/>
          <w:sz w:val="20"/>
          <w:szCs w:val="20"/>
        </w:rPr>
        <w:t>. The purpose is to</w:t>
      </w:r>
      <w:r w:rsidR="00CA160A" w:rsidRPr="00F12E8B">
        <w:rPr>
          <w:rFonts w:ascii="Times New Roman" w:hAnsi="Times New Roman"/>
          <w:sz w:val="20"/>
          <w:szCs w:val="20"/>
        </w:rPr>
        <w:t xml:space="preserve"> </w:t>
      </w:r>
      <w:r w:rsidR="009C3DA4" w:rsidRPr="00F12E8B">
        <w:rPr>
          <w:rFonts w:ascii="Times New Roman" w:hAnsi="Times New Roman"/>
          <w:sz w:val="20"/>
          <w:szCs w:val="20"/>
        </w:rPr>
        <w:t xml:space="preserve">show </w:t>
      </w:r>
      <w:r w:rsidR="00E34D12" w:rsidRPr="00F12E8B">
        <w:rPr>
          <w:rFonts w:ascii="Times New Roman" w:hAnsi="Times New Roman"/>
          <w:sz w:val="20"/>
          <w:szCs w:val="20"/>
        </w:rPr>
        <w:t>a methodology that help us</w:t>
      </w:r>
      <w:r w:rsidR="009C3DA4" w:rsidRPr="00F12E8B">
        <w:rPr>
          <w:rFonts w:ascii="Times New Roman" w:hAnsi="Times New Roman"/>
          <w:sz w:val="20"/>
          <w:szCs w:val="20"/>
        </w:rPr>
        <w:t xml:space="preserve"> to </w:t>
      </w:r>
      <w:r w:rsidR="00CA160A" w:rsidRPr="00F12E8B">
        <w:rPr>
          <w:rFonts w:ascii="Times New Roman" w:hAnsi="Times New Roman"/>
          <w:sz w:val="20"/>
          <w:szCs w:val="20"/>
        </w:rPr>
        <w:t>evaluate</w:t>
      </w:r>
      <w:r w:rsidR="00CF62EA" w:rsidRPr="00F12E8B">
        <w:rPr>
          <w:rFonts w:ascii="Times New Roman" w:hAnsi="Times New Roman"/>
          <w:sz w:val="20"/>
          <w:szCs w:val="20"/>
        </w:rPr>
        <w:t xml:space="preserve"> </w:t>
      </w:r>
      <w:r w:rsidR="00747ED4" w:rsidRPr="00F12E8B">
        <w:rPr>
          <w:rFonts w:ascii="Times New Roman" w:hAnsi="Times New Roman"/>
          <w:sz w:val="20"/>
          <w:szCs w:val="20"/>
        </w:rPr>
        <w:t xml:space="preserve">the profitability, </w:t>
      </w:r>
      <w:r w:rsidR="00CA160A" w:rsidRPr="00F12E8B">
        <w:rPr>
          <w:rFonts w:ascii="Times New Roman" w:hAnsi="Times New Roman"/>
          <w:sz w:val="20"/>
          <w:szCs w:val="20"/>
        </w:rPr>
        <w:t>efficiency</w:t>
      </w:r>
      <w:r w:rsidR="00747ED4" w:rsidRPr="00F12E8B">
        <w:rPr>
          <w:rFonts w:ascii="Times New Roman" w:hAnsi="Times New Roman"/>
          <w:sz w:val="20"/>
          <w:szCs w:val="20"/>
        </w:rPr>
        <w:t xml:space="preserve"> and insolvency</w:t>
      </w:r>
      <w:r w:rsidR="00CA160A" w:rsidRPr="00F12E8B">
        <w:rPr>
          <w:rFonts w:ascii="Times New Roman" w:hAnsi="Times New Roman"/>
          <w:sz w:val="20"/>
          <w:szCs w:val="20"/>
        </w:rPr>
        <w:t xml:space="preserve"> before and </w:t>
      </w:r>
      <w:r w:rsidR="009C3DA4" w:rsidRPr="00F12E8B">
        <w:rPr>
          <w:rFonts w:ascii="Times New Roman" w:hAnsi="Times New Roman"/>
          <w:sz w:val="20"/>
          <w:szCs w:val="20"/>
        </w:rPr>
        <w:t xml:space="preserve">if any </w:t>
      </w:r>
      <w:r w:rsidR="00CA160A" w:rsidRPr="00F12E8B">
        <w:rPr>
          <w:rFonts w:ascii="Times New Roman" w:hAnsi="Times New Roman"/>
          <w:sz w:val="20"/>
          <w:szCs w:val="20"/>
        </w:rPr>
        <w:t>after</w:t>
      </w:r>
      <w:r w:rsidR="00CF62EA" w:rsidRPr="00F12E8B">
        <w:rPr>
          <w:rFonts w:ascii="Times New Roman" w:hAnsi="Times New Roman"/>
          <w:sz w:val="20"/>
          <w:szCs w:val="20"/>
        </w:rPr>
        <w:t xml:space="preserve"> mergers and acquisitions </w:t>
      </w:r>
      <w:r w:rsidR="009C3DA4" w:rsidRPr="00F12E8B">
        <w:rPr>
          <w:rFonts w:ascii="Times New Roman" w:hAnsi="Times New Roman"/>
          <w:sz w:val="20"/>
          <w:szCs w:val="20"/>
        </w:rPr>
        <w:t xml:space="preserve">in the Cooperative Banks, using </w:t>
      </w:r>
      <w:r w:rsidR="00747ED4" w:rsidRPr="00F12E8B">
        <w:rPr>
          <w:rFonts w:ascii="Times New Roman" w:hAnsi="Times New Roman"/>
          <w:sz w:val="20"/>
          <w:szCs w:val="20"/>
        </w:rPr>
        <w:t>mainly</w:t>
      </w:r>
      <w:r w:rsidR="009C3DA4" w:rsidRPr="00F12E8B">
        <w:rPr>
          <w:rFonts w:ascii="Times New Roman" w:hAnsi="Times New Roman"/>
          <w:sz w:val="20"/>
          <w:szCs w:val="20"/>
        </w:rPr>
        <w:t xml:space="preserve"> Financial Cash Flow Statements</w:t>
      </w:r>
      <w:r w:rsidR="00CF62EA" w:rsidRPr="00F12E8B">
        <w:rPr>
          <w:rFonts w:ascii="Times New Roman" w:hAnsi="Times New Roman"/>
          <w:sz w:val="20"/>
          <w:szCs w:val="20"/>
        </w:rPr>
        <w:t>.</w:t>
      </w:r>
      <w:r w:rsidR="009C3DA4" w:rsidRPr="00F12E8B">
        <w:rPr>
          <w:rFonts w:ascii="Times New Roman" w:hAnsi="Times New Roman"/>
          <w:sz w:val="20"/>
          <w:szCs w:val="20"/>
        </w:rPr>
        <w:t xml:space="preserve"> </w:t>
      </w:r>
      <w:r w:rsidR="00CF4F4B" w:rsidRPr="00F12E8B">
        <w:rPr>
          <w:rFonts w:ascii="Times New Roman" w:hAnsi="Times New Roman"/>
          <w:sz w:val="20"/>
          <w:szCs w:val="20"/>
        </w:rPr>
        <w:t>So w</w:t>
      </w:r>
      <w:r w:rsidR="0046245E" w:rsidRPr="00F12E8B">
        <w:rPr>
          <w:rFonts w:ascii="Times New Roman" w:hAnsi="Times New Roman"/>
          <w:sz w:val="20"/>
          <w:szCs w:val="20"/>
        </w:rPr>
        <w:t xml:space="preserve">e evaluate the </w:t>
      </w:r>
      <w:r w:rsidR="00E34D12" w:rsidRPr="00F12E8B">
        <w:rPr>
          <w:rFonts w:ascii="Times New Roman" w:hAnsi="Times New Roman"/>
          <w:sz w:val="20"/>
          <w:szCs w:val="20"/>
        </w:rPr>
        <w:t>C</w:t>
      </w:r>
      <w:r w:rsidR="0046245E" w:rsidRPr="00F12E8B">
        <w:rPr>
          <w:rFonts w:ascii="Times New Roman" w:hAnsi="Times New Roman"/>
          <w:sz w:val="20"/>
          <w:szCs w:val="20"/>
        </w:rPr>
        <w:t xml:space="preserve">ooperative </w:t>
      </w:r>
      <w:r w:rsidR="00E34D12" w:rsidRPr="00F12E8B">
        <w:rPr>
          <w:rFonts w:ascii="Times New Roman" w:hAnsi="Times New Roman"/>
          <w:sz w:val="20"/>
          <w:szCs w:val="20"/>
        </w:rPr>
        <w:t>B</w:t>
      </w:r>
      <w:r w:rsidR="0046245E" w:rsidRPr="00F12E8B">
        <w:rPr>
          <w:rFonts w:ascii="Times New Roman" w:hAnsi="Times New Roman"/>
          <w:sz w:val="20"/>
          <w:szCs w:val="20"/>
        </w:rPr>
        <w:t xml:space="preserve">ank of Drama and the </w:t>
      </w:r>
      <w:r w:rsidR="00E34D12" w:rsidRPr="00F12E8B">
        <w:rPr>
          <w:rFonts w:ascii="Times New Roman" w:hAnsi="Times New Roman"/>
          <w:sz w:val="20"/>
          <w:szCs w:val="20"/>
        </w:rPr>
        <w:t>C</w:t>
      </w:r>
      <w:r w:rsidR="0046245E" w:rsidRPr="00F12E8B">
        <w:rPr>
          <w:rFonts w:ascii="Times New Roman" w:hAnsi="Times New Roman"/>
          <w:sz w:val="20"/>
          <w:szCs w:val="20"/>
        </w:rPr>
        <w:t xml:space="preserve">ooperative </w:t>
      </w:r>
      <w:r w:rsidR="00E34D12" w:rsidRPr="00F12E8B">
        <w:rPr>
          <w:rFonts w:ascii="Times New Roman" w:hAnsi="Times New Roman"/>
          <w:sz w:val="20"/>
          <w:szCs w:val="20"/>
        </w:rPr>
        <w:t>B</w:t>
      </w:r>
      <w:r w:rsidR="0046245E" w:rsidRPr="00F12E8B">
        <w:rPr>
          <w:rFonts w:ascii="Times New Roman" w:hAnsi="Times New Roman"/>
          <w:sz w:val="20"/>
          <w:szCs w:val="20"/>
        </w:rPr>
        <w:t xml:space="preserve">ank of Evros three years before the acquisition and then we evaluate </w:t>
      </w:r>
      <w:r w:rsidR="00E34D12" w:rsidRPr="00F12E8B">
        <w:rPr>
          <w:rFonts w:ascii="Times New Roman" w:hAnsi="Times New Roman"/>
          <w:sz w:val="20"/>
          <w:szCs w:val="20"/>
        </w:rPr>
        <w:t>four</w:t>
      </w:r>
      <w:r w:rsidR="0046245E" w:rsidRPr="00F12E8B">
        <w:rPr>
          <w:rFonts w:ascii="Times New Roman" w:hAnsi="Times New Roman"/>
          <w:sz w:val="20"/>
          <w:szCs w:val="20"/>
        </w:rPr>
        <w:t xml:space="preserve"> years </w:t>
      </w:r>
      <w:r w:rsidR="00E34D12" w:rsidRPr="00F12E8B">
        <w:rPr>
          <w:rFonts w:ascii="Times New Roman" w:hAnsi="Times New Roman"/>
          <w:sz w:val="20"/>
          <w:szCs w:val="20"/>
        </w:rPr>
        <w:t xml:space="preserve">after </w:t>
      </w:r>
      <w:r w:rsidR="0046245E" w:rsidRPr="00F12E8B">
        <w:rPr>
          <w:rFonts w:ascii="Times New Roman" w:hAnsi="Times New Roman"/>
          <w:sz w:val="20"/>
          <w:szCs w:val="20"/>
        </w:rPr>
        <w:t xml:space="preserve">the </w:t>
      </w:r>
      <w:r w:rsidR="00E34D12" w:rsidRPr="00F12E8B">
        <w:rPr>
          <w:rFonts w:ascii="Times New Roman" w:hAnsi="Times New Roman"/>
          <w:sz w:val="20"/>
          <w:szCs w:val="20"/>
        </w:rPr>
        <w:t>acquisition</w:t>
      </w:r>
      <w:r w:rsidR="0046245E" w:rsidRPr="00F12E8B">
        <w:rPr>
          <w:rFonts w:ascii="Times New Roman" w:hAnsi="Times New Roman"/>
          <w:sz w:val="20"/>
          <w:szCs w:val="20"/>
        </w:rPr>
        <w:t xml:space="preserve"> </w:t>
      </w:r>
      <w:r w:rsidR="00AF6120" w:rsidRPr="00F12E8B">
        <w:rPr>
          <w:rFonts w:ascii="Times New Roman" w:hAnsi="Times New Roman"/>
          <w:sz w:val="20"/>
          <w:szCs w:val="20"/>
        </w:rPr>
        <w:t xml:space="preserve">the </w:t>
      </w:r>
      <w:r w:rsidR="00E34D12" w:rsidRPr="00F12E8B">
        <w:rPr>
          <w:rFonts w:ascii="Times New Roman" w:hAnsi="Times New Roman"/>
          <w:sz w:val="20"/>
          <w:szCs w:val="20"/>
        </w:rPr>
        <w:t>C</w:t>
      </w:r>
      <w:r w:rsidR="0046245E" w:rsidRPr="00F12E8B">
        <w:rPr>
          <w:rFonts w:ascii="Times New Roman" w:hAnsi="Times New Roman"/>
          <w:sz w:val="20"/>
          <w:szCs w:val="20"/>
        </w:rPr>
        <w:t xml:space="preserve">ooperative </w:t>
      </w:r>
      <w:r w:rsidR="00E34D12" w:rsidRPr="00F12E8B">
        <w:rPr>
          <w:rFonts w:ascii="Times New Roman" w:hAnsi="Times New Roman"/>
          <w:sz w:val="20"/>
          <w:szCs w:val="20"/>
        </w:rPr>
        <w:t>B</w:t>
      </w:r>
      <w:r w:rsidR="0046245E" w:rsidRPr="00F12E8B">
        <w:rPr>
          <w:rFonts w:ascii="Times New Roman" w:hAnsi="Times New Roman"/>
          <w:sz w:val="20"/>
          <w:szCs w:val="20"/>
        </w:rPr>
        <w:t>ank of Drama</w:t>
      </w:r>
      <w:r w:rsidR="00E34D12" w:rsidRPr="00F12E8B">
        <w:rPr>
          <w:rFonts w:ascii="Times New Roman" w:hAnsi="Times New Roman"/>
          <w:sz w:val="20"/>
          <w:szCs w:val="20"/>
        </w:rPr>
        <w:t xml:space="preserve"> </w:t>
      </w:r>
      <w:r w:rsidR="00AF6120" w:rsidRPr="00F12E8B">
        <w:rPr>
          <w:rFonts w:ascii="Times New Roman" w:hAnsi="Times New Roman"/>
          <w:sz w:val="20"/>
          <w:szCs w:val="20"/>
        </w:rPr>
        <w:t>which is the bidder and remain bank</w:t>
      </w:r>
      <w:r w:rsidR="0046245E" w:rsidRPr="00F12E8B">
        <w:rPr>
          <w:rFonts w:ascii="Times New Roman" w:hAnsi="Times New Roman"/>
          <w:sz w:val="20"/>
          <w:szCs w:val="20"/>
        </w:rPr>
        <w:t xml:space="preserve">. </w:t>
      </w:r>
      <w:r w:rsidR="00875DFF" w:rsidRPr="00F12E8B">
        <w:rPr>
          <w:rFonts w:ascii="Times New Roman" w:hAnsi="Times New Roman"/>
          <w:sz w:val="20"/>
          <w:szCs w:val="20"/>
        </w:rPr>
        <w:t>This acquisition was completed in recent years and the purpose was for the acquiring cooperative bank of Drama with the completion of the acquisition and the full integration of the acquired bank of Evros, to become more attractive in relation to its competitors mainly in terms of profitability</w:t>
      </w:r>
      <w:r w:rsidR="008E2C71" w:rsidRPr="00F12E8B">
        <w:rPr>
          <w:rFonts w:ascii="Times New Roman" w:hAnsi="Times New Roman"/>
          <w:sz w:val="20"/>
          <w:szCs w:val="20"/>
        </w:rPr>
        <w:t>,</w:t>
      </w:r>
      <w:r w:rsidR="00875DFF" w:rsidRPr="00F12E8B">
        <w:rPr>
          <w:rFonts w:ascii="Times New Roman" w:hAnsi="Times New Roman"/>
          <w:sz w:val="20"/>
          <w:szCs w:val="20"/>
        </w:rPr>
        <w:t xml:space="preserve"> </w:t>
      </w:r>
      <w:r w:rsidR="00AF6120" w:rsidRPr="00F12E8B">
        <w:rPr>
          <w:rFonts w:ascii="Times New Roman" w:hAnsi="Times New Roman"/>
          <w:sz w:val="20"/>
          <w:szCs w:val="20"/>
        </w:rPr>
        <w:t>efficiency</w:t>
      </w:r>
      <w:r w:rsidR="008E2C71" w:rsidRPr="00F12E8B">
        <w:rPr>
          <w:rFonts w:ascii="Times New Roman" w:hAnsi="Times New Roman"/>
          <w:sz w:val="20"/>
          <w:szCs w:val="20"/>
        </w:rPr>
        <w:t xml:space="preserve"> and to improve its insolvency ratio, but in the end this </w:t>
      </w:r>
      <w:r w:rsidR="009D4F06" w:rsidRPr="00F12E8B">
        <w:rPr>
          <w:rFonts w:ascii="Times New Roman" w:hAnsi="Times New Roman"/>
          <w:sz w:val="20"/>
          <w:szCs w:val="20"/>
        </w:rPr>
        <w:t xml:space="preserve">did </w:t>
      </w:r>
      <w:r w:rsidR="008E2C71" w:rsidRPr="00F12E8B">
        <w:rPr>
          <w:rFonts w:ascii="Times New Roman" w:hAnsi="Times New Roman"/>
          <w:sz w:val="20"/>
          <w:szCs w:val="20"/>
        </w:rPr>
        <w:t>not happen</w:t>
      </w:r>
      <w:r w:rsidR="00875DFF" w:rsidRPr="00F12E8B">
        <w:rPr>
          <w:rFonts w:ascii="Times New Roman" w:hAnsi="Times New Roman"/>
          <w:sz w:val="20"/>
          <w:szCs w:val="20"/>
        </w:rPr>
        <w:t>.</w:t>
      </w:r>
      <w:r w:rsidR="00C90316" w:rsidRPr="00F12E8B">
        <w:rPr>
          <w:rFonts w:ascii="Times New Roman" w:hAnsi="Times New Roman"/>
          <w:sz w:val="20"/>
          <w:szCs w:val="20"/>
        </w:rPr>
        <w:t xml:space="preserve"> </w:t>
      </w:r>
      <w:r w:rsidR="00AF6120" w:rsidRPr="00F12E8B">
        <w:rPr>
          <w:rFonts w:ascii="Times New Roman" w:hAnsi="Times New Roman"/>
          <w:sz w:val="20"/>
          <w:szCs w:val="20"/>
        </w:rPr>
        <w:t>We start our study with the introduction and we go on with the literature review, the methodology, the results, the</w:t>
      </w:r>
      <w:r w:rsidR="00CF62EA" w:rsidRPr="00F12E8B">
        <w:rPr>
          <w:rFonts w:ascii="Times New Roman" w:hAnsi="Times New Roman"/>
          <w:sz w:val="20"/>
          <w:szCs w:val="20"/>
        </w:rPr>
        <w:t xml:space="preserve"> conclusions </w:t>
      </w:r>
      <w:r w:rsidR="00AF6120" w:rsidRPr="00F12E8B">
        <w:rPr>
          <w:rFonts w:ascii="Times New Roman" w:hAnsi="Times New Roman"/>
          <w:sz w:val="20"/>
          <w:szCs w:val="20"/>
        </w:rPr>
        <w:t>an</w:t>
      </w:r>
      <w:r w:rsidR="008E2C71" w:rsidRPr="00F12E8B">
        <w:rPr>
          <w:rFonts w:ascii="Times New Roman" w:hAnsi="Times New Roman"/>
          <w:sz w:val="20"/>
          <w:szCs w:val="20"/>
        </w:rPr>
        <w:t>d</w:t>
      </w:r>
      <w:r w:rsidR="00AF6120" w:rsidRPr="00F12E8B">
        <w:rPr>
          <w:rFonts w:ascii="Times New Roman" w:hAnsi="Times New Roman"/>
          <w:sz w:val="20"/>
          <w:szCs w:val="20"/>
        </w:rPr>
        <w:t xml:space="preserve"> the references</w:t>
      </w:r>
      <w:r w:rsidR="00CF62EA" w:rsidRPr="00F12E8B">
        <w:rPr>
          <w:rFonts w:ascii="Times New Roman" w:hAnsi="Times New Roman"/>
          <w:sz w:val="20"/>
          <w:szCs w:val="20"/>
        </w:rPr>
        <w:t>.</w:t>
      </w:r>
    </w:p>
    <w:p w:rsidR="00346308" w:rsidRDefault="00346308" w:rsidP="00C90316">
      <w:pPr>
        <w:spacing w:after="0" w:line="240" w:lineRule="auto"/>
        <w:jc w:val="both"/>
        <w:rPr>
          <w:rFonts w:ascii="Times New Roman" w:hAnsi="Times New Roman"/>
          <w:bCs/>
          <w:iCs/>
          <w:sz w:val="20"/>
          <w:szCs w:val="20"/>
        </w:rPr>
      </w:pPr>
    </w:p>
    <w:p w:rsidR="00C90316" w:rsidRPr="00F12E8B" w:rsidRDefault="00C90316" w:rsidP="00C90316">
      <w:pPr>
        <w:spacing w:after="0" w:line="240" w:lineRule="auto"/>
        <w:jc w:val="both"/>
        <w:rPr>
          <w:rFonts w:ascii="Times New Roman" w:hAnsi="Times New Roman"/>
          <w:sz w:val="20"/>
          <w:szCs w:val="20"/>
        </w:rPr>
      </w:pPr>
      <w:r w:rsidRPr="00D239A2">
        <w:rPr>
          <w:rFonts w:ascii="Times New Roman" w:hAnsi="Times New Roman"/>
          <w:bCs/>
          <w:iCs/>
          <w:sz w:val="20"/>
          <w:szCs w:val="20"/>
        </w:rPr>
        <w:t>Keywords:</w:t>
      </w:r>
      <w:r w:rsidRPr="00F12E8B">
        <w:rPr>
          <w:rFonts w:ascii="Times New Roman" w:hAnsi="Times New Roman"/>
          <w:bCs/>
          <w:i/>
          <w:iCs/>
          <w:sz w:val="20"/>
          <w:szCs w:val="20"/>
        </w:rPr>
        <w:t xml:space="preserve"> </w:t>
      </w:r>
      <w:r w:rsidRPr="00F12E8B">
        <w:rPr>
          <w:rFonts w:ascii="Times New Roman" w:hAnsi="Times New Roman"/>
          <w:bCs/>
          <w:sz w:val="20"/>
          <w:szCs w:val="20"/>
        </w:rPr>
        <w:t>Cooperative Banks, Mergers</w:t>
      </w:r>
      <w:r w:rsidR="00774553" w:rsidRPr="00F12E8B">
        <w:rPr>
          <w:rFonts w:ascii="Times New Roman" w:hAnsi="Times New Roman"/>
          <w:bCs/>
          <w:sz w:val="20"/>
          <w:szCs w:val="20"/>
        </w:rPr>
        <w:t xml:space="preserve"> &amp;</w:t>
      </w:r>
      <w:r w:rsidRPr="00F12E8B">
        <w:rPr>
          <w:rFonts w:ascii="Times New Roman" w:hAnsi="Times New Roman"/>
          <w:bCs/>
          <w:sz w:val="20"/>
          <w:szCs w:val="20"/>
        </w:rPr>
        <w:t xml:space="preserve"> Acquisitions, Cash Flows</w:t>
      </w:r>
      <w:r w:rsidR="00774553" w:rsidRPr="00F12E8B">
        <w:rPr>
          <w:rFonts w:ascii="Times New Roman" w:hAnsi="Times New Roman"/>
          <w:bCs/>
          <w:sz w:val="20"/>
          <w:szCs w:val="20"/>
        </w:rPr>
        <w:t xml:space="preserve"> </w:t>
      </w:r>
      <w:r w:rsidR="001C5E58" w:rsidRPr="00F12E8B">
        <w:rPr>
          <w:rFonts w:ascii="Times New Roman" w:hAnsi="Times New Roman"/>
          <w:bCs/>
          <w:sz w:val="20"/>
          <w:szCs w:val="20"/>
        </w:rPr>
        <w:t>Ratio, Profitability, Insolvency.</w:t>
      </w:r>
    </w:p>
    <w:p w:rsidR="00C90316" w:rsidRPr="00F12E8B" w:rsidRDefault="00C90316" w:rsidP="00C90316">
      <w:pPr>
        <w:spacing w:after="0" w:line="240" w:lineRule="auto"/>
        <w:jc w:val="both"/>
        <w:rPr>
          <w:rFonts w:ascii="Times New Roman" w:hAnsi="Times New Roman"/>
          <w:sz w:val="20"/>
          <w:szCs w:val="20"/>
        </w:rPr>
      </w:pPr>
      <w:r w:rsidRPr="00D239A2">
        <w:rPr>
          <w:rFonts w:ascii="Times New Roman" w:hAnsi="Times New Roman"/>
          <w:sz w:val="20"/>
          <w:szCs w:val="20"/>
        </w:rPr>
        <w:t>Jel Classifications:</w:t>
      </w:r>
      <w:r w:rsidRPr="00F12E8B">
        <w:rPr>
          <w:rFonts w:ascii="Times New Roman" w:hAnsi="Times New Roman"/>
          <w:b/>
          <w:sz w:val="20"/>
          <w:szCs w:val="20"/>
        </w:rPr>
        <w:t xml:space="preserve"> </w:t>
      </w:r>
      <w:r w:rsidR="001C5E58" w:rsidRPr="00F12E8B">
        <w:rPr>
          <w:rFonts w:ascii="Times New Roman" w:hAnsi="Times New Roman"/>
          <w:sz w:val="20"/>
          <w:szCs w:val="20"/>
        </w:rPr>
        <w:t xml:space="preserve">G21, G33, G34, </w:t>
      </w:r>
    </w:p>
    <w:p w:rsidR="00C90316" w:rsidRPr="00F12E8B" w:rsidRDefault="00C90316" w:rsidP="00C90316">
      <w:pPr>
        <w:spacing w:after="0" w:line="240" w:lineRule="auto"/>
        <w:jc w:val="both"/>
        <w:rPr>
          <w:rFonts w:ascii="Times New Roman" w:hAnsi="Times New Roman"/>
          <w:sz w:val="20"/>
          <w:szCs w:val="20"/>
        </w:rPr>
      </w:pPr>
    </w:p>
    <w:p w:rsidR="006A381D" w:rsidRPr="00F12E8B" w:rsidRDefault="00B11FD0" w:rsidP="006A381D">
      <w:pPr>
        <w:spacing w:after="0" w:line="240" w:lineRule="auto"/>
        <w:jc w:val="both"/>
        <w:rPr>
          <w:rFonts w:ascii="Times New Roman" w:hAnsi="Times New Roman"/>
          <w:b/>
          <w:sz w:val="20"/>
          <w:szCs w:val="20"/>
        </w:rPr>
      </w:pPr>
      <w:r w:rsidRPr="00F12E8B">
        <w:rPr>
          <w:rFonts w:ascii="Times New Roman" w:hAnsi="Times New Roman"/>
          <w:b/>
          <w:sz w:val="20"/>
          <w:szCs w:val="20"/>
        </w:rPr>
        <w:t xml:space="preserve">1. </w:t>
      </w:r>
      <w:r w:rsidR="006A381D" w:rsidRPr="00F12E8B">
        <w:rPr>
          <w:rFonts w:ascii="Times New Roman" w:hAnsi="Times New Roman"/>
          <w:b/>
          <w:sz w:val="20"/>
          <w:szCs w:val="20"/>
        </w:rPr>
        <w:t>Introduction</w:t>
      </w:r>
    </w:p>
    <w:p w:rsidR="00CF1BDF" w:rsidRPr="00F12E8B" w:rsidRDefault="00485328" w:rsidP="00554446">
      <w:pPr>
        <w:spacing w:after="0" w:line="240" w:lineRule="auto"/>
        <w:jc w:val="both"/>
        <w:rPr>
          <w:rFonts w:ascii="Times New Roman" w:hAnsi="Times New Roman"/>
          <w:sz w:val="20"/>
          <w:szCs w:val="20"/>
        </w:rPr>
      </w:pPr>
      <w:r w:rsidRPr="00F12E8B">
        <w:rPr>
          <w:rFonts w:ascii="Times New Roman" w:hAnsi="Times New Roman"/>
          <w:sz w:val="20"/>
          <w:szCs w:val="20"/>
        </w:rPr>
        <w:tab/>
      </w:r>
      <w:r w:rsidR="00CF1BDF" w:rsidRPr="00F12E8B">
        <w:rPr>
          <w:rFonts w:ascii="Times New Roman" w:hAnsi="Times New Roman"/>
          <w:sz w:val="20"/>
          <w:szCs w:val="20"/>
        </w:rPr>
        <w:t xml:space="preserve">The primary function of the financial system is to transfer capital from heterogeneous sources of savings to investors. The mediating role of banks in the economy, apart from the mobilization of savings, consists in the collection and utilization of information on the business environment and economic prospects, and consequently, in-depth analysis and better risk management (Moschos, D., Hortareas, G., 2011). </w:t>
      </w:r>
      <w:r w:rsidR="00A3516A" w:rsidRPr="00F12E8B">
        <w:rPr>
          <w:rFonts w:ascii="Times New Roman" w:hAnsi="Times New Roman"/>
          <w:sz w:val="20"/>
          <w:szCs w:val="20"/>
        </w:rPr>
        <w:t xml:space="preserve">The development of the financial system contributes to economic growth by providing more complete information and reducing transaction costs. In addition, it contributes to improving the productivity and efficiency of the financial sector, encourages savings and facilitates investment. More generally, more developed financial systems are able to efficiently channel larger amounts of funds from savers to investors. At the same time, the financial system mitigates the risk of investment decisions and mainly the risk of liquidity (Pagano, M., 1993). </w:t>
      </w:r>
      <w:r w:rsidR="00CF1BDF" w:rsidRPr="00F12E8B">
        <w:rPr>
          <w:rFonts w:ascii="Times New Roman" w:hAnsi="Times New Roman"/>
          <w:sz w:val="20"/>
          <w:szCs w:val="20"/>
        </w:rPr>
        <w:t>Cooperative banks are included</w:t>
      </w:r>
      <w:r w:rsidR="009F31C9" w:rsidRPr="00F12E8B">
        <w:rPr>
          <w:rFonts w:ascii="Times New Roman" w:hAnsi="Times New Roman"/>
          <w:sz w:val="20"/>
          <w:szCs w:val="20"/>
        </w:rPr>
        <w:t xml:space="preserve"> in the wider financial circuit and they link their profitability with the development of the local economy, identifying their efficiency with the development of the</w:t>
      </w:r>
      <w:r w:rsidR="00FE696F" w:rsidRPr="00F12E8B">
        <w:rPr>
          <w:rFonts w:ascii="Times New Roman" w:hAnsi="Times New Roman"/>
          <w:sz w:val="20"/>
          <w:szCs w:val="20"/>
        </w:rPr>
        <w:t>ir own place (Tragakis G. 1996).</w:t>
      </w:r>
      <w:r w:rsidR="009F31C9" w:rsidRPr="00F12E8B">
        <w:rPr>
          <w:rFonts w:ascii="Times New Roman" w:hAnsi="Times New Roman"/>
          <w:sz w:val="20"/>
          <w:szCs w:val="20"/>
        </w:rPr>
        <w:t xml:space="preserve"> </w:t>
      </w:r>
    </w:p>
    <w:p w:rsidR="00554446" w:rsidRPr="00F12E8B" w:rsidRDefault="002113B3" w:rsidP="00554446">
      <w:pPr>
        <w:spacing w:after="0" w:line="240" w:lineRule="auto"/>
        <w:jc w:val="both"/>
        <w:rPr>
          <w:rFonts w:ascii="Times New Roman" w:hAnsi="Times New Roman"/>
          <w:sz w:val="20"/>
          <w:szCs w:val="20"/>
        </w:rPr>
      </w:pPr>
      <w:r w:rsidRPr="00F12E8B">
        <w:rPr>
          <w:rFonts w:ascii="Times New Roman" w:hAnsi="Times New Roman"/>
          <w:sz w:val="20"/>
          <w:szCs w:val="20"/>
        </w:rPr>
        <w:tab/>
      </w:r>
      <w:r w:rsidR="00554446" w:rsidRPr="00F12E8B">
        <w:rPr>
          <w:rFonts w:ascii="Times New Roman" w:hAnsi="Times New Roman"/>
          <w:sz w:val="20"/>
          <w:szCs w:val="20"/>
        </w:rPr>
        <w:t>The Cooperative Banks in Europe were primarily aggregations at the local or trade union level, either to protect their members against the economic exploitation of the stronger, or to exercise a rudimentary policy of social solidarity and welfare, or to serve the financial needs of farmers , farmers and fishermen, small professionals and micro-farmers as well as consumers with low and usually fixed incomes. That is why credit cooperatives or cooperative banks still today have a local or regional, cooperative character and deal only with their members, who to a certain extent have identified with them in specific types of banking operations.</w:t>
      </w:r>
    </w:p>
    <w:p w:rsidR="00554446" w:rsidRPr="00F12E8B" w:rsidRDefault="002113B3" w:rsidP="00C90316">
      <w:pPr>
        <w:spacing w:after="0" w:line="240" w:lineRule="auto"/>
        <w:jc w:val="both"/>
        <w:rPr>
          <w:rFonts w:ascii="Times New Roman" w:hAnsi="Times New Roman"/>
          <w:sz w:val="20"/>
          <w:szCs w:val="20"/>
        </w:rPr>
      </w:pPr>
      <w:r w:rsidRPr="00F12E8B">
        <w:rPr>
          <w:rFonts w:ascii="Times New Roman" w:hAnsi="Times New Roman"/>
          <w:sz w:val="20"/>
          <w:szCs w:val="20"/>
        </w:rPr>
        <w:tab/>
      </w:r>
      <w:r w:rsidR="00554446" w:rsidRPr="00F12E8B">
        <w:rPr>
          <w:rFonts w:ascii="Times New Roman" w:hAnsi="Times New Roman"/>
          <w:sz w:val="20"/>
          <w:szCs w:val="20"/>
        </w:rPr>
        <w:t xml:space="preserve">Based on the European standard for the exercise of cooperative credit, we can note that the fundamental operating principle of cooperative credit institutions is to serve the financial needs of small and medium-sized enterprises at a local or regional level and to provide financial support for </w:t>
      </w:r>
      <w:r w:rsidR="00554446" w:rsidRPr="00F12E8B">
        <w:rPr>
          <w:rFonts w:ascii="Times New Roman" w:hAnsi="Times New Roman"/>
          <w:sz w:val="20"/>
          <w:szCs w:val="20"/>
        </w:rPr>
        <w:lastRenderedPageBreak/>
        <w:t>local and regional development projects and activities, by granting low-interest loans to their members. At the same time, of course, they also accept deposits with interest rates that apply to commercial banks and distribute a high annual dividend to their members (Tragakis G. 1996)</w:t>
      </w:r>
    </w:p>
    <w:p w:rsidR="00554446" w:rsidRPr="00F12E8B" w:rsidRDefault="002113B3" w:rsidP="00554446">
      <w:pPr>
        <w:spacing w:after="0" w:line="240" w:lineRule="auto"/>
        <w:jc w:val="both"/>
        <w:rPr>
          <w:rFonts w:ascii="Times New Roman" w:hAnsi="Times New Roman"/>
          <w:sz w:val="20"/>
          <w:szCs w:val="20"/>
        </w:rPr>
      </w:pPr>
      <w:r w:rsidRPr="00F12E8B">
        <w:rPr>
          <w:rFonts w:ascii="Times New Roman" w:hAnsi="Times New Roman"/>
          <w:sz w:val="20"/>
          <w:szCs w:val="20"/>
        </w:rPr>
        <w:tab/>
      </w:r>
      <w:r w:rsidR="00D04F14" w:rsidRPr="00F12E8B">
        <w:rPr>
          <w:rFonts w:ascii="Times New Roman" w:hAnsi="Times New Roman"/>
          <w:sz w:val="20"/>
          <w:szCs w:val="20"/>
        </w:rPr>
        <w:t>In the last twenty years, credit cooperatives and cooperative banks in the European Union, according to data from the European Union of Cooperative Banks, without differentiating their institutional background, have increased their participation in the common banking market. This is also due to the fact of the introduction of the Euro and the lack of significant currency risk that banks faced in the past.</w:t>
      </w:r>
    </w:p>
    <w:p w:rsidR="00D04F14" w:rsidRPr="00F12E8B" w:rsidRDefault="00FC3D2C" w:rsidP="00D04F14">
      <w:pPr>
        <w:spacing w:after="0" w:line="240" w:lineRule="auto"/>
        <w:jc w:val="both"/>
        <w:rPr>
          <w:rFonts w:ascii="Times New Roman" w:hAnsi="Times New Roman"/>
          <w:sz w:val="20"/>
          <w:szCs w:val="20"/>
        </w:rPr>
      </w:pPr>
      <w:r w:rsidRPr="00F12E8B">
        <w:rPr>
          <w:rFonts w:ascii="Times New Roman" w:hAnsi="Times New Roman"/>
          <w:sz w:val="20"/>
          <w:szCs w:val="20"/>
        </w:rPr>
        <w:tab/>
      </w:r>
      <w:r w:rsidR="00D04F14" w:rsidRPr="00F12E8B">
        <w:rPr>
          <w:rFonts w:ascii="Times New Roman" w:hAnsi="Times New Roman"/>
          <w:sz w:val="20"/>
          <w:szCs w:val="20"/>
        </w:rPr>
        <w:t>By their nature Cooperative Banks are, historically, leaders in the provision of financial services tailored to certain customer categories, such as farmers and small and medium enterprises (SMEs) for whom access to credit, in other banks, is limited. Around 32% of small and medium-sized European businesses are customers of Co-operative Banks. Also Cooperative Banks are more stable in the economy than commercial banks. This is because they can use in difficult economic times the surplus of their customers since we said that their customers are also partners at the same time (Heiko Hessa, et al. 2006). As the primary purpose of Cooperative Banks is the recycling of money (deposits - loans), there is continuous monitoring of available funds that can be allocated for financing, without the risk of credit extensions. The lending portfolio includes only businesses belonging to the local market, making it easier to contact and guide the client in a difficult economic situation. The existence of a small percentage of housing and consumer loans enables them to call their banking 'Business' and not 'Housing' (Heiko Hesse and Martin Cihak 2006, "Cooperative Banks and Financial Stability")</w:t>
      </w:r>
    </w:p>
    <w:p w:rsidR="00554446" w:rsidRPr="00F12E8B" w:rsidRDefault="00FC3D2C" w:rsidP="00D04F14">
      <w:pPr>
        <w:spacing w:after="0" w:line="240" w:lineRule="auto"/>
        <w:jc w:val="both"/>
        <w:rPr>
          <w:rFonts w:ascii="Times New Roman" w:hAnsi="Times New Roman"/>
          <w:sz w:val="20"/>
          <w:szCs w:val="20"/>
        </w:rPr>
      </w:pPr>
      <w:r w:rsidRPr="00F12E8B">
        <w:rPr>
          <w:rFonts w:ascii="Times New Roman" w:hAnsi="Times New Roman"/>
          <w:sz w:val="20"/>
          <w:szCs w:val="20"/>
        </w:rPr>
        <w:tab/>
      </w:r>
      <w:r w:rsidR="00D04F14" w:rsidRPr="00F12E8B">
        <w:rPr>
          <w:rFonts w:ascii="Times New Roman" w:hAnsi="Times New Roman"/>
          <w:sz w:val="20"/>
          <w:szCs w:val="20"/>
        </w:rPr>
        <w:t>Cooperative Banks make a significant contribution to the European economy. They are part of the cooperative societies, whose role in Europe is recognized and encouraged by the EU institutions, as evidenced by the recent statute of the "European Cooperative Society", as well as by the European Commission's communication on the "promotion of cooperatives societies in Europe". Even if co-operative traditions and legislation differ from one European country to another (as do some of the characteristics of Co-operative Banks) there are nevertheless several essential common factors at the heart of the European co-operative banking sector. Their basic principle is that they operate democratically. European Cooperative Banks are owned by their members, who participate in their democratic management, according to the principle: one person, one vote. (Heiko Hesse and Martin Cihak 2006, "Cooperative Banks and Financial Stability").</w:t>
      </w:r>
    </w:p>
    <w:p w:rsidR="00554446" w:rsidRPr="00F12E8B" w:rsidRDefault="00FC3D2C" w:rsidP="00554446">
      <w:pPr>
        <w:spacing w:after="0" w:line="240" w:lineRule="auto"/>
        <w:jc w:val="both"/>
        <w:rPr>
          <w:rFonts w:ascii="Times New Roman" w:hAnsi="Times New Roman"/>
          <w:sz w:val="20"/>
          <w:szCs w:val="20"/>
        </w:rPr>
      </w:pPr>
      <w:r w:rsidRPr="00F12E8B">
        <w:rPr>
          <w:rFonts w:ascii="Times New Roman" w:hAnsi="Times New Roman"/>
          <w:sz w:val="20"/>
          <w:szCs w:val="20"/>
        </w:rPr>
        <w:tab/>
      </w:r>
      <w:r w:rsidR="00B02BEB" w:rsidRPr="00F12E8B">
        <w:rPr>
          <w:rFonts w:ascii="Times New Roman" w:hAnsi="Times New Roman"/>
          <w:sz w:val="20"/>
          <w:szCs w:val="20"/>
        </w:rPr>
        <w:t xml:space="preserve">Cooperative Banks have corporate capital and their members can be individuals or businesses, natural and legal entities. These members may be in whole or in part customers, employees or suppliers. Thus </w:t>
      </w:r>
      <w:r w:rsidR="00D04F14" w:rsidRPr="00F12E8B">
        <w:rPr>
          <w:rFonts w:ascii="Times New Roman" w:hAnsi="Times New Roman"/>
          <w:sz w:val="20"/>
          <w:szCs w:val="20"/>
        </w:rPr>
        <w:t xml:space="preserve">Cooperative </w:t>
      </w:r>
      <w:r w:rsidR="00B02BEB" w:rsidRPr="00F12E8B">
        <w:rPr>
          <w:rFonts w:ascii="Times New Roman" w:hAnsi="Times New Roman"/>
          <w:sz w:val="20"/>
          <w:szCs w:val="20"/>
        </w:rPr>
        <w:t>B</w:t>
      </w:r>
      <w:r w:rsidR="00D04F14" w:rsidRPr="00F12E8B">
        <w:rPr>
          <w:rFonts w:ascii="Times New Roman" w:hAnsi="Times New Roman"/>
          <w:sz w:val="20"/>
          <w:szCs w:val="20"/>
        </w:rPr>
        <w:t>anks can play a large role in local communities as they operate exclusively in the private sector of the economy, without any dependence, financial or otherwise, on the state. They create locally a short circuit of money circulation with minimal cost, as they collect local savings and reposition them in the market, in the form of credits, maintaining and developing all the productive activities of the local economy (Tragakis G. 1996, "Cooperative Banks in Greece" , Sakkoula Publications, Athens-Komotini).</w:t>
      </w:r>
    </w:p>
    <w:p w:rsidR="00B02BEB" w:rsidRPr="00F12E8B" w:rsidRDefault="00B02BEB" w:rsidP="00B02BEB">
      <w:pPr>
        <w:spacing w:after="0" w:line="240" w:lineRule="auto"/>
        <w:jc w:val="both"/>
        <w:rPr>
          <w:rFonts w:ascii="Times New Roman" w:hAnsi="Times New Roman"/>
          <w:sz w:val="20"/>
          <w:szCs w:val="20"/>
        </w:rPr>
      </w:pPr>
      <w:r w:rsidRPr="00F12E8B">
        <w:rPr>
          <w:rFonts w:ascii="Times New Roman" w:hAnsi="Times New Roman"/>
          <w:sz w:val="20"/>
          <w:szCs w:val="20"/>
        </w:rPr>
        <w:t>The present topic was chosen because acquisitions and mergers have been increasingly developed in recent years and large companies and groups tend to be acquired and merged but also absorbed so that they can continue to exist even through other companies.</w:t>
      </w:r>
    </w:p>
    <w:p w:rsidR="00CE5B6B" w:rsidRPr="00F12E8B" w:rsidRDefault="00FC3D2C" w:rsidP="00B02BEB">
      <w:pPr>
        <w:spacing w:after="0" w:line="240" w:lineRule="auto"/>
        <w:jc w:val="both"/>
        <w:rPr>
          <w:rFonts w:ascii="Times New Roman" w:hAnsi="Times New Roman"/>
          <w:sz w:val="20"/>
          <w:szCs w:val="20"/>
        </w:rPr>
      </w:pPr>
      <w:r w:rsidRPr="00F12E8B">
        <w:rPr>
          <w:rFonts w:ascii="Times New Roman" w:hAnsi="Times New Roman"/>
          <w:sz w:val="20"/>
          <w:szCs w:val="20"/>
        </w:rPr>
        <w:tab/>
      </w:r>
      <w:r w:rsidR="00B02BEB" w:rsidRPr="00F12E8B">
        <w:rPr>
          <w:rFonts w:ascii="Times New Roman" w:hAnsi="Times New Roman"/>
          <w:sz w:val="20"/>
          <w:szCs w:val="20"/>
        </w:rPr>
        <w:t>An important moti</w:t>
      </w:r>
      <w:r w:rsidR="009A2736" w:rsidRPr="00F12E8B">
        <w:rPr>
          <w:rFonts w:ascii="Times New Roman" w:hAnsi="Times New Roman"/>
          <w:sz w:val="20"/>
          <w:szCs w:val="20"/>
        </w:rPr>
        <w:t>vation for choosing this</w:t>
      </w:r>
      <w:r w:rsidR="00B02BEB" w:rsidRPr="00F12E8B">
        <w:rPr>
          <w:rFonts w:ascii="Times New Roman" w:hAnsi="Times New Roman"/>
          <w:sz w:val="20"/>
          <w:szCs w:val="20"/>
        </w:rPr>
        <w:t xml:space="preserve"> topic is that acquisitions and mergers of cooperative banks are not so widespread and cooperative banks after the financial crisis are close to disappearing.</w:t>
      </w:r>
      <w:r w:rsidR="00CE5B6B" w:rsidRPr="00F12E8B">
        <w:rPr>
          <w:rFonts w:ascii="Times New Roman" w:hAnsi="Times New Roman"/>
          <w:sz w:val="20"/>
          <w:szCs w:val="20"/>
        </w:rPr>
        <w:t xml:space="preserve"> The topic of this work was chosen because mergers and acquisitions in recent years are growing more and more large companies and groups tend to be acquired to merge but also absorbed so that they can continue to exist even through other companies. An important motivation for choosing this topic is </w:t>
      </w:r>
      <w:r w:rsidR="009A2736" w:rsidRPr="00F12E8B">
        <w:rPr>
          <w:rFonts w:ascii="Times New Roman" w:hAnsi="Times New Roman"/>
          <w:sz w:val="20"/>
          <w:szCs w:val="20"/>
        </w:rPr>
        <w:t xml:space="preserve">also </w:t>
      </w:r>
      <w:r w:rsidR="00CE5B6B" w:rsidRPr="00F12E8B">
        <w:rPr>
          <w:rFonts w:ascii="Times New Roman" w:hAnsi="Times New Roman"/>
          <w:sz w:val="20"/>
          <w:szCs w:val="20"/>
        </w:rPr>
        <w:t xml:space="preserve">that the mergers and acquisitions of cooperative banks are not so widespread and the Greek cooperative banks after the financial crisis of 2010 are about to disappear. </w:t>
      </w:r>
      <w:r w:rsidR="00B02BEB" w:rsidRPr="00F12E8B">
        <w:rPr>
          <w:rFonts w:ascii="Times New Roman" w:hAnsi="Times New Roman"/>
          <w:sz w:val="20"/>
          <w:szCs w:val="20"/>
        </w:rPr>
        <w:t>At the same time, this specific work applies a case study demonstrating the importance of the evaluation methods it uses for the evaluation of acquisitions and mergers before and after the acquisition or merger</w:t>
      </w:r>
      <w:r w:rsidR="00CE5B6B" w:rsidRPr="00F12E8B">
        <w:rPr>
          <w:rFonts w:ascii="Times New Roman" w:hAnsi="Times New Roman"/>
          <w:sz w:val="20"/>
          <w:szCs w:val="20"/>
        </w:rPr>
        <w:t xml:space="preserve">. </w:t>
      </w:r>
      <w:r w:rsidR="00747ED4" w:rsidRPr="00F12E8B">
        <w:rPr>
          <w:rFonts w:ascii="Times New Roman" w:hAnsi="Times New Roman"/>
          <w:sz w:val="20"/>
          <w:szCs w:val="20"/>
        </w:rPr>
        <w:t>In this case study, the whole theoretical framework of the examined methodology is applied with financial analysis to the financial and accounting data of the involved banks.</w:t>
      </w:r>
    </w:p>
    <w:p w:rsidR="00B02BEB" w:rsidRPr="00F12E8B" w:rsidRDefault="00FC3D2C" w:rsidP="00B02BEB">
      <w:pPr>
        <w:spacing w:after="0" w:line="240" w:lineRule="auto"/>
        <w:jc w:val="both"/>
        <w:rPr>
          <w:rFonts w:ascii="Times New Roman" w:hAnsi="Times New Roman"/>
          <w:sz w:val="20"/>
          <w:szCs w:val="20"/>
        </w:rPr>
      </w:pPr>
      <w:r w:rsidRPr="00F12E8B">
        <w:rPr>
          <w:rFonts w:ascii="Times New Roman" w:hAnsi="Times New Roman"/>
          <w:sz w:val="20"/>
          <w:szCs w:val="20"/>
        </w:rPr>
        <w:tab/>
      </w:r>
      <w:r w:rsidR="008F225E" w:rsidRPr="00F12E8B">
        <w:rPr>
          <w:rFonts w:ascii="Times New Roman" w:hAnsi="Times New Roman"/>
          <w:sz w:val="20"/>
          <w:szCs w:val="20"/>
        </w:rPr>
        <w:t>The aim of this work</w:t>
      </w:r>
      <w:r w:rsidR="00B02BEB" w:rsidRPr="00F12E8B">
        <w:rPr>
          <w:rFonts w:ascii="Times New Roman" w:hAnsi="Times New Roman"/>
          <w:sz w:val="20"/>
          <w:szCs w:val="20"/>
        </w:rPr>
        <w:t xml:space="preserve"> is to present and study the evaluation of acquisitions and mergers of cooperative banks with cash flows.</w:t>
      </w:r>
      <w:r w:rsidR="00CE5B6B" w:rsidRPr="00F12E8B">
        <w:rPr>
          <w:rFonts w:ascii="Times New Roman" w:hAnsi="Times New Roman"/>
          <w:sz w:val="20"/>
          <w:szCs w:val="20"/>
        </w:rPr>
        <w:t xml:space="preserve"> </w:t>
      </w:r>
      <w:r w:rsidR="00B02BEB" w:rsidRPr="00F12E8B">
        <w:rPr>
          <w:rFonts w:ascii="Times New Roman" w:hAnsi="Times New Roman"/>
          <w:sz w:val="20"/>
          <w:szCs w:val="20"/>
        </w:rPr>
        <w:t>The main objectives are to study the evaluation of acquisitions and mergers in the economy, even to study whether acquisitions and mergers contribute and help both in the internal and external environment of businesses and banks. It should also be studied whether, through the mergers of businesses and banks, they can evolve and contribute to the economy as a whole.</w:t>
      </w:r>
      <w:r w:rsidR="00EC3A74" w:rsidRPr="00F12E8B">
        <w:rPr>
          <w:rFonts w:ascii="Times New Roman" w:hAnsi="Times New Roman"/>
          <w:sz w:val="20"/>
          <w:szCs w:val="20"/>
        </w:rPr>
        <w:t xml:space="preserve"> For this reason, the main financial and accounting methods for evaluating the mergers and acquisitions of </w:t>
      </w:r>
      <w:r w:rsidR="00CF4F4B" w:rsidRPr="00F12E8B">
        <w:rPr>
          <w:rFonts w:ascii="Times New Roman" w:hAnsi="Times New Roman"/>
          <w:sz w:val="20"/>
          <w:szCs w:val="20"/>
        </w:rPr>
        <w:t>C</w:t>
      </w:r>
      <w:r w:rsidR="00EC3A74" w:rsidRPr="00F12E8B">
        <w:rPr>
          <w:rFonts w:ascii="Times New Roman" w:hAnsi="Times New Roman"/>
          <w:sz w:val="20"/>
          <w:szCs w:val="20"/>
        </w:rPr>
        <w:t xml:space="preserve">ooperative </w:t>
      </w:r>
      <w:r w:rsidR="00CF4F4B" w:rsidRPr="00F12E8B">
        <w:rPr>
          <w:rFonts w:ascii="Times New Roman" w:hAnsi="Times New Roman"/>
          <w:sz w:val="20"/>
          <w:szCs w:val="20"/>
        </w:rPr>
        <w:t>B</w:t>
      </w:r>
      <w:r w:rsidR="00EC3A74" w:rsidRPr="00F12E8B">
        <w:rPr>
          <w:rFonts w:ascii="Times New Roman" w:hAnsi="Times New Roman"/>
          <w:sz w:val="20"/>
          <w:szCs w:val="20"/>
        </w:rPr>
        <w:t>anks in Greece are presented</w:t>
      </w:r>
      <w:r w:rsidR="00CF4F4B" w:rsidRPr="00F12E8B">
        <w:rPr>
          <w:rFonts w:ascii="Times New Roman" w:hAnsi="Times New Roman"/>
          <w:sz w:val="20"/>
          <w:szCs w:val="20"/>
        </w:rPr>
        <w:t xml:space="preserve"> and we study the case of Cooperative Bank of Drama, which acquired the Cooperative Bank of Evros.</w:t>
      </w:r>
    </w:p>
    <w:p w:rsidR="00D04F14" w:rsidRPr="00F12E8B" w:rsidRDefault="00B11FD0" w:rsidP="00554446">
      <w:pPr>
        <w:spacing w:after="0" w:line="240" w:lineRule="auto"/>
        <w:jc w:val="both"/>
        <w:rPr>
          <w:rFonts w:ascii="Times New Roman" w:hAnsi="Times New Roman"/>
          <w:b/>
          <w:sz w:val="20"/>
          <w:szCs w:val="20"/>
        </w:rPr>
      </w:pPr>
      <w:r w:rsidRPr="00F12E8B">
        <w:rPr>
          <w:rFonts w:ascii="Times New Roman" w:hAnsi="Times New Roman"/>
          <w:b/>
          <w:sz w:val="20"/>
          <w:szCs w:val="20"/>
        </w:rPr>
        <w:t xml:space="preserve">2. </w:t>
      </w:r>
      <w:r w:rsidR="007A6657" w:rsidRPr="00F12E8B">
        <w:rPr>
          <w:rFonts w:ascii="Times New Roman" w:hAnsi="Times New Roman"/>
          <w:b/>
          <w:sz w:val="20"/>
          <w:szCs w:val="20"/>
        </w:rPr>
        <w:t>Literature Review</w:t>
      </w:r>
    </w:p>
    <w:p w:rsidR="007A6657" w:rsidRPr="00F12E8B" w:rsidRDefault="00485328" w:rsidP="005E6F8B">
      <w:pPr>
        <w:spacing w:after="0" w:line="240" w:lineRule="auto"/>
        <w:jc w:val="both"/>
        <w:rPr>
          <w:rFonts w:ascii="Times New Roman" w:hAnsi="Times New Roman"/>
          <w:sz w:val="20"/>
          <w:szCs w:val="20"/>
        </w:rPr>
      </w:pPr>
      <w:r w:rsidRPr="00F12E8B">
        <w:rPr>
          <w:rFonts w:ascii="Times New Roman" w:hAnsi="Times New Roman"/>
          <w:color w:val="111111"/>
          <w:sz w:val="20"/>
          <w:szCs w:val="20"/>
        </w:rPr>
        <w:tab/>
      </w:r>
      <w:r w:rsidR="007A6657" w:rsidRPr="00F12E8B">
        <w:rPr>
          <w:rFonts w:ascii="Times New Roman" w:hAnsi="Times New Roman"/>
          <w:color w:val="111111"/>
          <w:sz w:val="20"/>
          <w:szCs w:val="20"/>
        </w:rPr>
        <w:t xml:space="preserve">The term mergers and acquisitions (M&amp;A) refers to the consolidation of companies or their major business assets through financial transactions between companies. A company may purchase and absorb another company outright, merge with it to create a new company, acquire some or all of its major assets, </w:t>
      </w:r>
      <w:r w:rsidR="007A6657" w:rsidRPr="00F12E8B">
        <w:rPr>
          <w:rFonts w:ascii="Times New Roman" w:hAnsi="Times New Roman"/>
          <w:sz w:val="20"/>
          <w:szCs w:val="20"/>
        </w:rPr>
        <w:t xml:space="preserve">make a </w:t>
      </w:r>
      <w:hyperlink r:id="rId11" w:history="1">
        <w:r w:rsidR="007A6657" w:rsidRPr="00F12E8B">
          <w:rPr>
            <w:rStyle w:val="-"/>
            <w:rFonts w:ascii="Times New Roman" w:hAnsi="Times New Roman"/>
            <w:color w:val="auto"/>
            <w:sz w:val="20"/>
            <w:szCs w:val="20"/>
            <w:u w:val="none"/>
          </w:rPr>
          <w:t>tender offer</w:t>
        </w:r>
      </w:hyperlink>
      <w:r w:rsidR="007A6657" w:rsidRPr="00F12E8B">
        <w:rPr>
          <w:rFonts w:ascii="Times New Roman" w:hAnsi="Times New Roman"/>
          <w:sz w:val="20"/>
          <w:szCs w:val="20"/>
        </w:rPr>
        <w:t xml:space="preserve"> for its stock, or stage a hostile takeover. All are M&amp;A activities. The </w:t>
      </w:r>
      <w:r w:rsidR="007A6657" w:rsidRPr="00F12E8B">
        <w:rPr>
          <w:rFonts w:ascii="Times New Roman" w:hAnsi="Times New Roman"/>
          <w:sz w:val="20"/>
          <w:szCs w:val="20"/>
        </w:rPr>
        <w:lastRenderedPageBreak/>
        <w:t xml:space="preserve">term M&amp;A also is used to describe the divisions of </w:t>
      </w:r>
      <w:hyperlink r:id="rId12" w:history="1">
        <w:r w:rsidR="007A6657" w:rsidRPr="00F12E8B">
          <w:rPr>
            <w:rStyle w:val="-"/>
            <w:rFonts w:ascii="Times New Roman" w:hAnsi="Times New Roman"/>
            <w:color w:val="auto"/>
            <w:sz w:val="20"/>
            <w:szCs w:val="20"/>
            <w:u w:val="none"/>
          </w:rPr>
          <w:t>financial institutions</w:t>
        </w:r>
      </w:hyperlink>
      <w:r w:rsidR="007A6657" w:rsidRPr="00F12E8B">
        <w:rPr>
          <w:rFonts w:ascii="Times New Roman" w:hAnsi="Times New Roman"/>
          <w:sz w:val="20"/>
          <w:szCs w:val="20"/>
        </w:rPr>
        <w:t xml:space="preserve"> that deal in such activity. (</w:t>
      </w:r>
      <w:hyperlink r:id="rId13" w:history="1">
        <w:r w:rsidR="007A6657" w:rsidRPr="00F12E8B">
          <w:rPr>
            <w:rStyle w:val="-"/>
            <w:rFonts w:ascii="Times New Roman" w:hAnsi="Times New Roman"/>
            <w:color w:val="auto"/>
            <w:sz w:val="20"/>
            <w:szCs w:val="20"/>
            <w:u w:val="none"/>
          </w:rPr>
          <w:t>Adam Hayes</w:t>
        </w:r>
      </w:hyperlink>
      <w:r w:rsidR="007A6657" w:rsidRPr="00F12E8B">
        <w:rPr>
          <w:rFonts w:ascii="Times New Roman" w:hAnsi="Times New Roman"/>
          <w:sz w:val="20"/>
          <w:szCs w:val="20"/>
        </w:rPr>
        <w:t>, 2023</w:t>
      </w:r>
      <w:r w:rsidR="005E6F8B" w:rsidRPr="00F12E8B">
        <w:rPr>
          <w:rFonts w:ascii="Times New Roman" w:hAnsi="Times New Roman"/>
          <w:sz w:val="20"/>
          <w:szCs w:val="20"/>
        </w:rPr>
        <w:t>)</w:t>
      </w:r>
    </w:p>
    <w:p w:rsidR="00D04F14" w:rsidRPr="00F12E8B" w:rsidRDefault="00FC3D2C" w:rsidP="00554446">
      <w:pPr>
        <w:spacing w:after="0" w:line="240" w:lineRule="auto"/>
        <w:jc w:val="both"/>
        <w:rPr>
          <w:rFonts w:ascii="Times New Roman" w:hAnsi="Times New Roman"/>
          <w:sz w:val="20"/>
          <w:szCs w:val="20"/>
        </w:rPr>
      </w:pPr>
      <w:r w:rsidRPr="00F12E8B">
        <w:rPr>
          <w:rFonts w:ascii="Times New Roman" w:hAnsi="Times New Roman"/>
          <w:sz w:val="20"/>
          <w:szCs w:val="20"/>
        </w:rPr>
        <w:tab/>
      </w:r>
      <w:r w:rsidR="007A6657" w:rsidRPr="00F12E8B">
        <w:rPr>
          <w:rFonts w:ascii="Times New Roman" w:hAnsi="Times New Roman"/>
          <w:sz w:val="20"/>
          <w:szCs w:val="20"/>
        </w:rPr>
        <w:t>Acquisition/Takeover is the process of acquiring a part or even the whole business (for cash), in which the acquiring company acquires control of the acquired business, which may still exist as a legal entity. In this way, the acquired company becomes a subsidiary company of the acquiring company</w:t>
      </w:r>
      <w:r w:rsidR="005E6F8B" w:rsidRPr="00F12E8B">
        <w:rPr>
          <w:rFonts w:ascii="Times New Roman" w:hAnsi="Times New Roman"/>
          <w:sz w:val="20"/>
          <w:szCs w:val="20"/>
        </w:rPr>
        <w:t>(Kyriazis, D., 2016)</w:t>
      </w:r>
      <w:r w:rsidR="007A6657" w:rsidRPr="00F12E8B">
        <w:rPr>
          <w:rFonts w:ascii="Times New Roman" w:hAnsi="Times New Roman"/>
          <w:sz w:val="20"/>
          <w:szCs w:val="20"/>
        </w:rPr>
        <w:t>.</w:t>
      </w:r>
      <w:r w:rsidR="005E6F8B" w:rsidRPr="00F12E8B">
        <w:rPr>
          <w:rFonts w:ascii="Times New Roman" w:hAnsi="Times New Roman"/>
          <w:color w:val="111111"/>
          <w:sz w:val="20"/>
          <w:szCs w:val="20"/>
          <w:shd w:val="clear" w:color="auto" w:fill="FFFFFF"/>
        </w:rPr>
        <w:t xml:space="preserve"> A company can buy another company with cash, stock, assumption of debt, or a combination of some or all of the three. In smaller deals, it is also common for one company to acquire all of another company's assets </w:t>
      </w:r>
      <w:r w:rsidR="005E6F8B" w:rsidRPr="00F12E8B">
        <w:rPr>
          <w:rFonts w:ascii="Times New Roman" w:hAnsi="Times New Roman"/>
          <w:sz w:val="20"/>
          <w:szCs w:val="20"/>
        </w:rPr>
        <w:t>(</w:t>
      </w:r>
      <w:hyperlink r:id="rId14" w:history="1">
        <w:r w:rsidR="005E6F8B" w:rsidRPr="00F12E8B">
          <w:rPr>
            <w:rStyle w:val="-"/>
            <w:rFonts w:ascii="Times New Roman" w:hAnsi="Times New Roman"/>
            <w:color w:val="auto"/>
            <w:sz w:val="20"/>
            <w:szCs w:val="20"/>
            <w:u w:val="none"/>
          </w:rPr>
          <w:t>Adam Hayes</w:t>
        </w:r>
      </w:hyperlink>
      <w:r w:rsidR="005E6F8B" w:rsidRPr="00F12E8B">
        <w:rPr>
          <w:rFonts w:ascii="Times New Roman" w:hAnsi="Times New Roman"/>
          <w:sz w:val="20"/>
          <w:szCs w:val="20"/>
        </w:rPr>
        <w:t>, 2023)</w:t>
      </w:r>
      <w:r w:rsidR="005E6F8B" w:rsidRPr="00F12E8B">
        <w:rPr>
          <w:rFonts w:ascii="Times New Roman" w:hAnsi="Times New Roman"/>
          <w:color w:val="111111"/>
          <w:sz w:val="20"/>
          <w:szCs w:val="20"/>
          <w:shd w:val="clear" w:color="auto" w:fill="FFFFFF"/>
        </w:rPr>
        <w:t>.</w:t>
      </w:r>
    </w:p>
    <w:p w:rsidR="00D04F14" w:rsidRPr="00F12E8B" w:rsidRDefault="00FC3D2C" w:rsidP="00554446">
      <w:pPr>
        <w:spacing w:after="0" w:line="240" w:lineRule="auto"/>
        <w:jc w:val="both"/>
        <w:rPr>
          <w:rFonts w:ascii="Times New Roman" w:hAnsi="Times New Roman"/>
          <w:sz w:val="20"/>
          <w:szCs w:val="20"/>
        </w:rPr>
      </w:pPr>
      <w:r w:rsidRPr="00F12E8B">
        <w:rPr>
          <w:rFonts w:ascii="Times New Roman" w:hAnsi="Times New Roman"/>
          <w:sz w:val="20"/>
          <w:szCs w:val="20"/>
        </w:rPr>
        <w:tab/>
      </w:r>
      <w:r w:rsidR="007A6657" w:rsidRPr="00F12E8B">
        <w:rPr>
          <w:rFonts w:ascii="Times New Roman" w:hAnsi="Times New Roman"/>
          <w:sz w:val="20"/>
          <w:szCs w:val="20"/>
        </w:rPr>
        <w:t>Merger is the consolidation of two or more companies, in which the assets (Assets &amp; Liabilities) of the absorbing company are transferred to the absorbing company, (in exchange for shares) based on a defined exchange ratio). Following these, the absorbed company ceases to exist as a legal entity (it is dissolved without being liquidated), while the absorbing company succeeds it in all its rights and obligations (Kyriazis, D., 2016).</w:t>
      </w:r>
    </w:p>
    <w:p w:rsidR="005E6F8B" w:rsidRPr="00F12E8B" w:rsidRDefault="00FC3D2C" w:rsidP="005E6F8B">
      <w:pPr>
        <w:pStyle w:val="comp"/>
        <w:shd w:val="clear" w:color="auto" w:fill="FFFFFF"/>
        <w:spacing w:before="0" w:beforeAutospacing="0" w:after="0" w:afterAutospacing="0"/>
        <w:jc w:val="both"/>
        <w:rPr>
          <w:sz w:val="20"/>
          <w:szCs w:val="20"/>
          <w:lang w:val="en-US"/>
        </w:rPr>
      </w:pPr>
      <w:r w:rsidRPr="00F12E8B">
        <w:rPr>
          <w:sz w:val="20"/>
          <w:szCs w:val="20"/>
          <w:lang w:val="en-US"/>
        </w:rPr>
        <w:tab/>
      </w:r>
      <w:r w:rsidR="005E6F8B" w:rsidRPr="00F12E8B">
        <w:rPr>
          <w:sz w:val="20"/>
          <w:szCs w:val="20"/>
          <w:lang w:val="en-US"/>
        </w:rPr>
        <w:t>Mergers can be structured in a number of different ways, based on the relationship between the two companies involved in the deal (</w:t>
      </w:r>
      <w:hyperlink r:id="rId15" w:history="1">
        <w:r w:rsidR="005E6F8B" w:rsidRPr="00F12E8B">
          <w:rPr>
            <w:rStyle w:val="-"/>
            <w:color w:val="auto"/>
            <w:sz w:val="20"/>
            <w:szCs w:val="20"/>
            <w:u w:val="none"/>
            <w:lang w:val="en-US"/>
          </w:rPr>
          <w:t>Adam Hayes</w:t>
        </w:r>
      </w:hyperlink>
      <w:r w:rsidR="005E6F8B" w:rsidRPr="00F12E8B">
        <w:rPr>
          <w:sz w:val="20"/>
          <w:szCs w:val="20"/>
          <w:lang w:val="en-US"/>
        </w:rPr>
        <w:t>, 2023):</w:t>
      </w:r>
    </w:p>
    <w:p w:rsidR="005E6F8B" w:rsidRPr="00F12E8B" w:rsidRDefault="00D56754" w:rsidP="005E6F8B">
      <w:pPr>
        <w:pStyle w:val="a6"/>
        <w:numPr>
          <w:ilvl w:val="0"/>
          <w:numId w:val="3"/>
        </w:numPr>
        <w:shd w:val="clear" w:color="auto" w:fill="FFFFFF"/>
        <w:spacing w:after="0" w:line="240" w:lineRule="auto"/>
        <w:ind w:left="426"/>
        <w:jc w:val="both"/>
        <w:rPr>
          <w:rFonts w:ascii="Times New Roman" w:hAnsi="Times New Roman"/>
          <w:sz w:val="20"/>
          <w:szCs w:val="20"/>
        </w:rPr>
      </w:pPr>
      <w:hyperlink r:id="rId16" w:history="1">
        <w:r w:rsidR="005E6F8B" w:rsidRPr="00F12E8B">
          <w:rPr>
            <w:rStyle w:val="a5"/>
            <w:rFonts w:ascii="Times New Roman" w:hAnsi="Times New Roman"/>
            <w:b w:val="0"/>
            <w:sz w:val="20"/>
            <w:szCs w:val="20"/>
          </w:rPr>
          <w:t>Horizontal merger</w:t>
        </w:r>
      </w:hyperlink>
      <w:r w:rsidR="005E6F8B" w:rsidRPr="00F12E8B">
        <w:rPr>
          <w:rFonts w:ascii="Times New Roman" w:hAnsi="Times New Roman"/>
          <w:sz w:val="20"/>
          <w:szCs w:val="20"/>
        </w:rPr>
        <w:t xml:space="preserve">: Two companies that are in direct competition and share the same product lines and </w:t>
      </w:r>
      <w:hyperlink r:id="rId17" w:history="1">
        <w:r w:rsidR="005E6F8B" w:rsidRPr="00F12E8B">
          <w:rPr>
            <w:rStyle w:val="-"/>
            <w:rFonts w:ascii="Times New Roman" w:hAnsi="Times New Roman"/>
            <w:color w:val="auto"/>
            <w:sz w:val="20"/>
            <w:szCs w:val="20"/>
            <w:u w:val="none"/>
          </w:rPr>
          <w:t>markets</w:t>
        </w:r>
      </w:hyperlink>
      <w:r w:rsidR="005E6F8B" w:rsidRPr="00F12E8B">
        <w:rPr>
          <w:rFonts w:ascii="Times New Roman" w:hAnsi="Times New Roman"/>
          <w:sz w:val="20"/>
          <w:szCs w:val="20"/>
        </w:rPr>
        <w:t>.</w:t>
      </w:r>
    </w:p>
    <w:p w:rsidR="005E6F8B" w:rsidRPr="00F12E8B" w:rsidRDefault="00D56754" w:rsidP="005E6F8B">
      <w:pPr>
        <w:pStyle w:val="a6"/>
        <w:numPr>
          <w:ilvl w:val="0"/>
          <w:numId w:val="3"/>
        </w:numPr>
        <w:shd w:val="clear" w:color="auto" w:fill="FFFFFF"/>
        <w:spacing w:after="0" w:line="240" w:lineRule="auto"/>
        <w:ind w:left="426"/>
        <w:jc w:val="both"/>
        <w:rPr>
          <w:rFonts w:ascii="Times New Roman" w:hAnsi="Times New Roman"/>
          <w:sz w:val="20"/>
          <w:szCs w:val="20"/>
        </w:rPr>
      </w:pPr>
      <w:hyperlink r:id="rId18" w:history="1">
        <w:r w:rsidR="005E6F8B" w:rsidRPr="00F12E8B">
          <w:rPr>
            <w:rStyle w:val="a5"/>
            <w:rFonts w:ascii="Times New Roman" w:hAnsi="Times New Roman"/>
            <w:b w:val="0"/>
            <w:sz w:val="20"/>
            <w:szCs w:val="20"/>
          </w:rPr>
          <w:t>Vertical merger</w:t>
        </w:r>
      </w:hyperlink>
      <w:r w:rsidR="005E6F8B" w:rsidRPr="00F12E8B">
        <w:rPr>
          <w:rFonts w:ascii="Times New Roman" w:hAnsi="Times New Roman"/>
          <w:sz w:val="20"/>
          <w:szCs w:val="20"/>
        </w:rPr>
        <w:t>: A customer and company or a supplier and company. Think of an ice cream maker merging with a cone supplier.</w:t>
      </w:r>
    </w:p>
    <w:p w:rsidR="005E6F8B" w:rsidRPr="00F12E8B" w:rsidRDefault="00D56754" w:rsidP="005E6F8B">
      <w:pPr>
        <w:pStyle w:val="a6"/>
        <w:numPr>
          <w:ilvl w:val="0"/>
          <w:numId w:val="3"/>
        </w:numPr>
        <w:shd w:val="clear" w:color="auto" w:fill="FFFFFF"/>
        <w:spacing w:after="0" w:line="240" w:lineRule="auto"/>
        <w:ind w:left="426"/>
        <w:jc w:val="both"/>
        <w:rPr>
          <w:rFonts w:ascii="Times New Roman" w:hAnsi="Times New Roman"/>
          <w:sz w:val="20"/>
          <w:szCs w:val="20"/>
        </w:rPr>
      </w:pPr>
      <w:hyperlink r:id="rId19" w:history="1">
        <w:r w:rsidR="005E6F8B" w:rsidRPr="00F12E8B">
          <w:rPr>
            <w:rStyle w:val="a5"/>
            <w:rFonts w:ascii="Times New Roman" w:hAnsi="Times New Roman"/>
            <w:b w:val="0"/>
            <w:sz w:val="20"/>
            <w:szCs w:val="20"/>
          </w:rPr>
          <w:t>Congeneric mergers</w:t>
        </w:r>
      </w:hyperlink>
      <w:r w:rsidR="005E6F8B" w:rsidRPr="00F12E8B">
        <w:rPr>
          <w:rFonts w:ascii="Times New Roman" w:hAnsi="Times New Roman"/>
          <w:sz w:val="20"/>
          <w:szCs w:val="20"/>
        </w:rPr>
        <w:t>: Two businesses that serve the same consumer base in different ways, such as a TV manufacturer and a cable company.</w:t>
      </w:r>
    </w:p>
    <w:p w:rsidR="005E6F8B" w:rsidRPr="00F12E8B" w:rsidRDefault="005E6F8B" w:rsidP="005E6F8B">
      <w:pPr>
        <w:pStyle w:val="a6"/>
        <w:numPr>
          <w:ilvl w:val="0"/>
          <w:numId w:val="3"/>
        </w:numPr>
        <w:shd w:val="clear" w:color="auto" w:fill="FFFFFF"/>
        <w:spacing w:after="0" w:line="240" w:lineRule="auto"/>
        <w:ind w:left="426"/>
        <w:jc w:val="both"/>
        <w:rPr>
          <w:rFonts w:ascii="Times New Roman" w:hAnsi="Times New Roman"/>
          <w:sz w:val="20"/>
          <w:szCs w:val="20"/>
        </w:rPr>
      </w:pPr>
      <w:r w:rsidRPr="00F12E8B">
        <w:rPr>
          <w:rStyle w:val="a5"/>
          <w:rFonts w:ascii="Times New Roman" w:hAnsi="Times New Roman"/>
          <w:b w:val="0"/>
          <w:sz w:val="20"/>
          <w:szCs w:val="20"/>
        </w:rPr>
        <w:t>Market-extension merger</w:t>
      </w:r>
      <w:r w:rsidRPr="00F12E8B">
        <w:rPr>
          <w:rFonts w:ascii="Times New Roman" w:hAnsi="Times New Roman"/>
          <w:sz w:val="20"/>
          <w:szCs w:val="20"/>
        </w:rPr>
        <w:t>: Two companies that sell the same products in different markets.</w:t>
      </w:r>
    </w:p>
    <w:p w:rsidR="005E6F8B" w:rsidRPr="00F12E8B" w:rsidRDefault="005E6F8B" w:rsidP="005E6F8B">
      <w:pPr>
        <w:pStyle w:val="a6"/>
        <w:numPr>
          <w:ilvl w:val="0"/>
          <w:numId w:val="3"/>
        </w:numPr>
        <w:shd w:val="clear" w:color="auto" w:fill="FFFFFF"/>
        <w:spacing w:after="0" w:line="240" w:lineRule="auto"/>
        <w:ind w:left="426"/>
        <w:jc w:val="both"/>
        <w:rPr>
          <w:rFonts w:ascii="Times New Roman" w:hAnsi="Times New Roman"/>
          <w:sz w:val="20"/>
          <w:szCs w:val="20"/>
        </w:rPr>
      </w:pPr>
      <w:r w:rsidRPr="00F12E8B">
        <w:rPr>
          <w:rStyle w:val="a5"/>
          <w:rFonts w:ascii="Times New Roman" w:hAnsi="Times New Roman"/>
          <w:b w:val="0"/>
          <w:sz w:val="20"/>
          <w:szCs w:val="20"/>
        </w:rPr>
        <w:t>Product-extension merger</w:t>
      </w:r>
      <w:r w:rsidRPr="00F12E8B">
        <w:rPr>
          <w:rFonts w:ascii="Times New Roman" w:hAnsi="Times New Roman"/>
          <w:sz w:val="20"/>
          <w:szCs w:val="20"/>
        </w:rPr>
        <w:t>: Two companies selling different but related products in the same market.</w:t>
      </w:r>
    </w:p>
    <w:p w:rsidR="005E6F8B" w:rsidRPr="00F12E8B" w:rsidRDefault="00D56754" w:rsidP="005E6F8B">
      <w:pPr>
        <w:pStyle w:val="a6"/>
        <w:numPr>
          <w:ilvl w:val="0"/>
          <w:numId w:val="3"/>
        </w:numPr>
        <w:shd w:val="clear" w:color="auto" w:fill="FFFFFF"/>
        <w:spacing w:after="0" w:line="240" w:lineRule="auto"/>
        <w:ind w:left="426"/>
        <w:jc w:val="both"/>
        <w:rPr>
          <w:rFonts w:ascii="Times New Roman" w:hAnsi="Times New Roman"/>
          <w:sz w:val="20"/>
          <w:szCs w:val="20"/>
        </w:rPr>
      </w:pPr>
      <w:hyperlink r:id="rId20" w:history="1">
        <w:r w:rsidR="005E6F8B" w:rsidRPr="00F12E8B">
          <w:rPr>
            <w:rStyle w:val="a5"/>
            <w:rFonts w:ascii="Times New Roman" w:hAnsi="Times New Roman"/>
            <w:b w:val="0"/>
            <w:sz w:val="20"/>
            <w:szCs w:val="20"/>
          </w:rPr>
          <w:t>Conglomeration</w:t>
        </w:r>
      </w:hyperlink>
      <w:r w:rsidR="005E6F8B" w:rsidRPr="00F12E8B">
        <w:rPr>
          <w:rFonts w:ascii="Times New Roman" w:hAnsi="Times New Roman"/>
          <w:sz w:val="20"/>
          <w:szCs w:val="20"/>
        </w:rPr>
        <w:t>:</w:t>
      </w:r>
      <w:r w:rsidR="005E6F8B" w:rsidRPr="00F12E8B">
        <w:rPr>
          <w:rStyle w:val="a5"/>
          <w:rFonts w:ascii="Times New Roman" w:hAnsi="Times New Roman"/>
          <w:b w:val="0"/>
          <w:sz w:val="20"/>
          <w:szCs w:val="20"/>
        </w:rPr>
        <w:t xml:space="preserve"> </w:t>
      </w:r>
      <w:r w:rsidR="005E6F8B" w:rsidRPr="00F12E8B">
        <w:rPr>
          <w:rFonts w:ascii="Times New Roman" w:hAnsi="Times New Roman"/>
          <w:sz w:val="20"/>
          <w:szCs w:val="20"/>
        </w:rPr>
        <w:t>Two companies that have no common business areas.</w:t>
      </w:r>
    </w:p>
    <w:p w:rsidR="005E6F8B" w:rsidRPr="00F12E8B" w:rsidRDefault="005E6F8B" w:rsidP="005E6F8B">
      <w:pPr>
        <w:pStyle w:val="comp"/>
        <w:shd w:val="clear" w:color="auto" w:fill="FFFFFF"/>
        <w:spacing w:before="0" w:beforeAutospacing="0" w:after="0" w:afterAutospacing="0"/>
        <w:jc w:val="both"/>
        <w:rPr>
          <w:sz w:val="20"/>
          <w:szCs w:val="20"/>
          <w:lang w:val="en-US"/>
        </w:rPr>
      </w:pPr>
      <w:r w:rsidRPr="00F12E8B">
        <w:rPr>
          <w:sz w:val="20"/>
          <w:szCs w:val="20"/>
          <w:lang w:val="en-US"/>
        </w:rPr>
        <w:t xml:space="preserve">Mergers may also be distinguished by following two financing methods, each with its own ramifications for investors. </w:t>
      </w:r>
      <w:r w:rsidRPr="00F12E8B">
        <w:rPr>
          <w:color w:val="111111"/>
          <w:sz w:val="20"/>
          <w:szCs w:val="20"/>
          <w:shd w:val="clear" w:color="auto" w:fill="FFFFFF"/>
          <w:lang w:val="en-US"/>
        </w:rPr>
        <w:t>With this merger, a brand new company is formed, and both companies are bought and combined under the new entity. The tax terms are the same as those of a purchase merger.</w:t>
      </w:r>
    </w:p>
    <w:p w:rsidR="00D04F14" w:rsidRPr="00F12E8B" w:rsidRDefault="00FC3D2C" w:rsidP="00554446">
      <w:pPr>
        <w:spacing w:after="0" w:line="240" w:lineRule="auto"/>
        <w:jc w:val="both"/>
        <w:rPr>
          <w:rFonts w:ascii="Times New Roman" w:hAnsi="Times New Roman"/>
          <w:sz w:val="20"/>
          <w:szCs w:val="20"/>
        </w:rPr>
      </w:pPr>
      <w:r w:rsidRPr="00F12E8B">
        <w:rPr>
          <w:rFonts w:ascii="Times New Roman" w:hAnsi="Times New Roman"/>
          <w:sz w:val="20"/>
          <w:szCs w:val="20"/>
        </w:rPr>
        <w:tab/>
      </w:r>
      <w:r w:rsidR="003A021E" w:rsidRPr="00F12E8B">
        <w:rPr>
          <w:rFonts w:ascii="Times New Roman" w:hAnsi="Times New Roman"/>
          <w:sz w:val="20"/>
          <w:szCs w:val="20"/>
        </w:rPr>
        <w:t xml:space="preserve">According to Bower (2001) there are five </w:t>
      </w:r>
      <w:r w:rsidR="00B12D4F" w:rsidRPr="00F12E8B">
        <w:rPr>
          <w:rFonts w:ascii="Times New Roman" w:hAnsi="Times New Roman"/>
          <w:sz w:val="20"/>
          <w:szCs w:val="20"/>
        </w:rPr>
        <w:t xml:space="preserve">main </w:t>
      </w:r>
      <w:r w:rsidR="003A021E" w:rsidRPr="00F12E8B">
        <w:rPr>
          <w:rFonts w:ascii="Times New Roman" w:hAnsi="Times New Roman"/>
          <w:sz w:val="20"/>
          <w:szCs w:val="20"/>
        </w:rPr>
        <w:t>motiv</w:t>
      </w:r>
      <w:r w:rsidR="00B12D4F" w:rsidRPr="00F12E8B">
        <w:rPr>
          <w:rFonts w:ascii="Times New Roman" w:hAnsi="Times New Roman"/>
          <w:sz w:val="20"/>
          <w:szCs w:val="20"/>
        </w:rPr>
        <w:t>es</w:t>
      </w:r>
      <w:r w:rsidR="003A021E" w:rsidRPr="00F12E8B">
        <w:rPr>
          <w:rFonts w:ascii="Times New Roman" w:hAnsi="Times New Roman"/>
          <w:sz w:val="20"/>
          <w:szCs w:val="20"/>
        </w:rPr>
        <w:t xml:space="preserve"> for </w:t>
      </w:r>
      <w:r w:rsidR="00E964A6" w:rsidRPr="00F12E8B">
        <w:rPr>
          <w:rFonts w:ascii="Times New Roman" w:hAnsi="Times New Roman"/>
          <w:sz w:val="20"/>
          <w:szCs w:val="20"/>
        </w:rPr>
        <w:t>mergers and acquisitions</w:t>
      </w:r>
      <w:r w:rsidR="003A021E" w:rsidRPr="00F12E8B">
        <w:rPr>
          <w:rFonts w:ascii="Times New Roman" w:hAnsi="Times New Roman"/>
          <w:sz w:val="20"/>
          <w:szCs w:val="20"/>
        </w:rPr>
        <w:t>: a) limiting the number of competitors, b) geographical expansion, c) expansion in product lines and international presence, d) acquisition of know-how instead of internal development and e) consolidation competitive position in a growing market.</w:t>
      </w:r>
    </w:p>
    <w:p w:rsidR="005E6F8B" w:rsidRPr="00F12E8B" w:rsidRDefault="00FC3D2C" w:rsidP="00554446">
      <w:pPr>
        <w:spacing w:after="0" w:line="240" w:lineRule="auto"/>
        <w:jc w:val="both"/>
        <w:rPr>
          <w:rFonts w:ascii="Times New Roman" w:hAnsi="Times New Roman"/>
          <w:sz w:val="20"/>
          <w:szCs w:val="20"/>
        </w:rPr>
      </w:pPr>
      <w:r w:rsidRPr="00F12E8B">
        <w:rPr>
          <w:rFonts w:ascii="Times New Roman" w:hAnsi="Times New Roman"/>
          <w:sz w:val="20"/>
          <w:szCs w:val="20"/>
        </w:rPr>
        <w:tab/>
      </w:r>
      <w:r w:rsidR="00996E50" w:rsidRPr="00F12E8B">
        <w:rPr>
          <w:rFonts w:ascii="Times New Roman" w:hAnsi="Times New Roman"/>
          <w:sz w:val="20"/>
          <w:szCs w:val="20"/>
        </w:rPr>
        <w:t>The success or failure of a merger or acquisition deal depends on a multitude of factors that are influenced by both the internal and external environment. Success of such an agreement is the expected outcome, however there is always the possibility of failure. An important factor in avoiding a failed agreement is the careful planning of the moves that are followed and the precise application of the factors that will be analyzed below (Papadakis, B., 2002).</w:t>
      </w:r>
    </w:p>
    <w:p w:rsidR="007F12E7" w:rsidRPr="00F12E8B" w:rsidRDefault="00FC3D2C" w:rsidP="00554446">
      <w:pPr>
        <w:spacing w:after="0" w:line="240" w:lineRule="auto"/>
        <w:jc w:val="both"/>
        <w:rPr>
          <w:rFonts w:ascii="Times New Roman" w:hAnsi="Times New Roman"/>
          <w:sz w:val="20"/>
          <w:szCs w:val="20"/>
        </w:rPr>
      </w:pPr>
      <w:r w:rsidRPr="00F12E8B">
        <w:rPr>
          <w:rFonts w:ascii="Times New Roman" w:hAnsi="Times New Roman"/>
          <w:sz w:val="20"/>
          <w:szCs w:val="20"/>
        </w:rPr>
        <w:tab/>
      </w:r>
      <w:r w:rsidR="007F12E7" w:rsidRPr="00F12E8B">
        <w:rPr>
          <w:rFonts w:ascii="Times New Roman" w:hAnsi="Times New Roman"/>
          <w:sz w:val="20"/>
          <w:szCs w:val="20"/>
        </w:rPr>
        <w:t xml:space="preserve">Information related to cash flow helps financial statement users receive the relevant information concerning the use and source of financial resources over a given time period (Rose et al., 2007). Cash flow statement contains information associated with operating, investing purposes of financial analysis, because the effect of the traditional ratio analysis techniques has been well established in literature, and financial activities (Macve, </w:t>
      </w:r>
      <w:r w:rsidR="00A45A44" w:rsidRPr="00F12E8B">
        <w:rPr>
          <w:rFonts w:ascii="Times New Roman" w:hAnsi="Times New Roman"/>
          <w:sz w:val="20"/>
          <w:szCs w:val="20"/>
        </w:rPr>
        <w:t>2000</w:t>
      </w:r>
      <w:r w:rsidR="007F12E7" w:rsidRPr="00F12E8B">
        <w:rPr>
          <w:rFonts w:ascii="Times New Roman" w:hAnsi="Times New Roman"/>
          <w:sz w:val="20"/>
          <w:szCs w:val="20"/>
        </w:rPr>
        <w:t>).</w:t>
      </w:r>
    </w:p>
    <w:p w:rsidR="007F12E7" w:rsidRPr="00F12E8B" w:rsidRDefault="00FC3D2C" w:rsidP="00554446">
      <w:pPr>
        <w:spacing w:after="0" w:line="240" w:lineRule="auto"/>
        <w:jc w:val="both"/>
        <w:rPr>
          <w:rFonts w:ascii="Times New Roman" w:hAnsi="Times New Roman"/>
          <w:sz w:val="20"/>
          <w:szCs w:val="20"/>
        </w:rPr>
      </w:pPr>
      <w:r w:rsidRPr="00F12E8B">
        <w:rPr>
          <w:rFonts w:ascii="Times New Roman" w:hAnsi="Times New Roman"/>
          <w:sz w:val="20"/>
          <w:szCs w:val="20"/>
        </w:rPr>
        <w:tab/>
      </w:r>
      <w:r w:rsidR="007F12E7" w:rsidRPr="00F12E8B">
        <w:rPr>
          <w:rFonts w:ascii="Times New Roman" w:hAnsi="Times New Roman"/>
          <w:sz w:val="20"/>
          <w:szCs w:val="20"/>
        </w:rPr>
        <w:t xml:space="preserve">Cash flow-based ratios are especially surprising. This is because they not only play a significant role in the credit rating of evaluation, but also forecast the failure of a corporation. However, this does not indicate that traditional ratios are no longer relevant. Traditional ratios, if anything, help to reveal significant associations and trends that may not be obvious on an assessment of individual figures that appear in the books of account (Macve, </w:t>
      </w:r>
      <w:r w:rsidR="006C77F9" w:rsidRPr="00F12E8B">
        <w:rPr>
          <w:rFonts w:ascii="Times New Roman" w:hAnsi="Times New Roman"/>
          <w:sz w:val="20"/>
          <w:szCs w:val="20"/>
        </w:rPr>
        <w:t>2000</w:t>
      </w:r>
      <w:r w:rsidR="007F12E7" w:rsidRPr="00F12E8B">
        <w:rPr>
          <w:rFonts w:ascii="Times New Roman" w:hAnsi="Times New Roman"/>
          <w:sz w:val="20"/>
          <w:szCs w:val="20"/>
        </w:rPr>
        <w:t xml:space="preserve">). </w:t>
      </w:r>
    </w:p>
    <w:p w:rsidR="007F12E7" w:rsidRPr="00F12E8B" w:rsidRDefault="00FC3D2C" w:rsidP="00554446">
      <w:pPr>
        <w:spacing w:after="0" w:line="240" w:lineRule="auto"/>
        <w:jc w:val="both"/>
        <w:rPr>
          <w:rFonts w:ascii="Times New Roman" w:hAnsi="Times New Roman"/>
          <w:sz w:val="20"/>
          <w:szCs w:val="20"/>
        </w:rPr>
      </w:pPr>
      <w:r w:rsidRPr="00F12E8B">
        <w:rPr>
          <w:rFonts w:ascii="Times New Roman" w:hAnsi="Times New Roman"/>
          <w:sz w:val="20"/>
          <w:szCs w:val="20"/>
        </w:rPr>
        <w:tab/>
      </w:r>
      <w:r w:rsidR="007F12E7" w:rsidRPr="00F12E8B">
        <w:rPr>
          <w:rFonts w:ascii="Times New Roman" w:hAnsi="Times New Roman"/>
          <w:sz w:val="20"/>
          <w:szCs w:val="20"/>
        </w:rPr>
        <w:t>Nevertheless, because cash flow ratios are endowed with at least a single factual element (the denominator, numerator, or even both), their lack in importance, from accounting literature, may be regarded as quite puzzling (Somnath Das 2018).</w:t>
      </w:r>
    </w:p>
    <w:p w:rsidR="005E6F8B" w:rsidRPr="00F12E8B" w:rsidRDefault="00FC3D2C" w:rsidP="00554446">
      <w:pPr>
        <w:spacing w:after="0" w:line="240" w:lineRule="auto"/>
        <w:jc w:val="both"/>
        <w:rPr>
          <w:rFonts w:ascii="Times New Roman" w:hAnsi="Times New Roman"/>
          <w:sz w:val="20"/>
          <w:szCs w:val="20"/>
        </w:rPr>
      </w:pPr>
      <w:r w:rsidRPr="00F12E8B">
        <w:rPr>
          <w:rFonts w:ascii="Times New Roman" w:hAnsi="Times New Roman"/>
          <w:sz w:val="20"/>
          <w:szCs w:val="20"/>
        </w:rPr>
        <w:tab/>
      </w:r>
      <w:r w:rsidR="007906C0" w:rsidRPr="00F12E8B">
        <w:rPr>
          <w:rFonts w:ascii="Times New Roman" w:hAnsi="Times New Roman"/>
          <w:sz w:val="20"/>
          <w:szCs w:val="20"/>
        </w:rPr>
        <w:t>Cash is the only post the most important in the balance sheet, since it applies as a medium of exchange in our economy. Cash also become so important because companies must maintain adequate liquidity, that is, they must have sufficient money to pay its obligations at maturity so that the continuity of the company can continue to operate</w:t>
      </w:r>
      <w:r w:rsidR="003D5CF3" w:rsidRPr="00F12E8B">
        <w:rPr>
          <w:rFonts w:ascii="Times New Roman" w:hAnsi="Times New Roman"/>
          <w:sz w:val="20"/>
          <w:szCs w:val="20"/>
        </w:rPr>
        <w:t xml:space="preserve"> (Lufriansyah 2019).</w:t>
      </w:r>
    </w:p>
    <w:p w:rsidR="005F258F" w:rsidRPr="00F12E8B" w:rsidRDefault="001B19F0" w:rsidP="000A10C0">
      <w:pPr>
        <w:autoSpaceDE w:val="0"/>
        <w:autoSpaceDN w:val="0"/>
        <w:adjustRightInd w:val="0"/>
        <w:spacing w:after="0" w:line="240" w:lineRule="auto"/>
        <w:jc w:val="both"/>
        <w:rPr>
          <w:rFonts w:ascii="Times New Roman" w:hAnsi="Times New Roman"/>
          <w:sz w:val="20"/>
          <w:szCs w:val="20"/>
        </w:rPr>
      </w:pPr>
      <w:r w:rsidRPr="00F12E8B">
        <w:rPr>
          <w:rFonts w:ascii="Times New Roman" w:hAnsi="Times New Roman"/>
          <w:sz w:val="20"/>
          <w:szCs w:val="20"/>
        </w:rPr>
        <w:tab/>
      </w:r>
      <w:r w:rsidR="005F258F" w:rsidRPr="00F12E8B">
        <w:rPr>
          <w:rFonts w:ascii="Times New Roman" w:hAnsi="Times New Roman"/>
          <w:sz w:val="20"/>
          <w:szCs w:val="20"/>
        </w:rPr>
        <w:t>Hutauruk (2020), carried out a study for the purpose of determining the impact of difference in accounting and fiscal profit, and operating cash flows, on e</w:t>
      </w:r>
      <w:r w:rsidR="00306A0F" w:rsidRPr="00F12E8B">
        <w:rPr>
          <w:rFonts w:ascii="Times New Roman" w:hAnsi="Times New Roman"/>
          <w:sz w:val="20"/>
          <w:szCs w:val="20"/>
        </w:rPr>
        <w:t>a</w:t>
      </w:r>
      <w:r w:rsidR="005F258F" w:rsidRPr="00F12E8B">
        <w:rPr>
          <w:rFonts w:ascii="Times New Roman" w:hAnsi="Times New Roman"/>
          <w:sz w:val="20"/>
          <w:szCs w:val="20"/>
        </w:rPr>
        <w:t>rnings persistence, using levels of liabilities as control variable.</w:t>
      </w:r>
      <w:r w:rsidRPr="00F12E8B">
        <w:rPr>
          <w:rFonts w:ascii="Times New Roman" w:hAnsi="Times New Roman"/>
          <w:sz w:val="20"/>
          <w:szCs w:val="20"/>
        </w:rPr>
        <w:t xml:space="preserve"> </w:t>
      </w:r>
      <w:r w:rsidR="005F258F" w:rsidRPr="00F12E8B">
        <w:rPr>
          <w:rFonts w:ascii="Times New Roman" w:hAnsi="Times New Roman"/>
          <w:sz w:val="20"/>
          <w:szCs w:val="20"/>
        </w:rPr>
        <w:t>Hayati, et al (2021), studied the effect of debt level, operating cash flows, sales vol</w:t>
      </w:r>
      <w:r w:rsidR="00306A0F" w:rsidRPr="00F12E8B">
        <w:rPr>
          <w:rFonts w:ascii="Times New Roman" w:hAnsi="Times New Roman"/>
          <w:sz w:val="20"/>
          <w:szCs w:val="20"/>
        </w:rPr>
        <w:t>a</w:t>
      </w:r>
      <w:r w:rsidR="005F258F" w:rsidRPr="00F12E8B">
        <w:rPr>
          <w:rFonts w:ascii="Times New Roman" w:hAnsi="Times New Roman"/>
          <w:sz w:val="20"/>
          <w:szCs w:val="20"/>
        </w:rPr>
        <w:t>t</w:t>
      </w:r>
      <w:r w:rsidR="00306A0F" w:rsidRPr="00F12E8B">
        <w:rPr>
          <w:rFonts w:ascii="Times New Roman" w:hAnsi="Times New Roman"/>
          <w:sz w:val="20"/>
          <w:szCs w:val="20"/>
        </w:rPr>
        <w:t>i</w:t>
      </w:r>
      <w:r w:rsidR="005F258F" w:rsidRPr="00F12E8B">
        <w:rPr>
          <w:rFonts w:ascii="Times New Roman" w:hAnsi="Times New Roman"/>
          <w:sz w:val="20"/>
          <w:szCs w:val="20"/>
        </w:rPr>
        <w:t>lity, and managerial ownership on earnings persistence of the real state listed firms at Indonesian Stock Exchange.</w:t>
      </w:r>
      <w:r w:rsidRPr="00F12E8B">
        <w:rPr>
          <w:rFonts w:ascii="Times New Roman" w:hAnsi="Times New Roman"/>
          <w:sz w:val="20"/>
          <w:szCs w:val="20"/>
        </w:rPr>
        <w:t xml:space="preserve"> </w:t>
      </w:r>
      <w:r w:rsidR="005F258F" w:rsidRPr="00F12E8B">
        <w:rPr>
          <w:rFonts w:ascii="Times New Roman" w:hAnsi="Times New Roman"/>
          <w:sz w:val="20"/>
          <w:szCs w:val="20"/>
        </w:rPr>
        <w:t>Ahmed and Abu Saleem (2020) intended to explore whether cash flow affects the quality of profits of listed hoteling firms at ASE.</w:t>
      </w:r>
      <w:r w:rsidRPr="00F12E8B">
        <w:rPr>
          <w:rFonts w:ascii="Times New Roman" w:hAnsi="Times New Roman"/>
          <w:sz w:val="20"/>
          <w:szCs w:val="20"/>
        </w:rPr>
        <w:t xml:space="preserve"> </w:t>
      </w:r>
      <w:r w:rsidR="005F258F" w:rsidRPr="00F12E8B">
        <w:rPr>
          <w:rFonts w:ascii="Times New Roman" w:hAnsi="Times New Roman"/>
          <w:sz w:val="20"/>
          <w:szCs w:val="20"/>
        </w:rPr>
        <w:t>Abdul Rahman (2017) analyzed the relationship between solvency and profitability ratios.</w:t>
      </w:r>
      <w:r w:rsidRPr="00F12E8B">
        <w:rPr>
          <w:rFonts w:ascii="Times New Roman" w:hAnsi="Times New Roman"/>
          <w:sz w:val="20"/>
          <w:szCs w:val="20"/>
        </w:rPr>
        <w:t xml:space="preserve"> Tareq Mohammad Almomani , Mohammad Abdullah Almomani , Mohammed Ibrahim Sultan Obeidat (2023) found that the most important conclusion is that each of liquidity, solvency, and cash flows from operations, has a positive impact on earnings persistence of the listed manufacturing firms at ASE. </w:t>
      </w:r>
      <w:r w:rsidRPr="00F12E8B">
        <w:rPr>
          <w:rFonts w:ascii="Times New Roman" w:eastAsiaTheme="minorHAnsi" w:hAnsi="Times New Roman"/>
          <w:sz w:val="20"/>
          <w:szCs w:val="20"/>
        </w:rPr>
        <w:t xml:space="preserve">Catanach (2000) showed that all bankrupt firms have problems in the cash flow information, which is reflected in the cash flow indexes </w:t>
      </w:r>
      <w:r w:rsidRPr="00F12E8B">
        <w:rPr>
          <w:rFonts w:ascii="Times New Roman" w:eastAsiaTheme="minorHAnsi" w:hAnsi="Times New Roman"/>
          <w:sz w:val="20"/>
          <w:szCs w:val="20"/>
        </w:rPr>
        <w:lastRenderedPageBreak/>
        <w:t>calculated through the cash flow statements.</w:t>
      </w:r>
      <w:r w:rsidR="000A10C0" w:rsidRPr="00F12E8B">
        <w:rPr>
          <w:rFonts w:ascii="Times New Roman" w:eastAsiaTheme="minorHAnsi" w:hAnsi="Times New Roman"/>
          <w:sz w:val="20"/>
          <w:szCs w:val="20"/>
        </w:rPr>
        <w:t xml:space="preserve"> The study of Nguyen, Nguyen &amp; Nguyen, (2019 &amp; 2020) provides a model to predict the bankruptcy of firms based on information from cash flow statements and the said that the cash flow statement and other information may distinguish healthy firms and firms in financial crisis, where information of operating cash flows is the most important indicator of business failure. Firms with a negative operating cash flows is a warning of financial crisis in the following one or two years. In addition to cash flow from operating activities, there are a number of studies on cash flow from investment and financial activities related to predicting the financial situation of firms.. </w:t>
      </w:r>
    </w:p>
    <w:p w:rsidR="005E6F8B" w:rsidRPr="00F12E8B" w:rsidRDefault="00B11FD0" w:rsidP="00554446">
      <w:pPr>
        <w:spacing w:after="0" w:line="240" w:lineRule="auto"/>
        <w:jc w:val="both"/>
        <w:rPr>
          <w:rFonts w:ascii="Times New Roman" w:hAnsi="Times New Roman"/>
          <w:b/>
          <w:sz w:val="20"/>
          <w:szCs w:val="20"/>
        </w:rPr>
      </w:pPr>
      <w:r w:rsidRPr="00F12E8B">
        <w:rPr>
          <w:rFonts w:ascii="Times New Roman" w:hAnsi="Times New Roman"/>
          <w:b/>
          <w:sz w:val="20"/>
          <w:szCs w:val="20"/>
        </w:rPr>
        <w:t>3. Methodology</w:t>
      </w:r>
    </w:p>
    <w:p w:rsidR="00C512DE" w:rsidRPr="00F12E8B" w:rsidRDefault="00485328" w:rsidP="00C512DE">
      <w:pPr>
        <w:spacing w:after="0" w:line="240" w:lineRule="auto"/>
        <w:jc w:val="both"/>
        <w:rPr>
          <w:rFonts w:ascii="Times New Roman" w:hAnsi="Times New Roman"/>
          <w:sz w:val="20"/>
          <w:szCs w:val="20"/>
        </w:rPr>
      </w:pPr>
      <w:r w:rsidRPr="00F12E8B">
        <w:rPr>
          <w:rFonts w:ascii="Times New Roman" w:hAnsi="Times New Roman"/>
          <w:sz w:val="20"/>
          <w:szCs w:val="20"/>
        </w:rPr>
        <w:tab/>
      </w:r>
      <w:r w:rsidR="00DB3359" w:rsidRPr="00F12E8B">
        <w:rPr>
          <w:rFonts w:ascii="Times New Roman" w:hAnsi="Times New Roman"/>
          <w:sz w:val="20"/>
          <w:szCs w:val="20"/>
        </w:rPr>
        <w:t xml:space="preserve">Our study </w:t>
      </w:r>
      <w:r w:rsidR="00F87DDF" w:rsidRPr="00F12E8B">
        <w:rPr>
          <w:rFonts w:ascii="Times New Roman" w:hAnsi="Times New Roman"/>
          <w:sz w:val="20"/>
          <w:szCs w:val="20"/>
        </w:rPr>
        <w:t xml:space="preserve">is </w:t>
      </w:r>
      <w:r w:rsidR="00DB3359" w:rsidRPr="00F12E8B">
        <w:rPr>
          <w:rFonts w:ascii="Times New Roman" w:hAnsi="Times New Roman"/>
          <w:sz w:val="20"/>
          <w:szCs w:val="20"/>
        </w:rPr>
        <w:t xml:space="preserve">based in the relevant International Financial Reporting Standards 3 and 7 that analyze mergers and acquisitions. </w:t>
      </w:r>
      <w:r w:rsidR="00C512DE" w:rsidRPr="00F12E8B">
        <w:rPr>
          <w:rFonts w:ascii="Times New Roman" w:hAnsi="Times New Roman"/>
          <w:sz w:val="20"/>
          <w:szCs w:val="20"/>
        </w:rPr>
        <w:t>The reason that we calculate financial ratios extracting from cash flow statements is that they</w:t>
      </w:r>
      <w:r w:rsidR="0046506F" w:rsidRPr="00F12E8B">
        <w:rPr>
          <w:rFonts w:ascii="Times New Roman" w:hAnsi="Times New Roman"/>
          <w:sz w:val="20"/>
          <w:szCs w:val="20"/>
        </w:rPr>
        <w:t xml:space="preserve"> are</w:t>
      </w:r>
      <w:r w:rsidR="00C512DE" w:rsidRPr="00F12E8B">
        <w:rPr>
          <w:rFonts w:ascii="Times New Roman" w:hAnsi="Times New Roman"/>
          <w:sz w:val="20"/>
          <w:szCs w:val="20"/>
        </w:rPr>
        <w:t xml:space="preserve"> more accurate than the financial ratios extracting from balance sheet and financial results of use. The financial ratios from a cash flow statement shows the real cash and profit of a firm or bank. The financial ratios from a balance sheet and financial results of use shows only the accounting cash and profit of a firm or bank. So the data for all the calculations extract from the cash flow statements three years before the acquisition for the two banks, bidder and target, which they took place in our study and three years after the acquisitions only for the bidder. </w:t>
      </w:r>
    </w:p>
    <w:p w:rsidR="000159EF" w:rsidRPr="00F12E8B" w:rsidRDefault="00FC3D2C" w:rsidP="00554446">
      <w:pPr>
        <w:spacing w:after="0" w:line="240" w:lineRule="auto"/>
        <w:jc w:val="both"/>
        <w:rPr>
          <w:rFonts w:ascii="Times New Roman" w:hAnsi="Times New Roman"/>
          <w:sz w:val="20"/>
          <w:szCs w:val="20"/>
        </w:rPr>
      </w:pPr>
      <w:r w:rsidRPr="00F12E8B">
        <w:rPr>
          <w:rFonts w:ascii="Times New Roman" w:hAnsi="Times New Roman"/>
          <w:spacing w:val="3"/>
          <w:sz w:val="20"/>
          <w:szCs w:val="20"/>
          <w:shd w:val="clear" w:color="auto" w:fill="FFFFFF"/>
        </w:rPr>
        <w:tab/>
      </w:r>
      <w:r w:rsidR="000159EF" w:rsidRPr="00F12E8B">
        <w:rPr>
          <w:rFonts w:ascii="Times New Roman" w:hAnsi="Times New Roman"/>
          <w:spacing w:val="3"/>
          <w:sz w:val="20"/>
          <w:szCs w:val="20"/>
          <w:shd w:val="clear" w:color="auto" w:fill="FFFFFF"/>
        </w:rPr>
        <w:t xml:space="preserve">Cash </w:t>
      </w:r>
      <w:r w:rsidR="004D281B" w:rsidRPr="00F12E8B">
        <w:rPr>
          <w:rFonts w:ascii="Times New Roman" w:hAnsi="Times New Roman"/>
          <w:spacing w:val="3"/>
          <w:sz w:val="20"/>
          <w:szCs w:val="20"/>
          <w:shd w:val="clear" w:color="auto" w:fill="FFFFFF"/>
        </w:rPr>
        <w:t>f</w:t>
      </w:r>
      <w:r w:rsidR="000159EF" w:rsidRPr="00F12E8B">
        <w:rPr>
          <w:rFonts w:ascii="Times New Roman" w:hAnsi="Times New Roman"/>
          <w:spacing w:val="3"/>
          <w:sz w:val="20"/>
          <w:szCs w:val="20"/>
          <w:shd w:val="clear" w:color="auto" w:fill="FFFFFF"/>
        </w:rPr>
        <w:t xml:space="preserve">low </w:t>
      </w:r>
      <w:r w:rsidR="004D281B" w:rsidRPr="00F12E8B">
        <w:rPr>
          <w:rFonts w:ascii="Times New Roman" w:hAnsi="Times New Roman"/>
          <w:spacing w:val="3"/>
          <w:sz w:val="20"/>
          <w:szCs w:val="20"/>
          <w:shd w:val="clear" w:color="auto" w:fill="FFFFFF"/>
        </w:rPr>
        <w:t>r</w:t>
      </w:r>
      <w:r w:rsidR="000159EF" w:rsidRPr="00F12E8B">
        <w:rPr>
          <w:rFonts w:ascii="Times New Roman" w:hAnsi="Times New Roman"/>
          <w:spacing w:val="3"/>
          <w:sz w:val="20"/>
          <w:szCs w:val="20"/>
          <w:shd w:val="clear" w:color="auto" w:fill="FFFFFF"/>
        </w:rPr>
        <w:t xml:space="preserve">atios compare </w:t>
      </w:r>
      <w:hyperlink r:id="rId21" w:history="1">
        <w:r w:rsidR="000159EF" w:rsidRPr="00F12E8B">
          <w:rPr>
            <w:rStyle w:val="-"/>
            <w:rFonts w:ascii="Times New Roman" w:hAnsi="Times New Roman"/>
            <w:color w:val="auto"/>
            <w:spacing w:val="3"/>
            <w:sz w:val="20"/>
            <w:szCs w:val="20"/>
            <w:u w:val="none"/>
            <w:shd w:val="clear" w:color="auto" w:fill="FFFFFF"/>
          </w:rPr>
          <w:t>cash flows</w:t>
        </w:r>
      </w:hyperlink>
      <w:r w:rsidR="000159EF" w:rsidRPr="00F12E8B">
        <w:rPr>
          <w:rFonts w:ascii="Times New Roman" w:hAnsi="Times New Roman"/>
          <w:spacing w:val="3"/>
          <w:sz w:val="20"/>
          <w:szCs w:val="20"/>
          <w:shd w:val="clear" w:color="auto" w:fill="FFFFFF"/>
        </w:rPr>
        <w:t xml:space="preserve"> to other elements of an entity’s </w:t>
      </w:r>
      <w:hyperlink r:id="rId22" w:history="1">
        <w:r w:rsidR="000159EF" w:rsidRPr="00F12E8B">
          <w:rPr>
            <w:rStyle w:val="-"/>
            <w:rFonts w:ascii="Times New Roman" w:hAnsi="Times New Roman"/>
            <w:color w:val="auto"/>
            <w:spacing w:val="3"/>
            <w:sz w:val="20"/>
            <w:szCs w:val="20"/>
            <w:u w:val="none"/>
            <w:shd w:val="clear" w:color="auto" w:fill="FFFFFF"/>
          </w:rPr>
          <w:t>financial statements</w:t>
        </w:r>
      </w:hyperlink>
      <w:r w:rsidR="000159EF" w:rsidRPr="00F12E8B">
        <w:rPr>
          <w:rFonts w:ascii="Times New Roman" w:hAnsi="Times New Roman"/>
          <w:spacing w:val="3"/>
          <w:sz w:val="20"/>
          <w:szCs w:val="20"/>
          <w:shd w:val="clear" w:color="auto" w:fill="FFFFFF"/>
        </w:rPr>
        <w:t xml:space="preserve">. A higher level of cash flow indicates a better ability to withstand declines in operating performance, as well as a better ability to pay </w:t>
      </w:r>
      <w:hyperlink r:id="rId23" w:history="1">
        <w:r w:rsidR="000159EF" w:rsidRPr="00F12E8B">
          <w:rPr>
            <w:rStyle w:val="-"/>
            <w:rFonts w:ascii="Times New Roman" w:hAnsi="Times New Roman"/>
            <w:color w:val="auto"/>
            <w:spacing w:val="3"/>
            <w:sz w:val="20"/>
            <w:szCs w:val="20"/>
            <w:u w:val="none"/>
            <w:shd w:val="clear" w:color="auto" w:fill="FFFFFF"/>
          </w:rPr>
          <w:t>dividends</w:t>
        </w:r>
      </w:hyperlink>
      <w:r w:rsidR="000159EF" w:rsidRPr="00F12E8B">
        <w:rPr>
          <w:rFonts w:ascii="Times New Roman" w:hAnsi="Times New Roman"/>
          <w:spacing w:val="3"/>
          <w:sz w:val="20"/>
          <w:szCs w:val="20"/>
          <w:shd w:val="clear" w:color="auto" w:fill="FFFFFF"/>
        </w:rPr>
        <w:t xml:space="preserve"> to </w:t>
      </w:r>
      <w:hyperlink r:id="rId24" w:history="1">
        <w:r w:rsidR="000159EF" w:rsidRPr="00F12E8B">
          <w:rPr>
            <w:rStyle w:val="-"/>
            <w:rFonts w:ascii="Times New Roman" w:hAnsi="Times New Roman"/>
            <w:color w:val="auto"/>
            <w:spacing w:val="3"/>
            <w:sz w:val="20"/>
            <w:szCs w:val="20"/>
            <w:u w:val="none"/>
            <w:shd w:val="clear" w:color="auto" w:fill="FFFFFF"/>
          </w:rPr>
          <w:t>investors</w:t>
        </w:r>
      </w:hyperlink>
      <w:r w:rsidR="000159EF" w:rsidRPr="00F12E8B">
        <w:rPr>
          <w:rFonts w:ascii="Times New Roman" w:hAnsi="Times New Roman"/>
          <w:spacing w:val="3"/>
          <w:sz w:val="20"/>
          <w:szCs w:val="20"/>
          <w:shd w:val="clear" w:color="auto" w:fill="FFFFFF"/>
        </w:rPr>
        <w:t xml:space="preserve">. They are an essential element of any analysis that seeks to understand the </w:t>
      </w:r>
      <w:hyperlink r:id="rId25" w:history="1">
        <w:r w:rsidR="000159EF" w:rsidRPr="00F12E8B">
          <w:rPr>
            <w:rStyle w:val="-"/>
            <w:rFonts w:ascii="Times New Roman" w:hAnsi="Times New Roman"/>
            <w:color w:val="auto"/>
            <w:spacing w:val="3"/>
            <w:sz w:val="20"/>
            <w:szCs w:val="20"/>
            <w:u w:val="none"/>
            <w:shd w:val="clear" w:color="auto" w:fill="FFFFFF"/>
          </w:rPr>
          <w:t>liquidity</w:t>
        </w:r>
      </w:hyperlink>
      <w:r w:rsidR="000159EF" w:rsidRPr="00F12E8B">
        <w:rPr>
          <w:rFonts w:ascii="Times New Roman" w:hAnsi="Times New Roman"/>
          <w:spacing w:val="3"/>
          <w:sz w:val="20"/>
          <w:szCs w:val="20"/>
          <w:shd w:val="clear" w:color="auto" w:fill="FFFFFF"/>
        </w:rPr>
        <w:t xml:space="preserve"> of a business. These ratios are especially important when evaluating companies whose cash flows diverge substantially from their reported </w:t>
      </w:r>
      <w:hyperlink r:id="rId26" w:history="1">
        <w:r w:rsidR="000159EF" w:rsidRPr="00F12E8B">
          <w:rPr>
            <w:rStyle w:val="-"/>
            <w:rFonts w:ascii="Times New Roman" w:hAnsi="Times New Roman"/>
            <w:color w:val="auto"/>
            <w:spacing w:val="3"/>
            <w:sz w:val="20"/>
            <w:szCs w:val="20"/>
            <w:u w:val="none"/>
            <w:shd w:val="clear" w:color="auto" w:fill="FFFFFF"/>
          </w:rPr>
          <w:t>profits</w:t>
        </w:r>
      </w:hyperlink>
      <w:r w:rsidR="000159EF" w:rsidRPr="00F12E8B">
        <w:rPr>
          <w:rFonts w:ascii="Times New Roman" w:hAnsi="Times New Roman"/>
          <w:sz w:val="20"/>
          <w:szCs w:val="20"/>
        </w:rPr>
        <w:t xml:space="preserve"> (https://www.accountingtools.com/articles/cash-flow-ratios.html)</w:t>
      </w:r>
      <w:r w:rsidR="000159EF" w:rsidRPr="00F12E8B">
        <w:rPr>
          <w:rFonts w:ascii="Times New Roman" w:hAnsi="Times New Roman"/>
          <w:spacing w:val="3"/>
          <w:sz w:val="20"/>
          <w:szCs w:val="20"/>
          <w:shd w:val="clear" w:color="auto" w:fill="FFFFFF"/>
        </w:rPr>
        <w:t>.</w:t>
      </w:r>
    </w:p>
    <w:p w:rsidR="002F4F89" w:rsidRPr="00F12E8B" w:rsidRDefault="00FC3D2C" w:rsidP="00554446">
      <w:pPr>
        <w:spacing w:after="0" w:line="240" w:lineRule="auto"/>
        <w:jc w:val="both"/>
        <w:rPr>
          <w:rFonts w:ascii="Times New Roman" w:hAnsi="Times New Roman"/>
          <w:sz w:val="20"/>
          <w:szCs w:val="20"/>
        </w:rPr>
      </w:pPr>
      <w:r w:rsidRPr="00F12E8B">
        <w:rPr>
          <w:rFonts w:ascii="Times New Roman" w:hAnsi="Times New Roman"/>
          <w:sz w:val="20"/>
          <w:szCs w:val="20"/>
        </w:rPr>
        <w:tab/>
      </w:r>
      <w:r w:rsidR="002F4F89" w:rsidRPr="00F12E8B">
        <w:rPr>
          <w:rFonts w:ascii="Times New Roman" w:hAnsi="Times New Roman"/>
          <w:sz w:val="20"/>
          <w:szCs w:val="20"/>
        </w:rPr>
        <w:t xml:space="preserve">Financial </w:t>
      </w:r>
      <w:r w:rsidR="004D281B" w:rsidRPr="00F12E8B">
        <w:rPr>
          <w:rFonts w:ascii="Times New Roman" w:hAnsi="Times New Roman"/>
          <w:sz w:val="20"/>
          <w:szCs w:val="20"/>
        </w:rPr>
        <w:t>c</w:t>
      </w:r>
      <w:r w:rsidR="002F4F89" w:rsidRPr="00F12E8B">
        <w:rPr>
          <w:rFonts w:ascii="Times New Roman" w:hAnsi="Times New Roman"/>
          <w:sz w:val="20"/>
          <w:szCs w:val="20"/>
        </w:rPr>
        <w:t xml:space="preserve">ash </w:t>
      </w:r>
      <w:r w:rsidR="004D281B" w:rsidRPr="00F12E8B">
        <w:rPr>
          <w:rFonts w:ascii="Times New Roman" w:hAnsi="Times New Roman"/>
          <w:sz w:val="20"/>
          <w:szCs w:val="20"/>
        </w:rPr>
        <w:t>f</w:t>
      </w:r>
      <w:r w:rsidR="002F4F89" w:rsidRPr="00F12E8B">
        <w:rPr>
          <w:rFonts w:ascii="Times New Roman" w:hAnsi="Times New Roman"/>
          <w:sz w:val="20"/>
          <w:szCs w:val="20"/>
        </w:rPr>
        <w:t xml:space="preserve">low </w:t>
      </w:r>
      <w:r w:rsidR="004D281B" w:rsidRPr="00F12E8B">
        <w:rPr>
          <w:rFonts w:ascii="Times New Roman" w:hAnsi="Times New Roman"/>
          <w:sz w:val="20"/>
          <w:szCs w:val="20"/>
        </w:rPr>
        <w:t>r</w:t>
      </w:r>
      <w:r w:rsidR="002F4F89" w:rsidRPr="00F12E8B">
        <w:rPr>
          <w:rFonts w:ascii="Times New Roman" w:hAnsi="Times New Roman"/>
          <w:sz w:val="20"/>
          <w:szCs w:val="20"/>
        </w:rPr>
        <w:t xml:space="preserve">atios are a basic tool of a bank and a firm analysis as they allow, with relatively simple operations, comparisons to be made in relative sizes and not in absolute numbers (Arnold A., Ellis B. and Krishnan S. 2018), Toward effective use of the statement of cash flows, </w:t>
      </w:r>
      <w:r w:rsidR="002F4F89" w:rsidRPr="00F12E8B">
        <w:rPr>
          <w:rFonts w:ascii="Times New Roman" w:hAnsi="Times New Roman"/>
          <w:i/>
          <w:iCs/>
          <w:sz w:val="20"/>
          <w:szCs w:val="20"/>
        </w:rPr>
        <w:t>Journal of Business and Behavioral Sciences</w:t>
      </w:r>
      <w:r w:rsidR="002F4F89" w:rsidRPr="00F12E8B">
        <w:rPr>
          <w:rFonts w:ascii="Times New Roman" w:hAnsi="Times New Roman"/>
          <w:sz w:val="20"/>
          <w:szCs w:val="20"/>
        </w:rPr>
        <w:t>, vol</w:t>
      </w:r>
      <w:r w:rsidR="006210BB" w:rsidRPr="00F12E8B">
        <w:rPr>
          <w:rFonts w:ascii="Times New Roman" w:hAnsi="Times New Roman"/>
          <w:sz w:val="20"/>
          <w:szCs w:val="20"/>
        </w:rPr>
        <w:t>.</w:t>
      </w:r>
      <w:r w:rsidR="002F4F89" w:rsidRPr="00F12E8B">
        <w:rPr>
          <w:rFonts w:ascii="Times New Roman" w:hAnsi="Times New Roman"/>
          <w:sz w:val="20"/>
          <w:szCs w:val="20"/>
        </w:rPr>
        <w:t xml:space="preserve"> 30, n.2, pp46-62).</w:t>
      </w:r>
    </w:p>
    <w:p w:rsidR="00A006AD" w:rsidRPr="00F12E8B" w:rsidRDefault="00B11FD0" w:rsidP="00554446">
      <w:pPr>
        <w:spacing w:after="0" w:line="240" w:lineRule="auto"/>
        <w:jc w:val="both"/>
        <w:rPr>
          <w:rFonts w:ascii="Times New Roman" w:hAnsi="Times New Roman"/>
          <w:sz w:val="20"/>
          <w:szCs w:val="20"/>
        </w:rPr>
      </w:pPr>
      <w:r w:rsidRPr="00F12E8B">
        <w:rPr>
          <w:rFonts w:ascii="Times New Roman" w:hAnsi="Times New Roman"/>
          <w:sz w:val="20"/>
          <w:szCs w:val="20"/>
        </w:rPr>
        <w:t xml:space="preserve">In this section, </w:t>
      </w:r>
      <w:r w:rsidR="00543742" w:rsidRPr="00F12E8B">
        <w:rPr>
          <w:rFonts w:ascii="Times New Roman" w:hAnsi="Times New Roman"/>
          <w:sz w:val="20"/>
          <w:szCs w:val="20"/>
        </w:rPr>
        <w:t xml:space="preserve">we try to find out if there is a better value for the bidder cooperative bank </w:t>
      </w:r>
      <w:r w:rsidR="00CA160A" w:rsidRPr="00F12E8B">
        <w:rPr>
          <w:rFonts w:ascii="Times New Roman" w:hAnsi="Times New Roman"/>
          <w:sz w:val="20"/>
          <w:szCs w:val="20"/>
        </w:rPr>
        <w:t>four</w:t>
      </w:r>
      <w:r w:rsidR="00543742" w:rsidRPr="00F12E8B">
        <w:rPr>
          <w:rFonts w:ascii="Times New Roman" w:hAnsi="Times New Roman"/>
          <w:sz w:val="20"/>
          <w:szCs w:val="20"/>
        </w:rPr>
        <w:t xml:space="preserve"> years after the acquisition of the target cooperative bank. Thus we calculate financial </w:t>
      </w:r>
      <w:r w:rsidRPr="00F12E8B">
        <w:rPr>
          <w:rFonts w:ascii="Times New Roman" w:hAnsi="Times New Roman"/>
          <w:sz w:val="20"/>
          <w:szCs w:val="20"/>
        </w:rPr>
        <w:t xml:space="preserve">ratios </w:t>
      </w:r>
      <w:r w:rsidR="00543742" w:rsidRPr="00F12E8B">
        <w:rPr>
          <w:rFonts w:ascii="Times New Roman" w:hAnsi="Times New Roman"/>
          <w:sz w:val="20"/>
          <w:szCs w:val="20"/>
        </w:rPr>
        <w:t>using the cash flow statements of the bidder and target cooperative banks. These financial ratios are</w:t>
      </w:r>
      <w:r w:rsidR="00A006AD" w:rsidRPr="00F12E8B">
        <w:rPr>
          <w:rFonts w:ascii="Times New Roman" w:hAnsi="Times New Roman"/>
          <w:sz w:val="20"/>
          <w:szCs w:val="20"/>
        </w:rPr>
        <w:t>:</w:t>
      </w:r>
    </w:p>
    <w:p w:rsidR="00E676D3" w:rsidRPr="00F12E8B" w:rsidRDefault="00FC3D2C" w:rsidP="00554446">
      <w:pPr>
        <w:spacing w:after="0" w:line="240" w:lineRule="auto"/>
        <w:jc w:val="both"/>
        <w:rPr>
          <w:rFonts w:ascii="Times New Roman" w:hAnsi="Times New Roman"/>
          <w:sz w:val="20"/>
          <w:szCs w:val="20"/>
        </w:rPr>
      </w:pPr>
      <w:r w:rsidRPr="00F12E8B">
        <w:rPr>
          <w:rFonts w:ascii="Times New Roman" w:hAnsi="Times New Roman"/>
          <w:sz w:val="20"/>
          <w:szCs w:val="20"/>
        </w:rPr>
        <w:tab/>
      </w:r>
      <w:r w:rsidR="00F23F65" w:rsidRPr="00F12E8B">
        <w:rPr>
          <w:rFonts w:ascii="Times New Roman" w:hAnsi="Times New Roman"/>
          <w:sz w:val="20"/>
          <w:szCs w:val="20"/>
        </w:rPr>
        <w:t>1</w:t>
      </w:r>
      <w:r w:rsidR="00E676D3" w:rsidRPr="00F12E8B">
        <w:rPr>
          <w:rFonts w:ascii="Times New Roman" w:hAnsi="Times New Roman"/>
          <w:sz w:val="20"/>
          <w:szCs w:val="20"/>
        </w:rPr>
        <w:t xml:space="preserve">) </w:t>
      </w:r>
      <w:r w:rsidR="004F71E7" w:rsidRPr="00F12E8B">
        <w:rPr>
          <w:rFonts w:ascii="Times New Roman" w:hAnsi="Times New Roman"/>
          <w:sz w:val="20"/>
          <w:szCs w:val="20"/>
        </w:rPr>
        <w:t xml:space="preserve">Cash Flow </w:t>
      </w:r>
      <w:r w:rsidR="00E676D3" w:rsidRPr="00F12E8B">
        <w:rPr>
          <w:rFonts w:ascii="Times New Roman" w:hAnsi="Times New Roman"/>
          <w:sz w:val="20"/>
          <w:szCs w:val="20"/>
        </w:rPr>
        <w:t>Earnings Quality Measurement Ratio (</w:t>
      </w:r>
      <w:r w:rsidR="004F71E7" w:rsidRPr="00F12E8B">
        <w:rPr>
          <w:rFonts w:ascii="Times New Roman" w:hAnsi="Times New Roman"/>
          <w:sz w:val="20"/>
          <w:szCs w:val="20"/>
        </w:rPr>
        <w:t>CF</w:t>
      </w:r>
      <w:r w:rsidR="00E676D3" w:rsidRPr="00F12E8B">
        <w:rPr>
          <w:rFonts w:ascii="Times New Roman" w:hAnsi="Times New Roman"/>
          <w:sz w:val="20"/>
          <w:szCs w:val="20"/>
        </w:rPr>
        <w:t>EQMR)</w:t>
      </w:r>
    </w:p>
    <w:p w:rsidR="00A006AD" w:rsidRPr="00F12E8B" w:rsidRDefault="004F71E7" w:rsidP="00554446">
      <w:pPr>
        <w:spacing w:after="0" w:line="240" w:lineRule="auto"/>
        <w:jc w:val="both"/>
        <w:rPr>
          <w:rFonts w:ascii="Times New Roman" w:hAnsi="Times New Roman"/>
          <w:sz w:val="20"/>
          <w:szCs w:val="20"/>
        </w:rPr>
      </w:pPr>
      <w:r w:rsidRPr="00F12E8B">
        <w:rPr>
          <w:rFonts w:ascii="Times New Roman" w:hAnsi="Times New Roman"/>
          <w:sz w:val="20"/>
          <w:szCs w:val="20"/>
        </w:rPr>
        <w:t>CF</w:t>
      </w:r>
      <w:r w:rsidR="00B11FD0" w:rsidRPr="00F12E8B">
        <w:rPr>
          <w:rFonts w:ascii="Times New Roman" w:hAnsi="Times New Roman"/>
          <w:sz w:val="20"/>
          <w:szCs w:val="20"/>
        </w:rPr>
        <w:t>E</w:t>
      </w:r>
      <w:r w:rsidR="00A006AD" w:rsidRPr="00F12E8B">
        <w:rPr>
          <w:rFonts w:ascii="Times New Roman" w:hAnsi="Times New Roman"/>
          <w:sz w:val="20"/>
          <w:szCs w:val="20"/>
        </w:rPr>
        <w:t xml:space="preserve">QMR = </w:t>
      </w:r>
      <m:oMath>
        <w:bookmarkStart w:id="0" w:name="_Hlk83261468"/>
        <m:f>
          <m:fPr>
            <m:ctrlPr>
              <w:rPr>
                <w:rFonts w:ascii="Cambria Math" w:hAnsi="Times New Roman"/>
                <w:i/>
                <w:sz w:val="20"/>
                <w:szCs w:val="20"/>
              </w:rPr>
            </m:ctrlPr>
          </m:fPr>
          <m:num>
            <m:r>
              <m:rPr>
                <m:sty m:val="p"/>
              </m:rPr>
              <w:rPr>
                <w:rFonts w:ascii="Cambria Math" w:hAnsi="Times New Roman"/>
                <w:sz w:val="20"/>
                <w:szCs w:val="20"/>
              </w:rPr>
              <m:t>Net Cash Flow from Operating Activities</m:t>
            </m:r>
          </m:num>
          <m:den>
            <m:r>
              <m:rPr>
                <m:sty m:val="p"/>
              </m:rPr>
              <w:rPr>
                <w:rFonts w:ascii="Cambria Math" w:hAnsi="Times New Roman"/>
                <w:sz w:val="20"/>
                <w:szCs w:val="20"/>
              </w:rPr>
              <m:t>Net Earnings from Operating Activities</m:t>
            </m:r>
          </m:den>
        </m:f>
      </m:oMath>
      <w:bookmarkEnd w:id="0"/>
      <w:r w:rsidR="00A006AD" w:rsidRPr="00F12E8B">
        <w:rPr>
          <w:rFonts w:ascii="Times New Roman" w:hAnsi="Times New Roman"/>
          <w:sz w:val="20"/>
          <w:szCs w:val="20"/>
        </w:rPr>
        <w:t xml:space="preserve"> </w:t>
      </w:r>
      <w:r w:rsidR="00824027" w:rsidRPr="00F12E8B">
        <w:rPr>
          <w:rFonts w:ascii="Times New Roman" w:hAnsi="Times New Roman"/>
          <w:sz w:val="20"/>
          <w:szCs w:val="20"/>
        </w:rPr>
        <w:tab/>
      </w:r>
      <w:r w:rsidR="00824027" w:rsidRPr="00F12E8B">
        <w:rPr>
          <w:rFonts w:ascii="Times New Roman" w:hAnsi="Times New Roman"/>
          <w:sz w:val="20"/>
          <w:szCs w:val="20"/>
        </w:rPr>
        <w:tab/>
      </w:r>
      <w:r w:rsidR="00824027" w:rsidRPr="00F12E8B">
        <w:rPr>
          <w:rFonts w:ascii="Times New Roman" w:hAnsi="Times New Roman"/>
          <w:sz w:val="20"/>
          <w:szCs w:val="20"/>
        </w:rPr>
        <w:tab/>
      </w:r>
      <w:r w:rsidR="00824027" w:rsidRPr="00F12E8B">
        <w:rPr>
          <w:rFonts w:ascii="Times New Roman" w:hAnsi="Times New Roman"/>
          <w:sz w:val="20"/>
          <w:szCs w:val="20"/>
        </w:rPr>
        <w:tab/>
      </w:r>
      <w:r w:rsidR="00A006AD" w:rsidRPr="00F12E8B">
        <w:rPr>
          <w:rFonts w:ascii="Times New Roman" w:hAnsi="Times New Roman"/>
          <w:sz w:val="20"/>
          <w:szCs w:val="20"/>
        </w:rPr>
        <w:t>(1)</w:t>
      </w:r>
    </w:p>
    <w:p w:rsidR="00A35EC0" w:rsidRPr="00F12E8B" w:rsidRDefault="00FC3D2C" w:rsidP="00554446">
      <w:pPr>
        <w:spacing w:after="0" w:line="240" w:lineRule="auto"/>
        <w:jc w:val="both"/>
        <w:rPr>
          <w:rFonts w:ascii="Times New Roman" w:hAnsi="Times New Roman"/>
          <w:sz w:val="20"/>
          <w:szCs w:val="20"/>
        </w:rPr>
      </w:pPr>
      <w:r w:rsidRPr="00F12E8B">
        <w:rPr>
          <w:rFonts w:ascii="Times New Roman" w:hAnsi="Times New Roman"/>
          <w:sz w:val="20"/>
          <w:szCs w:val="20"/>
        </w:rPr>
        <w:tab/>
      </w:r>
      <w:r w:rsidR="00A35EC0" w:rsidRPr="00F12E8B">
        <w:rPr>
          <w:rFonts w:ascii="Times New Roman" w:hAnsi="Times New Roman"/>
          <w:sz w:val="20"/>
          <w:szCs w:val="20"/>
        </w:rPr>
        <w:t>Earnings Quality refers to the ability of reported income/earnings to predict a company's future earnings. It can be defined as earnings which sketch accurate image of a company performance, predict future performance of the company, and help investors in optimizing investing decisions. Earnings quality helps to predict a company’s future earnings and an important aspect of evaluating the company’s financial health (Sucharita</w:t>
      </w:r>
      <w:r w:rsidR="00835F06" w:rsidRPr="00F12E8B">
        <w:rPr>
          <w:rFonts w:ascii="Times New Roman" w:hAnsi="Times New Roman"/>
          <w:sz w:val="20"/>
          <w:szCs w:val="20"/>
        </w:rPr>
        <w:t xml:space="preserve"> Y.</w:t>
      </w:r>
      <w:r w:rsidR="00A35EC0" w:rsidRPr="00F12E8B">
        <w:rPr>
          <w:rFonts w:ascii="Times New Roman" w:hAnsi="Times New Roman"/>
          <w:sz w:val="20"/>
          <w:szCs w:val="20"/>
        </w:rPr>
        <w:t xml:space="preserve">, Lokeswari </w:t>
      </w:r>
      <w:r w:rsidR="00835F06" w:rsidRPr="00F12E8B">
        <w:rPr>
          <w:rFonts w:ascii="Times New Roman" w:hAnsi="Times New Roman"/>
          <w:sz w:val="20"/>
          <w:szCs w:val="20"/>
        </w:rPr>
        <w:t xml:space="preserve">A. </w:t>
      </w:r>
      <w:r w:rsidR="00A35EC0" w:rsidRPr="00F12E8B">
        <w:rPr>
          <w:rFonts w:ascii="Times New Roman" w:hAnsi="Times New Roman"/>
          <w:sz w:val="20"/>
          <w:szCs w:val="20"/>
        </w:rPr>
        <w:t>2019).</w:t>
      </w:r>
    </w:p>
    <w:p w:rsidR="00A300F3" w:rsidRPr="00F12E8B" w:rsidRDefault="00FC3D2C" w:rsidP="00554446">
      <w:pPr>
        <w:spacing w:after="0" w:line="240" w:lineRule="auto"/>
        <w:jc w:val="both"/>
        <w:rPr>
          <w:rFonts w:ascii="Times New Roman" w:hAnsi="Times New Roman"/>
          <w:sz w:val="20"/>
          <w:szCs w:val="20"/>
        </w:rPr>
      </w:pPr>
      <w:r w:rsidRPr="00F12E8B">
        <w:rPr>
          <w:rFonts w:ascii="Times New Roman" w:hAnsi="Times New Roman"/>
          <w:sz w:val="20"/>
          <w:szCs w:val="20"/>
        </w:rPr>
        <w:tab/>
      </w:r>
      <w:r w:rsidR="00A300F3" w:rsidRPr="00F12E8B">
        <w:rPr>
          <w:rFonts w:ascii="Times New Roman" w:hAnsi="Times New Roman"/>
          <w:sz w:val="20"/>
          <w:szCs w:val="20"/>
        </w:rPr>
        <w:t xml:space="preserve">The above </w:t>
      </w:r>
      <w:r w:rsidR="004F71E7" w:rsidRPr="00F12E8B">
        <w:rPr>
          <w:rFonts w:ascii="Times New Roman" w:hAnsi="Times New Roman"/>
          <w:sz w:val="20"/>
          <w:szCs w:val="20"/>
        </w:rPr>
        <w:t>Cash Flow Earnings Quality Measurement Ratio (CFEQMR)</w:t>
      </w:r>
      <w:r w:rsidR="00824027" w:rsidRPr="00F12E8B">
        <w:rPr>
          <w:rFonts w:ascii="Times New Roman" w:hAnsi="Times New Roman"/>
          <w:sz w:val="20"/>
          <w:szCs w:val="20"/>
        </w:rPr>
        <w:t xml:space="preserve"> </w:t>
      </w:r>
      <w:r w:rsidR="00A300F3" w:rsidRPr="00F12E8B">
        <w:rPr>
          <w:rFonts w:ascii="Times New Roman" w:hAnsi="Times New Roman"/>
          <w:sz w:val="20"/>
          <w:szCs w:val="20"/>
        </w:rPr>
        <w:t>shows a healthy bank if it is close to 1. It shows at what rate accounting profits are converted into liquid funds, that is, to what extent they can be used to pay off liabilities and pay dividends. When the ratio is less than 1, it means that the bank has "accounting profits" that are not converted into cash and therefore inefficient management of assets and relationships with depositors, as it may also hide the use of creative accounting methods with the aim of misleading the lenders.</w:t>
      </w:r>
    </w:p>
    <w:p w:rsidR="00E676D3" w:rsidRPr="00F12E8B" w:rsidRDefault="00FC3D2C" w:rsidP="00554446">
      <w:pPr>
        <w:spacing w:after="0" w:line="240" w:lineRule="auto"/>
        <w:jc w:val="both"/>
        <w:rPr>
          <w:rFonts w:ascii="Times New Roman" w:hAnsi="Times New Roman"/>
          <w:sz w:val="20"/>
          <w:szCs w:val="20"/>
        </w:rPr>
      </w:pPr>
      <w:r w:rsidRPr="00F12E8B">
        <w:rPr>
          <w:rFonts w:ascii="Times New Roman" w:hAnsi="Times New Roman"/>
          <w:sz w:val="20"/>
          <w:szCs w:val="20"/>
        </w:rPr>
        <w:tab/>
      </w:r>
      <w:r w:rsidR="00F23F65" w:rsidRPr="00F12E8B">
        <w:rPr>
          <w:rFonts w:ascii="Times New Roman" w:hAnsi="Times New Roman"/>
          <w:sz w:val="20"/>
          <w:szCs w:val="20"/>
        </w:rPr>
        <w:t>2</w:t>
      </w:r>
      <w:r w:rsidR="00E676D3" w:rsidRPr="00F12E8B">
        <w:rPr>
          <w:rFonts w:ascii="Times New Roman" w:hAnsi="Times New Roman"/>
          <w:sz w:val="20"/>
          <w:szCs w:val="20"/>
        </w:rPr>
        <w:t xml:space="preserve">) </w:t>
      </w:r>
      <w:r w:rsidR="00265D52" w:rsidRPr="00F12E8B">
        <w:rPr>
          <w:rFonts w:ascii="Times New Roman" w:hAnsi="Times New Roman"/>
          <w:spacing w:val="3"/>
          <w:sz w:val="20"/>
          <w:szCs w:val="20"/>
          <w:shd w:val="clear" w:color="auto" w:fill="FFFFFF"/>
        </w:rPr>
        <w:t xml:space="preserve">Cash Flow </w:t>
      </w:r>
      <w:r w:rsidR="00E676D3" w:rsidRPr="00F12E8B">
        <w:rPr>
          <w:rFonts w:ascii="Times New Roman" w:hAnsi="Times New Roman"/>
          <w:sz w:val="20"/>
          <w:szCs w:val="20"/>
        </w:rPr>
        <w:t>Dividend and Interest Coverage Ratio (</w:t>
      </w:r>
      <w:r w:rsidR="00265D52" w:rsidRPr="00F12E8B">
        <w:rPr>
          <w:rFonts w:ascii="Times New Roman" w:hAnsi="Times New Roman"/>
          <w:sz w:val="20"/>
          <w:szCs w:val="20"/>
        </w:rPr>
        <w:t>CF</w:t>
      </w:r>
      <w:r w:rsidR="00E676D3" w:rsidRPr="00F12E8B">
        <w:rPr>
          <w:rFonts w:ascii="Times New Roman" w:hAnsi="Times New Roman"/>
          <w:sz w:val="20"/>
          <w:szCs w:val="20"/>
        </w:rPr>
        <w:t>DICR)</w:t>
      </w:r>
    </w:p>
    <w:p w:rsidR="00A006AD" w:rsidRPr="00F12E8B" w:rsidRDefault="00265D52" w:rsidP="00554446">
      <w:pPr>
        <w:spacing w:after="0" w:line="240" w:lineRule="auto"/>
        <w:jc w:val="both"/>
        <w:rPr>
          <w:rFonts w:ascii="Times New Roman" w:hAnsi="Times New Roman"/>
          <w:sz w:val="20"/>
          <w:szCs w:val="20"/>
        </w:rPr>
      </w:pPr>
      <w:r w:rsidRPr="00F12E8B">
        <w:rPr>
          <w:rFonts w:ascii="Times New Roman" w:hAnsi="Times New Roman"/>
          <w:sz w:val="20"/>
          <w:szCs w:val="20"/>
        </w:rPr>
        <w:t>CF</w:t>
      </w:r>
      <w:r w:rsidR="00B11FD0" w:rsidRPr="00F12E8B">
        <w:rPr>
          <w:rFonts w:ascii="Times New Roman" w:hAnsi="Times New Roman"/>
          <w:sz w:val="20"/>
          <w:szCs w:val="20"/>
        </w:rPr>
        <w:t>DICR</w:t>
      </w:r>
      <w:r w:rsidR="00A006AD" w:rsidRPr="00F12E8B">
        <w:rPr>
          <w:rFonts w:ascii="Times New Roman" w:hAnsi="Times New Roman"/>
          <w:sz w:val="20"/>
          <w:szCs w:val="20"/>
        </w:rPr>
        <w:t xml:space="preserve"> =</w:t>
      </w:r>
      <w:r w:rsidR="00543742" w:rsidRPr="00F12E8B">
        <w:rPr>
          <w:rFonts w:ascii="Times New Roman" w:hAnsi="Times New Roman"/>
          <w:sz w:val="20"/>
          <w:szCs w:val="20"/>
        </w:rPr>
        <w:t xml:space="preserve"> </w:t>
      </w:r>
      <m:oMath>
        <m:f>
          <m:fPr>
            <m:ctrlPr>
              <w:rPr>
                <w:rFonts w:ascii="Cambria Math" w:hAnsi="Times New Roman"/>
                <w:i/>
                <w:sz w:val="20"/>
                <w:szCs w:val="20"/>
              </w:rPr>
            </m:ctrlPr>
          </m:fPr>
          <m:num>
            <m:r>
              <m:rPr>
                <m:sty m:val="p"/>
              </m:rPr>
              <w:rPr>
                <w:rFonts w:ascii="Cambria Math" w:hAnsi="Times New Roman"/>
                <w:sz w:val="20"/>
                <w:szCs w:val="20"/>
              </w:rPr>
              <m:t>Net Cash Flow from Operating Activities</m:t>
            </m:r>
          </m:num>
          <m:den>
            <m:r>
              <m:rPr>
                <m:sty m:val="p"/>
              </m:rPr>
              <w:rPr>
                <w:rFonts w:ascii="Cambria Math" w:hAnsi="Times New Roman"/>
                <w:sz w:val="20"/>
                <w:szCs w:val="20"/>
              </w:rPr>
              <m:t>(Dividend+ Interest)</m:t>
            </m:r>
          </m:den>
        </m:f>
      </m:oMath>
      <w:r w:rsidR="00D475BD" w:rsidRPr="00F12E8B">
        <w:rPr>
          <w:rFonts w:ascii="Times New Roman" w:hAnsi="Times New Roman"/>
          <w:sz w:val="20"/>
          <w:szCs w:val="20"/>
        </w:rPr>
        <w:t xml:space="preserve"> </w:t>
      </w:r>
      <w:r w:rsidR="00824027" w:rsidRPr="00F12E8B">
        <w:rPr>
          <w:rFonts w:ascii="Times New Roman" w:hAnsi="Times New Roman"/>
          <w:sz w:val="20"/>
          <w:szCs w:val="20"/>
        </w:rPr>
        <w:tab/>
      </w:r>
      <w:r w:rsidR="00824027" w:rsidRPr="00F12E8B">
        <w:rPr>
          <w:rFonts w:ascii="Times New Roman" w:hAnsi="Times New Roman"/>
          <w:sz w:val="20"/>
          <w:szCs w:val="20"/>
        </w:rPr>
        <w:tab/>
      </w:r>
      <w:r w:rsidR="00824027" w:rsidRPr="00F12E8B">
        <w:rPr>
          <w:rFonts w:ascii="Times New Roman" w:hAnsi="Times New Roman"/>
          <w:sz w:val="20"/>
          <w:szCs w:val="20"/>
        </w:rPr>
        <w:tab/>
      </w:r>
      <w:r w:rsidR="00824027" w:rsidRPr="00F12E8B">
        <w:rPr>
          <w:rFonts w:ascii="Times New Roman" w:hAnsi="Times New Roman"/>
          <w:sz w:val="20"/>
          <w:szCs w:val="20"/>
        </w:rPr>
        <w:tab/>
      </w:r>
      <w:r w:rsidR="00824027" w:rsidRPr="00F12E8B">
        <w:rPr>
          <w:rFonts w:ascii="Times New Roman" w:hAnsi="Times New Roman"/>
          <w:sz w:val="20"/>
          <w:szCs w:val="20"/>
        </w:rPr>
        <w:tab/>
      </w:r>
      <w:r w:rsidR="00D475BD" w:rsidRPr="00F12E8B">
        <w:rPr>
          <w:rFonts w:ascii="Times New Roman" w:hAnsi="Times New Roman"/>
          <w:sz w:val="20"/>
          <w:szCs w:val="20"/>
        </w:rPr>
        <w:t>(2)</w:t>
      </w:r>
    </w:p>
    <w:p w:rsidR="00A300F3" w:rsidRPr="00F12E8B" w:rsidRDefault="00FC3D2C" w:rsidP="00554446">
      <w:pPr>
        <w:spacing w:after="0" w:line="240" w:lineRule="auto"/>
        <w:jc w:val="both"/>
        <w:rPr>
          <w:rFonts w:ascii="Times New Roman" w:hAnsi="Times New Roman"/>
          <w:sz w:val="20"/>
          <w:szCs w:val="20"/>
        </w:rPr>
      </w:pPr>
      <w:r w:rsidRPr="00F12E8B">
        <w:rPr>
          <w:rFonts w:ascii="Times New Roman" w:hAnsi="Times New Roman"/>
          <w:sz w:val="20"/>
          <w:szCs w:val="20"/>
        </w:rPr>
        <w:tab/>
      </w:r>
      <w:r w:rsidR="00A300F3" w:rsidRPr="00F12E8B">
        <w:rPr>
          <w:rFonts w:ascii="Times New Roman" w:hAnsi="Times New Roman"/>
          <w:sz w:val="20"/>
          <w:szCs w:val="20"/>
        </w:rPr>
        <w:t xml:space="preserve">The </w:t>
      </w:r>
      <w:r w:rsidR="002C0A45" w:rsidRPr="00F12E8B">
        <w:rPr>
          <w:rFonts w:ascii="Times New Roman" w:hAnsi="Times New Roman"/>
          <w:sz w:val="20"/>
          <w:szCs w:val="20"/>
        </w:rPr>
        <w:t>above D</w:t>
      </w:r>
      <w:r w:rsidR="00A300F3" w:rsidRPr="00F12E8B">
        <w:rPr>
          <w:rFonts w:ascii="Times New Roman" w:hAnsi="Times New Roman"/>
          <w:sz w:val="20"/>
          <w:szCs w:val="20"/>
        </w:rPr>
        <w:t xml:space="preserve">ividend and </w:t>
      </w:r>
      <w:r w:rsidR="002C0A45" w:rsidRPr="00F12E8B">
        <w:rPr>
          <w:rFonts w:ascii="Times New Roman" w:hAnsi="Times New Roman"/>
          <w:sz w:val="20"/>
          <w:szCs w:val="20"/>
        </w:rPr>
        <w:t>I</w:t>
      </w:r>
      <w:r w:rsidR="00A300F3" w:rsidRPr="00F12E8B">
        <w:rPr>
          <w:rFonts w:ascii="Times New Roman" w:hAnsi="Times New Roman"/>
          <w:sz w:val="20"/>
          <w:szCs w:val="20"/>
        </w:rPr>
        <w:t xml:space="preserve">nterest </w:t>
      </w:r>
      <w:r w:rsidR="002C0A45" w:rsidRPr="00F12E8B">
        <w:rPr>
          <w:rFonts w:ascii="Times New Roman" w:hAnsi="Times New Roman"/>
          <w:sz w:val="20"/>
          <w:szCs w:val="20"/>
        </w:rPr>
        <w:t>C</w:t>
      </w:r>
      <w:r w:rsidR="00A300F3" w:rsidRPr="00F12E8B">
        <w:rPr>
          <w:rFonts w:ascii="Times New Roman" w:hAnsi="Times New Roman"/>
          <w:sz w:val="20"/>
          <w:szCs w:val="20"/>
        </w:rPr>
        <w:t xml:space="preserve">overage </w:t>
      </w:r>
      <w:r w:rsidR="002C0A45" w:rsidRPr="00F12E8B">
        <w:rPr>
          <w:rFonts w:ascii="Times New Roman" w:hAnsi="Times New Roman"/>
          <w:sz w:val="20"/>
          <w:szCs w:val="20"/>
        </w:rPr>
        <w:t>R</w:t>
      </w:r>
      <w:r w:rsidR="00A300F3" w:rsidRPr="00F12E8B">
        <w:rPr>
          <w:rFonts w:ascii="Times New Roman" w:hAnsi="Times New Roman"/>
          <w:sz w:val="20"/>
          <w:szCs w:val="20"/>
        </w:rPr>
        <w:t xml:space="preserve">atio </w:t>
      </w:r>
      <w:r w:rsidR="00824027" w:rsidRPr="00F12E8B">
        <w:rPr>
          <w:rFonts w:ascii="Times New Roman" w:hAnsi="Times New Roman"/>
          <w:sz w:val="20"/>
          <w:szCs w:val="20"/>
        </w:rPr>
        <w:t>(</w:t>
      </w:r>
      <w:r w:rsidR="00265D52" w:rsidRPr="00F12E8B">
        <w:rPr>
          <w:rFonts w:ascii="Times New Roman" w:hAnsi="Times New Roman"/>
          <w:sz w:val="20"/>
          <w:szCs w:val="20"/>
        </w:rPr>
        <w:t>CF</w:t>
      </w:r>
      <w:r w:rsidR="00824027" w:rsidRPr="00F12E8B">
        <w:rPr>
          <w:rFonts w:ascii="Times New Roman" w:hAnsi="Times New Roman"/>
          <w:sz w:val="20"/>
          <w:szCs w:val="20"/>
        </w:rPr>
        <w:t xml:space="preserve">DICR) </w:t>
      </w:r>
      <w:r w:rsidR="00A300F3" w:rsidRPr="00F12E8B">
        <w:rPr>
          <w:rFonts w:ascii="Times New Roman" w:hAnsi="Times New Roman"/>
          <w:sz w:val="20"/>
          <w:szCs w:val="20"/>
        </w:rPr>
        <w:t>should be above 3-4 to be quality. When the ratio is close to 1, it means that the bank is not generating sufficient profits from operating activities to pay its investors and cut dividends.</w:t>
      </w:r>
    </w:p>
    <w:p w:rsidR="00917C86" w:rsidRPr="00F12E8B" w:rsidRDefault="00FC3D2C" w:rsidP="00554446">
      <w:pPr>
        <w:spacing w:after="0" w:line="240" w:lineRule="auto"/>
        <w:jc w:val="both"/>
        <w:rPr>
          <w:rFonts w:ascii="Times New Roman" w:hAnsi="Times New Roman"/>
          <w:sz w:val="20"/>
          <w:szCs w:val="20"/>
        </w:rPr>
      </w:pPr>
      <w:r w:rsidRPr="00F12E8B">
        <w:rPr>
          <w:rFonts w:ascii="Times New Roman" w:hAnsi="Times New Roman"/>
          <w:sz w:val="20"/>
          <w:szCs w:val="20"/>
        </w:rPr>
        <w:tab/>
      </w:r>
      <w:r w:rsidR="00917C86" w:rsidRPr="00F12E8B">
        <w:rPr>
          <w:rFonts w:ascii="Times New Roman" w:hAnsi="Times New Roman"/>
          <w:sz w:val="20"/>
          <w:szCs w:val="20"/>
        </w:rPr>
        <w:t>Operating profit is the accounting profit that includes the discretion of the manager, which is calculated by the accruals. On the other hand, the cash generated from the business shown in the cash flow statement represents the degree to which the bank/company generates cash necessary for repayment of borrowings, maintenance of sales capability, payment of dividends, and new investment through business. It is the amount that represents the ability of a pure bank/enterprise to generate cash related to operations that the entity does not fund from outside. Therefore, the fact that the cash based interest plus dividend coverage ratio is lower than 1 means that the cash generated from the actual cash inflows is less than the actual cash outflow (Hyunmi Ji 2017).</w:t>
      </w:r>
    </w:p>
    <w:p w:rsidR="00E676D3" w:rsidRPr="00F12E8B" w:rsidRDefault="00FC3D2C" w:rsidP="00554446">
      <w:pPr>
        <w:spacing w:after="0" w:line="240" w:lineRule="auto"/>
        <w:jc w:val="both"/>
        <w:rPr>
          <w:rFonts w:ascii="Times New Roman" w:hAnsi="Times New Roman"/>
          <w:sz w:val="20"/>
          <w:szCs w:val="20"/>
        </w:rPr>
      </w:pPr>
      <w:r w:rsidRPr="00F12E8B">
        <w:rPr>
          <w:rFonts w:ascii="Times New Roman" w:hAnsi="Times New Roman"/>
          <w:sz w:val="20"/>
          <w:szCs w:val="20"/>
        </w:rPr>
        <w:tab/>
      </w:r>
      <w:r w:rsidR="00F23F65" w:rsidRPr="00F12E8B">
        <w:rPr>
          <w:rFonts w:ascii="Times New Roman" w:hAnsi="Times New Roman"/>
          <w:sz w:val="20"/>
          <w:szCs w:val="20"/>
        </w:rPr>
        <w:t>3</w:t>
      </w:r>
      <w:r w:rsidR="00E676D3" w:rsidRPr="00F12E8B">
        <w:rPr>
          <w:rFonts w:ascii="Times New Roman" w:hAnsi="Times New Roman"/>
          <w:sz w:val="20"/>
          <w:szCs w:val="20"/>
        </w:rPr>
        <w:t xml:space="preserve">) </w:t>
      </w:r>
      <w:r w:rsidR="009401AE" w:rsidRPr="00F12E8B">
        <w:rPr>
          <w:rFonts w:ascii="Times New Roman" w:hAnsi="Times New Roman"/>
          <w:spacing w:val="3"/>
          <w:sz w:val="20"/>
          <w:szCs w:val="20"/>
          <w:shd w:val="clear" w:color="auto" w:fill="FFFFFF"/>
        </w:rPr>
        <w:t>Cash Flow Total Liabilities Coverage Ratio (</w:t>
      </w:r>
      <w:r w:rsidR="009401AE" w:rsidRPr="00F12E8B">
        <w:rPr>
          <w:rFonts w:ascii="Times New Roman" w:hAnsi="Times New Roman"/>
          <w:sz w:val="20"/>
          <w:szCs w:val="20"/>
        </w:rPr>
        <w:t>CFTLCR)</w:t>
      </w:r>
    </w:p>
    <w:p w:rsidR="00192348" w:rsidRPr="00F12E8B" w:rsidRDefault="00192348" w:rsidP="00192348">
      <w:pPr>
        <w:spacing w:after="0" w:line="240" w:lineRule="auto"/>
        <w:jc w:val="both"/>
        <w:rPr>
          <w:rFonts w:ascii="Times New Roman" w:hAnsi="Times New Roman"/>
          <w:sz w:val="20"/>
          <w:szCs w:val="20"/>
        </w:rPr>
      </w:pPr>
      <w:r w:rsidRPr="00F12E8B">
        <w:rPr>
          <w:rFonts w:ascii="Times New Roman" w:hAnsi="Times New Roman"/>
          <w:sz w:val="20"/>
          <w:szCs w:val="20"/>
        </w:rPr>
        <w:t>C</w:t>
      </w:r>
      <w:r w:rsidR="00817173" w:rsidRPr="00F12E8B">
        <w:rPr>
          <w:rFonts w:ascii="Times New Roman" w:hAnsi="Times New Roman"/>
          <w:sz w:val="20"/>
          <w:szCs w:val="20"/>
        </w:rPr>
        <w:t>F</w:t>
      </w:r>
      <w:r w:rsidR="00265D52" w:rsidRPr="00F12E8B">
        <w:rPr>
          <w:rFonts w:ascii="Times New Roman" w:hAnsi="Times New Roman"/>
          <w:sz w:val="20"/>
          <w:szCs w:val="20"/>
        </w:rPr>
        <w:t>TL</w:t>
      </w:r>
      <w:r w:rsidRPr="00F12E8B">
        <w:rPr>
          <w:rFonts w:ascii="Times New Roman" w:hAnsi="Times New Roman"/>
          <w:sz w:val="20"/>
          <w:szCs w:val="20"/>
        </w:rPr>
        <w:t xml:space="preserve">CR = </w:t>
      </w:r>
      <m:oMath>
        <m:f>
          <m:fPr>
            <m:ctrlPr>
              <w:rPr>
                <w:rFonts w:ascii="Cambria Math" w:hAnsi="Times New Roman"/>
                <w:i/>
                <w:sz w:val="20"/>
                <w:szCs w:val="20"/>
              </w:rPr>
            </m:ctrlPr>
          </m:fPr>
          <m:num>
            <m:r>
              <m:rPr>
                <m:sty m:val="p"/>
              </m:rPr>
              <w:rPr>
                <w:rFonts w:ascii="Cambria Math" w:hAnsi="Times New Roman"/>
                <w:sz w:val="20"/>
                <w:szCs w:val="20"/>
              </w:rPr>
              <m:t xml:space="preserve">Net Cash Flow from Operating Activities </m:t>
            </m:r>
          </m:num>
          <m:den>
            <m:d>
              <m:dPr>
                <m:ctrlPr>
                  <w:rPr>
                    <w:rFonts w:ascii="Cambria Math" w:hAnsi="Times New Roman"/>
                    <w:sz w:val="20"/>
                    <w:szCs w:val="20"/>
                  </w:rPr>
                </m:ctrlPr>
              </m:dPr>
              <m:e>
                <m:r>
                  <m:rPr>
                    <m:sty m:val="p"/>
                  </m:rPr>
                  <w:rPr>
                    <w:rFonts w:ascii="Cambria Math" w:hAnsi="Times New Roman"/>
                    <w:sz w:val="20"/>
                    <w:szCs w:val="20"/>
                  </w:rPr>
                  <m:t>Long Liabilities+Current Liabilities</m:t>
                </m:r>
              </m:e>
            </m:d>
          </m:den>
        </m:f>
      </m:oMath>
      <w:r w:rsidRPr="00F12E8B">
        <w:rPr>
          <w:rFonts w:ascii="Times New Roman" w:hAnsi="Times New Roman"/>
          <w:sz w:val="20"/>
          <w:szCs w:val="20"/>
        </w:rPr>
        <w:t xml:space="preserve"> </w:t>
      </w:r>
      <w:r w:rsidR="00817173" w:rsidRPr="00F12E8B">
        <w:rPr>
          <w:rFonts w:ascii="Times New Roman" w:hAnsi="Times New Roman"/>
          <w:sz w:val="20"/>
          <w:szCs w:val="20"/>
        </w:rPr>
        <w:t>X 100</w:t>
      </w:r>
      <w:r w:rsidRPr="00F12E8B">
        <w:rPr>
          <w:rFonts w:ascii="Times New Roman" w:hAnsi="Times New Roman"/>
          <w:sz w:val="20"/>
          <w:szCs w:val="20"/>
        </w:rPr>
        <w:tab/>
      </w:r>
      <w:r w:rsidRPr="00F12E8B">
        <w:rPr>
          <w:rFonts w:ascii="Times New Roman" w:hAnsi="Times New Roman"/>
          <w:sz w:val="20"/>
          <w:szCs w:val="20"/>
        </w:rPr>
        <w:tab/>
      </w:r>
      <w:r w:rsidRPr="00F12E8B">
        <w:rPr>
          <w:rFonts w:ascii="Times New Roman" w:hAnsi="Times New Roman"/>
          <w:sz w:val="20"/>
          <w:szCs w:val="20"/>
        </w:rPr>
        <w:tab/>
      </w:r>
      <w:r w:rsidRPr="00F12E8B">
        <w:rPr>
          <w:rFonts w:ascii="Times New Roman" w:hAnsi="Times New Roman"/>
          <w:sz w:val="20"/>
          <w:szCs w:val="20"/>
        </w:rPr>
        <w:tab/>
        <w:t>(</w:t>
      </w:r>
      <w:r w:rsidR="00791C30" w:rsidRPr="00F12E8B">
        <w:rPr>
          <w:rFonts w:ascii="Times New Roman" w:hAnsi="Times New Roman"/>
          <w:sz w:val="20"/>
          <w:szCs w:val="20"/>
        </w:rPr>
        <w:t>3</w:t>
      </w:r>
      <w:r w:rsidRPr="00F12E8B">
        <w:rPr>
          <w:rFonts w:ascii="Times New Roman" w:hAnsi="Times New Roman"/>
          <w:sz w:val="20"/>
          <w:szCs w:val="20"/>
        </w:rPr>
        <w:t>)</w:t>
      </w:r>
    </w:p>
    <w:p w:rsidR="00192348" w:rsidRPr="00F12E8B" w:rsidRDefault="00FC3D2C" w:rsidP="00554446">
      <w:pPr>
        <w:spacing w:after="0" w:line="240" w:lineRule="auto"/>
        <w:jc w:val="both"/>
        <w:rPr>
          <w:rFonts w:ascii="Times New Roman" w:hAnsi="Times New Roman"/>
          <w:spacing w:val="3"/>
          <w:sz w:val="20"/>
          <w:szCs w:val="20"/>
          <w:shd w:val="clear" w:color="auto" w:fill="FFFFFF"/>
        </w:rPr>
      </w:pPr>
      <w:r w:rsidRPr="00F12E8B">
        <w:rPr>
          <w:rFonts w:ascii="Times New Roman" w:hAnsi="Times New Roman"/>
          <w:spacing w:val="3"/>
          <w:sz w:val="20"/>
          <w:szCs w:val="20"/>
          <w:shd w:val="clear" w:color="auto" w:fill="FFFFFF"/>
        </w:rPr>
        <w:tab/>
      </w:r>
      <w:r w:rsidR="00192348" w:rsidRPr="00F12E8B">
        <w:rPr>
          <w:rFonts w:ascii="Times New Roman" w:hAnsi="Times New Roman"/>
          <w:spacing w:val="3"/>
          <w:sz w:val="20"/>
          <w:szCs w:val="20"/>
          <w:shd w:val="clear" w:color="auto" w:fill="FFFFFF"/>
        </w:rPr>
        <w:t>The above Cash Flow Coverage Ratio</w:t>
      </w:r>
      <w:r w:rsidR="00E676D3" w:rsidRPr="00F12E8B">
        <w:rPr>
          <w:rFonts w:ascii="Times New Roman" w:hAnsi="Times New Roman"/>
          <w:spacing w:val="3"/>
          <w:sz w:val="20"/>
          <w:szCs w:val="20"/>
          <w:shd w:val="clear" w:color="auto" w:fill="FFFFFF"/>
        </w:rPr>
        <w:t xml:space="preserve"> (</w:t>
      </w:r>
      <w:r w:rsidR="009401AE" w:rsidRPr="00F12E8B">
        <w:rPr>
          <w:rFonts w:ascii="Times New Roman" w:hAnsi="Times New Roman"/>
          <w:sz w:val="20"/>
          <w:szCs w:val="20"/>
        </w:rPr>
        <w:t>CFTLCR</w:t>
      </w:r>
      <w:r w:rsidR="00E676D3" w:rsidRPr="00F12E8B">
        <w:rPr>
          <w:rFonts w:ascii="Times New Roman" w:hAnsi="Times New Roman"/>
          <w:sz w:val="20"/>
          <w:szCs w:val="20"/>
        </w:rPr>
        <w:t>)</w:t>
      </w:r>
      <w:r w:rsidR="00192348" w:rsidRPr="00F12E8B">
        <w:rPr>
          <w:rFonts w:ascii="Times New Roman" w:hAnsi="Times New Roman"/>
          <w:spacing w:val="3"/>
          <w:sz w:val="20"/>
          <w:szCs w:val="20"/>
          <w:shd w:val="clear" w:color="auto" w:fill="FFFFFF"/>
        </w:rPr>
        <w:t xml:space="preserve"> is calculated as </w:t>
      </w:r>
      <w:hyperlink r:id="rId27" w:history="1">
        <w:r w:rsidR="00192348" w:rsidRPr="00F12E8B">
          <w:rPr>
            <w:rStyle w:val="-"/>
            <w:rFonts w:ascii="Times New Roman" w:hAnsi="Times New Roman"/>
            <w:color w:val="auto"/>
            <w:spacing w:val="3"/>
            <w:sz w:val="20"/>
            <w:szCs w:val="20"/>
            <w:u w:val="none"/>
            <w:shd w:val="clear" w:color="auto" w:fill="FFFFFF"/>
          </w:rPr>
          <w:t>operating cash flows</w:t>
        </w:r>
      </w:hyperlink>
      <w:r w:rsidR="00192348" w:rsidRPr="00F12E8B">
        <w:rPr>
          <w:rFonts w:ascii="Times New Roman" w:hAnsi="Times New Roman"/>
          <w:spacing w:val="3"/>
          <w:sz w:val="20"/>
          <w:szCs w:val="20"/>
          <w:shd w:val="clear" w:color="auto" w:fill="FFFFFF"/>
        </w:rPr>
        <w:t xml:space="preserve"> divided by total </w:t>
      </w:r>
      <w:hyperlink r:id="rId28" w:history="1">
        <w:r w:rsidR="00192348" w:rsidRPr="00F12E8B">
          <w:rPr>
            <w:rStyle w:val="-"/>
            <w:rFonts w:ascii="Times New Roman" w:hAnsi="Times New Roman"/>
            <w:color w:val="auto"/>
            <w:spacing w:val="3"/>
            <w:sz w:val="20"/>
            <w:szCs w:val="20"/>
            <w:u w:val="none"/>
            <w:shd w:val="clear" w:color="auto" w:fill="FFFFFF"/>
          </w:rPr>
          <w:t>debt</w:t>
        </w:r>
      </w:hyperlink>
      <w:r w:rsidR="00192348" w:rsidRPr="00F12E8B">
        <w:rPr>
          <w:rFonts w:ascii="Times New Roman" w:hAnsi="Times New Roman"/>
          <w:spacing w:val="3"/>
          <w:sz w:val="20"/>
          <w:szCs w:val="20"/>
          <w:shd w:val="clear" w:color="auto" w:fill="FFFFFF"/>
        </w:rPr>
        <w:t xml:space="preserve">. This ratio should be as high as possible, which indicates that an organization </w:t>
      </w:r>
      <w:r w:rsidR="00791C30" w:rsidRPr="00F12E8B">
        <w:rPr>
          <w:rFonts w:ascii="Times New Roman" w:hAnsi="Times New Roman"/>
          <w:spacing w:val="3"/>
          <w:sz w:val="20"/>
          <w:szCs w:val="20"/>
          <w:shd w:val="clear" w:color="auto" w:fill="FFFFFF"/>
        </w:rPr>
        <w:t xml:space="preserve">or a bank </w:t>
      </w:r>
      <w:r w:rsidR="00192348" w:rsidRPr="00F12E8B">
        <w:rPr>
          <w:rFonts w:ascii="Times New Roman" w:hAnsi="Times New Roman"/>
          <w:spacing w:val="3"/>
          <w:sz w:val="20"/>
          <w:szCs w:val="20"/>
          <w:shd w:val="clear" w:color="auto" w:fill="FFFFFF"/>
        </w:rPr>
        <w:t xml:space="preserve">has sufficient cash flow to pay for scheduled </w:t>
      </w:r>
      <w:hyperlink r:id="rId29" w:history="1">
        <w:r w:rsidR="00192348" w:rsidRPr="00F12E8B">
          <w:rPr>
            <w:rStyle w:val="-"/>
            <w:rFonts w:ascii="Times New Roman" w:hAnsi="Times New Roman"/>
            <w:color w:val="auto"/>
            <w:spacing w:val="3"/>
            <w:sz w:val="20"/>
            <w:szCs w:val="20"/>
            <w:u w:val="none"/>
            <w:shd w:val="clear" w:color="auto" w:fill="FFFFFF"/>
          </w:rPr>
          <w:t>principal</w:t>
        </w:r>
      </w:hyperlink>
      <w:r w:rsidR="00192348" w:rsidRPr="00F12E8B">
        <w:rPr>
          <w:rFonts w:ascii="Times New Roman" w:hAnsi="Times New Roman"/>
          <w:spacing w:val="3"/>
          <w:sz w:val="20"/>
          <w:szCs w:val="20"/>
          <w:shd w:val="clear" w:color="auto" w:fill="FFFFFF"/>
        </w:rPr>
        <w:t xml:space="preserve"> and </w:t>
      </w:r>
      <w:hyperlink r:id="rId30" w:history="1">
        <w:r w:rsidR="00192348" w:rsidRPr="00F12E8B">
          <w:rPr>
            <w:rStyle w:val="-"/>
            <w:rFonts w:ascii="Times New Roman" w:hAnsi="Times New Roman"/>
            <w:color w:val="auto"/>
            <w:spacing w:val="3"/>
            <w:sz w:val="20"/>
            <w:szCs w:val="20"/>
            <w:u w:val="none"/>
            <w:shd w:val="clear" w:color="auto" w:fill="FFFFFF"/>
          </w:rPr>
          <w:t>interest</w:t>
        </w:r>
      </w:hyperlink>
      <w:r w:rsidR="00192348" w:rsidRPr="00F12E8B">
        <w:rPr>
          <w:rFonts w:ascii="Times New Roman" w:hAnsi="Times New Roman"/>
          <w:spacing w:val="3"/>
          <w:sz w:val="20"/>
          <w:szCs w:val="20"/>
          <w:shd w:val="clear" w:color="auto" w:fill="FFFFFF"/>
        </w:rPr>
        <w:t xml:space="preserve"> payments on its debt</w:t>
      </w:r>
      <w:r w:rsidR="008407B4" w:rsidRPr="00F12E8B">
        <w:rPr>
          <w:rFonts w:ascii="Times New Roman" w:hAnsi="Times New Roman"/>
          <w:spacing w:val="3"/>
          <w:sz w:val="20"/>
          <w:szCs w:val="20"/>
          <w:shd w:val="clear" w:color="auto" w:fill="FFFFFF"/>
        </w:rPr>
        <w:t xml:space="preserve"> (https://www.accountingtools.com/articles/cash-flow-ratios.html)</w:t>
      </w:r>
      <w:r w:rsidR="00192348" w:rsidRPr="00F12E8B">
        <w:rPr>
          <w:rFonts w:ascii="Times New Roman" w:hAnsi="Times New Roman"/>
          <w:spacing w:val="3"/>
          <w:sz w:val="20"/>
          <w:szCs w:val="20"/>
          <w:shd w:val="clear" w:color="auto" w:fill="FFFFFF"/>
        </w:rPr>
        <w:t>.</w:t>
      </w:r>
    </w:p>
    <w:p w:rsidR="003D5CF3" w:rsidRPr="00F12E8B" w:rsidRDefault="00FC3D2C" w:rsidP="00554446">
      <w:pPr>
        <w:spacing w:after="0" w:line="240" w:lineRule="auto"/>
        <w:jc w:val="both"/>
        <w:rPr>
          <w:rFonts w:ascii="Times New Roman" w:hAnsi="Times New Roman"/>
          <w:spacing w:val="3"/>
          <w:sz w:val="20"/>
          <w:szCs w:val="20"/>
          <w:shd w:val="clear" w:color="auto" w:fill="FFFFFF"/>
        </w:rPr>
      </w:pPr>
      <w:r w:rsidRPr="00F12E8B">
        <w:rPr>
          <w:rFonts w:ascii="Times New Roman" w:hAnsi="Times New Roman"/>
          <w:sz w:val="20"/>
          <w:szCs w:val="20"/>
        </w:rPr>
        <w:tab/>
      </w:r>
      <w:r w:rsidR="002443AE" w:rsidRPr="00F12E8B">
        <w:rPr>
          <w:rFonts w:ascii="Times New Roman" w:hAnsi="Times New Roman"/>
          <w:sz w:val="20"/>
          <w:szCs w:val="20"/>
        </w:rPr>
        <w:t>If t</w:t>
      </w:r>
      <w:r w:rsidR="003D5CF3" w:rsidRPr="00F12E8B">
        <w:rPr>
          <w:rFonts w:ascii="Times New Roman" w:hAnsi="Times New Roman"/>
          <w:sz w:val="20"/>
          <w:szCs w:val="20"/>
        </w:rPr>
        <w:t xml:space="preserve">he operating cash flow </w:t>
      </w:r>
      <w:r w:rsidR="002443AE" w:rsidRPr="00F12E8B">
        <w:rPr>
          <w:rFonts w:ascii="Times New Roman" w:hAnsi="Times New Roman"/>
          <w:spacing w:val="3"/>
          <w:sz w:val="20"/>
          <w:szCs w:val="20"/>
          <w:shd w:val="clear" w:color="auto" w:fill="FFFFFF"/>
        </w:rPr>
        <w:t>Coverage Ratio</w:t>
      </w:r>
      <w:r w:rsidR="003D5CF3" w:rsidRPr="00F12E8B">
        <w:rPr>
          <w:rFonts w:ascii="Times New Roman" w:hAnsi="Times New Roman"/>
          <w:sz w:val="20"/>
          <w:szCs w:val="20"/>
        </w:rPr>
        <w:t xml:space="preserve"> is below 1, </w:t>
      </w:r>
      <w:r w:rsidR="002443AE" w:rsidRPr="00F12E8B">
        <w:rPr>
          <w:rFonts w:ascii="Times New Roman" w:hAnsi="Times New Roman"/>
          <w:sz w:val="20"/>
          <w:szCs w:val="20"/>
        </w:rPr>
        <w:t>it</w:t>
      </w:r>
      <w:r w:rsidR="003D5CF3" w:rsidRPr="00F12E8B">
        <w:rPr>
          <w:rFonts w:ascii="Times New Roman" w:hAnsi="Times New Roman"/>
          <w:sz w:val="20"/>
          <w:szCs w:val="20"/>
        </w:rPr>
        <w:t xml:space="preserve"> means there is a possibility that the bank/company could not afford to pay current liabilities, without using cash flow from other activities.</w:t>
      </w:r>
    </w:p>
    <w:p w:rsidR="00E676D3" w:rsidRPr="00F12E8B" w:rsidRDefault="00FC3D2C" w:rsidP="00554446">
      <w:pPr>
        <w:spacing w:after="0" w:line="240" w:lineRule="auto"/>
        <w:jc w:val="both"/>
        <w:rPr>
          <w:rFonts w:ascii="Times New Roman" w:hAnsi="Times New Roman"/>
          <w:sz w:val="20"/>
          <w:szCs w:val="20"/>
        </w:rPr>
      </w:pPr>
      <w:r w:rsidRPr="00F12E8B">
        <w:rPr>
          <w:rFonts w:ascii="Times New Roman" w:hAnsi="Times New Roman"/>
          <w:sz w:val="20"/>
          <w:szCs w:val="20"/>
        </w:rPr>
        <w:lastRenderedPageBreak/>
        <w:tab/>
      </w:r>
      <w:r w:rsidR="00F23F65" w:rsidRPr="00F12E8B">
        <w:rPr>
          <w:rFonts w:ascii="Times New Roman" w:hAnsi="Times New Roman"/>
          <w:sz w:val="20"/>
          <w:szCs w:val="20"/>
        </w:rPr>
        <w:t>4</w:t>
      </w:r>
      <w:r w:rsidR="00E676D3" w:rsidRPr="00F12E8B">
        <w:rPr>
          <w:rFonts w:ascii="Times New Roman" w:hAnsi="Times New Roman"/>
          <w:sz w:val="20"/>
          <w:szCs w:val="20"/>
        </w:rPr>
        <w:t xml:space="preserve">) </w:t>
      </w:r>
      <w:r w:rsidR="009401AE" w:rsidRPr="00F12E8B">
        <w:rPr>
          <w:rFonts w:ascii="Times New Roman" w:hAnsi="Times New Roman"/>
          <w:sz w:val="20"/>
          <w:szCs w:val="20"/>
        </w:rPr>
        <w:t xml:space="preserve">Cash Flow </w:t>
      </w:r>
      <w:r w:rsidR="009401AE" w:rsidRPr="00F12E8B">
        <w:rPr>
          <w:rFonts w:ascii="Times New Roman" w:hAnsi="Times New Roman"/>
          <w:spacing w:val="3"/>
          <w:sz w:val="20"/>
          <w:szCs w:val="20"/>
          <w:shd w:val="clear" w:color="auto" w:fill="FFFFFF"/>
        </w:rPr>
        <w:t>Current Liabilities Coverage Ratio (CFCLCR)</w:t>
      </w:r>
    </w:p>
    <w:p w:rsidR="00A91C7F" w:rsidRPr="00F12E8B" w:rsidRDefault="00265D52" w:rsidP="00554446">
      <w:pPr>
        <w:spacing w:after="0" w:line="240" w:lineRule="auto"/>
        <w:jc w:val="both"/>
        <w:rPr>
          <w:rFonts w:ascii="Times New Roman" w:hAnsi="Times New Roman"/>
          <w:sz w:val="20"/>
          <w:szCs w:val="20"/>
        </w:rPr>
      </w:pPr>
      <w:r w:rsidRPr="00F12E8B">
        <w:rPr>
          <w:rFonts w:ascii="Times New Roman" w:hAnsi="Times New Roman"/>
          <w:spacing w:val="3"/>
          <w:sz w:val="20"/>
          <w:szCs w:val="20"/>
          <w:shd w:val="clear" w:color="auto" w:fill="FFFFFF"/>
        </w:rPr>
        <w:t>CF</w:t>
      </w:r>
      <w:r w:rsidR="00D146F7" w:rsidRPr="00F12E8B">
        <w:rPr>
          <w:rFonts w:ascii="Times New Roman" w:hAnsi="Times New Roman"/>
          <w:spacing w:val="3"/>
          <w:sz w:val="20"/>
          <w:szCs w:val="20"/>
          <w:shd w:val="clear" w:color="auto" w:fill="FFFFFF"/>
        </w:rPr>
        <w:t xml:space="preserve">CLCR = </w:t>
      </w:r>
      <m:oMath>
        <m:f>
          <m:fPr>
            <m:ctrlPr>
              <w:rPr>
                <w:rFonts w:ascii="Cambria Math" w:hAnsi="Times New Roman"/>
                <w:i/>
                <w:sz w:val="20"/>
                <w:szCs w:val="20"/>
              </w:rPr>
            </m:ctrlPr>
          </m:fPr>
          <m:num>
            <m:r>
              <m:rPr>
                <m:sty m:val="p"/>
              </m:rPr>
              <w:rPr>
                <w:rFonts w:ascii="Cambria Math" w:hAnsi="Times New Roman"/>
                <w:sz w:val="20"/>
                <w:szCs w:val="20"/>
              </w:rPr>
              <m:t xml:space="preserve">Net Cash Flow from Operating Activities </m:t>
            </m:r>
          </m:num>
          <m:den>
            <m:r>
              <m:rPr>
                <m:sty m:val="p"/>
              </m:rPr>
              <w:rPr>
                <w:rFonts w:ascii="Cambria Math" w:hAnsi="Times New Roman"/>
                <w:sz w:val="20"/>
                <w:szCs w:val="20"/>
              </w:rPr>
              <m:t>Current Liabilities</m:t>
            </m:r>
            <m:r>
              <m:rPr>
                <m:sty m:val="p"/>
              </m:rPr>
              <w:rPr>
                <w:rFonts w:ascii="Times New Roman" w:hAnsi="Times New Roman"/>
                <w:sz w:val="20"/>
                <w:szCs w:val="20"/>
              </w:rPr>
              <m:t>-</m:t>
            </m:r>
            <m:r>
              <m:rPr>
                <m:sty m:val="p"/>
              </m:rPr>
              <w:rPr>
                <w:rFonts w:ascii="Cambria Math" w:hAnsi="Times New Roman"/>
                <w:sz w:val="20"/>
                <w:szCs w:val="20"/>
              </w:rPr>
              <m:t>Cash</m:t>
            </m:r>
          </m:den>
        </m:f>
      </m:oMath>
      <w:r w:rsidR="004F71E7" w:rsidRPr="00F12E8B">
        <w:rPr>
          <w:rFonts w:ascii="Times New Roman" w:hAnsi="Times New Roman"/>
          <w:sz w:val="20"/>
          <w:szCs w:val="20"/>
        </w:rPr>
        <w:t xml:space="preserve"> X 100</w:t>
      </w:r>
      <w:r w:rsidR="00791C30" w:rsidRPr="00F12E8B">
        <w:rPr>
          <w:rFonts w:ascii="Times New Roman" w:hAnsi="Times New Roman"/>
          <w:sz w:val="20"/>
          <w:szCs w:val="20"/>
        </w:rPr>
        <w:tab/>
      </w:r>
      <w:r w:rsidR="007314BC" w:rsidRPr="00F12E8B">
        <w:rPr>
          <w:rFonts w:ascii="Times New Roman" w:hAnsi="Times New Roman"/>
          <w:sz w:val="20"/>
          <w:szCs w:val="20"/>
        </w:rPr>
        <w:tab/>
      </w:r>
      <w:r w:rsidR="00791C30" w:rsidRPr="00F12E8B">
        <w:rPr>
          <w:rFonts w:ascii="Times New Roman" w:hAnsi="Times New Roman"/>
          <w:sz w:val="20"/>
          <w:szCs w:val="20"/>
        </w:rPr>
        <w:tab/>
      </w:r>
      <w:r w:rsidR="00791C30" w:rsidRPr="00F12E8B">
        <w:rPr>
          <w:rFonts w:ascii="Times New Roman" w:hAnsi="Times New Roman"/>
          <w:sz w:val="20"/>
          <w:szCs w:val="20"/>
        </w:rPr>
        <w:tab/>
        <w:t>(</w:t>
      </w:r>
      <w:r w:rsidR="00AB7890" w:rsidRPr="00F12E8B">
        <w:rPr>
          <w:rFonts w:ascii="Times New Roman" w:hAnsi="Times New Roman"/>
          <w:sz w:val="20"/>
          <w:szCs w:val="20"/>
        </w:rPr>
        <w:t>4</w:t>
      </w:r>
      <w:r w:rsidR="00791C30" w:rsidRPr="00F12E8B">
        <w:rPr>
          <w:rFonts w:ascii="Times New Roman" w:hAnsi="Times New Roman"/>
          <w:sz w:val="20"/>
          <w:szCs w:val="20"/>
        </w:rPr>
        <w:t>)</w:t>
      </w:r>
    </w:p>
    <w:p w:rsidR="00A91C7F" w:rsidRPr="00F12E8B" w:rsidRDefault="00FC3D2C" w:rsidP="00554446">
      <w:pPr>
        <w:spacing w:after="0" w:line="240" w:lineRule="auto"/>
        <w:jc w:val="both"/>
        <w:rPr>
          <w:rFonts w:ascii="Times New Roman" w:hAnsi="Times New Roman"/>
          <w:spacing w:val="3"/>
          <w:sz w:val="20"/>
          <w:szCs w:val="20"/>
          <w:shd w:val="clear" w:color="auto" w:fill="FFFFFF"/>
        </w:rPr>
      </w:pPr>
      <w:r w:rsidRPr="00F12E8B">
        <w:rPr>
          <w:rFonts w:ascii="Times New Roman" w:hAnsi="Times New Roman"/>
          <w:spacing w:val="3"/>
          <w:sz w:val="20"/>
          <w:szCs w:val="20"/>
          <w:shd w:val="clear" w:color="auto" w:fill="FFFFFF"/>
        </w:rPr>
        <w:tab/>
      </w:r>
      <w:r w:rsidR="00A91C7F" w:rsidRPr="00F12E8B">
        <w:rPr>
          <w:rFonts w:ascii="Times New Roman" w:hAnsi="Times New Roman"/>
          <w:spacing w:val="3"/>
          <w:sz w:val="20"/>
          <w:szCs w:val="20"/>
          <w:shd w:val="clear" w:color="auto" w:fill="FFFFFF"/>
        </w:rPr>
        <w:t xml:space="preserve">The Current Liability Coverage Ratio </w:t>
      </w:r>
      <w:r w:rsidR="00E676D3" w:rsidRPr="00F12E8B">
        <w:rPr>
          <w:rFonts w:ascii="Times New Roman" w:hAnsi="Times New Roman"/>
          <w:spacing w:val="3"/>
          <w:sz w:val="20"/>
          <w:szCs w:val="20"/>
          <w:shd w:val="clear" w:color="auto" w:fill="FFFFFF"/>
        </w:rPr>
        <w:t>(</w:t>
      </w:r>
      <w:r w:rsidR="009401AE" w:rsidRPr="00F12E8B">
        <w:rPr>
          <w:rFonts w:ascii="Times New Roman" w:hAnsi="Times New Roman"/>
          <w:spacing w:val="3"/>
          <w:sz w:val="20"/>
          <w:szCs w:val="20"/>
          <w:shd w:val="clear" w:color="auto" w:fill="FFFFFF"/>
        </w:rPr>
        <w:t>CFCLCR</w:t>
      </w:r>
      <w:r w:rsidR="00E676D3" w:rsidRPr="00F12E8B">
        <w:rPr>
          <w:rFonts w:ascii="Times New Roman" w:hAnsi="Times New Roman"/>
          <w:spacing w:val="3"/>
          <w:sz w:val="20"/>
          <w:szCs w:val="20"/>
          <w:shd w:val="clear" w:color="auto" w:fill="FFFFFF"/>
        </w:rPr>
        <w:t xml:space="preserve">) </w:t>
      </w:r>
      <w:r w:rsidR="00A91C7F" w:rsidRPr="00F12E8B">
        <w:rPr>
          <w:rFonts w:ascii="Times New Roman" w:hAnsi="Times New Roman"/>
          <w:spacing w:val="3"/>
          <w:sz w:val="20"/>
          <w:szCs w:val="20"/>
          <w:shd w:val="clear" w:color="auto" w:fill="FFFFFF"/>
        </w:rPr>
        <w:t xml:space="preserve">is calculated as cash flows from operations divided by </w:t>
      </w:r>
      <w:hyperlink r:id="rId31" w:history="1">
        <w:r w:rsidR="00A91C7F" w:rsidRPr="00F12E8B">
          <w:rPr>
            <w:rStyle w:val="-"/>
            <w:rFonts w:ascii="Times New Roman" w:hAnsi="Times New Roman"/>
            <w:color w:val="auto"/>
            <w:spacing w:val="3"/>
            <w:sz w:val="20"/>
            <w:szCs w:val="20"/>
            <w:u w:val="none"/>
            <w:shd w:val="clear" w:color="auto" w:fill="FFFFFF"/>
          </w:rPr>
          <w:t>current liabilities</w:t>
        </w:r>
      </w:hyperlink>
      <w:r w:rsidR="00A91C7F" w:rsidRPr="00F12E8B">
        <w:rPr>
          <w:rFonts w:ascii="Times New Roman" w:hAnsi="Times New Roman"/>
          <w:spacing w:val="3"/>
          <w:sz w:val="20"/>
          <w:szCs w:val="20"/>
          <w:shd w:val="clear" w:color="auto" w:fill="FFFFFF"/>
        </w:rPr>
        <w:t xml:space="preserve">. If this ratio is less than 1:1, a bank or a firm is not generating enough cash to pay for its immediate </w:t>
      </w:r>
      <w:hyperlink r:id="rId32" w:history="1">
        <w:r w:rsidR="00A91C7F" w:rsidRPr="00F12E8B">
          <w:rPr>
            <w:rStyle w:val="-"/>
            <w:rFonts w:ascii="Times New Roman" w:hAnsi="Times New Roman"/>
            <w:color w:val="auto"/>
            <w:spacing w:val="3"/>
            <w:sz w:val="20"/>
            <w:szCs w:val="20"/>
            <w:u w:val="none"/>
            <w:shd w:val="clear" w:color="auto" w:fill="FFFFFF"/>
          </w:rPr>
          <w:t>obligations</w:t>
        </w:r>
      </w:hyperlink>
      <w:r w:rsidR="00A91C7F" w:rsidRPr="00F12E8B">
        <w:rPr>
          <w:rFonts w:ascii="Times New Roman" w:hAnsi="Times New Roman"/>
          <w:spacing w:val="3"/>
          <w:sz w:val="20"/>
          <w:szCs w:val="20"/>
          <w:shd w:val="clear" w:color="auto" w:fill="FFFFFF"/>
        </w:rPr>
        <w:t xml:space="preserve">, and so may be at significant risk of </w:t>
      </w:r>
      <w:hyperlink r:id="rId33" w:history="1">
        <w:r w:rsidR="00A91C7F" w:rsidRPr="00F12E8B">
          <w:rPr>
            <w:rStyle w:val="-"/>
            <w:rFonts w:ascii="Times New Roman" w:hAnsi="Times New Roman"/>
            <w:color w:val="auto"/>
            <w:spacing w:val="3"/>
            <w:sz w:val="20"/>
            <w:szCs w:val="20"/>
            <w:u w:val="none"/>
            <w:shd w:val="clear" w:color="auto" w:fill="FFFFFF"/>
          </w:rPr>
          <w:t>bankruptcy</w:t>
        </w:r>
      </w:hyperlink>
      <w:r w:rsidR="00A91C7F" w:rsidRPr="00F12E8B">
        <w:rPr>
          <w:rFonts w:ascii="Times New Roman" w:hAnsi="Times New Roman"/>
          <w:sz w:val="20"/>
          <w:szCs w:val="20"/>
        </w:rPr>
        <w:t xml:space="preserve"> </w:t>
      </w:r>
      <w:r w:rsidR="00A91C7F" w:rsidRPr="00F12E8B">
        <w:rPr>
          <w:rFonts w:ascii="Times New Roman" w:hAnsi="Times New Roman"/>
          <w:spacing w:val="3"/>
          <w:sz w:val="20"/>
          <w:szCs w:val="20"/>
          <w:shd w:val="clear" w:color="auto" w:fill="FFFFFF"/>
        </w:rPr>
        <w:t>(https://www.accountingtools.com/articles/cash-flow-ratios.html).</w:t>
      </w:r>
    </w:p>
    <w:p w:rsidR="00E676D3" w:rsidRPr="00F12E8B" w:rsidRDefault="00FC3D2C" w:rsidP="00554446">
      <w:pPr>
        <w:spacing w:after="0" w:line="240" w:lineRule="auto"/>
        <w:jc w:val="both"/>
        <w:rPr>
          <w:rFonts w:ascii="Times New Roman" w:hAnsi="Times New Roman"/>
          <w:sz w:val="20"/>
          <w:szCs w:val="20"/>
        </w:rPr>
      </w:pPr>
      <w:r w:rsidRPr="00F12E8B">
        <w:rPr>
          <w:rFonts w:ascii="Times New Roman" w:hAnsi="Times New Roman"/>
          <w:bCs/>
          <w:spacing w:val="7"/>
          <w:sz w:val="20"/>
          <w:szCs w:val="20"/>
        </w:rPr>
        <w:tab/>
      </w:r>
      <w:r w:rsidR="00F23F65" w:rsidRPr="00F12E8B">
        <w:rPr>
          <w:rFonts w:ascii="Times New Roman" w:hAnsi="Times New Roman"/>
          <w:bCs/>
          <w:spacing w:val="7"/>
          <w:sz w:val="20"/>
          <w:szCs w:val="20"/>
        </w:rPr>
        <w:t>5</w:t>
      </w:r>
      <w:r w:rsidR="00E676D3" w:rsidRPr="00F12E8B">
        <w:rPr>
          <w:rFonts w:ascii="Times New Roman" w:hAnsi="Times New Roman"/>
          <w:bCs/>
          <w:spacing w:val="7"/>
          <w:sz w:val="20"/>
          <w:szCs w:val="20"/>
        </w:rPr>
        <w:t xml:space="preserve">) Cash Flow Margin Ratio </w:t>
      </w:r>
      <w:r w:rsidR="00E676D3" w:rsidRPr="00F12E8B">
        <w:rPr>
          <w:rFonts w:ascii="Times New Roman" w:hAnsi="Times New Roman"/>
          <w:sz w:val="20"/>
          <w:szCs w:val="20"/>
        </w:rPr>
        <w:t>(CFMR)</w:t>
      </w:r>
    </w:p>
    <w:p w:rsidR="00A006AD" w:rsidRPr="00F12E8B" w:rsidRDefault="00B11FD0" w:rsidP="00554446">
      <w:pPr>
        <w:spacing w:after="0" w:line="240" w:lineRule="auto"/>
        <w:jc w:val="both"/>
        <w:rPr>
          <w:rFonts w:ascii="Times New Roman" w:hAnsi="Times New Roman"/>
          <w:sz w:val="20"/>
          <w:szCs w:val="20"/>
        </w:rPr>
      </w:pPr>
      <w:r w:rsidRPr="00F12E8B">
        <w:rPr>
          <w:rFonts w:ascii="Times New Roman" w:hAnsi="Times New Roman"/>
          <w:sz w:val="20"/>
          <w:szCs w:val="20"/>
        </w:rPr>
        <w:t>CF</w:t>
      </w:r>
      <w:r w:rsidR="008407B4" w:rsidRPr="00F12E8B">
        <w:rPr>
          <w:rFonts w:ascii="Times New Roman" w:hAnsi="Times New Roman"/>
          <w:sz w:val="20"/>
          <w:szCs w:val="20"/>
        </w:rPr>
        <w:t>M</w:t>
      </w:r>
      <w:r w:rsidR="002C0A45" w:rsidRPr="00F12E8B">
        <w:rPr>
          <w:rFonts w:ascii="Times New Roman" w:hAnsi="Times New Roman"/>
          <w:sz w:val="20"/>
          <w:szCs w:val="20"/>
        </w:rPr>
        <w:t xml:space="preserve">R = </w:t>
      </w:r>
      <m:oMath>
        <m:f>
          <m:fPr>
            <m:ctrlPr>
              <w:rPr>
                <w:rFonts w:ascii="Cambria Math" w:hAnsi="Times New Roman"/>
                <w:i/>
                <w:sz w:val="20"/>
                <w:szCs w:val="20"/>
              </w:rPr>
            </m:ctrlPr>
          </m:fPr>
          <m:num>
            <m:r>
              <m:rPr>
                <m:sty m:val="p"/>
              </m:rPr>
              <w:rPr>
                <w:rFonts w:ascii="Cambria Math" w:hAnsi="Times New Roman"/>
                <w:sz w:val="20"/>
                <w:szCs w:val="20"/>
              </w:rPr>
              <m:t>Net Cash Flow from Operating Activities</m:t>
            </m:r>
          </m:num>
          <m:den>
            <m:r>
              <m:rPr>
                <m:sty m:val="p"/>
              </m:rPr>
              <w:rPr>
                <w:rFonts w:ascii="Cambria Math" w:hAnsi="Times New Roman"/>
                <w:sz w:val="20"/>
                <w:szCs w:val="20"/>
              </w:rPr>
              <m:t>Total Sales</m:t>
            </m:r>
          </m:den>
        </m:f>
      </m:oMath>
      <w:r w:rsidR="002C0A45" w:rsidRPr="00F12E8B">
        <w:rPr>
          <w:rFonts w:ascii="Times New Roman" w:hAnsi="Times New Roman"/>
          <w:sz w:val="20"/>
          <w:szCs w:val="20"/>
        </w:rPr>
        <w:t xml:space="preserve"> </w:t>
      </w:r>
      <w:r w:rsidR="00791C30" w:rsidRPr="00F12E8B">
        <w:rPr>
          <w:rFonts w:ascii="Times New Roman" w:hAnsi="Times New Roman"/>
          <w:sz w:val="20"/>
          <w:szCs w:val="20"/>
        </w:rPr>
        <w:t>X</w:t>
      </w:r>
      <w:r w:rsidR="002C0A45" w:rsidRPr="00F12E8B">
        <w:rPr>
          <w:rFonts w:ascii="Times New Roman" w:hAnsi="Times New Roman"/>
          <w:sz w:val="20"/>
          <w:szCs w:val="20"/>
        </w:rPr>
        <w:t xml:space="preserve"> 100 </w:t>
      </w:r>
      <w:r w:rsidR="002C0A45" w:rsidRPr="00F12E8B">
        <w:rPr>
          <w:rFonts w:ascii="Times New Roman" w:hAnsi="Times New Roman"/>
          <w:sz w:val="20"/>
          <w:szCs w:val="20"/>
        </w:rPr>
        <w:tab/>
      </w:r>
      <w:r w:rsidR="002C0A45" w:rsidRPr="00F12E8B">
        <w:rPr>
          <w:rFonts w:ascii="Times New Roman" w:hAnsi="Times New Roman"/>
          <w:sz w:val="20"/>
          <w:szCs w:val="20"/>
        </w:rPr>
        <w:tab/>
      </w:r>
      <w:r w:rsidR="002C0A45" w:rsidRPr="00F12E8B">
        <w:rPr>
          <w:rFonts w:ascii="Times New Roman" w:hAnsi="Times New Roman"/>
          <w:sz w:val="20"/>
          <w:szCs w:val="20"/>
        </w:rPr>
        <w:tab/>
      </w:r>
      <w:r w:rsidR="002C0A45" w:rsidRPr="00F12E8B">
        <w:rPr>
          <w:rFonts w:ascii="Times New Roman" w:hAnsi="Times New Roman"/>
          <w:sz w:val="20"/>
          <w:szCs w:val="20"/>
        </w:rPr>
        <w:tab/>
        <w:t>(</w:t>
      </w:r>
      <w:r w:rsidR="00AB7890" w:rsidRPr="00F12E8B">
        <w:rPr>
          <w:rFonts w:ascii="Times New Roman" w:hAnsi="Times New Roman"/>
          <w:sz w:val="20"/>
          <w:szCs w:val="20"/>
        </w:rPr>
        <w:t>5</w:t>
      </w:r>
      <w:r w:rsidR="002C0A45" w:rsidRPr="00F12E8B">
        <w:rPr>
          <w:rFonts w:ascii="Times New Roman" w:hAnsi="Times New Roman"/>
          <w:sz w:val="20"/>
          <w:szCs w:val="20"/>
        </w:rPr>
        <w:t>)</w:t>
      </w:r>
    </w:p>
    <w:p w:rsidR="00A006AD" w:rsidRPr="00F12E8B" w:rsidRDefault="00FC3D2C" w:rsidP="00C512DE">
      <w:pPr>
        <w:spacing w:after="0" w:line="240" w:lineRule="auto"/>
        <w:jc w:val="both"/>
        <w:rPr>
          <w:rFonts w:ascii="Times New Roman" w:hAnsi="Times New Roman"/>
          <w:spacing w:val="3"/>
          <w:sz w:val="20"/>
          <w:szCs w:val="20"/>
          <w:shd w:val="clear" w:color="auto" w:fill="FFFFFF"/>
        </w:rPr>
      </w:pPr>
      <w:r w:rsidRPr="00F12E8B">
        <w:rPr>
          <w:rFonts w:ascii="Times New Roman" w:hAnsi="Times New Roman"/>
          <w:sz w:val="20"/>
          <w:szCs w:val="20"/>
        </w:rPr>
        <w:tab/>
      </w:r>
      <w:r w:rsidR="002C0A45" w:rsidRPr="00F12E8B">
        <w:rPr>
          <w:rFonts w:ascii="Times New Roman" w:hAnsi="Times New Roman"/>
          <w:sz w:val="20"/>
          <w:szCs w:val="20"/>
        </w:rPr>
        <w:t xml:space="preserve">The above </w:t>
      </w:r>
      <w:r w:rsidR="008407B4" w:rsidRPr="00F12E8B">
        <w:rPr>
          <w:rFonts w:ascii="Times New Roman" w:hAnsi="Times New Roman"/>
          <w:bCs/>
          <w:spacing w:val="7"/>
          <w:sz w:val="20"/>
          <w:szCs w:val="20"/>
        </w:rPr>
        <w:t xml:space="preserve">Cash Flow Margin Ratio </w:t>
      </w:r>
      <w:r w:rsidR="00824027" w:rsidRPr="00F12E8B">
        <w:rPr>
          <w:rFonts w:ascii="Times New Roman" w:hAnsi="Times New Roman"/>
          <w:sz w:val="20"/>
          <w:szCs w:val="20"/>
        </w:rPr>
        <w:t>(</w:t>
      </w:r>
      <w:r w:rsidR="003D72DA" w:rsidRPr="00F12E8B">
        <w:rPr>
          <w:rFonts w:ascii="Times New Roman" w:hAnsi="Times New Roman"/>
          <w:sz w:val="20"/>
          <w:szCs w:val="20"/>
        </w:rPr>
        <w:t>CFMR</w:t>
      </w:r>
      <w:r w:rsidR="00824027" w:rsidRPr="00F12E8B">
        <w:rPr>
          <w:rFonts w:ascii="Times New Roman" w:hAnsi="Times New Roman"/>
          <w:sz w:val="20"/>
          <w:szCs w:val="20"/>
        </w:rPr>
        <w:t xml:space="preserve">) </w:t>
      </w:r>
      <w:r w:rsidR="002C0A45" w:rsidRPr="00F12E8B">
        <w:rPr>
          <w:rFonts w:ascii="Times New Roman" w:hAnsi="Times New Roman"/>
          <w:sz w:val="20"/>
          <w:szCs w:val="20"/>
        </w:rPr>
        <w:t>shows how much cash money come into the bank from the cycle of total sales in a year. The higher the percentage, the better it is for the profitability of the business.</w:t>
      </w:r>
      <w:r w:rsidR="001E7142" w:rsidRPr="00F12E8B">
        <w:rPr>
          <w:rFonts w:ascii="Times New Roman" w:hAnsi="Times New Roman"/>
          <w:sz w:val="20"/>
          <w:szCs w:val="20"/>
        </w:rPr>
        <w:t xml:space="preserve"> </w:t>
      </w:r>
      <w:r w:rsidR="001E7142" w:rsidRPr="00F12E8B">
        <w:rPr>
          <w:rFonts w:ascii="Times New Roman" w:hAnsi="Times New Roman"/>
          <w:spacing w:val="3"/>
          <w:sz w:val="20"/>
          <w:szCs w:val="20"/>
          <w:shd w:val="clear" w:color="auto" w:fill="FFFFFF"/>
        </w:rPr>
        <w:t xml:space="preserve">The </w:t>
      </w:r>
      <w:r w:rsidR="00A46C43" w:rsidRPr="00F12E8B">
        <w:rPr>
          <w:rFonts w:ascii="Times New Roman" w:hAnsi="Times New Roman"/>
          <w:bCs/>
          <w:spacing w:val="7"/>
          <w:sz w:val="20"/>
          <w:szCs w:val="20"/>
        </w:rPr>
        <w:t xml:space="preserve">Cash Flow Margin Ratio </w:t>
      </w:r>
      <w:r w:rsidR="001E7142" w:rsidRPr="00F12E8B">
        <w:rPr>
          <w:rFonts w:ascii="Times New Roman" w:hAnsi="Times New Roman"/>
          <w:spacing w:val="3"/>
          <w:sz w:val="20"/>
          <w:szCs w:val="20"/>
          <w:shd w:val="clear" w:color="auto" w:fill="FFFFFF"/>
        </w:rPr>
        <w:t>is calculated as cash flow</w:t>
      </w:r>
      <w:r w:rsidR="00787FCA" w:rsidRPr="00F12E8B">
        <w:rPr>
          <w:rFonts w:ascii="Times New Roman" w:hAnsi="Times New Roman"/>
          <w:spacing w:val="3"/>
          <w:sz w:val="20"/>
          <w:szCs w:val="20"/>
          <w:shd w:val="clear" w:color="auto" w:fill="FFFFFF"/>
        </w:rPr>
        <w:t>s</w:t>
      </w:r>
      <w:r w:rsidR="001E7142" w:rsidRPr="00F12E8B">
        <w:rPr>
          <w:rFonts w:ascii="Times New Roman" w:hAnsi="Times New Roman"/>
          <w:spacing w:val="3"/>
          <w:sz w:val="20"/>
          <w:szCs w:val="20"/>
          <w:shd w:val="clear" w:color="auto" w:fill="FFFFFF"/>
        </w:rPr>
        <w:t xml:space="preserve"> from operations divided by </w:t>
      </w:r>
      <w:hyperlink r:id="rId34" w:history="1">
        <w:r w:rsidR="001E7142" w:rsidRPr="00F12E8B">
          <w:rPr>
            <w:rStyle w:val="-"/>
            <w:rFonts w:ascii="Times New Roman" w:hAnsi="Times New Roman"/>
            <w:color w:val="auto"/>
            <w:spacing w:val="3"/>
            <w:sz w:val="20"/>
            <w:szCs w:val="20"/>
            <w:u w:val="none"/>
            <w:shd w:val="clear" w:color="auto" w:fill="FFFFFF"/>
          </w:rPr>
          <w:t>sales</w:t>
        </w:r>
      </w:hyperlink>
      <w:r w:rsidR="001E7142" w:rsidRPr="00F12E8B">
        <w:rPr>
          <w:rFonts w:ascii="Times New Roman" w:hAnsi="Times New Roman"/>
          <w:spacing w:val="3"/>
          <w:sz w:val="20"/>
          <w:szCs w:val="20"/>
          <w:shd w:val="clear" w:color="auto" w:fill="FFFFFF"/>
        </w:rPr>
        <w:t xml:space="preserve">. This is a more reliable metric than </w:t>
      </w:r>
      <w:hyperlink r:id="rId35" w:history="1">
        <w:r w:rsidR="001E7142" w:rsidRPr="00F12E8B">
          <w:rPr>
            <w:rStyle w:val="-"/>
            <w:rFonts w:ascii="Times New Roman" w:hAnsi="Times New Roman"/>
            <w:color w:val="auto"/>
            <w:spacing w:val="3"/>
            <w:sz w:val="20"/>
            <w:szCs w:val="20"/>
            <w:u w:val="none"/>
            <w:shd w:val="clear" w:color="auto" w:fill="FFFFFF"/>
          </w:rPr>
          <w:t>net profit</w:t>
        </w:r>
      </w:hyperlink>
      <w:r w:rsidR="001E7142" w:rsidRPr="00F12E8B">
        <w:rPr>
          <w:rFonts w:ascii="Times New Roman" w:hAnsi="Times New Roman"/>
          <w:spacing w:val="3"/>
          <w:sz w:val="20"/>
          <w:szCs w:val="20"/>
          <w:shd w:val="clear" w:color="auto" w:fill="FFFFFF"/>
        </w:rPr>
        <w:t>, since it gives a clear picture of the amount of cash generated per dollar of sales</w:t>
      </w:r>
      <w:r w:rsidR="00787FCA" w:rsidRPr="00F12E8B">
        <w:rPr>
          <w:rFonts w:ascii="Times New Roman" w:hAnsi="Times New Roman"/>
          <w:spacing w:val="3"/>
          <w:sz w:val="20"/>
          <w:szCs w:val="20"/>
          <w:shd w:val="clear" w:color="auto" w:fill="FFFFFF"/>
        </w:rPr>
        <w:t xml:space="preserve"> </w:t>
      </w:r>
      <w:r w:rsidR="00C512DE" w:rsidRPr="00F12E8B">
        <w:rPr>
          <w:rFonts w:ascii="Times New Roman" w:hAnsi="Times New Roman"/>
          <w:spacing w:val="3"/>
          <w:sz w:val="20"/>
          <w:szCs w:val="20"/>
          <w:shd w:val="clear" w:color="auto" w:fill="FFFFFF"/>
        </w:rPr>
        <w:t>(https://www.accountingtools.com/articles/cash-flow-ratios.html).</w:t>
      </w:r>
    </w:p>
    <w:p w:rsidR="00E676D3" w:rsidRPr="00F12E8B" w:rsidRDefault="00FC3D2C" w:rsidP="00C512DE">
      <w:pPr>
        <w:spacing w:after="0" w:line="240" w:lineRule="auto"/>
        <w:jc w:val="both"/>
        <w:rPr>
          <w:rFonts w:ascii="Times New Roman" w:hAnsi="Times New Roman"/>
          <w:spacing w:val="3"/>
          <w:sz w:val="20"/>
          <w:szCs w:val="20"/>
          <w:shd w:val="clear" w:color="auto" w:fill="FFFFFF"/>
        </w:rPr>
      </w:pPr>
      <w:r w:rsidRPr="00F12E8B">
        <w:rPr>
          <w:rFonts w:ascii="Times New Roman" w:hAnsi="Times New Roman"/>
          <w:sz w:val="20"/>
          <w:szCs w:val="20"/>
        </w:rPr>
        <w:tab/>
      </w:r>
      <w:r w:rsidR="00F23F65" w:rsidRPr="00F12E8B">
        <w:rPr>
          <w:rFonts w:ascii="Times New Roman" w:hAnsi="Times New Roman"/>
          <w:sz w:val="20"/>
          <w:szCs w:val="20"/>
        </w:rPr>
        <w:t>6</w:t>
      </w:r>
      <w:r w:rsidR="00E676D3" w:rsidRPr="00F12E8B">
        <w:rPr>
          <w:rFonts w:ascii="Times New Roman" w:hAnsi="Times New Roman"/>
          <w:sz w:val="20"/>
          <w:szCs w:val="20"/>
        </w:rPr>
        <w:t xml:space="preserve">) </w:t>
      </w:r>
      <w:r w:rsidR="00C45D9C" w:rsidRPr="00F12E8B">
        <w:rPr>
          <w:rFonts w:ascii="Times New Roman" w:hAnsi="Times New Roman"/>
          <w:sz w:val="20"/>
          <w:szCs w:val="20"/>
        </w:rPr>
        <w:t>Operating Cash Flow</w:t>
      </w:r>
      <w:r w:rsidR="00E676D3" w:rsidRPr="00F12E8B">
        <w:rPr>
          <w:rFonts w:ascii="Times New Roman" w:hAnsi="Times New Roman"/>
          <w:sz w:val="20"/>
          <w:szCs w:val="20"/>
        </w:rPr>
        <w:t xml:space="preserve"> Return on Equity (</w:t>
      </w:r>
      <w:r w:rsidR="00E676D3" w:rsidRPr="00F12E8B">
        <w:rPr>
          <w:rFonts w:ascii="Times New Roman" w:hAnsi="Times New Roman"/>
          <w:spacing w:val="3"/>
          <w:sz w:val="20"/>
          <w:szCs w:val="20"/>
          <w:shd w:val="clear" w:color="auto" w:fill="FFFFFF"/>
        </w:rPr>
        <w:t>O</w:t>
      </w:r>
      <w:r w:rsidR="00C45D9C" w:rsidRPr="00F12E8B">
        <w:rPr>
          <w:rFonts w:ascii="Times New Roman" w:hAnsi="Times New Roman"/>
          <w:spacing w:val="3"/>
          <w:sz w:val="20"/>
          <w:szCs w:val="20"/>
          <w:shd w:val="clear" w:color="auto" w:fill="FFFFFF"/>
        </w:rPr>
        <w:t>CF</w:t>
      </w:r>
      <w:r w:rsidR="00E676D3" w:rsidRPr="00F12E8B">
        <w:rPr>
          <w:rFonts w:ascii="Times New Roman" w:hAnsi="Times New Roman"/>
          <w:spacing w:val="3"/>
          <w:sz w:val="20"/>
          <w:szCs w:val="20"/>
          <w:shd w:val="clear" w:color="auto" w:fill="FFFFFF"/>
        </w:rPr>
        <w:t>ROE</w:t>
      </w:r>
      <w:r w:rsidR="00E676D3" w:rsidRPr="00F12E8B">
        <w:rPr>
          <w:rFonts w:ascii="Times New Roman" w:hAnsi="Times New Roman"/>
          <w:sz w:val="20"/>
          <w:szCs w:val="20"/>
        </w:rPr>
        <w:t>)</w:t>
      </w:r>
    </w:p>
    <w:p w:rsidR="00952F71" w:rsidRPr="00F12E8B" w:rsidRDefault="00952F71" w:rsidP="00C512DE">
      <w:pPr>
        <w:spacing w:after="0" w:line="240" w:lineRule="auto"/>
        <w:jc w:val="both"/>
        <w:rPr>
          <w:rFonts w:ascii="Times New Roman" w:hAnsi="Times New Roman"/>
          <w:spacing w:val="3"/>
          <w:sz w:val="20"/>
          <w:szCs w:val="20"/>
          <w:shd w:val="clear" w:color="auto" w:fill="FFFFFF"/>
        </w:rPr>
      </w:pPr>
      <w:r w:rsidRPr="00F12E8B">
        <w:rPr>
          <w:rFonts w:ascii="Times New Roman" w:hAnsi="Times New Roman"/>
          <w:spacing w:val="3"/>
          <w:sz w:val="20"/>
          <w:szCs w:val="20"/>
          <w:shd w:val="clear" w:color="auto" w:fill="FFFFFF"/>
        </w:rPr>
        <w:t>O</w:t>
      </w:r>
      <w:r w:rsidR="00C45D9C" w:rsidRPr="00F12E8B">
        <w:rPr>
          <w:rFonts w:ascii="Times New Roman" w:hAnsi="Times New Roman"/>
          <w:spacing w:val="3"/>
          <w:sz w:val="20"/>
          <w:szCs w:val="20"/>
          <w:shd w:val="clear" w:color="auto" w:fill="FFFFFF"/>
        </w:rPr>
        <w:t>CF</w:t>
      </w:r>
      <w:r w:rsidRPr="00F12E8B">
        <w:rPr>
          <w:rFonts w:ascii="Times New Roman" w:hAnsi="Times New Roman"/>
          <w:spacing w:val="3"/>
          <w:sz w:val="20"/>
          <w:szCs w:val="20"/>
          <w:shd w:val="clear" w:color="auto" w:fill="FFFFFF"/>
        </w:rPr>
        <w:t xml:space="preserve">ROE = </w:t>
      </w:r>
      <m:oMath>
        <m:f>
          <m:fPr>
            <m:ctrlPr>
              <w:rPr>
                <w:rFonts w:ascii="Cambria Math" w:hAnsi="Times New Roman"/>
                <w:i/>
                <w:sz w:val="20"/>
                <w:szCs w:val="20"/>
              </w:rPr>
            </m:ctrlPr>
          </m:fPr>
          <m:num>
            <m:r>
              <m:rPr>
                <m:sty m:val="p"/>
              </m:rPr>
              <w:rPr>
                <w:rFonts w:ascii="Cambria Math" w:hAnsi="Times New Roman"/>
                <w:sz w:val="20"/>
                <w:szCs w:val="20"/>
              </w:rPr>
              <m:t>Net Cash Flow from Operating Activities</m:t>
            </m:r>
          </m:num>
          <m:den>
            <m:r>
              <m:rPr>
                <m:sty m:val="p"/>
              </m:rPr>
              <w:rPr>
                <w:rFonts w:ascii="Cambria Math" w:hAnsi="Times New Roman"/>
                <w:sz w:val="20"/>
                <w:szCs w:val="20"/>
              </w:rPr>
              <m:t>Total Equity</m:t>
            </m:r>
          </m:den>
        </m:f>
      </m:oMath>
      <w:r w:rsidR="00F23CD7" w:rsidRPr="00F12E8B">
        <w:rPr>
          <w:rFonts w:ascii="Times New Roman" w:hAnsi="Times New Roman"/>
          <w:sz w:val="20"/>
          <w:szCs w:val="20"/>
        </w:rPr>
        <w:t xml:space="preserve"> X 100</w:t>
      </w:r>
      <w:r w:rsidR="00F23CD7" w:rsidRPr="00F12E8B">
        <w:rPr>
          <w:rFonts w:ascii="Times New Roman" w:hAnsi="Times New Roman"/>
          <w:sz w:val="20"/>
          <w:szCs w:val="20"/>
        </w:rPr>
        <w:tab/>
      </w:r>
      <w:r w:rsidR="00F23CD7" w:rsidRPr="00F12E8B">
        <w:rPr>
          <w:rFonts w:ascii="Times New Roman" w:hAnsi="Times New Roman"/>
          <w:sz w:val="20"/>
          <w:szCs w:val="20"/>
        </w:rPr>
        <w:tab/>
      </w:r>
      <w:r w:rsidR="00F23CD7" w:rsidRPr="00F12E8B">
        <w:rPr>
          <w:rFonts w:ascii="Times New Roman" w:hAnsi="Times New Roman"/>
          <w:sz w:val="20"/>
          <w:szCs w:val="20"/>
        </w:rPr>
        <w:tab/>
      </w:r>
      <w:r w:rsidR="00F23CD7" w:rsidRPr="00F12E8B">
        <w:rPr>
          <w:rFonts w:ascii="Times New Roman" w:hAnsi="Times New Roman"/>
          <w:sz w:val="20"/>
          <w:szCs w:val="20"/>
        </w:rPr>
        <w:tab/>
        <w:t>(</w:t>
      </w:r>
      <w:r w:rsidR="00AB7890" w:rsidRPr="00F12E8B">
        <w:rPr>
          <w:rFonts w:ascii="Times New Roman" w:hAnsi="Times New Roman"/>
          <w:sz w:val="20"/>
          <w:szCs w:val="20"/>
        </w:rPr>
        <w:t>6</w:t>
      </w:r>
      <w:r w:rsidR="00F23CD7" w:rsidRPr="00F12E8B">
        <w:rPr>
          <w:rFonts w:ascii="Times New Roman" w:hAnsi="Times New Roman"/>
          <w:sz w:val="20"/>
          <w:szCs w:val="20"/>
        </w:rPr>
        <w:t>)</w:t>
      </w:r>
    </w:p>
    <w:p w:rsidR="00952F71" w:rsidRPr="00F12E8B" w:rsidRDefault="00FC3D2C" w:rsidP="00C512DE">
      <w:pPr>
        <w:spacing w:after="0" w:line="240" w:lineRule="auto"/>
        <w:jc w:val="both"/>
        <w:rPr>
          <w:rFonts w:ascii="Times New Roman" w:hAnsi="Times New Roman"/>
          <w:sz w:val="20"/>
          <w:szCs w:val="20"/>
          <w:shd w:val="clear" w:color="auto" w:fill="FFFFFF"/>
        </w:rPr>
      </w:pPr>
      <w:r w:rsidRPr="00F12E8B">
        <w:rPr>
          <w:rFonts w:ascii="Times New Roman" w:hAnsi="Times New Roman"/>
          <w:sz w:val="20"/>
          <w:szCs w:val="20"/>
        </w:rPr>
        <w:tab/>
      </w:r>
      <w:r w:rsidR="00952F71" w:rsidRPr="00F12E8B">
        <w:rPr>
          <w:rFonts w:ascii="Times New Roman" w:hAnsi="Times New Roman"/>
          <w:sz w:val="20"/>
          <w:szCs w:val="20"/>
        </w:rPr>
        <w:t xml:space="preserve">The above </w:t>
      </w:r>
      <w:r w:rsidR="00C45D9C" w:rsidRPr="00F12E8B">
        <w:rPr>
          <w:rFonts w:ascii="Times New Roman" w:hAnsi="Times New Roman"/>
          <w:sz w:val="20"/>
          <w:szCs w:val="20"/>
        </w:rPr>
        <w:t xml:space="preserve">Operating Cash Flow Ratio </w:t>
      </w:r>
      <w:r w:rsidR="00854231" w:rsidRPr="00F12E8B">
        <w:rPr>
          <w:rFonts w:ascii="Times New Roman" w:hAnsi="Times New Roman"/>
          <w:sz w:val="20"/>
          <w:szCs w:val="20"/>
        </w:rPr>
        <w:t>Return on Equity</w:t>
      </w:r>
      <w:r w:rsidR="00952F71" w:rsidRPr="00F12E8B">
        <w:rPr>
          <w:rFonts w:ascii="Times New Roman" w:hAnsi="Times New Roman"/>
          <w:sz w:val="20"/>
          <w:szCs w:val="20"/>
        </w:rPr>
        <w:t xml:space="preserve"> (</w:t>
      </w:r>
      <w:r w:rsidR="00952F71" w:rsidRPr="00F12E8B">
        <w:rPr>
          <w:rFonts w:ascii="Times New Roman" w:hAnsi="Times New Roman"/>
          <w:spacing w:val="3"/>
          <w:sz w:val="20"/>
          <w:szCs w:val="20"/>
          <w:shd w:val="clear" w:color="auto" w:fill="FFFFFF"/>
        </w:rPr>
        <w:t>O</w:t>
      </w:r>
      <w:r w:rsidR="00C45D9C" w:rsidRPr="00F12E8B">
        <w:rPr>
          <w:rFonts w:ascii="Times New Roman" w:hAnsi="Times New Roman"/>
          <w:spacing w:val="3"/>
          <w:sz w:val="20"/>
          <w:szCs w:val="20"/>
          <w:shd w:val="clear" w:color="auto" w:fill="FFFFFF"/>
        </w:rPr>
        <w:t>CF</w:t>
      </w:r>
      <w:r w:rsidR="00952F71" w:rsidRPr="00F12E8B">
        <w:rPr>
          <w:rFonts w:ascii="Times New Roman" w:hAnsi="Times New Roman"/>
          <w:spacing w:val="3"/>
          <w:sz w:val="20"/>
          <w:szCs w:val="20"/>
          <w:shd w:val="clear" w:color="auto" w:fill="FFFFFF"/>
        </w:rPr>
        <w:t>ROE</w:t>
      </w:r>
      <w:r w:rsidR="00952F71" w:rsidRPr="00F12E8B">
        <w:rPr>
          <w:rFonts w:ascii="Times New Roman" w:hAnsi="Times New Roman"/>
          <w:sz w:val="20"/>
          <w:szCs w:val="20"/>
        </w:rPr>
        <w:t>)</w:t>
      </w:r>
      <w:r w:rsidR="00C45D9C" w:rsidRPr="00F12E8B">
        <w:rPr>
          <w:rFonts w:ascii="Times New Roman" w:hAnsi="Times New Roman"/>
          <w:sz w:val="20"/>
          <w:szCs w:val="20"/>
        </w:rPr>
        <w:t xml:space="preserve"> </w:t>
      </w:r>
      <w:r w:rsidR="00B415C8" w:rsidRPr="00F12E8B">
        <w:rPr>
          <w:rFonts w:ascii="Times New Roman" w:hAnsi="Times New Roman"/>
          <w:sz w:val="20"/>
          <w:szCs w:val="20"/>
        </w:rPr>
        <w:t>o</w:t>
      </w:r>
      <w:r w:rsidR="00C45D9C" w:rsidRPr="00F12E8B">
        <w:rPr>
          <w:rFonts w:ascii="Times New Roman" w:hAnsi="Times New Roman"/>
          <w:sz w:val="20"/>
          <w:szCs w:val="20"/>
        </w:rPr>
        <w:t xml:space="preserve">n the numerator use Operating Cash Flow </w:t>
      </w:r>
      <w:r w:rsidR="00C45D9C" w:rsidRPr="00F12E8B">
        <w:rPr>
          <w:rFonts w:ascii="Times New Roman" w:hAnsi="Times New Roman"/>
          <w:color w:val="000813"/>
          <w:spacing w:val="2"/>
          <w:sz w:val="20"/>
          <w:szCs w:val="20"/>
        </w:rPr>
        <w:t>instead of net income</w:t>
      </w:r>
      <w:r w:rsidR="00C45D9C" w:rsidRPr="00F12E8B">
        <w:rPr>
          <w:rFonts w:ascii="Times New Roman" w:hAnsi="Times New Roman"/>
          <w:sz w:val="20"/>
          <w:szCs w:val="20"/>
        </w:rPr>
        <w:t xml:space="preserve"> and </w:t>
      </w:r>
      <w:r w:rsidR="00952F71" w:rsidRPr="00F12E8B">
        <w:rPr>
          <w:rFonts w:ascii="Times New Roman" w:hAnsi="Times New Roman"/>
          <w:sz w:val="20"/>
          <w:szCs w:val="20"/>
        </w:rPr>
        <w:t xml:space="preserve">is </w:t>
      </w:r>
      <w:r w:rsidR="00952F71" w:rsidRPr="00F12E8B">
        <w:rPr>
          <w:rFonts w:ascii="Times New Roman" w:hAnsi="Times New Roman"/>
          <w:color w:val="000813"/>
          <w:spacing w:val="2"/>
          <w:sz w:val="20"/>
          <w:szCs w:val="20"/>
        </w:rPr>
        <w:t xml:space="preserve">similar to ROE. This is a basic ratio to show you how well the </w:t>
      </w:r>
      <w:r w:rsidR="00787FCA" w:rsidRPr="00F12E8B">
        <w:rPr>
          <w:rFonts w:ascii="Times New Roman" w:hAnsi="Times New Roman"/>
          <w:color w:val="000813"/>
          <w:spacing w:val="2"/>
          <w:sz w:val="20"/>
          <w:szCs w:val="20"/>
        </w:rPr>
        <w:t>bank</w:t>
      </w:r>
      <w:r w:rsidR="00952F71" w:rsidRPr="00F12E8B">
        <w:rPr>
          <w:rFonts w:ascii="Times New Roman" w:hAnsi="Times New Roman"/>
          <w:color w:val="000813"/>
          <w:spacing w:val="2"/>
          <w:sz w:val="20"/>
          <w:szCs w:val="20"/>
        </w:rPr>
        <w:t xml:space="preserve"> uses its equity to generate cash flow.</w:t>
      </w:r>
      <w:r w:rsidR="00527A83" w:rsidRPr="00F12E8B">
        <w:rPr>
          <w:rFonts w:ascii="Times New Roman" w:hAnsi="Times New Roman"/>
          <w:color w:val="000813"/>
          <w:spacing w:val="2"/>
          <w:sz w:val="20"/>
          <w:szCs w:val="20"/>
        </w:rPr>
        <w:t xml:space="preserve"> </w:t>
      </w:r>
      <w:r w:rsidR="00527A83" w:rsidRPr="00F12E8B">
        <w:rPr>
          <w:rFonts w:ascii="Times New Roman" w:hAnsi="Times New Roman"/>
          <w:sz w:val="20"/>
          <w:szCs w:val="20"/>
        </w:rPr>
        <w:t>Cash Flow from Operative Activities (</w:t>
      </w:r>
      <w:r w:rsidR="00527A83" w:rsidRPr="00F12E8B">
        <w:rPr>
          <w:rFonts w:ascii="Times New Roman" w:hAnsi="Times New Roman"/>
          <w:spacing w:val="3"/>
          <w:sz w:val="20"/>
          <w:szCs w:val="20"/>
          <w:shd w:val="clear" w:color="auto" w:fill="FFFFFF"/>
        </w:rPr>
        <w:t>CFOROE</w:t>
      </w:r>
      <w:r w:rsidR="00527A83" w:rsidRPr="00F12E8B">
        <w:rPr>
          <w:rFonts w:ascii="Times New Roman" w:hAnsi="Times New Roman"/>
          <w:sz w:val="20"/>
          <w:szCs w:val="20"/>
        </w:rPr>
        <w:t xml:space="preserve">) </w:t>
      </w:r>
      <w:r w:rsidR="00527A83" w:rsidRPr="00F12E8B">
        <w:rPr>
          <w:rFonts w:ascii="Times New Roman" w:hAnsi="Times New Roman"/>
          <w:sz w:val="20"/>
          <w:szCs w:val="20"/>
          <w:shd w:val="clear" w:color="auto" w:fill="FFFFFF"/>
        </w:rPr>
        <w:t>is a term that refers how much cash flow</w:t>
      </w:r>
      <w:r w:rsidR="00B415C8" w:rsidRPr="00F12E8B">
        <w:rPr>
          <w:rFonts w:ascii="Times New Roman" w:hAnsi="Times New Roman"/>
          <w:sz w:val="20"/>
          <w:szCs w:val="20"/>
          <w:shd w:val="clear" w:color="auto" w:fill="FFFFFF"/>
        </w:rPr>
        <w:t>s</w:t>
      </w:r>
      <w:r w:rsidR="00527A83" w:rsidRPr="00F12E8B">
        <w:rPr>
          <w:rFonts w:ascii="Times New Roman" w:hAnsi="Times New Roman"/>
          <w:sz w:val="20"/>
          <w:szCs w:val="20"/>
          <w:shd w:val="clear" w:color="auto" w:fill="FFFFFF"/>
        </w:rPr>
        <w:t xml:space="preserve"> seems to one unit of money of the invested capital. It is derived from the ratio ROE - Return on Equity, in which profit is replaced </w:t>
      </w:r>
      <w:r w:rsidR="00B415C8" w:rsidRPr="00F12E8B">
        <w:rPr>
          <w:rFonts w:ascii="Times New Roman" w:hAnsi="Times New Roman"/>
          <w:sz w:val="20"/>
          <w:szCs w:val="20"/>
        </w:rPr>
        <w:t xml:space="preserve">on the numerator </w:t>
      </w:r>
      <w:r w:rsidR="00527A83" w:rsidRPr="00F12E8B">
        <w:rPr>
          <w:rFonts w:ascii="Times New Roman" w:hAnsi="Times New Roman"/>
          <w:sz w:val="20"/>
          <w:szCs w:val="20"/>
          <w:shd w:val="clear" w:color="auto" w:fill="FFFFFF"/>
        </w:rPr>
        <w:t>by cash flow</w:t>
      </w:r>
      <w:r w:rsidR="00B415C8" w:rsidRPr="00F12E8B">
        <w:rPr>
          <w:rFonts w:ascii="Times New Roman" w:hAnsi="Times New Roman"/>
          <w:sz w:val="20"/>
          <w:szCs w:val="20"/>
          <w:shd w:val="clear" w:color="auto" w:fill="FFFFFF"/>
        </w:rPr>
        <w:t>s</w:t>
      </w:r>
      <w:r w:rsidR="00F23CD7" w:rsidRPr="00F12E8B">
        <w:rPr>
          <w:rFonts w:ascii="Times New Roman" w:hAnsi="Times New Roman"/>
          <w:sz w:val="20"/>
          <w:szCs w:val="20"/>
          <w:shd w:val="clear" w:color="auto" w:fill="FFFFFF"/>
        </w:rPr>
        <w:t xml:space="preserve"> from operative activities</w:t>
      </w:r>
      <w:r w:rsidR="00D334CD" w:rsidRPr="00F12E8B">
        <w:rPr>
          <w:rFonts w:ascii="Times New Roman" w:hAnsi="Times New Roman"/>
          <w:sz w:val="20"/>
          <w:szCs w:val="20"/>
          <w:shd w:val="clear" w:color="auto" w:fill="FFFFFF"/>
        </w:rPr>
        <w:t xml:space="preserve"> (https://managementmania.com/en/roe-cf-cash-flow-return-on-equity)</w:t>
      </w:r>
      <w:r w:rsidR="00F23CD7" w:rsidRPr="00F12E8B">
        <w:rPr>
          <w:rFonts w:ascii="Times New Roman" w:hAnsi="Times New Roman"/>
          <w:sz w:val="20"/>
          <w:szCs w:val="20"/>
          <w:shd w:val="clear" w:color="auto" w:fill="FFFFFF"/>
        </w:rPr>
        <w:t>.</w:t>
      </w:r>
    </w:p>
    <w:p w:rsidR="00E676D3" w:rsidRPr="00F12E8B" w:rsidRDefault="00FC3D2C" w:rsidP="00C512DE">
      <w:pPr>
        <w:spacing w:after="0" w:line="240" w:lineRule="auto"/>
        <w:jc w:val="both"/>
        <w:rPr>
          <w:rFonts w:ascii="Times New Roman" w:hAnsi="Times New Roman"/>
          <w:spacing w:val="3"/>
          <w:sz w:val="20"/>
          <w:szCs w:val="20"/>
          <w:shd w:val="clear" w:color="auto" w:fill="FFFFFF"/>
        </w:rPr>
      </w:pPr>
      <w:r w:rsidRPr="00F12E8B">
        <w:rPr>
          <w:rFonts w:ascii="Times New Roman" w:hAnsi="Times New Roman"/>
          <w:spacing w:val="3"/>
          <w:sz w:val="20"/>
          <w:szCs w:val="20"/>
          <w:shd w:val="clear" w:color="auto" w:fill="FFFFFF"/>
        </w:rPr>
        <w:tab/>
      </w:r>
      <w:r w:rsidR="00F23F65" w:rsidRPr="00F12E8B">
        <w:rPr>
          <w:rFonts w:ascii="Times New Roman" w:hAnsi="Times New Roman"/>
          <w:spacing w:val="3"/>
          <w:sz w:val="20"/>
          <w:szCs w:val="20"/>
          <w:shd w:val="clear" w:color="auto" w:fill="FFFFFF"/>
        </w:rPr>
        <w:t>7</w:t>
      </w:r>
      <w:r w:rsidR="00E676D3" w:rsidRPr="00F12E8B">
        <w:rPr>
          <w:rFonts w:ascii="Times New Roman" w:hAnsi="Times New Roman"/>
          <w:spacing w:val="3"/>
          <w:sz w:val="20"/>
          <w:szCs w:val="20"/>
          <w:shd w:val="clear" w:color="auto" w:fill="FFFFFF"/>
        </w:rPr>
        <w:t xml:space="preserve">) </w:t>
      </w:r>
      <w:r w:rsidR="00391000" w:rsidRPr="00F12E8B">
        <w:rPr>
          <w:rFonts w:ascii="Times New Roman" w:hAnsi="Times New Roman"/>
          <w:sz w:val="20"/>
          <w:szCs w:val="20"/>
        </w:rPr>
        <w:t>Operati</w:t>
      </w:r>
      <w:r w:rsidR="00C45D9C" w:rsidRPr="00F12E8B">
        <w:rPr>
          <w:rFonts w:ascii="Times New Roman" w:hAnsi="Times New Roman"/>
          <w:sz w:val="20"/>
          <w:szCs w:val="20"/>
        </w:rPr>
        <w:t>ng Cash Flow</w:t>
      </w:r>
      <w:r w:rsidR="00391000" w:rsidRPr="00F12E8B">
        <w:rPr>
          <w:rFonts w:ascii="Times New Roman" w:hAnsi="Times New Roman"/>
          <w:sz w:val="20"/>
          <w:szCs w:val="20"/>
        </w:rPr>
        <w:t xml:space="preserve"> </w:t>
      </w:r>
      <w:r w:rsidR="00E676D3" w:rsidRPr="00F12E8B">
        <w:rPr>
          <w:rFonts w:ascii="Times New Roman" w:hAnsi="Times New Roman"/>
          <w:sz w:val="20"/>
          <w:szCs w:val="20"/>
        </w:rPr>
        <w:t>Ratio Return on Assets (</w:t>
      </w:r>
      <w:r w:rsidR="00E676D3" w:rsidRPr="00F12E8B">
        <w:rPr>
          <w:rFonts w:ascii="Times New Roman" w:hAnsi="Times New Roman"/>
          <w:spacing w:val="3"/>
          <w:sz w:val="20"/>
          <w:szCs w:val="20"/>
          <w:shd w:val="clear" w:color="auto" w:fill="FFFFFF"/>
        </w:rPr>
        <w:t>CFOROA</w:t>
      </w:r>
      <w:r w:rsidR="00E676D3" w:rsidRPr="00F12E8B">
        <w:rPr>
          <w:rFonts w:ascii="Times New Roman" w:hAnsi="Times New Roman"/>
          <w:sz w:val="20"/>
          <w:szCs w:val="20"/>
        </w:rPr>
        <w:t>)</w:t>
      </w:r>
    </w:p>
    <w:p w:rsidR="00952F71" w:rsidRPr="00F12E8B" w:rsidRDefault="00952F71" w:rsidP="00F23CD7">
      <w:pPr>
        <w:spacing w:after="0" w:line="240" w:lineRule="auto"/>
        <w:jc w:val="both"/>
        <w:rPr>
          <w:rFonts w:ascii="Times New Roman" w:hAnsi="Times New Roman"/>
          <w:spacing w:val="3"/>
          <w:sz w:val="20"/>
          <w:szCs w:val="20"/>
          <w:shd w:val="clear" w:color="auto" w:fill="FFFFFF"/>
        </w:rPr>
      </w:pPr>
      <w:r w:rsidRPr="00F12E8B">
        <w:rPr>
          <w:rFonts w:ascii="Times New Roman" w:hAnsi="Times New Roman"/>
          <w:spacing w:val="3"/>
          <w:sz w:val="20"/>
          <w:szCs w:val="20"/>
          <w:shd w:val="clear" w:color="auto" w:fill="FFFFFF"/>
        </w:rPr>
        <w:t>O</w:t>
      </w:r>
      <w:r w:rsidR="00C45D9C" w:rsidRPr="00F12E8B">
        <w:rPr>
          <w:rFonts w:ascii="Times New Roman" w:hAnsi="Times New Roman"/>
          <w:spacing w:val="3"/>
          <w:sz w:val="20"/>
          <w:szCs w:val="20"/>
          <w:shd w:val="clear" w:color="auto" w:fill="FFFFFF"/>
        </w:rPr>
        <w:t>CF</w:t>
      </w:r>
      <w:r w:rsidRPr="00F12E8B">
        <w:rPr>
          <w:rFonts w:ascii="Times New Roman" w:hAnsi="Times New Roman"/>
          <w:spacing w:val="3"/>
          <w:sz w:val="20"/>
          <w:szCs w:val="20"/>
          <w:shd w:val="clear" w:color="auto" w:fill="FFFFFF"/>
        </w:rPr>
        <w:t xml:space="preserve">ROA = </w:t>
      </w:r>
      <m:oMath>
        <m:f>
          <m:fPr>
            <m:ctrlPr>
              <w:rPr>
                <w:rFonts w:ascii="Cambria Math" w:hAnsi="Times New Roman"/>
                <w:i/>
                <w:sz w:val="20"/>
                <w:szCs w:val="20"/>
              </w:rPr>
            </m:ctrlPr>
          </m:fPr>
          <m:num>
            <m:r>
              <m:rPr>
                <m:sty m:val="p"/>
              </m:rPr>
              <w:rPr>
                <w:rFonts w:ascii="Cambria Math" w:hAnsi="Times New Roman"/>
                <w:sz w:val="20"/>
                <w:szCs w:val="20"/>
              </w:rPr>
              <m:t>Net Cash Flow from Operating Activities</m:t>
            </m:r>
          </m:num>
          <m:den>
            <m:r>
              <m:rPr>
                <m:sty m:val="p"/>
              </m:rPr>
              <w:rPr>
                <w:rFonts w:ascii="Cambria Math" w:hAnsi="Times New Roman"/>
                <w:sz w:val="20"/>
                <w:szCs w:val="20"/>
              </w:rPr>
              <m:t>Total Assets</m:t>
            </m:r>
          </m:den>
        </m:f>
      </m:oMath>
      <w:r w:rsidR="00F23CD7" w:rsidRPr="00F12E8B">
        <w:rPr>
          <w:rFonts w:ascii="Times New Roman" w:hAnsi="Times New Roman"/>
          <w:sz w:val="20"/>
          <w:szCs w:val="20"/>
        </w:rPr>
        <w:t xml:space="preserve"> X 100 </w:t>
      </w:r>
      <w:r w:rsidR="00F23CD7" w:rsidRPr="00F12E8B">
        <w:rPr>
          <w:rFonts w:ascii="Times New Roman" w:hAnsi="Times New Roman"/>
          <w:sz w:val="20"/>
          <w:szCs w:val="20"/>
        </w:rPr>
        <w:tab/>
      </w:r>
      <w:r w:rsidR="00F23CD7" w:rsidRPr="00F12E8B">
        <w:rPr>
          <w:rFonts w:ascii="Times New Roman" w:hAnsi="Times New Roman"/>
          <w:sz w:val="20"/>
          <w:szCs w:val="20"/>
        </w:rPr>
        <w:tab/>
      </w:r>
      <w:r w:rsidR="00F23CD7" w:rsidRPr="00F12E8B">
        <w:rPr>
          <w:rFonts w:ascii="Times New Roman" w:hAnsi="Times New Roman"/>
          <w:sz w:val="20"/>
          <w:szCs w:val="20"/>
        </w:rPr>
        <w:tab/>
        <w:t>(</w:t>
      </w:r>
      <w:r w:rsidR="00AB7890" w:rsidRPr="00F12E8B">
        <w:rPr>
          <w:rFonts w:ascii="Times New Roman" w:hAnsi="Times New Roman"/>
          <w:sz w:val="20"/>
          <w:szCs w:val="20"/>
        </w:rPr>
        <w:t>7</w:t>
      </w:r>
      <w:r w:rsidR="00F23CD7" w:rsidRPr="00F12E8B">
        <w:rPr>
          <w:rFonts w:ascii="Times New Roman" w:hAnsi="Times New Roman"/>
          <w:sz w:val="20"/>
          <w:szCs w:val="20"/>
        </w:rPr>
        <w:t>)</w:t>
      </w:r>
    </w:p>
    <w:p w:rsidR="00952F71" w:rsidRPr="00F12E8B" w:rsidRDefault="00FC3D2C" w:rsidP="00F23CD7">
      <w:pPr>
        <w:pStyle w:val="Web"/>
        <w:shd w:val="clear" w:color="auto" w:fill="FFFFFF"/>
        <w:spacing w:before="0" w:beforeAutospacing="0" w:after="0" w:afterAutospacing="0"/>
        <w:jc w:val="both"/>
        <w:rPr>
          <w:color w:val="000813"/>
          <w:spacing w:val="2"/>
          <w:sz w:val="20"/>
          <w:szCs w:val="20"/>
          <w:lang w:val="en-US"/>
        </w:rPr>
      </w:pPr>
      <w:r w:rsidRPr="00F12E8B">
        <w:rPr>
          <w:sz w:val="20"/>
          <w:szCs w:val="20"/>
          <w:lang w:val="en-US"/>
        </w:rPr>
        <w:tab/>
      </w:r>
      <w:r w:rsidR="00B415C8" w:rsidRPr="00F12E8B">
        <w:rPr>
          <w:sz w:val="20"/>
          <w:szCs w:val="20"/>
          <w:lang w:val="en-US"/>
        </w:rPr>
        <w:t>The above Operating Cash Flow Ratio Return on Equity (</w:t>
      </w:r>
      <w:r w:rsidR="00B415C8" w:rsidRPr="00F12E8B">
        <w:rPr>
          <w:spacing w:val="3"/>
          <w:sz w:val="20"/>
          <w:szCs w:val="20"/>
          <w:shd w:val="clear" w:color="auto" w:fill="FFFFFF"/>
          <w:lang w:val="en-US"/>
        </w:rPr>
        <w:t>OCFROA</w:t>
      </w:r>
      <w:r w:rsidR="00B415C8" w:rsidRPr="00F12E8B">
        <w:rPr>
          <w:sz w:val="20"/>
          <w:szCs w:val="20"/>
          <w:lang w:val="en-US"/>
        </w:rPr>
        <w:t xml:space="preserve">) in the numerator use Operating Cash Flow </w:t>
      </w:r>
      <w:r w:rsidR="00B415C8" w:rsidRPr="00F12E8B">
        <w:rPr>
          <w:color w:val="000813"/>
          <w:spacing w:val="2"/>
          <w:sz w:val="20"/>
          <w:szCs w:val="20"/>
          <w:lang w:val="en-US"/>
        </w:rPr>
        <w:t>instead of net income</w:t>
      </w:r>
      <w:r w:rsidR="00B415C8" w:rsidRPr="00F12E8B">
        <w:rPr>
          <w:sz w:val="20"/>
          <w:szCs w:val="20"/>
          <w:lang w:val="en-US"/>
        </w:rPr>
        <w:t xml:space="preserve"> and is </w:t>
      </w:r>
      <w:r w:rsidR="00B415C8" w:rsidRPr="00F12E8B">
        <w:rPr>
          <w:color w:val="000813"/>
          <w:spacing w:val="2"/>
          <w:sz w:val="20"/>
          <w:szCs w:val="20"/>
          <w:lang w:val="en-US"/>
        </w:rPr>
        <w:t xml:space="preserve">similar to ROA. </w:t>
      </w:r>
      <w:r w:rsidR="00952F71" w:rsidRPr="00F12E8B">
        <w:rPr>
          <w:color w:val="000813"/>
          <w:spacing w:val="2"/>
          <w:sz w:val="20"/>
          <w:szCs w:val="20"/>
          <w:lang w:val="en-US"/>
        </w:rPr>
        <w:t xml:space="preserve">This is a basic ratio to show </w:t>
      </w:r>
      <w:r w:rsidR="00B415C8" w:rsidRPr="00F12E8B">
        <w:rPr>
          <w:color w:val="000813"/>
          <w:spacing w:val="2"/>
          <w:sz w:val="20"/>
          <w:szCs w:val="20"/>
          <w:lang w:val="en-US"/>
        </w:rPr>
        <w:t>us</w:t>
      </w:r>
      <w:r w:rsidR="00952F71" w:rsidRPr="00F12E8B">
        <w:rPr>
          <w:color w:val="000813"/>
          <w:spacing w:val="2"/>
          <w:sz w:val="20"/>
          <w:szCs w:val="20"/>
          <w:lang w:val="en-US"/>
        </w:rPr>
        <w:t xml:space="preserve"> how well the </w:t>
      </w:r>
      <w:r w:rsidR="00B415C8" w:rsidRPr="00F12E8B">
        <w:rPr>
          <w:color w:val="000813"/>
          <w:spacing w:val="2"/>
          <w:sz w:val="20"/>
          <w:szCs w:val="20"/>
          <w:lang w:val="en-US"/>
        </w:rPr>
        <w:t>bank</w:t>
      </w:r>
      <w:r w:rsidR="00952F71" w:rsidRPr="00F12E8B">
        <w:rPr>
          <w:color w:val="000813"/>
          <w:spacing w:val="2"/>
          <w:sz w:val="20"/>
          <w:szCs w:val="20"/>
          <w:lang w:val="en-US"/>
        </w:rPr>
        <w:t xml:space="preserve"> uses its assets to generate </w:t>
      </w:r>
      <w:r w:rsidR="00B415C8" w:rsidRPr="00F12E8B">
        <w:rPr>
          <w:color w:val="000813"/>
          <w:spacing w:val="2"/>
          <w:sz w:val="20"/>
          <w:szCs w:val="20"/>
          <w:lang w:val="en-US"/>
        </w:rPr>
        <w:t xml:space="preserve">operating </w:t>
      </w:r>
      <w:r w:rsidR="00952F71" w:rsidRPr="00F12E8B">
        <w:rPr>
          <w:color w:val="000813"/>
          <w:spacing w:val="2"/>
          <w:sz w:val="20"/>
          <w:szCs w:val="20"/>
          <w:lang w:val="en-US"/>
        </w:rPr>
        <w:t>cash flow</w:t>
      </w:r>
      <w:r w:rsidR="00B415C8" w:rsidRPr="00F12E8B">
        <w:rPr>
          <w:color w:val="000813"/>
          <w:spacing w:val="2"/>
          <w:sz w:val="20"/>
          <w:szCs w:val="20"/>
          <w:lang w:val="en-US"/>
        </w:rPr>
        <w:t>s</w:t>
      </w:r>
      <w:r w:rsidR="00952F71" w:rsidRPr="00F12E8B">
        <w:rPr>
          <w:color w:val="000813"/>
          <w:spacing w:val="2"/>
          <w:sz w:val="20"/>
          <w:szCs w:val="20"/>
          <w:lang w:val="en-US"/>
        </w:rPr>
        <w:t>.</w:t>
      </w:r>
      <w:r w:rsidR="00527A83" w:rsidRPr="00F12E8B">
        <w:rPr>
          <w:color w:val="000813"/>
          <w:spacing w:val="2"/>
          <w:sz w:val="20"/>
          <w:szCs w:val="20"/>
          <w:lang w:val="en-US"/>
        </w:rPr>
        <w:t xml:space="preserve"> </w:t>
      </w:r>
      <w:r w:rsidR="00527A83" w:rsidRPr="00F12E8B">
        <w:rPr>
          <w:sz w:val="20"/>
          <w:szCs w:val="20"/>
          <w:shd w:val="clear" w:color="auto" w:fill="FFFFFF"/>
          <w:lang w:val="en-US"/>
        </w:rPr>
        <w:t xml:space="preserve">It is derived from the ratio ROA - Return on Assets, in which profit is replaced </w:t>
      </w:r>
      <w:r w:rsidR="00B415C8" w:rsidRPr="00F12E8B">
        <w:rPr>
          <w:sz w:val="20"/>
          <w:szCs w:val="20"/>
          <w:shd w:val="clear" w:color="auto" w:fill="FFFFFF"/>
          <w:lang w:val="en-US"/>
        </w:rPr>
        <w:t xml:space="preserve">on numerator </w:t>
      </w:r>
      <w:r w:rsidR="00527A83" w:rsidRPr="00F12E8B">
        <w:rPr>
          <w:sz w:val="20"/>
          <w:szCs w:val="20"/>
          <w:shd w:val="clear" w:color="auto" w:fill="FFFFFF"/>
          <w:lang w:val="en-US"/>
        </w:rPr>
        <w:t xml:space="preserve">by </w:t>
      </w:r>
      <w:r w:rsidR="00B415C8" w:rsidRPr="00F12E8B">
        <w:rPr>
          <w:sz w:val="20"/>
          <w:szCs w:val="20"/>
          <w:shd w:val="clear" w:color="auto" w:fill="FFFFFF"/>
          <w:lang w:val="en-US"/>
        </w:rPr>
        <w:t xml:space="preserve">the </w:t>
      </w:r>
      <w:r w:rsidR="00527A83" w:rsidRPr="00F12E8B">
        <w:rPr>
          <w:sz w:val="20"/>
          <w:szCs w:val="20"/>
          <w:shd w:val="clear" w:color="auto" w:fill="FFFFFF"/>
          <w:lang w:val="en-US"/>
        </w:rPr>
        <w:t>cash flow</w:t>
      </w:r>
      <w:r w:rsidR="00B415C8" w:rsidRPr="00F12E8B">
        <w:rPr>
          <w:sz w:val="20"/>
          <w:szCs w:val="20"/>
          <w:shd w:val="clear" w:color="auto" w:fill="FFFFFF"/>
          <w:lang w:val="en-US"/>
        </w:rPr>
        <w:t>s</w:t>
      </w:r>
      <w:r w:rsidR="00F23CD7" w:rsidRPr="00F12E8B">
        <w:rPr>
          <w:sz w:val="20"/>
          <w:szCs w:val="20"/>
          <w:shd w:val="clear" w:color="auto" w:fill="FFFFFF"/>
          <w:lang w:val="en-US"/>
        </w:rPr>
        <w:t xml:space="preserve"> from operative activities</w:t>
      </w:r>
      <w:r w:rsidR="00D334CD" w:rsidRPr="00F12E8B">
        <w:rPr>
          <w:sz w:val="20"/>
          <w:szCs w:val="20"/>
          <w:shd w:val="clear" w:color="auto" w:fill="FFFFFF"/>
          <w:lang w:val="en-US"/>
        </w:rPr>
        <w:t xml:space="preserve"> (https://managementmania.com/en/roa-cf-cash-flow-return-on-assets)</w:t>
      </w:r>
      <w:r w:rsidR="00F23CD7" w:rsidRPr="00F12E8B">
        <w:rPr>
          <w:sz w:val="20"/>
          <w:szCs w:val="20"/>
          <w:shd w:val="clear" w:color="auto" w:fill="FFFFFF"/>
          <w:lang w:val="en-US"/>
        </w:rPr>
        <w:t>.</w:t>
      </w:r>
    </w:p>
    <w:p w:rsidR="00F23F65" w:rsidRPr="00F12E8B" w:rsidRDefault="00FC3D2C" w:rsidP="00F23F65">
      <w:pPr>
        <w:spacing w:after="0" w:line="240" w:lineRule="auto"/>
        <w:jc w:val="both"/>
        <w:rPr>
          <w:rFonts w:ascii="Times New Roman" w:hAnsi="Times New Roman"/>
          <w:sz w:val="20"/>
          <w:szCs w:val="20"/>
        </w:rPr>
      </w:pPr>
      <w:r w:rsidRPr="00F12E8B">
        <w:rPr>
          <w:rFonts w:ascii="Times New Roman" w:hAnsi="Times New Roman"/>
          <w:sz w:val="20"/>
          <w:szCs w:val="20"/>
        </w:rPr>
        <w:tab/>
      </w:r>
      <w:r w:rsidR="00F23F65" w:rsidRPr="00F12E8B">
        <w:rPr>
          <w:rFonts w:ascii="Times New Roman" w:hAnsi="Times New Roman"/>
          <w:sz w:val="20"/>
          <w:szCs w:val="20"/>
        </w:rPr>
        <w:t>8) DuPont Analysis</w:t>
      </w:r>
      <w:r w:rsidR="001926A7" w:rsidRPr="00F12E8B">
        <w:rPr>
          <w:rFonts w:ascii="Times New Roman" w:hAnsi="Times New Roman"/>
          <w:sz w:val="20"/>
          <w:szCs w:val="20"/>
        </w:rPr>
        <w:t xml:space="preserve"> </w:t>
      </w:r>
      <w:r w:rsidR="00F23F65" w:rsidRPr="00F12E8B">
        <w:rPr>
          <w:rFonts w:ascii="Times New Roman" w:hAnsi="Times New Roman"/>
          <w:sz w:val="20"/>
          <w:szCs w:val="20"/>
        </w:rPr>
        <w:t>ROE = ROA x EM</w:t>
      </w:r>
      <w:r w:rsidR="00774553" w:rsidRPr="00F12E8B">
        <w:rPr>
          <w:rFonts w:ascii="Times New Roman" w:hAnsi="Times New Roman"/>
          <w:sz w:val="20"/>
          <w:szCs w:val="20"/>
        </w:rPr>
        <w:tab/>
      </w:r>
      <w:r w:rsidR="00774553" w:rsidRPr="00F12E8B">
        <w:rPr>
          <w:rFonts w:ascii="Times New Roman" w:hAnsi="Times New Roman"/>
          <w:sz w:val="20"/>
          <w:szCs w:val="20"/>
        </w:rPr>
        <w:tab/>
      </w:r>
      <w:r w:rsidR="00774553" w:rsidRPr="00F12E8B">
        <w:rPr>
          <w:rFonts w:ascii="Times New Roman" w:hAnsi="Times New Roman"/>
          <w:sz w:val="20"/>
          <w:szCs w:val="20"/>
        </w:rPr>
        <w:tab/>
      </w:r>
      <w:r w:rsidR="00774553" w:rsidRPr="00F12E8B">
        <w:rPr>
          <w:rFonts w:ascii="Times New Roman" w:hAnsi="Times New Roman"/>
          <w:sz w:val="20"/>
          <w:szCs w:val="20"/>
        </w:rPr>
        <w:tab/>
      </w:r>
      <w:r w:rsidR="00774553" w:rsidRPr="00F12E8B">
        <w:rPr>
          <w:rFonts w:ascii="Times New Roman" w:hAnsi="Times New Roman"/>
          <w:sz w:val="20"/>
          <w:szCs w:val="20"/>
        </w:rPr>
        <w:tab/>
      </w:r>
      <w:r w:rsidR="00774553" w:rsidRPr="00F12E8B">
        <w:rPr>
          <w:rFonts w:ascii="Times New Roman" w:hAnsi="Times New Roman"/>
          <w:sz w:val="20"/>
          <w:szCs w:val="20"/>
        </w:rPr>
        <w:tab/>
        <w:t>(8)</w:t>
      </w:r>
    </w:p>
    <w:p w:rsidR="001926A7" w:rsidRPr="00F12E8B" w:rsidRDefault="001926A7" w:rsidP="00F23F65">
      <w:pPr>
        <w:spacing w:after="0" w:line="240" w:lineRule="auto"/>
        <w:jc w:val="both"/>
        <w:rPr>
          <w:rFonts w:ascii="Times New Roman" w:hAnsi="Times New Roman"/>
          <w:sz w:val="20"/>
          <w:szCs w:val="20"/>
        </w:rPr>
      </w:pPr>
      <w:r w:rsidRPr="00F12E8B">
        <w:rPr>
          <w:rFonts w:ascii="Times New Roman" w:hAnsi="Times New Roman"/>
          <w:sz w:val="20"/>
          <w:szCs w:val="20"/>
        </w:rPr>
        <w:t xml:space="preserve">Where ROE = (EBIT </w:t>
      </w:r>
      <w:r w:rsidRPr="00F12E8B">
        <w:rPr>
          <w:rFonts w:ascii="Times New Roman" w:hAnsi="Times New Roman"/>
          <w:b/>
          <w:sz w:val="20"/>
          <w:szCs w:val="20"/>
        </w:rPr>
        <w:t>/</w:t>
      </w:r>
      <w:r w:rsidRPr="00F12E8B">
        <w:rPr>
          <w:rFonts w:ascii="Times New Roman" w:hAnsi="Times New Roman"/>
          <w:sz w:val="20"/>
          <w:szCs w:val="20"/>
        </w:rPr>
        <w:t xml:space="preserve"> EQUITY)x100</w:t>
      </w:r>
    </w:p>
    <w:p w:rsidR="001926A7" w:rsidRPr="00F12E8B" w:rsidRDefault="001926A7" w:rsidP="00F23F65">
      <w:pPr>
        <w:spacing w:after="0" w:line="240" w:lineRule="auto"/>
        <w:jc w:val="both"/>
        <w:rPr>
          <w:rFonts w:ascii="Times New Roman" w:hAnsi="Times New Roman"/>
          <w:sz w:val="20"/>
          <w:szCs w:val="20"/>
        </w:rPr>
      </w:pPr>
      <w:r w:rsidRPr="00F12E8B">
        <w:rPr>
          <w:rFonts w:ascii="Times New Roman" w:hAnsi="Times New Roman"/>
          <w:sz w:val="20"/>
          <w:szCs w:val="20"/>
        </w:rPr>
        <w:t xml:space="preserve">ROA = (EBIT </w:t>
      </w:r>
      <w:r w:rsidRPr="00F12E8B">
        <w:rPr>
          <w:rFonts w:ascii="Times New Roman" w:hAnsi="Times New Roman"/>
          <w:b/>
          <w:sz w:val="20"/>
          <w:szCs w:val="20"/>
        </w:rPr>
        <w:t>/</w:t>
      </w:r>
      <w:r w:rsidRPr="00F12E8B">
        <w:rPr>
          <w:rFonts w:ascii="Times New Roman" w:hAnsi="Times New Roman"/>
          <w:sz w:val="20"/>
          <w:szCs w:val="20"/>
        </w:rPr>
        <w:t xml:space="preserve"> ASSETS)x100</w:t>
      </w:r>
    </w:p>
    <w:p w:rsidR="001926A7" w:rsidRPr="00F12E8B" w:rsidRDefault="001926A7" w:rsidP="00F23F65">
      <w:pPr>
        <w:spacing w:after="0" w:line="240" w:lineRule="auto"/>
        <w:jc w:val="both"/>
        <w:rPr>
          <w:rFonts w:ascii="Times New Roman" w:hAnsi="Times New Roman"/>
          <w:sz w:val="20"/>
          <w:szCs w:val="20"/>
        </w:rPr>
      </w:pPr>
      <w:r w:rsidRPr="00F12E8B">
        <w:rPr>
          <w:rFonts w:ascii="Times New Roman" w:hAnsi="Times New Roman"/>
          <w:sz w:val="20"/>
          <w:szCs w:val="20"/>
        </w:rPr>
        <w:t xml:space="preserve">EM = ROE </w:t>
      </w:r>
      <w:r w:rsidRPr="00F12E8B">
        <w:rPr>
          <w:rFonts w:ascii="Times New Roman" w:hAnsi="Times New Roman"/>
          <w:b/>
          <w:sz w:val="20"/>
          <w:szCs w:val="20"/>
        </w:rPr>
        <w:t>/</w:t>
      </w:r>
      <w:r w:rsidRPr="00F12E8B">
        <w:rPr>
          <w:rFonts w:ascii="Times New Roman" w:hAnsi="Times New Roman"/>
          <w:sz w:val="20"/>
          <w:szCs w:val="20"/>
        </w:rPr>
        <w:t xml:space="preserve"> ROA = Total Assets / Total Equity</w:t>
      </w:r>
    </w:p>
    <w:p w:rsidR="00B07093" w:rsidRPr="00F12E8B" w:rsidRDefault="00FC3D2C" w:rsidP="00B07093">
      <w:pPr>
        <w:pStyle w:val="Web"/>
        <w:shd w:val="clear" w:color="auto" w:fill="FFFFFF"/>
        <w:spacing w:before="0" w:beforeAutospacing="0" w:after="0" w:afterAutospacing="0"/>
        <w:jc w:val="both"/>
        <w:textAlignment w:val="baseline"/>
        <w:rPr>
          <w:color w:val="303030"/>
          <w:sz w:val="20"/>
          <w:szCs w:val="20"/>
          <w:lang w:val="en-US"/>
        </w:rPr>
      </w:pPr>
      <w:r w:rsidRPr="00F12E8B">
        <w:rPr>
          <w:rStyle w:val="a5"/>
          <w:b w:val="0"/>
          <w:color w:val="303030"/>
          <w:sz w:val="20"/>
          <w:szCs w:val="20"/>
          <w:bdr w:val="none" w:sz="0" w:space="0" w:color="auto" w:frame="1"/>
          <w:lang w:val="en-US"/>
        </w:rPr>
        <w:tab/>
      </w:r>
      <w:r w:rsidR="00B07093" w:rsidRPr="00F12E8B">
        <w:rPr>
          <w:rStyle w:val="a5"/>
          <w:b w:val="0"/>
          <w:color w:val="303030"/>
          <w:sz w:val="20"/>
          <w:szCs w:val="20"/>
          <w:bdr w:val="none" w:sz="0" w:space="0" w:color="auto" w:frame="1"/>
          <w:lang w:val="en-US"/>
        </w:rPr>
        <w:t>DuPont Analysis</w:t>
      </w:r>
      <w:r w:rsidR="00B07093" w:rsidRPr="00F12E8B">
        <w:rPr>
          <w:rStyle w:val="a5"/>
          <w:color w:val="303030"/>
          <w:sz w:val="20"/>
          <w:szCs w:val="20"/>
          <w:bdr w:val="none" w:sz="0" w:space="0" w:color="auto" w:frame="1"/>
          <w:lang w:val="en-US"/>
        </w:rPr>
        <w:t xml:space="preserve"> </w:t>
      </w:r>
      <w:r w:rsidR="00B07093" w:rsidRPr="00F12E8B">
        <w:rPr>
          <w:color w:val="303030"/>
          <w:sz w:val="20"/>
          <w:szCs w:val="20"/>
          <w:lang w:val="en-US"/>
        </w:rPr>
        <w:t>is a framework used to break apart the underlying ratio components of the return on equity (ROE) metric to determine the strengths and weaknesses of a company. Originally devised in the 1920s by Donaldson Brown at DuPont Corporation, the chemical company, the model is used to analyze the return on equity (ROE) as broken down into different parts in order to analyze the contribution of each part.(https://www.wallstreetprep.com/knowledge/dupont-analysis-template/)</w:t>
      </w:r>
      <w:r w:rsidR="00286D36" w:rsidRPr="00F12E8B">
        <w:rPr>
          <w:color w:val="303030"/>
          <w:sz w:val="20"/>
          <w:szCs w:val="20"/>
          <w:lang w:val="en-US"/>
        </w:rPr>
        <w:t>.</w:t>
      </w:r>
    </w:p>
    <w:p w:rsidR="00B07093" w:rsidRPr="00F12E8B" w:rsidRDefault="00FC3D2C" w:rsidP="00B07093">
      <w:pPr>
        <w:pStyle w:val="Web"/>
        <w:shd w:val="clear" w:color="auto" w:fill="FFFFFF"/>
        <w:spacing w:before="0" w:beforeAutospacing="0" w:after="0" w:afterAutospacing="0"/>
        <w:jc w:val="both"/>
        <w:textAlignment w:val="baseline"/>
        <w:rPr>
          <w:sz w:val="20"/>
          <w:szCs w:val="20"/>
          <w:lang w:val="en-US"/>
        </w:rPr>
      </w:pPr>
      <w:r w:rsidRPr="00F12E8B">
        <w:rPr>
          <w:sz w:val="20"/>
          <w:szCs w:val="20"/>
          <w:lang w:val="en-US"/>
        </w:rPr>
        <w:tab/>
      </w:r>
      <w:r w:rsidR="00B07093" w:rsidRPr="00F12E8B">
        <w:rPr>
          <w:sz w:val="20"/>
          <w:szCs w:val="20"/>
          <w:lang w:val="en-US"/>
        </w:rPr>
        <w:t>The main utilities of DuPont Analysis are described below</w:t>
      </w:r>
      <w:r w:rsidR="009A6F4D" w:rsidRPr="00F12E8B">
        <w:rPr>
          <w:sz w:val="20"/>
          <w:szCs w:val="20"/>
          <w:lang w:val="en-US"/>
        </w:rPr>
        <w:t xml:space="preserve"> (https://www.financestrategists.com/accounting/financial-statements/dupont-analysis/)</w:t>
      </w:r>
      <w:r w:rsidR="00B07093" w:rsidRPr="00F12E8B">
        <w:rPr>
          <w:sz w:val="20"/>
          <w:szCs w:val="20"/>
          <w:lang w:val="en-US"/>
        </w:rPr>
        <w:t>:</w:t>
      </w:r>
    </w:p>
    <w:p w:rsidR="00B07093" w:rsidRPr="00F12E8B" w:rsidRDefault="00B07093" w:rsidP="0018122F">
      <w:pPr>
        <w:pStyle w:val="Web"/>
        <w:numPr>
          <w:ilvl w:val="0"/>
          <w:numId w:val="12"/>
        </w:numPr>
        <w:shd w:val="clear" w:color="auto" w:fill="FFFFFF"/>
        <w:spacing w:before="0" w:beforeAutospacing="0" w:after="0" w:afterAutospacing="0"/>
        <w:ind w:left="426"/>
        <w:jc w:val="both"/>
        <w:textAlignment w:val="baseline"/>
        <w:rPr>
          <w:color w:val="000000"/>
          <w:sz w:val="20"/>
          <w:szCs w:val="20"/>
          <w:lang w:val="en-US"/>
        </w:rPr>
      </w:pPr>
      <w:r w:rsidRPr="00F12E8B">
        <w:rPr>
          <w:color w:val="000000"/>
          <w:sz w:val="20"/>
          <w:szCs w:val="20"/>
          <w:lang w:val="en-US"/>
        </w:rPr>
        <w:t>Asset turnover measures the efficiency of the company in generating sales for every dollar/euro of assets.</w:t>
      </w:r>
    </w:p>
    <w:p w:rsidR="00B07093" w:rsidRPr="00F12E8B" w:rsidRDefault="00B07093" w:rsidP="0018122F">
      <w:pPr>
        <w:pStyle w:val="Web"/>
        <w:numPr>
          <w:ilvl w:val="0"/>
          <w:numId w:val="12"/>
        </w:numPr>
        <w:shd w:val="clear" w:color="auto" w:fill="FFFFFF"/>
        <w:spacing w:before="0" w:beforeAutospacing="0" w:after="0" w:afterAutospacing="0"/>
        <w:ind w:left="426"/>
        <w:jc w:val="both"/>
        <w:textAlignment w:val="baseline"/>
        <w:rPr>
          <w:color w:val="000000"/>
          <w:sz w:val="20"/>
          <w:szCs w:val="20"/>
          <w:lang w:val="en-US"/>
        </w:rPr>
      </w:pPr>
      <w:r w:rsidRPr="00F12E8B">
        <w:rPr>
          <w:color w:val="000000"/>
          <w:sz w:val="20"/>
          <w:szCs w:val="20"/>
          <w:lang w:val="en-US"/>
        </w:rPr>
        <w:t>The E</w:t>
      </w:r>
      <w:r w:rsidR="0018122F" w:rsidRPr="00F12E8B">
        <w:rPr>
          <w:color w:val="000000"/>
          <w:sz w:val="20"/>
          <w:szCs w:val="20"/>
          <w:lang w:val="en-US"/>
        </w:rPr>
        <w:t>quity Multiplier (EM) shows how leveraged a bank/company is by computing how much financing stockholders have provided for every dollar/euro assets.</w:t>
      </w:r>
    </w:p>
    <w:p w:rsidR="0018122F" w:rsidRPr="00F12E8B" w:rsidRDefault="0018122F" w:rsidP="0018122F">
      <w:pPr>
        <w:pStyle w:val="Web"/>
        <w:numPr>
          <w:ilvl w:val="0"/>
          <w:numId w:val="12"/>
        </w:numPr>
        <w:shd w:val="clear" w:color="auto" w:fill="FFFFFF"/>
        <w:spacing w:before="0" w:beforeAutospacing="0" w:after="0" w:afterAutospacing="0"/>
        <w:ind w:left="426"/>
        <w:jc w:val="both"/>
        <w:textAlignment w:val="baseline"/>
        <w:rPr>
          <w:color w:val="000000"/>
          <w:sz w:val="20"/>
          <w:szCs w:val="20"/>
          <w:lang w:val="en-US"/>
        </w:rPr>
      </w:pPr>
      <w:r w:rsidRPr="00F12E8B">
        <w:rPr>
          <w:color w:val="000000"/>
          <w:sz w:val="20"/>
          <w:szCs w:val="20"/>
          <w:lang w:val="en-US"/>
        </w:rPr>
        <w:t>DuPont Analysis is considered a useful tool for predicting future changes in Return On Non Operating Assets (RNOA)</w:t>
      </w:r>
    </w:p>
    <w:p w:rsidR="00B07093" w:rsidRPr="00F12E8B" w:rsidRDefault="0018122F" w:rsidP="0018122F">
      <w:pPr>
        <w:pStyle w:val="Web"/>
        <w:numPr>
          <w:ilvl w:val="0"/>
          <w:numId w:val="12"/>
        </w:numPr>
        <w:shd w:val="clear" w:color="auto" w:fill="FFFFFF"/>
        <w:spacing w:before="0" w:beforeAutospacing="0" w:after="0" w:afterAutospacing="0"/>
        <w:ind w:left="426"/>
        <w:jc w:val="both"/>
        <w:textAlignment w:val="baseline"/>
        <w:rPr>
          <w:color w:val="000000"/>
          <w:sz w:val="20"/>
          <w:szCs w:val="20"/>
          <w:lang w:val="en-US"/>
        </w:rPr>
      </w:pPr>
      <w:r w:rsidRPr="00F12E8B">
        <w:rPr>
          <w:color w:val="000000"/>
          <w:sz w:val="20"/>
          <w:szCs w:val="20"/>
          <w:lang w:val="en-US"/>
        </w:rPr>
        <w:t>DuPont Analysis helps CEO of a bank/company to identify the factors that increase profits, improving the efficiency of the bank/company.</w:t>
      </w:r>
    </w:p>
    <w:p w:rsidR="00C668D3" w:rsidRPr="00F12E8B" w:rsidRDefault="00C668D3" w:rsidP="00C668D3">
      <w:pPr>
        <w:pStyle w:val="Web"/>
        <w:shd w:val="clear" w:color="auto" w:fill="FFFFFF"/>
        <w:spacing w:before="0" w:beforeAutospacing="0" w:after="0" w:afterAutospacing="0"/>
        <w:jc w:val="both"/>
        <w:textAlignment w:val="baseline"/>
        <w:rPr>
          <w:color w:val="000000"/>
          <w:sz w:val="20"/>
          <w:szCs w:val="20"/>
          <w:lang w:val="en-US"/>
        </w:rPr>
      </w:pPr>
      <w:r w:rsidRPr="00F12E8B">
        <w:rPr>
          <w:color w:val="000000"/>
          <w:sz w:val="20"/>
          <w:szCs w:val="20"/>
          <w:lang w:val="en-US"/>
        </w:rPr>
        <w:t>In mergers and acquisitions DuPont Analysis is used to measure the profitability of bidders and targets banks</w:t>
      </w:r>
      <w:r w:rsidRPr="00F12E8B">
        <w:rPr>
          <w:b/>
          <w:color w:val="000000"/>
          <w:sz w:val="20"/>
          <w:szCs w:val="20"/>
          <w:lang w:val="en-US"/>
        </w:rPr>
        <w:t>/</w:t>
      </w:r>
      <w:r w:rsidRPr="00F12E8B">
        <w:rPr>
          <w:color w:val="000000"/>
          <w:sz w:val="20"/>
          <w:szCs w:val="20"/>
          <w:lang w:val="en-US"/>
        </w:rPr>
        <w:t>companies before any mergers and acquisitions and compare to the new profitability of the remain banks/companies after mergers and acquisitions.</w:t>
      </w:r>
      <w:r w:rsidR="00DC1394" w:rsidRPr="00F12E8B">
        <w:rPr>
          <w:sz w:val="20"/>
          <w:szCs w:val="20"/>
          <w:lang w:val="en-US"/>
        </w:rPr>
        <w:t xml:space="preserve"> If we are an external financial analyst it is too difficult to discover EBIT of banks from their balance sheets because the IASB give them the right not to display it prominently. For this reason we use operating profits before tax instead of EBIT to calculate ROE and ROA for DuPont Analysis.</w:t>
      </w:r>
    </w:p>
    <w:p w:rsidR="00F12E8B" w:rsidRDefault="009C4D14" w:rsidP="009A6F4D">
      <w:pPr>
        <w:pStyle w:val="Web"/>
        <w:shd w:val="clear" w:color="auto" w:fill="FFFFFF"/>
        <w:spacing w:before="0" w:beforeAutospacing="0" w:after="0" w:afterAutospacing="0"/>
        <w:jc w:val="both"/>
        <w:textAlignment w:val="baseline"/>
        <w:rPr>
          <w:color w:val="000000"/>
          <w:sz w:val="20"/>
          <w:szCs w:val="20"/>
          <w:shd w:val="clear" w:color="auto" w:fill="FFFFFF"/>
          <w:lang w:val="en-US"/>
        </w:rPr>
      </w:pPr>
      <w:r w:rsidRPr="00F12E8B">
        <w:rPr>
          <w:color w:val="000000"/>
          <w:sz w:val="20"/>
          <w:szCs w:val="20"/>
          <w:shd w:val="clear" w:color="auto" w:fill="FFFFFF"/>
          <w:lang w:val="en-US"/>
        </w:rPr>
        <w:t>There are several advantages associated with DuPont analysis</w:t>
      </w:r>
      <w:r w:rsidR="001926A7" w:rsidRPr="00F12E8B">
        <w:rPr>
          <w:color w:val="000000"/>
          <w:sz w:val="20"/>
          <w:szCs w:val="20"/>
          <w:shd w:val="clear" w:color="auto" w:fill="FFFFFF"/>
          <w:lang w:val="en-US"/>
        </w:rPr>
        <w:t xml:space="preserve"> </w:t>
      </w:r>
    </w:p>
    <w:p w:rsidR="009C4D14" w:rsidRPr="00F12E8B" w:rsidRDefault="001926A7" w:rsidP="009A6F4D">
      <w:pPr>
        <w:pStyle w:val="Web"/>
        <w:shd w:val="clear" w:color="auto" w:fill="FFFFFF"/>
        <w:spacing w:before="0" w:beforeAutospacing="0" w:after="0" w:afterAutospacing="0"/>
        <w:jc w:val="both"/>
        <w:textAlignment w:val="baseline"/>
        <w:rPr>
          <w:color w:val="000000"/>
          <w:sz w:val="20"/>
          <w:szCs w:val="20"/>
          <w:shd w:val="clear" w:color="auto" w:fill="FFFFFF"/>
          <w:lang w:val="en-US"/>
        </w:rPr>
      </w:pPr>
      <w:r w:rsidRPr="00F12E8B">
        <w:rPr>
          <w:color w:val="000000"/>
          <w:sz w:val="20"/>
          <w:szCs w:val="20"/>
          <w:shd w:val="clear" w:color="auto" w:fill="FFFFFF"/>
          <w:lang w:val="en-US"/>
        </w:rPr>
        <w:t>(https://www.financestrategists.com/accounting/financial-statements/dupont-analysis/)</w:t>
      </w:r>
      <w:r w:rsidR="009C4D14" w:rsidRPr="00F12E8B">
        <w:rPr>
          <w:color w:val="000000"/>
          <w:sz w:val="20"/>
          <w:szCs w:val="20"/>
          <w:shd w:val="clear" w:color="auto" w:fill="FFFFFF"/>
          <w:lang w:val="en-US"/>
        </w:rPr>
        <w:t>:</w:t>
      </w:r>
    </w:p>
    <w:p w:rsidR="009C4D14" w:rsidRPr="00F12E8B" w:rsidRDefault="009C4D14" w:rsidP="001926A7">
      <w:pPr>
        <w:pStyle w:val="Web"/>
        <w:numPr>
          <w:ilvl w:val="0"/>
          <w:numId w:val="15"/>
        </w:numPr>
        <w:shd w:val="clear" w:color="auto" w:fill="FFFFFF"/>
        <w:spacing w:before="0" w:beforeAutospacing="0" w:after="0" w:afterAutospacing="0"/>
        <w:ind w:left="426"/>
        <w:jc w:val="both"/>
        <w:textAlignment w:val="baseline"/>
        <w:rPr>
          <w:color w:val="000000"/>
          <w:sz w:val="20"/>
          <w:szCs w:val="20"/>
          <w:shd w:val="clear" w:color="auto" w:fill="FFFFFF"/>
          <w:lang w:val="en-US"/>
        </w:rPr>
      </w:pPr>
      <w:r w:rsidRPr="00F12E8B">
        <w:rPr>
          <w:color w:val="000000"/>
          <w:sz w:val="20"/>
          <w:szCs w:val="20"/>
          <w:shd w:val="clear" w:color="auto" w:fill="FFFFFF"/>
          <w:lang w:val="en-US"/>
        </w:rPr>
        <w:t xml:space="preserve">First, using DuPont analysis, investors can evaluate alternative stock investments and, in turn, compare why the ROEs of the stocks differ. </w:t>
      </w:r>
    </w:p>
    <w:p w:rsidR="009C4D14" w:rsidRPr="00F12E8B" w:rsidRDefault="009C4D14" w:rsidP="001926A7">
      <w:pPr>
        <w:pStyle w:val="Web"/>
        <w:numPr>
          <w:ilvl w:val="0"/>
          <w:numId w:val="15"/>
        </w:numPr>
        <w:shd w:val="clear" w:color="auto" w:fill="FFFFFF"/>
        <w:spacing w:before="0" w:beforeAutospacing="0" w:after="0" w:afterAutospacing="0"/>
        <w:ind w:left="426"/>
        <w:jc w:val="both"/>
        <w:textAlignment w:val="baseline"/>
        <w:rPr>
          <w:color w:val="000000"/>
          <w:sz w:val="20"/>
          <w:szCs w:val="20"/>
          <w:shd w:val="clear" w:color="auto" w:fill="FFFFFF"/>
          <w:lang w:val="en-US"/>
        </w:rPr>
      </w:pPr>
      <w:r w:rsidRPr="00F12E8B">
        <w:rPr>
          <w:color w:val="000000"/>
          <w:sz w:val="20"/>
          <w:szCs w:val="20"/>
          <w:shd w:val="clear" w:color="auto" w:fill="FFFFFF"/>
          <w:lang w:val="en-US"/>
        </w:rPr>
        <w:t>This is achieved by identifying the impact of operating efficiency, asset use efficiency, and financial leverage on ROE.</w:t>
      </w:r>
    </w:p>
    <w:p w:rsidR="009C4D14" w:rsidRPr="00F12E8B" w:rsidRDefault="009C4D14" w:rsidP="001926A7">
      <w:pPr>
        <w:pStyle w:val="Web"/>
        <w:numPr>
          <w:ilvl w:val="0"/>
          <w:numId w:val="15"/>
        </w:numPr>
        <w:shd w:val="clear" w:color="auto" w:fill="FFFFFF"/>
        <w:spacing w:before="0" w:beforeAutospacing="0" w:after="0" w:afterAutospacing="0"/>
        <w:ind w:left="426"/>
        <w:jc w:val="both"/>
        <w:textAlignment w:val="baseline"/>
        <w:rPr>
          <w:color w:val="000000"/>
          <w:sz w:val="20"/>
          <w:szCs w:val="20"/>
          <w:shd w:val="clear" w:color="auto" w:fill="FFFFFF"/>
          <w:lang w:val="en-US"/>
        </w:rPr>
      </w:pPr>
      <w:r w:rsidRPr="00F12E8B">
        <w:rPr>
          <w:color w:val="000000"/>
          <w:sz w:val="20"/>
          <w:szCs w:val="20"/>
          <w:shd w:val="clear" w:color="auto" w:fill="FFFFFF"/>
          <w:lang w:val="en-US"/>
        </w:rPr>
        <w:t>DuPont Analysis helps to analyze the factors that contribute to the differing ROEs stocks, which can guide portfolio management</w:t>
      </w:r>
    </w:p>
    <w:p w:rsidR="009C4D14" w:rsidRPr="00F12E8B" w:rsidRDefault="009C4D14" w:rsidP="001926A7">
      <w:pPr>
        <w:pStyle w:val="Web"/>
        <w:numPr>
          <w:ilvl w:val="0"/>
          <w:numId w:val="15"/>
        </w:numPr>
        <w:shd w:val="clear" w:color="auto" w:fill="FFFFFF"/>
        <w:spacing w:before="0" w:beforeAutospacing="0" w:after="0" w:afterAutospacing="0"/>
        <w:ind w:left="426"/>
        <w:jc w:val="both"/>
        <w:textAlignment w:val="baseline"/>
        <w:rPr>
          <w:color w:val="000000"/>
          <w:sz w:val="20"/>
          <w:szCs w:val="20"/>
          <w:shd w:val="clear" w:color="auto" w:fill="FFFFFF"/>
          <w:lang w:val="en-US"/>
        </w:rPr>
      </w:pPr>
      <w:r w:rsidRPr="00F12E8B">
        <w:rPr>
          <w:color w:val="000000"/>
          <w:sz w:val="20"/>
          <w:szCs w:val="20"/>
          <w:shd w:val="clear" w:color="auto" w:fill="FFFFFF"/>
          <w:lang w:val="en-US"/>
        </w:rPr>
        <w:lastRenderedPageBreak/>
        <w:t>Finally, DuPont analysis, as a tool, is a measure for an investment portfolio.</w:t>
      </w:r>
    </w:p>
    <w:p w:rsidR="009C4D14" w:rsidRPr="00F12E8B" w:rsidRDefault="00C668D3" w:rsidP="009A6F4D">
      <w:pPr>
        <w:pStyle w:val="Web"/>
        <w:shd w:val="clear" w:color="auto" w:fill="FFFFFF"/>
        <w:spacing w:before="0" w:beforeAutospacing="0" w:after="0" w:afterAutospacing="0"/>
        <w:jc w:val="both"/>
        <w:textAlignment w:val="baseline"/>
        <w:rPr>
          <w:color w:val="000000"/>
          <w:sz w:val="20"/>
          <w:szCs w:val="20"/>
          <w:lang w:val="en-US"/>
        </w:rPr>
      </w:pPr>
      <w:r w:rsidRPr="00F12E8B">
        <w:rPr>
          <w:color w:val="000000"/>
          <w:sz w:val="20"/>
          <w:szCs w:val="20"/>
          <w:lang w:val="en-US"/>
        </w:rPr>
        <w:t>There are some d</w:t>
      </w:r>
      <w:r w:rsidR="00286D36" w:rsidRPr="00F12E8B">
        <w:rPr>
          <w:color w:val="000000"/>
          <w:sz w:val="20"/>
          <w:szCs w:val="20"/>
          <w:lang w:val="en-US"/>
        </w:rPr>
        <w:t>i</w:t>
      </w:r>
      <w:r w:rsidRPr="00F12E8B">
        <w:rPr>
          <w:color w:val="000000"/>
          <w:sz w:val="20"/>
          <w:szCs w:val="20"/>
          <w:lang w:val="en-US"/>
        </w:rPr>
        <w:t>sadvantages that they concern DuPont Analysis and we write them below (https://www.financestrategists.com/accounting/financial-statements/dupont-analysis/):</w:t>
      </w:r>
    </w:p>
    <w:p w:rsidR="00C668D3" w:rsidRPr="00F12E8B" w:rsidRDefault="00C668D3" w:rsidP="00C668D3">
      <w:pPr>
        <w:pStyle w:val="Web"/>
        <w:numPr>
          <w:ilvl w:val="0"/>
          <w:numId w:val="20"/>
        </w:numPr>
        <w:shd w:val="clear" w:color="auto" w:fill="FFFFFF"/>
        <w:spacing w:before="0" w:beforeAutospacing="0" w:after="0" w:afterAutospacing="0"/>
        <w:ind w:left="426"/>
        <w:jc w:val="both"/>
        <w:textAlignment w:val="baseline"/>
        <w:rPr>
          <w:color w:val="000000"/>
          <w:sz w:val="20"/>
          <w:szCs w:val="20"/>
          <w:lang w:val="en-US"/>
        </w:rPr>
      </w:pPr>
      <w:r w:rsidRPr="00F12E8B">
        <w:rPr>
          <w:color w:val="000000"/>
          <w:sz w:val="20"/>
          <w:szCs w:val="20"/>
          <w:lang w:val="en-US"/>
        </w:rPr>
        <w:t>It is a before tax measurement of a short term nature</w:t>
      </w:r>
    </w:p>
    <w:p w:rsidR="00C668D3" w:rsidRPr="00F12E8B" w:rsidRDefault="00C668D3" w:rsidP="00C668D3">
      <w:pPr>
        <w:pStyle w:val="Web"/>
        <w:numPr>
          <w:ilvl w:val="0"/>
          <w:numId w:val="20"/>
        </w:numPr>
        <w:shd w:val="clear" w:color="auto" w:fill="FFFFFF"/>
        <w:spacing w:before="0" w:beforeAutospacing="0" w:after="0" w:afterAutospacing="0"/>
        <w:ind w:left="426"/>
        <w:jc w:val="both"/>
        <w:textAlignment w:val="baseline"/>
        <w:rPr>
          <w:color w:val="000000"/>
          <w:sz w:val="20"/>
          <w:szCs w:val="20"/>
          <w:lang w:val="en-US"/>
        </w:rPr>
      </w:pPr>
      <w:r w:rsidRPr="00F12E8B">
        <w:rPr>
          <w:color w:val="000000"/>
          <w:sz w:val="20"/>
          <w:szCs w:val="20"/>
          <w:lang w:val="en-US"/>
        </w:rPr>
        <w:t>It does not link to the cost of capital time value of money, or value its self</w:t>
      </w:r>
    </w:p>
    <w:p w:rsidR="00C668D3" w:rsidRPr="00F12E8B" w:rsidRDefault="00C668D3" w:rsidP="00C668D3">
      <w:pPr>
        <w:pStyle w:val="Web"/>
        <w:numPr>
          <w:ilvl w:val="0"/>
          <w:numId w:val="20"/>
        </w:numPr>
        <w:shd w:val="clear" w:color="auto" w:fill="FFFFFF"/>
        <w:spacing w:before="0" w:beforeAutospacing="0" w:after="0" w:afterAutospacing="0"/>
        <w:ind w:left="426"/>
        <w:jc w:val="both"/>
        <w:textAlignment w:val="baseline"/>
        <w:rPr>
          <w:color w:val="000000"/>
          <w:sz w:val="20"/>
          <w:szCs w:val="20"/>
          <w:lang w:val="en-US"/>
        </w:rPr>
      </w:pPr>
      <w:r w:rsidRPr="00F12E8B">
        <w:rPr>
          <w:color w:val="000000"/>
          <w:sz w:val="20"/>
          <w:szCs w:val="20"/>
          <w:lang w:val="en-US"/>
        </w:rPr>
        <w:t>It is difficult to set a target for good ROCE</w:t>
      </w:r>
    </w:p>
    <w:p w:rsidR="00286D36" w:rsidRPr="00F12E8B" w:rsidRDefault="00C668D3" w:rsidP="00C668D3">
      <w:pPr>
        <w:pStyle w:val="Web"/>
        <w:numPr>
          <w:ilvl w:val="0"/>
          <w:numId w:val="20"/>
        </w:numPr>
        <w:shd w:val="clear" w:color="auto" w:fill="FFFFFF"/>
        <w:spacing w:before="0" w:beforeAutospacing="0" w:after="0" w:afterAutospacing="0"/>
        <w:ind w:left="426"/>
        <w:jc w:val="both"/>
        <w:textAlignment w:val="baseline"/>
        <w:rPr>
          <w:color w:val="000000"/>
          <w:sz w:val="20"/>
          <w:szCs w:val="20"/>
          <w:lang w:val="en-US"/>
        </w:rPr>
      </w:pPr>
      <w:r w:rsidRPr="00F12E8B">
        <w:rPr>
          <w:color w:val="000000"/>
          <w:sz w:val="20"/>
          <w:szCs w:val="20"/>
          <w:lang w:val="en-US"/>
        </w:rPr>
        <w:t>Using the gross value of assets as a measure instead of net value is contradictory to accounting practices based on principles and standards.</w:t>
      </w:r>
    </w:p>
    <w:p w:rsidR="00D93EFA" w:rsidRPr="00F12E8B" w:rsidRDefault="00FC3D2C" w:rsidP="00C512DE">
      <w:pPr>
        <w:spacing w:after="0" w:line="240" w:lineRule="auto"/>
        <w:jc w:val="both"/>
        <w:rPr>
          <w:rFonts w:ascii="Times New Roman" w:hAnsi="Times New Roman"/>
          <w:sz w:val="20"/>
          <w:szCs w:val="20"/>
        </w:rPr>
      </w:pPr>
      <w:r w:rsidRPr="00F12E8B">
        <w:rPr>
          <w:rFonts w:ascii="Times New Roman" w:hAnsi="Times New Roman"/>
          <w:sz w:val="20"/>
          <w:szCs w:val="20"/>
        </w:rPr>
        <w:tab/>
      </w:r>
      <w:r w:rsidR="00D93EFA" w:rsidRPr="00F12E8B">
        <w:rPr>
          <w:rFonts w:ascii="Times New Roman" w:hAnsi="Times New Roman"/>
          <w:sz w:val="20"/>
          <w:szCs w:val="20"/>
        </w:rPr>
        <w:t xml:space="preserve">9) </w:t>
      </w:r>
      <w:r w:rsidR="00D93EFA" w:rsidRPr="00F12E8B">
        <w:rPr>
          <w:rFonts w:ascii="Times New Roman" w:hAnsi="Times New Roman"/>
          <w:color w:val="111111"/>
          <w:sz w:val="20"/>
          <w:szCs w:val="20"/>
          <w:shd w:val="clear" w:color="auto" w:fill="FFFFFF"/>
        </w:rPr>
        <w:t>Return on Capital Employed (ROCE)</w:t>
      </w:r>
      <w:r w:rsidR="00774553" w:rsidRPr="00F12E8B">
        <w:rPr>
          <w:rFonts w:ascii="Times New Roman" w:hAnsi="Times New Roman"/>
          <w:color w:val="111111"/>
          <w:sz w:val="20"/>
          <w:szCs w:val="20"/>
          <w:shd w:val="clear" w:color="auto" w:fill="FFFFFF"/>
        </w:rPr>
        <w:tab/>
      </w:r>
      <w:r w:rsidR="00774553" w:rsidRPr="00F12E8B">
        <w:rPr>
          <w:rFonts w:ascii="Times New Roman" w:hAnsi="Times New Roman"/>
          <w:color w:val="111111"/>
          <w:sz w:val="20"/>
          <w:szCs w:val="20"/>
          <w:shd w:val="clear" w:color="auto" w:fill="FFFFFF"/>
        </w:rPr>
        <w:tab/>
      </w:r>
      <w:r w:rsidR="00774553" w:rsidRPr="00F12E8B">
        <w:rPr>
          <w:rFonts w:ascii="Times New Roman" w:hAnsi="Times New Roman"/>
          <w:color w:val="111111"/>
          <w:sz w:val="20"/>
          <w:szCs w:val="20"/>
          <w:shd w:val="clear" w:color="auto" w:fill="FFFFFF"/>
        </w:rPr>
        <w:tab/>
      </w:r>
      <w:r w:rsidR="00774553" w:rsidRPr="00F12E8B">
        <w:rPr>
          <w:rFonts w:ascii="Times New Roman" w:hAnsi="Times New Roman"/>
          <w:color w:val="111111"/>
          <w:sz w:val="20"/>
          <w:szCs w:val="20"/>
          <w:shd w:val="clear" w:color="auto" w:fill="FFFFFF"/>
        </w:rPr>
        <w:tab/>
      </w:r>
      <w:r w:rsidR="00774553" w:rsidRPr="00F12E8B">
        <w:rPr>
          <w:rFonts w:ascii="Times New Roman" w:hAnsi="Times New Roman"/>
          <w:color w:val="111111"/>
          <w:sz w:val="20"/>
          <w:szCs w:val="20"/>
          <w:shd w:val="clear" w:color="auto" w:fill="FFFFFF"/>
        </w:rPr>
        <w:tab/>
      </w:r>
      <w:r w:rsidR="00774553" w:rsidRPr="00F12E8B">
        <w:rPr>
          <w:rFonts w:ascii="Times New Roman" w:hAnsi="Times New Roman"/>
          <w:color w:val="111111"/>
          <w:sz w:val="20"/>
          <w:szCs w:val="20"/>
          <w:shd w:val="clear" w:color="auto" w:fill="FFFFFF"/>
        </w:rPr>
        <w:tab/>
        <w:t>(9)</w:t>
      </w:r>
    </w:p>
    <w:p w:rsidR="00D93EFA" w:rsidRPr="00F12E8B" w:rsidRDefault="00D93EFA" w:rsidP="00C512DE">
      <w:pPr>
        <w:spacing w:after="0" w:line="240" w:lineRule="auto"/>
        <w:jc w:val="both"/>
        <w:rPr>
          <w:rFonts w:ascii="Times New Roman" w:hAnsi="Times New Roman"/>
          <w:sz w:val="20"/>
          <w:szCs w:val="20"/>
        </w:rPr>
      </w:pPr>
      <w:r w:rsidRPr="00F12E8B">
        <w:rPr>
          <w:rFonts w:ascii="Times New Roman" w:hAnsi="Times New Roman"/>
          <w:sz w:val="20"/>
          <w:szCs w:val="20"/>
        </w:rPr>
        <w:t>ROCE = [EBIT / (TOTAL ASSET - CURRENT LIABILITIES)]x100</w:t>
      </w:r>
    </w:p>
    <w:p w:rsidR="00D93EFA" w:rsidRPr="00F12E8B" w:rsidRDefault="00FC3D2C" w:rsidP="00C512DE">
      <w:pPr>
        <w:spacing w:after="0" w:line="240" w:lineRule="auto"/>
        <w:jc w:val="both"/>
        <w:rPr>
          <w:rFonts w:ascii="Times New Roman" w:hAnsi="Times New Roman"/>
          <w:sz w:val="20"/>
          <w:szCs w:val="20"/>
        </w:rPr>
      </w:pPr>
      <w:r w:rsidRPr="00F12E8B">
        <w:rPr>
          <w:rFonts w:ascii="Times New Roman" w:hAnsi="Times New Roman"/>
          <w:color w:val="111111"/>
          <w:sz w:val="20"/>
          <w:szCs w:val="20"/>
          <w:shd w:val="clear" w:color="auto" w:fill="FFFFFF"/>
        </w:rPr>
        <w:tab/>
      </w:r>
      <w:r w:rsidR="00D93EFA" w:rsidRPr="00F12E8B">
        <w:rPr>
          <w:rFonts w:ascii="Times New Roman" w:hAnsi="Times New Roman"/>
          <w:color w:val="111111"/>
          <w:sz w:val="20"/>
          <w:szCs w:val="20"/>
          <w:shd w:val="clear" w:color="auto" w:fill="FFFFFF"/>
        </w:rPr>
        <w:t xml:space="preserve">Return on Capital Employed (ROCE) refers to a </w:t>
      </w:r>
      <w:hyperlink r:id="rId36" w:history="1">
        <w:r w:rsidR="00D93EFA" w:rsidRPr="00F12E8B">
          <w:rPr>
            <w:rStyle w:val="-"/>
            <w:rFonts w:ascii="Times New Roman" w:hAnsi="Times New Roman"/>
            <w:color w:val="auto"/>
            <w:sz w:val="20"/>
            <w:szCs w:val="20"/>
            <w:u w:val="none"/>
            <w:shd w:val="clear" w:color="auto" w:fill="FFFFFF"/>
          </w:rPr>
          <w:t>financial ratio</w:t>
        </w:r>
      </w:hyperlink>
      <w:r w:rsidR="00D93EFA" w:rsidRPr="00F12E8B">
        <w:rPr>
          <w:rFonts w:ascii="Times New Roman" w:hAnsi="Times New Roman"/>
          <w:sz w:val="20"/>
          <w:szCs w:val="20"/>
        </w:rPr>
        <w:t xml:space="preserve"> </w:t>
      </w:r>
      <w:r w:rsidR="00D93EFA" w:rsidRPr="00F12E8B">
        <w:rPr>
          <w:rFonts w:ascii="Times New Roman" w:hAnsi="Times New Roman"/>
          <w:color w:val="111111"/>
          <w:sz w:val="20"/>
          <w:szCs w:val="20"/>
          <w:shd w:val="clear" w:color="auto" w:fill="FFFFFF"/>
        </w:rPr>
        <w:t xml:space="preserve">that can be used to assess a </w:t>
      </w:r>
      <w:r w:rsidR="0017363D" w:rsidRPr="00F12E8B">
        <w:rPr>
          <w:rFonts w:ascii="Times New Roman" w:hAnsi="Times New Roman"/>
          <w:color w:val="111111"/>
          <w:sz w:val="20"/>
          <w:szCs w:val="20"/>
          <w:shd w:val="clear" w:color="auto" w:fill="FFFFFF"/>
        </w:rPr>
        <w:t>bank's/</w:t>
      </w:r>
      <w:r w:rsidR="00D93EFA" w:rsidRPr="00F12E8B">
        <w:rPr>
          <w:rFonts w:ascii="Times New Roman" w:hAnsi="Times New Roman"/>
          <w:color w:val="111111"/>
          <w:sz w:val="20"/>
          <w:szCs w:val="20"/>
          <w:shd w:val="clear" w:color="auto" w:fill="FFFFFF"/>
        </w:rPr>
        <w:t xml:space="preserve">company's </w:t>
      </w:r>
      <w:hyperlink r:id="rId37" w:history="1">
        <w:r w:rsidR="00D93EFA" w:rsidRPr="00F12E8B">
          <w:rPr>
            <w:rStyle w:val="-"/>
            <w:rFonts w:ascii="Times New Roman" w:hAnsi="Times New Roman"/>
            <w:color w:val="auto"/>
            <w:sz w:val="20"/>
            <w:szCs w:val="20"/>
            <w:u w:val="none"/>
            <w:shd w:val="clear" w:color="auto" w:fill="FFFFFF"/>
          </w:rPr>
          <w:t>profitability</w:t>
        </w:r>
      </w:hyperlink>
      <w:r w:rsidR="00D93EFA" w:rsidRPr="00F12E8B">
        <w:rPr>
          <w:rFonts w:ascii="Times New Roman" w:hAnsi="Times New Roman"/>
          <w:sz w:val="20"/>
          <w:szCs w:val="20"/>
        </w:rPr>
        <w:t xml:space="preserve"> </w:t>
      </w:r>
      <w:r w:rsidR="00D93EFA" w:rsidRPr="00F12E8B">
        <w:rPr>
          <w:rFonts w:ascii="Times New Roman" w:hAnsi="Times New Roman"/>
          <w:sz w:val="20"/>
          <w:szCs w:val="20"/>
          <w:shd w:val="clear" w:color="auto" w:fill="FFFFFF"/>
        </w:rPr>
        <w:t xml:space="preserve">and capital efficiency. In other words, this ratio can help to understand how well a </w:t>
      </w:r>
      <w:r w:rsidR="0017363D" w:rsidRPr="00F12E8B">
        <w:rPr>
          <w:rFonts w:ascii="Times New Roman" w:hAnsi="Times New Roman"/>
          <w:sz w:val="20"/>
          <w:szCs w:val="20"/>
          <w:shd w:val="clear" w:color="auto" w:fill="FFFFFF"/>
        </w:rPr>
        <w:t>bank/</w:t>
      </w:r>
      <w:r w:rsidR="00D93EFA" w:rsidRPr="00F12E8B">
        <w:rPr>
          <w:rFonts w:ascii="Times New Roman" w:hAnsi="Times New Roman"/>
          <w:sz w:val="20"/>
          <w:szCs w:val="20"/>
          <w:shd w:val="clear" w:color="auto" w:fill="FFFFFF"/>
        </w:rPr>
        <w:t xml:space="preserve">company is generating profits from its </w:t>
      </w:r>
      <w:hyperlink r:id="rId38" w:history="1">
        <w:r w:rsidR="00D93EFA" w:rsidRPr="00F12E8B">
          <w:rPr>
            <w:rStyle w:val="-"/>
            <w:rFonts w:ascii="Times New Roman" w:hAnsi="Times New Roman"/>
            <w:color w:val="auto"/>
            <w:sz w:val="20"/>
            <w:szCs w:val="20"/>
            <w:u w:val="none"/>
            <w:shd w:val="clear" w:color="auto" w:fill="FFFFFF"/>
          </w:rPr>
          <w:t>capital</w:t>
        </w:r>
      </w:hyperlink>
      <w:r w:rsidR="00D93EFA" w:rsidRPr="00F12E8B">
        <w:rPr>
          <w:rFonts w:ascii="Times New Roman" w:hAnsi="Times New Roman"/>
          <w:sz w:val="20"/>
          <w:szCs w:val="20"/>
        </w:rPr>
        <w:t xml:space="preserve"> </w:t>
      </w:r>
      <w:r w:rsidR="00D93EFA" w:rsidRPr="00F12E8B">
        <w:rPr>
          <w:rFonts w:ascii="Times New Roman" w:hAnsi="Times New Roman"/>
          <w:color w:val="111111"/>
          <w:sz w:val="20"/>
          <w:szCs w:val="20"/>
          <w:shd w:val="clear" w:color="auto" w:fill="FFFFFF"/>
        </w:rPr>
        <w:t xml:space="preserve">as it is put to use. ROCE is one of several profitability ratios financial managers, stakeholders, and potential investors may use when analyzing a </w:t>
      </w:r>
      <w:r w:rsidR="0017363D" w:rsidRPr="00F12E8B">
        <w:rPr>
          <w:rFonts w:ascii="Times New Roman" w:hAnsi="Times New Roman"/>
          <w:color w:val="111111"/>
          <w:sz w:val="20"/>
          <w:szCs w:val="20"/>
          <w:shd w:val="clear" w:color="auto" w:fill="FFFFFF"/>
        </w:rPr>
        <w:t>bank/</w:t>
      </w:r>
      <w:r w:rsidR="00D93EFA" w:rsidRPr="00F12E8B">
        <w:rPr>
          <w:rFonts w:ascii="Times New Roman" w:hAnsi="Times New Roman"/>
          <w:color w:val="111111"/>
          <w:sz w:val="20"/>
          <w:szCs w:val="20"/>
          <w:shd w:val="clear" w:color="auto" w:fill="FFFFFF"/>
        </w:rPr>
        <w:t>company for investment (https://www.investopedia.com/terms/r/roce.asp).</w:t>
      </w:r>
    </w:p>
    <w:p w:rsidR="00843202" w:rsidRPr="00F12E8B" w:rsidRDefault="00FC3D2C" w:rsidP="0017363D">
      <w:pPr>
        <w:pStyle w:val="2"/>
        <w:shd w:val="clear" w:color="auto" w:fill="FFFFFF"/>
        <w:spacing w:before="0" w:beforeAutospacing="0" w:after="0" w:afterAutospacing="0"/>
        <w:jc w:val="both"/>
        <w:rPr>
          <w:b w:val="0"/>
          <w:color w:val="111111"/>
          <w:sz w:val="20"/>
          <w:szCs w:val="20"/>
          <w:lang w:val="en-US"/>
        </w:rPr>
      </w:pPr>
      <w:r w:rsidRPr="00F12E8B">
        <w:rPr>
          <w:rStyle w:val="mntl-sc-block-headingtext"/>
          <w:b w:val="0"/>
          <w:color w:val="111111"/>
          <w:sz w:val="20"/>
          <w:szCs w:val="20"/>
          <w:lang w:val="en-US"/>
        </w:rPr>
        <w:tab/>
      </w:r>
      <w:r w:rsidR="005D1ABA" w:rsidRPr="00F12E8B">
        <w:rPr>
          <w:rStyle w:val="mntl-sc-block-headingtext"/>
          <w:b w:val="0"/>
          <w:color w:val="111111"/>
          <w:sz w:val="20"/>
          <w:szCs w:val="20"/>
          <w:lang w:val="en-US"/>
        </w:rPr>
        <w:t xml:space="preserve">Some of the main </w:t>
      </w:r>
      <w:r w:rsidR="00843202" w:rsidRPr="00F12E8B">
        <w:rPr>
          <w:rStyle w:val="mntl-sc-block-headingtext"/>
          <w:b w:val="0"/>
          <w:color w:val="111111"/>
          <w:sz w:val="20"/>
          <w:szCs w:val="20"/>
          <w:lang w:val="en-US"/>
        </w:rPr>
        <w:t>Advantages and Disadvantages of ROCE</w:t>
      </w:r>
      <w:r w:rsidR="005D1ABA" w:rsidRPr="00F12E8B">
        <w:rPr>
          <w:rStyle w:val="mntl-sc-block-headingtext"/>
          <w:b w:val="0"/>
          <w:color w:val="111111"/>
          <w:sz w:val="20"/>
          <w:szCs w:val="20"/>
          <w:lang w:val="en-US"/>
        </w:rPr>
        <w:t xml:space="preserve"> ratio are mentioned below</w:t>
      </w:r>
      <w:r w:rsidR="0017363D" w:rsidRPr="00F12E8B">
        <w:rPr>
          <w:rStyle w:val="mntl-sc-block-headingtext"/>
          <w:b w:val="0"/>
          <w:color w:val="111111"/>
          <w:sz w:val="20"/>
          <w:szCs w:val="20"/>
          <w:lang w:val="en-US"/>
        </w:rPr>
        <w:t xml:space="preserve">. </w:t>
      </w:r>
      <w:r w:rsidR="00843202" w:rsidRPr="00F12E8B">
        <w:rPr>
          <w:b w:val="0"/>
          <w:color w:val="111111"/>
          <w:sz w:val="20"/>
          <w:szCs w:val="20"/>
          <w:lang w:val="en-US"/>
        </w:rPr>
        <w:t xml:space="preserve">There are various reasons why </w:t>
      </w:r>
      <w:r w:rsidR="0017363D" w:rsidRPr="00F12E8B">
        <w:rPr>
          <w:b w:val="0"/>
          <w:color w:val="111111"/>
          <w:sz w:val="20"/>
          <w:szCs w:val="20"/>
          <w:lang w:val="en-US"/>
        </w:rPr>
        <w:t>banks/</w:t>
      </w:r>
      <w:r w:rsidR="00843202" w:rsidRPr="00F12E8B">
        <w:rPr>
          <w:b w:val="0"/>
          <w:color w:val="111111"/>
          <w:sz w:val="20"/>
          <w:szCs w:val="20"/>
          <w:lang w:val="en-US"/>
        </w:rPr>
        <w:t xml:space="preserve">companies should track ROCE. ROCE provides a comprehensive measure of a </w:t>
      </w:r>
      <w:r w:rsidR="0017363D" w:rsidRPr="00F12E8B">
        <w:rPr>
          <w:b w:val="0"/>
          <w:color w:val="111111"/>
          <w:sz w:val="20"/>
          <w:szCs w:val="20"/>
          <w:lang w:val="en-US"/>
        </w:rPr>
        <w:t>bank's/</w:t>
      </w:r>
      <w:r w:rsidR="00843202" w:rsidRPr="00F12E8B">
        <w:rPr>
          <w:b w:val="0"/>
          <w:color w:val="111111"/>
          <w:sz w:val="20"/>
          <w:szCs w:val="20"/>
          <w:lang w:val="en-US"/>
        </w:rPr>
        <w:t xml:space="preserve">company's overall performance by considering both profitability and capital efficiency. It helps assess the effectiveness of capital allocation decisions and the ability to generate returns on invested capital. Therefore, ROCE allows for meaningful comparisons between </w:t>
      </w:r>
      <w:r w:rsidR="0017363D" w:rsidRPr="00F12E8B">
        <w:rPr>
          <w:b w:val="0"/>
          <w:color w:val="111111"/>
          <w:sz w:val="20"/>
          <w:szCs w:val="20"/>
          <w:lang w:val="en-US"/>
        </w:rPr>
        <w:t>banks/</w:t>
      </w:r>
      <w:r w:rsidR="00843202" w:rsidRPr="00F12E8B">
        <w:rPr>
          <w:b w:val="0"/>
          <w:color w:val="111111"/>
          <w:sz w:val="20"/>
          <w:szCs w:val="20"/>
          <w:lang w:val="en-US"/>
        </w:rPr>
        <w:t xml:space="preserve">companies operating in different industries and highlights a </w:t>
      </w:r>
      <w:r w:rsidR="0017363D" w:rsidRPr="00F12E8B">
        <w:rPr>
          <w:b w:val="0"/>
          <w:color w:val="111111"/>
          <w:sz w:val="20"/>
          <w:szCs w:val="20"/>
          <w:lang w:val="en-US"/>
        </w:rPr>
        <w:t>bank's/</w:t>
      </w:r>
      <w:r w:rsidR="00843202" w:rsidRPr="00F12E8B">
        <w:rPr>
          <w:b w:val="0"/>
          <w:color w:val="111111"/>
          <w:sz w:val="20"/>
          <w:szCs w:val="20"/>
          <w:lang w:val="en-US"/>
        </w:rPr>
        <w:t>company's ability to generate profits from the capital it employs.</w:t>
      </w:r>
      <w:r w:rsidR="005D1ABA" w:rsidRPr="00F12E8B">
        <w:rPr>
          <w:b w:val="0"/>
          <w:color w:val="111111"/>
          <w:sz w:val="20"/>
          <w:szCs w:val="20"/>
          <w:lang w:val="en-US"/>
        </w:rPr>
        <w:t xml:space="preserve"> </w:t>
      </w:r>
      <w:r w:rsidR="00843202" w:rsidRPr="00F12E8B">
        <w:rPr>
          <w:b w:val="0"/>
          <w:color w:val="111111"/>
          <w:sz w:val="20"/>
          <w:szCs w:val="20"/>
          <w:lang w:val="en-US"/>
        </w:rPr>
        <w:t xml:space="preserve">ROCE is an important metric for investors as it reflects the </w:t>
      </w:r>
      <w:r w:rsidR="0017363D" w:rsidRPr="00F12E8B">
        <w:rPr>
          <w:b w:val="0"/>
          <w:color w:val="111111"/>
          <w:sz w:val="20"/>
          <w:szCs w:val="20"/>
          <w:lang w:val="en-US"/>
        </w:rPr>
        <w:t>bank's/</w:t>
      </w:r>
      <w:r w:rsidR="00843202" w:rsidRPr="00F12E8B">
        <w:rPr>
          <w:b w:val="0"/>
          <w:color w:val="111111"/>
          <w:sz w:val="20"/>
          <w:szCs w:val="20"/>
          <w:lang w:val="en-US"/>
        </w:rPr>
        <w:t xml:space="preserve">company's ability to generate returns on their investment. A consistently high ROCE indicates that the </w:t>
      </w:r>
      <w:r w:rsidR="0017363D" w:rsidRPr="00F12E8B">
        <w:rPr>
          <w:b w:val="0"/>
          <w:color w:val="111111"/>
          <w:sz w:val="20"/>
          <w:szCs w:val="20"/>
          <w:lang w:val="en-US"/>
        </w:rPr>
        <w:t>bank/</w:t>
      </w:r>
      <w:r w:rsidR="00843202" w:rsidRPr="00F12E8B">
        <w:rPr>
          <w:b w:val="0"/>
          <w:color w:val="111111"/>
          <w:sz w:val="20"/>
          <w:szCs w:val="20"/>
          <w:lang w:val="en-US"/>
        </w:rPr>
        <w:t>company is generating attractive returns, which can instill confidence in investors and potentially attract more capital.</w:t>
      </w:r>
      <w:r w:rsidR="0017363D" w:rsidRPr="00F12E8B">
        <w:rPr>
          <w:b w:val="0"/>
          <w:color w:val="111111"/>
          <w:sz w:val="20"/>
          <w:szCs w:val="20"/>
          <w:lang w:val="en-US"/>
        </w:rPr>
        <w:t xml:space="preserve"> </w:t>
      </w:r>
      <w:r w:rsidR="00843202" w:rsidRPr="00F12E8B">
        <w:rPr>
          <w:b w:val="0"/>
          <w:color w:val="111111"/>
          <w:sz w:val="20"/>
          <w:szCs w:val="20"/>
          <w:lang w:val="en-US"/>
        </w:rPr>
        <w:t xml:space="preserve">ROCE also serves as a useful management tool for assessing the performance of different business units or projects within a </w:t>
      </w:r>
      <w:r w:rsidR="0017363D" w:rsidRPr="00F12E8B">
        <w:rPr>
          <w:b w:val="0"/>
          <w:color w:val="111111"/>
          <w:sz w:val="20"/>
          <w:szCs w:val="20"/>
          <w:lang w:val="en-US"/>
        </w:rPr>
        <w:t>bank/</w:t>
      </w:r>
      <w:r w:rsidR="00843202" w:rsidRPr="00F12E8B">
        <w:rPr>
          <w:b w:val="0"/>
          <w:color w:val="111111"/>
          <w:sz w:val="20"/>
          <w:szCs w:val="20"/>
          <w:lang w:val="en-US"/>
        </w:rPr>
        <w:t>company. It helps identify areas where capital may be tied up inefficiently and allows for better decision-making regarding resource allocation and investment strategies. More specifically, ROCE provid</w:t>
      </w:r>
      <w:r w:rsidR="0017363D" w:rsidRPr="00F12E8B">
        <w:rPr>
          <w:b w:val="0"/>
          <w:color w:val="111111"/>
          <w:sz w:val="20"/>
          <w:szCs w:val="20"/>
          <w:lang w:val="en-US"/>
        </w:rPr>
        <w:t>es a long-term perspective on a bank's/</w:t>
      </w:r>
      <w:r w:rsidR="00843202" w:rsidRPr="00F12E8B">
        <w:rPr>
          <w:b w:val="0"/>
          <w:color w:val="111111"/>
          <w:sz w:val="20"/>
          <w:szCs w:val="20"/>
          <w:lang w:val="en-US"/>
        </w:rPr>
        <w:t>company's profitability and efficiency. It considers the profitability generated over an extended period and relates it to the capital employed.</w:t>
      </w:r>
      <w:r w:rsidR="0017363D" w:rsidRPr="00F12E8B">
        <w:rPr>
          <w:b w:val="0"/>
          <w:color w:val="111111"/>
          <w:sz w:val="20"/>
          <w:szCs w:val="20"/>
          <w:lang w:val="en-US"/>
        </w:rPr>
        <w:t xml:space="preserve"> </w:t>
      </w:r>
      <w:r w:rsidR="0017363D" w:rsidRPr="00F12E8B">
        <w:rPr>
          <w:b w:val="0"/>
          <w:color w:val="111111"/>
          <w:sz w:val="20"/>
          <w:szCs w:val="20"/>
          <w:shd w:val="clear" w:color="auto" w:fill="FFFFFF"/>
          <w:lang w:val="en-US"/>
        </w:rPr>
        <w:t>(https://www.investopedia.com/terms/r/roce.asp)</w:t>
      </w:r>
    </w:p>
    <w:p w:rsidR="00D93EFA" w:rsidRPr="00F12E8B" w:rsidRDefault="00FC3D2C" w:rsidP="00C512DE">
      <w:pPr>
        <w:spacing w:after="0" w:line="240" w:lineRule="auto"/>
        <w:jc w:val="both"/>
        <w:rPr>
          <w:rFonts w:ascii="Times New Roman" w:hAnsi="Times New Roman"/>
          <w:sz w:val="20"/>
          <w:szCs w:val="20"/>
        </w:rPr>
      </w:pPr>
      <w:r w:rsidRPr="00F12E8B">
        <w:rPr>
          <w:rFonts w:ascii="Times New Roman" w:hAnsi="Times New Roman"/>
          <w:sz w:val="20"/>
          <w:szCs w:val="20"/>
        </w:rPr>
        <w:tab/>
      </w:r>
      <w:r w:rsidR="00DC1394" w:rsidRPr="00F12E8B">
        <w:rPr>
          <w:rFonts w:ascii="Times New Roman" w:hAnsi="Times New Roman"/>
          <w:sz w:val="20"/>
          <w:szCs w:val="20"/>
        </w:rPr>
        <w:t xml:space="preserve">As we explained before in the DuPont Analysis definition </w:t>
      </w:r>
      <w:r w:rsidR="0017363D" w:rsidRPr="00F12E8B">
        <w:rPr>
          <w:rFonts w:ascii="Times New Roman" w:hAnsi="Times New Roman"/>
          <w:sz w:val="20"/>
          <w:szCs w:val="20"/>
        </w:rPr>
        <w:t xml:space="preserve">we </w:t>
      </w:r>
      <w:r w:rsidR="00DC1394" w:rsidRPr="00F12E8B">
        <w:rPr>
          <w:rFonts w:ascii="Times New Roman" w:hAnsi="Times New Roman"/>
          <w:sz w:val="20"/>
          <w:szCs w:val="20"/>
        </w:rPr>
        <w:t xml:space="preserve">also </w:t>
      </w:r>
      <w:r w:rsidR="0017363D" w:rsidRPr="00F12E8B">
        <w:rPr>
          <w:rFonts w:ascii="Times New Roman" w:hAnsi="Times New Roman"/>
          <w:sz w:val="20"/>
          <w:szCs w:val="20"/>
        </w:rPr>
        <w:t>use operating profit</w:t>
      </w:r>
      <w:r w:rsidR="00DC1394" w:rsidRPr="00F12E8B">
        <w:rPr>
          <w:rFonts w:ascii="Times New Roman" w:hAnsi="Times New Roman"/>
          <w:sz w:val="20"/>
          <w:szCs w:val="20"/>
        </w:rPr>
        <w:t>s</w:t>
      </w:r>
      <w:r w:rsidR="0017363D" w:rsidRPr="00F12E8B">
        <w:rPr>
          <w:rFonts w:ascii="Times New Roman" w:hAnsi="Times New Roman"/>
          <w:sz w:val="20"/>
          <w:szCs w:val="20"/>
        </w:rPr>
        <w:t xml:space="preserve"> before tax instead of EBIT</w:t>
      </w:r>
      <w:r w:rsidR="00DC1394" w:rsidRPr="00F12E8B">
        <w:rPr>
          <w:rFonts w:ascii="Times New Roman" w:hAnsi="Times New Roman"/>
          <w:sz w:val="20"/>
          <w:szCs w:val="20"/>
        </w:rPr>
        <w:t xml:space="preserve"> to calculate ROCE for banks</w:t>
      </w:r>
      <w:r w:rsidR="0017363D" w:rsidRPr="00F12E8B">
        <w:rPr>
          <w:rFonts w:ascii="Times New Roman" w:hAnsi="Times New Roman"/>
          <w:sz w:val="20"/>
          <w:szCs w:val="20"/>
        </w:rPr>
        <w:t>. We do not use the tax rate on the operating profit so as to be able to compare banks in different countries with different tax rate.</w:t>
      </w:r>
    </w:p>
    <w:p w:rsidR="00D93EFA" w:rsidRPr="00F12E8B" w:rsidRDefault="00FC3D2C" w:rsidP="00C512DE">
      <w:pPr>
        <w:spacing w:after="0" w:line="240" w:lineRule="auto"/>
        <w:jc w:val="both"/>
        <w:rPr>
          <w:rFonts w:ascii="Times New Roman" w:hAnsi="Times New Roman"/>
          <w:sz w:val="20"/>
          <w:szCs w:val="20"/>
        </w:rPr>
      </w:pPr>
      <w:r w:rsidRPr="00F12E8B">
        <w:rPr>
          <w:rFonts w:ascii="Times New Roman" w:hAnsi="Times New Roman"/>
          <w:sz w:val="20"/>
          <w:szCs w:val="20"/>
        </w:rPr>
        <w:tab/>
      </w:r>
      <w:r w:rsidR="00960BF8" w:rsidRPr="00F12E8B">
        <w:rPr>
          <w:rFonts w:ascii="Times New Roman" w:hAnsi="Times New Roman"/>
          <w:sz w:val="20"/>
          <w:szCs w:val="20"/>
        </w:rPr>
        <w:t xml:space="preserve">ROCE is commonly used to compare the efficiency of capital usage of businesses within the </w:t>
      </w:r>
      <w:r w:rsidR="006B6AF8" w:rsidRPr="00F12E8B">
        <w:rPr>
          <w:rFonts w:ascii="Times New Roman" w:hAnsi="Times New Roman"/>
          <w:sz w:val="20"/>
          <w:szCs w:val="20"/>
        </w:rPr>
        <w:t>bank/com</w:t>
      </w:r>
      <w:r w:rsidR="007906C0" w:rsidRPr="00F12E8B">
        <w:rPr>
          <w:rFonts w:ascii="Times New Roman" w:hAnsi="Times New Roman"/>
          <w:sz w:val="20"/>
          <w:szCs w:val="20"/>
        </w:rPr>
        <w:t>p</w:t>
      </w:r>
      <w:r w:rsidR="006B6AF8" w:rsidRPr="00F12E8B">
        <w:rPr>
          <w:rFonts w:ascii="Times New Roman" w:hAnsi="Times New Roman"/>
          <w:sz w:val="20"/>
          <w:szCs w:val="20"/>
        </w:rPr>
        <w:t>any that they belong to the same sectoral industry</w:t>
      </w:r>
      <w:r w:rsidR="00960BF8" w:rsidRPr="00F12E8B">
        <w:rPr>
          <w:rFonts w:ascii="Times New Roman" w:hAnsi="Times New Roman"/>
          <w:sz w:val="20"/>
          <w:szCs w:val="20"/>
        </w:rPr>
        <w:t xml:space="preserve">. It is basically used to demonstrate how much a business is earning for its assets, or how much it is losing for its liabilities. It also indicates whether the </w:t>
      </w:r>
      <w:r w:rsidR="006B6AF8" w:rsidRPr="00F12E8B">
        <w:rPr>
          <w:rFonts w:ascii="Times New Roman" w:hAnsi="Times New Roman"/>
          <w:sz w:val="20"/>
          <w:szCs w:val="20"/>
        </w:rPr>
        <w:t>bank/</w:t>
      </w:r>
      <w:r w:rsidR="00960BF8" w:rsidRPr="00F12E8B">
        <w:rPr>
          <w:rFonts w:ascii="Times New Roman" w:hAnsi="Times New Roman"/>
          <w:sz w:val="20"/>
          <w:szCs w:val="20"/>
        </w:rPr>
        <w:t>company is earning sufficient revenues and profits in order to make the best use of its capital assets. High ROCE is a validation of a bank's/company's competitive advantage. It indicates that the bank/company has something special to offer-products or services that command a high return. It usually follows that margins are above average (Jeet Singh Preeti Yadav 2017).</w:t>
      </w:r>
    </w:p>
    <w:p w:rsidR="00960BF8" w:rsidRPr="00F12E8B" w:rsidRDefault="00FC3D2C" w:rsidP="00C512DE">
      <w:pPr>
        <w:spacing w:after="0" w:line="240" w:lineRule="auto"/>
        <w:jc w:val="both"/>
        <w:rPr>
          <w:rFonts w:ascii="Times New Roman" w:hAnsi="Times New Roman"/>
          <w:sz w:val="20"/>
          <w:szCs w:val="20"/>
        </w:rPr>
      </w:pPr>
      <w:r w:rsidRPr="00F12E8B">
        <w:rPr>
          <w:rFonts w:ascii="Times New Roman" w:hAnsi="Times New Roman"/>
          <w:sz w:val="20"/>
          <w:szCs w:val="20"/>
        </w:rPr>
        <w:tab/>
      </w:r>
      <w:r w:rsidR="00960BF8" w:rsidRPr="00F12E8B">
        <w:rPr>
          <w:rFonts w:ascii="Times New Roman" w:hAnsi="Times New Roman"/>
          <w:sz w:val="20"/>
          <w:szCs w:val="20"/>
        </w:rPr>
        <w:t xml:space="preserve">ROCE is an important shareholder value metric, but most of the annual </w:t>
      </w:r>
      <w:r w:rsidR="006B6AF8" w:rsidRPr="00F12E8B">
        <w:rPr>
          <w:rFonts w:ascii="Times New Roman" w:hAnsi="Times New Roman"/>
          <w:sz w:val="20"/>
          <w:szCs w:val="20"/>
        </w:rPr>
        <w:t>financial statements</w:t>
      </w:r>
      <w:r w:rsidR="00960BF8" w:rsidRPr="00F12E8B">
        <w:rPr>
          <w:rFonts w:ascii="Times New Roman" w:hAnsi="Times New Roman"/>
          <w:sz w:val="20"/>
          <w:szCs w:val="20"/>
        </w:rPr>
        <w:t xml:space="preserve"> of banks/companies do not even mention it. It has been observed that banks/companies which have a superior ROCE compared to others similar banks/companies, have a relentless focus on driving their banks/companies towards achieving </w:t>
      </w:r>
      <w:r w:rsidR="006B6AF8" w:rsidRPr="00F12E8B">
        <w:rPr>
          <w:rFonts w:ascii="Times New Roman" w:hAnsi="Times New Roman"/>
          <w:sz w:val="20"/>
          <w:szCs w:val="20"/>
        </w:rPr>
        <w:t>their goals</w:t>
      </w:r>
      <w:r w:rsidR="00960BF8" w:rsidRPr="00F12E8B">
        <w:rPr>
          <w:rFonts w:ascii="Times New Roman" w:hAnsi="Times New Roman"/>
          <w:sz w:val="20"/>
          <w:szCs w:val="20"/>
        </w:rPr>
        <w:t>. Such banks/companies link all their strategic and operational initiatives, including performance metrics across functions and levels, to the key ROCE value drivers such as, fixed asset productivity, working capital turns, and operating margins. Targets are set against these during the planning and budgeting process, and initiatives are prioritised based on how important they are in preserving or enhancing ROCE</w:t>
      </w:r>
      <w:r w:rsidR="006B6AF8" w:rsidRPr="00F12E8B">
        <w:rPr>
          <w:rFonts w:ascii="Times New Roman" w:hAnsi="Times New Roman"/>
          <w:sz w:val="20"/>
          <w:szCs w:val="20"/>
        </w:rPr>
        <w:t xml:space="preserve"> (Shyam Pattabiraman 2013)</w:t>
      </w:r>
      <w:r w:rsidR="00960BF8" w:rsidRPr="00F12E8B">
        <w:rPr>
          <w:rFonts w:ascii="Times New Roman" w:hAnsi="Times New Roman"/>
          <w:sz w:val="20"/>
          <w:szCs w:val="20"/>
        </w:rPr>
        <w:t>.</w:t>
      </w:r>
    </w:p>
    <w:p w:rsidR="00F23F65" w:rsidRPr="00F12E8B" w:rsidRDefault="00FC3D2C" w:rsidP="00C512DE">
      <w:pPr>
        <w:spacing w:after="0" w:line="240" w:lineRule="auto"/>
        <w:jc w:val="both"/>
        <w:rPr>
          <w:rFonts w:ascii="Times New Roman" w:hAnsi="Times New Roman"/>
          <w:sz w:val="20"/>
          <w:szCs w:val="20"/>
        </w:rPr>
      </w:pPr>
      <w:r w:rsidRPr="00F12E8B">
        <w:rPr>
          <w:rFonts w:ascii="Times New Roman" w:hAnsi="Times New Roman"/>
          <w:sz w:val="20"/>
          <w:szCs w:val="20"/>
        </w:rPr>
        <w:tab/>
      </w:r>
      <w:r w:rsidR="00774553" w:rsidRPr="00F12E8B">
        <w:rPr>
          <w:rFonts w:ascii="Times New Roman" w:hAnsi="Times New Roman"/>
          <w:sz w:val="20"/>
          <w:szCs w:val="20"/>
        </w:rPr>
        <w:t>10</w:t>
      </w:r>
      <w:r w:rsidR="00F23F65" w:rsidRPr="00F12E8B">
        <w:rPr>
          <w:rFonts w:ascii="Times New Roman" w:hAnsi="Times New Roman"/>
          <w:sz w:val="20"/>
          <w:szCs w:val="20"/>
        </w:rPr>
        <w:t>) Z-score for banks</w:t>
      </w:r>
      <w:r w:rsidR="00774553" w:rsidRPr="00F12E8B">
        <w:rPr>
          <w:rFonts w:ascii="Times New Roman" w:hAnsi="Times New Roman"/>
          <w:sz w:val="20"/>
          <w:szCs w:val="20"/>
        </w:rPr>
        <w:tab/>
      </w:r>
      <w:r w:rsidR="00774553" w:rsidRPr="00F12E8B">
        <w:rPr>
          <w:rFonts w:ascii="Times New Roman" w:hAnsi="Times New Roman"/>
          <w:sz w:val="20"/>
          <w:szCs w:val="20"/>
        </w:rPr>
        <w:tab/>
      </w:r>
      <w:r w:rsidR="00774553" w:rsidRPr="00F12E8B">
        <w:rPr>
          <w:rFonts w:ascii="Times New Roman" w:hAnsi="Times New Roman"/>
          <w:sz w:val="20"/>
          <w:szCs w:val="20"/>
        </w:rPr>
        <w:tab/>
      </w:r>
      <w:r w:rsidR="00774553" w:rsidRPr="00F12E8B">
        <w:rPr>
          <w:rFonts w:ascii="Times New Roman" w:hAnsi="Times New Roman"/>
          <w:sz w:val="20"/>
          <w:szCs w:val="20"/>
        </w:rPr>
        <w:tab/>
      </w:r>
      <w:r w:rsidR="00774553" w:rsidRPr="00F12E8B">
        <w:rPr>
          <w:rFonts w:ascii="Times New Roman" w:hAnsi="Times New Roman"/>
          <w:sz w:val="20"/>
          <w:szCs w:val="20"/>
        </w:rPr>
        <w:tab/>
      </w:r>
      <w:r w:rsidR="00774553" w:rsidRPr="00F12E8B">
        <w:rPr>
          <w:rFonts w:ascii="Times New Roman" w:hAnsi="Times New Roman"/>
          <w:sz w:val="20"/>
          <w:szCs w:val="20"/>
        </w:rPr>
        <w:tab/>
      </w:r>
      <w:r w:rsidR="00774553" w:rsidRPr="00F12E8B">
        <w:rPr>
          <w:rFonts w:ascii="Times New Roman" w:hAnsi="Times New Roman"/>
          <w:sz w:val="20"/>
          <w:szCs w:val="20"/>
        </w:rPr>
        <w:tab/>
      </w:r>
      <w:r w:rsidR="00774553" w:rsidRPr="00F12E8B">
        <w:rPr>
          <w:rFonts w:ascii="Times New Roman" w:hAnsi="Times New Roman"/>
          <w:sz w:val="20"/>
          <w:szCs w:val="20"/>
        </w:rPr>
        <w:tab/>
        <w:t xml:space="preserve"> (10)</w:t>
      </w:r>
    </w:p>
    <w:p w:rsidR="003D2CEF" w:rsidRPr="00F12E8B" w:rsidRDefault="003D2CEF" w:rsidP="003D2CEF">
      <w:pPr>
        <w:spacing w:after="0" w:line="240" w:lineRule="auto"/>
        <w:jc w:val="both"/>
        <w:rPr>
          <w:rFonts w:ascii="Times New Roman" w:hAnsi="Times New Roman"/>
          <w:sz w:val="20"/>
          <w:szCs w:val="20"/>
        </w:rPr>
      </w:pPr>
      <w:r w:rsidRPr="00F12E8B">
        <w:rPr>
          <w:rFonts w:ascii="Times New Roman" w:hAnsi="Times New Roman"/>
          <w:sz w:val="20"/>
          <w:szCs w:val="20"/>
        </w:rPr>
        <w:t xml:space="preserve">The calculation formula for the Z-Score model for banks is </w:t>
      </w:r>
      <w:r w:rsidRPr="00F12E8B">
        <w:rPr>
          <w:rFonts w:ascii="Times New Roman" w:hAnsi="Times New Roman"/>
          <w:b/>
          <w:sz w:val="20"/>
          <w:szCs w:val="20"/>
        </w:rPr>
        <w:t>z=</w:t>
      </w:r>
      <m:oMath>
        <m:f>
          <m:fPr>
            <m:ctrlPr>
              <w:rPr>
                <w:rFonts w:ascii="Cambria Math" w:hAnsi="Times New Roman"/>
                <w:b/>
                <w:i/>
                <w:sz w:val="20"/>
                <w:szCs w:val="20"/>
              </w:rPr>
            </m:ctrlPr>
          </m:fPr>
          <m:num>
            <m:acc>
              <m:accPr>
                <m:chr m:val="̅"/>
                <m:ctrlPr>
                  <w:rPr>
                    <w:rFonts w:ascii="Cambria Math" w:hAnsi="Times New Roman"/>
                    <w:b/>
                    <w:i/>
                    <w:sz w:val="20"/>
                    <w:szCs w:val="20"/>
                  </w:rPr>
                </m:ctrlPr>
              </m:accPr>
              <m:e>
                <m:r>
                  <m:rPr>
                    <m:sty m:val="bi"/>
                  </m:rPr>
                  <w:rPr>
                    <w:rFonts w:ascii="Cambria Math" w:hAnsi="Cambria Math"/>
                    <w:sz w:val="20"/>
                    <w:szCs w:val="20"/>
                  </w:rPr>
                  <m:t>ROA</m:t>
                </m:r>
              </m:e>
            </m:acc>
            <m:r>
              <m:rPr>
                <m:sty m:val="bi"/>
              </m:rPr>
              <w:rPr>
                <w:rFonts w:ascii="Cambria Math" w:hAnsi="Times New Roman"/>
                <w:sz w:val="20"/>
                <w:szCs w:val="20"/>
              </w:rPr>
              <m:t xml:space="preserve">+ </m:t>
            </m:r>
            <m:acc>
              <m:accPr>
                <m:chr m:val="̅"/>
                <m:ctrlPr>
                  <w:rPr>
                    <w:rFonts w:ascii="Cambria Math" w:hAnsi="Times New Roman"/>
                    <w:b/>
                    <w:i/>
                    <w:sz w:val="20"/>
                    <w:szCs w:val="20"/>
                  </w:rPr>
                </m:ctrlPr>
              </m:accPr>
              <m:e>
                <m:r>
                  <m:rPr>
                    <m:sty m:val="bi"/>
                  </m:rPr>
                  <w:rPr>
                    <w:rFonts w:ascii="Cambria Math" w:hAnsi="Cambria Math"/>
                    <w:sz w:val="20"/>
                    <w:szCs w:val="20"/>
                  </w:rPr>
                  <m:t>EA</m:t>
                </m:r>
              </m:e>
            </m:acc>
          </m:num>
          <m:den>
            <m:sSub>
              <m:sSubPr>
                <m:ctrlPr>
                  <w:rPr>
                    <w:rFonts w:ascii="Cambria Math" w:hAnsi="Times New Roman"/>
                    <w:b/>
                    <w:i/>
                    <w:sz w:val="20"/>
                    <w:szCs w:val="20"/>
                  </w:rPr>
                </m:ctrlPr>
              </m:sSubPr>
              <m:e>
                <m:r>
                  <m:rPr>
                    <m:sty m:val="bi"/>
                  </m:rPr>
                  <w:rPr>
                    <w:rFonts w:ascii="Cambria Math" w:hAnsi="Cambria Math"/>
                    <w:sz w:val="20"/>
                    <w:szCs w:val="20"/>
                  </w:rPr>
                  <m:t>σ</m:t>
                </m:r>
              </m:e>
              <m:sub>
                <m:r>
                  <m:rPr>
                    <m:sty m:val="bi"/>
                  </m:rPr>
                  <w:rPr>
                    <w:rFonts w:ascii="Cambria Math" w:hAnsi="Cambria Math"/>
                    <w:sz w:val="20"/>
                    <w:szCs w:val="20"/>
                  </w:rPr>
                  <m:t>ROA</m:t>
                </m:r>
              </m:sub>
            </m:sSub>
          </m:den>
        </m:f>
      </m:oMath>
      <w:r w:rsidRPr="00F12E8B">
        <w:rPr>
          <w:rFonts w:ascii="Times New Roman" w:eastAsiaTheme="minorEastAsia" w:hAnsi="Times New Roman"/>
          <w:sz w:val="20"/>
          <w:szCs w:val="20"/>
        </w:rPr>
        <w:t xml:space="preserve"> </w:t>
      </w:r>
    </w:p>
    <w:p w:rsidR="003D2CEF" w:rsidRPr="00F12E8B" w:rsidRDefault="00FC3D2C" w:rsidP="003D2CEF">
      <w:pPr>
        <w:spacing w:after="0" w:line="240" w:lineRule="auto"/>
        <w:jc w:val="both"/>
        <w:rPr>
          <w:rFonts w:ascii="Times New Roman" w:hAnsi="Times New Roman"/>
          <w:sz w:val="20"/>
          <w:szCs w:val="20"/>
        </w:rPr>
      </w:pPr>
      <w:r w:rsidRPr="00F12E8B">
        <w:rPr>
          <w:rFonts w:ascii="Times New Roman" w:hAnsi="Times New Roman"/>
          <w:sz w:val="20"/>
          <w:szCs w:val="20"/>
        </w:rPr>
        <w:tab/>
      </w:r>
      <w:r w:rsidR="003D2CEF" w:rsidRPr="00F12E8B">
        <w:rPr>
          <w:rFonts w:ascii="Times New Roman" w:hAnsi="Times New Roman"/>
          <w:sz w:val="20"/>
          <w:szCs w:val="20"/>
        </w:rPr>
        <w:t>To find the value of Z</w:t>
      </w:r>
      <w:r w:rsidR="00AD1C16" w:rsidRPr="00F12E8B">
        <w:rPr>
          <w:rFonts w:ascii="Times New Roman" w:hAnsi="Times New Roman"/>
          <w:sz w:val="20"/>
          <w:szCs w:val="20"/>
        </w:rPr>
        <w:t>-Score for banks we follow the three steps. First</w:t>
      </w:r>
      <w:r w:rsidR="003D2CEF" w:rsidRPr="00F12E8B">
        <w:rPr>
          <w:rFonts w:ascii="Times New Roman" w:hAnsi="Times New Roman"/>
          <w:sz w:val="20"/>
          <w:szCs w:val="20"/>
        </w:rPr>
        <w:t xml:space="preserve"> in the numerator we calculate the </w:t>
      </w:r>
      <w:r w:rsidR="00AD1C16" w:rsidRPr="00F12E8B">
        <w:rPr>
          <w:rFonts w:ascii="Times New Roman" w:hAnsi="Times New Roman"/>
          <w:sz w:val="20"/>
          <w:szCs w:val="20"/>
        </w:rPr>
        <w:t>A</w:t>
      </w:r>
      <w:r w:rsidR="003D2CEF" w:rsidRPr="00F12E8B">
        <w:rPr>
          <w:rFonts w:ascii="Times New Roman" w:hAnsi="Times New Roman"/>
          <w:sz w:val="20"/>
          <w:szCs w:val="20"/>
        </w:rPr>
        <w:t xml:space="preserve">verage </w:t>
      </w:r>
      <w:r w:rsidR="00AD1C16" w:rsidRPr="00F12E8B">
        <w:rPr>
          <w:rFonts w:ascii="Times New Roman" w:hAnsi="Times New Roman"/>
          <w:noProof/>
          <w:sz w:val="20"/>
          <w:szCs w:val="20"/>
          <w:lang w:val="el-GR" w:eastAsia="el-GR"/>
        </w:rPr>
        <w:drawing>
          <wp:inline distT="0" distB="0" distL="0" distR="0">
            <wp:extent cx="314960" cy="142240"/>
            <wp:effectExtent l="19050" t="0" r="889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srcRect/>
                    <a:stretch>
                      <a:fillRect/>
                    </a:stretch>
                  </pic:blipFill>
                  <pic:spPr bwMode="auto">
                    <a:xfrm>
                      <a:off x="0" y="0"/>
                      <a:ext cx="314960" cy="142240"/>
                    </a:xfrm>
                    <a:prstGeom prst="rect">
                      <a:avLst/>
                    </a:prstGeom>
                    <a:noFill/>
                    <a:ln w="9525">
                      <a:noFill/>
                      <a:miter lim="800000"/>
                      <a:headEnd/>
                      <a:tailEnd/>
                    </a:ln>
                  </pic:spPr>
                </pic:pic>
              </a:graphicData>
            </a:graphic>
          </wp:inline>
        </w:drawing>
      </w:r>
      <w:r w:rsidR="003D2CEF" w:rsidRPr="00F12E8B">
        <w:rPr>
          <w:rFonts w:ascii="Times New Roman" w:hAnsi="Times New Roman"/>
          <w:sz w:val="20"/>
          <w:szCs w:val="20"/>
        </w:rPr>
        <w:t xml:space="preserve"> of the considered time period before and after acquisitions and mergers. </w:t>
      </w:r>
      <w:r w:rsidR="00AD1C16" w:rsidRPr="00F12E8B">
        <w:rPr>
          <w:rFonts w:ascii="Times New Roman" w:hAnsi="Times New Roman"/>
          <w:sz w:val="20"/>
          <w:szCs w:val="20"/>
        </w:rPr>
        <w:t>In the second step we add t</w:t>
      </w:r>
      <w:r w:rsidR="003D2CEF" w:rsidRPr="00F12E8B">
        <w:rPr>
          <w:rFonts w:ascii="Times New Roman" w:hAnsi="Times New Roman"/>
          <w:sz w:val="20"/>
          <w:szCs w:val="20"/>
        </w:rPr>
        <w:t xml:space="preserve">o the </w:t>
      </w:r>
      <w:r w:rsidR="00AD1C16" w:rsidRPr="00F12E8B">
        <w:rPr>
          <w:rFonts w:ascii="Times New Roman" w:hAnsi="Times New Roman"/>
          <w:sz w:val="20"/>
          <w:szCs w:val="20"/>
        </w:rPr>
        <w:t>A</w:t>
      </w:r>
      <w:r w:rsidR="003D2CEF" w:rsidRPr="00F12E8B">
        <w:rPr>
          <w:rFonts w:ascii="Times New Roman" w:hAnsi="Times New Roman"/>
          <w:sz w:val="20"/>
          <w:szCs w:val="20"/>
        </w:rPr>
        <w:t xml:space="preserve">verage </w:t>
      </w:r>
      <w:r w:rsidR="00AD1C16" w:rsidRPr="00F12E8B">
        <w:rPr>
          <w:rFonts w:ascii="Times New Roman" w:hAnsi="Times New Roman"/>
          <w:noProof/>
          <w:sz w:val="20"/>
          <w:szCs w:val="20"/>
          <w:lang w:val="el-GR" w:eastAsia="el-GR"/>
        </w:rPr>
        <w:drawing>
          <wp:inline distT="0" distB="0" distL="0" distR="0">
            <wp:extent cx="314960" cy="142240"/>
            <wp:effectExtent l="19050" t="0" r="8890" b="0"/>
            <wp:docPr id="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srcRect/>
                    <a:stretch>
                      <a:fillRect/>
                    </a:stretch>
                  </pic:blipFill>
                  <pic:spPr bwMode="auto">
                    <a:xfrm>
                      <a:off x="0" y="0"/>
                      <a:ext cx="314960" cy="142240"/>
                    </a:xfrm>
                    <a:prstGeom prst="rect">
                      <a:avLst/>
                    </a:prstGeom>
                    <a:noFill/>
                    <a:ln w="9525">
                      <a:noFill/>
                      <a:miter lim="800000"/>
                      <a:headEnd/>
                      <a:tailEnd/>
                    </a:ln>
                  </pic:spPr>
                </pic:pic>
              </a:graphicData>
            </a:graphic>
          </wp:inline>
        </w:drawing>
      </w:r>
      <w:r w:rsidR="003D2CEF" w:rsidRPr="00F12E8B">
        <w:rPr>
          <w:rFonts w:ascii="Times New Roman" w:hAnsi="Times New Roman"/>
          <w:sz w:val="20"/>
          <w:szCs w:val="20"/>
        </w:rPr>
        <w:t xml:space="preserve">the </w:t>
      </w:r>
      <w:r w:rsidR="00AD1C16" w:rsidRPr="00F12E8B">
        <w:rPr>
          <w:rFonts w:ascii="Times New Roman" w:hAnsi="Times New Roman"/>
          <w:sz w:val="20"/>
          <w:szCs w:val="20"/>
        </w:rPr>
        <w:t>A</w:t>
      </w:r>
      <w:r w:rsidR="003D2CEF" w:rsidRPr="00F12E8B">
        <w:rPr>
          <w:rFonts w:ascii="Times New Roman" w:hAnsi="Times New Roman"/>
          <w:sz w:val="20"/>
          <w:szCs w:val="20"/>
        </w:rPr>
        <w:t xml:space="preserve">verage of the fraction of equity to total assets </w:t>
      </w:r>
      <w:r w:rsidR="00AD1C16" w:rsidRPr="00F12E8B">
        <w:rPr>
          <w:rFonts w:ascii="Times New Roman" w:hAnsi="Times New Roman"/>
          <w:noProof/>
          <w:sz w:val="20"/>
          <w:szCs w:val="20"/>
          <w:lang w:val="el-GR" w:eastAsia="el-GR"/>
        </w:rPr>
        <w:drawing>
          <wp:inline distT="0" distB="0" distL="0" distR="0">
            <wp:extent cx="178435" cy="154305"/>
            <wp:effectExtent l="19050" t="0" r="0" b="0"/>
            <wp:docPr id="11"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srcRect/>
                    <a:stretch>
                      <a:fillRect/>
                    </a:stretch>
                  </pic:blipFill>
                  <pic:spPr bwMode="auto">
                    <a:xfrm>
                      <a:off x="0" y="0"/>
                      <a:ext cx="178435" cy="154305"/>
                    </a:xfrm>
                    <a:prstGeom prst="rect">
                      <a:avLst/>
                    </a:prstGeom>
                    <a:noFill/>
                    <a:ln w="9525">
                      <a:noFill/>
                      <a:miter lim="800000"/>
                      <a:headEnd/>
                      <a:tailEnd/>
                    </a:ln>
                  </pic:spPr>
                </pic:pic>
              </a:graphicData>
            </a:graphic>
          </wp:inline>
        </w:drawing>
      </w:r>
      <w:r w:rsidR="00AD1C16" w:rsidRPr="00F12E8B">
        <w:rPr>
          <w:rFonts w:ascii="Times New Roman" w:hAnsi="Times New Roman"/>
          <w:sz w:val="20"/>
          <w:szCs w:val="20"/>
        </w:rPr>
        <w:t xml:space="preserve"> </w:t>
      </w:r>
      <w:r w:rsidR="003D2CEF" w:rsidRPr="00F12E8B">
        <w:rPr>
          <w:rFonts w:ascii="Times New Roman" w:hAnsi="Times New Roman"/>
          <w:sz w:val="20"/>
          <w:szCs w:val="20"/>
        </w:rPr>
        <w:t xml:space="preserve">for the same period. In the </w:t>
      </w:r>
      <w:r w:rsidR="00AD1C16" w:rsidRPr="00F12E8B">
        <w:rPr>
          <w:rFonts w:ascii="Times New Roman" w:hAnsi="Times New Roman"/>
          <w:sz w:val="20"/>
          <w:szCs w:val="20"/>
        </w:rPr>
        <w:t xml:space="preserve">third step we calculate for the denominator </w:t>
      </w:r>
      <w:r w:rsidR="003D2CEF" w:rsidRPr="00F12E8B">
        <w:rPr>
          <w:rFonts w:ascii="Times New Roman" w:hAnsi="Times New Roman"/>
          <w:sz w:val="20"/>
          <w:szCs w:val="20"/>
        </w:rPr>
        <w:t>the standard deviation of the</w:t>
      </w:r>
      <w:r w:rsidR="00AD1C16" w:rsidRPr="00F12E8B">
        <w:rPr>
          <w:rFonts w:ascii="Times New Roman" w:hAnsi="Times New Roman"/>
          <w:sz w:val="20"/>
          <w:szCs w:val="20"/>
        </w:rPr>
        <w:t xml:space="preserve"> ROA ratio also for the same time period</w:t>
      </w:r>
      <w:r w:rsidR="003D2CEF" w:rsidRPr="00F12E8B">
        <w:rPr>
          <w:rFonts w:ascii="Times New Roman" w:hAnsi="Times New Roman"/>
          <w:sz w:val="20"/>
          <w:szCs w:val="20"/>
        </w:rPr>
        <w:t>.</w:t>
      </w:r>
      <w:r w:rsidR="00E0657F" w:rsidRPr="00F12E8B">
        <w:rPr>
          <w:rFonts w:ascii="Times New Roman" w:hAnsi="Times New Roman"/>
          <w:sz w:val="20"/>
          <w:szCs w:val="20"/>
        </w:rPr>
        <w:t xml:space="preserve"> The formula for the calculation of ROA standard deviation is below:</w:t>
      </w:r>
    </w:p>
    <w:p w:rsidR="00E0657F" w:rsidRPr="00F12E8B" w:rsidRDefault="00E0657F" w:rsidP="00C512DE">
      <w:pPr>
        <w:spacing w:after="0" w:line="240" w:lineRule="auto"/>
        <w:jc w:val="both"/>
        <w:rPr>
          <w:rFonts w:ascii="Times New Roman" w:hAnsi="Times New Roman"/>
          <w:sz w:val="20"/>
          <w:szCs w:val="20"/>
        </w:rPr>
      </w:pPr>
      <m:oMathPara>
        <m:oMathParaPr>
          <m:jc m:val="left"/>
        </m:oMathParaPr>
        <m:oMath>
          <m:r>
            <w:rPr>
              <w:rFonts w:ascii="Cambria Math" w:hAnsi="Cambria Math"/>
              <w:sz w:val="20"/>
              <w:szCs w:val="20"/>
            </w:rPr>
            <m:t>σ</m:t>
          </m:r>
          <m:r>
            <w:rPr>
              <w:rFonts w:ascii="Cambria Math" w:hAnsi="Times New Roman"/>
              <w:sz w:val="20"/>
              <w:szCs w:val="20"/>
            </w:rPr>
            <m:t>=</m:t>
          </m:r>
          <m:rad>
            <m:radPr>
              <m:degHide m:val="on"/>
              <m:ctrlPr>
                <w:rPr>
                  <w:rFonts w:ascii="Cambria Math" w:hAnsi="Times New Roman"/>
                  <w:i/>
                  <w:sz w:val="20"/>
                  <w:szCs w:val="20"/>
                </w:rPr>
              </m:ctrlPr>
            </m:radPr>
            <m:deg/>
            <m:e>
              <m:f>
                <m:fPr>
                  <m:ctrlPr>
                    <w:rPr>
                      <w:rFonts w:ascii="Cambria Math" w:hAnsi="Times New Roman"/>
                      <w:i/>
                      <w:sz w:val="20"/>
                      <w:szCs w:val="20"/>
                    </w:rPr>
                  </m:ctrlPr>
                </m:fPr>
                <m:num>
                  <m:nary>
                    <m:naryPr>
                      <m:chr m:val="∑"/>
                      <m:limLoc m:val="undOvr"/>
                      <m:subHide m:val="on"/>
                      <m:supHide m:val="on"/>
                      <m:ctrlPr>
                        <w:rPr>
                          <w:rFonts w:ascii="Cambria Math" w:hAnsi="Times New Roman"/>
                          <w:i/>
                          <w:sz w:val="20"/>
                          <w:szCs w:val="20"/>
                        </w:rPr>
                      </m:ctrlPr>
                    </m:naryPr>
                    <m:sub/>
                    <m:sup/>
                    <m:e>
                      <m:sSup>
                        <m:sSupPr>
                          <m:ctrlPr>
                            <w:rPr>
                              <w:rFonts w:ascii="Cambria Math" w:hAnsi="Times New Roman"/>
                              <w:i/>
                              <w:sz w:val="20"/>
                              <w:szCs w:val="20"/>
                            </w:rPr>
                          </m:ctrlPr>
                        </m:sSupPr>
                        <m:e>
                          <m:d>
                            <m:dPr>
                              <m:ctrlPr>
                                <w:rPr>
                                  <w:rFonts w:ascii="Cambria Math" w:hAnsi="Times New Roman"/>
                                  <w:i/>
                                  <w:sz w:val="20"/>
                                  <w:szCs w:val="20"/>
                                </w:rPr>
                              </m:ctrlPr>
                            </m:dPr>
                            <m:e>
                              <m:r>
                                <w:rPr>
                                  <w:rFonts w:ascii="Cambria Math" w:hAnsi="Cambria Math"/>
                                  <w:sz w:val="20"/>
                                  <w:szCs w:val="20"/>
                                </w:rPr>
                                <m:t>ROAi</m:t>
                              </m:r>
                              <m:r>
                                <w:rPr>
                                  <w:rFonts w:ascii="Times New Roman" w:hAnsi="Times New Roman"/>
                                  <w:sz w:val="20"/>
                                  <w:szCs w:val="20"/>
                                </w:rPr>
                                <m:t>-</m:t>
                              </m:r>
                              <m:r>
                                <w:rPr>
                                  <w:rFonts w:ascii="Cambria Math" w:hAnsi="Times New Roman"/>
                                  <w:i/>
                                  <w:noProof/>
                                  <w:sz w:val="20"/>
                                  <w:szCs w:val="20"/>
                                  <w:lang w:val="el-GR" w:eastAsia="el-GR"/>
                                </w:rPr>
                                <w:drawing>
                                  <wp:inline distT="0" distB="0" distL="0" distR="0">
                                    <wp:extent cx="444085" cy="201880"/>
                                    <wp:effectExtent l="19050" t="0" r="0" b="0"/>
                                    <wp:docPr id="8"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cstate="print"/>
                                            <a:srcRect/>
                                            <a:stretch>
                                              <a:fillRect/>
                                            </a:stretch>
                                          </pic:blipFill>
                                          <pic:spPr bwMode="auto">
                                            <a:xfrm>
                                              <a:off x="0" y="0"/>
                                              <a:ext cx="445135" cy="202357"/>
                                            </a:xfrm>
                                            <a:prstGeom prst="rect">
                                              <a:avLst/>
                                            </a:prstGeom>
                                            <a:noFill/>
                                            <a:ln w="9525">
                                              <a:noFill/>
                                              <a:miter lim="800000"/>
                                              <a:headEnd/>
                                              <a:tailEnd/>
                                            </a:ln>
                                          </pic:spPr>
                                        </pic:pic>
                                      </a:graphicData>
                                    </a:graphic>
                                  </wp:inline>
                                </w:drawing>
                              </m:r>
                            </m:e>
                          </m:d>
                        </m:e>
                        <m:sup>
                          <m:r>
                            <w:rPr>
                              <w:rFonts w:ascii="Cambria Math" w:hAnsi="Times New Roman"/>
                              <w:sz w:val="20"/>
                              <w:szCs w:val="20"/>
                            </w:rPr>
                            <m:t>2</m:t>
                          </m:r>
                        </m:sup>
                      </m:sSup>
                    </m:e>
                  </m:nary>
                </m:num>
                <m:den>
                  <m:r>
                    <w:rPr>
                      <w:rFonts w:ascii="Cambria Math" w:hAnsi="Cambria Math"/>
                      <w:sz w:val="20"/>
                      <w:szCs w:val="20"/>
                    </w:rPr>
                    <m:t>N</m:t>
                  </m:r>
                </m:den>
              </m:f>
            </m:e>
          </m:rad>
        </m:oMath>
      </m:oMathPara>
    </w:p>
    <w:p w:rsidR="00DE4930" w:rsidRPr="00F12E8B" w:rsidRDefault="00FC3D2C" w:rsidP="00124C5A">
      <w:pPr>
        <w:spacing w:after="0" w:line="240" w:lineRule="auto"/>
        <w:jc w:val="both"/>
        <w:rPr>
          <w:rFonts w:ascii="Times New Roman" w:hAnsi="Times New Roman"/>
          <w:sz w:val="20"/>
          <w:szCs w:val="20"/>
        </w:rPr>
      </w:pPr>
      <w:r w:rsidRPr="00F12E8B">
        <w:rPr>
          <w:rFonts w:ascii="Times New Roman" w:hAnsi="Times New Roman"/>
          <w:sz w:val="20"/>
          <w:szCs w:val="20"/>
        </w:rPr>
        <w:tab/>
      </w:r>
      <w:r w:rsidR="00124C5A" w:rsidRPr="00F12E8B">
        <w:rPr>
          <w:rFonts w:ascii="Times New Roman" w:hAnsi="Times New Roman"/>
          <w:sz w:val="20"/>
          <w:szCs w:val="20"/>
        </w:rPr>
        <w:t xml:space="preserve">Where </w:t>
      </w:r>
      <w:r w:rsidR="00124C5A" w:rsidRPr="00F12E8B">
        <w:rPr>
          <w:rFonts w:ascii="Times New Roman" w:hAnsi="Times New Roman"/>
          <w:b/>
          <w:sz w:val="20"/>
          <w:szCs w:val="20"/>
        </w:rPr>
        <w:t>(Σ)</w:t>
      </w:r>
      <w:r w:rsidR="00124C5A" w:rsidRPr="00F12E8B">
        <w:rPr>
          <w:rFonts w:ascii="Times New Roman" w:hAnsi="Times New Roman"/>
          <w:sz w:val="20"/>
          <w:szCs w:val="20"/>
        </w:rPr>
        <w:t xml:space="preserve"> is the sum of the difference between the ROA and the average </w:t>
      </w:r>
      <w:r w:rsidR="00124C5A" w:rsidRPr="00F12E8B">
        <w:rPr>
          <w:rFonts w:ascii="Times New Roman" w:hAnsi="Times New Roman"/>
          <w:noProof/>
          <w:sz w:val="20"/>
          <w:szCs w:val="20"/>
          <w:lang w:val="el-GR" w:eastAsia="el-GR"/>
        </w:rPr>
        <w:drawing>
          <wp:inline distT="0" distB="0" distL="0" distR="0">
            <wp:extent cx="444087" cy="160317"/>
            <wp:effectExtent l="19050" t="0" r="0" b="0"/>
            <wp:docPr id="15"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cstate="print"/>
                    <a:srcRect/>
                    <a:stretch>
                      <a:fillRect/>
                    </a:stretch>
                  </pic:blipFill>
                  <pic:spPr bwMode="auto">
                    <a:xfrm>
                      <a:off x="0" y="0"/>
                      <a:ext cx="444085" cy="160316"/>
                    </a:xfrm>
                    <a:prstGeom prst="rect">
                      <a:avLst/>
                    </a:prstGeom>
                    <a:noFill/>
                    <a:ln w="9525">
                      <a:noFill/>
                      <a:miter lim="800000"/>
                      <a:headEnd/>
                      <a:tailEnd/>
                    </a:ln>
                  </pic:spPr>
                </pic:pic>
              </a:graphicData>
            </a:graphic>
          </wp:inline>
        </w:drawing>
      </w:r>
      <w:r w:rsidR="00124C5A" w:rsidRPr="00F12E8B">
        <w:rPr>
          <w:rFonts w:ascii="Times New Roman" w:hAnsi="Times New Roman"/>
          <w:sz w:val="20"/>
          <w:szCs w:val="20"/>
        </w:rPr>
        <w:t xml:space="preserve">over the considered time period. </w:t>
      </w:r>
      <w:r w:rsidR="00124C5A" w:rsidRPr="00F12E8B">
        <w:rPr>
          <w:rFonts w:ascii="Times New Roman" w:hAnsi="Times New Roman"/>
          <w:b/>
          <w:sz w:val="20"/>
          <w:szCs w:val="20"/>
        </w:rPr>
        <w:t>(i):</w:t>
      </w:r>
      <w:r w:rsidR="00124C5A" w:rsidRPr="00F12E8B">
        <w:rPr>
          <w:rFonts w:ascii="Times New Roman" w:hAnsi="Times New Roman"/>
          <w:sz w:val="20"/>
          <w:szCs w:val="20"/>
        </w:rPr>
        <w:t xml:space="preserve"> symbolizes the time period under consideration and (N): indicates the number of time periods considered.</w:t>
      </w:r>
      <w:r w:rsidR="00DE4930" w:rsidRPr="00F12E8B">
        <w:rPr>
          <w:rFonts w:ascii="Times New Roman" w:hAnsi="Times New Roman"/>
          <w:sz w:val="20"/>
          <w:szCs w:val="20"/>
        </w:rPr>
        <w:t xml:space="preserve"> </w:t>
      </w:r>
    </w:p>
    <w:p w:rsidR="00124C5A" w:rsidRPr="00F12E8B" w:rsidRDefault="00FC3D2C" w:rsidP="00124C5A">
      <w:pPr>
        <w:spacing w:after="0" w:line="240" w:lineRule="auto"/>
        <w:jc w:val="both"/>
        <w:rPr>
          <w:rFonts w:ascii="Times New Roman" w:hAnsi="Times New Roman"/>
          <w:sz w:val="20"/>
          <w:szCs w:val="20"/>
        </w:rPr>
      </w:pPr>
      <w:r w:rsidRPr="00F12E8B">
        <w:rPr>
          <w:rFonts w:ascii="Times New Roman" w:hAnsi="Times New Roman"/>
          <w:sz w:val="20"/>
          <w:szCs w:val="20"/>
        </w:rPr>
        <w:lastRenderedPageBreak/>
        <w:tab/>
      </w:r>
      <w:r w:rsidR="00DE4930" w:rsidRPr="00F12E8B">
        <w:rPr>
          <w:rFonts w:ascii="Times New Roman" w:hAnsi="Times New Roman"/>
          <w:sz w:val="20"/>
          <w:szCs w:val="20"/>
        </w:rPr>
        <w:t>The Z-score is deduced from the probability that bank’s losses exceed its capital, but under the very unrealistic assumption of normally distributed returns on assets (Ion Lapteacru 2016).</w:t>
      </w:r>
    </w:p>
    <w:p w:rsidR="00124C5A" w:rsidRPr="00F12E8B" w:rsidRDefault="00FC3D2C" w:rsidP="00C512DE">
      <w:pPr>
        <w:spacing w:after="0" w:line="240" w:lineRule="auto"/>
        <w:jc w:val="both"/>
        <w:rPr>
          <w:rFonts w:ascii="Times New Roman" w:hAnsi="Times New Roman"/>
          <w:sz w:val="20"/>
          <w:szCs w:val="20"/>
          <w:shd w:val="clear" w:color="auto" w:fill="FFFFFF"/>
        </w:rPr>
      </w:pPr>
      <w:r w:rsidRPr="00F12E8B">
        <w:rPr>
          <w:rFonts w:ascii="Times New Roman" w:hAnsi="Times New Roman"/>
          <w:sz w:val="20"/>
          <w:szCs w:val="20"/>
          <w:shd w:val="clear" w:color="auto" w:fill="FFFFFF"/>
        </w:rPr>
        <w:tab/>
      </w:r>
      <w:r w:rsidR="00463FEC" w:rsidRPr="00F12E8B">
        <w:rPr>
          <w:rFonts w:ascii="Times New Roman" w:hAnsi="Times New Roman"/>
          <w:sz w:val="20"/>
          <w:szCs w:val="20"/>
          <w:shd w:val="clear" w:color="auto" w:fill="FFFFFF"/>
        </w:rPr>
        <w:t>Z-score compares a bank's buffers (capitalization and returns) with the volatility of those returns.</w:t>
      </w:r>
      <w:r w:rsidR="00463FEC" w:rsidRPr="00F12E8B">
        <w:rPr>
          <w:rFonts w:ascii="Times New Roman" w:hAnsi="Times New Roman"/>
          <w:sz w:val="20"/>
          <w:szCs w:val="20"/>
        </w:rPr>
        <w:t xml:space="preserve"> The Z-score is the only account-based risk measure that is founded on the risk concept and is also the most applied in the banking literature. Computed as the ratio of a bank’s leverage (capital on assets) and the mean of its </w:t>
      </w:r>
      <w:r w:rsidR="00DE4930" w:rsidRPr="00F12E8B">
        <w:rPr>
          <w:rFonts w:ascii="Times New Roman" w:hAnsi="Times New Roman"/>
          <w:sz w:val="20"/>
          <w:szCs w:val="20"/>
        </w:rPr>
        <w:t xml:space="preserve">ROA </w:t>
      </w:r>
      <w:r w:rsidR="00463FEC" w:rsidRPr="00F12E8B">
        <w:rPr>
          <w:rFonts w:ascii="Times New Roman" w:hAnsi="Times New Roman"/>
          <w:sz w:val="20"/>
          <w:szCs w:val="20"/>
        </w:rPr>
        <w:t>on the volatility of its</w:t>
      </w:r>
      <w:r w:rsidR="00DE4930" w:rsidRPr="00F12E8B">
        <w:rPr>
          <w:rFonts w:ascii="Times New Roman" w:hAnsi="Times New Roman"/>
          <w:sz w:val="20"/>
          <w:szCs w:val="20"/>
        </w:rPr>
        <w:t xml:space="preserve"> ROA</w:t>
      </w:r>
      <w:r w:rsidR="00463FEC" w:rsidRPr="00F12E8B">
        <w:rPr>
          <w:rFonts w:ascii="Times New Roman" w:hAnsi="Times New Roman"/>
          <w:sz w:val="20"/>
          <w:szCs w:val="20"/>
        </w:rPr>
        <w:t>, this risk measure has been conceived from the concept of a bank’s probability of default (Boyd and Graham, 1986; Hannan and Hanweck, 1988; Boyd and Runkle, 1993; Boyd et al., 1993).</w:t>
      </w:r>
    </w:p>
    <w:p w:rsidR="00463FEC" w:rsidRPr="00F12E8B" w:rsidRDefault="00FC3D2C" w:rsidP="00C512DE">
      <w:pPr>
        <w:spacing w:after="0" w:line="240" w:lineRule="auto"/>
        <w:jc w:val="both"/>
        <w:rPr>
          <w:rFonts w:ascii="Times New Roman" w:hAnsi="Times New Roman"/>
          <w:sz w:val="20"/>
          <w:szCs w:val="20"/>
        </w:rPr>
      </w:pPr>
      <w:r w:rsidRPr="00F12E8B">
        <w:rPr>
          <w:rFonts w:ascii="Times New Roman" w:hAnsi="Times New Roman"/>
          <w:sz w:val="20"/>
          <w:szCs w:val="20"/>
        </w:rPr>
        <w:tab/>
      </w:r>
      <w:r w:rsidR="00444E54" w:rsidRPr="00F12E8B">
        <w:rPr>
          <w:rFonts w:ascii="Times New Roman" w:hAnsi="Times New Roman"/>
          <w:sz w:val="20"/>
          <w:szCs w:val="20"/>
        </w:rPr>
        <w:t xml:space="preserve">All other versions of the Z-score depart even more from the original concept. Estimating the empirical mean and empirical standard deviation of </w:t>
      </w:r>
      <w:r w:rsidR="00DE4930" w:rsidRPr="00F12E8B">
        <w:rPr>
          <w:rFonts w:ascii="Times New Roman" w:hAnsi="Times New Roman"/>
          <w:sz w:val="20"/>
          <w:szCs w:val="20"/>
        </w:rPr>
        <w:t>ROA</w:t>
      </w:r>
      <w:r w:rsidR="00444E54" w:rsidRPr="00F12E8B">
        <w:rPr>
          <w:rFonts w:ascii="Times New Roman" w:hAnsi="Times New Roman"/>
          <w:sz w:val="20"/>
          <w:szCs w:val="20"/>
        </w:rPr>
        <w:t xml:space="preserve"> only on a part of the time sample (2, 3, 4 or 5 years) and rolling these calculus on this time window on the rest of the sample make the Z-score more sensitive and therefore more fluctuating (Anginer et al., 2014; Williams, 2014; among others).</w:t>
      </w:r>
    </w:p>
    <w:p w:rsidR="007E63FA" w:rsidRPr="00F12E8B" w:rsidRDefault="00952F71" w:rsidP="00554446">
      <w:pPr>
        <w:spacing w:after="0" w:line="240" w:lineRule="auto"/>
        <w:jc w:val="both"/>
        <w:rPr>
          <w:rFonts w:ascii="Times New Roman" w:hAnsi="Times New Roman"/>
          <w:b/>
          <w:sz w:val="20"/>
          <w:szCs w:val="20"/>
        </w:rPr>
      </w:pPr>
      <w:r w:rsidRPr="00F12E8B">
        <w:rPr>
          <w:rFonts w:ascii="Times New Roman" w:hAnsi="Times New Roman"/>
          <w:b/>
          <w:sz w:val="20"/>
          <w:szCs w:val="20"/>
        </w:rPr>
        <w:t xml:space="preserve">4. Results </w:t>
      </w:r>
    </w:p>
    <w:p w:rsidR="005E6F8B" w:rsidRPr="00F12E8B" w:rsidRDefault="00FC3D2C" w:rsidP="00554446">
      <w:pPr>
        <w:spacing w:after="0" w:line="240" w:lineRule="auto"/>
        <w:jc w:val="both"/>
        <w:rPr>
          <w:rFonts w:ascii="Times New Roman" w:hAnsi="Times New Roman"/>
          <w:sz w:val="20"/>
          <w:szCs w:val="20"/>
        </w:rPr>
      </w:pPr>
      <w:r w:rsidRPr="00F12E8B">
        <w:rPr>
          <w:rFonts w:ascii="Times New Roman" w:hAnsi="Times New Roman"/>
          <w:sz w:val="20"/>
          <w:szCs w:val="20"/>
        </w:rPr>
        <w:tab/>
      </w:r>
      <w:r w:rsidR="004D281B" w:rsidRPr="00F12E8B">
        <w:rPr>
          <w:rFonts w:ascii="Times New Roman" w:hAnsi="Times New Roman"/>
          <w:sz w:val="20"/>
          <w:szCs w:val="20"/>
        </w:rPr>
        <w:t>All the calculations and measures in the below tablets are made using the financial elements of financial statements and cash flow statements of the Cooperative Banks of Drama as Bidder and Evros as Target.</w:t>
      </w:r>
    </w:p>
    <w:p w:rsidR="00952F71" w:rsidRPr="00F12E8B" w:rsidRDefault="007C30EA" w:rsidP="00FC3D2C">
      <w:pPr>
        <w:spacing w:after="0" w:line="240" w:lineRule="auto"/>
        <w:jc w:val="center"/>
        <w:rPr>
          <w:rFonts w:ascii="Times New Roman" w:hAnsi="Times New Roman"/>
          <w:sz w:val="20"/>
          <w:szCs w:val="20"/>
        </w:rPr>
      </w:pPr>
      <w:r w:rsidRPr="00F12E8B">
        <w:rPr>
          <w:rFonts w:ascii="Times New Roman" w:hAnsi="Times New Roman"/>
          <w:sz w:val="20"/>
          <w:szCs w:val="20"/>
        </w:rPr>
        <w:t xml:space="preserve">Table 1: </w:t>
      </w:r>
      <w:r w:rsidR="004F71E7" w:rsidRPr="00F12E8B">
        <w:rPr>
          <w:rFonts w:ascii="Times New Roman" w:hAnsi="Times New Roman"/>
          <w:sz w:val="20"/>
          <w:szCs w:val="20"/>
        </w:rPr>
        <w:t>(CFEQMR)</w:t>
      </w:r>
      <w:r w:rsidR="007B7BDE" w:rsidRPr="00F12E8B">
        <w:rPr>
          <w:rFonts w:ascii="Times New Roman" w:hAnsi="Times New Roman"/>
          <w:sz w:val="20"/>
          <w:szCs w:val="20"/>
        </w:rPr>
        <w:t xml:space="preserve"> before and after the acquisition</w:t>
      </w:r>
    </w:p>
    <w:tbl>
      <w:tblPr>
        <w:tblW w:w="7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3261"/>
        <w:gridCol w:w="3685"/>
      </w:tblGrid>
      <w:tr w:rsidR="00311D59" w:rsidRPr="00F12E8B" w:rsidTr="00311D59">
        <w:trPr>
          <w:trHeight w:val="300"/>
        </w:trPr>
        <w:tc>
          <w:tcPr>
            <w:tcW w:w="992" w:type="dxa"/>
            <w:shd w:val="clear" w:color="auto" w:fill="auto"/>
            <w:noWrap/>
            <w:vAlign w:val="center"/>
            <w:hideMark/>
          </w:tcPr>
          <w:p w:rsidR="007C30EA" w:rsidRPr="00F12E8B" w:rsidRDefault="007C30EA" w:rsidP="002113B3">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YEARS</w:t>
            </w:r>
          </w:p>
        </w:tc>
        <w:tc>
          <w:tcPr>
            <w:tcW w:w="3261" w:type="dxa"/>
            <w:shd w:val="clear" w:color="auto" w:fill="auto"/>
            <w:noWrap/>
            <w:vAlign w:val="center"/>
            <w:hideMark/>
          </w:tcPr>
          <w:p w:rsidR="007C30EA" w:rsidRPr="00F12E8B" w:rsidRDefault="007C30EA" w:rsidP="002113B3">
            <w:pPr>
              <w:spacing w:after="0" w:line="240" w:lineRule="auto"/>
              <w:jc w:val="center"/>
              <w:rPr>
                <w:rFonts w:ascii="Times New Roman" w:eastAsia="Times New Roman" w:hAnsi="Times New Roman"/>
                <w:color w:val="000000"/>
                <w:sz w:val="20"/>
                <w:szCs w:val="20"/>
                <w:lang w:eastAsia="el-GR"/>
              </w:rPr>
            </w:pPr>
            <w:r w:rsidRPr="00F12E8B">
              <w:rPr>
                <w:rFonts w:ascii="Times New Roman" w:eastAsia="Times New Roman" w:hAnsi="Times New Roman"/>
                <w:color w:val="000000"/>
                <w:sz w:val="20"/>
                <w:szCs w:val="20"/>
                <w:lang w:eastAsia="el-GR"/>
              </w:rPr>
              <w:t>Earnings Quality Measurement Ratio (</w:t>
            </w:r>
            <w:r w:rsidR="004F71E7" w:rsidRPr="00F12E8B">
              <w:rPr>
                <w:rFonts w:ascii="Times New Roman" w:eastAsia="Times New Roman" w:hAnsi="Times New Roman"/>
                <w:color w:val="000000"/>
                <w:sz w:val="20"/>
                <w:szCs w:val="20"/>
                <w:lang w:eastAsia="el-GR"/>
              </w:rPr>
              <w:t>CF</w:t>
            </w:r>
            <w:r w:rsidRPr="00F12E8B">
              <w:rPr>
                <w:rFonts w:ascii="Times New Roman" w:eastAsia="Times New Roman" w:hAnsi="Times New Roman"/>
                <w:color w:val="000000"/>
                <w:sz w:val="20"/>
                <w:szCs w:val="20"/>
                <w:lang w:eastAsia="el-GR"/>
              </w:rPr>
              <w:t xml:space="preserve">EQMR) - </w:t>
            </w:r>
            <w:r w:rsidR="00E11ABE" w:rsidRPr="00F12E8B">
              <w:rPr>
                <w:rFonts w:ascii="Times New Roman" w:eastAsia="Times New Roman" w:hAnsi="Times New Roman"/>
                <w:color w:val="000000"/>
                <w:sz w:val="20"/>
                <w:szCs w:val="20"/>
                <w:lang w:eastAsia="el-GR"/>
              </w:rPr>
              <w:t xml:space="preserve">Cooperative Bank </w:t>
            </w:r>
            <w:r w:rsidRPr="00F12E8B">
              <w:rPr>
                <w:rFonts w:ascii="Times New Roman" w:eastAsia="Times New Roman" w:hAnsi="Times New Roman"/>
                <w:color w:val="000000"/>
                <w:sz w:val="20"/>
                <w:szCs w:val="20"/>
                <w:lang w:eastAsia="el-GR"/>
              </w:rPr>
              <w:t>D</w:t>
            </w:r>
            <w:r w:rsidR="00E11ABE" w:rsidRPr="00F12E8B">
              <w:rPr>
                <w:rFonts w:ascii="Times New Roman" w:eastAsia="Times New Roman" w:hAnsi="Times New Roman"/>
                <w:color w:val="000000"/>
                <w:sz w:val="20"/>
                <w:szCs w:val="20"/>
                <w:lang w:eastAsia="el-GR"/>
              </w:rPr>
              <w:t>rama</w:t>
            </w:r>
          </w:p>
        </w:tc>
        <w:tc>
          <w:tcPr>
            <w:tcW w:w="3685" w:type="dxa"/>
            <w:shd w:val="clear" w:color="auto" w:fill="auto"/>
            <w:noWrap/>
            <w:vAlign w:val="center"/>
            <w:hideMark/>
          </w:tcPr>
          <w:p w:rsidR="007C30EA" w:rsidRPr="00F12E8B" w:rsidRDefault="007C30EA" w:rsidP="002113B3">
            <w:pPr>
              <w:spacing w:after="0" w:line="240" w:lineRule="auto"/>
              <w:jc w:val="center"/>
              <w:rPr>
                <w:rFonts w:ascii="Times New Roman" w:eastAsia="Times New Roman" w:hAnsi="Times New Roman"/>
                <w:color w:val="000000"/>
                <w:sz w:val="20"/>
                <w:szCs w:val="20"/>
                <w:lang w:eastAsia="el-GR"/>
              </w:rPr>
            </w:pPr>
            <w:r w:rsidRPr="00F12E8B">
              <w:rPr>
                <w:rFonts w:ascii="Times New Roman" w:eastAsia="Times New Roman" w:hAnsi="Times New Roman"/>
                <w:color w:val="000000"/>
                <w:sz w:val="20"/>
                <w:szCs w:val="20"/>
                <w:lang w:eastAsia="el-GR"/>
              </w:rPr>
              <w:t>Earnings Quality Measurement Ratio (</w:t>
            </w:r>
            <w:r w:rsidR="004F71E7" w:rsidRPr="00F12E8B">
              <w:rPr>
                <w:rFonts w:ascii="Times New Roman" w:eastAsia="Times New Roman" w:hAnsi="Times New Roman"/>
                <w:color w:val="000000"/>
                <w:sz w:val="20"/>
                <w:szCs w:val="20"/>
                <w:lang w:eastAsia="el-GR"/>
              </w:rPr>
              <w:t>CF</w:t>
            </w:r>
            <w:r w:rsidRPr="00F12E8B">
              <w:rPr>
                <w:rFonts w:ascii="Times New Roman" w:eastAsia="Times New Roman" w:hAnsi="Times New Roman"/>
                <w:color w:val="000000"/>
                <w:sz w:val="20"/>
                <w:szCs w:val="20"/>
                <w:lang w:eastAsia="el-GR"/>
              </w:rPr>
              <w:t xml:space="preserve">EQMR)- </w:t>
            </w:r>
            <w:r w:rsidR="00580532" w:rsidRPr="00F12E8B">
              <w:rPr>
                <w:rFonts w:ascii="Times New Roman" w:eastAsia="Times New Roman" w:hAnsi="Times New Roman"/>
                <w:color w:val="000000"/>
                <w:sz w:val="20"/>
                <w:szCs w:val="20"/>
                <w:lang w:eastAsia="el-GR"/>
              </w:rPr>
              <w:t xml:space="preserve">Cooperative Bank </w:t>
            </w:r>
            <w:r w:rsidR="00EA7BB7" w:rsidRPr="00F12E8B">
              <w:rPr>
                <w:rFonts w:ascii="Times New Roman" w:eastAsia="Times New Roman" w:hAnsi="Times New Roman"/>
                <w:color w:val="000000"/>
                <w:sz w:val="20"/>
                <w:szCs w:val="20"/>
                <w:lang w:eastAsia="el-GR"/>
              </w:rPr>
              <w:t>of Evros</w:t>
            </w:r>
          </w:p>
        </w:tc>
      </w:tr>
      <w:tr w:rsidR="00311D59" w:rsidRPr="00F12E8B" w:rsidTr="00311D59">
        <w:trPr>
          <w:trHeight w:val="300"/>
        </w:trPr>
        <w:tc>
          <w:tcPr>
            <w:tcW w:w="992" w:type="dxa"/>
            <w:shd w:val="clear" w:color="auto" w:fill="auto"/>
            <w:noWrap/>
            <w:vAlign w:val="center"/>
            <w:hideMark/>
          </w:tcPr>
          <w:p w:rsidR="007C30EA" w:rsidRPr="00F12E8B" w:rsidRDefault="007C30EA" w:rsidP="002113B3">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2014</w:t>
            </w:r>
          </w:p>
        </w:tc>
        <w:tc>
          <w:tcPr>
            <w:tcW w:w="3261" w:type="dxa"/>
            <w:shd w:val="clear" w:color="auto" w:fill="auto"/>
            <w:noWrap/>
            <w:vAlign w:val="center"/>
            <w:hideMark/>
          </w:tcPr>
          <w:p w:rsidR="007C30EA" w:rsidRPr="00F12E8B" w:rsidRDefault="007C30EA" w:rsidP="002113B3">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6.82</w:t>
            </w:r>
          </w:p>
        </w:tc>
        <w:tc>
          <w:tcPr>
            <w:tcW w:w="3685" w:type="dxa"/>
            <w:shd w:val="clear" w:color="auto" w:fill="auto"/>
            <w:noWrap/>
            <w:vAlign w:val="center"/>
            <w:hideMark/>
          </w:tcPr>
          <w:p w:rsidR="007C30EA" w:rsidRPr="00F12E8B" w:rsidRDefault="007C30EA" w:rsidP="002113B3">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5.9</w:t>
            </w:r>
          </w:p>
        </w:tc>
      </w:tr>
      <w:tr w:rsidR="00311D59" w:rsidRPr="00F12E8B" w:rsidTr="00311D59">
        <w:trPr>
          <w:trHeight w:val="300"/>
        </w:trPr>
        <w:tc>
          <w:tcPr>
            <w:tcW w:w="992" w:type="dxa"/>
            <w:shd w:val="clear" w:color="auto" w:fill="auto"/>
            <w:noWrap/>
            <w:vAlign w:val="center"/>
            <w:hideMark/>
          </w:tcPr>
          <w:p w:rsidR="007C30EA" w:rsidRPr="00F12E8B" w:rsidRDefault="007C30EA" w:rsidP="002113B3">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2015</w:t>
            </w:r>
          </w:p>
        </w:tc>
        <w:tc>
          <w:tcPr>
            <w:tcW w:w="3261" w:type="dxa"/>
            <w:shd w:val="clear" w:color="auto" w:fill="auto"/>
            <w:noWrap/>
            <w:vAlign w:val="center"/>
            <w:hideMark/>
          </w:tcPr>
          <w:p w:rsidR="007C30EA" w:rsidRPr="00F12E8B" w:rsidRDefault="007C30EA" w:rsidP="002113B3">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0.27</w:t>
            </w:r>
          </w:p>
        </w:tc>
        <w:tc>
          <w:tcPr>
            <w:tcW w:w="3685" w:type="dxa"/>
            <w:shd w:val="clear" w:color="auto" w:fill="auto"/>
            <w:noWrap/>
            <w:vAlign w:val="center"/>
            <w:hideMark/>
          </w:tcPr>
          <w:p w:rsidR="007C30EA" w:rsidRPr="00F12E8B" w:rsidRDefault="007C30EA" w:rsidP="002113B3">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12.11</w:t>
            </w:r>
          </w:p>
        </w:tc>
      </w:tr>
      <w:tr w:rsidR="00311D59" w:rsidRPr="00F12E8B" w:rsidTr="00311D59">
        <w:trPr>
          <w:trHeight w:val="300"/>
        </w:trPr>
        <w:tc>
          <w:tcPr>
            <w:tcW w:w="992" w:type="dxa"/>
            <w:shd w:val="clear" w:color="auto" w:fill="auto"/>
            <w:noWrap/>
            <w:vAlign w:val="center"/>
            <w:hideMark/>
          </w:tcPr>
          <w:p w:rsidR="007C30EA" w:rsidRPr="00F12E8B" w:rsidRDefault="007C30EA" w:rsidP="002113B3">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2016</w:t>
            </w:r>
          </w:p>
        </w:tc>
        <w:tc>
          <w:tcPr>
            <w:tcW w:w="3261" w:type="dxa"/>
            <w:shd w:val="clear" w:color="auto" w:fill="auto"/>
            <w:noWrap/>
            <w:vAlign w:val="center"/>
            <w:hideMark/>
          </w:tcPr>
          <w:p w:rsidR="007C30EA" w:rsidRPr="00F12E8B" w:rsidRDefault="007C30EA" w:rsidP="002113B3">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-12.91</w:t>
            </w:r>
          </w:p>
        </w:tc>
        <w:tc>
          <w:tcPr>
            <w:tcW w:w="3685" w:type="dxa"/>
            <w:shd w:val="clear" w:color="auto" w:fill="auto"/>
            <w:noWrap/>
            <w:vAlign w:val="center"/>
            <w:hideMark/>
          </w:tcPr>
          <w:p w:rsidR="007C30EA" w:rsidRPr="00F12E8B" w:rsidRDefault="007C30EA" w:rsidP="002113B3">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7.6</w:t>
            </w:r>
          </w:p>
        </w:tc>
      </w:tr>
      <w:tr w:rsidR="00311D59" w:rsidRPr="00F12E8B" w:rsidTr="00311D59">
        <w:trPr>
          <w:trHeight w:val="300"/>
        </w:trPr>
        <w:tc>
          <w:tcPr>
            <w:tcW w:w="992" w:type="dxa"/>
            <w:shd w:val="clear" w:color="auto" w:fill="auto"/>
            <w:noWrap/>
            <w:vAlign w:val="center"/>
            <w:hideMark/>
          </w:tcPr>
          <w:p w:rsidR="007C30EA" w:rsidRPr="00F12E8B" w:rsidRDefault="007C30EA" w:rsidP="002113B3">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2017</w:t>
            </w:r>
          </w:p>
        </w:tc>
        <w:tc>
          <w:tcPr>
            <w:tcW w:w="3261" w:type="dxa"/>
            <w:shd w:val="clear" w:color="auto" w:fill="auto"/>
            <w:noWrap/>
            <w:vAlign w:val="bottom"/>
            <w:hideMark/>
          </w:tcPr>
          <w:p w:rsidR="007C30EA" w:rsidRPr="00F12E8B" w:rsidRDefault="007C30EA" w:rsidP="002113B3">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-13.16</w:t>
            </w:r>
          </w:p>
        </w:tc>
        <w:tc>
          <w:tcPr>
            <w:tcW w:w="3685" w:type="dxa"/>
            <w:shd w:val="clear" w:color="auto" w:fill="auto"/>
            <w:noWrap/>
            <w:vAlign w:val="bottom"/>
            <w:hideMark/>
          </w:tcPr>
          <w:p w:rsidR="007C30EA" w:rsidRPr="00F12E8B" w:rsidRDefault="007C30EA" w:rsidP="002113B3">
            <w:pPr>
              <w:spacing w:after="0" w:line="240" w:lineRule="auto"/>
              <w:jc w:val="center"/>
              <w:rPr>
                <w:rFonts w:ascii="Times New Roman" w:eastAsia="Times New Roman" w:hAnsi="Times New Roman"/>
                <w:color w:val="000000"/>
                <w:sz w:val="20"/>
                <w:szCs w:val="20"/>
                <w:lang w:val="el-GR" w:eastAsia="el-GR"/>
              </w:rPr>
            </w:pPr>
          </w:p>
        </w:tc>
      </w:tr>
      <w:tr w:rsidR="00311D59" w:rsidRPr="00F12E8B" w:rsidTr="00311D59">
        <w:trPr>
          <w:trHeight w:val="300"/>
        </w:trPr>
        <w:tc>
          <w:tcPr>
            <w:tcW w:w="992" w:type="dxa"/>
            <w:shd w:val="clear" w:color="auto" w:fill="auto"/>
            <w:noWrap/>
            <w:vAlign w:val="center"/>
            <w:hideMark/>
          </w:tcPr>
          <w:p w:rsidR="007C30EA" w:rsidRPr="00F12E8B" w:rsidRDefault="007C30EA" w:rsidP="002113B3">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2018</w:t>
            </w:r>
          </w:p>
        </w:tc>
        <w:tc>
          <w:tcPr>
            <w:tcW w:w="3261" w:type="dxa"/>
            <w:shd w:val="clear" w:color="auto" w:fill="auto"/>
            <w:noWrap/>
            <w:vAlign w:val="bottom"/>
            <w:hideMark/>
          </w:tcPr>
          <w:p w:rsidR="007C30EA" w:rsidRPr="00F12E8B" w:rsidRDefault="007C30EA" w:rsidP="002113B3">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105.21</w:t>
            </w:r>
          </w:p>
        </w:tc>
        <w:tc>
          <w:tcPr>
            <w:tcW w:w="3685" w:type="dxa"/>
            <w:shd w:val="clear" w:color="auto" w:fill="auto"/>
            <w:noWrap/>
            <w:vAlign w:val="bottom"/>
            <w:hideMark/>
          </w:tcPr>
          <w:p w:rsidR="007C30EA" w:rsidRPr="00F12E8B" w:rsidRDefault="007C30EA" w:rsidP="002113B3">
            <w:pPr>
              <w:spacing w:after="0" w:line="240" w:lineRule="auto"/>
              <w:jc w:val="center"/>
              <w:rPr>
                <w:rFonts w:ascii="Times New Roman" w:eastAsia="Times New Roman" w:hAnsi="Times New Roman"/>
                <w:color w:val="000000"/>
                <w:sz w:val="20"/>
                <w:szCs w:val="20"/>
                <w:lang w:val="el-GR" w:eastAsia="el-GR"/>
              </w:rPr>
            </w:pPr>
          </w:p>
        </w:tc>
      </w:tr>
      <w:tr w:rsidR="00311D59" w:rsidRPr="00F12E8B" w:rsidTr="00311D59">
        <w:trPr>
          <w:trHeight w:val="300"/>
        </w:trPr>
        <w:tc>
          <w:tcPr>
            <w:tcW w:w="992" w:type="dxa"/>
            <w:shd w:val="clear" w:color="auto" w:fill="auto"/>
            <w:noWrap/>
            <w:vAlign w:val="center"/>
            <w:hideMark/>
          </w:tcPr>
          <w:p w:rsidR="007C30EA" w:rsidRPr="00F12E8B" w:rsidRDefault="007C30EA" w:rsidP="002113B3">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2019</w:t>
            </w:r>
          </w:p>
        </w:tc>
        <w:tc>
          <w:tcPr>
            <w:tcW w:w="3261" w:type="dxa"/>
            <w:shd w:val="clear" w:color="auto" w:fill="auto"/>
            <w:noWrap/>
            <w:vAlign w:val="bottom"/>
            <w:hideMark/>
          </w:tcPr>
          <w:p w:rsidR="007C30EA" w:rsidRPr="00F12E8B" w:rsidRDefault="007C30EA" w:rsidP="002113B3">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0.11</w:t>
            </w:r>
          </w:p>
        </w:tc>
        <w:tc>
          <w:tcPr>
            <w:tcW w:w="3685" w:type="dxa"/>
            <w:shd w:val="clear" w:color="auto" w:fill="auto"/>
            <w:noWrap/>
            <w:vAlign w:val="bottom"/>
            <w:hideMark/>
          </w:tcPr>
          <w:p w:rsidR="007C30EA" w:rsidRPr="00F12E8B" w:rsidRDefault="007C30EA" w:rsidP="002113B3">
            <w:pPr>
              <w:spacing w:after="0" w:line="240" w:lineRule="auto"/>
              <w:jc w:val="center"/>
              <w:rPr>
                <w:rFonts w:ascii="Times New Roman" w:eastAsia="Times New Roman" w:hAnsi="Times New Roman"/>
                <w:color w:val="000000"/>
                <w:sz w:val="20"/>
                <w:szCs w:val="20"/>
                <w:lang w:val="el-GR" w:eastAsia="el-GR"/>
              </w:rPr>
            </w:pPr>
          </w:p>
        </w:tc>
      </w:tr>
      <w:tr w:rsidR="00311D59" w:rsidRPr="00F12E8B" w:rsidTr="00311D59">
        <w:trPr>
          <w:trHeight w:val="300"/>
        </w:trPr>
        <w:tc>
          <w:tcPr>
            <w:tcW w:w="992" w:type="dxa"/>
            <w:shd w:val="clear" w:color="auto" w:fill="auto"/>
            <w:noWrap/>
            <w:vAlign w:val="center"/>
            <w:hideMark/>
          </w:tcPr>
          <w:p w:rsidR="007C30EA" w:rsidRPr="00F12E8B" w:rsidRDefault="007C30EA" w:rsidP="002113B3">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2020</w:t>
            </w:r>
          </w:p>
        </w:tc>
        <w:tc>
          <w:tcPr>
            <w:tcW w:w="3261" w:type="dxa"/>
            <w:shd w:val="clear" w:color="auto" w:fill="auto"/>
            <w:noWrap/>
            <w:vAlign w:val="bottom"/>
            <w:hideMark/>
          </w:tcPr>
          <w:p w:rsidR="007C30EA" w:rsidRPr="00F12E8B" w:rsidRDefault="007C30EA" w:rsidP="002113B3">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0.11</w:t>
            </w:r>
          </w:p>
        </w:tc>
        <w:tc>
          <w:tcPr>
            <w:tcW w:w="3685" w:type="dxa"/>
            <w:shd w:val="clear" w:color="auto" w:fill="auto"/>
            <w:noWrap/>
            <w:vAlign w:val="bottom"/>
            <w:hideMark/>
          </w:tcPr>
          <w:p w:rsidR="007C30EA" w:rsidRPr="00F12E8B" w:rsidRDefault="007C30EA" w:rsidP="002113B3">
            <w:pPr>
              <w:spacing w:after="0" w:line="240" w:lineRule="auto"/>
              <w:jc w:val="center"/>
              <w:rPr>
                <w:rFonts w:ascii="Times New Roman" w:eastAsia="Times New Roman" w:hAnsi="Times New Roman"/>
                <w:color w:val="000000"/>
                <w:sz w:val="20"/>
                <w:szCs w:val="20"/>
                <w:lang w:val="el-GR" w:eastAsia="el-GR"/>
              </w:rPr>
            </w:pPr>
          </w:p>
        </w:tc>
      </w:tr>
    </w:tbl>
    <w:p w:rsidR="007C30EA" w:rsidRPr="00F12E8B" w:rsidRDefault="00994764" w:rsidP="00E27ADD">
      <w:pPr>
        <w:spacing w:after="0" w:line="240" w:lineRule="auto"/>
        <w:jc w:val="center"/>
        <w:rPr>
          <w:rFonts w:ascii="Times New Roman" w:hAnsi="Times New Roman"/>
          <w:sz w:val="20"/>
          <w:szCs w:val="20"/>
        </w:rPr>
      </w:pPr>
      <w:r w:rsidRPr="00F12E8B">
        <w:rPr>
          <w:rFonts w:ascii="Times New Roman" w:hAnsi="Times New Roman"/>
          <w:sz w:val="20"/>
          <w:szCs w:val="20"/>
        </w:rPr>
        <w:t>Source: Authors' calculations from published financial statements of the Greek Cooperative Banks.</w:t>
      </w:r>
    </w:p>
    <w:p w:rsidR="00E27ADD" w:rsidRPr="00F12E8B" w:rsidRDefault="00E27ADD" w:rsidP="00554446">
      <w:pPr>
        <w:spacing w:after="0" w:line="240" w:lineRule="auto"/>
        <w:jc w:val="both"/>
        <w:rPr>
          <w:rFonts w:ascii="Times New Roman" w:hAnsi="Times New Roman"/>
          <w:sz w:val="20"/>
          <w:szCs w:val="20"/>
        </w:rPr>
      </w:pPr>
    </w:p>
    <w:p w:rsidR="007C30EA" w:rsidRPr="00F12E8B" w:rsidRDefault="00485328" w:rsidP="00FC3D2C">
      <w:pPr>
        <w:spacing w:after="0" w:line="240" w:lineRule="auto"/>
        <w:jc w:val="center"/>
        <w:rPr>
          <w:rFonts w:ascii="Times New Roman" w:hAnsi="Times New Roman"/>
          <w:sz w:val="20"/>
          <w:szCs w:val="20"/>
        </w:rPr>
      </w:pPr>
      <w:r w:rsidRPr="00F12E8B">
        <w:rPr>
          <w:rFonts w:ascii="Times New Roman" w:hAnsi="Times New Roman"/>
          <w:sz w:val="20"/>
          <w:szCs w:val="20"/>
        </w:rPr>
        <w:t>Figure</w:t>
      </w:r>
      <w:r w:rsidR="007C30EA" w:rsidRPr="00F12E8B">
        <w:rPr>
          <w:rFonts w:ascii="Times New Roman" w:hAnsi="Times New Roman"/>
          <w:sz w:val="20"/>
          <w:szCs w:val="20"/>
        </w:rPr>
        <w:t xml:space="preserve"> 1: </w:t>
      </w:r>
      <w:r w:rsidR="004F71E7" w:rsidRPr="00F12E8B">
        <w:rPr>
          <w:rFonts w:ascii="Times New Roman" w:hAnsi="Times New Roman"/>
          <w:sz w:val="20"/>
          <w:szCs w:val="20"/>
        </w:rPr>
        <w:t>(CFEQMR)</w:t>
      </w:r>
      <w:r w:rsidR="007B7BDE" w:rsidRPr="00F12E8B">
        <w:rPr>
          <w:rFonts w:ascii="Times New Roman" w:hAnsi="Times New Roman"/>
          <w:sz w:val="20"/>
          <w:szCs w:val="20"/>
        </w:rPr>
        <w:t xml:space="preserve"> before and after the acquisition</w:t>
      </w:r>
    </w:p>
    <w:p w:rsidR="007C30EA" w:rsidRPr="00F12E8B" w:rsidRDefault="00DB5699" w:rsidP="0059789D">
      <w:pPr>
        <w:spacing w:after="0" w:line="240" w:lineRule="auto"/>
        <w:jc w:val="center"/>
        <w:rPr>
          <w:rFonts w:ascii="Times New Roman" w:hAnsi="Times New Roman"/>
          <w:sz w:val="20"/>
          <w:szCs w:val="20"/>
        </w:rPr>
      </w:pPr>
      <w:r w:rsidRPr="00F12E8B">
        <w:rPr>
          <w:rFonts w:ascii="Times New Roman" w:hAnsi="Times New Roman"/>
          <w:noProof/>
          <w:sz w:val="20"/>
          <w:szCs w:val="20"/>
          <w:lang w:val="el-GR" w:eastAsia="el-GR"/>
        </w:rPr>
        <w:drawing>
          <wp:inline distT="0" distB="0" distL="0" distR="0">
            <wp:extent cx="4922800" cy="1983179"/>
            <wp:effectExtent l="19050" t="0" r="11150" b="0"/>
            <wp:docPr id="9" name="Γράφημα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C30EA" w:rsidRPr="00F12E8B" w:rsidRDefault="00994764" w:rsidP="00E27ADD">
      <w:pPr>
        <w:spacing w:after="0" w:line="240" w:lineRule="auto"/>
        <w:jc w:val="center"/>
        <w:rPr>
          <w:rFonts w:ascii="Times New Roman" w:hAnsi="Times New Roman"/>
          <w:sz w:val="20"/>
          <w:szCs w:val="20"/>
        </w:rPr>
      </w:pPr>
      <w:r w:rsidRPr="00F12E8B">
        <w:rPr>
          <w:rFonts w:ascii="Times New Roman" w:hAnsi="Times New Roman"/>
          <w:sz w:val="20"/>
          <w:szCs w:val="20"/>
        </w:rPr>
        <w:t>Source: Table 1</w:t>
      </w:r>
    </w:p>
    <w:p w:rsidR="002162D2" w:rsidRDefault="00FC3D2C" w:rsidP="00554446">
      <w:pPr>
        <w:spacing w:after="0" w:line="240" w:lineRule="auto"/>
        <w:jc w:val="both"/>
        <w:rPr>
          <w:rFonts w:ascii="Times New Roman" w:hAnsi="Times New Roman"/>
          <w:sz w:val="20"/>
          <w:szCs w:val="20"/>
        </w:rPr>
      </w:pPr>
      <w:r w:rsidRPr="00F12E8B">
        <w:rPr>
          <w:rFonts w:ascii="Times New Roman" w:hAnsi="Times New Roman"/>
          <w:sz w:val="20"/>
          <w:szCs w:val="20"/>
        </w:rPr>
        <w:tab/>
      </w:r>
    </w:p>
    <w:p w:rsidR="00994764" w:rsidRPr="00F12E8B" w:rsidRDefault="00C6018B" w:rsidP="00554446">
      <w:pPr>
        <w:spacing w:after="0" w:line="240" w:lineRule="auto"/>
        <w:jc w:val="both"/>
        <w:rPr>
          <w:rFonts w:ascii="Times New Roman" w:hAnsi="Times New Roman"/>
          <w:sz w:val="20"/>
          <w:szCs w:val="20"/>
        </w:rPr>
      </w:pPr>
      <w:r w:rsidRPr="00F12E8B">
        <w:rPr>
          <w:rFonts w:ascii="Times New Roman" w:hAnsi="Times New Roman"/>
          <w:sz w:val="20"/>
          <w:szCs w:val="20"/>
        </w:rPr>
        <w:t xml:space="preserve">From the </w:t>
      </w:r>
      <w:r w:rsidR="00B66835" w:rsidRPr="00F12E8B">
        <w:rPr>
          <w:rFonts w:ascii="Times New Roman" w:hAnsi="Times New Roman"/>
          <w:sz w:val="20"/>
          <w:szCs w:val="20"/>
        </w:rPr>
        <w:t xml:space="preserve">above </w:t>
      </w:r>
      <w:r w:rsidR="003B44D3">
        <w:rPr>
          <w:rFonts w:ascii="Times New Roman" w:hAnsi="Times New Roman"/>
          <w:sz w:val="20"/>
          <w:szCs w:val="20"/>
        </w:rPr>
        <w:t>table 1, f</w:t>
      </w:r>
      <w:r w:rsidR="00485328" w:rsidRPr="00F12E8B">
        <w:rPr>
          <w:rFonts w:ascii="Times New Roman" w:hAnsi="Times New Roman"/>
          <w:sz w:val="20"/>
          <w:szCs w:val="20"/>
        </w:rPr>
        <w:t>igure</w:t>
      </w:r>
      <w:r w:rsidRPr="00F12E8B">
        <w:rPr>
          <w:rFonts w:ascii="Times New Roman" w:hAnsi="Times New Roman"/>
          <w:sz w:val="20"/>
          <w:szCs w:val="20"/>
        </w:rPr>
        <w:t xml:space="preserve"> 1 we observe that </w:t>
      </w:r>
      <w:r w:rsidR="002519D8" w:rsidRPr="00F12E8B">
        <w:rPr>
          <w:rFonts w:ascii="Times New Roman" w:hAnsi="Times New Roman"/>
          <w:sz w:val="20"/>
          <w:szCs w:val="20"/>
        </w:rPr>
        <w:t xml:space="preserve">during the time period 2014-2016 before the acquisition </w:t>
      </w:r>
      <w:r w:rsidRPr="00F12E8B">
        <w:rPr>
          <w:rFonts w:ascii="Times New Roman" w:hAnsi="Times New Roman"/>
          <w:sz w:val="20"/>
          <w:szCs w:val="20"/>
        </w:rPr>
        <w:t xml:space="preserve">the CFEQMR ratio </w:t>
      </w:r>
      <w:r w:rsidR="002519D8" w:rsidRPr="00F12E8B">
        <w:rPr>
          <w:rFonts w:ascii="Times New Roman" w:hAnsi="Times New Roman"/>
          <w:sz w:val="20"/>
          <w:szCs w:val="20"/>
        </w:rPr>
        <w:t>for the target bank was a little higher than the bidder's. After the acquisition the CFEQMR ratio of the bidder had increased in a very high rate in the y</w:t>
      </w:r>
      <w:r w:rsidR="003634BF" w:rsidRPr="00F12E8B">
        <w:rPr>
          <w:rFonts w:ascii="Times New Roman" w:hAnsi="Times New Roman"/>
          <w:sz w:val="20"/>
          <w:szCs w:val="20"/>
        </w:rPr>
        <w:t>ear 2018, but afterwards it fell</w:t>
      </w:r>
      <w:r w:rsidR="002519D8" w:rsidRPr="00F12E8B">
        <w:rPr>
          <w:rFonts w:ascii="Times New Roman" w:hAnsi="Times New Roman"/>
          <w:sz w:val="20"/>
          <w:szCs w:val="20"/>
        </w:rPr>
        <w:t xml:space="preserve"> to a low level as it was two years before the acquisition. </w:t>
      </w:r>
    </w:p>
    <w:p w:rsidR="002162D2" w:rsidRPr="00F12E8B" w:rsidRDefault="002162D2" w:rsidP="00FC3D2C">
      <w:pPr>
        <w:spacing w:after="0" w:line="240" w:lineRule="auto"/>
        <w:jc w:val="center"/>
        <w:rPr>
          <w:rFonts w:ascii="Times New Roman" w:hAnsi="Times New Roman"/>
          <w:sz w:val="20"/>
          <w:szCs w:val="20"/>
        </w:rPr>
      </w:pPr>
    </w:p>
    <w:p w:rsidR="006D0AF1" w:rsidRPr="00F12E8B" w:rsidRDefault="006349B3" w:rsidP="00FC3D2C">
      <w:pPr>
        <w:spacing w:after="0" w:line="240" w:lineRule="auto"/>
        <w:jc w:val="center"/>
        <w:rPr>
          <w:rFonts w:ascii="Times New Roman" w:hAnsi="Times New Roman"/>
          <w:sz w:val="20"/>
          <w:szCs w:val="20"/>
        </w:rPr>
      </w:pPr>
      <w:r w:rsidRPr="00F12E8B">
        <w:rPr>
          <w:rFonts w:ascii="Times New Roman" w:hAnsi="Times New Roman"/>
          <w:sz w:val="20"/>
          <w:szCs w:val="20"/>
        </w:rPr>
        <w:t xml:space="preserve">Table 2: </w:t>
      </w:r>
      <w:r w:rsidR="00265D52" w:rsidRPr="00F12E8B">
        <w:rPr>
          <w:rFonts w:ascii="Times New Roman" w:hAnsi="Times New Roman"/>
          <w:sz w:val="20"/>
          <w:szCs w:val="20"/>
        </w:rPr>
        <w:t>(CFDICR)</w:t>
      </w:r>
      <w:r w:rsidR="007B7BDE" w:rsidRPr="00F12E8B">
        <w:rPr>
          <w:rFonts w:ascii="Times New Roman" w:hAnsi="Times New Roman"/>
          <w:sz w:val="20"/>
          <w:szCs w:val="20"/>
        </w:rPr>
        <w:t xml:space="preserve"> before and after the acquisition</w:t>
      </w:r>
    </w:p>
    <w:tbl>
      <w:tblPr>
        <w:tblW w:w="82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3497"/>
        <w:gridCol w:w="3647"/>
      </w:tblGrid>
      <w:tr w:rsidR="006349B3" w:rsidRPr="00F12E8B" w:rsidTr="005B1D37">
        <w:trPr>
          <w:trHeight w:val="300"/>
        </w:trPr>
        <w:tc>
          <w:tcPr>
            <w:tcW w:w="1134" w:type="dxa"/>
            <w:shd w:val="clear" w:color="auto" w:fill="auto"/>
            <w:noWrap/>
            <w:vAlign w:val="center"/>
            <w:hideMark/>
          </w:tcPr>
          <w:p w:rsidR="006349B3" w:rsidRPr="00F12E8B" w:rsidRDefault="006349B3" w:rsidP="006349B3">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YEARS</w:t>
            </w:r>
          </w:p>
        </w:tc>
        <w:tc>
          <w:tcPr>
            <w:tcW w:w="3497" w:type="dxa"/>
            <w:shd w:val="clear" w:color="auto" w:fill="auto"/>
            <w:noWrap/>
            <w:vAlign w:val="center"/>
            <w:hideMark/>
          </w:tcPr>
          <w:p w:rsidR="006349B3" w:rsidRPr="00F12E8B" w:rsidRDefault="00265D52" w:rsidP="0020626A">
            <w:pPr>
              <w:spacing w:after="0" w:line="240" w:lineRule="auto"/>
              <w:jc w:val="center"/>
              <w:rPr>
                <w:rFonts w:ascii="Times New Roman" w:eastAsia="Times New Roman" w:hAnsi="Times New Roman"/>
                <w:color w:val="000000"/>
                <w:sz w:val="20"/>
                <w:szCs w:val="20"/>
                <w:lang w:eastAsia="el-GR"/>
              </w:rPr>
            </w:pPr>
            <w:r w:rsidRPr="00F12E8B">
              <w:rPr>
                <w:rFonts w:ascii="Times New Roman" w:eastAsia="Times New Roman" w:hAnsi="Times New Roman"/>
                <w:color w:val="000000"/>
                <w:sz w:val="20"/>
                <w:szCs w:val="20"/>
                <w:lang w:eastAsia="el-GR"/>
              </w:rPr>
              <w:t>CF</w:t>
            </w:r>
            <w:r w:rsidR="006349B3" w:rsidRPr="00F12E8B">
              <w:rPr>
                <w:rFonts w:ascii="Times New Roman" w:eastAsia="Times New Roman" w:hAnsi="Times New Roman"/>
                <w:color w:val="000000"/>
                <w:sz w:val="20"/>
                <w:szCs w:val="20"/>
                <w:lang w:eastAsia="el-GR"/>
              </w:rPr>
              <w:t>DICR Cooperative Bank of Drama</w:t>
            </w:r>
          </w:p>
        </w:tc>
        <w:tc>
          <w:tcPr>
            <w:tcW w:w="3647" w:type="dxa"/>
            <w:shd w:val="clear" w:color="auto" w:fill="auto"/>
            <w:noWrap/>
            <w:vAlign w:val="center"/>
            <w:hideMark/>
          </w:tcPr>
          <w:p w:rsidR="006349B3" w:rsidRPr="00F12E8B" w:rsidRDefault="00265D52" w:rsidP="006349B3">
            <w:pPr>
              <w:spacing w:after="0" w:line="240" w:lineRule="auto"/>
              <w:jc w:val="center"/>
              <w:rPr>
                <w:rFonts w:ascii="Times New Roman" w:eastAsia="Times New Roman" w:hAnsi="Times New Roman"/>
                <w:color w:val="000000"/>
                <w:sz w:val="20"/>
                <w:szCs w:val="20"/>
                <w:lang w:eastAsia="el-GR"/>
              </w:rPr>
            </w:pPr>
            <w:r w:rsidRPr="00F12E8B">
              <w:rPr>
                <w:rFonts w:ascii="Times New Roman" w:eastAsia="Times New Roman" w:hAnsi="Times New Roman"/>
                <w:color w:val="000000"/>
                <w:sz w:val="20"/>
                <w:szCs w:val="20"/>
                <w:lang w:eastAsia="el-GR"/>
              </w:rPr>
              <w:t>CF</w:t>
            </w:r>
            <w:r w:rsidR="006349B3" w:rsidRPr="00F12E8B">
              <w:rPr>
                <w:rFonts w:ascii="Times New Roman" w:eastAsia="Times New Roman" w:hAnsi="Times New Roman"/>
                <w:color w:val="000000"/>
                <w:sz w:val="20"/>
                <w:szCs w:val="20"/>
                <w:lang w:eastAsia="el-GR"/>
              </w:rPr>
              <w:t>DICR Cooperative Bank of Evros</w:t>
            </w:r>
          </w:p>
        </w:tc>
      </w:tr>
      <w:tr w:rsidR="006349B3" w:rsidRPr="00F12E8B" w:rsidTr="005B1D37">
        <w:trPr>
          <w:trHeight w:val="300"/>
        </w:trPr>
        <w:tc>
          <w:tcPr>
            <w:tcW w:w="1134" w:type="dxa"/>
            <w:shd w:val="clear" w:color="auto" w:fill="auto"/>
            <w:noWrap/>
            <w:vAlign w:val="center"/>
            <w:hideMark/>
          </w:tcPr>
          <w:p w:rsidR="006349B3" w:rsidRPr="00F12E8B" w:rsidRDefault="006349B3" w:rsidP="006349B3">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2014</w:t>
            </w:r>
          </w:p>
        </w:tc>
        <w:tc>
          <w:tcPr>
            <w:tcW w:w="3497" w:type="dxa"/>
            <w:shd w:val="clear" w:color="auto" w:fill="auto"/>
            <w:noWrap/>
            <w:vAlign w:val="center"/>
            <w:hideMark/>
          </w:tcPr>
          <w:p w:rsidR="006349B3" w:rsidRPr="00F12E8B" w:rsidRDefault="006349B3" w:rsidP="006349B3">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-0.31</w:t>
            </w:r>
          </w:p>
        </w:tc>
        <w:tc>
          <w:tcPr>
            <w:tcW w:w="3647" w:type="dxa"/>
            <w:shd w:val="clear" w:color="auto" w:fill="auto"/>
            <w:noWrap/>
            <w:vAlign w:val="center"/>
            <w:hideMark/>
          </w:tcPr>
          <w:p w:rsidR="006349B3" w:rsidRPr="00F12E8B" w:rsidRDefault="006349B3" w:rsidP="006349B3">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0.63</w:t>
            </w:r>
          </w:p>
        </w:tc>
      </w:tr>
      <w:tr w:rsidR="006349B3" w:rsidRPr="00F12E8B" w:rsidTr="005B1D37">
        <w:trPr>
          <w:trHeight w:val="300"/>
        </w:trPr>
        <w:tc>
          <w:tcPr>
            <w:tcW w:w="1134" w:type="dxa"/>
            <w:shd w:val="clear" w:color="auto" w:fill="auto"/>
            <w:noWrap/>
            <w:vAlign w:val="center"/>
            <w:hideMark/>
          </w:tcPr>
          <w:p w:rsidR="006349B3" w:rsidRPr="00F12E8B" w:rsidRDefault="006349B3" w:rsidP="006349B3">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2015</w:t>
            </w:r>
          </w:p>
        </w:tc>
        <w:tc>
          <w:tcPr>
            <w:tcW w:w="3497" w:type="dxa"/>
            <w:shd w:val="clear" w:color="auto" w:fill="auto"/>
            <w:noWrap/>
            <w:vAlign w:val="center"/>
            <w:hideMark/>
          </w:tcPr>
          <w:p w:rsidR="006349B3" w:rsidRPr="00F12E8B" w:rsidRDefault="006349B3" w:rsidP="006349B3">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-0.57</w:t>
            </w:r>
          </w:p>
        </w:tc>
        <w:tc>
          <w:tcPr>
            <w:tcW w:w="3647" w:type="dxa"/>
            <w:shd w:val="clear" w:color="auto" w:fill="auto"/>
            <w:noWrap/>
            <w:vAlign w:val="center"/>
            <w:hideMark/>
          </w:tcPr>
          <w:p w:rsidR="006349B3" w:rsidRPr="00F12E8B" w:rsidRDefault="006349B3" w:rsidP="006349B3">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-5.14</w:t>
            </w:r>
          </w:p>
        </w:tc>
      </w:tr>
      <w:tr w:rsidR="006349B3" w:rsidRPr="00F12E8B" w:rsidTr="005B1D37">
        <w:trPr>
          <w:trHeight w:val="300"/>
        </w:trPr>
        <w:tc>
          <w:tcPr>
            <w:tcW w:w="1134" w:type="dxa"/>
            <w:shd w:val="clear" w:color="auto" w:fill="auto"/>
            <w:noWrap/>
            <w:vAlign w:val="center"/>
            <w:hideMark/>
          </w:tcPr>
          <w:p w:rsidR="006349B3" w:rsidRPr="00F12E8B" w:rsidRDefault="006349B3" w:rsidP="006349B3">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2016</w:t>
            </w:r>
          </w:p>
        </w:tc>
        <w:tc>
          <w:tcPr>
            <w:tcW w:w="3497" w:type="dxa"/>
            <w:shd w:val="clear" w:color="auto" w:fill="auto"/>
            <w:noWrap/>
            <w:vAlign w:val="center"/>
            <w:hideMark/>
          </w:tcPr>
          <w:p w:rsidR="006349B3" w:rsidRPr="00F12E8B" w:rsidRDefault="006349B3" w:rsidP="006349B3">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-0.56</w:t>
            </w:r>
          </w:p>
        </w:tc>
        <w:tc>
          <w:tcPr>
            <w:tcW w:w="3647" w:type="dxa"/>
            <w:shd w:val="clear" w:color="auto" w:fill="auto"/>
            <w:noWrap/>
            <w:vAlign w:val="center"/>
            <w:hideMark/>
          </w:tcPr>
          <w:p w:rsidR="006349B3" w:rsidRPr="00F12E8B" w:rsidRDefault="006349B3" w:rsidP="006349B3">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-1.29</w:t>
            </w:r>
          </w:p>
        </w:tc>
      </w:tr>
      <w:tr w:rsidR="006349B3" w:rsidRPr="00F12E8B" w:rsidTr="005B1D37">
        <w:trPr>
          <w:trHeight w:val="300"/>
        </w:trPr>
        <w:tc>
          <w:tcPr>
            <w:tcW w:w="1134" w:type="dxa"/>
            <w:shd w:val="clear" w:color="auto" w:fill="auto"/>
            <w:noWrap/>
            <w:vAlign w:val="center"/>
            <w:hideMark/>
          </w:tcPr>
          <w:p w:rsidR="006349B3" w:rsidRPr="00F12E8B" w:rsidRDefault="006349B3" w:rsidP="006349B3">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2017</w:t>
            </w:r>
          </w:p>
        </w:tc>
        <w:tc>
          <w:tcPr>
            <w:tcW w:w="3497" w:type="dxa"/>
            <w:shd w:val="clear" w:color="auto" w:fill="auto"/>
            <w:noWrap/>
            <w:vAlign w:val="center"/>
            <w:hideMark/>
          </w:tcPr>
          <w:p w:rsidR="006349B3" w:rsidRPr="00F12E8B" w:rsidRDefault="006349B3" w:rsidP="006349B3">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1.01</w:t>
            </w:r>
          </w:p>
        </w:tc>
        <w:tc>
          <w:tcPr>
            <w:tcW w:w="3647" w:type="dxa"/>
            <w:shd w:val="clear" w:color="auto" w:fill="auto"/>
            <w:noWrap/>
            <w:vAlign w:val="bottom"/>
            <w:hideMark/>
          </w:tcPr>
          <w:p w:rsidR="006349B3" w:rsidRPr="00F12E8B" w:rsidRDefault="006349B3" w:rsidP="00FC3D2C">
            <w:pPr>
              <w:spacing w:after="0" w:line="240" w:lineRule="auto"/>
              <w:jc w:val="center"/>
              <w:rPr>
                <w:rFonts w:ascii="Times New Roman" w:eastAsia="Times New Roman" w:hAnsi="Times New Roman"/>
                <w:color w:val="000000"/>
                <w:sz w:val="20"/>
                <w:szCs w:val="20"/>
                <w:lang w:val="el-GR" w:eastAsia="el-GR"/>
              </w:rPr>
            </w:pPr>
          </w:p>
        </w:tc>
      </w:tr>
      <w:tr w:rsidR="006349B3" w:rsidRPr="00F12E8B" w:rsidTr="005B1D37">
        <w:trPr>
          <w:trHeight w:val="300"/>
        </w:trPr>
        <w:tc>
          <w:tcPr>
            <w:tcW w:w="1134" w:type="dxa"/>
            <w:shd w:val="clear" w:color="auto" w:fill="auto"/>
            <w:noWrap/>
            <w:vAlign w:val="center"/>
            <w:hideMark/>
          </w:tcPr>
          <w:p w:rsidR="006349B3" w:rsidRPr="00F12E8B" w:rsidRDefault="006349B3" w:rsidP="006349B3">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2018</w:t>
            </w:r>
          </w:p>
        </w:tc>
        <w:tc>
          <w:tcPr>
            <w:tcW w:w="3497" w:type="dxa"/>
            <w:shd w:val="clear" w:color="auto" w:fill="auto"/>
            <w:noWrap/>
            <w:vAlign w:val="center"/>
            <w:hideMark/>
          </w:tcPr>
          <w:p w:rsidR="006349B3" w:rsidRPr="00F12E8B" w:rsidRDefault="006349B3" w:rsidP="006349B3">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0.76</w:t>
            </w:r>
          </w:p>
        </w:tc>
        <w:tc>
          <w:tcPr>
            <w:tcW w:w="3647" w:type="dxa"/>
            <w:shd w:val="clear" w:color="auto" w:fill="auto"/>
            <w:noWrap/>
            <w:vAlign w:val="bottom"/>
            <w:hideMark/>
          </w:tcPr>
          <w:p w:rsidR="006349B3" w:rsidRPr="00F12E8B" w:rsidRDefault="006349B3" w:rsidP="00FC3D2C">
            <w:pPr>
              <w:spacing w:after="0" w:line="240" w:lineRule="auto"/>
              <w:jc w:val="center"/>
              <w:rPr>
                <w:rFonts w:ascii="Times New Roman" w:eastAsia="Times New Roman" w:hAnsi="Times New Roman"/>
                <w:color w:val="000000"/>
                <w:sz w:val="20"/>
                <w:szCs w:val="20"/>
                <w:lang w:val="el-GR" w:eastAsia="el-GR"/>
              </w:rPr>
            </w:pPr>
          </w:p>
        </w:tc>
      </w:tr>
      <w:tr w:rsidR="006349B3" w:rsidRPr="00F12E8B" w:rsidTr="005B1D37">
        <w:trPr>
          <w:trHeight w:val="300"/>
        </w:trPr>
        <w:tc>
          <w:tcPr>
            <w:tcW w:w="1134" w:type="dxa"/>
            <w:shd w:val="clear" w:color="auto" w:fill="auto"/>
            <w:noWrap/>
            <w:vAlign w:val="center"/>
            <w:hideMark/>
          </w:tcPr>
          <w:p w:rsidR="006349B3" w:rsidRPr="00F12E8B" w:rsidRDefault="006349B3" w:rsidP="006349B3">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2019</w:t>
            </w:r>
          </w:p>
        </w:tc>
        <w:tc>
          <w:tcPr>
            <w:tcW w:w="3497" w:type="dxa"/>
            <w:shd w:val="clear" w:color="auto" w:fill="auto"/>
            <w:noWrap/>
            <w:vAlign w:val="center"/>
            <w:hideMark/>
          </w:tcPr>
          <w:p w:rsidR="006349B3" w:rsidRPr="00F12E8B" w:rsidRDefault="006349B3" w:rsidP="006349B3">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-0.08</w:t>
            </w:r>
          </w:p>
        </w:tc>
        <w:tc>
          <w:tcPr>
            <w:tcW w:w="3647" w:type="dxa"/>
            <w:shd w:val="clear" w:color="auto" w:fill="auto"/>
            <w:noWrap/>
            <w:vAlign w:val="bottom"/>
            <w:hideMark/>
          </w:tcPr>
          <w:p w:rsidR="006349B3" w:rsidRPr="00F12E8B" w:rsidRDefault="006349B3" w:rsidP="00FC3D2C">
            <w:pPr>
              <w:spacing w:after="0" w:line="240" w:lineRule="auto"/>
              <w:jc w:val="center"/>
              <w:rPr>
                <w:rFonts w:ascii="Times New Roman" w:eastAsia="Times New Roman" w:hAnsi="Times New Roman"/>
                <w:color w:val="000000"/>
                <w:sz w:val="20"/>
                <w:szCs w:val="20"/>
                <w:lang w:val="el-GR" w:eastAsia="el-GR"/>
              </w:rPr>
            </w:pPr>
          </w:p>
        </w:tc>
      </w:tr>
      <w:tr w:rsidR="006349B3" w:rsidRPr="00F12E8B" w:rsidTr="005B1D37">
        <w:trPr>
          <w:trHeight w:val="300"/>
        </w:trPr>
        <w:tc>
          <w:tcPr>
            <w:tcW w:w="1134" w:type="dxa"/>
            <w:shd w:val="clear" w:color="auto" w:fill="auto"/>
            <w:noWrap/>
            <w:vAlign w:val="center"/>
            <w:hideMark/>
          </w:tcPr>
          <w:p w:rsidR="006349B3" w:rsidRPr="00F12E8B" w:rsidRDefault="006349B3" w:rsidP="006349B3">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2020</w:t>
            </w:r>
          </w:p>
        </w:tc>
        <w:tc>
          <w:tcPr>
            <w:tcW w:w="3497" w:type="dxa"/>
            <w:shd w:val="clear" w:color="auto" w:fill="auto"/>
            <w:noWrap/>
            <w:vAlign w:val="center"/>
            <w:hideMark/>
          </w:tcPr>
          <w:p w:rsidR="006349B3" w:rsidRPr="00F12E8B" w:rsidRDefault="006349B3" w:rsidP="006349B3">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0.13</w:t>
            </w:r>
          </w:p>
        </w:tc>
        <w:tc>
          <w:tcPr>
            <w:tcW w:w="3647" w:type="dxa"/>
            <w:shd w:val="clear" w:color="auto" w:fill="auto"/>
            <w:noWrap/>
            <w:vAlign w:val="bottom"/>
            <w:hideMark/>
          </w:tcPr>
          <w:p w:rsidR="006349B3" w:rsidRPr="00F12E8B" w:rsidRDefault="006349B3" w:rsidP="00FC3D2C">
            <w:pPr>
              <w:spacing w:after="0" w:line="240" w:lineRule="auto"/>
              <w:jc w:val="center"/>
              <w:rPr>
                <w:rFonts w:ascii="Times New Roman" w:eastAsia="Times New Roman" w:hAnsi="Times New Roman"/>
                <w:color w:val="000000"/>
                <w:sz w:val="20"/>
                <w:szCs w:val="20"/>
                <w:lang w:val="el-GR" w:eastAsia="el-GR"/>
              </w:rPr>
            </w:pPr>
          </w:p>
        </w:tc>
      </w:tr>
    </w:tbl>
    <w:p w:rsidR="001C2BDA" w:rsidRPr="00F12E8B" w:rsidRDefault="001C2BDA" w:rsidP="00E27ADD">
      <w:pPr>
        <w:spacing w:after="0" w:line="240" w:lineRule="auto"/>
        <w:jc w:val="center"/>
        <w:rPr>
          <w:rFonts w:ascii="Times New Roman" w:hAnsi="Times New Roman"/>
          <w:sz w:val="20"/>
          <w:szCs w:val="20"/>
        </w:rPr>
      </w:pPr>
      <w:r w:rsidRPr="00F12E8B">
        <w:rPr>
          <w:rFonts w:ascii="Times New Roman" w:hAnsi="Times New Roman"/>
          <w:sz w:val="20"/>
          <w:szCs w:val="20"/>
        </w:rPr>
        <w:t>Source: Authors' calculations from published financial statements of the Greek Cooperative Banks.</w:t>
      </w:r>
    </w:p>
    <w:p w:rsidR="007C30EA" w:rsidRPr="00F12E8B" w:rsidRDefault="00485328" w:rsidP="00FC3D2C">
      <w:pPr>
        <w:spacing w:after="0" w:line="240" w:lineRule="auto"/>
        <w:jc w:val="center"/>
        <w:rPr>
          <w:rFonts w:ascii="Times New Roman" w:hAnsi="Times New Roman"/>
          <w:sz w:val="20"/>
          <w:szCs w:val="20"/>
        </w:rPr>
      </w:pPr>
      <w:r w:rsidRPr="00F12E8B">
        <w:rPr>
          <w:rFonts w:ascii="Times New Roman" w:hAnsi="Times New Roman"/>
          <w:sz w:val="20"/>
          <w:szCs w:val="20"/>
        </w:rPr>
        <w:lastRenderedPageBreak/>
        <w:t>Figure</w:t>
      </w:r>
      <w:r w:rsidR="006D0AF1" w:rsidRPr="00F12E8B">
        <w:rPr>
          <w:rFonts w:ascii="Times New Roman" w:hAnsi="Times New Roman"/>
          <w:sz w:val="20"/>
          <w:szCs w:val="20"/>
        </w:rPr>
        <w:t xml:space="preserve"> 2: (</w:t>
      </w:r>
      <w:r w:rsidR="00265D52" w:rsidRPr="00F12E8B">
        <w:rPr>
          <w:rFonts w:ascii="Times New Roman" w:hAnsi="Times New Roman"/>
          <w:sz w:val="20"/>
          <w:szCs w:val="20"/>
        </w:rPr>
        <w:t>CF</w:t>
      </w:r>
      <w:r w:rsidR="006D0AF1" w:rsidRPr="00F12E8B">
        <w:rPr>
          <w:rFonts w:ascii="Times New Roman" w:hAnsi="Times New Roman"/>
          <w:sz w:val="20"/>
          <w:szCs w:val="20"/>
        </w:rPr>
        <w:t>DICR)</w:t>
      </w:r>
      <w:r w:rsidR="007B7BDE" w:rsidRPr="00F12E8B">
        <w:rPr>
          <w:rFonts w:ascii="Times New Roman" w:hAnsi="Times New Roman"/>
          <w:sz w:val="20"/>
          <w:szCs w:val="20"/>
        </w:rPr>
        <w:t xml:space="preserve"> before and after the acquisition</w:t>
      </w:r>
    </w:p>
    <w:p w:rsidR="007C30EA" w:rsidRPr="00F12E8B" w:rsidRDefault="0063365F" w:rsidP="00EA7BB7">
      <w:pPr>
        <w:spacing w:after="0" w:line="240" w:lineRule="auto"/>
        <w:jc w:val="center"/>
        <w:rPr>
          <w:rFonts w:ascii="Times New Roman" w:hAnsi="Times New Roman"/>
          <w:sz w:val="20"/>
          <w:szCs w:val="20"/>
        </w:rPr>
      </w:pPr>
      <w:r w:rsidRPr="00F12E8B">
        <w:rPr>
          <w:rFonts w:ascii="Times New Roman" w:hAnsi="Times New Roman"/>
          <w:noProof/>
          <w:sz w:val="20"/>
          <w:szCs w:val="20"/>
          <w:lang w:val="el-GR" w:eastAsia="el-GR"/>
        </w:rPr>
        <w:drawing>
          <wp:inline distT="0" distB="0" distL="0" distR="0">
            <wp:extent cx="5017168" cy="1638795"/>
            <wp:effectExtent l="19050" t="0" r="12032" b="0"/>
            <wp:docPr id="10"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994764" w:rsidRPr="00F12E8B" w:rsidRDefault="00994764" w:rsidP="00E27ADD">
      <w:pPr>
        <w:spacing w:after="0" w:line="240" w:lineRule="auto"/>
        <w:jc w:val="center"/>
        <w:rPr>
          <w:rFonts w:ascii="Times New Roman" w:hAnsi="Times New Roman"/>
          <w:sz w:val="20"/>
          <w:szCs w:val="20"/>
        </w:rPr>
      </w:pPr>
      <w:r w:rsidRPr="00F12E8B">
        <w:rPr>
          <w:rFonts w:ascii="Times New Roman" w:hAnsi="Times New Roman"/>
          <w:sz w:val="20"/>
          <w:szCs w:val="20"/>
        </w:rPr>
        <w:t>Source: Table 2</w:t>
      </w:r>
    </w:p>
    <w:p w:rsidR="00E27ADD" w:rsidRPr="00F12E8B" w:rsidRDefault="00E27ADD" w:rsidP="00554446">
      <w:pPr>
        <w:spacing w:after="0" w:line="240" w:lineRule="auto"/>
        <w:jc w:val="both"/>
        <w:rPr>
          <w:rFonts w:ascii="Times New Roman" w:hAnsi="Times New Roman"/>
          <w:sz w:val="20"/>
          <w:szCs w:val="20"/>
        </w:rPr>
      </w:pPr>
    </w:p>
    <w:p w:rsidR="00E676D3" w:rsidRPr="00F12E8B" w:rsidRDefault="002519D8" w:rsidP="00554446">
      <w:pPr>
        <w:spacing w:after="0" w:line="240" w:lineRule="auto"/>
        <w:jc w:val="both"/>
        <w:rPr>
          <w:rFonts w:ascii="Times New Roman" w:hAnsi="Times New Roman"/>
          <w:sz w:val="20"/>
          <w:szCs w:val="20"/>
        </w:rPr>
      </w:pPr>
      <w:r w:rsidRPr="00F12E8B">
        <w:rPr>
          <w:rFonts w:ascii="Times New Roman" w:hAnsi="Times New Roman"/>
          <w:sz w:val="20"/>
          <w:szCs w:val="20"/>
        </w:rPr>
        <w:t xml:space="preserve">From the </w:t>
      </w:r>
      <w:r w:rsidR="00B66835" w:rsidRPr="00F12E8B">
        <w:rPr>
          <w:rFonts w:ascii="Times New Roman" w:hAnsi="Times New Roman"/>
          <w:sz w:val="20"/>
          <w:szCs w:val="20"/>
        </w:rPr>
        <w:t xml:space="preserve">above </w:t>
      </w:r>
      <w:r w:rsidR="003B44D3">
        <w:rPr>
          <w:rFonts w:ascii="Times New Roman" w:hAnsi="Times New Roman"/>
          <w:sz w:val="20"/>
          <w:szCs w:val="20"/>
        </w:rPr>
        <w:t>table 2, f</w:t>
      </w:r>
      <w:r w:rsidR="00485328" w:rsidRPr="00F12E8B">
        <w:rPr>
          <w:rFonts w:ascii="Times New Roman" w:hAnsi="Times New Roman"/>
          <w:sz w:val="20"/>
          <w:szCs w:val="20"/>
        </w:rPr>
        <w:t>igure</w:t>
      </w:r>
      <w:r w:rsidRPr="00F12E8B">
        <w:rPr>
          <w:rFonts w:ascii="Times New Roman" w:hAnsi="Times New Roman"/>
          <w:sz w:val="20"/>
          <w:szCs w:val="20"/>
        </w:rPr>
        <w:t xml:space="preserve"> 2 we observe that during the time period 2015-2016 before the acquisition the CFDICR ratio for the target bank was very low and lower than the bidder's. After the acquisition the CFDICR ratio of the bidder had increased in the year 201</w:t>
      </w:r>
      <w:r w:rsidR="004E6E82" w:rsidRPr="00F12E8B">
        <w:rPr>
          <w:rFonts w:ascii="Times New Roman" w:hAnsi="Times New Roman"/>
          <w:sz w:val="20"/>
          <w:szCs w:val="20"/>
        </w:rPr>
        <w:t>7</w:t>
      </w:r>
      <w:r w:rsidRPr="00F12E8B">
        <w:rPr>
          <w:rFonts w:ascii="Times New Roman" w:hAnsi="Times New Roman"/>
          <w:sz w:val="20"/>
          <w:szCs w:val="20"/>
        </w:rPr>
        <w:t xml:space="preserve">, but afterwards it </w:t>
      </w:r>
      <w:r w:rsidR="004A0C8F" w:rsidRPr="00F12E8B">
        <w:rPr>
          <w:rFonts w:ascii="Times New Roman" w:hAnsi="Times New Roman"/>
          <w:sz w:val="20"/>
          <w:szCs w:val="20"/>
        </w:rPr>
        <w:t>starts to decrease</w:t>
      </w:r>
      <w:r w:rsidRPr="00F12E8B">
        <w:rPr>
          <w:rFonts w:ascii="Times New Roman" w:hAnsi="Times New Roman"/>
          <w:sz w:val="20"/>
          <w:szCs w:val="20"/>
        </w:rPr>
        <w:t xml:space="preserve"> to </w:t>
      </w:r>
      <w:r w:rsidR="004A0C8F" w:rsidRPr="00F12E8B">
        <w:rPr>
          <w:rFonts w:ascii="Times New Roman" w:hAnsi="Times New Roman"/>
          <w:sz w:val="20"/>
          <w:szCs w:val="20"/>
        </w:rPr>
        <w:t xml:space="preserve">a </w:t>
      </w:r>
      <w:r w:rsidRPr="00F12E8B">
        <w:rPr>
          <w:rFonts w:ascii="Times New Roman" w:hAnsi="Times New Roman"/>
          <w:sz w:val="20"/>
          <w:szCs w:val="20"/>
        </w:rPr>
        <w:t>low</w:t>
      </w:r>
      <w:r w:rsidR="004A0C8F" w:rsidRPr="00F12E8B">
        <w:rPr>
          <w:rFonts w:ascii="Times New Roman" w:hAnsi="Times New Roman"/>
          <w:sz w:val="20"/>
          <w:szCs w:val="20"/>
        </w:rPr>
        <w:t>er</w:t>
      </w:r>
      <w:r w:rsidRPr="00F12E8B">
        <w:rPr>
          <w:rFonts w:ascii="Times New Roman" w:hAnsi="Times New Roman"/>
          <w:sz w:val="20"/>
          <w:szCs w:val="20"/>
        </w:rPr>
        <w:t xml:space="preserve"> level.</w:t>
      </w:r>
    </w:p>
    <w:p w:rsidR="00097DEC" w:rsidRPr="00F12E8B" w:rsidRDefault="00097DEC" w:rsidP="00FC3D2C">
      <w:pPr>
        <w:spacing w:after="0" w:line="240" w:lineRule="auto"/>
        <w:jc w:val="center"/>
        <w:rPr>
          <w:rFonts w:ascii="Times New Roman" w:hAnsi="Times New Roman"/>
          <w:sz w:val="20"/>
          <w:szCs w:val="20"/>
        </w:rPr>
      </w:pPr>
    </w:p>
    <w:p w:rsidR="005E6F8B" w:rsidRPr="00F12E8B" w:rsidRDefault="0020626A" w:rsidP="00FC3D2C">
      <w:pPr>
        <w:spacing w:after="0" w:line="240" w:lineRule="auto"/>
        <w:jc w:val="center"/>
        <w:rPr>
          <w:rFonts w:ascii="Times New Roman" w:hAnsi="Times New Roman"/>
          <w:sz w:val="20"/>
          <w:szCs w:val="20"/>
        </w:rPr>
      </w:pPr>
      <w:r w:rsidRPr="00F12E8B">
        <w:rPr>
          <w:rFonts w:ascii="Times New Roman" w:hAnsi="Times New Roman"/>
          <w:sz w:val="20"/>
          <w:szCs w:val="20"/>
        </w:rPr>
        <w:t xml:space="preserve">Table 3: </w:t>
      </w:r>
      <w:r w:rsidRPr="00F12E8B">
        <w:rPr>
          <w:rFonts w:ascii="Times New Roman" w:hAnsi="Times New Roman"/>
          <w:spacing w:val="3"/>
          <w:sz w:val="20"/>
          <w:szCs w:val="20"/>
          <w:shd w:val="clear" w:color="auto" w:fill="FFFFFF"/>
        </w:rPr>
        <w:t>(</w:t>
      </w:r>
      <w:r w:rsidRPr="00F12E8B">
        <w:rPr>
          <w:rFonts w:ascii="Times New Roman" w:hAnsi="Times New Roman"/>
          <w:sz w:val="20"/>
          <w:szCs w:val="20"/>
        </w:rPr>
        <w:t>CF</w:t>
      </w:r>
      <w:r w:rsidR="00E12A2E" w:rsidRPr="00F12E8B">
        <w:rPr>
          <w:rFonts w:ascii="Times New Roman" w:hAnsi="Times New Roman"/>
          <w:sz w:val="20"/>
          <w:szCs w:val="20"/>
        </w:rPr>
        <w:t>TL</w:t>
      </w:r>
      <w:r w:rsidRPr="00F12E8B">
        <w:rPr>
          <w:rFonts w:ascii="Times New Roman" w:hAnsi="Times New Roman"/>
          <w:sz w:val="20"/>
          <w:szCs w:val="20"/>
        </w:rPr>
        <w:t>CR)</w:t>
      </w:r>
      <w:r w:rsidR="00B72C7F" w:rsidRPr="00F12E8B">
        <w:rPr>
          <w:rFonts w:ascii="Times New Roman" w:hAnsi="Times New Roman"/>
          <w:sz w:val="20"/>
          <w:szCs w:val="20"/>
        </w:rPr>
        <w:t xml:space="preserve"> in %</w:t>
      </w:r>
      <w:r w:rsidR="007B7BDE" w:rsidRPr="00F12E8B">
        <w:rPr>
          <w:rFonts w:ascii="Times New Roman" w:hAnsi="Times New Roman"/>
          <w:sz w:val="20"/>
          <w:szCs w:val="20"/>
        </w:rPr>
        <w:t xml:space="preserve"> before and after the acquisition</w:t>
      </w:r>
    </w:p>
    <w:tbl>
      <w:tblPr>
        <w:tblW w:w="8163" w:type="dxa"/>
        <w:tblInd w:w="103" w:type="dxa"/>
        <w:tblLook w:val="04A0"/>
      </w:tblPr>
      <w:tblGrid>
        <w:gridCol w:w="1003"/>
        <w:gridCol w:w="3280"/>
        <w:gridCol w:w="3880"/>
      </w:tblGrid>
      <w:tr w:rsidR="00E12A2E" w:rsidRPr="00F12E8B" w:rsidTr="00FC3D2C">
        <w:trPr>
          <w:trHeight w:val="356"/>
        </w:trPr>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A2E" w:rsidRPr="00F12E8B" w:rsidRDefault="00E12A2E" w:rsidP="00FC3D2C">
            <w:pPr>
              <w:spacing w:after="0" w:line="240" w:lineRule="auto"/>
              <w:jc w:val="center"/>
              <w:rPr>
                <w:rFonts w:ascii="Times New Roman" w:hAnsi="Times New Roman"/>
                <w:color w:val="000000"/>
                <w:sz w:val="20"/>
                <w:szCs w:val="20"/>
              </w:rPr>
            </w:pPr>
            <w:r w:rsidRPr="00F12E8B">
              <w:rPr>
                <w:rFonts w:ascii="Times New Roman" w:hAnsi="Times New Roman"/>
                <w:color w:val="000000"/>
                <w:sz w:val="20"/>
                <w:szCs w:val="20"/>
              </w:rPr>
              <w:t>YEARS</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rsidR="00E12A2E" w:rsidRPr="00F12E8B" w:rsidRDefault="00E12A2E" w:rsidP="00FC3D2C">
            <w:pPr>
              <w:spacing w:after="0" w:line="240" w:lineRule="auto"/>
              <w:jc w:val="center"/>
              <w:rPr>
                <w:rFonts w:ascii="Times New Roman" w:hAnsi="Times New Roman"/>
                <w:color w:val="000000"/>
                <w:sz w:val="20"/>
                <w:szCs w:val="20"/>
              </w:rPr>
            </w:pPr>
            <w:r w:rsidRPr="00F12E8B">
              <w:rPr>
                <w:rFonts w:ascii="Times New Roman" w:hAnsi="Times New Roman"/>
                <w:color w:val="000000"/>
                <w:sz w:val="20"/>
                <w:szCs w:val="20"/>
              </w:rPr>
              <w:t>CFTLCR Cooperative Bank Dramas</w:t>
            </w:r>
          </w:p>
        </w:tc>
        <w:tc>
          <w:tcPr>
            <w:tcW w:w="3880" w:type="dxa"/>
            <w:tcBorders>
              <w:top w:val="single" w:sz="4" w:space="0" w:color="auto"/>
              <w:left w:val="nil"/>
              <w:bottom w:val="single" w:sz="4" w:space="0" w:color="auto"/>
              <w:right w:val="single" w:sz="4" w:space="0" w:color="auto"/>
            </w:tcBorders>
            <w:shd w:val="clear" w:color="auto" w:fill="auto"/>
            <w:noWrap/>
            <w:vAlign w:val="bottom"/>
            <w:hideMark/>
          </w:tcPr>
          <w:p w:rsidR="00E12A2E" w:rsidRPr="00F12E8B" w:rsidRDefault="00E12A2E" w:rsidP="00FC3D2C">
            <w:pPr>
              <w:spacing w:after="0" w:line="240" w:lineRule="auto"/>
              <w:jc w:val="center"/>
              <w:rPr>
                <w:rFonts w:ascii="Times New Roman" w:hAnsi="Times New Roman"/>
                <w:color w:val="000000"/>
                <w:sz w:val="20"/>
                <w:szCs w:val="20"/>
              </w:rPr>
            </w:pPr>
            <w:r w:rsidRPr="00F12E8B">
              <w:rPr>
                <w:rFonts w:ascii="Times New Roman" w:hAnsi="Times New Roman"/>
                <w:color w:val="000000"/>
                <w:sz w:val="20"/>
                <w:szCs w:val="20"/>
              </w:rPr>
              <w:t>CFTLCR Cooperative Bank Evros</w:t>
            </w:r>
          </w:p>
        </w:tc>
      </w:tr>
      <w:tr w:rsidR="00E12A2E" w:rsidRPr="00F12E8B" w:rsidTr="00FC3D2C">
        <w:trPr>
          <w:trHeight w:val="163"/>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E12A2E" w:rsidRPr="00F12E8B" w:rsidRDefault="00E12A2E" w:rsidP="00FC3D2C">
            <w:pPr>
              <w:spacing w:after="0" w:line="240" w:lineRule="auto"/>
              <w:jc w:val="center"/>
              <w:rPr>
                <w:rFonts w:ascii="Times New Roman" w:hAnsi="Times New Roman"/>
                <w:color w:val="000000"/>
                <w:sz w:val="20"/>
                <w:szCs w:val="20"/>
              </w:rPr>
            </w:pPr>
            <w:r w:rsidRPr="00F12E8B">
              <w:rPr>
                <w:rFonts w:ascii="Times New Roman" w:hAnsi="Times New Roman"/>
                <w:color w:val="000000"/>
                <w:sz w:val="20"/>
                <w:szCs w:val="20"/>
              </w:rPr>
              <w:t>2014</w:t>
            </w:r>
          </w:p>
        </w:tc>
        <w:tc>
          <w:tcPr>
            <w:tcW w:w="3280" w:type="dxa"/>
            <w:tcBorders>
              <w:top w:val="nil"/>
              <w:left w:val="nil"/>
              <w:bottom w:val="single" w:sz="4" w:space="0" w:color="auto"/>
              <w:right w:val="single" w:sz="4" w:space="0" w:color="auto"/>
            </w:tcBorders>
            <w:shd w:val="clear" w:color="auto" w:fill="auto"/>
            <w:noWrap/>
            <w:vAlign w:val="bottom"/>
            <w:hideMark/>
          </w:tcPr>
          <w:p w:rsidR="00E12A2E" w:rsidRPr="00F12E8B" w:rsidRDefault="00E12A2E" w:rsidP="00FC3D2C">
            <w:pPr>
              <w:spacing w:after="0" w:line="240" w:lineRule="auto"/>
              <w:jc w:val="center"/>
              <w:rPr>
                <w:rFonts w:ascii="Times New Roman" w:hAnsi="Times New Roman"/>
                <w:color w:val="000000"/>
                <w:sz w:val="20"/>
                <w:szCs w:val="20"/>
              </w:rPr>
            </w:pPr>
            <w:r w:rsidRPr="00F12E8B">
              <w:rPr>
                <w:rFonts w:ascii="Times New Roman" w:hAnsi="Times New Roman"/>
                <w:color w:val="000000"/>
                <w:sz w:val="20"/>
                <w:szCs w:val="20"/>
              </w:rPr>
              <w:t>-2.9</w:t>
            </w:r>
          </w:p>
        </w:tc>
        <w:tc>
          <w:tcPr>
            <w:tcW w:w="3880" w:type="dxa"/>
            <w:tcBorders>
              <w:top w:val="nil"/>
              <w:left w:val="nil"/>
              <w:bottom w:val="single" w:sz="4" w:space="0" w:color="auto"/>
              <w:right w:val="single" w:sz="4" w:space="0" w:color="auto"/>
            </w:tcBorders>
            <w:shd w:val="clear" w:color="auto" w:fill="auto"/>
            <w:noWrap/>
            <w:vAlign w:val="bottom"/>
            <w:hideMark/>
          </w:tcPr>
          <w:p w:rsidR="00E12A2E" w:rsidRPr="00F12E8B" w:rsidRDefault="00E12A2E" w:rsidP="00FC3D2C">
            <w:pPr>
              <w:spacing w:after="0" w:line="240" w:lineRule="auto"/>
              <w:jc w:val="center"/>
              <w:rPr>
                <w:rFonts w:ascii="Times New Roman" w:hAnsi="Times New Roman"/>
                <w:color w:val="000000"/>
                <w:sz w:val="20"/>
                <w:szCs w:val="20"/>
              </w:rPr>
            </w:pPr>
            <w:r w:rsidRPr="00F12E8B">
              <w:rPr>
                <w:rFonts w:ascii="Times New Roman" w:hAnsi="Times New Roman"/>
                <w:color w:val="000000"/>
                <w:sz w:val="20"/>
                <w:szCs w:val="20"/>
              </w:rPr>
              <w:t>5</w:t>
            </w:r>
          </w:p>
        </w:tc>
      </w:tr>
      <w:tr w:rsidR="00E12A2E" w:rsidRPr="00F12E8B" w:rsidTr="00994764">
        <w:trPr>
          <w:trHeight w:val="300"/>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E12A2E" w:rsidRPr="00F12E8B" w:rsidRDefault="00E12A2E" w:rsidP="00FC3D2C">
            <w:pPr>
              <w:spacing w:after="0" w:line="240" w:lineRule="auto"/>
              <w:jc w:val="center"/>
              <w:rPr>
                <w:rFonts w:ascii="Times New Roman" w:hAnsi="Times New Roman"/>
                <w:color w:val="000000"/>
                <w:sz w:val="20"/>
                <w:szCs w:val="20"/>
              </w:rPr>
            </w:pPr>
            <w:r w:rsidRPr="00F12E8B">
              <w:rPr>
                <w:rFonts w:ascii="Times New Roman" w:hAnsi="Times New Roman"/>
                <w:color w:val="000000"/>
                <w:sz w:val="20"/>
                <w:szCs w:val="20"/>
              </w:rPr>
              <w:t>2015</w:t>
            </w:r>
          </w:p>
        </w:tc>
        <w:tc>
          <w:tcPr>
            <w:tcW w:w="3280" w:type="dxa"/>
            <w:tcBorders>
              <w:top w:val="nil"/>
              <w:left w:val="nil"/>
              <w:bottom w:val="single" w:sz="4" w:space="0" w:color="auto"/>
              <w:right w:val="single" w:sz="4" w:space="0" w:color="auto"/>
            </w:tcBorders>
            <w:shd w:val="clear" w:color="auto" w:fill="auto"/>
            <w:noWrap/>
            <w:vAlign w:val="bottom"/>
            <w:hideMark/>
          </w:tcPr>
          <w:p w:rsidR="00E12A2E" w:rsidRPr="00F12E8B" w:rsidRDefault="00E12A2E" w:rsidP="00FC3D2C">
            <w:pPr>
              <w:spacing w:after="0" w:line="240" w:lineRule="auto"/>
              <w:jc w:val="center"/>
              <w:rPr>
                <w:rFonts w:ascii="Times New Roman" w:hAnsi="Times New Roman"/>
                <w:color w:val="000000"/>
                <w:sz w:val="20"/>
                <w:szCs w:val="20"/>
              </w:rPr>
            </w:pPr>
            <w:r w:rsidRPr="00F12E8B">
              <w:rPr>
                <w:rFonts w:ascii="Times New Roman" w:hAnsi="Times New Roman"/>
                <w:color w:val="000000"/>
                <w:sz w:val="20"/>
                <w:szCs w:val="20"/>
              </w:rPr>
              <w:t>-1.1</w:t>
            </w:r>
          </w:p>
        </w:tc>
        <w:tc>
          <w:tcPr>
            <w:tcW w:w="3880" w:type="dxa"/>
            <w:tcBorders>
              <w:top w:val="nil"/>
              <w:left w:val="nil"/>
              <w:bottom w:val="single" w:sz="4" w:space="0" w:color="auto"/>
              <w:right w:val="single" w:sz="4" w:space="0" w:color="auto"/>
            </w:tcBorders>
            <w:shd w:val="clear" w:color="auto" w:fill="auto"/>
            <w:noWrap/>
            <w:vAlign w:val="bottom"/>
            <w:hideMark/>
          </w:tcPr>
          <w:p w:rsidR="00E12A2E" w:rsidRPr="00F12E8B" w:rsidRDefault="00E12A2E" w:rsidP="00FC3D2C">
            <w:pPr>
              <w:spacing w:after="0" w:line="240" w:lineRule="auto"/>
              <w:jc w:val="center"/>
              <w:rPr>
                <w:rFonts w:ascii="Times New Roman" w:hAnsi="Times New Roman"/>
                <w:color w:val="000000"/>
                <w:sz w:val="20"/>
                <w:szCs w:val="20"/>
              </w:rPr>
            </w:pPr>
            <w:r w:rsidRPr="00F12E8B">
              <w:rPr>
                <w:rFonts w:ascii="Times New Roman" w:hAnsi="Times New Roman"/>
                <w:color w:val="000000"/>
                <w:sz w:val="20"/>
                <w:szCs w:val="20"/>
              </w:rPr>
              <w:t>-3.3</w:t>
            </w:r>
          </w:p>
        </w:tc>
      </w:tr>
      <w:tr w:rsidR="00E12A2E" w:rsidRPr="00F12E8B" w:rsidTr="00994764">
        <w:trPr>
          <w:trHeight w:val="300"/>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E12A2E" w:rsidRPr="00F12E8B" w:rsidRDefault="00E12A2E" w:rsidP="00FC3D2C">
            <w:pPr>
              <w:spacing w:after="0" w:line="240" w:lineRule="auto"/>
              <w:jc w:val="center"/>
              <w:rPr>
                <w:rFonts w:ascii="Times New Roman" w:hAnsi="Times New Roman"/>
                <w:color w:val="000000"/>
                <w:sz w:val="20"/>
                <w:szCs w:val="20"/>
              </w:rPr>
            </w:pPr>
            <w:r w:rsidRPr="00F12E8B">
              <w:rPr>
                <w:rFonts w:ascii="Times New Roman" w:hAnsi="Times New Roman"/>
                <w:color w:val="000000"/>
                <w:sz w:val="20"/>
                <w:szCs w:val="20"/>
              </w:rPr>
              <w:t>2016</w:t>
            </w:r>
          </w:p>
        </w:tc>
        <w:tc>
          <w:tcPr>
            <w:tcW w:w="3280" w:type="dxa"/>
            <w:tcBorders>
              <w:top w:val="nil"/>
              <w:left w:val="nil"/>
              <w:bottom w:val="single" w:sz="4" w:space="0" w:color="auto"/>
              <w:right w:val="single" w:sz="4" w:space="0" w:color="auto"/>
            </w:tcBorders>
            <w:shd w:val="clear" w:color="auto" w:fill="auto"/>
            <w:noWrap/>
            <w:vAlign w:val="bottom"/>
            <w:hideMark/>
          </w:tcPr>
          <w:p w:rsidR="00E12A2E" w:rsidRPr="00F12E8B" w:rsidRDefault="00E12A2E" w:rsidP="00FC3D2C">
            <w:pPr>
              <w:spacing w:after="0" w:line="240" w:lineRule="auto"/>
              <w:jc w:val="center"/>
              <w:rPr>
                <w:rFonts w:ascii="Times New Roman" w:hAnsi="Times New Roman"/>
                <w:color w:val="000000"/>
                <w:sz w:val="20"/>
                <w:szCs w:val="20"/>
              </w:rPr>
            </w:pPr>
            <w:r w:rsidRPr="00F12E8B">
              <w:rPr>
                <w:rFonts w:ascii="Times New Roman" w:hAnsi="Times New Roman"/>
                <w:color w:val="000000"/>
                <w:sz w:val="20"/>
                <w:szCs w:val="20"/>
              </w:rPr>
              <w:t>3.2</w:t>
            </w:r>
          </w:p>
        </w:tc>
        <w:tc>
          <w:tcPr>
            <w:tcW w:w="3880" w:type="dxa"/>
            <w:tcBorders>
              <w:top w:val="nil"/>
              <w:left w:val="nil"/>
              <w:bottom w:val="single" w:sz="4" w:space="0" w:color="auto"/>
              <w:right w:val="single" w:sz="4" w:space="0" w:color="auto"/>
            </w:tcBorders>
            <w:shd w:val="clear" w:color="auto" w:fill="auto"/>
            <w:noWrap/>
            <w:vAlign w:val="bottom"/>
            <w:hideMark/>
          </w:tcPr>
          <w:p w:rsidR="00E12A2E" w:rsidRPr="00F12E8B" w:rsidRDefault="00E12A2E" w:rsidP="00FC3D2C">
            <w:pPr>
              <w:spacing w:after="0" w:line="240" w:lineRule="auto"/>
              <w:jc w:val="center"/>
              <w:rPr>
                <w:rFonts w:ascii="Times New Roman" w:hAnsi="Times New Roman"/>
                <w:color w:val="000000"/>
                <w:sz w:val="20"/>
                <w:szCs w:val="20"/>
              </w:rPr>
            </w:pPr>
            <w:r w:rsidRPr="00F12E8B">
              <w:rPr>
                <w:rFonts w:ascii="Times New Roman" w:hAnsi="Times New Roman"/>
                <w:color w:val="000000"/>
                <w:sz w:val="20"/>
                <w:szCs w:val="20"/>
              </w:rPr>
              <w:t>7.4</w:t>
            </w:r>
          </w:p>
        </w:tc>
      </w:tr>
      <w:tr w:rsidR="00E12A2E" w:rsidRPr="00F12E8B" w:rsidTr="00994764">
        <w:trPr>
          <w:trHeight w:val="300"/>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E12A2E" w:rsidRPr="00F12E8B" w:rsidRDefault="00E12A2E" w:rsidP="00FC3D2C">
            <w:pPr>
              <w:spacing w:after="0" w:line="240" w:lineRule="auto"/>
              <w:jc w:val="center"/>
              <w:rPr>
                <w:rFonts w:ascii="Times New Roman" w:hAnsi="Times New Roman"/>
                <w:color w:val="000000"/>
                <w:sz w:val="20"/>
                <w:szCs w:val="20"/>
              </w:rPr>
            </w:pPr>
            <w:r w:rsidRPr="00F12E8B">
              <w:rPr>
                <w:rFonts w:ascii="Times New Roman" w:hAnsi="Times New Roman"/>
                <w:color w:val="000000"/>
                <w:sz w:val="20"/>
                <w:szCs w:val="20"/>
              </w:rPr>
              <w:t>2017</w:t>
            </w:r>
          </w:p>
        </w:tc>
        <w:tc>
          <w:tcPr>
            <w:tcW w:w="3280" w:type="dxa"/>
            <w:tcBorders>
              <w:top w:val="nil"/>
              <w:left w:val="nil"/>
              <w:bottom w:val="single" w:sz="4" w:space="0" w:color="auto"/>
              <w:right w:val="single" w:sz="4" w:space="0" w:color="auto"/>
            </w:tcBorders>
            <w:shd w:val="clear" w:color="auto" w:fill="auto"/>
            <w:noWrap/>
            <w:vAlign w:val="bottom"/>
            <w:hideMark/>
          </w:tcPr>
          <w:p w:rsidR="00E12A2E" w:rsidRPr="00F12E8B" w:rsidRDefault="00E12A2E" w:rsidP="00FC3D2C">
            <w:pPr>
              <w:spacing w:after="0" w:line="240" w:lineRule="auto"/>
              <w:jc w:val="center"/>
              <w:rPr>
                <w:rFonts w:ascii="Times New Roman" w:hAnsi="Times New Roman"/>
                <w:color w:val="000000"/>
                <w:sz w:val="20"/>
                <w:szCs w:val="20"/>
              </w:rPr>
            </w:pPr>
            <w:r w:rsidRPr="00F12E8B">
              <w:rPr>
                <w:rFonts w:ascii="Times New Roman" w:hAnsi="Times New Roman"/>
                <w:color w:val="000000"/>
                <w:sz w:val="20"/>
                <w:szCs w:val="20"/>
              </w:rPr>
              <w:t>5.7</w:t>
            </w:r>
          </w:p>
        </w:tc>
        <w:tc>
          <w:tcPr>
            <w:tcW w:w="3880" w:type="dxa"/>
            <w:tcBorders>
              <w:top w:val="nil"/>
              <w:left w:val="nil"/>
              <w:bottom w:val="single" w:sz="4" w:space="0" w:color="auto"/>
              <w:right w:val="single" w:sz="4" w:space="0" w:color="auto"/>
            </w:tcBorders>
            <w:shd w:val="clear" w:color="auto" w:fill="auto"/>
            <w:noWrap/>
            <w:vAlign w:val="bottom"/>
            <w:hideMark/>
          </w:tcPr>
          <w:p w:rsidR="00E12A2E" w:rsidRPr="00F12E8B" w:rsidRDefault="00E12A2E" w:rsidP="00FC3D2C">
            <w:pPr>
              <w:spacing w:after="0" w:line="240" w:lineRule="auto"/>
              <w:jc w:val="center"/>
              <w:rPr>
                <w:rFonts w:ascii="Times New Roman" w:hAnsi="Times New Roman"/>
                <w:color w:val="000000"/>
                <w:sz w:val="20"/>
                <w:szCs w:val="20"/>
              </w:rPr>
            </w:pPr>
          </w:p>
        </w:tc>
      </w:tr>
      <w:tr w:rsidR="00E12A2E" w:rsidRPr="00F12E8B" w:rsidTr="00994764">
        <w:trPr>
          <w:trHeight w:val="300"/>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E12A2E" w:rsidRPr="00F12E8B" w:rsidRDefault="00E12A2E" w:rsidP="00FC3D2C">
            <w:pPr>
              <w:spacing w:after="0" w:line="240" w:lineRule="auto"/>
              <w:jc w:val="center"/>
              <w:rPr>
                <w:rFonts w:ascii="Times New Roman" w:hAnsi="Times New Roman"/>
                <w:color w:val="000000"/>
                <w:sz w:val="20"/>
                <w:szCs w:val="20"/>
              </w:rPr>
            </w:pPr>
            <w:r w:rsidRPr="00F12E8B">
              <w:rPr>
                <w:rFonts w:ascii="Times New Roman" w:hAnsi="Times New Roman"/>
                <w:color w:val="000000"/>
                <w:sz w:val="20"/>
                <w:szCs w:val="20"/>
              </w:rPr>
              <w:t>2018</w:t>
            </w:r>
          </w:p>
        </w:tc>
        <w:tc>
          <w:tcPr>
            <w:tcW w:w="3280" w:type="dxa"/>
            <w:tcBorders>
              <w:top w:val="nil"/>
              <w:left w:val="nil"/>
              <w:bottom w:val="single" w:sz="4" w:space="0" w:color="auto"/>
              <w:right w:val="single" w:sz="4" w:space="0" w:color="auto"/>
            </w:tcBorders>
            <w:shd w:val="clear" w:color="auto" w:fill="auto"/>
            <w:noWrap/>
            <w:vAlign w:val="bottom"/>
            <w:hideMark/>
          </w:tcPr>
          <w:p w:rsidR="00E12A2E" w:rsidRPr="00F12E8B" w:rsidRDefault="00E12A2E" w:rsidP="00FC3D2C">
            <w:pPr>
              <w:spacing w:after="0" w:line="240" w:lineRule="auto"/>
              <w:jc w:val="center"/>
              <w:rPr>
                <w:rFonts w:ascii="Times New Roman" w:hAnsi="Times New Roman"/>
                <w:color w:val="000000"/>
                <w:sz w:val="20"/>
                <w:szCs w:val="20"/>
              </w:rPr>
            </w:pPr>
            <w:r w:rsidRPr="00F12E8B">
              <w:rPr>
                <w:rFonts w:ascii="Times New Roman" w:hAnsi="Times New Roman"/>
                <w:color w:val="000000"/>
                <w:sz w:val="20"/>
                <w:szCs w:val="20"/>
              </w:rPr>
              <w:t>4.3</w:t>
            </w:r>
          </w:p>
        </w:tc>
        <w:tc>
          <w:tcPr>
            <w:tcW w:w="3880" w:type="dxa"/>
            <w:tcBorders>
              <w:top w:val="nil"/>
              <w:left w:val="nil"/>
              <w:bottom w:val="single" w:sz="4" w:space="0" w:color="auto"/>
              <w:right w:val="single" w:sz="4" w:space="0" w:color="auto"/>
            </w:tcBorders>
            <w:shd w:val="clear" w:color="auto" w:fill="auto"/>
            <w:noWrap/>
            <w:vAlign w:val="bottom"/>
            <w:hideMark/>
          </w:tcPr>
          <w:p w:rsidR="00E12A2E" w:rsidRPr="00F12E8B" w:rsidRDefault="00E12A2E" w:rsidP="00FC3D2C">
            <w:pPr>
              <w:spacing w:after="0" w:line="240" w:lineRule="auto"/>
              <w:jc w:val="center"/>
              <w:rPr>
                <w:rFonts w:ascii="Times New Roman" w:hAnsi="Times New Roman"/>
                <w:color w:val="000000"/>
                <w:sz w:val="20"/>
                <w:szCs w:val="20"/>
              </w:rPr>
            </w:pPr>
          </w:p>
        </w:tc>
      </w:tr>
      <w:tr w:rsidR="00E12A2E" w:rsidRPr="00F12E8B" w:rsidTr="00994764">
        <w:trPr>
          <w:trHeight w:val="300"/>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E12A2E" w:rsidRPr="00F12E8B" w:rsidRDefault="00E12A2E" w:rsidP="00FC3D2C">
            <w:pPr>
              <w:spacing w:after="0" w:line="240" w:lineRule="auto"/>
              <w:jc w:val="center"/>
              <w:rPr>
                <w:rFonts w:ascii="Times New Roman" w:hAnsi="Times New Roman"/>
                <w:color w:val="000000"/>
                <w:sz w:val="20"/>
                <w:szCs w:val="20"/>
              </w:rPr>
            </w:pPr>
            <w:r w:rsidRPr="00F12E8B">
              <w:rPr>
                <w:rFonts w:ascii="Times New Roman" w:hAnsi="Times New Roman"/>
                <w:color w:val="000000"/>
                <w:sz w:val="20"/>
                <w:szCs w:val="20"/>
              </w:rPr>
              <w:t>2019</w:t>
            </w:r>
          </w:p>
        </w:tc>
        <w:tc>
          <w:tcPr>
            <w:tcW w:w="3280" w:type="dxa"/>
            <w:tcBorders>
              <w:top w:val="nil"/>
              <w:left w:val="nil"/>
              <w:bottom w:val="single" w:sz="4" w:space="0" w:color="auto"/>
              <w:right w:val="single" w:sz="4" w:space="0" w:color="auto"/>
            </w:tcBorders>
            <w:shd w:val="clear" w:color="auto" w:fill="auto"/>
            <w:noWrap/>
            <w:vAlign w:val="bottom"/>
            <w:hideMark/>
          </w:tcPr>
          <w:p w:rsidR="00E12A2E" w:rsidRPr="00F12E8B" w:rsidRDefault="00E12A2E" w:rsidP="00FC3D2C">
            <w:pPr>
              <w:spacing w:after="0" w:line="240" w:lineRule="auto"/>
              <w:jc w:val="center"/>
              <w:rPr>
                <w:rFonts w:ascii="Times New Roman" w:hAnsi="Times New Roman"/>
                <w:color w:val="000000"/>
                <w:sz w:val="20"/>
                <w:szCs w:val="20"/>
              </w:rPr>
            </w:pPr>
            <w:r w:rsidRPr="00F12E8B">
              <w:rPr>
                <w:rFonts w:ascii="Times New Roman" w:hAnsi="Times New Roman"/>
                <w:color w:val="000000"/>
                <w:sz w:val="20"/>
                <w:szCs w:val="20"/>
              </w:rPr>
              <w:t>-0.6</w:t>
            </w:r>
          </w:p>
        </w:tc>
        <w:tc>
          <w:tcPr>
            <w:tcW w:w="3880" w:type="dxa"/>
            <w:tcBorders>
              <w:top w:val="nil"/>
              <w:left w:val="nil"/>
              <w:bottom w:val="single" w:sz="4" w:space="0" w:color="auto"/>
              <w:right w:val="single" w:sz="4" w:space="0" w:color="auto"/>
            </w:tcBorders>
            <w:shd w:val="clear" w:color="auto" w:fill="auto"/>
            <w:noWrap/>
            <w:vAlign w:val="bottom"/>
            <w:hideMark/>
          </w:tcPr>
          <w:p w:rsidR="00E12A2E" w:rsidRPr="00F12E8B" w:rsidRDefault="00E12A2E" w:rsidP="00FC3D2C">
            <w:pPr>
              <w:spacing w:after="0" w:line="240" w:lineRule="auto"/>
              <w:jc w:val="center"/>
              <w:rPr>
                <w:rFonts w:ascii="Times New Roman" w:hAnsi="Times New Roman"/>
                <w:color w:val="000000"/>
                <w:sz w:val="20"/>
                <w:szCs w:val="20"/>
              </w:rPr>
            </w:pPr>
          </w:p>
        </w:tc>
      </w:tr>
      <w:tr w:rsidR="00E12A2E" w:rsidRPr="00F12E8B" w:rsidTr="00994764">
        <w:trPr>
          <w:trHeight w:val="300"/>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E12A2E" w:rsidRPr="00F12E8B" w:rsidRDefault="00E12A2E" w:rsidP="00FC3D2C">
            <w:pPr>
              <w:spacing w:after="0" w:line="240" w:lineRule="auto"/>
              <w:jc w:val="center"/>
              <w:rPr>
                <w:rFonts w:ascii="Times New Roman" w:hAnsi="Times New Roman"/>
                <w:color w:val="000000"/>
                <w:sz w:val="20"/>
                <w:szCs w:val="20"/>
              </w:rPr>
            </w:pPr>
            <w:r w:rsidRPr="00F12E8B">
              <w:rPr>
                <w:rFonts w:ascii="Times New Roman" w:hAnsi="Times New Roman"/>
                <w:color w:val="000000"/>
                <w:sz w:val="20"/>
                <w:szCs w:val="20"/>
              </w:rPr>
              <w:t>2020</w:t>
            </w:r>
          </w:p>
        </w:tc>
        <w:tc>
          <w:tcPr>
            <w:tcW w:w="3280" w:type="dxa"/>
            <w:tcBorders>
              <w:top w:val="nil"/>
              <w:left w:val="nil"/>
              <w:bottom w:val="single" w:sz="4" w:space="0" w:color="auto"/>
              <w:right w:val="single" w:sz="4" w:space="0" w:color="auto"/>
            </w:tcBorders>
            <w:shd w:val="clear" w:color="auto" w:fill="auto"/>
            <w:noWrap/>
            <w:vAlign w:val="bottom"/>
            <w:hideMark/>
          </w:tcPr>
          <w:p w:rsidR="00E12A2E" w:rsidRPr="00F12E8B" w:rsidRDefault="00E12A2E" w:rsidP="00FC3D2C">
            <w:pPr>
              <w:spacing w:after="0" w:line="240" w:lineRule="auto"/>
              <w:jc w:val="center"/>
              <w:rPr>
                <w:rFonts w:ascii="Times New Roman" w:hAnsi="Times New Roman"/>
                <w:color w:val="000000"/>
                <w:sz w:val="20"/>
                <w:szCs w:val="20"/>
              </w:rPr>
            </w:pPr>
            <w:r w:rsidRPr="00F12E8B">
              <w:rPr>
                <w:rFonts w:ascii="Times New Roman" w:hAnsi="Times New Roman"/>
                <w:color w:val="000000"/>
                <w:sz w:val="20"/>
                <w:szCs w:val="20"/>
              </w:rPr>
              <w:t>-2.5</w:t>
            </w:r>
          </w:p>
        </w:tc>
        <w:tc>
          <w:tcPr>
            <w:tcW w:w="3880" w:type="dxa"/>
            <w:tcBorders>
              <w:top w:val="nil"/>
              <w:left w:val="nil"/>
              <w:bottom w:val="single" w:sz="4" w:space="0" w:color="auto"/>
              <w:right w:val="single" w:sz="4" w:space="0" w:color="auto"/>
            </w:tcBorders>
            <w:shd w:val="clear" w:color="auto" w:fill="auto"/>
            <w:noWrap/>
            <w:vAlign w:val="bottom"/>
            <w:hideMark/>
          </w:tcPr>
          <w:p w:rsidR="00E12A2E" w:rsidRPr="00F12E8B" w:rsidRDefault="00E12A2E" w:rsidP="00FC3D2C">
            <w:pPr>
              <w:spacing w:after="0" w:line="240" w:lineRule="auto"/>
              <w:jc w:val="center"/>
              <w:rPr>
                <w:rFonts w:ascii="Times New Roman" w:hAnsi="Times New Roman"/>
                <w:color w:val="000000"/>
                <w:sz w:val="20"/>
                <w:szCs w:val="20"/>
              </w:rPr>
            </w:pPr>
          </w:p>
        </w:tc>
      </w:tr>
    </w:tbl>
    <w:p w:rsidR="001C2BDA" w:rsidRPr="00F12E8B" w:rsidRDefault="001C2BDA" w:rsidP="00E27ADD">
      <w:pPr>
        <w:spacing w:after="0" w:line="240" w:lineRule="auto"/>
        <w:jc w:val="center"/>
        <w:rPr>
          <w:rFonts w:ascii="Times New Roman" w:hAnsi="Times New Roman"/>
          <w:sz w:val="20"/>
          <w:szCs w:val="20"/>
        </w:rPr>
      </w:pPr>
      <w:r w:rsidRPr="00F12E8B">
        <w:rPr>
          <w:rFonts w:ascii="Times New Roman" w:hAnsi="Times New Roman"/>
          <w:sz w:val="20"/>
          <w:szCs w:val="20"/>
        </w:rPr>
        <w:t>Source: Authors' calculations from published financial statements of the Greek Cooperative Banks.</w:t>
      </w:r>
    </w:p>
    <w:p w:rsidR="00E27ADD" w:rsidRPr="00F12E8B" w:rsidRDefault="00E27ADD" w:rsidP="001C2BDA">
      <w:pPr>
        <w:spacing w:after="0" w:line="240" w:lineRule="auto"/>
        <w:jc w:val="both"/>
        <w:rPr>
          <w:rFonts w:ascii="Times New Roman" w:hAnsi="Times New Roman"/>
          <w:sz w:val="20"/>
          <w:szCs w:val="20"/>
        </w:rPr>
      </w:pPr>
    </w:p>
    <w:p w:rsidR="00791C30" w:rsidRPr="00F12E8B" w:rsidRDefault="00485328" w:rsidP="00FC3D2C">
      <w:pPr>
        <w:spacing w:after="0" w:line="240" w:lineRule="auto"/>
        <w:jc w:val="center"/>
        <w:rPr>
          <w:rFonts w:ascii="Times New Roman" w:hAnsi="Times New Roman"/>
          <w:sz w:val="20"/>
          <w:szCs w:val="20"/>
        </w:rPr>
      </w:pPr>
      <w:r w:rsidRPr="00F12E8B">
        <w:rPr>
          <w:rFonts w:ascii="Times New Roman" w:hAnsi="Times New Roman"/>
          <w:sz w:val="20"/>
          <w:szCs w:val="20"/>
        </w:rPr>
        <w:t>Figure</w:t>
      </w:r>
      <w:r w:rsidR="0020626A" w:rsidRPr="00F12E8B">
        <w:rPr>
          <w:rFonts w:ascii="Times New Roman" w:hAnsi="Times New Roman"/>
          <w:sz w:val="20"/>
          <w:szCs w:val="20"/>
        </w:rPr>
        <w:t xml:space="preserve"> 3: </w:t>
      </w:r>
      <w:r w:rsidR="0020626A" w:rsidRPr="00F12E8B">
        <w:rPr>
          <w:rFonts w:ascii="Times New Roman" w:hAnsi="Times New Roman"/>
          <w:spacing w:val="3"/>
          <w:sz w:val="20"/>
          <w:szCs w:val="20"/>
          <w:shd w:val="clear" w:color="auto" w:fill="FFFFFF"/>
        </w:rPr>
        <w:t>(</w:t>
      </w:r>
      <w:r w:rsidR="0020626A" w:rsidRPr="00F12E8B">
        <w:rPr>
          <w:rFonts w:ascii="Times New Roman" w:hAnsi="Times New Roman"/>
          <w:sz w:val="20"/>
          <w:szCs w:val="20"/>
        </w:rPr>
        <w:t>CF</w:t>
      </w:r>
      <w:r w:rsidR="009E318D" w:rsidRPr="00F12E8B">
        <w:rPr>
          <w:rFonts w:ascii="Times New Roman" w:hAnsi="Times New Roman"/>
          <w:sz w:val="20"/>
          <w:szCs w:val="20"/>
        </w:rPr>
        <w:t>TL</w:t>
      </w:r>
      <w:r w:rsidR="0020626A" w:rsidRPr="00F12E8B">
        <w:rPr>
          <w:rFonts w:ascii="Times New Roman" w:hAnsi="Times New Roman"/>
          <w:sz w:val="20"/>
          <w:szCs w:val="20"/>
        </w:rPr>
        <w:t>CR)</w:t>
      </w:r>
      <w:r w:rsidR="00B72C7F" w:rsidRPr="00F12E8B">
        <w:rPr>
          <w:rFonts w:ascii="Times New Roman" w:hAnsi="Times New Roman"/>
          <w:sz w:val="20"/>
          <w:szCs w:val="20"/>
        </w:rPr>
        <w:t xml:space="preserve"> in %</w:t>
      </w:r>
      <w:r w:rsidR="007B7BDE" w:rsidRPr="00F12E8B">
        <w:rPr>
          <w:rFonts w:ascii="Times New Roman" w:hAnsi="Times New Roman"/>
          <w:sz w:val="20"/>
          <w:szCs w:val="20"/>
        </w:rPr>
        <w:t xml:space="preserve"> before and after the acquisition</w:t>
      </w:r>
    </w:p>
    <w:p w:rsidR="00791C30" w:rsidRPr="00F12E8B" w:rsidRDefault="00BE301A" w:rsidP="00E27ADD">
      <w:pPr>
        <w:spacing w:after="0" w:line="240" w:lineRule="auto"/>
        <w:jc w:val="center"/>
        <w:rPr>
          <w:rFonts w:ascii="Times New Roman" w:hAnsi="Times New Roman"/>
          <w:sz w:val="20"/>
          <w:szCs w:val="20"/>
        </w:rPr>
      </w:pPr>
      <w:r w:rsidRPr="00F12E8B">
        <w:rPr>
          <w:rFonts w:ascii="Times New Roman" w:hAnsi="Times New Roman"/>
          <w:noProof/>
          <w:sz w:val="20"/>
          <w:szCs w:val="20"/>
          <w:lang w:val="el-GR" w:eastAsia="el-GR"/>
        </w:rPr>
        <w:drawing>
          <wp:inline distT="0" distB="0" distL="0" distR="0">
            <wp:extent cx="4965667" cy="1745673"/>
            <wp:effectExtent l="19050" t="0" r="25433" b="6927"/>
            <wp:docPr id="12"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994764" w:rsidRPr="00F12E8B" w:rsidRDefault="00994764" w:rsidP="00E27ADD">
      <w:pPr>
        <w:spacing w:after="0" w:line="240" w:lineRule="auto"/>
        <w:jc w:val="center"/>
        <w:rPr>
          <w:rFonts w:ascii="Times New Roman" w:hAnsi="Times New Roman"/>
          <w:sz w:val="20"/>
          <w:szCs w:val="20"/>
        </w:rPr>
      </w:pPr>
      <w:r w:rsidRPr="00F12E8B">
        <w:rPr>
          <w:rFonts w:ascii="Times New Roman" w:hAnsi="Times New Roman"/>
          <w:sz w:val="20"/>
          <w:szCs w:val="20"/>
        </w:rPr>
        <w:t>Source: Table 3</w:t>
      </w:r>
    </w:p>
    <w:p w:rsidR="004E6E82" w:rsidRPr="00F12E8B" w:rsidRDefault="004E6E82" w:rsidP="004E6E82">
      <w:pPr>
        <w:spacing w:after="0" w:line="240" w:lineRule="auto"/>
        <w:jc w:val="both"/>
        <w:rPr>
          <w:rFonts w:ascii="Times New Roman" w:hAnsi="Times New Roman"/>
          <w:sz w:val="20"/>
          <w:szCs w:val="20"/>
        </w:rPr>
      </w:pPr>
      <w:r w:rsidRPr="00F12E8B">
        <w:rPr>
          <w:rFonts w:ascii="Times New Roman" w:hAnsi="Times New Roman"/>
          <w:sz w:val="20"/>
          <w:szCs w:val="20"/>
        </w:rPr>
        <w:t xml:space="preserve">From the </w:t>
      </w:r>
      <w:r w:rsidR="00B66835" w:rsidRPr="00F12E8B">
        <w:rPr>
          <w:rFonts w:ascii="Times New Roman" w:hAnsi="Times New Roman"/>
          <w:sz w:val="20"/>
          <w:szCs w:val="20"/>
        </w:rPr>
        <w:t xml:space="preserve">above </w:t>
      </w:r>
      <w:r w:rsidR="003B44D3">
        <w:rPr>
          <w:rFonts w:ascii="Times New Roman" w:hAnsi="Times New Roman"/>
          <w:sz w:val="20"/>
          <w:szCs w:val="20"/>
        </w:rPr>
        <w:t>table3, f</w:t>
      </w:r>
      <w:r w:rsidR="00485328" w:rsidRPr="00F12E8B">
        <w:rPr>
          <w:rFonts w:ascii="Times New Roman" w:hAnsi="Times New Roman"/>
          <w:sz w:val="20"/>
          <w:szCs w:val="20"/>
        </w:rPr>
        <w:t>igure</w:t>
      </w:r>
      <w:r w:rsidRPr="00F12E8B">
        <w:rPr>
          <w:rFonts w:ascii="Times New Roman" w:hAnsi="Times New Roman"/>
          <w:sz w:val="20"/>
          <w:szCs w:val="20"/>
        </w:rPr>
        <w:t xml:space="preserve"> 3 we observe that during the time period 2014-2016 before the acquisition the CFTLCR ratio for the target bank </w:t>
      </w:r>
      <w:r w:rsidR="00645EF0" w:rsidRPr="00F12E8B">
        <w:rPr>
          <w:rFonts w:ascii="Times New Roman" w:hAnsi="Times New Roman"/>
          <w:sz w:val="20"/>
          <w:szCs w:val="20"/>
        </w:rPr>
        <w:t>had great</w:t>
      </w:r>
      <w:r w:rsidR="000F1E5F" w:rsidRPr="00F12E8B">
        <w:rPr>
          <w:rFonts w:ascii="Times New Roman" w:hAnsi="Times New Roman"/>
          <w:sz w:val="20"/>
          <w:szCs w:val="20"/>
        </w:rPr>
        <w:t>er</w:t>
      </w:r>
      <w:r w:rsidR="00645EF0" w:rsidRPr="00F12E8B">
        <w:rPr>
          <w:rFonts w:ascii="Times New Roman" w:hAnsi="Times New Roman"/>
          <w:sz w:val="20"/>
          <w:szCs w:val="20"/>
        </w:rPr>
        <w:t xml:space="preserve"> volatility</w:t>
      </w:r>
      <w:r w:rsidRPr="00F12E8B">
        <w:rPr>
          <w:rFonts w:ascii="Times New Roman" w:hAnsi="Times New Roman"/>
          <w:sz w:val="20"/>
          <w:szCs w:val="20"/>
        </w:rPr>
        <w:t xml:space="preserve"> than the bidder's. </w:t>
      </w:r>
      <w:r w:rsidR="00645EF0" w:rsidRPr="00F12E8B">
        <w:rPr>
          <w:rFonts w:ascii="Times New Roman" w:hAnsi="Times New Roman"/>
          <w:sz w:val="20"/>
          <w:szCs w:val="20"/>
        </w:rPr>
        <w:t xml:space="preserve">The bidder had negative CFTLCR ratio. </w:t>
      </w:r>
      <w:r w:rsidRPr="00F12E8B">
        <w:rPr>
          <w:rFonts w:ascii="Times New Roman" w:hAnsi="Times New Roman"/>
          <w:sz w:val="20"/>
          <w:szCs w:val="20"/>
        </w:rPr>
        <w:t>After the acquisition the CFTLCR ratio of the bidder had increased in the year 2017</w:t>
      </w:r>
      <w:r w:rsidR="00645EF0" w:rsidRPr="00F12E8B">
        <w:rPr>
          <w:rFonts w:ascii="Times New Roman" w:hAnsi="Times New Roman"/>
          <w:sz w:val="20"/>
          <w:szCs w:val="20"/>
        </w:rPr>
        <w:t xml:space="preserve"> in </w:t>
      </w:r>
      <w:r w:rsidR="003634BF" w:rsidRPr="00F12E8B">
        <w:rPr>
          <w:rFonts w:ascii="Times New Roman" w:hAnsi="Times New Roman"/>
          <w:sz w:val="20"/>
          <w:szCs w:val="20"/>
        </w:rPr>
        <w:t xml:space="preserve">a </w:t>
      </w:r>
      <w:r w:rsidR="00645EF0" w:rsidRPr="00F12E8B">
        <w:rPr>
          <w:rFonts w:ascii="Times New Roman" w:hAnsi="Times New Roman"/>
          <w:sz w:val="20"/>
          <w:szCs w:val="20"/>
        </w:rPr>
        <w:t>very high level</w:t>
      </w:r>
      <w:r w:rsidRPr="00F12E8B">
        <w:rPr>
          <w:rFonts w:ascii="Times New Roman" w:hAnsi="Times New Roman"/>
          <w:sz w:val="20"/>
          <w:szCs w:val="20"/>
        </w:rPr>
        <w:t xml:space="preserve">, but afterwards it </w:t>
      </w:r>
      <w:r w:rsidR="004A0C8F" w:rsidRPr="00F12E8B">
        <w:rPr>
          <w:rFonts w:ascii="Times New Roman" w:hAnsi="Times New Roman"/>
          <w:sz w:val="20"/>
          <w:szCs w:val="20"/>
        </w:rPr>
        <w:t xml:space="preserve">had </w:t>
      </w:r>
      <w:r w:rsidR="003634BF" w:rsidRPr="00F12E8B">
        <w:rPr>
          <w:rFonts w:ascii="Times New Roman" w:hAnsi="Times New Roman"/>
          <w:sz w:val="20"/>
          <w:szCs w:val="20"/>
        </w:rPr>
        <w:t xml:space="preserve">a </w:t>
      </w:r>
      <w:r w:rsidR="004A0C8F" w:rsidRPr="00F12E8B">
        <w:rPr>
          <w:rFonts w:ascii="Times New Roman" w:hAnsi="Times New Roman"/>
          <w:sz w:val="20"/>
          <w:szCs w:val="20"/>
        </w:rPr>
        <w:t xml:space="preserve">downward trend and it </w:t>
      </w:r>
      <w:r w:rsidR="003634BF" w:rsidRPr="00F12E8B">
        <w:rPr>
          <w:rFonts w:ascii="Times New Roman" w:hAnsi="Times New Roman"/>
          <w:sz w:val="20"/>
          <w:szCs w:val="20"/>
        </w:rPr>
        <w:t>fell</w:t>
      </w:r>
      <w:r w:rsidRPr="00F12E8B">
        <w:rPr>
          <w:rFonts w:ascii="Times New Roman" w:hAnsi="Times New Roman"/>
          <w:sz w:val="20"/>
          <w:szCs w:val="20"/>
        </w:rPr>
        <w:t xml:space="preserve"> to low </w:t>
      </w:r>
      <w:r w:rsidR="004A0C8F" w:rsidRPr="00F12E8B">
        <w:rPr>
          <w:rFonts w:ascii="Times New Roman" w:hAnsi="Times New Roman"/>
          <w:sz w:val="20"/>
          <w:szCs w:val="20"/>
        </w:rPr>
        <w:t xml:space="preserve">negative </w:t>
      </w:r>
      <w:r w:rsidRPr="00F12E8B">
        <w:rPr>
          <w:rFonts w:ascii="Times New Roman" w:hAnsi="Times New Roman"/>
          <w:sz w:val="20"/>
          <w:szCs w:val="20"/>
        </w:rPr>
        <w:t>level as it was before the acquisition.</w:t>
      </w:r>
    </w:p>
    <w:p w:rsidR="00825B96" w:rsidRPr="00F12E8B" w:rsidRDefault="00825B96" w:rsidP="00FC3D2C">
      <w:pPr>
        <w:spacing w:after="0" w:line="240" w:lineRule="auto"/>
        <w:jc w:val="center"/>
        <w:rPr>
          <w:rFonts w:ascii="Times New Roman" w:hAnsi="Times New Roman"/>
          <w:sz w:val="20"/>
          <w:szCs w:val="20"/>
        </w:rPr>
      </w:pPr>
      <w:r w:rsidRPr="00F12E8B">
        <w:rPr>
          <w:rFonts w:ascii="Times New Roman" w:hAnsi="Times New Roman"/>
          <w:sz w:val="20"/>
          <w:szCs w:val="20"/>
        </w:rPr>
        <w:t xml:space="preserve">Table 4: </w:t>
      </w:r>
      <w:r w:rsidR="009401AE" w:rsidRPr="00F12E8B">
        <w:rPr>
          <w:rFonts w:ascii="Times New Roman" w:hAnsi="Times New Roman"/>
          <w:spacing w:val="3"/>
          <w:sz w:val="20"/>
          <w:szCs w:val="20"/>
          <w:shd w:val="clear" w:color="auto" w:fill="FFFFFF"/>
        </w:rPr>
        <w:t>(</w:t>
      </w:r>
      <w:r w:rsidR="009E318D" w:rsidRPr="00F12E8B">
        <w:rPr>
          <w:rFonts w:ascii="Times New Roman" w:hAnsi="Times New Roman"/>
          <w:spacing w:val="3"/>
          <w:sz w:val="20"/>
          <w:szCs w:val="20"/>
          <w:shd w:val="clear" w:color="auto" w:fill="FFFFFF"/>
        </w:rPr>
        <w:t>CF</w:t>
      </w:r>
      <w:r w:rsidRPr="00F12E8B">
        <w:rPr>
          <w:rFonts w:ascii="Times New Roman" w:hAnsi="Times New Roman"/>
          <w:spacing w:val="3"/>
          <w:sz w:val="20"/>
          <w:szCs w:val="20"/>
          <w:shd w:val="clear" w:color="auto" w:fill="FFFFFF"/>
        </w:rPr>
        <w:t>CLCR</w:t>
      </w:r>
      <w:r w:rsidR="009401AE" w:rsidRPr="00F12E8B">
        <w:rPr>
          <w:rFonts w:ascii="Times New Roman" w:hAnsi="Times New Roman"/>
          <w:spacing w:val="3"/>
          <w:sz w:val="20"/>
          <w:szCs w:val="20"/>
          <w:shd w:val="clear" w:color="auto" w:fill="FFFFFF"/>
        </w:rPr>
        <w:t>)</w:t>
      </w:r>
      <w:r w:rsidR="008471B8" w:rsidRPr="00F12E8B">
        <w:rPr>
          <w:rFonts w:ascii="Times New Roman" w:hAnsi="Times New Roman"/>
          <w:spacing w:val="3"/>
          <w:sz w:val="20"/>
          <w:szCs w:val="20"/>
          <w:shd w:val="clear" w:color="auto" w:fill="FFFFFF"/>
        </w:rPr>
        <w:t xml:space="preserve"> in %</w:t>
      </w:r>
      <w:r w:rsidR="007B7BDE" w:rsidRPr="00F12E8B">
        <w:rPr>
          <w:rFonts w:ascii="Times New Roman" w:hAnsi="Times New Roman"/>
          <w:sz w:val="20"/>
          <w:szCs w:val="20"/>
        </w:rPr>
        <w:t xml:space="preserve"> before and after the acquisition</w:t>
      </w:r>
    </w:p>
    <w:tbl>
      <w:tblPr>
        <w:tblW w:w="8163" w:type="dxa"/>
        <w:tblInd w:w="103" w:type="dxa"/>
        <w:tblLook w:val="04A0"/>
      </w:tblPr>
      <w:tblGrid>
        <w:gridCol w:w="1003"/>
        <w:gridCol w:w="3280"/>
        <w:gridCol w:w="3880"/>
      </w:tblGrid>
      <w:tr w:rsidR="00846005" w:rsidRPr="00F12E8B" w:rsidTr="00994764">
        <w:trPr>
          <w:trHeight w:val="315"/>
        </w:trPr>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005" w:rsidRPr="00F12E8B" w:rsidRDefault="00846005" w:rsidP="00846005">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YEARS</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46005" w:rsidRPr="00F12E8B" w:rsidRDefault="00846005" w:rsidP="00846005">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eastAsia="el-GR"/>
              </w:rPr>
              <w:t>CFLCR Cooperative Bank Dramas</w:t>
            </w:r>
          </w:p>
        </w:tc>
        <w:tc>
          <w:tcPr>
            <w:tcW w:w="3880" w:type="dxa"/>
            <w:tcBorders>
              <w:top w:val="single" w:sz="4" w:space="0" w:color="auto"/>
              <w:left w:val="nil"/>
              <w:bottom w:val="single" w:sz="4" w:space="0" w:color="auto"/>
              <w:right w:val="single" w:sz="4" w:space="0" w:color="auto"/>
            </w:tcBorders>
            <w:shd w:val="clear" w:color="auto" w:fill="auto"/>
            <w:noWrap/>
            <w:vAlign w:val="center"/>
            <w:hideMark/>
          </w:tcPr>
          <w:p w:rsidR="00846005" w:rsidRPr="00F12E8B" w:rsidRDefault="00846005" w:rsidP="00846005">
            <w:pPr>
              <w:spacing w:after="0" w:line="240" w:lineRule="auto"/>
              <w:jc w:val="center"/>
              <w:rPr>
                <w:rFonts w:ascii="Times New Roman" w:eastAsia="Times New Roman" w:hAnsi="Times New Roman"/>
                <w:color w:val="000000"/>
                <w:sz w:val="20"/>
                <w:szCs w:val="20"/>
                <w:lang w:eastAsia="el-GR"/>
              </w:rPr>
            </w:pPr>
            <w:r w:rsidRPr="00F12E8B">
              <w:rPr>
                <w:rFonts w:ascii="Times New Roman" w:eastAsia="Times New Roman" w:hAnsi="Times New Roman"/>
                <w:color w:val="000000"/>
                <w:sz w:val="20"/>
                <w:szCs w:val="20"/>
                <w:lang w:eastAsia="el-GR"/>
              </w:rPr>
              <w:t>CFCLCR Cooperative Bank Evros</w:t>
            </w:r>
          </w:p>
        </w:tc>
      </w:tr>
      <w:tr w:rsidR="00846005" w:rsidRPr="00F12E8B" w:rsidTr="00994764">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846005" w:rsidRPr="00F12E8B" w:rsidRDefault="00846005" w:rsidP="00846005">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2014</w:t>
            </w:r>
          </w:p>
        </w:tc>
        <w:tc>
          <w:tcPr>
            <w:tcW w:w="3280" w:type="dxa"/>
            <w:tcBorders>
              <w:top w:val="nil"/>
              <w:left w:val="nil"/>
              <w:bottom w:val="single" w:sz="4" w:space="0" w:color="auto"/>
              <w:right w:val="single" w:sz="4" w:space="0" w:color="auto"/>
            </w:tcBorders>
            <w:shd w:val="clear" w:color="auto" w:fill="auto"/>
            <w:noWrap/>
            <w:vAlign w:val="center"/>
            <w:hideMark/>
          </w:tcPr>
          <w:p w:rsidR="00846005" w:rsidRPr="00F12E8B" w:rsidRDefault="00846005" w:rsidP="00846005">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-3</w:t>
            </w:r>
          </w:p>
        </w:tc>
        <w:tc>
          <w:tcPr>
            <w:tcW w:w="3880" w:type="dxa"/>
            <w:tcBorders>
              <w:top w:val="nil"/>
              <w:left w:val="nil"/>
              <w:bottom w:val="single" w:sz="4" w:space="0" w:color="auto"/>
              <w:right w:val="single" w:sz="4" w:space="0" w:color="auto"/>
            </w:tcBorders>
            <w:shd w:val="clear" w:color="auto" w:fill="auto"/>
            <w:noWrap/>
            <w:vAlign w:val="center"/>
            <w:hideMark/>
          </w:tcPr>
          <w:p w:rsidR="00846005" w:rsidRPr="00F12E8B" w:rsidRDefault="00846005" w:rsidP="00846005">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5</w:t>
            </w:r>
          </w:p>
        </w:tc>
      </w:tr>
      <w:tr w:rsidR="00846005" w:rsidRPr="00F12E8B" w:rsidTr="00994764">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846005" w:rsidRPr="00F12E8B" w:rsidRDefault="00846005" w:rsidP="00846005">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2015</w:t>
            </w:r>
          </w:p>
        </w:tc>
        <w:tc>
          <w:tcPr>
            <w:tcW w:w="3280" w:type="dxa"/>
            <w:tcBorders>
              <w:top w:val="nil"/>
              <w:left w:val="nil"/>
              <w:bottom w:val="single" w:sz="4" w:space="0" w:color="auto"/>
              <w:right w:val="single" w:sz="4" w:space="0" w:color="auto"/>
            </w:tcBorders>
            <w:shd w:val="clear" w:color="auto" w:fill="auto"/>
            <w:noWrap/>
            <w:vAlign w:val="center"/>
            <w:hideMark/>
          </w:tcPr>
          <w:p w:rsidR="00846005" w:rsidRPr="00F12E8B" w:rsidRDefault="00846005" w:rsidP="00846005">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-1</w:t>
            </w:r>
          </w:p>
        </w:tc>
        <w:tc>
          <w:tcPr>
            <w:tcW w:w="3880" w:type="dxa"/>
            <w:tcBorders>
              <w:top w:val="nil"/>
              <w:left w:val="nil"/>
              <w:bottom w:val="single" w:sz="4" w:space="0" w:color="auto"/>
              <w:right w:val="single" w:sz="4" w:space="0" w:color="auto"/>
            </w:tcBorders>
            <w:shd w:val="clear" w:color="auto" w:fill="auto"/>
            <w:noWrap/>
            <w:vAlign w:val="center"/>
            <w:hideMark/>
          </w:tcPr>
          <w:p w:rsidR="00846005" w:rsidRPr="00F12E8B" w:rsidRDefault="00846005" w:rsidP="00846005">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-3</w:t>
            </w:r>
          </w:p>
        </w:tc>
      </w:tr>
      <w:tr w:rsidR="00846005" w:rsidRPr="00F12E8B" w:rsidTr="00994764">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846005" w:rsidRPr="00F12E8B" w:rsidRDefault="00846005" w:rsidP="00846005">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2016</w:t>
            </w:r>
          </w:p>
        </w:tc>
        <w:tc>
          <w:tcPr>
            <w:tcW w:w="3280" w:type="dxa"/>
            <w:tcBorders>
              <w:top w:val="nil"/>
              <w:left w:val="nil"/>
              <w:bottom w:val="single" w:sz="4" w:space="0" w:color="auto"/>
              <w:right w:val="single" w:sz="4" w:space="0" w:color="auto"/>
            </w:tcBorders>
            <w:shd w:val="clear" w:color="auto" w:fill="auto"/>
            <w:noWrap/>
            <w:vAlign w:val="center"/>
            <w:hideMark/>
          </w:tcPr>
          <w:p w:rsidR="00846005" w:rsidRPr="00F12E8B" w:rsidRDefault="00846005" w:rsidP="00846005">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3</w:t>
            </w:r>
          </w:p>
        </w:tc>
        <w:tc>
          <w:tcPr>
            <w:tcW w:w="3880" w:type="dxa"/>
            <w:tcBorders>
              <w:top w:val="nil"/>
              <w:left w:val="nil"/>
              <w:bottom w:val="single" w:sz="4" w:space="0" w:color="auto"/>
              <w:right w:val="single" w:sz="4" w:space="0" w:color="auto"/>
            </w:tcBorders>
            <w:shd w:val="clear" w:color="auto" w:fill="auto"/>
            <w:noWrap/>
            <w:vAlign w:val="center"/>
            <w:hideMark/>
          </w:tcPr>
          <w:p w:rsidR="00846005" w:rsidRPr="00F12E8B" w:rsidRDefault="00846005" w:rsidP="00846005">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7</w:t>
            </w:r>
          </w:p>
        </w:tc>
      </w:tr>
      <w:tr w:rsidR="00846005" w:rsidRPr="00F12E8B" w:rsidTr="00994764">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846005" w:rsidRPr="00F12E8B" w:rsidRDefault="00846005" w:rsidP="00846005">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2017</w:t>
            </w:r>
          </w:p>
        </w:tc>
        <w:tc>
          <w:tcPr>
            <w:tcW w:w="3280" w:type="dxa"/>
            <w:tcBorders>
              <w:top w:val="nil"/>
              <w:left w:val="nil"/>
              <w:bottom w:val="single" w:sz="4" w:space="0" w:color="auto"/>
              <w:right w:val="single" w:sz="4" w:space="0" w:color="auto"/>
            </w:tcBorders>
            <w:shd w:val="clear" w:color="auto" w:fill="auto"/>
            <w:noWrap/>
            <w:vAlign w:val="center"/>
            <w:hideMark/>
          </w:tcPr>
          <w:p w:rsidR="00846005" w:rsidRPr="00F12E8B" w:rsidRDefault="00846005" w:rsidP="00846005">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5</w:t>
            </w:r>
          </w:p>
        </w:tc>
        <w:tc>
          <w:tcPr>
            <w:tcW w:w="3880" w:type="dxa"/>
            <w:tcBorders>
              <w:top w:val="nil"/>
              <w:left w:val="nil"/>
              <w:bottom w:val="single" w:sz="4" w:space="0" w:color="auto"/>
              <w:right w:val="single" w:sz="4" w:space="0" w:color="auto"/>
            </w:tcBorders>
            <w:shd w:val="clear" w:color="auto" w:fill="auto"/>
            <w:noWrap/>
            <w:vAlign w:val="center"/>
            <w:hideMark/>
          </w:tcPr>
          <w:p w:rsidR="00846005" w:rsidRPr="00F12E8B" w:rsidRDefault="00846005" w:rsidP="00846005">
            <w:pPr>
              <w:spacing w:after="0" w:line="240" w:lineRule="auto"/>
              <w:jc w:val="center"/>
              <w:rPr>
                <w:rFonts w:ascii="Times New Roman" w:eastAsia="Times New Roman" w:hAnsi="Times New Roman"/>
                <w:color w:val="000000"/>
                <w:sz w:val="20"/>
                <w:szCs w:val="20"/>
                <w:lang w:eastAsia="el-GR"/>
              </w:rPr>
            </w:pPr>
          </w:p>
        </w:tc>
      </w:tr>
      <w:tr w:rsidR="00846005" w:rsidRPr="00F12E8B" w:rsidTr="00994764">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846005" w:rsidRPr="00F12E8B" w:rsidRDefault="00846005" w:rsidP="00846005">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2018</w:t>
            </w:r>
          </w:p>
        </w:tc>
        <w:tc>
          <w:tcPr>
            <w:tcW w:w="3280" w:type="dxa"/>
            <w:tcBorders>
              <w:top w:val="nil"/>
              <w:left w:val="nil"/>
              <w:bottom w:val="single" w:sz="4" w:space="0" w:color="auto"/>
              <w:right w:val="single" w:sz="4" w:space="0" w:color="auto"/>
            </w:tcBorders>
            <w:shd w:val="clear" w:color="auto" w:fill="auto"/>
            <w:noWrap/>
            <w:vAlign w:val="center"/>
            <w:hideMark/>
          </w:tcPr>
          <w:p w:rsidR="00846005" w:rsidRPr="00F12E8B" w:rsidRDefault="00846005" w:rsidP="00846005">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4</w:t>
            </w:r>
          </w:p>
        </w:tc>
        <w:tc>
          <w:tcPr>
            <w:tcW w:w="3880" w:type="dxa"/>
            <w:tcBorders>
              <w:top w:val="nil"/>
              <w:left w:val="nil"/>
              <w:bottom w:val="single" w:sz="4" w:space="0" w:color="auto"/>
              <w:right w:val="single" w:sz="4" w:space="0" w:color="auto"/>
            </w:tcBorders>
            <w:shd w:val="clear" w:color="auto" w:fill="auto"/>
            <w:noWrap/>
            <w:vAlign w:val="center"/>
            <w:hideMark/>
          </w:tcPr>
          <w:p w:rsidR="00846005" w:rsidRPr="00F12E8B" w:rsidRDefault="00846005" w:rsidP="00846005">
            <w:pPr>
              <w:spacing w:after="0" w:line="240" w:lineRule="auto"/>
              <w:jc w:val="center"/>
              <w:rPr>
                <w:rFonts w:ascii="Times New Roman" w:eastAsia="Times New Roman" w:hAnsi="Times New Roman"/>
                <w:color w:val="000000"/>
                <w:sz w:val="20"/>
                <w:szCs w:val="20"/>
                <w:lang w:eastAsia="el-GR"/>
              </w:rPr>
            </w:pPr>
          </w:p>
        </w:tc>
      </w:tr>
      <w:tr w:rsidR="00846005" w:rsidRPr="00F12E8B" w:rsidTr="00994764">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846005" w:rsidRPr="00F12E8B" w:rsidRDefault="00846005" w:rsidP="00846005">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2019</w:t>
            </w:r>
          </w:p>
        </w:tc>
        <w:tc>
          <w:tcPr>
            <w:tcW w:w="3280" w:type="dxa"/>
            <w:tcBorders>
              <w:top w:val="nil"/>
              <w:left w:val="nil"/>
              <w:bottom w:val="single" w:sz="4" w:space="0" w:color="auto"/>
              <w:right w:val="single" w:sz="4" w:space="0" w:color="auto"/>
            </w:tcBorders>
            <w:shd w:val="clear" w:color="auto" w:fill="auto"/>
            <w:noWrap/>
            <w:vAlign w:val="center"/>
            <w:hideMark/>
          </w:tcPr>
          <w:p w:rsidR="00846005" w:rsidRPr="00F12E8B" w:rsidRDefault="00846005" w:rsidP="00846005">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-1</w:t>
            </w:r>
          </w:p>
        </w:tc>
        <w:tc>
          <w:tcPr>
            <w:tcW w:w="3880" w:type="dxa"/>
            <w:tcBorders>
              <w:top w:val="nil"/>
              <w:left w:val="nil"/>
              <w:bottom w:val="single" w:sz="4" w:space="0" w:color="auto"/>
              <w:right w:val="single" w:sz="4" w:space="0" w:color="auto"/>
            </w:tcBorders>
            <w:shd w:val="clear" w:color="auto" w:fill="auto"/>
            <w:noWrap/>
            <w:vAlign w:val="center"/>
            <w:hideMark/>
          </w:tcPr>
          <w:p w:rsidR="00846005" w:rsidRPr="00F12E8B" w:rsidRDefault="00846005" w:rsidP="00846005">
            <w:pPr>
              <w:spacing w:after="0" w:line="240" w:lineRule="auto"/>
              <w:jc w:val="center"/>
              <w:rPr>
                <w:rFonts w:ascii="Times New Roman" w:eastAsia="Times New Roman" w:hAnsi="Times New Roman"/>
                <w:color w:val="000000"/>
                <w:sz w:val="20"/>
                <w:szCs w:val="20"/>
                <w:lang w:eastAsia="el-GR"/>
              </w:rPr>
            </w:pPr>
          </w:p>
        </w:tc>
      </w:tr>
      <w:tr w:rsidR="00846005" w:rsidRPr="00F12E8B" w:rsidTr="00994764">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846005" w:rsidRPr="00F12E8B" w:rsidRDefault="00846005" w:rsidP="00846005">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2020</w:t>
            </w:r>
          </w:p>
        </w:tc>
        <w:tc>
          <w:tcPr>
            <w:tcW w:w="3280" w:type="dxa"/>
            <w:tcBorders>
              <w:top w:val="nil"/>
              <w:left w:val="nil"/>
              <w:bottom w:val="single" w:sz="4" w:space="0" w:color="auto"/>
              <w:right w:val="single" w:sz="4" w:space="0" w:color="auto"/>
            </w:tcBorders>
            <w:shd w:val="clear" w:color="auto" w:fill="auto"/>
            <w:noWrap/>
            <w:vAlign w:val="center"/>
            <w:hideMark/>
          </w:tcPr>
          <w:p w:rsidR="00846005" w:rsidRPr="00F12E8B" w:rsidRDefault="00846005" w:rsidP="00846005">
            <w:pPr>
              <w:spacing w:after="0" w:line="240" w:lineRule="auto"/>
              <w:jc w:val="center"/>
              <w:rPr>
                <w:rFonts w:ascii="Times New Roman" w:eastAsia="Times New Roman" w:hAnsi="Times New Roman"/>
                <w:color w:val="000000"/>
                <w:sz w:val="20"/>
                <w:szCs w:val="20"/>
                <w:lang w:val="el-GR" w:eastAsia="el-GR"/>
              </w:rPr>
            </w:pPr>
            <w:r w:rsidRPr="00F12E8B">
              <w:rPr>
                <w:rFonts w:ascii="Times New Roman" w:eastAsia="Times New Roman" w:hAnsi="Times New Roman"/>
                <w:color w:val="000000"/>
                <w:sz w:val="20"/>
                <w:szCs w:val="20"/>
                <w:lang w:val="el-GR" w:eastAsia="el-GR"/>
              </w:rPr>
              <w:t>-2</w:t>
            </w:r>
          </w:p>
        </w:tc>
        <w:tc>
          <w:tcPr>
            <w:tcW w:w="3880" w:type="dxa"/>
            <w:tcBorders>
              <w:top w:val="nil"/>
              <w:left w:val="nil"/>
              <w:bottom w:val="single" w:sz="4" w:space="0" w:color="auto"/>
              <w:right w:val="single" w:sz="4" w:space="0" w:color="auto"/>
            </w:tcBorders>
            <w:shd w:val="clear" w:color="auto" w:fill="auto"/>
            <w:noWrap/>
            <w:vAlign w:val="center"/>
            <w:hideMark/>
          </w:tcPr>
          <w:p w:rsidR="00846005" w:rsidRPr="00F12E8B" w:rsidRDefault="00846005" w:rsidP="00846005">
            <w:pPr>
              <w:spacing w:after="0" w:line="240" w:lineRule="auto"/>
              <w:jc w:val="center"/>
              <w:rPr>
                <w:rFonts w:ascii="Times New Roman" w:eastAsia="Times New Roman" w:hAnsi="Times New Roman"/>
                <w:color w:val="000000"/>
                <w:sz w:val="20"/>
                <w:szCs w:val="20"/>
                <w:lang w:eastAsia="el-GR"/>
              </w:rPr>
            </w:pPr>
          </w:p>
        </w:tc>
      </w:tr>
    </w:tbl>
    <w:p w:rsidR="001C2BDA" w:rsidRPr="00F12E8B" w:rsidRDefault="001C2BDA" w:rsidP="00E27ADD">
      <w:pPr>
        <w:spacing w:after="0" w:line="240" w:lineRule="auto"/>
        <w:jc w:val="center"/>
        <w:rPr>
          <w:rFonts w:ascii="Times New Roman" w:hAnsi="Times New Roman"/>
          <w:sz w:val="20"/>
          <w:szCs w:val="20"/>
        </w:rPr>
      </w:pPr>
      <w:r w:rsidRPr="00F12E8B">
        <w:rPr>
          <w:rFonts w:ascii="Times New Roman" w:hAnsi="Times New Roman"/>
          <w:sz w:val="20"/>
          <w:szCs w:val="20"/>
        </w:rPr>
        <w:t>Source: Authors' calculations from published financial statements of the Greek Cooperative Banks.</w:t>
      </w:r>
    </w:p>
    <w:p w:rsidR="00825B96" w:rsidRPr="00F12E8B" w:rsidRDefault="00485328" w:rsidP="00FC3D2C">
      <w:pPr>
        <w:spacing w:after="0" w:line="240" w:lineRule="auto"/>
        <w:jc w:val="center"/>
        <w:rPr>
          <w:rFonts w:ascii="Times New Roman" w:hAnsi="Times New Roman"/>
          <w:sz w:val="20"/>
          <w:szCs w:val="20"/>
        </w:rPr>
      </w:pPr>
      <w:r w:rsidRPr="00F12E8B">
        <w:rPr>
          <w:rFonts w:ascii="Times New Roman" w:hAnsi="Times New Roman"/>
          <w:sz w:val="20"/>
          <w:szCs w:val="20"/>
        </w:rPr>
        <w:lastRenderedPageBreak/>
        <w:t>Figure</w:t>
      </w:r>
      <w:r w:rsidR="00846005" w:rsidRPr="00F12E8B">
        <w:rPr>
          <w:rFonts w:ascii="Times New Roman" w:hAnsi="Times New Roman"/>
          <w:sz w:val="20"/>
          <w:szCs w:val="20"/>
        </w:rPr>
        <w:t xml:space="preserve"> 4: </w:t>
      </w:r>
      <w:r w:rsidR="00846005" w:rsidRPr="00F12E8B">
        <w:rPr>
          <w:rFonts w:ascii="Times New Roman" w:hAnsi="Times New Roman"/>
          <w:spacing w:val="3"/>
          <w:sz w:val="20"/>
          <w:szCs w:val="20"/>
          <w:shd w:val="clear" w:color="auto" w:fill="FFFFFF"/>
        </w:rPr>
        <w:t>(CFCLCR)</w:t>
      </w:r>
      <w:r w:rsidR="008471B8" w:rsidRPr="00F12E8B">
        <w:rPr>
          <w:rFonts w:ascii="Times New Roman" w:hAnsi="Times New Roman"/>
          <w:spacing w:val="3"/>
          <w:sz w:val="20"/>
          <w:szCs w:val="20"/>
          <w:shd w:val="clear" w:color="auto" w:fill="FFFFFF"/>
        </w:rPr>
        <w:t xml:space="preserve"> in %</w:t>
      </w:r>
      <w:r w:rsidR="007B7BDE" w:rsidRPr="00F12E8B">
        <w:rPr>
          <w:rFonts w:ascii="Times New Roman" w:hAnsi="Times New Roman"/>
          <w:sz w:val="20"/>
          <w:szCs w:val="20"/>
        </w:rPr>
        <w:t xml:space="preserve"> before and after the acquisition</w:t>
      </w:r>
    </w:p>
    <w:p w:rsidR="00825B96" w:rsidRPr="00F12E8B" w:rsidRDefault="00DC3480" w:rsidP="00554446">
      <w:pPr>
        <w:spacing w:after="0" w:line="240" w:lineRule="auto"/>
        <w:jc w:val="both"/>
        <w:rPr>
          <w:rFonts w:ascii="Times New Roman" w:hAnsi="Times New Roman"/>
          <w:sz w:val="20"/>
          <w:szCs w:val="20"/>
        </w:rPr>
      </w:pPr>
      <w:r w:rsidRPr="00F12E8B">
        <w:rPr>
          <w:rFonts w:ascii="Times New Roman" w:hAnsi="Times New Roman"/>
          <w:noProof/>
          <w:sz w:val="20"/>
          <w:szCs w:val="20"/>
          <w:lang w:val="el-GR" w:eastAsia="el-GR"/>
        </w:rPr>
        <w:drawing>
          <wp:inline distT="0" distB="0" distL="0" distR="0">
            <wp:extent cx="5172850" cy="1787237"/>
            <wp:effectExtent l="19050" t="0" r="27800" b="3463"/>
            <wp:docPr id="13" name="Γράφημα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994764" w:rsidRPr="00F12E8B" w:rsidRDefault="00994764" w:rsidP="00E27ADD">
      <w:pPr>
        <w:spacing w:after="0" w:line="240" w:lineRule="auto"/>
        <w:jc w:val="center"/>
        <w:rPr>
          <w:rFonts w:ascii="Times New Roman" w:hAnsi="Times New Roman"/>
          <w:sz w:val="20"/>
          <w:szCs w:val="20"/>
        </w:rPr>
      </w:pPr>
      <w:r w:rsidRPr="00F12E8B">
        <w:rPr>
          <w:rFonts w:ascii="Times New Roman" w:hAnsi="Times New Roman"/>
          <w:sz w:val="20"/>
          <w:szCs w:val="20"/>
        </w:rPr>
        <w:t>Source: Table 4</w:t>
      </w:r>
    </w:p>
    <w:p w:rsidR="00E27ADD" w:rsidRPr="00F12E8B" w:rsidRDefault="00E27ADD" w:rsidP="00033AA5">
      <w:pPr>
        <w:spacing w:after="0" w:line="240" w:lineRule="auto"/>
        <w:jc w:val="both"/>
        <w:rPr>
          <w:rFonts w:ascii="Times New Roman" w:hAnsi="Times New Roman"/>
          <w:sz w:val="20"/>
          <w:szCs w:val="20"/>
        </w:rPr>
      </w:pPr>
    </w:p>
    <w:p w:rsidR="00033AA5" w:rsidRPr="00F12E8B" w:rsidRDefault="00033AA5" w:rsidP="00033AA5">
      <w:pPr>
        <w:spacing w:after="0" w:line="240" w:lineRule="auto"/>
        <w:jc w:val="both"/>
        <w:rPr>
          <w:rFonts w:ascii="Times New Roman" w:hAnsi="Times New Roman"/>
          <w:sz w:val="20"/>
          <w:szCs w:val="20"/>
        </w:rPr>
      </w:pPr>
      <w:r w:rsidRPr="00F12E8B">
        <w:rPr>
          <w:rFonts w:ascii="Times New Roman" w:hAnsi="Times New Roman"/>
          <w:sz w:val="20"/>
          <w:szCs w:val="20"/>
        </w:rPr>
        <w:t xml:space="preserve">From the </w:t>
      </w:r>
      <w:r w:rsidR="00B66835" w:rsidRPr="00F12E8B">
        <w:rPr>
          <w:rFonts w:ascii="Times New Roman" w:hAnsi="Times New Roman"/>
          <w:sz w:val="20"/>
          <w:szCs w:val="20"/>
        </w:rPr>
        <w:t xml:space="preserve">above </w:t>
      </w:r>
      <w:r w:rsidR="003B44D3">
        <w:rPr>
          <w:rFonts w:ascii="Times New Roman" w:hAnsi="Times New Roman"/>
          <w:sz w:val="20"/>
          <w:szCs w:val="20"/>
        </w:rPr>
        <w:t>table 4, f</w:t>
      </w:r>
      <w:r w:rsidR="00485328" w:rsidRPr="00F12E8B">
        <w:rPr>
          <w:rFonts w:ascii="Times New Roman" w:hAnsi="Times New Roman"/>
          <w:sz w:val="20"/>
          <w:szCs w:val="20"/>
        </w:rPr>
        <w:t>igure</w:t>
      </w:r>
      <w:r w:rsidRPr="00F12E8B">
        <w:rPr>
          <w:rFonts w:ascii="Times New Roman" w:hAnsi="Times New Roman"/>
          <w:sz w:val="20"/>
          <w:szCs w:val="20"/>
        </w:rPr>
        <w:t xml:space="preserve"> </w:t>
      </w:r>
      <w:r w:rsidR="000F1E5F" w:rsidRPr="00F12E8B">
        <w:rPr>
          <w:rFonts w:ascii="Times New Roman" w:hAnsi="Times New Roman"/>
          <w:sz w:val="20"/>
          <w:szCs w:val="20"/>
        </w:rPr>
        <w:t>4</w:t>
      </w:r>
      <w:r w:rsidRPr="00F12E8B">
        <w:rPr>
          <w:rFonts w:ascii="Times New Roman" w:hAnsi="Times New Roman"/>
          <w:sz w:val="20"/>
          <w:szCs w:val="20"/>
        </w:rPr>
        <w:t xml:space="preserve"> we observe that during the time period 2014-2016 before the acquisition the </w:t>
      </w:r>
      <w:r w:rsidRPr="00F12E8B">
        <w:rPr>
          <w:rFonts w:ascii="Times New Roman" w:hAnsi="Times New Roman"/>
          <w:spacing w:val="3"/>
          <w:sz w:val="20"/>
          <w:szCs w:val="20"/>
          <w:shd w:val="clear" w:color="auto" w:fill="FFFFFF"/>
        </w:rPr>
        <w:t>CFCLCR</w:t>
      </w:r>
      <w:r w:rsidRPr="00F12E8B">
        <w:rPr>
          <w:rFonts w:ascii="Times New Roman" w:hAnsi="Times New Roman"/>
          <w:sz w:val="20"/>
          <w:szCs w:val="20"/>
        </w:rPr>
        <w:t xml:space="preserve"> ratio for the target bank had great</w:t>
      </w:r>
      <w:r w:rsidR="000F1E5F" w:rsidRPr="00F12E8B">
        <w:rPr>
          <w:rFonts w:ascii="Times New Roman" w:hAnsi="Times New Roman"/>
          <w:sz w:val="20"/>
          <w:szCs w:val="20"/>
        </w:rPr>
        <w:t>er</w:t>
      </w:r>
      <w:r w:rsidRPr="00F12E8B">
        <w:rPr>
          <w:rFonts w:ascii="Times New Roman" w:hAnsi="Times New Roman"/>
          <w:sz w:val="20"/>
          <w:szCs w:val="20"/>
        </w:rPr>
        <w:t xml:space="preserve"> volatility than the bidder's. The bidder had negative </w:t>
      </w:r>
      <w:r w:rsidRPr="00F12E8B">
        <w:rPr>
          <w:rFonts w:ascii="Times New Roman" w:hAnsi="Times New Roman"/>
          <w:spacing w:val="3"/>
          <w:sz w:val="20"/>
          <w:szCs w:val="20"/>
          <w:shd w:val="clear" w:color="auto" w:fill="FFFFFF"/>
        </w:rPr>
        <w:t>CFCLCR</w:t>
      </w:r>
      <w:r w:rsidRPr="00F12E8B">
        <w:rPr>
          <w:rFonts w:ascii="Times New Roman" w:hAnsi="Times New Roman"/>
          <w:sz w:val="20"/>
          <w:szCs w:val="20"/>
        </w:rPr>
        <w:t xml:space="preserve"> ratio at the first two years before the acquisition took place. After the acquisition the CFTLCR ratio of the bidder had increased in the year 2017 in </w:t>
      </w:r>
      <w:r w:rsidR="004A0C8F" w:rsidRPr="00F12E8B">
        <w:rPr>
          <w:rFonts w:ascii="Times New Roman" w:hAnsi="Times New Roman"/>
          <w:sz w:val="20"/>
          <w:szCs w:val="20"/>
        </w:rPr>
        <w:t>a</w:t>
      </w:r>
      <w:r w:rsidRPr="00F12E8B">
        <w:rPr>
          <w:rFonts w:ascii="Times New Roman" w:hAnsi="Times New Roman"/>
          <w:sz w:val="20"/>
          <w:szCs w:val="20"/>
        </w:rPr>
        <w:t xml:space="preserve"> high level, but afterwards </w:t>
      </w:r>
      <w:r w:rsidR="004A0C8F" w:rsidRPr="00F12E8B">
        <w:rPr>
          <w:rFonts w:ascii="Times New Roman" w:hAnsi="Times New Roman"/>
          <w:sz w:val="20"/>
          <w:szCs w:val="20"/>
        </w:rPr>
        <w:t xml:space="preserve">it had </w:t>
      </w:r>
      <w:r w:rsidR="003634BF" w:rsidRPr="00F12E8B">
        <w:rPr>
          <w:rFonts w:ascii="Times New Roman" w:hAnsi="Times New Roman"/>
          <w:sz w:val="20"/>
          <w:szCs w:val="20"/>
        </w:rPr>
        <w:t xml:space="preserve">a </w:t>
      </w:r>
      <w:r w:rsidR="004A0C8F" w:rsidRPr="00F12E8B">
        <w:rPr>
          <w:rFonts w:ascii="Times New Roman" w:hAnsi="Times New Roman"/>
          <w:sz w:val="20"/>
          <w:szCs w:val="20"/>
        </w:rPr>
        <w:t xml:space="preserve">downward trend and </w:t>
      </w:r>
      <w:r w:rsidRPr="00F12E8B">
        <w:rPr>
          <w:rFonts w:ascii="Times New Roman" w:hAnsi="Times New Roman"/>
          <w:sz w:val="20"/>
          <w:szCs w:val="20"/>
        </w:rPr>
        <w:t>the years 2019 and 2020</w:t>
      </w:r>
      <w:r w:rsidR="003634BF" w:rsidRPr="00F12E8B">
        <w:rPr>
          <w:rFonts w:ascii="Times New Roman" w:hAnsi="Times New Roman"/>
          <w:sz w:val="20"/>
          <w:szCs w:val="20"/>
        </w:rPr>
        <w:t xml:space="preserve"> fell</w:t>
      </w:r>
      <w:r w:rsidRPr="00F12E8B">
        <w:rPr>
          <w:rFonts w:ascii="Times New Roman" w:hAnsi="Times New Roman"/>
          <w:sz w:val="20"/>
          <w:szCs w:val="20"/>
        </w:rPr>
        <w:t xml:space="preserve"> to </w:t>
      </w:r>
      <w:r w:rsidR="004A0C8F" w:rsidRPr="00F12E8B">
        <w:rPr>
          <w:rFonts w:ascii="Times New Roman" w:hAnsi="Times New Roman"/>
          <w:sz w:val="20"/>
          <w:szCs w:val="20"/>
        </w:rPr>
        <w:t>negative</w:t>
      </w:r>
      <w:r w:rsidRPr="00F12E8B">
        <w:rPr>
          <w:rFonts w:ascii="Times New Roman" w:hAnsi="Times New Roman"/>
          <w:sz w:val="20"/>
          <w:szCs w:val="20"/>
        </w:rPr>
        <w:t xml:space="preserve"> level as it was before the acquisition.</w:t>
      </w:r>
    </w:p>
    <w:p w:rsidR="00E27ADD" w:rsidRPr="00F12E8B" w:rsidRDefault="00E27ADD" w:rsidP="00033AA5">
      <w:pPr>
        <w:spacing w:after="0" w:line="240" w:lineRule="auto"/>
        <w:jc w:val="both"/>
        <w:rPr>
          <w:rFonts w:ascii="Times New Roman" w:hAnsi="Times New Roman"/>
          <w:sz w:val="20"/>
          <w:szCs w:val="20"/>
        </w:rPr>
      </w:pPr>
    </w:p>
    <w:p w:rsidR="00994764" w:rsidRPr="00F12E8B" w:rsidRDefault="00994764" w:rsidP="00FC3D2C">
      <w:pPr>
        <w:spacing w:after="0" w:line="240" w:lineRule="auto"/>
        <w:jc w:val="center"/>
        <w:rPr>
          <w:rFonts w:ascii="Times New Roman" w:hAnsi="Times New Roman"/>
          <w:sz w:val="20"/>
          <w:szCs w:val="20"/>
        </w:rPr>
      </w:pPr>
      <w:r w:rsidRPr="00F12E8B">
        <w:rPr>
          <w:rFonts w:ascii="Times New Roman" w:hAnsi="Times New Roman"/>
          <w:sz w:val="20"/>
          <w:szCs w:val="20"/>
        </w:rPr>
        <w:t xml:space="preserve">Table 5: </w:t>
      </w:r>
      <w:r w:rsidRPr="00F12E8B">
        <w:rPr>
          <w:rFonts w:ascii="Times New Roman" w:hAnsi="Times New Roman"/>
          <w:bCs/>
          <w:spacing w:val="7"/>
          <w:sz w:val="20"/>
          <w:szCs w:val="20"/>
        </w:rPr>
        <w:t xml:space="preserve">Cash Flow Margin Ratio </w:t>
      </w:r>
      <w:r w:rsidRPr="00F12E8B">
        <w:rPr>
          <w:rFonts w:ascii="Times New Roman" w:hAnsi="Times New Roman"/>
          <w:sz w:val="20"/>
          <w:szCs w:val="20"/>
        </w:rPr>
        <w:t>(CFMR)</w:t>
      </w:r>
      <w:r w:rsidR="007B7BDE" w:rsidRPr="00F12E8B">
        <w:rPr>
          <w:rFonts w:ascii="Times New Roman" w:hAnsi="Times New Roman"/>
          <w:sz w:val="20"/>
          <w:szCs w:val="20"/>
        </w:rPr>
        <w:t xml:space="preserve"> before and after the acquisition</w:t>
      </w:r>
    </w:p>
    <w:tbl>
      <w:tblPr>
        <w:tblW w:w="0" w:type="auto"/>
        <w:jc w:val="center"/>
        <w:tblInd w:w="103" w:type="dxa"/>
        <w:tblLook w:val="04A0"/>
      </w:tblPr>
      <w:tblGrid>
        <w:gridCol w:w="616"/>
        <w:gridCol w:w="2944"/>
        <w:gridCol w:w="2789"/>
      </w:tblGrid>
      <w:tr w:rsidR="00994764" w:rsidRPr="00F12E8B" w:rsidTr="00994764">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764" w:rsidRPr="00F12E8B" w:rsidRDefault="00994764" w:rsidP="00994764">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ΕΤΗ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94764" w:rsidRPr="00F12E8B" w:rsidRDefault="00994764" w:rsidP="00994764">
            <w:pPr>
              <w:spacing w:after="0" w:line="240" w:lineRule="auto"/>
              <w:jc w:val="center"/>
              <w:rPr>
                <w:rFonts w:ascii="Times New Roman" w:eastAsia="Times New Roman" w:hAnsi="Times New Roman"/>
                <w:bCs/>
                <w:color w:val="000000"/>
                <w:sz w:val="20"/>
                <w:szCs w:val="20"/>
                <w:lang w:eastAsia="el-GR"/>
              </w:rPr>
            </w:pPr>
            <w:r w:rsidRPr="00F12E8B">
              <w:rPr>
                <w:rFonts w:ascii="Times New Roman" w:eastAsia="Times New Roman" w:hAnsi="Times New Roman"/>
                <w:bCs/>
                <w:color w:val="000000"/>
                <w:sz w:val="20"/>
                <w:szCs w:val="20"/>
                <w:lang w:val="el-GR" w:eastAsia="el-GR"/>
              </w:rPr>
              <w:t>CFMR Cooperative Bank Drama</w:t>
            </w:r>
            <w:r w:rsidRPr="00F12E8B">
              <w:rPr>
                <w:rFonts w:ascii="Times New Roman" w:eastAsia="Times New Roman" w:hAnsi="Times New Roman"/>
                <w:bCs/>
                <w:color w:val="000000"/>
                <w:sz w:val="20"/>
                <w:szCs w:val="20"/>
                <w:lang w:eastAsia="el-GR"/>
              </w:rPr>
              <w:t>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94764" w:rsidRPr="00F12E8B" w:rsidRDefault="00994764" w:rsidP="00994764">
            <w:pPr>
              <w:spacing w:after="0" w:line="240" w:lineRule="auto"/>
              <w:jc w:val="center"/>
              <w:rPr>
                <w:rFonts w:ascii="Times New Roman" w:eastAsia="Times New Roman" w:hAnsi="Times New Roman"/>
                <w:bCs/>
                <w:color w:val="000000"/>
                <w:sz w:val="20"/>
                <w:szCs w:val="20"/>
                <w:lang w:eastAsia="el-GR"/>
              </w:rPr>
            </w:pPr>
            <w:r w:rsidRPr="00F12E8B">
              <w:rPr>
                <w:rFonts w:ascii="Times New Roman" w:eastAsia="Times New Roman" w:hAnsi="Times New Roman"/>
                <w:bCs/>
                <w:color w:val="000000"/>
                <w:sz w:val="20"/>
                <w:szCs w:val="20"/>
                <w:lang w:val="el-GR" w:eastAsia="el-GR"/>
              </w:rPr>
              <w:t>CFMR Cooperative Bank Evro</w:t>
            </w:r>
            <w:r w:rsidRPr="00F12E8B">
              <w:rPr>
                <w:rFonts w:ascii="Times New Roman" w:eastAsia="Times New Roman" w:hAnsi="Times New Roman"/>
                <w:bCs/>
                <w:color w:val="000000"/>
                <w:sz w:val="20"/>
                <w:szCs w:val="20"/>
                <w:lang w:eastAsia="el-GR"/>
              </w:rPr>
              <w:t>s</w:t>
            </w:r>
          </w:p>
        </w:tc>
      </w:tr>
      <w:tr w:rsidR="00994764" w:rsidRPr="00F12E8B" w:rsidTr="00994764">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94764" w:rsidRPr="00F12E8B" w:rsidRDefault="00994764" w:rsidP="00994764">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2014</w:t>
            </w:r>
          </w:p>
        </w:tc>
        <w:tc>
          <w:tcPr>
            <w:tcW w:w="0" w:type="auto"/>
            <w:tcBorders>
              <w:top w:val="nil"/>
              <w:left w:val="nil"/>
              <w:bottom w:val="single" w:sz="4" w:space="0" w:color="auto"/>
              <w:right w:val="single" w:sz="4" w:space="0" w:color="auto"/>
            </w:tcBorders>
            <w:shd w:val="clear" w:color="auto" w:fill="auto"/>
            <w:noWrap/>
            <w:vAlign w:val="center"/>
            <w:hideMark/>
          </w:tcPr>
          <w:p w:rsidR="00994764" w:rsidRPr="00F12E8B" w:rsidRDefault="00994764" w:rsidP="00994764">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-52.57</w:t>
            </w:r>
          </w:p>
        </w:tc>
        <w:tc>
          <w:tcPr>
            <w:tcW w:w="0" w:type="auto"/>
            <w:tcBorders>
              <w:top w:val="nil"/>
              <w:left w:val="nil"/>
              <w:bottom w:val="single" w:sz="4" w:space="0" w:color="auto"/>
              <w:right w:val="single" w:sz="4" w:space="0" w:color="auto"/>
            </w:tcBorders>
            <w:shd w:val="clear" w:color="auto" w:fill="auto"/>
            <w:noWrap/>
            <w:vAlign w:val="center"/>
            <w:hideMark/>
          </w:tcPr>
          <w:p w:rsidR="00994764" w:rsidRPr="00F12E8B" w:rsidRDefault="00994764" w:rsidP="00994764">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98</w:t>
            </w:r>
          </w:p>
        </w:tc>
      </w:tr>
      <w:tr w:rsidR="00994764" w:rsidRPr="00F12E8B" w:rsidTr="00994764">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94764" w:rsidRPr="00F12E8B" w:rsidRDefault="00994764" w:rsidP="00994764">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2015</w:t>
            </w:r>
          </w:p>
        </w:tc>
        <w:tc>
          <w:tcPr>
            <w:tcW w:w="0" w:type="auto"/>
            <w:tcBorders>
              <w:top w:val="nil"/>
              <w:left w:val="nil"/>
              <w:bottom w:val="single" w:sz="4" w:space="0" w:color="auto"/>
              <w:right w:val="single" w:sz="4" w:space="0" w:color="auto"/>
            </w:tcBorders>
            <w:shd w:val="clear" w:color="auto" w:fill="auto"/>
            <w:noWrap/>
            <w:vAlign w:val="center"/>
            <w:hideMark/>
          </w:tcPr>
          <w:p w:rsidR="00994764" w:rsidRPr="00F12E8B" w:rsidRDefault="00994764" w:rsidP="00994764">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-103.91</w:t>
            </w:r>
          </w:p>
        </w:tc>
        <w:tc>
          <w:tcPr>
            <w:tcW w:w="0" w:type="auto"/>
            <w:tcBorders>
              <w:top w:val="nil"/>
              <w:left w:val="nil"/>
              <w:bottom w:val="single" w:sz="4" w:space="0" w:color="auto"/>
              <w:right w:val="single" w:sz="4" w:space="0" w:color="auto"/>
            </w:tcBorders>
            <w:shd w:val="clear" w:color="auto" w:fill="auto"/>
            <w:noWrap/>
            <w:vAlign w:val="center"/>
            <w:hideMark/>
          </w:tcPr>
          <w:p w:rsidR="00994764" w:rsidRPr="00F12E8B" w:rsidRDefault="00994764" w:rsidP="00994764">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-759.35</w:t>
            </w:r>
          </w:p>
        </w:tc>
      </w:tr>
      <w:tr w:rsidR="00994764" w:rsidRPr="00F12E8B" w:rsidTr="00994764">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94764" w:rsidRPr="00F12E8B" w:rsidRDefault="00994764" w:rsidP="00994764">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2016</w:t>
            </w:r>
          </w:p>
        </w:tc>
        <w:tc>
          <w:tcPr>
            <w:tcW w:w="0" w:type="auto"/>
            <w:tcBorders>
              <w:top w:val="nil"/>
              <w:left w:val="nil"/>
              <w:bottom w:val="single" w:sz="4" w:space="0" w:color="auto"/>
              <w:right w:val="single" w:sz="4" w:space="0" w:color="auto"/>
            </w:tcBorders>
            <w:shd w:val="clear" w:color="auto" w:fill="auto"/>
            <w:noWrap/>
            <w:vAlign w:val="center"/>
            <w:hideMark/>
          </w:tcPr>
          <w:p w:rsidR="00994764" w:rsidRPr="00F12E8B" w:rsidRDefault="00994764" w:rsidP="00994764">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-16.52</w:t>
            </w:r>
          </w:p>
        </w:tc>
        <w:tc>
          <w:tcPr>
            <w:tcW w:w="0" w:type="auto"/>
            <w:tcBorders>
              <w:top w:val="nil"/>
              <w:left w:val="nil"/>
              <w:bottom w:val="single" w:sz="4" w:space="0" w:color="auto"/>
              <w:right w:val="single" w:sz="4" w:space="0" w:color="auto"/>
            </w:tcBorders>
            <w:shd w:val="clear" w:color="auto" w:fill="auto"/>
            <w:noWrap/>
            <w:vAlign w:val="center"/>
            <w:hideMark/>
          </w:tcPr>
          <w:p w:rsidR="00994764" w:rsidRPr="00F12E8B" w:rsidRDefault="00994764" w:rsidP="00994764">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174.38</w:t>
            </w:r>
          </w:p>
        </w:tc>
      </w:tr>
      <w:tr w:rsidR="00994764" w:rsidRPr="00F12E8B" w:rsidTr="00994764">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94764" w:rsidRPr="00F12E8B" w:rsidRDefault="00994764" w:rsidP="00994764">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2017</w:t>
            </w:r>
          </w:p>
        </w:tc>
        <w:tc>
          <w:tcPr>
            <w:tcW w:w="0" w:type="auto"/>
            <w:tcBorders>
              <w:top w:val="nil"/>
              <w:left w:val="nil"/>
              <w:bottom w:val="single" w:sz="4" w:space="0" w:color="auto"/>
              <w:right w:val="single" w:sz="4" w:space="0" w:color="auto"/>
            </w:tcBorders>
            <w:shd w:val="clear" w:color="auto" w:fill="auto"/>
            <w:noWrap/>
            <w:vAlign w:val="center"/>
            <w:hideMark/>
          </w:tcPr>
          <w:p w:rsidR="00994764" w:rsidRPr="00F12E8B" w:rsidRDefault="00994764" w:rsidP="00994764">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139.19</w:t>
            </w:r>
          </w:p>
        </w:tc>
        <w:tc>
          <w:tcPr>
            <w:tcW w:w="0" w:type="auto"/>
            <w:tcBorders>
              <w:top w:val="nil"/>
              <w:left w:val="nil"/>
              <w:bottom w:val="single" w:sz="4" w:space="0" w:color="auto"/>
              <w:right w:val="single" w:sz="4" w:space="0" w:color="auto"/>
            </w:tcBorders>
            <w:shd w:val="clear" w:color="auto" w:fill="auto"/>
            <w:noWrap/>
            <w:vAlign w:val="bottom"/>
            <w:hideMark/>
          </w:tcPr>
          <w:p w:rsidR="00994764" w:rsidRPr="00F12E8B" w:rsidRDefault="00994764" w:rsidP="00994764">
            <w:pPr>
              <w:spacing w:after="0" w:line="240" w:lineRule="auto"/>
              <w:rPr>
                <w:rFonts w:ascii="Times New Roman" w:eastAsia="Times New Roman" w:hAnsi="Times New Roman"/>
                <w:bCs/>
                <w:color w:val="000000"/>
                <w:sz w:val="20"/>
                <w:szCs w:val="20"/>
                <w:lang w:eastAsia="el-GR"/>
              </w:rPr>
            </w:pPr>
          </w:p>
        </w:tc>
      </w:tr>
      <w:tr w:rsidR="00994764" w:rsidRPr="00F12E8B" w:rsidTr="00994764">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94764" w:rsidRPr="00F12E8B" w:rsidRDefault="00994764" w:rsidP="00994764">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2018</w:t>
            </w:r>
          </w:p>
        </w:tc>
        <w:tc>
          <w:tcPr>
            <w:tcW w:w="0" w:type="auto"/>
            <w:tcBorders>
              <w:top w:val="nil"/>
              <w:left w:val="nil"/>
              <w:bottom w:val="single" w:sz="4" w:space="0" w:color="auto"/>
              <w:right w:val="single" w:sz="4" w:space="0" w:color="auto"/>
            </w:tcBorders>
            <w:shd w:val="clear" w:color="auto" w:fill="auto"/>
            <w:noWrap/>
            <w:vAlign w:val="center"/>
            <w:hideMark/>
          </w:tcPr>
          <w:p w:rsidR="00994764" w:rsidRPr="00F12E8B" w:rsidRDefault="00994764" w:rsidP="00994764">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97.01</w:t>
            </w:r>
          </w:p>
        </w:tc>
        <w:tc>
          <w:tcPr>
            <w:tcW w:w="0" w:type="auto"/>
            <w:tcBorders>
              <w:top w:val="nil"/>
              <w:left w:val="nil"/>
              <w:bottom w:val="single" w:sz="4" w:space="0" w:color="auto"/>
              <w:right w:val="single" w:sz="4" w:space="0" w:color="auto"/>
            </w:tcBorders>
            <w:shd w:val="clear" w:color="auto" w:fill="auto"/>
            <w:noWrap/>
            <w:vAlign w:val="bottom"/>
            <w:hideMark/>
          </w:tcPr>
          <w:p w:rsidR="00994764" w:rsidRPr="00F12E8B" w:rsidRDefault="00994764" w:rsidP="00994764">
            <w:pPr>
              <w:spacing w:after="0" w:line="240" w:lineRule="auto"/>
              <w:rPr>
                <w:rFonts w:ascii="Times New Roman" w:eastAsia="Times New Roman" w:hAnsi="Times New Roman"/>
                <w:bCs/>
                <w:color w:val="000000"/>
                <w:sz w:val="20"/>
                <w:szCs w:val="20"/>
                <w:lang w:eastAsia="el-GR"/>
              </w:rPr>
            </w:pPr>
          </w:p>
        </w:tc>
      </w:tr>
      <w:tr w:rsidR="00994764" w:rsidRPr="00F12E8B" w:rsidTr="00994764">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94764" w:rsidRPr="00F12E8B" w:rsidRDefault="00994764" w:rsidP="00994764">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2019</w:t>
            </w:r>
          </w:p>
        </w:tc>
        <w:tc>
          <w:tcPr>
            <w:tcW w:w="0" w:type="auto"/>
            <w:tcBorders>
              <w:top w:val="nil"/>
              <w:left w:val="nil"/>
              <w:bottom w:val="single" w:sz="4" w:space="0" w:color="auto"/>
              <w:right w:val="single" w:sz="4" w:space="0" w:color="auto"/>
            </w:tcBorders>
            <w:shd w:val="clear" w:color="auto" w:fill="auto"/>
            <w:noWrap/>
            <w:vAlign w:val="center"/>
            <w:hideMark/>
          </w:tcPr>
          <w:p w:rsidR="00994764" w:rsidRPr="00F12E8B" w:rsidRDefault="00994764" w:rsidP="00994764">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-12.64</w:t>
            </w:r>
          </w:p>
        </w:tc>
        <w:tc>
          <w:tcPr>
            <w:tcW w:w="0" w:type="auto"/>
            <w:tcBorders>
              <w:top w:val="nil"/>
              <w:left w:val="nil"/>
              <w:bottom w:val="single" w:sz="4" w:space="0" w:color="auto"/>
              <w:right w:val="single" w:sz="4" w:space="0" w:color="auto"/>
            </w:tcBorders>
            <w:shd w:val="clear" w:color="auto" w:fill="auto"/>
            <w:noWrap/>
            <w:vAlign w:val="bottom"/>
            <w:hideMark/>
          </w:tcPr>
          <w:p w:rsidR="00994764" w:rsidRPr="00F12E8B" w:rsidRDefault="00994764" w:rsidP="00994764">
            <w:pPr>
              <w:spacing w:after="0" w:line="240" w:lineRule="auto"/>
              <w:rPr>
                <w:rFonts w:ascii="Times New Roman" w:eastAsia="Times New Roman" w:hAnsi="Times New Roman"/>
                <w:bCs/>
                <w:color w:val="000000"/>
                <w:sz w:val="20"/>
                <w:szCs w:val="20"/>
                <w:lang w:eastAsia="el-GR"/>
              </w:rPr>
            </w:pPr>
          </w:p>
        </w:tc>
      </w:tr>
      <w:tr w:rsidR="00994764" w:rsidRPr="00F12E8B" w:rsidTr="00994764">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94764" w:rsidRPr="00F12E8B" w:rsidRDefault="00994764" w:rsidP="00994764">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2020</w:t>
            </w:r>
          </w:p>
        </w:tc>
        <w:tc>
          <w:tcPr>
            <w:tcW w:w="0" w:type="auto"/>
            <w:tcBorders>
              <w:top w:val="nil"/>
              <w:left w:val="nil"/>
              <w:bottom w:val="single" w:sz="4" w:space="0" w:color="auto"/>
              <w:right w:val="single" w:sz="4" w:space="0" w:color="auto"/>
            </w:tcBorders>
            <w:shd w:val="clear" w:color="auto" w:fill="auto"/>
            <w:noWrap/>
            <w:vAlign w:val="center"/>
            <w:hideMark/>
          </w:tcPr>
          <w:p w:rsidR="00994764" w:rsidRPr="00F12E8B" w:rsidRDefault="00994764" w:rsidP="00994764">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-94.72</w:t>
            </w:r>
          </w:p>
        </w:tc>
        <w:tc>
          <w:tcPr>
            <w:tcW w:w="0" w:type="auto"/>
            <w:tcBorders>
              <w:top w:val="nil"/>
              <w:left w:val="nil"/>
              <w:bottom w:val="single" w:sz="4" w:space="0" w:color="auto"/>
              <w:right w:val="single" w:sz="4" w:space="0" w:color="auto"/>
            </w:tcBorders>
            <w:shd w:val="clear" w:color="auto" w:fill="auto"/>
            <w:noWrap/>
            <w:vAlign w:val="bottom"/>
            <w:hideMark/>
          </w:tcPr>
          <w:p w:rsidR="00994764" w:rsidRPr="00F12E8B" w:rsidRDefault="00994764" w:rsidP="00994764">
            <w:pPr>
              <w:spacing w:after="0" w:line="240" w:lineRule="auto"/>
              <w:rPr>
                <w:rFonts w:ascii="Times New Roman" w:eastAsia="Times New Roman" w:hAnsi="Times New Roman"/>
                <w:bCs/>
                <w:color w:val="000000"/>
                <w:sz w:val="20"/>
                <w:szCs w:val="20"/>
                <w:lang w:eastAsia="el-GR"/>
              </w:rPr>
            </w:pPr>
          </w:p>
        </w:tc>
      </w:tr>
    </w:tbl>
    <w:p w:rsidR="00156AC5" w:rsidRPr="00F12E8B" w:rsidRDefault="001C2BDA" w:rsidP="00E27ADD">
      <w:pPr>
        <w:spacing w:after="0" w:line="240" w:lineRule="auto"/>
        <w:jc w:val="center"/>
        <w:rPr>
          <w:rFonts w:ascii="Times New Roman" w:hAnsi="Times New Roman"/>
          <w:sz w:val="20"/>
          <w:szCs w:val="20"/>
        </w:rPr>
      </w:pPr>
      <w:r w:rsidRPr="00F12E8B">
        <w:rPr>
          <w:rFonts w:ascii="Times New Roman" w:hAnsi="Times New Roman"/>
          <w:sz w:val="20"/>
          <w:szCs w:val="20"/>
        </w:rPr>
        <w:t xml:space="preserve">Source: </w:t>
      </w:r>
      <w:r w:rsidR="00994764" w:rsidRPr="00F12E8B">
        <w:rPr>
          <w:rFonts w:ascii="Times New Roman" w:hAnsi="Times New Roman"/>
          <w:sz w:val="20"/>
          <w:szCs w:val="20"/>
        </w:rPr>
        <w:t>Authors' calculations from published financial statements of the Greek Cooperative Banks.</w:t>
      </w:r>
    </w:p>
    <w:p w:rsidR="003B44D3" w:rsidRDefault="003B44D3" w:rsidP="00FC3D2C">
      <w:pPr>
        <w:spacing w:after="0" w:line="240" w:lineRule="auto"/>
        <w:jc w:val="center"/>
        <w:rPr>
          <w:rFonts w:ascii="Times New Roman" w:hAnsi="Times New Roman"/>
          <w:sz w:val="20"/>
          <w:szCs w:val="20"/>
        </w:rPr>
      </w:pPr>
    </w:p>
    <w:p w:rsidR="00994764" w:rsidRPr="00F12E8B" w:rsidRDefault="00485328" w:rsidP="00FC3D2C">
      <w:pPr>
        <w:spacing w:after="0" w:line="240" w:lineRule="auto"/>
        <w:jc w:val="center"/>
        <w:rPr>
          <w:rFonts w:ascii="Times New Roman" w:hAnsi="Times New Roman"/>
          <w:sz w:val="20"/>
          <w:szCs w:val="20"/>
        </w:rPr>
      </w:pPr>
      <w:r w:rsidRPr="00F12E8B">
        <w:rPr>
          <w:rFonts w:ascii="Times New Roman" w:hAnsi="Times New Roman"/>
          <w:sz w:val="20"/>
          <w:szCs w:val="20"/>
        </w:rPr>
        <w:t>Figure</w:t>
      </w:r>
      <w:r w:rsidR="00994764" w:rsidRPr="00F12E8B">
        <w:rPr>
          <w:rFonts w:ascii="Times New Roman" w:hAnsi="Times New Roman"/>
          <w:sz w:val="20"/>
          <w:szCs w:val="20"/>
        </w:rPr>
        <w:t xml:space="preserve"> 5: </w:t>
      </w:r>
      <w:r w:rsidR="00994764" w:rsidRPr="00F12E8B">
        <w:rPr>
          <w:rFonts w:ascii="Times New Roman" w:hAnsi="Times New Roman"/>
          <w:bCs/>
          <w:spacing w:val="7"/>
          <w:sz w:val="20"/>
          <w:szCs w:val="20"/>
        </w:rPr>
        <w:t xml:space="preserve">Cash Flow Margin Ratio </w:t>
      </w:r>
      <w:r w:rsidR="00994764" w:rsidRPr="00F12E8B">
        <w:rPr>
          <w:rFonts w:ascii="Times New Roman" w:hAnsi="Times New Roman"/>
          <w:sz w:val="20"/>
          <w:szCs w:val="20"/>
        </w:rPr>
        <w:t>(CFMR)</w:t>
      </w:r>
      <w:r w:rsidR="007B7BDE" w:rsidRPr="00F12E8B">
        <w:rPr>
          <w:rFonts w:ascii="Times New Roman" w:hAnsi="Times New Roman"/>
          <w:sz w:val="20"/>
          <w:szCs w:val="20"/>
        </w:rPr>
        <w:t xml:space="preserve"> before and after the acquisition</w:t>
      </w:r>
    </w:p>
    <w:p w:rsidR="00994764" w:rsidRPr="00F12E8B" w:rsidRDefault="00994764" w:rsidP="00E27ADD">
      <w:pPr>
        <w:keepNext/>
        <w:spacing w:after="0" w:line="240" w:lineRule="auto"/>
        <w:jc w:val="center"/>
        <w:rPr>
          <w:rFonts w:ascii="Times New Roman" w:hAnsi="Times New Roman"/>
          <w:sz w:val="20"/>
          <w:szCs w:val="20"/>
        </w:rPr>
      </w:pPr>
      <w:r w:rsidRPr="00F12E8B">
        <w:rPr>
          <w:rFonts w:ascii="Times New Roman" w:hAnsi="Times New Roman"/>
          <w:noProof/>
          <w:sz w:val="20"/>
          <w:szCs w:val="20"/>
          <w:lang w:val="el-GR" w:eastAsia="el-GR"/>
        </w:rPr>
        <w:drawing>
          <wp:inline distT="0" distB="0" distL="0" distR="0">
            <wp:extent cx="5081657" cy="3200400"/>
            <wp:effectExtent l="19050" t="0" r="23743" b="0"/>
            <wp:docPr id="14" name="Γράφημα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994764" w:rsidRPr="00F12E8B" w:rsidRDefault="00994764" w:rsidP="00E27ADD">
      <w:pPr>
        <w:spacing w:after="0" w:line="240" w:lineRule="auto"/>
        <w:jc w:val="center"/>
        <w:rPr>
          <w:rFonts w:ascii="Times New Roman" w:hAnsi="Times New Roman"/>
          <w:sz w:val="20"/>
          <w:szCs w:val="20"/>
        </w:rPr>
      </w:pPr>
      <w:r w:rsidRPr="00F12E8B">
        <w:rPr>
          <w:rFonts w:ascii="Times New Roman" w:hAnsi="Times New Roman"/>
          <w:sz w:val="20"/>
          <w:szCs w:val="20"/>
        </w:rPr>
        <w:t>Source: Table 5</w:t>
      </w:r>
    </w:p>
    <w:p w:rsidR="00FC3D2C" w:rsidRPr="00F12E8B" w:rsidRDefault="00FC3D2C" w:rsidP="004E6C75">
      <w:pPr>
        <w:spacing w:after="0" w:line="240" w:lineRule="auto"/>
        <w:jc w:val="both"/>
        <w:rPr>
          <w:rFonts w:ascii="Times New Roman" w:hAnsi="Times New Roman"/>
          <w:sz w:val="20"/>
          <w:szCs w:val="20"/>
        </w:rPr>
      </w:pPr>
    </w:p>
    <w:p w:rsidR="004E6C75" w:rsidRPr="00F12E8B" w:rsidRDefault="004E6C75" w:rsidP="004E6C75">
      <w:pPr>
        <w:spacing w:after="0" w:line="240" w:lineRule="auto"/>
        <w:jc w:val="both"/>
        <w:rPr>
          <w:rFonts w:ascii="Times New Roman" w:hAnsi="Times New Roman"/>
          <w:sz w:val="20"/>
          <w:szCs w:val="20"/>
        </w:rPr>
      </w:pPr>
      <w:r w:rsidRPr="00F12E8B">
        <w:rPr>
          <w:rFonts w:ascii="Times New Roman" w:hAnsi="Times New Roman"/>
          <w:sz w:val="20"/>
          <w:szCs w:val="20"/>
        </w:rPr>
        <w:t xml:space="preserve">From the </w:t>
      </w:r>
      <w:r w:rsidR="00B66835" w:rsidRPr="00F12E8B">
        <w:rPr>
          <w:rFonts w:ascii="Times New Roman" w:hAnsi="Times New Roman"/>
          <w:sz w:val="20"/>
          <w:szCs w:val="20"/>
        </w:rPr>
        <w:t xml:space="preserve">above </w:t>
      </w:r>
      <w:r w:rsidR="003B44D3">
        <w:rPr>
          <w:rFonts w:ascii="Times New Roman" w:hAnsi="Times New Roman"/>
          <w:sz w:val="20"/>
          <w:szCs w:val="20"/>
        </w:rPr>
        <w:t>table 5, f</w:t>
      </w:r>
      <w:r w:rsidR="00485328" w:rsidRPr="00F12E8B">
        <w:rPr>
          <w:rFonts w:ascii="Times New Roman" w:hAnsi="Times New Roman"/>
          <w:sz w:val="20"/>
          <w:szCs w:val="20"/>
        </w:rPr>
        <w:t>igure</w:t>
      </w:r>
      <w:r w:rsidRPr="00F12E8B">
        <w:rPr>
          <w:rFonts w:ascii="Times New Roman" w:hAnsi="Times New Roman"/>
          <w:sz w:val="20"/>
          <w:szCs w:val="20"/>
        </w:rPr>
        <w:t xml:space="preserve"> </w:t>
      </w:r>
      <w:r w:rsidR="000F1E5F" w:rsidRPr="00F12E8B">
        <w:rPr>
          <w:rFonts w:ascii="Times New Roman" w:hAnsi="Times New Roman"/>
          <w:sz w:val="20"/>
          <w:szCs w:val="20"/>
        </w:rPr>
        <w:t>5</w:t>
      </w:r>
      <w:r w:rsidRPr="00F12E8B">
        <w:rPr>
          <w:rFonts w:ascii="Times New Roman" w:hAnsi="Times New Roman"/>
          <w:sz w:val="20"/>
          <w:szCs w:val="20"/>
        </w:rPr>
        <w:t xml:space="preserve"> we observe that during the time period 2014-2016 before the acquisition the CFMR ratio for the target bank had </w:t>
      </w:r>
      <w:r w:rsidR="000F1E5F" w:rsidRPr="00F12E8B">
        <w:rPr>
          <w:rFonts w:ascii="Times New Roman" w:hAnsi="Times New Roman"/>
          <w:sz w:val="20"/>
          <w:szCs w:val="20"/>
        </w:rPr>
        <w:t>a too high negative rate in the year of 201</w:t>
      </w:r>
      <w:r w:rsidR="00B71231" w:rsidRPr="00F12E8B">
        <w:rPr>
          <w:rFonts w:ascii="Times New Roman" w:hAnsi="Times New Roman"/>
          <w:sz w:val="20"/>
          <w:szCs w:val="20"/>
        </w:rPr>
        <w:t>5</w:t>
      </w:r>
      <w:r w:rsidR="000F1E5F" w:rsidRPr="00F12E8B">
        <w:rPr>
          <w:rFonts w:ascii="Times New Roman" w:hAnsi="Times New Roman"/>
          <w:sz w:val="20"/>
          <w:szCs w:val="20"/>
        </w:rPr>
        <w:t xml:space="preserve"> and </w:t>
      </w:r>
      <w:r w:rsidRPr="00F12E8B">
        <w:rPr>
          <w:rFonts w:ascii="Times New Roman" w:hAnsi="Times New Roman"/>
          <w:sz w:val="20"/>
          <w:szCs w:val="20"/>
        </w:rPr>
        <w:t>great</w:t>
      </w:r>
      <w:r w:rsidR="000F1E5F" w:rsidRPr="00F12E8B">
        <w:rPr>
          <w:rFonts w:ascii="Times New Roman" w:hAnsi="Times New Roman"/>
          <w:sz w:val="20"/>
          <w:szCs w:val="20"/>
        </w:rPr>
        <w:t>er</w:t>
      </w:r>
      <w:r w:rsidRPr="00F12E8B">
        <w:rPr>
          <w:rFonts w:ascii="Times New Roman" w:hAnsi="Times New Roman"/>
          <w:sz w:val="20"/>
          <w:szCs w:val="20"/>
        </w:rPr>
        <w:t xml:space="preserve"> volatility than the bidder's. The bidder had </w:t>
      </w:r>
      <w:r w:rsidR="000F1E5F" w:rsidRPr="00F12E8B">
        <w:rPr>
          <w:rFonts w:ascii="Times New Roman" w:hAnsi="Times New Roman"/>
          <w:sz w:val="20"/>
          <w:szCs w:val="20"/>
        </w:rPr>
        <w:t xml:space="preserve">also </w:t>
      </w:r>
      <w:r w:rsidRPr="00F12E8B">
        <w:rPr>
          <w:rFonts w:ascii="Times New Roman" w:hAnsi="Times New Roman"/>
          <w:sz w:val="20"/>
          <w:szCs w:val="20"/>
        </w:rPr>
        <w:t xml:space="preserve">negative CFMR ratio before the acquisition took place. After the acquisition the CFMR ratio of the bidder had increased in the year 2017 in a high </w:t>
      </w:r>
      <w:r w:rsidR="000F1E5F" w:rsidRPr="00F12E8B">
        <w:rPr>
          <w:rFonts w:ascii="Times New Roman" w:hAnsi="Times New Roman"/>
          <w:sz w:val="20"/>
          <w:szCs w:val="20"/>
        </w:rPr>
        <w:lastRenderedPageBreak/>
        <w:t xml:space="preserve">positive </w:t>
      </w:r>
      <w:r w:rsidRPr="00F12E8B">
        <w:rPr>
          <w:rFonts w:ascii="Times New Roman" w:hAnsi="Times New Roman"/>
          <w:sz w:val="20"/>
          <w:szCs w:val="20"/>
        </w:rPr>
        <w:t xml:space="preserve">level, but afterwards it had </w:t>
      </w:r>
      <w:r w:rsidR="007863D0" w:rsidRPr="00F12E8B">
        <w:rPr>
          <w:rFonts w:ascii="Times New Roman" w:hAnsi="Times New Roman"/>
          <w:sz w:val="20"/>
          <w:szCs w:val="20"/>
        </w:rPr>
        <w:t xml:space="preserve">a </w:t>
      </w:r>
      <w:r w:rsidRPr="00F12E8B">
        <w:rPr>
          <w:rFonts w:ascii="Times New Roman" w:hAnsi="Times New Roman"/>
          <w:sz w:val="20"/>
          <w:szCs w:val="20"/>
        </w:rPr>
        <w:t>downward trend and the years 2019 and 2020 fel</w:t>
      </w:r>
      <w:r w:rsidR="007863D0" w:rsidRPr="00F12E8B">
        <w:rPr>
          <w:rFonts w:ascii="Times New Roman" w:hAnsi="Times New Roman"/>
          <w:sz w:val="20"/>
          <w:szCs w:val="20"/>
        </w:rPr>
        <w:t>l</w:t>
      </w:r>
      <w:r w:rsidRPr="00F12E8B">
        <w:rPr>
          <w:rFonts w:ascii="Times New Roman" w:hAnsi="Times New Roman"/>
          <w:sz w:val="20"/>
          <w:szCs w:val="20"/>
        </w:rPr>
        <w:t xml:space="preserve"> to negative level as it was before the acquisition.</w:t>
      </w:r>
    </w:p>
    <w:p w:rsidR="00FC3D2C" w:rsidRPr="00F12E8B" w:rsidRDefault="00FC3D2C" w:rsidP="004E6C75">
      <w:pPr>
        <w:spacing w:after="0" w:line="240" w:lineRule="auto"/>
        <w:jc w:val="both"/>
        <w:rPr>
          <w:rFonts w:ascii="Times New Roman" w:hAnsi="Times New Roman"/>
          <w:sz w:val="20"/>
          <w:szCs w:val="20"/>
        </w:rPr>
      </w:pPr>
    </w:p>
    <w:p w:rsidR="00156AC5" w:rsidRPr="00F12E8B" w:rsidRDefault="001C2BDA" w:rsidP="00FC3D2C">
      <w:pPr>
        <w:spacing w:after="0" w:line="240" w:lineRule="auto"/>
        <w:jc w:val="center"/>
        <w:rPr>
          <w:rFonts w:ascii="Times New Roman" w:hAnsi="Times New Roman"/>
          <w:sz w:val="20"/>
          <w:szCs w:val="20"/>
        </w:rPr>
      </w:pPr>
      <w:r w:rsidRPr="00F12E8B">
        <w:rPr>
          <w:rFonts w:ascii="Times New Roman" w:hAnsi="Times New Roman"/>
          <w:sz w:val="20"/>
          <w:szCs w:val="20"/>
        </w:rPr>
        <w:t>Table 6: Operating Cash Flow Return on Equity (</w:t>
      </w:r>
      <w:r w:rsidRPr="00F12E8B">
        <w:rPr>
          <w:rFonts w:ascii="Times New Roman" w:hAnsi="Times New Roman"/>
          <w:spacing w:val="3"/>
          <w:sz w:val="20"/>
          <w:szCs w:val="20"/>
          <w:shd w:val="clear" w:color="auto" w:fill="FFFFFF"/>
        </w:rPr>
        <w:t>OCFROE</w:t>
      </w:r>
      <w:r w:rsidRPr="00F12E8B">
        <w:rPr>
          <w:rFonts w:ascii="Times New Roman" w:hAnsi="Times New Roman"/>
          <w:sz w:val="20"/>
          <w:szCs w:val="20"/>
        </w:rPr>
        <w:t>)</w:t>
      </w:r>
      <w:r w:rsidR="007B7BDE" w:rsidRPr="00F12E8B">
        <w:rPr>
          <w:rFonts w:ascii="Times New Roman" w:hAnsi="Times New Roman"/>
          <w:sz w:val="20"/>
          <w:szCs w:val="20"/>
        </w:rPr>
        <w:t xml:space="preserve"> before and after the acquisition</w:t>
      </w:r>
    </w:p>
    <w:tbl>
      <w:tblPr>
        <w:tblW w:w="8425" w:type="dxa"/>
        <w:tblInd w:w="103" w:type="dxa"/>
        <w:tblLook w:val="04A0"/>
      </w:tblPr>
      <w:tblGrid>
        <w:gridCol w:w="974"/>
        <w:gridCol w:w="3803"/>
        <w:gridCol w:w="3648"/>
      </w:tblGrid>
      <w:tr w:rsidR="001C2BDA" w:rsidRPr="00F12E8B" w:rsidTr="001C2BDA">
        <w:trPr>
          <w:trHeight w:val="315"/>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BDA" w:rsidRPr="00F12E8B" w:rsidRDefault="001C2BDA" w:rsidP="001C2BDA">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YEARS</w:t>
            </w:r>
          </w:p>
        </w:tc>
        <w:tc>
          <w:tcPr>
            <w:tcW w:w="3803" w:type="dxa"/>
            <w:tcBorders>
              <w:top w:val="single" w:sz="4" w:space="0" w:color="auto"/>
              <w:left w:val="nil"/>
              <w:bottom w:val="single" w:sz="4" w:space="0" w:color="auto"/>
              <w:right w:val="single" w:sz="4" w:space="0" w:color="auto"/>
            </w:tcBorders>
            <w:shd w:val="clear" w:color="auto" w:fill="auto"/>
            <w:noWrap/>
            <w:vAlign w:val="center"/>
            <w:hideMark/>
          </w:tcPr>
          <w:p w:rsidR="001C2BDA" w:rsidRPr="00F12E8B" w:rsidRDefault="001C2BDA" w:rsidP="001C2BDA">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 OCFROE Cooperative Bank Dramas</w:t>
            </w:r>
          </w:p>
        </w:tc>
        <w:tc>
          <w:tcPr>
            <w:tcW w:w="3648" w:type="dxa"/>
            <w:tcBorders>
              <w:top w:val="single" w:sz="4" w:space="0" w:color="auto"/>
              <w:left w:val="nil"/>
              <w:bottom w:val="single" w:sz="4" w:space="0" w:color="auto"/>
              <w:right w:val="single" w:sz="4" w:space="0" w:color="auto"/>
            </w:tcBorders>
            <w:shd w:val="clear" w:color="auto" w:fill="auto"/>
            <w:noWrap/>
            <w:vAlign w:val="center"/>
            <w:hideMark/>
          </w:tcPr>
          <w:p w:rsidR="001C2BDA" w:rsidRPr="00F12E8B" w:rsidRDefault="001C2BDA" w:rsidP="001C2BDA">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 OCFROE Cooperative Bank Evrou</w:t>
            </w:r>
          </w:p>
        </w:tc>
      </w:tr>
      <w:tr w:rsidR="001C2BDA" w:rsidRPr="00F12E8B" w:rsidTr="001C2BDA">
        <w:trPr>
          <w:trHeight w:val="315"/>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1C2BDA" w:rsidRPr="00F12E8B" w:rsidRDefault="001C2BDA" w:rsidP="001C2BDA">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2014</w:t>
            </w:r>
          </w:p>
        </w:tc>
        <w:tc>
          <w:tcPr>
            <w:tcW w:w="3803" w:type="dxa"/>
            <w:tcBorders>
              <w:top w:val="nil"/>
              <w:left w:val="nil"/>
              <w:bottom w:val="single" w:sz="4" w:space="0" w:color="auto"/>
              <w:right w:val="single" w:sz="4" w:space="0" w:color="auto"/>
            </w:tcBorders>
            <w:shd w:val="clear" w:color="auto" w:fill="auto"/>
            <w:noWrap/>
            <w:vAlign w:val="center"/>
            <w:hideMark/>
          </w:tcPr>
          <w:p w:rsidR="001C2BDA" w:rsidRPr="00F12E8B" w:rsidRDefault="001C2BDA" w:rsidP="001C2BDA">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-12</w:t>
            </w:r>
          </w:p>
        </w:tc>
        <w:tc>
          <w:tcPr>
            <w:tcW w:w="3648" w:type="dxa"/>
            <w:tcBorders>
              <w:top w:val="nil"/>
              <w:left w:val="nil"/>
              <w:bottom w:val="single" w:sz="4" w:space="0" w:color="auto"/>
              <w:right w:val="single" w:sz="4" w:space="0" w:color="auto"/>
            </w:tcBorders>
            <w:shd w:val="clear" w:color="auto" w:fill="auto"/>
            <w:noWrap/>
            <w:vAlign w:val="center"/>
            <w:hideMark/>
          </w:tcPr>
          <w:p w:rsidR="001C2BDA" w:rsidRPr="00F12E8B" w:rsidRDefault="001C2BDA" w:rsidP="001C2BDA">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62.5</w:t>
            </w:r>
          </w:p>
        </w:tc>
      </w:tr>
      <w:tr w:rsidR="001C2BDA" w:rsidRPr="00F12E8B" w:rsidTr="001C2BDA">
        <w:trPr>
          <w:trHeight w:val="315"/>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1C2BDA" w:rsidRPr="00F12E8B" w:rsidRDefault="001C2BDA" w:rsidP="001C2BDA">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2015</w:t>
            </w:r>
          </w:p>
        </w:tc>
        <w:tc>
          <w:tcPr>
            <w:tcW w:w="3803" w:type="dxa"/>
            <w:tcBorders>
              <w:top w:val="nil"/>
              <w:left w:val="nil"/>
              <w:bottom w:val="single" w:sz="4" w:space="0" w:color="auto"/>
              <w:right w:val="single" w:sz="4" w:space="0" w:color="auto"/>
            </w:tcBorders>
            <w:shd w:val="clear" w:color="auto" w:fill="auto"/>
            <w:noWrap/>
            <w:vAlign w:val="center"/>
            <w:hideMark/>
          </w:tcPr>
          <w:p w:rsidR="001C2BDA" w:rsidRPr="00F12E8B" w:rsidRDefault="001C2BDA" w:rsidP="001C2BDA">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-17.4</w:t>
            </w:r>
          </w:p>
        </w:tc>
        <w:tc>
          <w:tcPr>
            <w:tcW w:w="3648" w:type="dxa"/>
            <w:tcBorders>
              <w:top w:val="nil"/>
              <w:left w:val="nil"/>
              <w:bottom w:val="single" w:sz="4" w:space="0" w:color="auto"/>
              <w:right w:val="single" w:sz="4" w:space="0" w:color="auto"/>
            </w:tcBorders>
            <w:shd w:val="clear" w:color="auto" w:fill="auto"/>
            <w:noWrap/>
            <w:vAlign w:val="center"/>
            <w:hideMark/>
          </w:tcPr>
          <w:p w:rsidR="001C2BDA" w:rsidRPr="00F12E8B" w:rsidRDefault="001C2BDA" w:rsidP="001C2BDA">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-408.40</w:t>
            </w:r>
          </w:p>
        </w:tc>
      </w:tr>
      <w:tr w:rsidR="001C2BDA" w:rsidRPr="00F12E8B" w:rsidTr="001C2BDA">
        <w:trPr>
          <w:trHeight w:val="315"/>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1C2BDA" w:rsidRPr="00F12E8B" w:rsidRDefault="001C2BDA" w:rsidP="001C2BDA">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2016</w:t>
            </w:r>
          </w:p>
        </w:tc>
        <w:tc>
          <w:tcPr>
            <w:tcW w:w="3803" w:type="dxa"/>
            <w:tcBorders>
              <w:top w:val="nil"/>
              <w:left w:val="nil"/>
              <w:bottom w:val="single" w:sz="4" w:space="0" w:color="auto"/>
              <w:right w:val="single" w:sz="4" w:space="0" w:color="auto"/>
            </w:tcBorders>
            <w:shd w:val="clear" w:color="auto" w:fill="auto"/>
            <w:noWrap/>
            <w:vAlign w:val="center"/>
            <w:hideMark/>
          </w:tcPr>
          <w:p w:rsidR="001C2BDA" w:rsidRPr="00F12E8B" w:rsidRDefault="001C2BDA" w:rsidP="001C2BDA">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-7.2</w:t>
            </w:r>
          </w:p>
        </w:tc>
        <w:tc>
          <w:tcPr>
            <w:tcW w:w="3648" w:type="dxa"/>
            <w:tcBorders>
              <w:top w:val="nil"/>
              <w:left w:val="nil"/>
              <w:bottom w:val="single" w:sz="4" w:space="0" w:color="auto"/>
              <w:right w:val="single" w:sz="4" w:space="0" w:color="auto"/>
            </w:tcBorders>
            <w:shd w:val="clear" w:color="auto" w:fill="auto"/>
            <w:noWrap/>
            <w:vAlign w:val="center"/>
            <w:hideMark/>
          </w:tcPr>
          <w:p w:rsidR="001C2BDA" w:rsidRPr="00F12E8B" w:rsidRDefault="001C2BDA" w:rsidP="001C2BDA">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-9.1</w:t>
            </w:r>
          </w:p>
        </w:tc>
      </w:tr>
      <w:tr w:rsidR="001C2BDA" w:rsidRPr="00F12E8B" w:rsidTr="001C2BDA">
        <w:trPr>
          <w:trHeight w:val="315"/>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1C2BDA" w:rsidRPr="00F12E8B" w:rsidRDefault="001C2BDA" w:rsidP="001C2BDA">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2017</w:t>
            </w:r>
          </w:p>
        </w:tc>
        <w:tc>
          <w:tcPr>
            <w:tcW w:w="3803" w:type="dxa"/>
            <w:tcBorders>
              <w:top w:val="nil"/>
              <w:left w:val="nil"/>
              <w:bottom w:val="single" w:sz="4" w:space="0" w:color="auto"/>
              <w:right w:val="single" w:sz="4" w:space="0" w:color="auto"/>
            </w:tcBorders>
            <w:shd w:val="clear" w:color="auto" w:fill="auto"/>
            <w:noWrap/>
            <w:vAlign w:val="center"/>
            <w:hideMark/>
          </w:tcPr>
          <w:p w:rsidR="001C2BDA" w:rsidRPr="00F12E8B" w:rsidRDefault="001C2BDA" w:rsidP="001C2BDA">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57.2</w:t>
            </w:r>
          </w:p>
        </w:tc>
        <w:tc>
          <w:tcPr>
            <w:tcW w:w="3648" w:type="dxa"/>
            <w:tcBorders>
              <w:top w:val="nil"/>
              <w:left w:val="nil"/>
              <w:bottom w:val="single" w:sz="4" w:space="0" w:color="auto"/>
              <w:right w:val="single" w:sz="4" w:space="0" w:color="auto"/>
            </w:tcBorders>
            <w:shd w:val="clear" w:color="auto" w:fill="auto"/>
            <w:noWrap/>
            <w:vAlign w:val="bottom"/>
            <w:hideMark/>
          </w:tcPr>
          <w:p w:rsidR="001C2BDA" w:rsidRPr="00F12E8B" w:rsidRDefault="001C2BDA" w:rsidP="001C2BDA">
            <w:pPr>
              <w:spacing w:after="0" w:line="240" w:lineRule="auto"/>
              <w:rPr>
                <w:rFonts w:ascii="Times New Roman" w:eastAsia="Times New Roman" w:hAnsi="Times New Roman"/>
                <w:bCs/>
                <w:color w:val="000000"/>
                <w:sz w:val="20"/>
                <w:szCs w:val="20"/>
                <w:lang w:eastAsia="el-GR"/>
              </w:rPr>
            </w:pPr>
          </w:p>
        </w:tc>
      </w:tr>
      <w:tr w:rsidR="001C2BDA" w:rsidRPr="00F12E8B" w:rsidTr="001C2BDA">
        <w:trPr>
          <w:trHeight w:val="315"/>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1C2BDA" w:rsidRPr="00F12E8B" w:rsidRDefault="001C2BDA" w:rsidP="001C2BDA">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2018</w:t>
            </w:r>
          </w:p>
        </w:tc>
        <w:tc>
          <w:tcPr>
            <w:tcW w:w="3803" w:type="dxa"/>
            <w:tcBorders>
              <w:top w:val="nil"/>
              <w:left w:val="nil"/>
              <w:bottom w:val="single" w:sz="4" w:space="0" w:color="auto"/>
              <w:right w:val="single" w:sz="4" w:space="0" w:color="auto"/>
            </w:tcBorders>
            <w:shd w:val="clear" w:color="auto" w:fill="auto"/>
            <w:noWrap/>
            <w:vAlign w:val="center"/>
            <w:hideMark/>
          </w:tcPr>
          <w:p w:rsidR="001C2BDA" w:rsidRPr="00F12E8B" w:rsidRDefault="001C2BDA" w:rsidP="001C2BDA">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67.2</w:t>
            </w:r>
          </w:p>
        </w:tc>
        <w:tc>
          <w:tcPr>
            <w:tcW w:w="3648" w:type="dxa"/>
            <w:tcBorders>
              <w:top w:val="nil"/>
              <w:left w:val="nil"/>
              <w:bottom w:val="single" w:sz="4" w:space="0" w:color="auto"/>
              <w:right w:val="single" w:sz="4" w:space="0" w:color="auto"/>
            </w:tcBorders>
            <w:shd w:val="clear" w:color="auto" w:fill="auto"/>
            <w:noWrap/>
            <w:vAlign w:val="bottom"/>
            <w:hideMark/>
          </w:tcPr>
          <w:p w:rsidR="001C2BDA" w:rsidRPr="00F12E8B" w:rsidRDefault="001C2BDA" w:rsidP="001C2BDA">
            <w:pPr>
              <w:spacing w:after="0" w:line="240" w:lineRule="auto"/>
              <w:rPr>
                <w:rFonts w:ascii="Times New Roman" w:eastAsia="Times New Roman" w:hAnsi="Times New Roman"/>
                <w:bCs/>
                <w:color w:val="000000"/>
                <w:sz w:val="20"/>
                <w:szCs w:val="20"/>
                <w:lang w:eastAsia="el-GR"/>
              </w:rPr>
            </w:pPr>
          </w:p>
        </w:tc>
      </w:tr>
      <w:tr w:rsidR="001C2BDA" w:rsidRPr="00F12E8B" w:rsidTr="001C2BDA">
        <w:trPr>
          <w:trHeight w:val="315"/>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1C2BDA" w:rsidRPr="00F12E8B" w:rsidRDefault="001C2BDA" w:rsidP="001C2BDA">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2019</w:t>
            </w:r>
          </w:p>
        </w:tc>
        <w:tc>
          <w:tcPr>
            <w:tcW w:w="3803" w:type="dxa"/>
            <w:tcBorders>
              <w:top w:val="nil"/>
              <w:left w:val="nil"/>
              <w:bottom w:val="single" w:sz="4" w:space="0" w:color="auto"/>
              <w:right w:val="single" w:sz="4" w:space="0" w:color="auto"/>
            </w:tcBorders>
            <w:shd w:val="clear" w:color="auto" w:fill="auto"/>
            <w:noWrap/>
            <w:vAlign w:val="center"/>
            <w:hideMark/>
          </w:tcPr>
          <w:p w:rsidR="001C2BDA" w:rsidRPr="00F12E8B" w:rsidRDefault="001C2BDA" w:rsidP="001C2BDA">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-8.8</w:t>
            </w:r>
          </w:p>
        </w:tc>
        <w:tc>
          <w:tcPr>
            <w:tcW w:w="3648" w:type="dxa"/>
            <w:tcBorders>
              <w:top w:val="nil"/>
              <w:left w:val="nil"/>
              <w:bottom w:val="single" w:sz="4" w:space="0" w:color="auto"/>
              <w:right w:val="single" w:sz="4" w:space="0" w:color="auto"/>
            </w:tcBorders>
            <w:shd w:val="clear" w:color="auto" w:fill="auto"/>
            <w:noWrap/>
            <w:vAlign w:val="bottom"/>
            <w:hideMark/>
          </w:tcPr>
          <w:p w:rsidR="001C2BDA" w:rsidRPr="00F12E8B" w:rsidRDefault="001C2BDA" w:rsidP="001C2BDA">
            <w:pPr>
              <w:spacing w:after="0" w:line="240" w:lineRule="auto"/>
              <w:rPr>
                <w:rFonts w:ascii="Times New Roman" w:eastAsia="Times New Roman" w:hAnsi="Times New Roman"/>
                <w:bCs/>
                <w:color w:val="000000"/>
                <w:sz w:val="20"/>
                <w:szCs w:val="20"/>
                <w:lang w:eastAsia="el-GR"/>
              </w:rPr>
            </w:pPr>
          </w:p>
        </w:tc>
      </w:tr>
      <w:tr w:rsidR="001C2BDA" w:rsidRPr="00F12E8B" w:rsidTr="001C2BDA">
        <w:trPr>
          <w:trHeight w:val="315"/>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1C2BDA" w:rsidRPr="00F12E8B" w:rsidRDefault="001C2BDA" w:rsidP="001C2BDA">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2020</w:t>
            </w:r>
          </w:p>
        </w:tc>
        <w:tc>
          <w:tcPr>
            <w:tcW w:w="3803" w:type="dxa"/>
            <w:tcBorders>
              <w:top w:val="nil"/>
              <w:left w:val="nil"/>
              <w:bottom w:val="single" w:sz="4" w:space="0" w:color="auto"/>
              <w:right w:val="single" w:sz="4" w:space="0" w:color="auto"/>
            </w:tcBorders>
            <w:shd w:val="clear" w:color="auto" w:fill="auto"/>
            <w:noWrap/>
            <w:vAlign w:val="center"/>
            <w:hideMark/>
          </w:tcPr>
          <w:p w:rsidR="001C2BDA" w:rsidRPr="00F12E8B" w:rsidRDefault="001C2BDA" w:rsidP="001C2BDA">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-27.6</w:t>
            </w:r>
          </w:p>
        </w:tc>
        <w:tc>
          <w:tcPr>
            <w:tcW w:w="3648" w:type="dxa"/>
            <w:tcBorders>
              <w:top w:val="nil"/>
              <w:left w:val="nil"/>
              <w:bottom w:val="single" w:sz="4" w:space="0" w:color="auto"/>
              <w:right w:val="single" w:sz="4" w:space="0" w:color="auto"/>
            </w:tcBorders>
            <w:shd w:val="clear" w:color="auto" w:fill="auto"/>
            <w:noWrap/>
            <w:vAlign w:val="bottom"/>
            <w:hideMark/>
          </w:tcPr>
          <w:p w:rsidR="001C2BDA" w:rsidRPr="00F12E8B" w:rsidRDefault="001C2BDA" w:rsidP="001C2BDA">
            <w:pPr>
              <w:spacing w:after="0" w:line="240" w:lineRule="auto"/>
              <w:rPr>
                <w:rFonts w:ascii="Times New Roman" w:eastAsia="Times New Roman" w:hAnsi="Times New Roman"/>
                <w:bCs/>
                <w:color w:val="000000"/>
                <w:sz w:val="20"/>
                <w:szCs w:val="20"/>
                <w:lang w:eastAsia="el-GR"/>
              </w:rPr>
            </w:pPr>
          </w:p>
        </w:tc>
      </w:tr>
    </w:tbl>
    <w:p w:rsidR="001C2BDA" w:rsidRPr="00F12E8B" w:rsidRDefault="001C2BDA" w:rsidP="00E27ADD">
      <w:pPr>
        <w:spacing w:after="0" w:line="240" w:lineRule="auto"/>
        <w:jc w:val="center"/>
        <w:rPr>
          <w:rFonts w:ascii="Times New Roman" w:hAnsi="Times New Roman"/>
          <w:sz w:val="20"/>
          <w:szCs w:val="20"/>
        </w:rPr>
      </w:pPr>
      <w:r w:rsidRPr="00F12E8B">
        <w:rPr>
          <w:rFonts w:ascii="Times New Roman" w:hAnsi="Times New Roman"/>
          <w:sz w:val="20"/>
          <w:szCs w:val="20"/>
        </w:rPr>
        <w:t>Source: Authors' calculations from published financial statements of the Greek Cooperative Banks.</w:t>
      </w:r>
    </w:p>
    <w:p w:rsidR="00F12E8B" w:rsidRDefault="00F12E8B" w:rsidP="00FC3D2C">
      <w:pPr>
        <w:spacing w:after="0" w:line="240" w:lineRule="auto"/>
        <w:jc w:val="center"/>
        <w:rPr>
          <w:rFonts w:ascii="Times New Roman" w:hAnsi="Times New Roman"/>
          <w:sz w:val="20"/>
          <w:szCs w:val="20"/>
        </w:rPr>
      </w:pPr>
    </w:p>
    <w:p w:rsidR="0023021C" w:rsidRPr="00F12E8B" w:rsidRDefault="00485328" w:rsidP="00FC3D2C">
      <w:pPr>
        <w:spacing w:after="0" w:line="240" w:lineRule="auto"/>
        <w:jc w:val="center"/>
        <w:rPr>
          <w:rFonts w:ascii="Times New Roman" w:hAnsi="Times New Roman"/>
          <w:sz w:val="20"/>
          <w:szCs w:val="20"/>
        </w:rPr>
      </w:pPr>
      <w:r w:rsidRPr="00F12E8B">
        <w:rPr>
          <w:rFonts w:ascii="Times New Roman" w:hAnsi="Times New Roman"/>
          <w:sz w:val="20"/>
          <w:szCs w:val="20"/>
        </w:rPr>
        <w:t>Figure</w:t>
      </w:r>
      <w:r w:rsidR="0023021C" w:rsidRPr="00F12E8B">
        <w:rPr>
          <w:rFonts w:ascii="Times New Roman" w:hAnsi="Times New Roman"/>
          <w:sz w:val="20"/>
          <w:szCs w:val="20"/>
        </w:rPr>
        <w:t xml:space="preserve"> 6: Operating Cash Flow Return on Equity (</w:t>
      </w:r>
      <w:r w:rsidR="0023021C" w:rsidRPr="00F12E8B">
        <w:rPr>
          <w:rFonts w:ascii="Times New Roman" w:hAnsi="Times New Roman"/>
          <w:spacing w:val="3"/>
          <w:sz w:val="20"/>
          <w:szCs w:val="20"/>
          <w:shd w:val="clear" w:color="auto" w:fill="FFFFFF"/>
        </w:rPr>
        <w:t>OCFROE</w:t>
      </w:r>
      <w:r w:rsidR="0023021C" w:rsidRPr="00F12E8B">
        <w:rPr>
          <w:rFonts w:ascii="Times New Roman" w:hAnsi="Times New Roman"/>
          <w:sz w:val="20"/>
          <w:szCs w:val="20"/>
        </w:rPr>
        <w:t>)</w:t>
      </w:r>
      <w:r w:rsidR="007B7BDE" w:rsidRPr="00F12E8B">
        <w:rPr>
          <w:rFonts w:ascii="Times New Roman" w:hAnsi="Times New Roman"/>
          <w:sz w:val="20"/>
          <w:szCs w:val="20"/>
        </w:rPr>
        <w:t xml:space="preserve"> before and after the acquisition</w:t>
      </w:r>
    </w:p>
    <w:p w:rsidR="001C2BDA" w:rsidRPr="00F12E8B" w:rsidRDefault="00AC4A67" w:rsidP="00E27ADD">
      <w:pPr>
        <w:spacing w:after="0" w:line="240" w:lineRule="auto"/>
        <w:jc w:val="center"/>
        <w:rPr>
          <w:rFonts w:ascii="Times New Roman" w:hAnsi="Times New Roman"/>
          <w:sz w:val="20"/>
          <w:szCs w:val="20"/>
        </w:rPr>
      </w:pPr>
      <w:r w:rsidRPr="00F12E8B">
        <w:rPr>
          <w:rFonts w:ascii="Times New Roman" w:hAnsi="Times New Roman"/>
          <w:noProof/>
          <w:sz w:val="20"/>
          <w:szCs w:val="20"/>
          <w:lang w:val="el-GR" w:eastAsia="el-GR"/>
        </w:rPr>
        <w:drawing>
          <wp:inline distT="0" distB="0" distL="0" distR="0">
            <wp:extent cx="5141670" cy="2737262"/>
            <wp:effectExtent l="19050" t="0" r="20880" b="5938"/>
            <wp:docPr id="16" name="Γράφημα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1C2BDA" w:rsidRPr="00F12E8B" w:rsidRDefault="0023021C" w:rsidP="00E27ADD">
      <w:pPr>
        <w:spacing w:after="0" w:line="240" w:lineRule="auto"/>
        <w:jc w:val="center"/>
        <w:rPr>
          <w:rFonts w:ascii="Times New Roman" w:hAnsi="Times New Roman"/>
          <w:sz w:val="20"/>
          <w:szCs w:val="20"/>
        </w:rPr>
      </w:pPr>
      <w:r w:rsidRPr="00F12E8B">
        <w:rPr>
          <w:rFonts w:ascii="Times New Roman" w:hAnsi="Times New Roman"/>
          <w:sz w:val="20"/>
          <w:szCs w:val="20"/>
        </w:rPr>
        <w:t>Source: Table 6</w:t>
      </w:r>
    </w:p>
    <w:p w:rsidR="00F12E8B" w:rsidRDefault="00F12E8B" w:rsidP="000F1E5F">
      <w:pPr>
        <w:spacing w:after="0" w:line="240" w:lineRule="auto"/>
        <w:jc w:val="both"/>
        <w:rPr>
          <w:rFonts w:ascii="Times New Roman" w:hAnsi="Times New Roman"/>
          <w:sz w:val="20"/>
          <w:szCs w:val="20"/>
        </w:rPr>
      </w:pPr>
    </w:p>
    <w:p w:rsidR="000F1E5F" w:rsidRPr="00F12E8B" w:rsidRDefault="000F1E5F" w:rsidP="000F1E5F">
      <w:pPr>
        <w:spacing w:after="0" w:line="240" w:lineRule="auto"/>
        <w:jc w:val="both"/>
        <w:rPr>
          <w:rFonts w:ascii="Times New Roman" w:hAnsi="Times New Roman"/>
          <w:sz w:val="20"/>
          <w:szCs w:val="20"/>
        </w:rPr>
      </w:pPr>
      <w:r w:rsidRPr="00F12E8B">
        <w:rPr>
          <w:rFonts w:ascii="Times New Roman" w:hAnsi="Times New Roman"/>
          <w:sz w:val="20"/>
          <w:szCs w:val="20"/>
        </w:rPr>
        <w:t xml:space="preserve">From the </w:t>
      </w:r>
      <w:r w:rsidR="00B66835" w:rsidRPr="00F12E8B">
        <w:rPr>
          <w:rFonts w:ascii="Times New Roman" w:hAnsi="Times New Roman"/>
          <w:sz w:val="20"/>
          <w:szCs w:val="20"/>
        </w:rPr>
        <w:t xml:space="preserve">above </w:t>
      </w:r>
      <w:r w:rsidR="003B44D3">
        <w:rPr>
          <w:rFonts w:ascii="Times New Roman" w:hAnsi="Times New Roman"/>
          <w:sz w:val="20"/>
          <w:szCs w:val="20"/>
        </w:rPr>
        <w:t>table6, f</w:t>
      </w:r>
      <w:r w:rsidR="00485328" w:rsidRPr="00F12E8B">
        <w:rPr>
          <w:rFonts w:ascii="Times New Roman" w:hAnsi="Times New Roman"/>
          <w:sz w:val="20"/>
          <w:szCs w:val="20"/>
        </w:rPr>
        <w:t>igure</w:t>
      </w:r>
      <w:r w:rsidRPr="00F12E8B">
        <w:rPr>
          <w:rFonts w:ascii="Times New Roman" w:hAnsi="Times New Roman"/>
          <w:sz w:val="20"/>
          <w:szCs w:val="20"/>
        </w:rPr>
        <w:t xml:space="preserve"> 6 we observe that during the time period 2014-2016 before the acquisition the </w:t>
      </w:r>
      <w:r w:rsidRPr="00F12E8B">
        <w:rPr>
          <w:rFonts w:ascii="Times New Roman" w:hAnsi="Times New Roman"/>
          <w:spacing w:val="3"/>
          <w:sz w:val="20"/>
          <w:szCs w:val="20"/>
          <w:shd w:val="clear" w:color="auto" w:fill="FFFFFF"/>
        </w:rPr>
        <w:t>OCFROE</w:t>
      </w:r>
      <w:r w:rsidRPr="00F12E8B">
        <w:rPr>
          <w:rFonts w:ascii="Times New Roman" w:hAnsi="Times New Roman"/>
          <w:sz w:val="20"/>
          <w:szCs w:val="20"/>
        </w:rPr>
        <w:t xml:space="preserve"> ratio for the target bank had a too high negative rate in the year of 201</w:t>
      </w:r>
      <w:r w:rsidR="00B71231" w:rsidRPr="00F12E8B">
        <w:rPr>
          <w:rFonts w:ascii="Times New Roman" w:hAnsi="Times New Roman"/>
          <w:sz w:val="20"/>
          <w:szCs w:val="20"/>
        </w:rPr>
        <w:t>5</w:t>
      </w:r>
      <w:r w:rsidRPr="00F12E8B">
        <w:rPr>
          <w:rFonts w:ascii="Times New Roman" w:hAnsi="Times New Roman"/>
          <w:sz w:val="20"/>
          <w:szCs w:val="20"/>
        </w:rPr>
        <w:t xml:space="preserve"> and greater volatility than the bidder's. The bidder had also negative </w:t>
      </w:r>
      <w:r w:rsidRPr="00F12E8B">
        <w:rPr>
          <w:rFonts w:ascii="Times New Roman" w:hAnsi="Times New Roman"/>
          <w:spacing w:val="3"/>
          <w:sz w:val="20"/>
          <w:szCs w:val="20"/>
          <w:shd w:val="clear" w:color="auto" w:fill="FFFFFF"/>
        </w:rPr>
        <w:t>OCFROE</w:t>
      </w:r>
      <w:r w:rsidRPr="00F12E8B">
        <w:rPr>
          <w:rFonts w:ascii="Times New Roman" w:hAnsi="Times New Roman"/>
          <w:sz w:val="20"/>
          <w:szCs w:val="20"/>
        </w:rPr>
        <w:t xml:space="preserve"> ratio before the acquisition took place. After the acquisition the </w:t>
      </w:r>
      <w:r w:rsidRPr="00F12E8B">
        <w:rPr>
          <w:rFonts w:ascii="Times New Roman" w:hAnsi="Times New Roman"/>
          <w:spacing w:val="3"/>
          <w:sz w:val="20"/>
          <w:szCs w:val="20"/>
          <w:shd w:val="clear" w:color="auto" w:fill="FFFFFF"/>
        </w:rPr>
        <w:t>OCFROE</w:t>
      </w:r>
      <w:r w:rsidRPr="00F12E8B">
        <w:rPr>
          <w:rFonts w:ascii="Times New Roman" w:hAnsi="Times New Roman"/>
          <w:sz w:val="20"/>
          <w:szCs w:val="20"/>
        </w:rPr>
        <w:t xml:space="preserve"> ratio of the bidder had increased in the year 201</w:t>
      </w:r>
      <w:r w:rsidR="00374956" w:rsidRPr="00F12E8B">
        <w:rPr>
          <w:rFonts w:ascii="Times New Roman" w:hAnsi="Times New Roman"/>
          <w:sz w:val="20"/>
          <w:szCs w:val="20"/>
        </w:rPr>
        <w:t>8</w:t>
      </w:r>
      <w:r w:rsidRPr="00F12E8B">
        <w:rPr>
          <w:rFonts w:ascii="Times New Roman" w:hAnsi="Times New Roman"/>
          <w:sz w:val="20"/>
          <w:szCs w:val="20"/>
        </w:rPr>
        <w:t xml:space="preserve"> in a high positive level, but afterwards it had </w:t>
      </w:r>
      <w:r w:rsidR="007863D0" w:rsidRPr="00F12E8B">
        <w:rPr>
          <w:rFonts w:ascii="Times New Roman" w:hAnsi="Times New Roman"/>
          <w:sz w:val="20"/>
          <w:szCs w:val="20"/>
        </w:rPr>
        <w:t xml:space="preserve">a </w:t>
      </w:r>
      <w:r w:rsidRPr="00F12E8B">
        <w:rPr>
          <w:rFonts w:ascii="Times New Roman" w:hAnsi="Times New Roman"/>
          <w:sz w:val="20"/>
          <w:szCs w:val="20"/>
        </w:rPr>
        <w:t xml:space="preserve">downward trend </w:t>
      </w:r>
      <w:r w:rsidR="007863D0" w:rsidRPr="00F12E8B">
        <w:rPr>
          <w:rFonts w:ascii="Times New Roman" w:hAnsi="Times New Roman"/>
          <w:sz w:val="20"/>
          <w:szCs w:val="20"/>
        </w:rPr>
        <w:t>and the years 2019 and 2020 fell</w:t>
      </w:r>
      <w:r w:rsidRPr="00F12E8B">
        <w:rPr>
          <w:rFonts w:ascii="Times New Roman" w:hAnsi="Times New Roman"/>
          <w:sz w:val="20"/>
          <w:szCs w:val="20"/>
        </w:rPr>
        <w:t xml:space="preserve"> to negative level as it was before the acquisition.</w:t>
      </w:r>
    </w:p>
    <w:p w:rsidR="00B66835" w:rsidRPr="00F12E8B" w:rsidRDefault="00B66835" w:rsidP="000F1E5F">
      <w:pPr>
        <w:spacing w:after="0" w:line="240" w:lineRule="auto"/>
        <w:jc w:val="both"/>
        <w:rPr>
          <w:rFonts w:ascii="Times New Roman" w:hAnsi="Times New Roman"/>
          <w:sz w:val="20"/>
          <w:szCs w:val="20"/>
        </w:rPr>
      </w:pPr>
    </w:p>
    <w:p w:rsidR="0023021C" w:rsidRPr="00F12E8B" w:rsidRDefault="0023021C" w:rsidP="00E27ADD">
      <w:pPr>
        <w:spacing w:after="0" w:line="240" w:lineRule="auto"/>
        <w:jc w:val="center"/>
        <w:rPr>
          <w:rFonts w:ascii="Times New Roman" w:hAnsi="Times New Roman"/>
          <w:sz w:val="20"/>
          <w:szCs w:val="20"/>
        </w:rPr>
      </w:pPr>
      <w:r w:rsidRPr="00F12E8B">
        <w:rPr>
          <w:rFonts w:ascii="Times New Roman" w:hAnsi="Times New Roman"/>
          <w:sz w:val="20"/>
          <w:szCs w:val="20"/>
        </w:rPr>
        <w:t>Table 7: Operating Cash Flow Return on Equity (</w:t>
      </w:r>
      <w:r w:rsidRPr="00F12E8B">
        <w:rPr>
          <w:rFonts w:ascii="Times New Roman" w:hAnsi="Times New Roman"/>
          <w:spacing w:val="3"/>
          <w:sz w:val="20"/>
          <w:szCs w:val="20"/>
          <w:shd w:val="clear" w:color="auto" w:fill="FFFFFF"/>
        </w:rPr>
        <w:t>OCFROA</w:t>
      </w:r>
      <w:r w:rsidRPr="00F12E8B">
        <w:rPr>
          <w:rFonts w:ascii="Times New Roman" w:hAnsi="Times New Roman"/>
          <w:sz w:val="20"/>
          <w:szCs w:val="20"/>
        </w:rPr>
        <w:t>)</w:t>
      </w:r>
      <w:r w:rsidR="007B7BDE" w:rsidRPr="00F12E8B">
        <w:rPr>
          <w:rFonts w:ascii="Times New Roman" w:hAnsi="Times New Roman"/>
          <w:sz w:val="20"/>
          <w:szCs w:val="20"/>
        </w:rPr>
        <w:t xml:space="preserve"> before and after the acquisition</w:t>
      </w:r>
    </w:p>
    <w:tbl>
      <w:tblPr>
        <w:tblW w:w="0" w:type="auto"/>
        <w:jc w:val="center"/>
        <w:tblLook w:val="04A0"/>
      </w:tblPr>
      <w:tblGrid>
        <w:gridCol w:w="872"/>
        <w:gridCol w:w="3416"/>
        <w:gridCol w:w="3283"/>
      </w:tblGrid>
      <w:tr w:rsidR="00AC4A67" w:rsidRPr="00F12E8B" w:rsidTr="00E27ADD">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A67" w:rsidRPr="00F12E8B" w:rsidRDefault="00AC4A67" w:rsidP="00C421DC">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YEARS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C4A67" w:rsidRPr="00F12E8B" w:rsidRDefault="00AC4A67" w:rsidP="00C421DC">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 OCFROΑ Cooperative Bank Dramas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C4A67" w:rsidRPr="00F12E8B" w:rsidRDefault="00AC4A67" w:rsidP="00C421DC">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 OCFROΑ Cooperative Bank Evrou</w:t>
            </w:r>
          </w:p>
        </w:tc>
      </w:tr>
      <w:tr w:rsidR="00AC4A67" w:rsidRPr="00F12E8B" w:rsidTr="00E27ADD">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C4A67" w:rsidRPr="00F12E8B" w:rsidRDefault="00AC4A67" w:rsidP="00C421DC">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2014</w:t>
            </w:r>
          </w:p>
        </w:tc>
        <w:tc>
          <w:tcPr>
            <w:tcW w:w="0" w:type="auto"/>
            <w:tcBorders>
              <w:top w:val="nil"/>
              <w:left w:val="nil"/>
              <w:bottom w:val="single" w:sz="4" w:space="0" w:color="auto"/>
              <w:right w:val="single" w:sz="4" w:space="0" w:color="auto"/>
            </w:tcBorders>
            <w:shd w:val="clear" w:color="auto" w:fill="auto"/>
            <w:noWrap/>
            <w:vAlign w:val="center"/>
            <w:hideMark/>
          </w:tcPr>
          <w:p w:rsidR="00AC4A67" w:rsidRPr="00F12E8B" w:rsidRDefault="00AC4A67" w:rsidP="00C421DC">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1.9</w:t>
            </w:r>
          </w:p>
        </w:tc>
        <w:tc>
          <w:tcPr>
            <w:tcW w:w="0" w:type="auto"/>
            <w:tcBorders>
              <w:top w:val="nil"/>
              <w:left w:val="nil"/>
              <w:bottom w:val="single" w:sz="4" w:space="0" w:color="auto"/>
              <w:right w:val="single" w:sz="4" w:space="0" w:color="auto"/>
            </w:tcBorders>
            <w:shd w:val="clear" w:color="auto" w:fill="auto"/>
            <w:noWrap/>
            <w:vAlign w:val="center"/>
            <w:hideMark/>
          </w:tcPr>
          <w:p w:rsidR="00AC4A67" w:rsidRPr="00F12E8B" w:rsidRDefault="00AC4A67" w:rsidP="00C421DC">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4.2</w:t>
            </w:r>
          </w:p>
        </w:tc>
      </w:tr>
      <w:tr w:rsidR="00AC4A67" w:rsidRPr="00F12E8B" w:rsidTr="00E27ADD">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C4A67" w:rsidRPr="00F12E8B" w:rsidRDefault="00AC4A67" w:rsidP="00C421DC">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2015</w:t>
            </w:r>
          </w:p>
        </w:tc>
        <w:tc>
          <w:tcPr>
            <w:tcW w:w="0" w:type="auto"/>
            <w:tcBorders>
              <w:top w:val="nil"/>
              <w:left w:val="nil"/>
              <w:bottom w:val="single" w:sz="4" w:space="0" w:color="auto"/>
              <w:right w:val="single" w:sz="4" w:space="0" w:color="auto"/>
            </w:tcBorders>
            <w:shd w:val="clear" w:color="auto" w:fill="auto"/>
            <w:noWrap/>
            <w:vAlign w:val="center"/>
            <w:hideMark/>
          </w:tcPr>
          <w:p w:rsidR="00AC4A67" w:rsidRPr="00F12E8B" w:rsidRDefault="00AC4A67" w:rsidP="00C421DC">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-2</w:t>
            </w:r>
          </w:p>
        </w:tc>
        <w:tc>
          <w:tcPr>
            <w:tcW w:w="0" w:type="auto"/>
            <w:tcBorders>
              <w:top w:val="nil"/>
              <w:left w:val="nil"/>
              <w:bottom w:val="single" w:sz="4" w:space="0" w:color="auto"/>
              <w:right w:val="single" w:sz="4" w:space="0" w:color="auto"/>
            </w:tcBorders>
            <w:shd w:val="clear" w:color="auto" w:fill="auto"/>
            <w:noWrap/>
            <w:vAlign w:val="center"/>
            <w:hideMark/>
          </w:tcPr>
          <w:p w:rsidR="00AC4A67" w:rsidRPr="00F12E8B" w:rsidRDefault="00AC4A67" w:rsidP="00C421DC">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-28.90</w:t>
            </w:r>
          </w:p>
        </w:tc>
      </w:tr>
      <w:tr w:rsidR="00AC4A67" w:rsidRPr="00F12E8B" w:rsidTr="00E27ADD">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C4A67" w:rsidRPr="00F12E8B" w:rsidRDefault="00AC4A67" w:rsidP="00C421DC">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2016</w:t>
            </w:r>
          </w:p>
        </w:tc>
        <w:tc>
          <w:tcPr>
            <w:tcW w:w="0" w:type="auto"/>
            <w:tcBorders>
              <w:top w:val="nil"/>
              <w:left w:val="nil"/>
              <w:bottom w:val="single" w:sz="4" w:space="0" w:color="auto"/>
              <w:right w:val="single" w:sz="4" w:space="0" w:color="auto"/>
            </w:tcBorders>
            <w:shd w:val="clear" w:color="auto" w:fill="auto"/>
            <w:noWrap/>
            <w:vAlign w:val="center"/>
            <w:hideMark/>
          </w:tcPr>
          <w:p w:rsidR="00AC4A67" w:rsidRPr="00F12E8B" w:rsidRDefault="00AC4A67" w:rsidP="00C421DC">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-7.2</w:t>
            </w:r>
          </w:p>
        </w:tc>
        <w:tc>
          <w:tcPr>
            <w:tcW w:w="0" w:type="auto"/>
            <w:tcBorders>
              <w:top w:val="nil"/>
              <w:left w:val="nil"/>
              <w:bottom w:val="single" w:sz="4" w:space="0" w:color="auto"/>
              <w:right w:val="single" w:sz="4" w:space="0" w:color="auto"/>
            </w:tcBorders>
            <w:shd w:val="clear" w:color="auto" w:fill="auto"/>
            <w:noWrap/>
            <w:vAlign w:val="center"/>
            <w:hideMark/>
          </w:tcPr>
          <w:p w:rsidR="00AC4A67" w:rsidRPr="00F12E8B" w:rsidRDefault="00AC4A67" w:rsidP="00C421DC">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6.4</w:t>
            </w:r>
          </w:p>
        </w:tc>
      </w:tr>
      <w:tr w:rsidR="00AC4A67" w:rsidRPr="00F12E8B" w:rsidTr="00E27ADD">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C4A67" w:rsidRPr="00F12E8B" w:rsidRDefault="00AC4A67" w:rsidP="00C421DC">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2017</w:t>
            </w:r>
          </w:p>
        </w:tc>
        <w:tc>
          <w:tcPr>
            <w:tcW w:w="0" w:type="auto"/>
            <w:tcBorders>
              <w:top w:val="nil"/>
              <w:left w:val="nil"/>
              <w:bottom w:val="single" w:sz="4" w:space="0" w:color="auto"/>
              <w:right w:val="single" w:sz="4" w:space="0" w:color="auto"/>
            </w:tcBorders>
            <w:shd w:val="clear" w:color="auto" w:fill="auto"/>
            <w:noWrap/>
            <w:vAlign w:val="center"/>
            <w:hideMark/>
          </w:tcPr>
          <w:p w:rsidR="00AC4A67" w:rsidRPr="00F12E8B" w:rsidRDefault="00AC4A67" w:rsidP="00C421DC">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-1.6</w:t>
            </w:r>
          </w:p>
        </w:tc>
        <w:tc>
          <w:tcPr>
            <w:tcW w:w="0" w:type="auto"/>
            <w:tcBorders>
              <w:top w:val="nil"/>
              <w:left w:val="nil"/>
              <w:bottom w:val="single" w:sz="4" w:space="0" w:color="auto"/>
              <w:right w:val="single" w:sz="4" w:space="0" w:color="auto"/>
            </w:tcBorders>
            <w:shd w:val="clear" w:color="auto" w:fill="auto"/>
            <w:noWrap/>
            <w:vAlign w:val="bottom"/>
            <w:hideMark/>
          </w:tcPr>
          <w:p w:rsidR="00AC4A67" w:rsidRPr="00F12E8B" w:rsidRDefault="00AC4A67" w:rsidP="00C421DC">
            <w:pPr>
              <w:spacing w:after="0" w:line="240" w:lineRule="auto"/>
              <w:jc w:val="center"/>
              <w:rPr>
                <w:rFonts w:ascii="Times New Roman" w:eastAsia="Times New Roman" w:hAnsi="Times New Roman"/>
                <w:bCs/>
                <w:color w:val="000000"/>
                <w:sz w:val="20"/>
                <w:szCs w:val="20"/>
                <w:lang w:eastAsia="el-GR"/>
              </w:rPr>
            </w:pPr>
          </w:p>
        </w:tc>
      </w:tr>
      <w:tr w:rsidR="00AC4A67" w:rsidRPr="00F12E8B" w:rsidTr="00E27ADD">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C4A67" w:rsidRPr="00F12E8B" w:rsidRDefault="00AC4A67" w:rsidP="00C421DC">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2018</w:t>
            </w:r>
          </w:p>
        </w:tc>
        <w:tc>
          <w:tcPr>
            <w:tcW w:w="0" w:type="auto"/>
            <w:tcBorders>
              <w:top w:val="nil"/>
              <w:left w:val="nil"/>
              <w:bottom w:val="single" w:sz="4" w:space="0" w:color="auto"/>
              <w:right w:val="single" w:sz="4" w:space="0" w:color="auto"/>
            </w:tcBorders>
            <w:shd w:val="clear" w:color="auto" w:fill="auto"/>
            <w:noWrap/>
            <w:vAlign w:val="center"/>
            <w:hideMark/>
          </w:tcPr>
          <w:p w:rsidR="00AC4A67" w:rsidRPr="00F12E8B" w:rsidRDefault="00AC4A67" w:rsidP="00C421DC">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4.7</w:t>
            </w:r>
          </w:p>
        </w:tc>
        <w:tc>
          <w:tcPr>
            <w:tcW w:w="0" w:type="auto"/>
            <w:tcBorders>
              <w:top w:val="nil"/>
              <w:left w:val="nil"/>
              <w:bottom w:val="single" w:sz="4" w:space="0" w:color="auto"/>
              <w:right w:val="single" w:sz="4" w:space="0" w:color="auto"/>
            </w:tcBorders>
            <w:shd w:val="clear" w:color="auto" w:fill="auto"/>
            <w:noWrap/>
            <w:vAlign w:val="bottom"/>
            <w:hideMark/>
          </w:tcPr>
          <w:p w:rsidR="00AC4A67" w:rsidRPr="00F12E8B" w:rsidRDefault="00AC4A67" w:rsidP="00C421DC">
            <w:pPr>
              <w:spacing w:after="0" w:line="240" w:lineRule="auto"/>
              <w:jc w:val="center"/>
              <w:rPr>
                <w:rFonts w:ascii="Times New Roman" w:eastAsia="Times New Roman" w:hAnsi="Times New Roman"/>
                <w:bCs/>
                <w:color w:val="000000"/>
                <w:sz w:val="20"/>
                <w:szCs w:val="20"/>
                <w:lang w:eastAsia="el-GR"/>
              </w:rPr>
            </w:pPr>
          </w:p>
        </w:tc>
      </w:tr>
      <w:tr w:rsidR="00AC4A67" w:rsidRPr="00F12E8B" w:rsidTr="00E27ADD">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C4A67" w:rsidRPr="00F12E8B" w:rsidRDefault="00AC4A67" w:rsidP="00C421DC">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2019</w:t>
            </w:r>
          </w:p>
        </w:tc>
        <w:tc>
          <w:tcPr>
            <w:tcW w:w="0" w:type="auto"/>
            <w:tcBorders>
              <w:top w:val="nil"/>
              <w:left w:val="nil"/>
              <w:bottom w:val="single" w:sz="4" w:space="0" w:color="auto"/>
              <w:right w:val="single" w:sz="4" w:space="0" w:color="auto"/>
            </w:tcBorders>
            <w:shd w:val="clear" w:color="auto" w:fill="auto"/>
            <w:noWrap/>
            <w:vAlign w:val="center"/>
            <w:hideMark/>
          </w:tcPr>
          <w:p w:rsidR="00AC4A67" w:rsidRPr="00F12E8B" w:rsidRDefault="00AC4A67" w:rsidP="00C421DC">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3.8</w:t>
            </w:r>
          </w:p>
        </w:tc>
        <w:tc>
          <w:tcPr>
            <w:tcW w:w="0" w:type="auto"/>
            <w:tcBorders>
              <w:top w:val="nil"/>
              <w:left w:val="nil"/>
              <w:bottom w:val="single" w:sz="4" w:space="0" w:color="auto"/>
              <w:right w:val="single" w:sz="4" w:space="0" w:color="auto"/>
            </w:tcBorders>
            <w:shd w:val="clear" w:color="auto" w:fill="auto"/>
            <w:noWrap/>
            <w:vAlign w:val="bottom"/>
            <w:hideMark/>
          </w:tcPr>
          <w:p w:rsidR="00AC4A67" w:rsidRPr="00F12E8B" w:rsidRDefault="00AC4A67" w:rsidP="00C421DC">
            <w:pPr>
              <w:spacing w:after="0" w:line="240" w:lineRule="auto"/>
              <w:jc w:val="center"/>
              <w:rPr>
                <w:rFonts w:ascii="Times New Roman" w:eastAsia="Times New Roman" w:hAnsi="Times New Roman"/>
                <w:bCs/>
                <w:color w:val="000000"/>
                <w:sz w:val="20"/>
                <w:szCs w:val="20"/>
                <w:lang w:eastAsia="el-GR"/>
              </w:rPr>
            </w:pPr>
          </w:p>
        </w:tc>
      </w:tr>
      <w:tr w:rsidR="00AC4A67" w:rsidRPr="00F12E8B" w:rsidTr="00E27ADD">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C4A67" w:rsidRPr="00F12E8B" w:rsidRDefault="00AC4A67" w:rsidP="00C421DC">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2020</w:t>
            </w:r>
          </w:p>
        </w:tc>
        <w:tc>
          <w:tcPr>
            <w:tcW w:w="0" w:type="auto"/>
            <w:tcBorders>
              <w:top w:val="nil"/>
              <w:left w:val="nil"/>
              <w:bottom w:val="single" w:sz="4" w:space="0" w:color="auto"/>
              <w:right w:val="single" w:sz="4" w:space="0" w:color="auto"/>
            </w:tcBorders>
            <w:shd w:val="clear" w:color="auto" w:fill="auto"/>
            <w:noWrap/>
            <w:vAlign w:val="center"/>
            <w:hideMark/>
          </w:tcPr>
          <w:p w:rsidR="00AC4A67" w:rsidRPr="00F12E8B" w:rsidRDefault="00AC4A67" w:rsidP="00C421DC">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-2.3</w:t>
            </w:r>
          </w:p>
        </w:tc>
        <w:tc>
          <w:tcPr>
            <w:tcW w:w="0" w:type="auto"/>
            <w:tcBorders>
              <w:top w:val="nil"/>
              <w:left w:val="nil"/>
              <w:bottom w:val="single" w:sz="4" w:space="0" w:color="auto"/>
              <w:right w:val="single" w:sz="4" w:space="0" w:color="auto"/>
            </w:tcBorders>
            <w:shd w:val="clear" w:color="auto" w:fill="auto"/>
            <w:noWrap/>
            <w:vAlign w:val="bottom"/>
            <w:hideMark/>
          </w:tcPr>
          <w:p w:rsidR="00AC4A67" w:rsidRPr="00F12E8B" w:rsidRDefault="00AC4A67" w:rsidP="00C421DC">
            <w:pPr>
              <w:spacing w:after="0" w:line="240" w:lineRule="auto"/>
              <w:jc w:val="center"/>
              <w:rPr>
                <w:rFonts w:ascii="Times New Roman" w:eastAsia="Times New Roman" w:hAnsi="Times New Roman"/>
                <w:bCs/>
                <w:color w:val="000000"/>
                <w:sz w:val="20"/>
                <w:szCs w:val="20"/>
                <w:lang w:eastAsia="el-GR"/>
              </w:rPr>
            </w:pPr>
          </w:p>
        </w:tc>
      </w:tr>
    </w:tbl>
    <w:p w:rsidR="0023021C" w:rsidRPr="00F12E8B" w:rsidRDefault="0023021C" w:rsidP="00E27ADD">
      <w:pPr>
        <w:spacing w:after="0" w:line="240" w:lineRule="auto"/>
        <w:jc w:val="center"/>
        <w:rPr>
          <w:rFonts w:ascii="Times New Roman" w:hAnsi="Times New Roman"/>
          <w:sz w:val="20"/>
          <w:szCs w:val="20"/>
        </w:rPr>
      </w:pPr>
      <w:r w:rsidRPr="00F12E8B">
        <w:rPr>
          <w:rFonts w:ascii="Times New Roman" w:hAnsi="Times New Roman"/>
          <w:sz w:val="20"/>
          <w:szCs w:val="20"/>
        </w:rPr>
        <w:t>Source: Authors' calculations from published financial statements of the Greek Cooperative Banks.</w:t>
      </w:r>
    </w:p>
    <w:p w:rsidR="00C421DC" w:rsidRDefault="00C421DC" w:rsidP="00554446">
      <w:pPr>
        <w:spacing w:after="0" w:line="240" w:lineRule="auto"/>
        <w:jc w:val="both"/>
        <w:rPr>
          <w:rFonts w:ascii="Times New Roman" w:hAnsi="Times New Roman"/>
          <w:sz w:val="20"/>
          <w:szCs w:val="20"/>
        </w:rPr>
      </w:pPr>
    </w:p>
    <w:p w:rsidR="00945934" w:rsidRDefault="00945934" w:rsidP="00554446">
      <w:pPr>
        <w:spacing w:after="0" w:line="240" w:lineRule="auto"/>
        <w:jc w:val="both"/>
        <w:rPr>
          <w:rFonts w:ascii="Times New Roman" w:hAnsi="Times New Roman"/>
          <w:sz w:val="20"/>
          <w:szCs w:val="20"/>
        </w:rPr>
      </w:pPr>
    </w:p>
    <w:p w:rsidR="00945934" w:rsidRDefault="00945934" w:rsidP="00554446">
      <w:pPr>
        <w:spacing w:after="0" w:line="240" w:lineRule="auto"/>
        <w:jc w:val="both"/>
        <w:rPr>
          <w:rFonts w:ascii="Times New Roman" w:hAnsi="Times New Roman"/>
          <w:sz w:val="20"/>
          <w:szCs w:val="20"/>
        </w:rPr>
      </w:pPr>
    </w:p>
    <w:p w:rsidR="00945934" w:rsidRDefault="00945934" w:rsidP="00554446">
      <w:pPr>
        <w:spacing w:after="0" w:line="240" w:lineRule="auto"/>
        <w:jc w:val="both"/>
        <w:rPr>
          <w:rFonts w:ascii="Times New Roman" w:hAnsi="Times New Roman"/>
          <w:sz w:val="20"/>
          <w:szCs w:val="20"/>
        </w:rPr>
      </w:pPr>
    </w:p>
    <w:p w:rsidR="00945934" w:rsidRDefault="00945934" w:rsidP="00554446">
      <w:pPr>
        <w:spacing w:after="0" w:line="240" w:lineRule="auto"/>
        <w:jc w:val="both"/>
        <w:rPr>
          <w:rFonts w:ascii="Times New Roman" w:hAnsi="Times New Roman"/>
          <w:sz w:val="20"/>
          <w:szCs w:val="20"/>
        </w:rPr>
      </w:pPr>
    </w:p>
    <w:p w:rsidR="00945934" w:rsidRPr="00F12E8B" w:rsidRDefault="00945934" w:rsidP="00554446">
      <w:pPr>
        <w:spacing w:after="0" w:line="240" w:lineRule="auto"/>
        <w:jc w:val="both"/>
        <w:rPr>
          <w:rFonts w:ascii="Times New Roman" w:hAnsi="Times New Roman"/>
          <w:sz w:val="20"/>
          <w:szCs w:val="20"/>
        </w:rPr>
      </w:pPr>
    </w:p>
    <w:p w:rsidR="0023021C" w:rsidRPr="00F12E8B" w:rsidRDefault="00485328" w:rsidP="00C421DC">
      <w:pPr>
        <w:spacing w:after="0" w:line="240" w:lineRule="auto"/>
        <w:jc w:val="center"/>
        <w:rPr>
          <w:rFonts w:ascii="Times New Roman" w:hAnsi="Times New Roman"/>
          <w:sz w:val="20"/>
          <w:szCs w:val="20"/>
        </w:rPr>
      </w:pPr>
      <w:r w:rsidRPr="00F12E8B">
        <w:rPr>
          <w:rFonts w:ascii="Times New Roman" w:hAnsi="Times New Roman"/>
          <w:sz w:val="20"/>
          <w:szCs w:val="20"/>
        </w:rPr>
        <w:lastRenderedPageBreak/>
        <w:t>Figure</w:t>
      </w:r>
      <w:r w:rsidR="0023021C" w:rsidRPr="00F12E8B">
        <w:rPr>
          <w:rFonts w:ascii="Times New Roman" w:hAnsi="Times New Roman"/>
          <w:sz w:val="20"/>
          <w:szCs w:val="20"/>
        </w:rPr>
        <w:t xml:space="preserve"> 7: Operating Cash Flow Return on Equity (</w:t>
      </w:r>
      <w:r w:rsidR="0023021C" w:rsidRPr="00F12E8B">
        <w:rPr>
          <w:rFonts w:ascii="Times New Roman" w:hAnsi="Times New Roman"/>
          <w:spacing w:val="3"/>
          <w:sz w:val="20"/>
          <w:szCs w:val="20"/>
          <w:shd w:val="clear" w:color="auto" w:fill="FFFFFF"/>
        </w:rPr>
        <w:t>OCFROA</w:t>
      </w:r>
      <w:r w:rsidR="0023021C" w:rsidRPr="00F12E8B">
        <w:rPr>
          <w:rFonts w:ascii="Times New Roman" w:hAnsi="Times New Roman"/>
          <w:sz w:val="20"/>
          <w:szCs w:val="20"/>
        </w:rPr>
        <w:t>)</w:t>
      </w:r>
      <w:r w:rsidR="007B7BDE" w:rsidRPr="00F12E8B">
        <w:rPr>
          <w:rFonts w:ascii="Times New Roman" w:hAnsi="Times New Roman"/>
          <w:sz w:val="20"/>
          <w:szCs w:val="20"/>
        </w:rPr>
        <w:t xml:space="preserve"> before and after the acquisition</w:t>
      </w:r>
    </w:p>
    <w:p w:rsidR="0023021C" w:rsidRPr="00F12E8B" w:rsidRDefault="00367410" w:rsidP="00554446">
      <w:pPr>
        <w:spacing w:after="0" w:line="240" w:lineRule="auto"/>
        <w:jc w:val="both"/>
        <w:rPr>
          <w:rFonts w:ascii="Times New Roman" w:hAnsi="Times New Roman"/>
          <w:sz w:val="20"/>
          <w:szCs w:val="20"/>
        </w:rPr>
      </w:pPr>
      <w:r w:rsidRPr="00F12E8B">
        <w:rPr>
          <w:rFonts w:ascii="Times New Roman" w:hAnsi="Times New Roman"/>
          <w:noProof/>
          <w:sz w:val="20"/>
          <w:szCs w:val="20"/>
          <w:lang w:val="el-GR" w:eastAsia="el-GR"/>
        </w:rPr>
        <w:drawing>
          <wp:inline distT="0" distB="0" distL="0" distR="0">
            <wp:extent cx="5250040" cy="2351315"/>
            <wp:effectExtent l="19050" t="0" r="26810" b="0"/>
            <wp:docPr id="17"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F23F65" w:rsidRPr="00F12E8B" w:rsidRDefault="0023021C" w:rsidP="00C248F8">
      <w:pPr>
        <w:spacing w:after="0" w:line="240" w:lineRule="auto"/>
        <w:jc w:val="center"/>
        <w:rPr>
          <w:rFonts w:ascii="Times New Roman" w:hAnsi="Times New Roman"/>
          <w:sz w:val="20"/>
          <w:szCs w:val="20"/>
        </w:rPr>
      </w:pPr>
      <w:r w:rsidRPr="00F12E8B">
        <w:rPr>
          <w:rFonts w:ascii="Times New Roman" w:hAnsi="Times New Roman"/>
          <w:sz w:val="20"/>
          <w:szCs w:val="20"/>
        </w:rPr>
        <w:t>Source: Table 7</w:t>
      </w:r>
    </w:p>
    <w:p w:rsidR="00F23F65" w:rsidRPr="00F12E8B" w:rsidRDefault="00F23F65" w:rsidP="0023021C">
      <w:pPr>
        <w:spacing w:after="0" w:line="240" w:lineRule="auto"/>
        <w:jc w:val="both"/>
        <w:rPr>
          <w:rFonts w:ascii="Times New Roman" w:hAnsi="Times New Roman"/>
          <w:sz w:val="20"/>
          <w:szCs w:val="20"/>
        </w:rPr>
      </w:pPr>
    </w:p>
    <w:p w:rsidR="00B71231" w:rsidRPr="00F12E8B" w:rsidRDefault="00B71231" w:rsidP="00B71231">
      <w:pPr>
        <w:spacing w:after="0" w:line="240" w:lineRule="auto"/>
        <w:jc w:val="both"/>
        <w:rPr>
          <w:rFonts w:ascii="Times New Roman" w:hAnsi="Times New Roman"/>
          <w:sz w:val="20"/>
          <w:szCs w:val="20"/>
        </w:rPr>
      </w:pPr>
      <w:r w:rsidRPr="00F12E8B">
        <w:rPr>
          <w:rFonts w:ascii="Times New Roman" w:hAnsi="Times New Roman"/>
          <w:sz w:val="20"/>
          <w:szCs w:val="20"/>
        </w:rPr>
        <w:t xml:space="preserve">From the </w:t>
      </w:r>
      <w:r w:rsidR="00B66835" w:rsidRPr="00F12E8B">
        <w:rPr>
          <w:rFonts w:ascii="Times New Roman" w:hAnsi="Times New Roman"/>
          <w:sz w:val="20"/>
          <w:szCs w:val="20"/>
        </w:rPr>
        <w:t xml:space="preserve">above </w:t>
      </w:r>
      <w:r w:rsidR="003B44D3">
        <w:rPr>
          <w:rFonts w:ascii="Times New Roman" w:hAnsi="Times New Roman"/>
          <w:sz w:val="20"/>
          <w:szCs w:val="20"/>
        </w:rPr>
        <w:t>table 7, f</w:t>
      </w:r>
      <w:r w:rsidR="00485328" w:rsidRPr="00F12E8B">
        <w:rPr>
          <w:rFonts w:ascii="Times New Roman" w:hAnsi="Times New Roman"/>
          <w:sz w:val="20"/>
          <w:szCs w:val="20"/>
        </w:rPr>
        <w:t>igure</w:t>
      </w:r>
      <w:r w:rsidRPr="00F12E8B">
        <w:rPr>
          <w:rFonts w:ascii="Times New Roman" w:hAnsi="Times New Roman"/>
          <w:sz w:val="20"/>
          <w:szCs w:val="20"/>
        </w:rPr>
        <w:t xml:space="preserve"> 7 we observe that during the time period 2014-2016 before the acquisition the </w:t>
      </w:r>
      <w:r w:rsidRPr="00F12E8B">
        <w:rPr>
          <w:rFonts w:ascii="Times New Roman" w:hAnsi="Times New Roman"/>
          <w:spacing w:val="3"/>
          <w:sz w:val="20"/>
          <w:szCs w:val="20"/>
          <w:shd w:val="clear" w:color="auto" w:fill="FFFFFF"/>
        </w:rPr>
        <w:t>OCFROA</w:t>
      </w:r>
      <w:r w:rsidRPr="00F12E8B">
        <w:rPr>
          <w:rFonts w:ascii="Times New Roman" w:hAnsi="Times New Roman"/>
          <w:sz w:val="20"/>
          <w:szCs w:val="20"/>
        </w:rPr>
        <w:t xml:space="preserve"> ratio for the target bank had a too high negative rate in the year of 2015 and greater volatility than the bidder's. The bidder had also negative </w:t>
      </w:r>
      <w:r w:rsidRPr="00F12E8B">
        <w:rPr>
          <w:rFonts w:ascii="Times New Roman" w:hAnsi="Times New Roman"/>
          <w:spacing w:val="3"/>
          <w:sz w:val="20"/>
          <w:szCs w:val="20"/>
          <w:shd w:val="clear" w:color="auto" w:fill="FFFFFF"/>
        </w:rPr>
        <w:t>OCFROA</w:t>
      </w:r>
      <w:r w:rsidRPr="00F12E8B">
        <w:rPr>
          <w:rFonts w:ascii="Times New Roman" w:hAnsi="Times New Roman"/>
          <w:sz w:val="20"/>
          <w:szCs w:val="20"/>
        </w:rPr>
        <w:t xml:space="preserve"> ratio before the acquisition took place. After the acquisition the </w:t>
      </w:r>
      <w:r w:rsidRPr="00F12E8B">
        <w:rPr>
          <w:rFonts w:ascii="Times New Roman" w:hAnsi="Times New Roman"/>
          <w:spacing w:val="3"/>
          <w:sz w:val="20"/>
          <w:szCs w:val="20"/>
          <w:shd w:val="clear" w:color="auto" w:fill="FFFFFF"/>
        </w:rPr>
        <w:t>OCFROA</w:t>
      </w:r>
      <w:r w:rsidRPr="00F12E8B">
        <w:rPr>
          <w:rFonts w:ascii="Times New Roman" w:hAnsi="Times New Roman"/>
          <w:sz w:val="20"/>
          <w:szCs w:val="20"/>
        </w:rPr>
        <w:t xml:space="preserve"> ratio of the bidder had increased in the year 2018 in a high positive level, but afterwards it had </w:t>
      </w:r>
      <w:r w:rsidR="007863D0" w:rsidRPr="00F12E8B">
        <w:rPr>
          <w:rFonts w:ascii="Times New Roman" w:hAnsi="Times New Roman"/>
          <w:sz w:val="20"/>
          <w:szCs w:val="20"/>
        </w:rPr>
        <w:t xml:space="preserve">a </w:t>
      </w:r>
      <w:r w:rsidRPr="00F12E8B">
        <w:rPr>
          <w:rFonts w:ascii="Times New Roman" w:hAnsi="Times New Roman"/>
          <w:sz w:val="20"/>
          <w:szCs w:val="20"/>
        </w:rPr>
        <w:t>downward trend and the years 2019 and 2020 fel</w:t>
      </w:r>
      <w:r w:rsidR="007863D0" w:rsidRPr="00F12E8B">
        <w:rPr>
          <w:rFonts w:ascii="Times New Roman" w:hAnsi="Times New Roman"/>
          <w:sz w:val="20"/>
          <w:szCs w:val="20"/>
        </w:rPr>
        <w:t>l</w:t>
      </w:r>
      <w:r w:rsidRPr="00F12E8B">
        <w:rPr>
          <w:rFonts w:ascii="Times New Roman" w:hAnsi="Times New Roman"/>
          <w:sz w:val="20"/>
          <w:szCs w:val="20"/>
        </w:rPr>
        <w:t xml:space="preserve"> to negative level as it was before the acquisition.</w:t>
      </w:r>
    </w:p>
    <w:p w:rsidR="00B66835" w:rsidRPr="00F12E8B" w:rsidRDefault="00B66835" w:rsidP="00B71231">
      <w:pPr>
        <w:spacing w:after="0" w:line="240" w:lineRule="auto"/>
        <w:jc w:val="both"/>
        <w:rPr>
          <w:rFonts w:ascii="Times New Roman" w:hAnsi="Times New Roman"/>
          <w:sz w:val="20"/>
          <w:szCs w:val="20"/>
        </w:rPr>
      </w:pPr>
    </w:p>
    <w:p w:rsidR="0023021C" w:rsidRPr="00F12E8B" w:rsidRDefault="00F23F65" w:rsidP="00C421DC">
      <w:pPr>
        <w:spacing w:after="0" w:line="240" w:lineRule="auto"/>
        <w:jc w:val="center"/>
        <w:rPr>
          <w:rFonts w:ascii="Times New Roman" w:hAnsi="Times New Roman"/>
          <w:sz w:val="20"/>
          <w:szCs w:val="20"/>
        </w:rPr>
      </w:pPr>
      <w:r w:rsidRPr="00F12E8B">
        <w:rPr>
          <w:rFonts w:ascii="Times New Roman" w:hAnsi="Times New Roman"/>
          <w:sz w:val="20"/>
          <w:szCs w:val="20"/>
        </w:rPr>
        <w:t>Table 8: DuPont Analysis before and after the Acquisition</w:t>
      </w:r>
    </w:p>
    <w:tbl>
      <w:tblPr>
        <w:tblW w:w="870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1276"/>
        <w:gridCol w:w="1417"/>
        <w:gridCol w:w="1418"/>
        <w:gridCol w:w="1276"/>
        <w:gridCol w:w="1275"/>
        <w:gridCol w:w="1333"/>
      </w:tblGrid>
      <w:tr w:rsidR="00137C10" w:rsidRPr="00F12E8B" w:rsidTr="00503C3E">
        <w:trPr>
          <w:trHeight w:val="315"/>
        </w:trPr>
        <w:tc>
          <w:tcPr>
            <w:tcW w:w="714" w:type="dxa"/>
            <w:shd w:val="clear" w:color="auto" w:fill="auto"/>
            <w:noWrap/>
            <w:vAlign w:val="center"/>
            <w:hideMark/>
          </w:tcPr>
          <w:p w:rsidR="00137C10" w:rsidRPr="00F12E8B" w:rsidRDefault="00137C10" w:rsidP="000E1F80">
            <w:pPr>
              <w:spacing w:after="0" w:line="240" w:lineRule="auto"/>
              <w:jc w:val="center"/>
              <w:rPr>
                <w:rFonts w:ascii="Times New Roman" w:eastAsia="Times New Roman" w:hAnsi="Times New Roman"/>
                <w:bCs/>
                <w:sz w:val="20"/>
                <w:szCs w:val="20"/>
                <w:lang w:eastAsia="el-GR"/>
              </w:rPr>
            </w:pPr>
            <w:r w:rsidRPr="00F12E8B">
              <w:rPr>
                <w:rFonts w:ascii="Times New Roman" w:eastAsia="Times New Roman" w:hAnsi="Times New Roman"/>
                <w:bCs/>
                <w:sz w:val="20"/>
                <w:szCs w:val="20"/>
                <w:lang w:eastAsia="el-GR"/>
              </w:rPr>
              <w:t>Years</w:t>
            </w:r>
          </w:p>
        </w:tc>
        <w:tc>
          <w:tcPr>
            <w:tcW w:w="1276" w:type="dxa"/>
            <w:shd w:val="clear" w:color="auto" w:fill="auto"/>
            <w:noWrap/>
            <w:vAlign w:val="center"/>
            <w:hideMark/>
          </w:tcPr>
          <w:p w:rsidR="00137C10" w:rsidRPr="00F12E8B" w:rsidRDefault="00137C10" w:rsidP="000E1F80">
            <w:pPr>
              <w:spacing w:after="0" w:line="240" w:lineRule="auto"/>
              <w:jc w:val="center"/>
              <w:rPr>
                <w:rFonts w:ascii="Times New Roman" w:eastAsia="Times New Roman" w:hAnsi="Times New Roman"/>
                <w:bCs/>
                <w:sz w:val="20"/>
                <w:szCs w:val="20"/>
                <w:lang w:eastAsia="el-GR"/>
              </w:rPr>
            </w:pPr>
            <w:r w:rsidRPr="00F12E8B">
              <w:rPr>
                <w:rFonts w:ascii="Times New Roman" w:eastAsia="Times New Roman" w:hAnsi="Times New Roman"/>
                <w:bCs/>
                <w:sz w:val="20"/>
                <w:szCs w:val="20"/>
                <w:lang w:val="el-GR" w:eastAsia="el-GR"/>
              </w:rPr>
              <w:t xml:space="preserve">ROE </w:t>
            </w:r>
          </w:p>
          <w:p w:rsidR="00137C10" w:rsidRPr="00F12E8B" w:rsidRDefault="00137C10" w:rsidP="000E1F80">
            <w:pPr>
              <w:spacing w:after="0" w:line="240" w:lineRule="auto"/>
              <w:jc w:val="center"/>
              <w:rPr>
                <w:rFonts w:ascii="Times New Roman" w:eastAsia="Times New Roman" w:hAnsi="Times New Roman"/>
                <w:bCs/>
                <w:sz w:val="20"/>
                <w:szCs w:val="20"/>
                <w:lang w:eastAsia="el-GR"/>
              </w:rPr>
            </w:pPr>
            <w:r w:rsidRPr="00F12E8B">
              <w:rPr>
                <w:rFonts w:ascii="Times New Roman" w:eastAsia="Times New Roman" w:hAnsi="Times New Roman"/>
                <w:bCs/>
                <w:sz w:val="20"/>
                <w:szCs w:val="20"/>
                <w:lang w:eastAsia="el-GR"/>
              </w:rPr>
              <w:t>Cooperative</w:t>
            </w:r>
          </w:p>
          <w:p w:rsidR="00137C10" w:rsidRPr="00F12E8B" w:rsidRDefault="00137C10" w:rsidP="00B66835">
            <w:pPr>
              <w:spacing w:after="0" w:line="240" w:lineRule="auto"/>
              <w:jc w:val="center"/>
              <w:rPr>
                <w:rFonts w:ascii="Times New Roman" w:eastAsia="Times New Roman" w:hAnsi="Times New Roman"/>
                <w:bCs/>
                <w:sz w:val="20"/>
                <w:szCs w:val="20"/>
                <w:lang w:eastAsia="el-GR"/>
              </w:rPr>
            </w:pPr>
            <w:r w:rsidRPr="00F12E8B">
              <w:rPr>
                <w:rFonts w:ascii="Times New Roman" w:eastAsia="Times New Roman" w:hAnsi="Times New Roman"/>
                <w:bCs/>
                <w:sz w:val="20"/>
                <w:szCs w:val="20"/>
                <w:lang w:eastAsia="el-GR"/>
              </w:rPr>
              <w:t>Bank</w:t>
            </w:r>
            <w:r w:rsidRPr="00F12E8B">
              <w:rPr>
                <w:rFonts w:ascii="Times New Roman" w:eastAsia="Times New Roman" w:hAnsi="Times New Roman"/>
                <w:bCs/>
                <w:sz w:val="20"/>
                <w:szCs w:val="20"/>
                <w:lang w:val="el-GR" w:eastAsia="el-GR"/>
              </w:rPr>
              <w:t xml:space="preserve"> </w:t>
            </w:r>
            <w:r w:rsidRPr="00F12E8B">
              <w:rPr>
                <w:rFonts w:ascii="Times New Roman" w:eastAsia="Times New Roman" w:hAnsi="Times New Roman"/>
                <w:bCs/>
                <w:sz w:val="20"/>
                <w:szCs w:val="20"/>
                <w:lang w:eastAsia="el-GR"/>
              </w:rPr>
              <w:t>Drama</w:t>
            </w:r>
          </w:p>
        </w:tc>
        <w:tc>
          <w:tcPr>
            <w:tcW w:w="1417" w:type="dxa"/>
            <w:shd w:val="clear" w:color="auto" w:fill="auto"/>
            <w:noWrap/>
            <w:vAlign w:val="bottom"/>
            <w:hideMark/>
          </w:tcPr>
          <w:p w:rsidR="00137C10" w:rsidRPr="00F12E8B" w:rsidRDefault="00137C10" w:rsidP="000E1F80">
            <w:pPr>
              <w:spacing w:after="0" w:line="240" w:lineRule="auto"/>
              <w:jc w:val="center"/>
              <w:rPr>
                <w:rFonts w:ascii="Times New Roman" w:eastAsia="Times New Roman" w:hAnsi="Times New Roman"/>
                <w:bCs/>
                <w:sz w:val="20"/>
                <w:szCs w:val="20"/>
                <w:lang w:eastAsia="el-GR"/>
              </w:rPr>
            </w:pPr>
            <w:r w:rsidRPr="00F12E8B">
              <w:rPr>
                <w:rFonts w:ascii="Times New Roman" w:eastAsia="Times New Roman" w:hAnsi="Times New Roman"/>
                <w:bCs/>
                <w:sz w:val="20"/>
                <w:szCs w:val="20"/>
                <w:lang w:val="el-GR" w:eastAsia="el-GR"/>
              </w:rPr>
              <w:t xml:space="preserve">ROA </w:t>
            </w:r>
          </w:p>
          <w:p w:rsidR="00137C10" w:rsidRPr="00F12E8B" w:rsidRDefault="00137C10" w:rsidP="00137C10">
            <w:pPr>
              <w:spacing w:after="0" w:line="240" w:lineRule="auto"/>
              <w:jc w:val="center"/>
              <w:rPr>
                <w:rFonts w:ascii="Times New Roman" w:eastAsia="Times New Roman" w:hAnsi="Times New Roman"/>
                <w:bCs/>
                <w:sz w:val="20"/>
                <w:szCs w:val="20"/>
                <w:lang w:eastAsia="el-GR"/>
              </w:rPr>
            </w:pPr>
            <w:r w:rsidRPr="00F12E8B">
              <w:rPr>
                <w:rFonts w:ascii="Times New Roman" w:eastAsia="Times New Roman" w:hAnsi="Times New Roman"/>
                <w:bCs/>
                <w:sz w:val="20"/>
                <w:szCs w:val="20"/>
                <w:lang w:eastAsia="el-GR"/>
              </w:rPr>
              <w:t>Cooperative</w:t>
            </w:r>
          </w:p>
          <w:p w:rsidR="00137C10" w:rsidRPr="00F12E8B" w:rsidRDefault="00137C10" w:rsidP="00B66835">
            <w:pPr>
              <w:spacing w:after="0" w:line="240" w:lineRule="auto"/>
              <w:jc w:val="center"/>
              <w:rPr>
                <w:rFonts w:ascii="Times New Roman" w:eastAsia="Times New Roman" w:hAnsi="Times New Roman"/>
                <w:bCs/>
                <w:sz w:val="20"/>
                <w:szCs w:val="20"/>
                <w:lang w:val="el-GR" w:eastAsia="el-GR"/>
              </w:rPr>
            </w:pPr>
            <w:r w:rsidRPr="00F12E8B">
              <w:rPr>
                <w:rFonts w:ascii="Times New Roman" w:eastAsia="Times New Roman" w:hAnsi="Times New Roman"/>
                <w:bCs/>
                <w:sz w:val="20"/>
                <w:szCs w:val="20"/>
                <w:lang w:eastAsia="el-GR"/>
              </w:rPr>
              <w:t>Bank</w:t>
            </w:r>
            <w:r w:rsidRPr="00F12E8B">
              <w:rPr>
                <w:rFonts w:ascii="Times New Roman" w:eastAsia="Times New Roman" w:hAnsi="Times New Roman"/>
                <w:bCs/>
                <w:sz w:val="20"/>
                <w:szCs w:val="20"/>
                <w:lang w:val="el-GR" w:eastAsia="el-GR"/>
              </w:rPr>
              <w:t xml:space="preserve"> </w:t>
            </w:r>
            <w:r w:rsidRPr="00F12E8B">
              <w:rPr>
                <w:rFonts w:ascii="Times New Roman" w:eastAsia="Times New Roman" w:hAnsi="Times New Roman"/>
                <w:bCs/>
                <w:sz w:val="20"/>
                <w:szCs w:val="20"/>
                <w:lang w:eastAsia="el-GR"/>
              </w:rPr>
              <w:t>Drama</w:t>
            </w:r>
          </w:p>
        </w:tc>
        <w:tc>
          <w:tcPr>
            <w:tcW w:w="1418" w:type="dxa"/>
            <w:vAlign w:val="center"/>
          </w:tcPr>
          <w:p w:rsidR="00137C10" w:rsidRPr="00F12E8B" w:rsidRDefault="00137C10" w:rsidP="00137C10">
            <w:pPr>
              <w:spacing w:after="0" w:line="240" w:lineRule="auto"/>
              <w:jc w:val="center"/>
              <w:rPr>
                <w:rFonts w:ascii="Times New Roman" w:eastAsia="Times New Roman" w:hAnsi="Times New Roman"/>
                <w:bCs/>
                <w:sz w:val="20"/>
                <w:szCs w:val="20"/>
                <w:lang w:eastAsia="el-GR"/>
              </w:rPr>
            </w:pPr>
            <w:r w:rsidRPr="00F12E8B">
              <w:rPr>
                <w:rFonts w:ascii="Times New Roman" w:eastAsia="Times New Roman" w:hAnsi="Times New Roman"/>
                <w:bCs/>
                <w:sz w:val="20"/>
                <w:szCs w:val="20"/>
                <w:lang w:val="el-GR" w:eastAsia="el-GR"/>
              </w:rPr>
              <w:t xml:space="preserve">EM </w:t>
            </w:r>
          </w:p>
          <w:p w:rsidR="00137C10" w:rsidRPr="00F12E8B" w:rsidRDefault="00137C10" w:rsidP="00137C10">
            <w:pPr>
              <w:spacing w:after="0" w:line="240" w:lineRule="auto"/>
              <w:jc w:val="center"/>
              <w:rPr>
                <w:rFonts w:ascii="Times New Roman" w:eastAsia="Times New Roman" w:hAnsi="Times New Roman"/>
                <w:bCs/>
                <w:sz w:val="20"/>
                <w:szCs w:val="20"/>
                <w:lang w:eastAsia="el-GR"/>
              </w:rPr>
            </w:pPr>
            <w:r w:rsidRPr="00F12E8B">
              <w:rPr>
                <w:rFonts w:ascii="Times New Roman" w:eastAsia="Times New Roman" w:hAnsi="Times New Roman"/>
                <w:bCs/>
                <w:sz w:val="20"/>
                <w:szCs w:val="20"/>
                <w:lang w:eastAsia="el-GR"/>
              </w:rPr>
              <w:t>Cooperative</w:t>
            </w:r>
          </w:p>
          <w:p w:rsidR="00137C10" w:rsidRPr="00F12E8B" w:rsidRDefault="00137C10" w:rsidP="00B66835">
            <w:pPr>
              <w:spacing w:after="0" w:line="240" w:lineRule="auto"/>
              <w:jc w:val="center"/>
              <w:rPr>
                <w:rFonts w:ascii="Times New Roman" w:eastAsia="Times New Roman" w:hAnsi="Times New Roman"/>
                <w:bCs/>
                <w:sz w:val="20"/>
                <w:szCs w:val="20"/>
                <w:lang w:val="el-GR" w:eastAsia="el-GR"/>
              </w:rPr>
            </w:pPr>
            <w:r w:rsidRPr="00F12E8B">
              <w:rPr>
                <w:rFonts w:ascii="Times New Roman" w:eastAsia="Times New Roman" w:hAnsi="Times New Roman"/>
                <w:bCs/>
                <w:sz w:val="20"/>
                <w:szCs w:val="20"/>
                <w:lang w:eastAsia="el-GR"/>
              </w:rPr>
              <w:t>Bank</w:t>
            </w:r>
            <w:r w:rsidRPr="00F12E8B">
              <w:rPr>
                <w:rFonts w:ascii="Times New Roman" w:eastAsia="Times New Roman" w:hAnsi="Times New Roman"/>
                <w:bCs/>
                <w:sz w:val="20"/>
                <w:szCs w:val="20"/>
                <w:lang w:val="el-GR" w:eastAsia="el-GR"/>
              </w:rPr>
              <w:t xml:space="preserve"> </w:t>
            </w:r>
            <w:r w:rsidRPr="00F12E8B">
              <w:rPr>
                <w:rFonts w:ascii="Times New Roman" w:eastAsia="Times New Roman" w:hAnsi="Times New Roman"/>
                <w:bCs/>
                <w:sz w:val="20"/>
                <w:szCs w:val="20"/>
                <w:lang w:eastAsia="el-GR"/>
              </w:rPr>
              <w:t>Drama</w:t>
            </w:r>
          </w:p>
        </w:tc>
        <w:tc>
          <w:tcPr>
            <w:tcW w:w="1276" w:type="dxa"/>
            <w:shd w:val="clear" w:color="auto" w:fill="auto"/>
            <w:noWrap/>
            <w:vAlign w:val="center"/>
            <w:hideMark/>
          </w:tcPr>
          <w:p w:rsidR="00137C10" w:rsidRPr="00F12E8B" w:rsidRDefault="00137C10" w:rsidP="00137C10">
            <w:pPr>
              <w:spacing w:after="0" w:line="240" w:lineRule="auto"/>
              <w:jc w:val="center"/>
              <w:rPr>
                <w:rFonts w:ascii="Times New Roman" w:eastAsia="Times New Roman" w:hAnsi="Times New Roman"/>
                <w:bCs/>
                <w:sz w:val="20"/>
                <w:szCs w:val="20"/>
                <w:lang w:eastAsia="el-GR"/>
              </w:rPr>
            </w:pPr>
            <w:r w:rsidRPr="00F12E8B">
              <w:rPr>
                <w:rFonts w:ascii="Times New Roman" w:eastAsia="Times New Roman" w:hAnsi="Times New Roman"/>
                <w:bCs/>
                <w:sz w:val="20"/>
                <w:szCs w:val="20"/>
                <w:lang w:val="el-GR" w:eastAsia="el-GR"/>
              </w:rPr>
              <w:t xml:space="preserve">ROE </w:t>
            </w:r>
          </w:p>
          <w:p w:rsidR="00137C10" w:rsidRPr="00F12E8B" w:rsidRDefault="00137C10" w:rsidP="00137C10">
            <w:pPr>
              <w:spacing w:after="0" w:line="240" w:lineRule="auto"/>
              <w:jc w:val="center"/>
              <w:rPr>
                <w:rFonts w:ascii="Times New Roman" w:eastAsia="Times New Roman" w:hAnsi="Times New Roman"/>
                <w:bCs/>
                <w:sz w:val="20"/>
                <w:szCs w:val="20"/>
                <w:lang w:eastAsia="el-GR"/>
              </w:rPr>
            </w:pPr>
            <w:r w:rsidRPr="00F12E8B">
              <w:rPr>
                <w:rFonts w:ascii="Times New Roman" w:eastAsia="Times New Roman" w:hAnsi="Times New Roman"/>
                <w:bCs/>
                <w:sz w:val="20"/>
                <w:szCs w:val="20"/>
                <w:lang w:eastAsia="el-GR"/>
              </w:rPr>
              <w:t>Cooperative</w:t>
            </w:r>
          </w:p>
          <w:p w:rsidR="00137C10" w:rsidRPr="00F12E8B" w:rsidRDefault="00137C10" w:rsidP="00B66835">
            <w:pPr>
              <w:spacing w:after="0" w:line="240" w:lineRule="auto"/>
              <w:jc w:val="center"/>
              <w:rPr>
                <w:rFonts w:ascii="Times New Roman" w:eastAsia="Times New Roman" w:hAnsi="Times New Roman"/>
                <w:bCs/>
                <w:sz w:val="20"/>
                <w:szCs w:val="20"/>
                <w:lang w:val="el-GR" w:eastAsia="el-GR"/>
              </w:rPr>
            </w:pPr>
            <w:r w:rsidRPr="00F12E8B">
              <w:rPr>
                <w:rFonts w:ascii="Times New Roman" w:eastAsia="Times New Roman" w:hAnsi="Times New Roman"/>
                <w:bCs/>
                <w:sz w:val="20"/>
                <w:szCs w:val="20"/>
                <w:lang w:eastAsia="el-GR"/>
              </w:rPr>
              <w:t>Bank</w:t>
            </w:r>
            <w:r w:rsidRPr="00F12E8B">
              <w:rPr>
                <w:rFonts w:ascii="Times New Roman" w:eastAsia="Times New Roman" w:hAnsi="Times New Roman"/>
                <w:bCs/>
                <w:sz w:val="20"/>
                <w:szCs w:val="20"/>
                <w:lang w:val="el-GR" w:eastAsia="el-GR"/>
              </w:rPr>
              <w:t xml:space="preserve"> </w:t>
            </w:r>
            <w:r w:rsidRPr="00F12E8B">
              <w:rPr>
                <w:rFonts w:ascii="Times New Roman" w:eastAsia="Times New Roman" w:hAnsi="Times New Roman"/>
                <w:bCs/>
                <w:sz w:val="20"/>
                <w:szCs w:val="20"/>
                <w:lang w:eastAsia="el-GR"/>
              </w:rPr>
              <w:t>Evrou</w:t>
            </w:r>
          </w:p>
        </w:tc>
        <w:tc>
          <w:tcPr>
            <w:tcW w:w="1275" w:type="dxa"/>
            <w:shd w:val="clear" w:color="auto" w:fill="auto"/>
            <w:noWrap/>
            <w:vAlign w:val="bottom"/>
            <w:hideMark/>
          </w:tcPr>
          <w:p w:rsidR="00137C10" w:rsidRPr="00F12E8B" w:rsidRDefault="00137C10" w:rsidP="000E1F80">
            <w:pPr>
              <w:spacing w:after="0" w:line="240" w:lineRule="auto"/>
              <w:jc w:val="center"/>
              <w:rPr>
                <w:rFonts w:ascii="Times New Roman" w:eastAsia="Times New Roman" w:hAnsi="Times New Roman"/>
                <w:bCs/>
                <w:sz w:val="20"/>
                <w:szCs w:val="20"/>
                <w:lang w:eastAsia="el-GR"/>
              </w:rPr>
            </w:pPr>
            <w:r w:rsidRPr="00F12E8B">
              <w:rPr>
                <w:rFonts w:ascii="Times New Roman" w:eastAsia="Times New Roman" w:hAnsi="Times New Roman"/>
                <w:bCs/>
                <w:sz w:val="20"/>
                <w:szCs w:val="20"/>
                <w:lang w:val="el-GR" w:eastAsia="el-GR"/>
              </w:rPr>
              <w:t xml:space="preserve">ROA </w:t>
            </w:r>
          </w:p>
          <w:p w:rsidR="00137C10" w:rsidRPr="00F12E8B" w:rsidRDefault="00137C10" w:rsidP="00137C10">
            <w:pPr>
              <w:spacing w:after="0" w:line="240" w:lineRule="auto"/>
              <w:jc w:val="center"/>
              <w:rPr>
                <w:rFonts w:ascii="Times New Roman" w:eastAsia="Times New Roman" w:hAnsi="Times New Roman"/>
                <w:bCs/>
                <w:sz w:val="20"/>
                <w:szCs w:val="20"/>
                <w:lang w:eastAsia="el-GR"/>
              </w:rPr>
            </w:pPr>
            <w:r w:rsidRPr="00F12E8B">
              <w:rPr>
                <w:rFonts w:ascii="Times New Roman" w:eastAsia="Times New Roman" w:hAnsi="Times New Roman"/>
                <w:bCs/>
                <w:sz w:val="20"/>
                <w:szCs w:val="20"/>
                <w:lang w:eastAsia="el-GR"/>
              </w:rPr>
              <w:t>Cooperative</w:t>
            </w:r>
          </w:p>
          <w:p w:rsidR="00137C10" w:rsidRPr="00F12E8B" w:rsidRDefault="00137C10" w:rsidP="00B66835">
            <w:pPr>
              <w:spacing w:after="0" w:line="240" w:lineRule="auto"/>
              <w:jc w:val="center"/>
              <w:rPr>
                <w:rFonts w:ascii="Times New Roman" w:eastAsia="Times New Roman" w:hAnsi="Times New Roman"/>
                <w:bCs/>
                <w:sz w:val="20"/>
                <w:szCs w:val="20"/>
                <w:lang w:val="el-GR" w:eastAsia="el-GR"/>
              </w:rPr>
            </w:pPr>
            <w:r w:rsidRPr="00F12E8B">
              <w:rPr>
                <w:rFonts w:ascii="Times New Roman" w:eastAsia="Times New Roman" w:hAnsi="Times New Roman"/>
                <w:bCs/>
                <w:sz w:val="20"/>
                <w:szCs w:val="20"/>
                <w:lang w:eastAsia="el-GR"/>
              </w:rPr>
              <w:t>Bank</w:t>
            </w:r>
            <w:r w:rsidRPr="00F12E8B">
              <w:rPr>
                <w:rFonts w:ascii="Times New Roman" w:eastAsia="Times New Roman" w:hAnsi="Times New Roman"/>
                <w:bCs/>
                <w:sz w:val="20"/>
                <w:szCs w:val="20"/>
                <w:lang w:val="el-GR" w:eastAsia="el-GR"/>
              </w:rPr>
              <w:t xml:space="preserve"> </w:t>
            </w:r>
            <w:r w:rsidRPr="00F12E8B">
              <w:rPr>
                <w:rFonts w:ascii="Times New Roman" w:eastAsia="Times New Roman" w:hAnsi="Times New Roman"/>
                <w:bCs/>
                <w:sz w:val="20"/>
                <w:szCs w:val="20"/>
                <w:lang w:eastAsia="el-GR"/>
              </w:rPr>
              <w:t>Evrou</w:t>
            </w:r>
          </w:p>
        </w:tc>
        <w:tc>
          <w:tcPr>
            <w:tcW w:w="1333" w:type="dxa"/>
            <w:shd w:val="clear" w:color="auto" w:fill="auto"/>
            <w:noWrap/>
            <w:vAlign w:val="center"/>
            <w:hideMark/>
          </w:tcPr>
          <w:p w:rsidR="00137C10" w:rsidRPr="00F12E8B" w:rsidRDefault="00137C10" w:rsidP="000E1F80">
            <w:pPr>
              <w:spacing w:after="0" w:line="240" w:lineRule="auto"/>
              <w:jc w:val="center"/>
              <w:rPr>
                <w:rFonts w:ascii="Times New Roman" w:eastAsia="Times New Roman" w:hAnsi="Times New Roman"/>
                <w:bCs/>
                <w:sz w:val="20"/>
                <w:szCs w:val="20"/>
                <w:lang w:eastAsia="el-GR"/>
              </w:rPr>
            </w:pPr>
            <w:r w:rsidRPr="00F12E8B">
              <w:rPr>
                <w:rFonts w:ascii="Times New Roman" w:eastAsia="Times New Roman" w:hAnsi="Times New Roman"/>
                <w:bCs/>
                <w:sz w:val="20"/>
                <w:szCs w:val="20"/>
                <w:lang w:val="el-GR" w:eastAsia="el-GR"/>
              </w:rPr>
              <w:t xml:space="preserve">EM </w:t>
            </w:r>
          </w:p>
          <w:p w:rsidR="00137C10" w:rsidRPr="00F12E8B" w:rsidRDefault="00137C10" w:rsidP="00137C10">
            <w:pPr>
              <w:spacing w:after="0" w:line="240" w:lineRule="auto"/>
              <w:jc w:val="center"/>
              <w:rPr>
                <w:rFonts w:ascii="Times New Roman" w:eastAsia="Times New Roman" w:hAnsi="Times New Roman"/>
                <w:bCs/>
                <w:sz w:val="20"/>
                <w:szCs w:val="20"/>
                <w:lang w:eastAsia="el-GR"/>
              </w:rPr>
            </w:pPr>
            <w:r w:rsidRPr="00F12E8B">
              <w:rPr>
                <w:rFonts w:ascii="Times New Roman" w:eastAsia="Times New Roman" w:hAnsi="Times New Roman"/>
                <w:bCs/>
                <w:sz w:val="20"/>
                <w:szCs w:val="20"/>
                <w:lang w:eastAsia="el-GR"/>
              </w:rPr>
              <w:t>Cooperative</w:t>
            </w:r>
          </w:p>
          <w:p w:rsidR="00137C10" w:rsidRPr="00F12E8B" w:rsidRDefault="00137C10" w:rsidP="00B66835">
            <w:pPr>
              <w:spacing w:after="0" w:line="240" w:lineRule="auto"/>
              <w:jc w:val="center"/>
              <w:rPr>
                <w:rFonts w:ascii="Times New Roman" w:eastAsia="Times New Roman" w:hAnsi="Times New Roman"/>
                <w:bCs/>
                <w:sz w:val="20"/>
                <w:szCs w:val="20"/>
                <w:lang w:val="el-GR" w:eastAsia="el-GR"/>
              </w:rPr>
            </w:pPr>
            <w:r w:rsidRPr="00F12E8B">
              <w:rPr>
                <w:rFonts w:ascii="Times New Roman" w:eastAsia="Times New Roman" w:hAnsi="Times New Roman"/>
                <w:bCs/>
                <w:sz w:val="20"/>
                <w:szCs w:val="20"/>
                <w:lang w:eastAsia="el-GR"/>
              </w:rPr>
              <w:t>Bank</w:t>
            </w:r>
            <w:r w:rsidRPr="00F12E8B">
              <w:rPr>
                <w:rFonts w:ascii="Times New Roman" w:eastAsia="Times New Roman" w:hAnsi="Times New Roman"/>
                <w:bCs/>
                <w:sz w:val="20"/>
                <w:szCs w:val="20"/>
                <w:lang w:val="el-GR" w:eastAsia="el-GR"/>
              </w:rPr>
              <w:t xml:space="preserve"> </w:t>
            </w:r>
            <w:r w:rsidRPr="00F12E8B">
              <w:rPr>
                <w:rFonts w:ascii="Times New Roman" w:eastAsia="Times New Roman" w:hAnsi="Times New Roman"/>
                <w:bCs/>
                <w:sz w:val="20"/>
                <w:szCs w:val="20"/>
                <w:lang w:eastAsia="el-GR"/>
              </w:rPr>
              <w:t>Evrou</w:t>
            </w:r>
          </w:p>
        </w:tc>
      </w:tr>
      <w:tr w:rsidR="00137C10" w:rsidRPr="00F12E8B" w:rsidTr="00503C3E">
        <w:trPr>
          <w:trHeight w:val="315"/>
        </w:trPr>
        <w:tc>
          <w:tcPr>
            <w:tcW w:w="714" w:type="dxa"/>
            <w:shd w:val="clear" w:color="auto" w:fill="auto"/>
            <w:noWrap/>
            <w:vAlign w:val="center"/>
            <w:hideMark/>
          </w:tcPr>
          <w:p w:rsidR="00137C10" w:rsidRPr="00F12E8B" w:rsidRDefault="00137C10" w:rsidP="000E1F80">
            <w:pPr>
              <w:spacing w:after="0" w:line="240" w:lineRule="auto"/>
              <w:jc w:val="center"/>
              <w:rPr>
                <w:rFonts w:ascii="Times New Roman" w:eastAsia="Times New Roman" w:hAnsi="Times New Roman"/>
                <w:bCs/>
                <w:sz w:val="20"/>
                <w:szCs w:val="20"/>
                <w:lang w:val="el-GR" w:eastAsia="el-GR"/>
              </w:rPr>
            </w:pPr>
            <w:r w:rsidRPr="00F12E8B">
              <w:rPr>
                <w:rFonts w:ascii="Times New Roman" w:eastAsia="Times New Roman" w:hAnsi="Times New Roman"/>
                <w:bCs/>
                <w:sz w:val="20"/>
                <w:szCs w:val="20"/>
                <w:lang w:val="el-GR" w:eastAsia="el-GR"/>
              </w:rPr>
              <w:t>2014</w:t>
            </w:r>
          </w:p>
        </w:tc>
        <w:tc>
          <w:tcPr>
            <w:tcW w:w="1276" w:type="dxa"/>
            <w:shd w:val="clear" w:color="auto" w:fill="auto"/>
            <w:noWrap/>
            <w:vAlign w:val="center"/>
            <w:hideMark/>
          </w:tcPr>
          <w:p w:rsidR="00137C10" w:rsidRPr="00F12E8B" w:rsidRDefault="00137C10" w:rsidP="000E1F80">
            <w:pPr>
              <w:spacing w:after="0" w:line="240" w:lineRule="auto"/>
              <w:jc w:val="center"/>
              <w:rPr>
                <w:rFonts w:ascii="Times New Roman" w:eastAsia="Times New Roman" w:hAnsi="Times New Roman"/>
                <w:bCs/>
                <w:sz w:val="20"/>
                <w:szCs w:val="20"/>
                <w:lang w:val="el-GR" w:eastAsia="el-GR"/>
              </w:rPr>
            </w:pPr>
            <w:r w:rsidRPr="00F12E8B">
              <w:rPr>
                <w:rFonts w:ascii="Times New Roman" w:eastAsia="Times New Roman" w:hAnsi="Times New Roman"/>
                <w:bCs/>
                <w:sz w:val="20"/>
                <w:szCs w:val="20"/>
                <w:lang w:val="el-GR" w:eastAsia="el-GR"/>
              </w:rPr>
              <w:t>-0.017</w:t>
            </w:r>
          </w:p>
        </w:tc>
        <w:tc>
          <w:tcPr>
            <w:tcW w:w="1417" w:type="dxa"/>
            <w:shd w:val="clear" w:color="auto" w:fill="auto"/>
            <w:noWrap/>
            <w:vAlign w:val="bottom"/>
            <w:hideMark/>
          </w:tcPr>
          <w:p w:rsidR="00137C10" w:rsidRPr="00F12E8B" w:rsidRDefault="00137C10" w:rsidP="000E1F80">
            <w:pPr>
              <w:spacing w:after="0" w:line="240" w:lineRule="auto"/>
              <w:jc w:val="center"/>
              <w:rPr>
                <w:rFonts w:ascii="Times New Roman" w:eastAsia="Times New Roman" w:hAnsi="Times New Roman"/>
                <w:bCs/>
                <w:sz w:val="20"/>
                <w:szCs w:val="20"/>
                <w:lang w:val="el-GR" w:eastAsia="el-GR"/>
              </w:rPr>
            </w:pPr>
            <w:r w:rsidRPr="00F12E8B">
              <w:rPr>
                <w:rFonts w:ascii="Times New Roman" w:eastAsia="Times New Roman" w:hAnsi="Times New Roman"/>
                <w:bCs/>
                <w:sz w:val="20"/>
                <w:szCs w:val="20"/>
                <w:lang w:val="el-GR" w:eastAsia="el-GR"/>
              </w:rPr>
              <w:t>-0.002</w:t>
            </w:r>
          </w:p>
        </w:tc>
        <w:tc>
          <w:tcPr>
            <w:tcW w:w="1418" w:type="dxa"/>
            <w:vAlign w:val="center"/>
          </w:tcPr>
          <w:p w:rsidR="00137C10" w:rsidRPr="00F12E8B" w:rsidRDefault="00137C10" w:rsidP="00137C10">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8.5</w:t>
            </w:r>
          </w:p>
        </w:tc>
        <w:tc>
          <w:tcPr>
            <w:tcW w:w="1276" w:type="dxa"/>
            <w:shd w:val="clear" w:color="auto" w:fill="auto"/>
            <w:noWrap/>
            <w:vAlign w:val="center"/>
            <w:hideMark/>
          </w:tcPr>
          <w:p w:rsidR="00137C10" w:rsidRPr="00F12E8B" w:rsidRDefault="00137C10" w:rsidP="00137C10">
            <w:pPr>
              <w:spacing w:after="0" w:line="240" w:lineRule="auto"/>
              <w:jc w:val="center"/>
              <w:rPr>
                <w:rFonts w:ascii="Times New Roman" w:eastAsia="Times New Roman" w:hAnsi="Times New Roman"/>
                <w:bCs/>
                <w:sz w:val="20"/>
                <w:szCs w:val="20"/>
                <w:lang w:val="el-GR" w:eastAsia="el-GR"/>
              </w:rPr>
            </w:pPr>
            <w:r w:rsidRPr="00F12E8B">
              <w:rPr>
                <w:rFonts w:ascii="Times New Roman" w:eastAsia="Times New Roman" w:hAnsi="Times New Roman"/>
                <w:bCs/>
                <w:sz w:val="20"/>
                <w:szCs w:val="20"/>
                <w:lang w:val="el-GR" w:eastAsia="el-GR"/>
              </w:rPr>
              <w:t>0.10</w:t>
            </w:r>
          </w:p>
        </w:tc>
        <w:tc>
          <w:tcPr>
            <w:tcW w:w="1275" w:type="dxa"/>
            <w:shd w:val="clear" w:color="auto" w:fill="auto"/>
            <w:noWrap/>
            <w:vAlign w:val="bottom"/>
            <w:hideMark/>
          </w:tcPr>
          <w:p w:rsidR="00137C10" w:rsidRPr="00F12E8B" w:rsidRDefault="00137C10" w:rsidP="000E1F80">
            <w:pPr>
              <w:spacing w:after="0" w:line="240" w:lineRule="auto"/>
              <w:jc w:val="center"/>
              <w:rPr>
                <w:rFonts w:ascii="Times New Roman" w:eastAsia="Times New Roman" w:hAnsi="Times New Roman"/>
                <w:bCs/>
                <w:sz w:val="20"/>
                <w:szCs w:val="20"/>
                <w:lang w:val="el-GR" w:eastAsia="el-GR"/>
              </w:rPr>
            </w:pPr>
            <w:r w:rsidRPr="00F12E8B">
              <w:rPr>
                <w:rFonts w:ascii="Times New Roman" w:eastAsia="Times New Roman" w:hAnsi="Times New Roman"/>
                <w:bCs/>
                <w:sz w:val="20"/>
                <w:szCs w:val="20"/>
                <w:lang w:val="el-GR" w:eastAsia="el-GR"/>
              </w:rPr>
              <w:t>0.007</w:t>
            </w:r>
          </w:p>
        </w:tc>
        <w:tc>
          <w:tcPr>
            <w:tcW w:w="1333" w:type="dxa"/>
            <w:shd w:val="clear" w:color="auto" w:fill="auto"/>
            <w:noWrap/>
            <w:vAlign w:val="center"/>
            <w:hideMark/>
          </w:tcPr>
          <w:p w:rsidR="00137C10" w:rsidRPr="00F12E8B" w:rsidRDefault="00137C10" w:rsidP="000E1F80">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14.3</w:t>
            </w:r>
          </w:p>
        </w:tc>
      </w:tr>
      <w:tr w:rsidR="00137C10" w:rsidRPr="00F12E8B" w:rsidTr="00503C3E">
        <w:trPr>
          <w:trHeight w:val="315"/>
        </w:trPr>
        <w:tc>
          <w:tcPr>
            <w:tcW w:w="714" w:type="dxa"/>
            <w:shd w:val="clear" w:color="auto" w:fill="auto"/>
            <w:noWrap/>
            <w:vAlign w:val="center"/>
            <w:hideMark/>
          </w:tcPr>
          <w:p w:rsidR="00137C10" w:rsidRPr="00F12E8B" w:rsidRDefault="00137C10" w:rsidP="000E1F80">
            <w:pPr>
              <w:spacing w:after="0" w:line="240" w:lineRule="auto"/>
              <w:jc w:val="center"/>
              <w:rPr>
                <w:rFonts w:ascii="Times New Roman" w:eastAsia="Times New Roman" w:hAnsi="Times New Roman"/>
                <w:bCs/>
                <w:sz w:val="20"/>
                <w:szCs w:val="20"/>
                <w:lang w:val="el-GR" w:eastAsia="el-GR"/>
              </w:rPr>
            </w:pPr>
            <w:r w:rsidRPr="00F12E8B">
              <w:rPr>
                <w:rFonts w:ascii="Times New Roman" w:eastAsia="Times New Roman" w:hAnsi="Times New Roman"/>
                <w:bCs/>
                <w:sz w:val="20"/>
                <w:szCs w:val="20"/>
                <w:lang w:val="el-GR" w:eastAsia="el-GR"/>
              </w:rPr>
              <w:t>2015</w:t>
            </w:r>
          </w:p>
        </w:tc>
        <w:tc>
          <w:tcPr>
            <w:tcW w:w="1276" w:type="dxa"/>
            <w:shd w:val="clear" w:color="auto" w:fill="auto"/>
            <w:noWrap/>
            <w:vAlign w:val="center"/>
            <w:hideMark/>
          </w:tcPr>
          <w:p w:rsidR="00137C10" w:rsidRPr="00F12E8B" w:rsidRDefault="00137C10" w:rsidP="000E1F80">
            <w:pPr>
              <w:spacing w:after="0" w:line="240" w:lineRule="auto"/>
              <w:jc w:val="center"/>
              <w:rPr>
                <w:rFonts w:ascii="Times New Roman" w:eastAsia="Times New Roman" w:hAnsi="Times New Roman"/>
                <w:bCs/>
                <w:sz w:val="20"/>
                <w:szCs w:val="20"/>
                <w:lang w:val="el-GR" w:eastAsia="el-GR"/>
              </w:rPr>
            </w:pPr>
            <w:r w:rsidRPr="00F12E8B">
              <w:rPr>
                <w:rFonts w:ascii="Times New Roman" w:eastAsia="Times New Roman" w:hAnsi="Times New Roman"/>
                <w:bCs/>
                <w:sz w:val="20"/>
                <w:szCs w:val="20"/>
                <w:lang w:val="el-GR" w:eastAsia="el-GR"/>
              </w:rPr>
              <w:t>-0.65</w:t>
            </w:r>
          </w:p>
        </w:tc>
        <w:tc>
          <w:tcPr>
            <w:tcW w:w="1417" w:type="dxa"/>
            <w:shd w:val="clear" w:color="auto" w:fill="auto"/>
            <w:noWrap/>
            <w:vAlign w:val="bottom"/>
            <w:hideMark/>
          </w:tcPr>
          <w:p w:rsidR="00137C10" w:rsidRPr="00F12E8B" w:rsidRDefault="00137C10" w:rsidP="000E1F80">
            <w:pPr>
              <w:spacing w:after="0" w:line="240" w:lineRule="auto"/>
              <w:jc w:val="center"/>
              <w:rPr>
                <w:rFonts w:ascii="Times New Roman" w:eastAsia="Times New Roman" w:hAnsi="Times New Roman"/>
                <w:bCs/>
                <w:sz w:val="20"/>
                <w:szCs w:val="20"/>
                <w:lang w:val="el-GR" w:eastAsia="el-GR"/>
              </w:rPr>
            </w:pPr>
            <w:r w:rsidRPr="00F12E8B">
              <w:rPr>
                <w:rFonts w:ascii="Times New Roman" w:eastAsia="Times New Roman" w:hAnsi="Times New Roman"/>
                <w:bCs/>
                <w:sz w:val="20"/>
                <w:szCs w:val="20"/>
                <w:lang w:val="el-GR" w:eastAsia="el-GR"/>
              </w:rPr>
              <w:t>-0.07</w:t>
            </w:r>
          </w:p>
        </w:tc>
        <w:tc>
          <w:tcPr>
            <w:tcW w:w="1418" w:type="dxa"/>
            <w:vAlign w:val="center"/>
          </w:tcPr>
          <w:p w:rsidR="00137C10" w:rsidRPr="00F12E8B" w:rsidRDefault="00137C10" w:rsidP="00137C10">
            <w:pPr>
              <w:spacing w:after="0" w:line="240" w:lineRule="auto"/>
              <w:jc w:val="center"/>
              <w:rPr>
                <w:rFonts w:ascii="Times New Roman" w:eastAsia="Times New Roman" w:hAnsi="Times New Roman"/>
                <w:bCs/>
                <w:sz w:val="20"/>
                <w:szCs w:val="20"/>
                <w:lang w:val="el-GR" w:eastAsia="el-GR"/>
              </w:rPr>
            </w:pPr>
            <w:r w:rsidRPr="00F12E8B">
              <w:rPr>
                <w:rFonts w:ascii="Times New Roman" w:eastAsia="Times New Roman" w:hAnsi="Times New Roman"/>
                <w:bCs/>
                <w:sz w:val="20"/>
                <w:szCs w:val="20"/>
                <w:lang w:val="el-GR" w:eastAsia="el-GR"/>
              </w:rPr>
              <w:t>9.3</w:t>
            </w:r>
          </w:p>
        </w:tc>
        <w:tc>
          <w:tcPr>
            <w:tcW w:w="1276" w:type="dxa"/>
            <w:shd w:val="clear" w:color="auto" w:fill="auto"/>
            <w:noWrap/>
            <w:vAlign w:val="center"/>
            <w:hideMark/>
          </w:tcPr>
          <w:p w:rsidR="00137C10" w:rsidRPr="00F12E8B" w:rsidRDefault="00137C10" w:rsidP="00137C10">
            <w:pPr>
              <w:spacing w:after="0" w:line="240" w:lineRule="auto"/>
              <w:jc w:val="center"/>
              <w:rPr>
                <w:rFonts w:ascii="Times New Roman" w:eastAsia="Times New Roman" w:hAnsi="Times New Roman"/>
                <w:bCs/>
                <w:sz w:val="20"/>
                <w:szCs w:val="20"/>
                <w:lang w:val="el-GR" w:eastAsia="el-GR"/>
              </w:rPr>
            </w:pPr>
            <w:r w:rsidRPr="00F12E8B">
              <w:rPr>
                <w:rFonts w:ascii="Times New Roman" w:eastAsia="Times New Roman" w:hAnsi="Times New Roman"/>
                <w:bCs/>
                <w:sz w:val="20"/>
                <w:szCs w:val="20"/>
                <w:lang w:val="el-GR" w:eastAsia="el-GR"/>
              </w:rPr>
              <w:t>-0.33</w:t>
            </w:r>
          </w:p>
        </w:tc>
        <w:tc>
          <w:tcPr>
            <w:tcW w:w="1275" w:type="dxa"/>
            <w:shd w:val="clear" w:color="auto" w:fill="auto"/>
            <w:noWrap/>
            <w:vAlign w:val="bottom"/>
            <w:hideMark/>
          </w:tcPr>
          <w:p w:rsidR="00137C10" w:rsidRPr="00F12E8B" w:rsidRDefault="00137C10" w:rsidP="000E1F80">
            <w:pPr>
              <w:spacing w:after="0" w:line="240" w:lineRule="auto"/>
              <w:jc w:val="center"/>
              <w:rPr>
                <w:rFonts w:ascii="Times New Roman" w:eastAsia="Times New Roman" w:hAnsi="Times New Roman"/>
                <w:bCs/>
                <w:sz w:val="20"/>
                <w:szCs w:val="20"/>
                <w:lang w:val="el-GR" w:eastAsia="el-GR"/>
              </w:rPr>
            </w:pPr>
            <w:r w:rsidRPr="00F12E8B">
              <w:rPr>
                <w:rFonts w:ascii="Times New Roman" w:eastAsia="Times New Roman" w:hAnsi="Times New Roman"/>
                <w:bCs/>
                <w:sz w:val="20"/>
                <w:szCs w:val="20"/>
                <w:lang w:val="el-GR" w:eastAsia="el-GR"/>
              </w:rPr>
              <w:t>-0.02</w:t>
            </w:r>
          </w:p>
        </w:tc>
        <w:tc>
          <w:tcPr>
            <w:tcW w:w="1333" w:type="dxa"/>
            <w:shd w:val="clear" w:color="auto" w:fill="auto"/>
            <w:noWrap/>
            <w:vAlign w:val="center"/>
            <w:hideMark/>
          </w:tcPr>
          <w:p w:rsidR="00137C10" w:rsidRPr="00F12E8B" w:rsidRDefault="00137C10" w:rsidP="000E1F80">
            <w:pPr>
              <w:spacing w:after="0" w:line="240" w:lineRule="auto"/>
              <w:jc w:val="center"/>
              <w:rPr>
                <w:rFonts w:ascii="Times New Roman" w:eastAsia="Times New Roman" w:hAnsi="Times New Roman"/>
                <w:bCs/>
                <w:sz w:val="20"/>
                <w:szCs w:val="20"/>
                <w:lang w:val="el-GR" w:eastAsia="el-GR"/>
              </w:rPr>
            </w:pPr>
            <w:r w:rsidRPr="00F12E8B">
              <w:rPr>
                <w:rFonts w:ascii="Times New Roman" w:eastAsia="Times New Roman" w:hAnsi="Times New Roman"/>
                <w:bCs/>
                <w:sz w:val="20"/>
                <w:szCs w:val="20"/>
                <w:lang w:val="el-GR" w:eastAsia="el-GR"/>
              </w:rPr>
              <w:t>16.5</w:t>
            </w:r>
          </w:p>
        </w:tc>
      </w:tr>
      <w:tr w:rsidR="00137C10" w:rsidRPr="00F12E8B" w:rsidTr="00503C3E">
        <w:trPr>
          <w:trHeight w:val="315"/>
        </w:trPr>
        <w:tc>
          <w:tcPr>
            <w:tcW w:w="714" w:type="dxa"/>
            <w:shd w:val="clear" w:color="auto" w:fill="auto"/>
            <w:noWrap/>
            <w:vAlign w:val="center"/>
            <w:hideMark/>
          </w:tcPr>
          <w:p w:rsidR="00137C10" w:rsidRPr="00F12E8B" w:rsidRDefault="00137C10" w:rsidP="000E1F80">
            <w:pPr>
              <w:spacing w:after="0" w:line="240" w:lineRule="auto"/>
              <w:jc w:val="center"/>
              <w:rPr>
                <w:rFonts w:ascii="Times New Roman" w:eastAsia="Times New Roman" w:hAnsi="Times New Roman"/>
                <w:bCs/>
                <w:sz w:val="20"/>
                <w:szCs w:val="20"/>
                <w:lang w:val="el-GR" w:eastAsia="el-GR"/>
              </w:rPr>
            </w:pPr>
            <w:r w:rsidRPr="00F12E8B">
              <w:rPr>
                <w:rFonts w:ascii="Times New Roman" w:eastAsia="Times New Roman" w:hAnsi="Times New Roman"/>
                <w:bCs/>
                <w:sz w:val="20"/>
                <w:szCs w:val="20"/>
                <w:lang w:val="el-GR" w:eastAsia="el-GR"/>
              </w:rPr>
              <w:t>2016</w:t>
            </w:r>
          </w:p>
        </w:tc>
        <w:tc>
          <w:tcPr>
            <w:tcW w:w="1276" w:type="dxa"/>
            <w:shd w:val="clear" w:color="auto" w:fill="auto"/>
            <w:noWrap/>
            <w:vAlign w:val="center"/>
            <w:hideMark/>
          </w:tcPr>
          <w:p w:rsidR="00137C10" w:rsidRPr="00F12E8B" w:rsidRDefault="00137C10" w:rsidP="000E1F80">
            <w:pPr>
              <w:spacing w:after="0" w:line="240" w:lineRule="auto"/>
              <w:jc w:val="center"/>
              <w:rPr>
                <w:rFonts w:ascii="Times New Roman" w:eastAsia="Times New Roman" w:hAnsi="Times New Roman"/>
                <w:bCs/>
                <w:sz w:val="20"/>
                <w:szCs w:val="20"/>
                <w:lang w:val="el-GR" w:eastAsia="el-GR"/>
              </w:rPr>
            </w:pPr>
            <w:r w:rsidRPr="00F12E8B">
              <w:rPr>
                <w:rFonts w:ascii="Times New Roman" w:eastAsia="Times New Roman" w:hAnsi="Times New Roman"/>
                <w:bCs/>
                <w:sz w:val="20"/>
                <w:szCs w:val="20"/>
                <w:lang w:val="el-GR" w:eastAsia="el-GR"/>
              </w:rPr>
              <w:t>0.006</w:t>
            </w:r>
          </w:p>
        </w:tc>
        <w:tc>
          <w:tcPr>
            <w:tcW w:w="1417" w:type="dxa"/>
            <w:shd w:val="clear" w:color="auto" w:fill="auto"/>
            <w:noWrap/>
            <w:vAlign w:val="bottom"/>
            <w:hideMark/>
          </w:tcPr>
          <w:p w:rsidR="00137C10" w:rsidRPr="00F12E8B" w:rsidRDefault="00137C10" w:rsidP="000E1F80">
            <w:pPr>
              <w:spacing w:after="0" w:line="240" w:lineRule="auto"/>
              <w:jc w:val="center"/>
              <w:rPr>
                <w:rFonts w:ascii="Times New Roman" w:eastAsia="Times New Roman" w:hAnsi="Times New Roman"/>
                <w:bCs/>
                <w:sz w:val="20"/>
                <w:szCs w:val="20"/>
                <w:lang w:val="el-GR" w:eastAsia="el-GR"/>
              </w:rPr>
            </w:pPr>
            <w:r w:rsidRPr="00F12E8B">
              <w:rPr>
                <w:rFonts w:ascii="Times New Roman" w:eastAsia="Times New Roman" w:hAnsi="Times New Roman"/>
                <w:bCs/>
                <w:sz w:val="20"/>
                <w:szCs w:val="20"/>
                <w:lang w:val="el-GR" w:eastAsia="el-GR"/>
              </w:rPr>
              <w:t>0.001</w:t>
            </w:r>
          </w:p>
        </w:tc>
        <w:tc>
          <w:tcPr>
            <w:tcW w:w="1418" w:type="dxa"/>
            <w:vAlign w:val="center"/>
          </w:tcPr>
          <w:p w:rsidR="00137C10" w:rsidRPr="00F12E8B" w:rsidRDefault="00137C10" w:rsidP="00137C10">
            <w:pPr>
              <w:spacing w:after="0" w:line="240" w:lineRule="auto"/>
              <w:jc w:val="center"/>
              <w:rPr>
                <w:rFonts w:ascii="Times New Roman" w:eastAsia="Times New Roman" w:hAnsi="Times New Roman"/>
                <w:bCs/>
                <w:sz w:val="20"/>
                <w:szCs w:val="20"/>
                <w:lang w:val="el-GR" w:eastAsia="el-GR"/>
              </w:rPr>
            </w:pPr>
            <w:r w:rsidRPr="00F12E8B">
              <w:rPr>
                <w:rFonts w:ascii="Times New Roman" w:eastAsia="Times New Roman" w:hAnsi="Times New Roman"/>
                <w:bCs/>
                <w:sz w:val="20"/>
                <w:szCs w:val="20"/>
                <w:lang w:val="el-GR" w:eastAsia="el-GR"/>
              </w:rPr>
              <w:t>6</w:t>
            </w:r>
          </w:p>
        </w:tc>
        <w:tc>
          <w:tcPr>
            <w:tcW w:w="1276" w:type="dxa"/>
            <w:shd w:val="clear" w:color="auto" w:fill="auto"/>
            <w:noWrap/>
            <w:vAlign w:val="center"/>
            <w:hideMark/>
          </w:tcPr>
          <w:p w:rsidR="00137C10" w:rsidRPr="00F12E8B" w:rsidRDefault="00137C10" w:rsidP="00137C10">
            <w:pPr>
              <w:spacing w:after="0" w:line="240" w:lineRule="auto"/>
              <w:jc w:val="center"/>
              <w:rPr>
                <w:rFonts w:ascii="Times New Roman" w:eastAsia="Times New Roman" w:hAnsi="Times New Roman"/>
                <w:bCs/>
                <w:sz w:val="20"/>
                <w:szCs w:val="20"/>
                <w:lang w:val="el-GR" w:eastAsia="el-GR"/>
              </w:rPr>
            </w:pPr>
            <w:r w:rsidRPr="00F12E8B">
              <w:rPr>
                <w:rFonts w:ascii="Times New Roman" w:eastAsia="Times New Roman" w:hAnsi="Times New Roman"/>
                <w:bCs/>
                <w:sz w:val="20"/>
                <w:szCs w:val="20"/>
                <w:lang w:val="el-GR" w:eastAsia="el-GR"/>
              </w:rPr>
              <w:t>-0.12</w:t>
            </w:r>
          </w:p>
        </w:tc>
        <w:tc>
          <w:tcPr>
            <w:tcW w:w="1275" w:type="dxa"/>
            <w:shd w:val="clear" w:color="auto" w:fill="auto"/>
            <w:noWrap/>
            <w:vAlign w:val="bottom"/>
            <w:hideMark/>
          </w:tcPr>
          <w:p w:rsidR="00137C10" w:rsidRPr="00F12E8B" w:rsidRDefault="00137C10" w:rsidP="000E1F80">
            <w:pPr>
              <w:spacing w:after="0" w:line="240" w:lineRule="auto"/>
              <w:jc w:val="center"/>
              <w:rPr>
                <w:rFonts w:ascii="Times New Roman" w:eastAsia="Times New Roman" w:hAnsi="Times New Roman"/>
                <w:bCs/>
                <w:sz w:val="20"/>
                <w:szCs w:val="20"/>
                <w:lang w:val="el-GR" w:eastAsia="el-GR"/>
              </w:rPr>
            </w:pPr>
            <w:r w:rsidRPr="00F12E8B">
              <w:rPr>
                <w:rFonts w:ascii="Times New Roman" w:eastAsia="Times New Roman" w:hAnsi="Times New Roman"/>
                <w:bCs/>
                <w:sz w:val="20"/>
                <w:szCs w:val="20"/>
                <w:lang w:val="el-GR" w:eastAsia="el-GR"/>
              </w:rPr>
              <w:t>-0.008</w:t>
            </w:r>
          </w:p>
        </w:tc>
        <w:tc>
          <w:tcPr>
            <w:tcW w:w="1333" w:type="dxa"/>
            <w:shd w:val="clear" w:color="auto" w:fill="auto"/>
            <w:noWrap/>
            <w:vAlign w:val="center"/>
            <w:hideMark/>
          </w:tcPr>
          <w:p w:rsidR="00137C10" w:rsidRPr="00F12E8B" w:rsidRDefault="00137C10" w:rsidP="000E1F80">
            <w:pPr>
              <w:spacing w:after="0" w:line="240" w:lineRule="auto"/>
              <w:jc w:val="center"/>
              <w:rPr>
                <w:rFonts w:ascii="Times New Roman" w:eastAsia="Times New Roman" w:hAnsi="Times New Roman"/>
                <w:bCs/>
                <w:sz w:val="20"/>
                <w:szCs w:val="20"/>
                <w:lang w:val="el-GR" w:eastAsia="el-GR"/>
              </w:rPr>
            </w:pPr>
            <w:r w:rsidRPr="00F12E8B">
              <w:rPr>
                <w:rFonts w:ascii="Times New Roman" w:eastAsia="Times New Roman" w:hAnsi="Times New Roman"/>
                <w:bCs/>
                <w:sz w:val="20"/>
                <w:szCs w:val="20"/>
                <w:lang w:val="el-GR" w:eastAsia="el-GR"/>
              </w:rPr>
              <w:t>15</w:t>
            </w:r>
          </w:p>
        </w:tc>
      </w:tr>
      <w:tr w:rsidR="00137C10" w:rsidRPr="00F12E8B" w:rsidTr="00503C3E">
        <w:trPr>
          <w:trHeight w:val="315"/>
        </w:trPr>
        <w:tc>
          <w:tcPr>
            <w:tcW w:w="714" w:type="dxa"/>
            <w:shd w:val="clear" w:color="auto" w:fill="auto"/>
            <w:noWrap/>
            <w:vAlign w:val="center"/>
            <w:hideMark/>
          </w:tcPr>
          <w:p w:rsidR="00137C10" w:rsidRPr="00F12E8B" w:rsidRDefault="00137C10" w:rsidP="000E1F80">
            <w:pPr>
              <w:spacing w:after="0" w:line="240" w:lineRule="auto"/>
              <w:jc w:val="center"/>
              <w:rPr>
                <w:rFonts w:ascii="Times New Roman" w:eastAsia="Times New Roman" w:hAnsi="Times New Roman"/>
                <w:bCs/>
                <w:sz w:val="20"/>
                <w:szCs w:val="20"/>
                <w:lang w:val="el-GR" w:eastAsia="el-GR"/>
              </w:rPr>
            </w:pPr>
            <w:r w:rsidRPr="00F12E8B">
              <w:rPr>
                <w:rFonts w:ascii="Times New Roman" w:eastAsia="Times New Roman" w:hAnsi="Times New Roman"/>
                <w:bCs/>
                <w:sz w:val="20"/>
                <w:szCs w:val="20"/>
                <w:lang w:val="el-GR" w:eastAsia="el-GR"/>
              </w:rPr>
              <w:t>2017</w:t>
            </w:r>
          </w:p>
        </w:tc>
        <w:tc>
          <w:tcPr>
            <w:tcW w:w="1276" w:type="dxa"/>
            <w:shd w:val="clear" w:color="auto" w:fill="auto"/>
            <w:noWrap/>
            <w:vAlign w:val="center"/>
            <w:hideMark/>
          </w:tcPr>
          <w:p w:rsidR="00137C10" w:rsidRPr="00F12E8B" w:rsidRDefault="00137C10" w:rsidP="000E1F80">
            <w:pPr>
              <w:spacing w:after="0" w:line="240" w:lineRule="auto"/>
              <w:jc w:val="center"/>
              <w:rPr>
                <w:rFonts w:ascii="Times New Roman" w:eastAsia="Times New Roman" w:hAnsi="Times New Roman"/>
                <w:bCs/>
                <w:sz w:val="20"/>
                <w:szCs w:val="20"/>
                <w:lang w:val="el-GR" w:eastAsia="el-GR"/>
              </w:rPr>
            </w:pPr>
            <w:r w:rsidRPr="00F12E8B">
              <w:rPr>
                <w:rFonts w:ascii="Times New Roman" w:eastAsia="Times New Roman" w:hAnsi="Times New Roman"/>
                <w:bCs/>
                <w:sz w:val="20"/>
                <w:szCs w:val="20"/>
                <w:lang w:val="el-GR" w:eastAsia="el-GR"/>
              </w:rPr>
              <w:t>-0.04</w:t>
            </w:r>
          </w:p>
        </w:tc>
        <w:tc>
          <w:tcPr>
            <w:tcW w:w="1417" w:type="dxa"/>
            <w:shd w:val="clear" w:color="auto" w:fill="auto"/>
            <w:noWrap/>
            <w:vAlign w:val="bottom"/>
            <w:hideMark/>
          </w:tcPr>
          <w:p w:rsidR="00137C10" w:rsidRPr="00F12E8B" w:rsidRDefault="00137C10" w:rsidP="000E1F80">
            <w:pPr>
              <w:spacing w:after="0" w:line="240" w:lineRule="auto"/>
              <w:jc w:val="center"/>
              <w:rPr>
                <w:rFonts w:ascii="Times New Roman" w:eastAsia="Times New Roman" w:hAnsi="Times New Roman"/>
                <w:bCs/>
                <w:sz w:val="20"/>
                <w:szCs w:val="20"/>
                <w:lang w:val="el-GR" w:eastAsia="el-GR"/>
              </w:rPr>
            </w:pPr>
            <w:r w:rsidRPr="00F12E8B">
              <w:rPr>
                <w:rFonts w:ascii="Times New Roman" w:eastAsia="Times New Roman" w:hAnsi="Times New Roman"/>
                <w:bCs/>
                <w:sz w:val="20"/>
                <w:szCs w:val="20"/>
                <w:lang w:val="el-GR" w:eastAsia="el-GR"/>
              </w:rPr>
              <w:t>-0.003</w:t>
            </w:r>
          </w:p>
        </w:tc>
        <w:tc>
          <w:tcPr>
            <w:tcW w:w="1418" w:type="dxa"/>
            <w:vAlign w:val="center"/>
          </w:tcPr>
          <w:p w:rsidR="00137C10" w:rsidRPr="00F12E8B" w:rsidRDefault="00137C10" w:rsidP="00137C10">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13.3</w:t>
            </w:r>
          </w:p>
        </w:tc>
        <w:tc>
          <w:tcPr>
            <w:tcW w:w="1276" w:type="dxa"/>
            <w:shd w:val="clear" w:color="auto" w:fill="auto"/>
            <w:noWrap/>
            <w:vAlign w:val="bottom"/>
            <w:hideMark/>
          </w:tcPr>
          <w:p w:rsidR="00137C10" w:rsidRPr="00F12E8B" w:rsidRDefault="00137C10" w:rsidP="00137C10">
            <w:pPr>
              <w:spacing w:after="0" w:line="240" w:lineRule="auto"/>
              <w:jc w:val="center"/>
              <w:rPr>
                <w:rFonts w:ascii="Times New Roman" w:eastAsia="Times New Roman" w:hAnsi="Times New Roman"/>
                <w:color w:val="000000"/>
                <w:sz w:val="20"/>
                <w:szCs w:val="20"/>
                <w:lang w:val="el-GR" w:eastAsia="el-GR"/>
              </w:rPr>
            </w:pPr>
          </w:p>
        </w:tc>
        <w:tc>
          <w:tcPr>
            <w:tcW w:w="1275" w:type="dxa"/>
            <w:shd w:val="clear" w:color="auto" w:fill="auto"/>
            <w:noWrap/>
            <w:vAlign w:val="bottom"/>
            <w:hideMark/>
          </w:tcPr>
          <w:p w:rsidR="00137C10" w:rsidRPr="00F12E8B" w:rsidRDefault="00137C10" w:rsidP="000E1F80">
            <w:pPr>
              <w:spacing w:after="0" w:line="240" w:lineRule="auto"/>
              <w:jc w:val="center"/>
              <w:rPr>
                <w:rFonts w:ascii="Times New Roman" w:eastAsia="Times New Roman" w:hAnsi="Times New Roman"/>
                <w:color w:val="000000"/>
                <w:sz w:val="20"/>
                <w:szCs w:val="20"/>
                <w:lang w:val="el-GR" w:eastAsia="el-GR"/>
              </w:rPr>
            </w:pPr>
          </w:p>
        </w:tc>
        <w:tc>
          <w:tcPr>
            <w:tcW w:w="1333" w:type="dxa"/>
            <w:shd w:val="clear" w:color="auto" w:fill="auto"/>
            <w:noWrap/>
            <w:vAlign w:val="center"/>
            <w:hideMark/>
          </w:tcPr>
          <w:p w:rsidR="00137C10" w:rsidRPr="00F12E8B" w:rsidRDefault="00137C10" w:rsidP="000E1F80">
            <w:pPr>
              <w:spacing w:after="0" w:line="240" w:lineRule="auto"/>
              <w:jc w:val="center"/>
              <w:rPr>
                <w:rFonts w:ascii="Times New Roman" w:eastAsia="Times New Roman" w:hAnsi="Times New Roman"/>
                <w:bCs/>
                <w:color w:val="000000"/>
                <w:sz w:val="20"/>
                <w:szCs w:val="20"/>
                <w:lang w:val="el-GR" w:eastAsia="el-GR"/>
              </w:rPr>
            </w:pPr>
          </w:p>
        </w:tc>
      </w:tr>
      <w:tr w:rsidR="00137C10" w:rsidRPr="00F12E8B" w:rsidTr="00503C3E">
        <w:trPr>
          <w:trHeight w:val="315"/>
        </w:trPr>
        <w:tc>
          <w:tcPr>
            <w:tcW w:w="714" w:type="dxa"/>
            <w:shd w:val="clear" w:color="auto" w:fill="auto"/>
            <w:noWrap/>
            <w:vAlign w:val="center"/>
            <w:hideMark/>
          </w:tcPr>
          <w:p w:rsidR="00137C10" w:rsidRPr="00F12E8B" w:rsidRDefault="00137C10" w:rsidP="000E1F80">
            <w:pPr>
              <w:spacing w:after="0" w:line="240" w:lineRule="auto"/>
              <w:jc w:val="center"/>
              <w:rPr>
                <w:rFonts w:ascii="Times New Roman" w:eastAsia="Times New Roman" w:hAnsi="Times New Roman"/>
                <w:bCs/>
                <w:sz w:val="20"/>
                <w:szCs w:val="20"/>
                <w:lang w:val="el-GR" w:eastAsia="el-GR"/>
              </w:rPr>
            </w:pPr>
            <w:r w:rsidRPr="00F12E8B">
              <w:rPr>
                <w:rFonts w:ascii="Times New Roman" w:eastAsia="Times New Roman" w:hAnsi="Times New Roman"/>
                <w:bCs/>
                <w:sz w:val="20"/>
                <w:szCs w:val="20"/>
                <w:lang w:val="el-GR" w:eastAsia="el-GR"/>
              </w:rPr>
              <w:t>2018</w:t>
            </w:r>
          </w:p>
        </w:tc>
        <w:tc>
          <w:tcPr>
            <w:tcW w:w="1276" w:type="dxa"/>
            <w:shd w:val="clear" w:color="auto" w:fill="auto"/>
            <w:noWrap/>
            <w:vAlign w:val="center"/>
            <w:hideMark/>
          </w:tcPr>
          <w:p w:rsidR="00137C10" w:rsidRPr="00F12E8B" w:rsidRDefault="00137C10" w:rsidP="000E1F80">
            <w:pPr>
              <w:spacing w:after="0" w:line="240" w:lineRule="auto"/>
              <w:jc w:val="center"/>
              <w:rPr>
                <w:rFonts w:ascii="Times New Roman" w:eastAsia="Times New Roman" w:hAnsi="Times New Roman"/>
                <w:bCs/>
                <w:sz w:val="20"/>
                <w:szCs w:val="20"/>
                <w:lang w:val="el-GR" w:eastAsia="el-GR"/>
              </w:rPr>
            </w:pPr>
            <w:r w:rsidRPr="00F12E8B">
              <w:rPr>
                <w:rFonts w:ascii="Times New Roman" w:eastAsia="Times New Roman" w:hAnsi="Times New Roman"/>
                <w:bCs/>
                <w:sz w:val="20"/>
                <w:szCs w:val="20"/>
                <w:lang w:val="el-GR" w:eastAsia="el-GR"/>
              </w:rPr>
              <w:t>0.006</w:t>
            </w:r>
          </w:p>
        </w:tc>
        <w:tc>
          <w:tcPr>
            <w:tcW w:w="1417" w:type="dxa"/>
            <w:shd w:val="clear" w:color="auto" w:fill="auto"/>
            <w:noWrap/>
            <w:vAlign w:val="bottom"/>
            <w:hideMark/>
          </w:tcPr>
          <w:p w:rsidR="00137C10" w:rsidRPr="00F12E8B" w:rsidRDefault="00137C10" w:rsidP="000E1F80">
            <w:pPr>
              <w:spacing w:after="0" w:line="240" w:lineRule="auto"/>
              <w:jc w:val="center"/>
              <w:rPr>
                <w:rFonts w:ascii="Times New Roman" w:eastAsia="Times New Roman" w:hAnsi="Times New Roman"/>
                <w:bCs/>
                <w:sz w:val="20"/>
                <w:szCs w:val="20"/>
                <w:lang w:val="el-GR" w:eastAsia="el-GR"/>
              </w:rPr>
            </w:pPr>
            <w:r w:rsidRPr="00F12E8B">
              <w:rPr>
                <w:rFonts w:ascii="Times New Roman" w:eastAsia="Times New Roman" w:hAnsi="Times New Roman"/>
                <w:bCs/>
                <w:sz w:val="20"/>
                <w:szCs w:val="20"/>
                <w:lang w:val="el-GR" w:eastAsia="el-GR"/>
              </w:rPr>
              <w:t>0.0003</w:t>
            </w:r>
          </w:p>
        </w:tc>
        <w:tc>
          <w:tcPr>
            <w:tcW w:w="1418" w:type="dxa"/>
            <w:vAlign w:val="center"/>
          </w:tcPr>
          <w:p w:rsidR="00137C10" w:rsidRPr="00F12E8B" w:rsidRDefault="00137C10" w:rsidP="00137C10">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20</w:t>
            </w:r>
          </w:p>
        </w:tc>
        <w:tc>
          <w:tcPr>
            <w:tcW w:w="1276" w:type="dxa"/>
            <w:shd w:val="clear" w:color="auto" w:fill="auto"/>
            <w:noWrap/>
            <w:vAlign w:val="bottom"/>
            <w:hideMark/>
          </w:tcPr>
          <w:p w:rsidR="00137C10" w:rsidRPr="00F12E8B" w:rsidRDefault="00137C10" w:rsidP="00137C10">
            <w:pPr>
              <w:spacing w:after="0" w:line="240" w:lineRule="auto"/>
              <w:jc w:val="center"/>
              <w:rPr>
                <w:rFonts w:ascii="Times New Roman" w:eastAsia="Times New Roman" w:hAnsi="Times New Roman"/>
                <w:color w:val="000000"/>
                <w:sz w:val="20"/>
                <w:szCs w:val="20"/>
                <w:lang w:val="el-GR" w:eastAsia="el-GR"/>
              </w:rPr>
            </w:pPr>
          </w:p>
        </w:tc>
        <w:tc>
          <w:tcPr>
            <w:tcW w:w="1275" w:type="dxa"/>
            <w:shd w:val="clear" w:color="auto" w:fill="auto"/>
            <w:noWrap/>
            <w:vAlign w:val="bottom"/>
            <w:hideMark/>
          </w:tcPr>
          <w:p w:rsidR="00137C10" w:rsidRPr="00F12E8B" w:rsidRDefault="00137C10" w:rsidP="000E1F80">
            <w:pPr>
              <w:spacing w:after="0" w:line="240" w:lineRule="auto"/>
              <w:jc w:val="center"/>
              <w:rPr>
                <w:rFonts w:ascii="Times New Roman" w:eastAsia="Times New Roman" w:hAnsi="Times New Roman"/>
                <w:color w:val="000000"/>
                <w:sz w:val="20"/>
                <w:szCs w:val="20"/>
                <w:lang w:val="el-GR" w:eastAsia="el-GR"/>
              </w:rPr>
            </w:pPr>
          </w:p>
        </w:tc>
        <w:tc>
          <w:tcPr>
            <w:tcW w:w="1333" w:type="dxa"/>
            <w:shd w:val="clear" w:color="auto" w:fill="auto"/>
            <w:noWrap/>
            <w:vAlign w:val="center"/>
            <w:hideMark/>
          </w:tcPr>
          <w:p w:rsidR="00137C10" w:rsidRPr="00F12E8B" w:rsidRDefault="00137C10" w:rsidP="000E1F80">
            <w:pPr>
              <w:spacing w:after="0" w:line="240" w:lineRule="auto"/>
              <w:jc w:val="center"/>
              <w:rPr>
                <w:rFonts w:ascii="Times New Roman" w:eastAsia="Times New Roman" w:hAnsi="Times New Roman"/>
                <w:bCs/>
                <w:color w:val="000000"/>
                <w:sz w:val="20"/>
                <w:szCs w:val="20"/>
                <w:lang w:val="el-GR" w:eastAsia="el-GR"/>
              </w:rPr>
            </w:pPr>
          </w:p>
        </w:tc>
      </w:tr>
      <w:tr w:rsidR="00137C10" w:rsidRPr="00F12E8B" w:rsidTr="00503C3E">
        <w:trPr>
          <w:trHeight w:val="315"/>
        </w:trPr>
        <w:tc>
          <w:tcPr>
            <w:tcW w:w="714" w:type="dxa"/>
            <w:shd w:val="clear" w:color="auto" w:fill="auto"/>
            <w:noWrap/>
            <w:vAlign w:val="center"/>
            <w:hideMark/>
          </w:tcPr>
          <w:p w:rsidR="00137C10" w:rsidRPr="00F12E8B" w:rsidRDefault="00137C10" w:rsidP="000E1F80">
            <w:pPr>
              <w:spacing w:after="0" w:line="240" w:lineRule="auto"/>
              <w:jc w:val="center"/>
              <w:rPr>
                <w:rFonts w:ascii="Times New Roman" w:eastAsia="Times New Roman" w:hAnsi="Times New Roman"/>
                <w:bCs/>
                <w:sz w:val="20"/>
                <w:szCs w:val="20"/>
                <w:lang w:val="el-GR" w:eastAsia="el-GR"/>
              </w:rPr>
            </w:pPr>
            <w:r w:rsidRPr="00F12E8B">
              <w:rPr>
                <w:rFonts w:ascii="Times New Roman" w:eastAsia="Times New Roman" w:hAnsi="Times New Roman"/>
                <w:bCs/>
                <w:sz w:val="20"/>
                <w:szCs w:val="20"/>
                <w:lang w:val="el-GR" w:eastAsia="el-GR"/>
              </w:rPr>
              <w:t>2019</w:t>
            </w:r>
          </w:p>
        </w:tc>
        <w:tc>
          <w:tcPr>
            <w:tcW w:w="1276" w:type="dxa"/>
            <w:shd w:val="clear" w:color="auto" w:fill="auto"/>
            <w:noWrap/>
            <w:vAlign w:val="center"/>
            <w:hideMark/>
          </w:tcPr>
          <w:p w:rsidR="00137C10" w:rsidRPr="00F12E8B" w:rsidRDefault="00137C10" w:rsidP="000E1F80">
            <w:pPr>
              <w:spacing w:after="0" w:line="240" w:lineRule="auto"/>
              <w:jc w:val="center"/>
              <w:rPr>
                <w:rFonts w:ascii="Times New Roman" w:eastAsia="Times New Roman" w:hAnsi="Times New Roman"/>
                <w:bCs/>
                <w:sz w:val="20"/>
                <w:szCs w:val="20"/>
                <w:lang w:val="el-GR" w:eastAsia="el-GR"/>
              </w:rPr>
            </w:pPr>
            <w:r w:rsidRPr="00F12E8B">
              <w:rPr>
                <w:rFonts w:ascii="Times New Roman" w:eastAsia="Times New Roman" w:hAnsi="Times New Roman"/>
                <w:bCs/>
                <w:sz w:val="20"/>
                <w:szCs w:val="20"/>
                <w:lang w:val="el-GR" w:eastAsia="el-GR"/>
              </w:rPr>
              <w:t>-0.74</w:t>
            </w:r>
          </w:p>
        </w:tc>
        <w:tc>
          <w:tcPr>
            <w:tcW w:w="1417" w:type="dxa"/>
            <w:shd w:val="clear" w:color="auto" w:fill="auto"/>
            <w:noWrap/>
            <w:vAlign w:val="bottom"/>
            <w:hideMark/>
          </w:tcPr>
          <w:p w:rsidR="00137C10" w:rsidRPr="00F12E8B" w:rsidRDefault="00137C10" w:rsidP="000E1F80">
            <w:pPr>
              <w:spacing w:after="0" w:line="240" w:lineRule="auto"/>
              <w:jc w:val="center"/>
              <w:rPr>
                <w:rFonts w:ascii="Times New Roman" w:eastAsia="Times New Roman" w:hAnsi="Times New Roman"/>
                <w:bCs/>
                <w:sz w:val="20"/>
                <w:szCs w:val="20"/>
                <w:lang w:val="el-GR" w:eastAsia="el-GR"/>
              </w:rPr>
            </w:pPr>
            <w:r w:rsidRPr="00F12E8B">
              <w:rPr>
                <w:rFonts w:ascii="Times New Roman" w:eastAsia="Times New Roman" w:hAnsi="Times New Roman"/>
                <w:bCs/>
                <w:sz w:val="20"/>
                <w:szCs w:val="20"/>
                <w:lang w:val="el-GR" w:eastAsia="el-GR"/>
              </w:rPr>
              <w:t>-0.027</w:t>
            </w:r>
          </w:p>
        </w:tc>
        <w:tc>
          <w:tcPr>
            <w:tcW w:w="1418" w:type="dxa"/>
            <w:vAlign w:val="center"/>
          </w:tcPr>
          <w:p w:rsidR="00137C10" w:rsidRPr="00F12E8B" w:rsidRDefault="00137C10" w:rsidP="00137C10">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27.4</w:t>
            </w:r>
          </w:p>
        </w:tc>
        <w:tc>
          <w:tcPr>
            <w:tcW w:w="1276" w:type="dxa"/>
            <w:shd w:val="clear" w:color="auto" w:fill="auto"/>
            <w:noWrap/>
            <w:vAlign w:val="bottom"/>
            <w:hideMark/>
          </w:tcPr>
          <w:p w:rsidR="00137C10" w:rsidRPr="00F12E8B" w:rsidRDefault="00137C10" w:rsidP="00137C10">
            <w:pPr>
              <w:spacing w:after="0" w:line="240" w:lineRule="auto"/>
              <w:jc w:val="center"/>
              <w:rPr>
                <w:rFonts w:ascii="Times New Roman" w:eastAsia="Times New Roman" w:hAnsi="Times New Roman"/>
                <w:color w:val="000000"/>
                <w:sz w:val="20"/>
                <w:szCs w:val="20"/>
                <w:lang w:val="el-GR" w:eastAsia="el-GR"/>
              </w:rPr>
            </w:pPr>
          </w:p>
        </w:tc>
        <w:tc>
          <w:tcPr>
            <w:tcW w:w="1275" w:type="dxa"/>
            <w:shd w:val="clear" w:color="auto" w:fill="auto"/>
            <w:noWrap/>
            <w:vAlign w:val="bottom"/>
            <w:hideMark/>
          </w:tcPr>
          <w:p w:rsidR="00137C10" w:rsidRPr="00F12E8B" w:rsidRDefault="00137C10" w:rsidP="000E1F80">
            <w:pPr>
              <w:spacing w:after="0" w:line="240" w:lineRule="auto"/>
              <w:jc w:val="center"/>
              <w:rPr>
                <w:rFonts w:ascii="Times New Roman" w:eastAsia="Times New Roman" w:hAnsi="Times New Roman"/>
                <w:bCs/>
                <w:color w:val="000000"/>
                <w:sz w:val="20"/>
                <w:szCs w:val="20"/>
                <w:lang w:val="el-GR" w:eastAsia="el-GR"/>
              </w:rPr>
            </w:pPr>
          </w:p>
        </w:tc>
        <w:tc>
          <w:tcPr>
            <w:tcW w:w="1333" w:type="dxa"/>
            <w:shd w:val="clear" w:color="auto" w:fill="auto"/>
            <w:noWrap/>
            <w:vAlign w:val="center"/>
            <w:hideMark/>
          </w:tcPr>
          <w:p w:rsidR="00137C10" w:rsidRPr="00F12E8B" w:rsidRDefault="00137C10" w:rsidP="000E1F80">
            <w:pPr>
              <w:spacing w:after="0" w:line="240" w:lineRule="auto"/>
              <w:jc w:val="center"/>
              <w:rPr>
                <w:rFonts w:ascii="Times New Roman" w:eastAsia="Times New Roman" w:hAnsi="Times New Roman"/>
                <w:bCs/>
                <w:color w:val="000000"/>
                <w:sz w:val="20"/>
                <w:szCs w:val="20"/>
                <w:lang w:val="el-GR" w:eastAsia="el-GR"/>
              </w:rPr>
            </w:pPr>
          </w:p>
        </w:tc>
      </w:tr>
      <w:tr w:rsidR="00137C10" w:rsidRPr="00F12E8B" w:rsidTr="00503C3E">
        <w:trPr>
          <w:trHeight w:val="315"/>
        </w:trPr>
        <w:tc>
          <w:tcPr>
            <w:tcW w:w="714" w:type="dxa"/>
            <w:shd w:val="clear" w:color="auto" w:fill="auto"/>
            <w:noWrap/>
            <w:vAlign w:val="center"/>
            <w:hideMark/>
          </w:tcPr>
          <w:p w:rsidR="00137C10" w:rsidRPr="00F12E8B" w:rsidRDefault="00137C10" w:rsidP="000E1F80">
            <w:pPr>
              <w:spacing w:after="0" w:line="240" w:lineRule="auto"/>
              <w:jc w:val="center"/>
              <w:rPr>
                <w:rFonts w:ascii="Times New Roman" w:eastAsia="Times New Roman" w:hAnsi="Times New Roman"/>
                <w:bCs/>
                <w:sz w:val="20"/>
                <w:szCs w:val="20"/>
                <w:lang w:val="el-GR" w:eastAsia="el-GR"/>
              </w:rPr>
            </w:pPr>
            <w:r w:rsidRPr="00F12E8B">
              <w:rPr>
                <w:rFonts w:ascii="Times New Roman" w:eastAsia="Times New Roman" w:hAnsi="Times New Roman"/>
                <w:bCs/>
                <w:sz w:val="20"/>
                <w:szCs w:val="20"/>
                <w:lang w:val="el-GR" w:eastAsia="el-GR"/>
              </w:rPr>
              <w:t>2020</w:t>
            </w:r>
          </w:p>
        </w:tc>
        <w:tc>
          <w:tcPr>
            <w:tcW w:w="1276" w:type="dxa"/>
            <w:shd w:val="clear" w:color="auto" w:fill="auto"/>
            <w:noWrap/>
            <w:vAlign w:val="center"/>
            <w:hideMark/>
          </w:tcPr>
          <w:p w:rsidR="00137C10" w:rsidRPr="00F12E8B" w:rsidRDefault="00137C10" w:rsidP="000E1F80">
            <w:pPr>
              <w:spacing w:after="0" w:line="240" w:lineRule="auto"/>
              <w:jc w:val="center"/>
              <w:rPr>
                <w:rFonts w:ascii="Times New Roman" w:eastAsia="Times New Roman" w:hAnsi="Times New Roman"/>
                <w:bCs/>
                <w:sz w:val="20"/>
                <w:szCs w:val="20"/>
                <w:lang w:val="el-GR" w:eastAsia="el-GR"/>
              </w:rPr>
            </w:pPr>
            <w:r w:rsidRPr="00F12E8B">
              <w:rPr>
                <w:rFonts w:ascii="Times New Roman" w:eastAsia="Times New Roman" w:hAnsi="Times New Roman"/>
                <w:bCs/>
                <w:sz w:val="20"/>
                <w:szCs w:val="20"/>
                <w:lang w:val="el-GR" w:eastAsia="el-GR"/>
              </w:rPr>
              <w:t>-0.27</w:t>
            </w:r>
          </w:p>
        </w:tc>
        <w:tc>
          <w:tcPr>
            <w:tcW w:w="1417" w:type="dxa"/>
            <w:shd w:val="clear" w:color="auto" w:fill="auto"/>
            <w:noWrap/>
            <w:vAlign w:val="bottom"/>
            <w:hideMark/>
          </w:tcPr>
          <w:p w:rsidR="00137C10" w:rsidRPr="00F12E8B" w:rsidRDefault="00137C10" w:rsidP="000E1F80">
            <w:pPr>
              <w:spacing w:after="0" w:line="240" w:lineRule="auto"/>
              <w:jc w:val="center"/>
              <w:rPr>
                <w:rFonts w:ascii="Times New Roman" w:eastAsia="Times New Roman" w:hAnsi="Times New Roman"/>
                <w:bCs/>
                <w:sz w:val="20"/>
                <w:szCs w:val="20"/>
                <w:lang w:val="el-GR" w:eastAsia="el-GR"/>
              </w:rPr>
            </w:pPr>
            <w:r w:rsidRPr="00F12E8B">
              <w:rPr>
                <w:rFonts w:ascii="Times New Roman" w:eastAsia="Times New Roman" w:hAnsi="Times New Roman"/>
                <w:bCs/>
                <w:sz w:val="20"/>
                <w:szCs w:val="20"/>
                <w:lang w:val="el-GR" w:eastAsia="el-GR"/>
              </w:rPr>
              <w:t>-0.02</w:t>
            </w:r>
          </w:p>
        </w:tc>
        <w:tc>
          <w:tcPr>
            <w:tcW w:w="1418" w:type="dxa"/>
            <w:vAlign w:val="center"/>
          </w:tcPr>
          <w:p w:rsidR="00137C10" w:rsidRPr="00F12E8B" w:rsidRDefault="00137C10" w:rsidP="00137C10">
            <w:pPr>
              <w:spacing w:after="0" w:line="240" w:lineRule="auto"/>
              <w:jc w:val="center"/>
              <w:rPr>
                <w:rFonts w:ascii="Times New Roman" w:eastAsia="Times New Roman" w:hAnsi="Times New Roman"/>
                <w:bCs/>
                <w:color w:val="002060"/>
                <w:sz w:val="20"/>
                <w:szCs w:val="20"/>
                <w:lang w:val="el-GR" w:eastAsia="el-GR"/>
              </w:rPr>
            </w:pPr>
            <w:r w:rsidRPr="00F12E8B">
              <w:rPr>
                <w:rFonts w:ascii="Times New Roman" w:eastAsia="Times New Roman" w:hAnsi="Times New Roman"/>
                <w:bCs/>
                <w:color w:val="002060"/>
                <w:sz w:val="20"/>
                <w:szCs w:val="20"/>
                <w:lang w:val="el-GR" w:eastAsia="el-GR"/>
              </w:rPr>
              <w:t>13.5</w:t>
            </w:r>
          </w:p>
        </w:tc>
        <w:tc>
          <w:tcPr>
            <w:tcW w:w="1276" w:type="dxa"/>
            <w:shd w:val="clear" w:color="auto" w:fill="auto"/>
            <w:noWrap/>
            <w:vAlign w:val="bottom"/>
            <w:hideMark/>
          </w:tcPr>
          <w:p w:rsidR="00137C10" w:rsidRPr="00F12E8B" w:rsidRDefault="00137C10" w:rsidP="00137C10">
            <w:pPr>
              <w:spacing w:after="0" w:line="240" w:lineRule="auto"/>
              <w:jc w:val="center"/>
              <w:rPr>
                <w:rFonts w:ascii="Times New Roman" w:eastAsia="Times New Roman" w:hAnsi="Times New Roman"/>
                <w:color w:val="000000"/>
                <w:sz w:val="20"/>
                <w:szCs w:val="20"/>
                <w:lang w:val="el-GR" w:eastAsia="el-GR"/>
              </w:rPr>
            </w:pPr>
          </w:p>
        </w:tc>
        <w:tc>
          <w:tcPr>
            <w:tcW w:w="1275" w:type="dxa"/>
            <w:shd w:val="clear" w:color="auto" w:fill="auto"/>
            <w:noWrap/>
            <w:vAlign w:val="bottom"/>
            <w:hideMark/>
          </w:tcPr>
          <w:p w:rsidR="00137C10" w:rsidRPr="00F12E8B" w:rsidRDefault="00137C10" w:rsidP="000E1F80">
            <w:pPr>
              <w:spacing w:after="0" w:line="240" w:lineRule="auto"/>
              <w:jc w:val="center"/>
              <w:rPr>
                <w:rFonts w:ascii="Times New Roman" w:eastAsia="Times New Roman" w:hAnsi="Times New Roman"/>
                <w:bCs/>
                <w:color w:val="000000"/>
                <w:sz w:val="20"/>
                <w:szCs w:val="20"/>
                <w:lang w:val="el-GR" w:eastAsia="el-GR"/>
              </w:rPr>
            </w:pPr>
          </w:p>
        </w:tc>
        <w:tc>
          <w:tcPr>
            <w:tcW w:w="1333" w:type="dxa"/>
            <w:shd w:val="clear" w:color="auto" w:fill="auto"/>
            <w:noWrap/>
            <w:vAlign w:val="center"/>
            <w:hideMark/>
          </w:tcPr>
          <w:p w:rsidR="00137C10" w:rsidRPr="00F12E8B" w:rsidRDefault="00137C10" w:rsidP="000E1F80">
            <w:pPr>
              <w:spacing w:after="0" w:line="240" w:lineRule="auto"/>
              <w:jc w:val="center"/>
              <w:rPr>
                <w:rFonts w:ascii="Times New Roman" w:eastAsia="Times New Roman" w:hAnsi="Times New Roman"/>
                <w:bCs/>
                <w:color w:val="000000"/>
                <w:sz w:val="20"/>
                <w:szCs w:val="20"/>
                <w:lang w:val="el-GR" w:eastAsia="el-GR"/>
              </w:rPr>
            </w:pPr>
          </w:p>
        </w:tc>
      </w:tr>
    </w:tbl>
    <w:p w:rsidR="00F23F65" w:rsidRPr="00F12E8B" w:rsidRDefault="00F23F65" w:rsidP="00C248F8">
      <w:pPr>
        <w:spacing w:after="0" w:line="240" w:lineRule="auto"/>
        <w:jc w:val="center"/>
        <w:rPr>
          <w:rFonts w:ascii="Times New Roman" w:hAnsi="Times New Roman"/>
          <w:sz w:val="20"/>
          <w:szCs w:val="20"/>
        </w:rPr>
      </w:pPr>
      <w:r w:rsidRPr="00F12E8B">
        <w:rPr>
          <w:rFonts w:ascii="Times New Roman" w:hAnsi="Times New Roman"/>
          <w:sz w:val="20"/>
          <w:szCs w:val="20"/>
        </w:rPr>
        <w:t>Source: Authors' calculations from published financial statements of the Greek Cooperative Banks.</w:t>
      </w:r>
    </w:p>
    <w:p w:rsidR="0023021C" w:rsidRPr="00F12E8B" w:rsidRDefault="00485328" w:rsidP="00C421DC">
      <w:pPr>
        <w:spacing w:after="0" w:line="240" w:lineRule="auto"/>
        <w:jc w:val="center"/>
        <w:rPr>
          <w:rFonts w:ascii="Times New Roman" w:hAnsi="Times New Roman"/>
          <w:sz w:val="20"/>
          <w:szCs w:val="20"/>
        </w:rPr>
      </w:pPr>
      <w:r w:rsidRPr="00F12E8B">
        <w:rPr>
          <w:rFonts w:ascii="Times New Roman" w:hAnsi="Times New Roman"/>
          <w:sz w:val="20"/>
          <w:szCs w:val="20"/>
        </w:rPr>
        <w:t>Figure</w:t>
      </w:r>
      <w:r w:rsidR="000E1F80" w:rsidRPr="00F12E8B">
        <w:rPr>
          <w:rFonts w:ascii="Times New Roman" w:hAnsi="Times New Roman"/>
          <w:sz w:val="20"/>
          <w:szCs w:val="20"/>
        </w:rPr>
        <w:t xml:space="preserve"> 8: DuPont Analysis </w:t>
      </w:r>
      <w:r w:rsidR="007B7BDE" w:rsidRPr="00F12E8B">
        <w:rPr>
          <w:rFonts w:ascii="Times New Roman" w:hAnsi="Times New Roman"/>
          <w:sz w:val="20"/>
          <w:szCs w:val="20"/>
        </w:rPr>
        <w:t xml:space="preserve">before and after the </w:t>
      </w:r>
      <w:r w:rsidR="00B66835" w:rsidRPr="00F12E8B">
        <w:rPr>
          <w:rFonts w:ascii="Times New Roman" w:hAnsi="Times New Roman"/>
          <w:sz w:val="20"/>
          <w:szCs w:val="20"/>
        </w:rPr>
        <w:t>a</w:t>
      </w:r>
      <w:r w:rsidR="007B7BDE" w:rsidRPr="00F12E8B">
        <w:rPr>
          <w:rFonts w:ascii="Times New Roman" w:hAnsi="Times New Roman"/>
          <w:sz w:val="20"/>
          <w:szCs w:val="20"/>
        </w:rPr>
        <w:t>cquisition</w:t>
      </w:r>
    </w:p>
    <w:p w:rsidR="0023021C" w:rsidRPr="00F12E8B" w:rsidRDefault="00790962" w:rsidP="00554446">
      <w:pPr>
        <w:spacing w:after="0" w:line="240" w:lineRule="auto"/>
        <w:jc w:val="both"/>
        <w:rPr>
          <w:rFonts w:ascii="Times New Roman" w:hAnsi="Times New Roman"/>
          <w:sz w:val="20"/>
          <w:szCs w:val="20"/>
        </w:rPr>
      </w:pPr>
      <w:r w:rsidRPr="00F12E8B">
        <w:rPr>
          <w:rFonts w:ascii="Times New Roman" w:hAnsi="Times New Roman"/>
          <w:noProof/>
          <w:sz w:val="20"/>
          <w:szCs w:val="20"/>
          <w:lang w:val="el-GR" w:eastAsia="el-GR"/>
        </w:rPr>
        <w:drawing>
          <wp:inline distT="0" distB="0" distL="0" distR="0">
            <wp:extent cx="5182375" cy="3236026"/>
            <wp:effectExtent l="19050" t="0" r="18275" b="2474"/>
            <wp:docPr id="18"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23021C" w:rsidRPr="00F12E8B" w:rsidRDefault="00F23F65" w:rsidP="00C248F8">
      <w:pPr>
        <w:spacing w:after="0" w:line="240" w:lineRule="auto"/>
        <w:jc w:val="center"/>
        <w:rPr>
          <w:rFonts w:ascii="Times New Roman" w:hAnsi="Times New Roman"/>
          <w:sz w:val="20"/>
          <w:szCs w:val="20"/>
        </w:rPr>
      </w:pPr>
      <w:r w:rsidRPr="00F12E8B">
        <w:rPr>
          <w:rFonts w:ascii="Times New Roman" w:hAnsi="Times New Roman"/>
          <w:sz w:val="20"/>
          <w:szCs w:val="20"/>
        </w:rPr>
        <w:t>Source: Table 8</w:t>
      </w:r>
    </w:p>
    <w:p w:rsidR="00175BBF" w:rsidRPr="00F12E8B" w:rsidRDefault="00B71231" w:rsidP="00554446">
      <w:pPr>
        <w:spacing w:after="0" w:line="240" w:lineRule="auto"/>
        <w:jc w:val="both"/>
        <w:rPr>
          <w:rFonts w:ascii="Times New Roman" w:hAnsi="Times New Roman"/>
          <w:b/>
          <w:sz w:val="20"/>
          <w:szCs w:val="20"/>
        </w:rPr>
      </w:pPr>
      <w:r w:rsidRPr="00F12E8B">
        <w:rPr>
          <w:rFonts w:ascii="Times New Roman" w:hAnsi="Times New Roman"/>
          <w:sz w:val="20"/>
          <w:szCs w:val="20"/>
        </w:rPr>
        <w:lastRenderedPageBreak/>
        <w:t xml:space="preserve">From the </w:t>
      </w:r>
      <w:r w:rsidR="003B44D3">
        <w:rPr>
          <w:rFonts w:ascii="Times New Roman" w:hAnsi="Times New Roman"/>
          <w:sz w:val="20"/>
          <w:szCs w:val="20"/>
        </w:rPr>
        <w:t>table 8, f</w:t>
      </w:r>
      <w:r w:rsidR="00485328" w:rsidRPr="00F12E8B">
        <w:rPr>
          <w:rFonts w:ascii="Times New Roman" w:hAnsi="Times New Roman"/>
          <w:sz w:val="20"/>
          <w:szCs w:val="20"/>
        </w:rPr>
        <w:t>igure</w:t>
      </w:r>
      <w:r w:rsidRPr="00F12E8B">
        <w:rPr>
          <w:rFonts w:ascii="Times New Roman" w:hAnsi="Times New Roman"/>
          <w:sz w:val="20"/>
          <w:szCs w:val="20"/>
        </w:rPr>
        <w:t xml:space="preserve"> 8 </w:t>
      </w:r>
      <w:r w:rsidRPr="00F12E8B">
        <w:rPr>
          <w:rFonts w:ascii="Times New Roman" w:hAnsi="Times New Roman"/>
          <w:spacing w:val="3"/>
          <w:sz w:val="20"/>
          <w:szCs w:val="20"/>
          <w:shd w:val="clear" w:color="auto" w:fill="FFFFFF"/>
        </w:rPr>
        <w:t>DuPont Analysis</w:t>
      </w:r>
      <w:r w:rsidRPr="00F12E8B">
        <w:rPr>
          <w:rFonts w:ascii="Times New Roman" w:hAnsi="Times New Roman"/>
          <w:sz w:val="20"/>
          <w:szCs w:val="20"/>
        </w:rPr>
        <w:t xml:space="preserve"> shows that the ROE and ROA ratios had very low </w:t>
      </w:r>
      <w:r w:rsidR="00BC5079" w:rsidRPr="00F12E8B">
        <w:rPr>
          <w:rFonts w:ascii="Times New Roman" w:hAnsi="Times New Roman"/>
          <w:sz w:val="20"/>
          <w:szCs w:val="20"/>
        </w:rPr>
        <w:t>positive</w:t>
      </w:r>
      <w:r w:rsidRPr="00F12E8B">
        <w:rPr>
          <w:rFonts w:ascii="Times New Roman" w:hAnsi="Times New Roman"/>
          <w:sz w:val="20"/>
          <w:szCs w:val="20"/>
        </w:rPr>
        <w:t xml:space="preserve"> rates and the years 2015 and 2019 negative rates. </w:t>
      </w:r>
      <w:r w:rsidR="001E02B0" w:rsidRPr="00F12E8B">
        <w:rPr>
          <w:rFonts w:ascii="Times New Roman" w:hAnsi="Times New Roman"/>
          <w:sz w:val="20"/>
          <w:szCs w:val="20"/>
        </w:rPr>
        <w:t>T</w:t>
      </w:r>
      <w:r w:rsidRPr="00F12E8B">
        <w:rPr>
          <w:rFonts w:ascii="Times New Roman" w:hAnsi="Times New Roman"/>
          <w:sz w:val="20"/>
          <w:szCs w:val="20"/>
        </w:rPr>
        <w:t xml:space="preserve">he target bank had a </w:t>
      </w:r>
      <w:r w:rsidR="001E02B0" w:rsidRPr="00F12E8B">
        <w:rPr>
          <w:rFonts w:ascii="Times New Roman" w:hAnsi="Times New Roman"/>
          <w:sz w:val="20"/>
          <w:szCs w:val="20"/>
        </w:rPr>
        <w:t>greater financial leverage</w:t>
      </w:r>
      <w:r w:rsidRPr="00F12E8B">
        <w:rPr>
          <w:rFonts w:ascii="Times New Roman" w:hAnsi="Times New Roman"/>
          <w:sz w:val="20"/>
          <w:szCs w:val="20"/>
        </w:rPr>
        <w:t xml:space="preserve"> rate </w:t>
      </w:r>
      <w:r w:rsidR="001E02B0" w:rsidRPr="00F12E8B">
        <w:rPr>
          <w:rFonts w:ascii="Times New Roman" w:hAnsi="Times New Roman"/>
          <w:sz w:val="20"/>
          <w:szCs w:val="20"/>
        </w:rPr>
        <w:t xml:space="preserve">(EM) than the bidder </w:t>
      </w:r>
      <w:r w:rsidRPr="00F12E8B">
        <w:rPr>
          <w:rFonts w:ascii="Times New Roman" w:hAnsi="Times New Roman"/>
          <w:sz w:val="20"/>
          <w:szCs w:val="20"/>
        </w:rPr>
        <w:t xml:space="preserve">before the acquisition took place. After the acquisition the </w:t>
      </w:r>
      <w:r w:rsidR="001E02B0" w:rsidRPr="00F12E8B">
        <w:rPr>
          <w:rFonts w:ascii="Times New Roman" w:hAnsi="Times New Roman"/>
          <w:spacing w:val="3"/>
          <w:sz w:val="20"/>
          <w:szCs w:val="20"/>
          <w:shd w:val="clear" w:color="auto" w:fill="FFFFFF"/>
        </w:rPr>
        <w:t>EM</w:t>
      </w:r>
      <w:r w:rsidRPr="00F12E8B">
        <w:rPr>
          <w:rFonts w:ascii="Times New Roman" w:hAnsi="Times New Roman"/>
          <w:sz w:val="20"/>
          <w:szCs w:val="20"/>
        </w:rPr>
        <w:t xml:space="preserve"> ratio of the bidder had increased </w:t>
      </w:r>
      <w:r w:rsidR="001E02B0" w:rsidRPr="00F12E8B">
        <w:rPr>
          <w:rFonts w:ascii="Times New Roman" w:hAnsi="Times New Roman"/>
          <w:sz w:val="20"/>
          <w:szCs w:val="20"/>
        </w:rPr>
        <w:t xml:space="preserve">and </w:t>
      </w:r>
      <w:r w:rsidRPr="00F12E8B">
        <w:rPr>
          <w:rFonts w:ascii="Times New Roman" w:hAnsi="Times New Roman"/>
          <w:sz w:val="20"/>
          <w:szCs w:val="20"/>
        </w:rPr>
        <w:t>in the year 201</w:t>
      </w:r>
      <w:r w:rsidR="001E02B0" w:rsidRPr="00F12E8B">
        <w:rPr>
          <w:rFonts w:ascii="Times New Roman" w:hAnsi="Times New Roman"/>
          <w:sz w:val="20"/>
          <w:szCs w:val="20"/>
        </w:rPr>
        <w:t>9</w:t>
      </w:r>
      <w:r w:rsidRPr="00F12E8B">
        <w:rPr>
          <w:rFonts w:ascii="Times New Roman" w:hAnsi="Times New Roman"/>
          <w:sz w:val="20"/>
          <w:szCs w:val="20"/>
        </w:rPr>
        <w:t xml:space="preserve"> </w:t>
      </w:r>
      <w:r w:rsidR="001E02B0" w:rsidRPr="00F12E8B">
        <w:rPr>
          <w:rFonts w:ascii="Times New Roman" w:hAnsi="Times New Roman"/>
          <w:sz w:val="20"/>
          <w:szCs w:val="20"/>
        </w:rPr>
        <w:t>had</w:t>
      </w:r>
      <w:r w:rsidRPr="00F12E8B">
        <w:rPr>
          <w:rFonts w:ascii="Times New Roman" w:hAnsi="Times New Roman"/>
          <w:sz w:val="20"/>
          <w:szCs w:val="20"/>
        </w:rPr>
        <w:t xml:space="preserve"> a high level</w:t>
      </w:r>
      <w:r w:rsidR="001E02B0" w:rsidRPr="00F12E8B">
        <w:rPr>
          <w:rFonts w:ascii="Times New Roman" w:hAnsi="Times New Roman"/>
          <w:sz w:val="20"/>
          <w:szCs w:val="20"/>
        </w:rPr>
        <w:t xml:space="preserve"> position</w:t>
      </w:r>
      <w:r w:rsidRPr="00F12E8B">
        <w:rPr>
          <w:rFonts w:ascii="Times New Roman" w:hAnsi="Times New Roman"/>
          <w:sz w:val="20"/>
          <w:szCs w:val="20"/>
        </w:rPr>
        <w:t xml:space="preserve">, but afterwards it had </w:t>
      </w:r>
      <w:r w:rsidR="007863D0" w:rsidRPr="00F12E8B">
        <w:rPr>
          <w:rFonts w:ascii="Times New Roman" w:hAnsi="Times New Roman"/>
          <w:sz w:val="20"/>
          <w:szCs w:val="20"/>
        </w:rPr>
        <w:t xml:space="preserve">a </w:t>
      </w:r>
      <w:r w:rsidRPr="00F12E8B">
        <w:rPr>
          <w:rFonts w:ascii="Times New Roman" w:hAnsi="Times New Roman"/>
          <w:sz w:val="20"/>
          <w:szCs w:val="20"/>
        </w:rPr>
        <w:t xml:space="preserve">downward trend </w:t>
      </w:r>
      <w:r w:rsidR="001E02B0" w:rsidRPr="00F12E8B">
        <w:rPr>
          <w:rFonts w:ascii="Times New Roman" w:hAnsi="Times New Roman"/>
          <w:sz w:val="20"/>
          <w:szCs w:val="20"/>
        </w:rPr>
        <w:t xml:space="preserve">and </w:t>
      </w:r>
      <w:r w:rsidR="007863D0" w:rsidRPr="00F12E8B">
        <w:rPr>
          <w:rFonts w:ascii="Times New Roman" w:hAnsi="Times New Roman"/>
          <w:sz w:val="20"/>
          <w:szCs w:val="20"/>
        </w:rPr>
        <w:t>fell</w:t>
      </w:r>
      <w:r w:rsidRPr="00F12E8B">
        <w:rPr>
          <w:rFonts w:ascii="Times New Roman" w:hAnsi="Times New Roman"/>
          <w:sz w:val="20"/>
          <w:szCs w:val="20"/>
        </w:rPr>
        <w:t xml:space="preserve"> </w:t>
      </w:r>
      <w:r w:rsidR="001E02B0" w:rsidRPr="00F12E8B">
        <w:rPr>
          <w:rFonts w:ascii="Times New Roman" w:hAnsi="Times New Roman"/>
          <w:sz w:val="20"/>
          <w:szCs w:val="20"/>
        </w:rPr>
        <w:t xml:space="preserve">the year 2020 </w:t>
      </w:r>
      <w:r w:rsidRPr="00F12E8B">
        <w:rPr>
          <w:rFonts w:ascii="Times New Roman" w:hAnsi="Times New Roman"/>
          <w:sz w:val="20"/>
          <w:szCs w:val="20"/>
        </w:rPr>
        <w:t xml:space="preserve">to </w:t>
      </w:r>
      <w:r w:rsidR="001E02B0" w:rsidRPr="00F12E8B">
        <w:rPr>
          <w:rFonts w:ascii="Times New Roman" w:hAnsi="Times New Roman"/>
          <w:sz w:val="20"/>
          <w:szCs w:val="20"/>
        </w:rPr>
        <w:t xml:space="preserve">a </w:t>
      </w:r>
      <w:r w:rsidRPr="00F12E8B">
        <w:rPr>
          <w:rFonts w:ascii="Times New Roman" w:hAnsi="Times New Roman"/>
          <w:sz w:val="20"/>
          <w:szCs w:val="20"/>
        </w:rPr>
        <w:t>level as it was before the acquisition</w:t>
      </w:r>
      <w:r w:rsidR="001E02B0" w:rsidRPr="00F12E8B">
        <w:rPr>
          <w:rFonts w:ascii="Times New Roman" w:hAnsi="Times New Roman"/>
          <w:sz w:val="20"/>
          <w:szCs w:val="20"/>
        </w:rPr>
        <w:t xml:space="preserve"> </w:t>
      </w:r>
      <w:r w:rsidR="007863D0" w:rsidRPr="00F12E8B">
        <w:rPr>
          <w:rFonts w:ascii="Times New Roman" w:hAnsi="Times New Roman"/>
          <w:sz w:val="20"/>
          <w:szCs w:val="20"/>
        </w:rPr>
        <w:t xml:space="preserve">of </w:t>
      </w:r>
      <w:r w:rsidR="001E02B0" w:rsidRPr="00F12E8B">
        <w:rPr>
          <w:rFonts w:ascii="Times New Roman" w:hAnsi="Times New Roman"/>
          <w:sz w:val="20"/>
          <w:szCs w:val="20"/>
        </w:rPr>
        <w:t>the target bank</w:t>
      </w:r>
      <w:r w:rsidRPr="00F12E8B">
        <w:rPr>
          <w:rFonts w:ascii="Times New Roman" w:hAnsi="Times New Roman"/>
          <w:sz w:val="20"/>
          <w:szCs w:val="20"/>
        </w:rPr>
        <w:t>.</w:t>
      </w:r>
    </w:p>
    <w:p w:rsidR="00B71231" w:rsidRPr="00F12E8B" w:rsidRDefault="00B71231" w:rsidP="00554446">
      <w:pPr>
        <w:spacing w:after="0" w:line="240" w:lineRule="auto"/>
        <w:jc w:val="both"/>
        <w:rPr>
          <w:rFonts w:ascii="Times New Roman" w:hAnsi="Times New Roman"/>
          <w:b/>
          <w:sz w:val="20"/>
          <w:szCs w:val="20"/>
        </w:rPr>
      </w:pPr>
    </w:p>
    <w:p w:rsidR="00175BBF" w:rsidRPr="00F12E8B" w:rsidRDefault="007B7BDE" w:rsidP="00C421DC">
      <w:pPr>
        <w:spacing w:after="0" w:line="240" w:lineRule="auto"/>
        <w:jc w:val="center"/>
        <w:rPr>
          <w:rFonts w:ascii="Times New Roman" w:hAnsi="Times New Roman"/>
          <w:b/>
          <w:sz w:val="20"/>
          <w:szCs w:val="20"/>
        </w:rPr>
      </w:pPr>
      <w:r w:rsidRPr="00F12E8B">
        <w:rPr>
          <w:rFonts w:ascii="Times New Roman" w:hAnsi="Times New Roman"/>
          <w:sz w:val="20"/>
          <w:szCs w:val="20"/>
        </w:rPr>
        <w:t>Table 9:</w:t>
      </w:r>
      <w:r w:rsidRPr="00F12E8B">
        <w:rPr>
          <w:rFonts w:ascii="Times New Roman" w:hAnsi="Times New Roman"/>
          <w:b/>
          <w:sz w:val="20"/>
          <w:szCs w:val="20"/>
        </w:rPr>
        <w:t xml:space="preserve"> </w:t>
      </w:r>
      <w:r w:rsidRPr="00F12E8B">
        <w:rPr>
          <w:rFonts w:ascii="Times New Roman" w:hAnsi="Times New Roman"/>
          <w:sz w:val="20"/>
          <w:szCs w:val="20"/>
        </w:rPr>
        <w:t>ROCE before and after the acquisition</w:t>
      </w:r>
    </w:p>
    <w:tbl>
      <w:tblPr>
        <w:tblW w:w="0" w:type="auto"/>
        <w:tblInd w:w="103" w:type="dxa"/>
        <w:tblLayout w:type="fixed"/>
        <w:tblLook w:val="04A0"/>
      </w:tblPr>
      <w:tblGrid>
        <w:gridCol w:w="1139"/>
        <w:gridCol w:w="3609"/>
        <w:gridCol w:w="3677"/>
      </w:tblGrid>
      <w:tr w:rsidR="007B7BDE" w:rsidRPr="00F12E8B" w:rsidTr="007B7BDE">
        <w:trPr>
          <w:trHeight w:val="31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BDE" w:rsidRPr="00F12E8B" w:rsidRDefault="007B7BDE" w:rsidP="00C421DC">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YEARS</w:t>
            </w:r>
          </w:p>
        </w:tc>
        <w:tc>
          <w:tcPr>
            <w:tcW w:w="3609" w:type="dxa"/>
            <w:tcBorders>
              <w:top w:val="single" w:sz="4" w:space="0" w:color="auto"/>
              <w:left w:val="nil"/>
              <w:bottom w:val="single" w:sz="4" w:space="0" w:color="auto"/>
              <w:right w:val="single" w:sz="4" w:space="0" w:color="auto"/>
            </w:tcBorders>
            <w:shd w:val="clear" w:color="auto" w:fill="auto"/>
            <w:noWrap/>
            <w:vAlign w:val="center"/>
            <w:hideMark/>
          </w:tcPr>
          <w:p w:rsidR="007B7BDE" w:rsidRPr="00F12E8B" w:rsidRDefault="007B7BDE" w:rsidP="00C421DC">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ROCE COOPERATIVE BANK DRAMAS</w:t>
            </w:r>
          </w:p>
        </w:tc>
        <w:tc>
          <w:tcPr>
            <w:tcW w:w="3677" w:type="dxa"/>
            <w:tcBorders>
              <w:top w:val="single" w:sz="4" w:space="0" w:color="auto"/>
              <w:left w:val="nil"/>
              <w:bottom w:val="single" w:sz="4" w:space="0" w:color="auto"/>
              <w:right w:val="single" w:sz="4" w:space="0" w:color="auto"/>
            </w:tcBorders>
            <w:shd w:val="clear" w:color="auto" w:fill="auto"/>
            <w:noWrap/>
            <w:vAlign w:val="center"/>
            <w:hideMark/>
          </w:tcPr>
          <w:p w:rsidR="007B7BDE" w:rsidRPr="00F12E8B" w:rsidRDefault="007B7BDE" w:rsidP="00C421DC">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ROCE COOPERATIVE BANK EVROU</w:t>
            </w:r>
          </w:p>
        </w:tc>
      </w:tr>
      <w:tr w:rsidR="007B7BDE" w:rsidRPr="00F12E8B" w:rsidTr="007B7BDE">
        <w:trPr>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7B7BDE" w:rsidRPr="00F12E8B" w:rsidRDefault="007B7BDE" w:rsidP="00C421DC">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2014</w:t>
            </w:r>
          </w:p>
        </w:tc>
        <w:tc>
          <w:tcPr>
            <w:tcW w:w="3609" w:type="dxa"/>
            <w:tcBorders>
              <w:top w:val="nil"/>
              <w:left w:val="nil"/>
              <w:bottom w:val="single" w:sz="4" w:space="0" w:color="auto"/>
              <w:right w:val="single" w:sz="4" w:space="0" w:color="auto"/>
            </w:tcBorders>
            <w:shd w:val="clear" w:color="auto" w:fill="auto"/>
            <w:noWrap/>
            <w:vAlign w:val="center"/>
            <w:hideMark/>
          </w:tcPr>
          <w:p w:rsidR="007B7BDE" w:rsidRPr="00F12E8B" w:rsidRDefault="007B7BDE" w:rsidP="00C421DC">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1.76</w:t>
            </w:r>
          </w:p>
        </w:tc>
        <w:tc>
          <w:tcPr>
            <w:tcW w:w="3677" w:type="dxa"/>
            <w:tcBorders>
              <w:top w:val="nil"/>
              <w:left w:val="nil"/>
              <w:bottom w:val="single" w:sz="4" w:space="0" w:color="auto"/>
              <w:right w:val="single" w:sz="4" w:space="0" w:color="auto"/>
            </w:tcBorders>
            <w:shd w:val="clear" w:color="auto" w:fill="auto"/>
            <w:noWrap/>
            <w:vAlign w:val="center"/>
            <w:hideMark/>
          </w:tcPr>
          <w:p w:rsidR="007B7BDE" w:rsidRPr="00F12E8B" w:rsidRDefault="007B7BDE" w:rsidP="00C421DC">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1.57</w:t>
            </w:r>
          </w:p>
        </w:tc>
      </w:tr>
      <w:tr w:rsidR="007B7BDE" w:rsidRPr="00F12E8B" w:rsidTr="007B7BDE">
        <w:trPr>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7B7BDE" w:rsidRPr="00F12E8B" w:rsidRDefault="007B7BDE" w:rsidP="00C421DC">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2015</w:t>
            </w:r>
          </w:p>
        </w:tc>
        <w:tc>
          <w:tcPr>
            <w:tcW w:w="3609" w:type="dxa"/>
            <w:tcBorders>
              <w:top w:val="nil"/>
              <w:left w:val="nil"/>
              <w:bottom w:val="single" w:sz="4" w:space="0" w:color="auto"/>
              <w:right w:val="single" w:sz="4" w:space="0" w:color="auto"/>
            </w:tcBorders>
            <w:shd w:val="clear" w:color="auto" w:fill="auto"/>
            <w:noWrap/>
            <w:vAlign w:val="center"/>
            <w:hideMark/>
          </w:tcPr>
          <w:p w:rsidR="007B7BDE" w:rsidRPr="00F12E8B" w:rsidRDefault="007B7BDE" w:rsidP="00C421DC">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-65.45</w:t>
            </w:r>
          </w:p>
        </w:tc>
        <w:tc>
          <w:tcPr>
            <w:tcW w:w="3677" w:type="dxa"/>
            <w:tcBorders>
              <w:top w:val="nil"/>
              <w:left w:val="nil"/>
              <w:bottom w:val="single" w:sz="4" w:space="0" w:color="auto"/>
              <w:right w:val="single" w:sz="4" w:space="0" w:color="auto"/>
            </w:tcBorders>
            <w:shd w:val="clear" w:color="auto" w:fill="auto"/>
            <w:noWrap/>
            <w:vAlign w:val="center"/>
            <w:hideMark/>
          </w:tcPr>
          <w:p w:rsidR="007B7BDE" w:rsidRPr="00F12E8B" w:rsidRDefault="007B7BDE" w:rsidP="00C421DC">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-33.71</w:t>
            </w:r>
          </w:p>
        </w:tc>
      </w:tr>
      <w:tr w:rsidR="007B7BDE" w:rsidRPr="00F12E8B" w:rsidTr="007B7BDE">
        <w:trPr>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7B7BDE" w:rsidRPr="00F12E8B" w:rsidRDefault="007B7BDE" w:rsidP="00C421DC">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2016</w:t>
            </w:r>
          </w:p>
        </w:tc>
        <w:tc>
          <w:tcPr>
            <w:tcW w:w="3609" w:type="dxa"/>
            <w:tcBorders>
              <w:top w:val="nil"/>
              <w:left w:val="nil"/>
              <w:bottom w:val="single" w:sz="4" w:space="0" w:color="auto"/>
              <w:right w:val="single" w:sz="4" w:space="0" w:color="auto"/>
            </w:tcBorders>
            <w:shd w:val="clear" w:color="auto" w:fill="auto"/>
            <w:noWrap/>
            <w:vAlign w:val="center"/>
            <w:hideMark/>
          </w:tcPr>
          <w:p w:rsidR="007B7BDE" w:rsidRPr="00F12E8B" w:rsidRDefault="007B7BDE" w:rsidP="00C421DC">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1.31</w:t>
            </w:r>
          </w:p>
        </w:tc>
        <w:tc>
          <w:tcPr>
            <w:tcW w:w="3677" w:type="dxa"/>
            <w:tcBorders>
              <w:top w:val="nil"/>
              <w:left w:val="nil"/>
              <w:bottom w:val="single" w:sz="4" w:space="0" w:color="auto"/>
              <w:right w:val="single" w:sz="4" w:space="0" w:color="auto"/>
            </w:tcBorders>
            <w:shd w:val="clear" w:color="auto" w:fill="auto"/>
            <w:noWrap/>
            <w:vAlign w:val="center"/>
            <w:hideMark/>
          </w:tcPr>
          <w:p w:rsidR="007B7BDE" w:rsidRPr="00F12E8B" w:rsidRDefault="007B7BDE" w:rsidP="00C421DC">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-12.21</w:t>
            </w:r>
          </w:p>
        </w:tc>
      </w:tr>
      <w:tr w:rsidR="007B7BDE" w:rsidRPr="00F12E8B" w:rsidTr="007B7BDE">
        <w:trPr>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7B7BDE" w:rsidRPr="00F12E8B" w:rsidRDefault="007B7BDE" w:rsidP="00C421DC">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2017</w:t>
            </w:r>
          </w:p>
        </w:tc>
        <w:tc>
          <w:tcPr>
            <w:tcW w:w="3609" w:type="dxa"/>
            <w:tcBorders>
              <w:top w:val="nil"/>
              <w:left w:val="nil"/>
              <w:bottom w:val="single" w:sz="4" w:space="0" w:color="auto"/>
              <w:right w:val="single" w:sz="4" w:space="0" w:color="auto"/>
            </w:tcBorders>
            <w:shd w:val="clear" w:color="auto" w:fill="auto"/>
            <w:noWrap/>
            <w:vAlign w:val="center"/>
            <w:hideMark/>
          </w:tcPr>
          <w:p w:rsidR="007B7BDE" w:rsidRPr="00F12E8B" w:rsidRDefault="007B7BDE" w:rsidP="00C421DC">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-4.2</w:t>
            </w:r>
          </w:p>
        </w:tc>
        <w:tc>
          <w:tcPr>
            <w:tcW w:w="3677" w:type="dxa"/>
            <w:tcBorders>
              <w:top w:val="nil"/>
              <w:left w:val="nil"/>
              <w:bottom w:val="single" w:sz="4" w:space="0" w:color="auto"/>
              <w:right w:val="single" w:sz="4" w:space="0" w:color="auto"/>
            </w:tcBorders>
            <w:shd w:val="clear" w:color="auto" w:fill="auto"/>
            <w:noWrap/>
            <w:vAlign w:val="bottom"/>
            <w:hideMark/>
          </w:tcPr>
          <w:p w:rsidR="007B7BDE" w:rsidRPr="00F12E8B" w:rsidRDefault="007B7BDE" w:rsidP="00C421DC">
            <w:pPr>
              <w:spacing w:after="0" w:line="240" w:lineRule="auto"/>
              <w:jc w:val="center"/>
              <w:rPr>
                <w:rFonts w:ascii="Times New Roman" w:eastAsia="Times New Roman" w:hAnsi="Times New Roman"/>
                <w:bCs/>
                <w:color w:val="000000"/>
                <w:sz w:val="20"/>
                <w:szCs w:val="20"/>
                <w:lang w:val="el-GR" w:eastAsia="el-GR"/>
              </w:rPr>
            </w:pPr>
          </w:p>
        </w:tc>
      </w:tr>
      <w:tr w:rsidR="007B7BDE" w:rsidRPr="00F12E8B" w:rsidTr="007B7BDE">
        <w:trPr>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7B7BDE" w:rsidRPr="00F12E8B" w:rsidRDefault="007B7BDE" w:rsidP="00C421DC">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2018</w:t>
            </w:r>
          </w:p>
        </w:tc>
        <w:tc>
          <w:tcPr>
            <w:tcW w:w="3609" w:type="dxa"/>
            <w:tcBorders>
              <w:top w:val="nil"/>
              <w:left w:val="nil"/>
              <w:bottom w:val="single" w:sz="4" w:space="0" w:color="auto"/>
              <w:right w:val="single" w:sz="4" w:space="0" w:color="auto"/>
            </w:tcBorders>
            <w:shd w:val="clear" w:color="auto" w:fill="auto"/>
            <w:noWrap/>
            <w:vAlign w:val="center"/>
            <w:hideMark/>
          </w:tcPr>
          <w:p w:rsidR="007B7BDE" w:rsidRPr="00F12E8B" w:rsidRDefault="007B7BDE" w:rsidP="00C421DC">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0.64</w:t>
            </w:r>
          </w:p>
        </w:tc>
        <w:tc>
          <w:tcPr>
            <w:tcW w:w="3677" w:type="dxa"/>
            <w:tcBorders>
              <w:top w:val="nil"/>
              <w:left w:val="nil"/>
              <w:bottom w:val="single" w:sz="4" w:space="0" w:color="auto"/>
              <w:right w:val="single" w:sz="4" w:space="0" w:color="auto"/>
            </w:tcBorders>
            <w:shd w:val="clear" w:color="auto" w:fill="auto"/>
            <w:noWrap/>
            <w:vAlign w:val="bottom"/>
            <w:hideMark/>
          </w:tcPr>
          <w:p w:rsidR="007B7BDE" w:rsidRPr="00F12E8B" w:rsidRDefault="007B7BDE" w:rsidP="00C421DC">
            <w:pPr>
              <w:spacing w:after="0" w:line="240" w:lineRule="auto"/>
              <w:jc w:val="center"/>
              <w:rPr>
                <w:rFonts w:ascii="Times New Roman" w:eastAsia="Times New Roman" w:hAnsi="Times New Roman"/>
                <w:bCs/>
                <w:color w:val="000000"/>
                <w:sz w:val="20"/>
                <w:szCs w:val="20"/>
                <w:lang w:val="el-GR" w:eastAsia="el-GR"/>
              </w:rPr>
            </w:pPr>
          </w:p>
        </w:tc>
      </w:tr>
      <w:tr w:rsidR="007B7BDE" w:rsidRPr="00F12E8B" w:rsidTr="007B7BDE">
        <w:trPr>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7B7BDE" w:rsidRPr="00F12E8B" w:rsidRDefault="007B7BDE" w:rsidP="00C421DC">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2019</w:t>
            </w:r>
          </w:p>
        </w:tc>
        <w:tc>
          <w:tcPr>
            <w:tcW w:w="3609" w:type="dxa"/>
            <w:tcBorders>
              <w:top w:val="nil"/>
              <w:left w:val="nil"/>
              <w:bottom w:val="single" w:sz="4" w:space="0" w:color="auto"/>
              <w:right w:val="single" w:sz="4" w:space="0" w:color="auto"/>
            </w:tcBorders>
            <w:shd w:val="clear" w:color="auto" w:fill="auto"/>
            <w:noWrap/>
            <w:vAlign w:val="center"/>
            <w:hideMark/>
          </w:tcPr>
          <w:p w:rsidR="007B7BDE" w:rsidRPr="00F12E8B" w:rsidRDefault="007B7BDE" w:rsidP="00C421DC">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-74.91</w:t>
            </w:r>
          </w:p>
        </w:tc>
        <w:tc>
          <w:tcPr>
            <w:tcW w:w="3677" w:type="dxa"/>
            <w:tcBorders>
              <w:top w:val="nil"/>
              <w:left w:val="nil"/>
              <w:bottom w:val="single" w:sz="4" w:space="0" w:color="auto"/>
              <w:right w:val="single" w:sz="4" w:space="0" w:color="auto"/>
            </w:tcBorders>
            <w:shd w:val="clear" w:color="auto" w:fill="auto"/>
            <w:noWrap/>
            <w:vAlign w:val="bottom"/>
            <w:hideMark/>
          </w:tcPr>
          <w:p w:rsidR="007B7BDE" w:rsidRPr="00F12E8B" w:rsidRDefault="007B7BDE" w:rsidP="00C421DC">
            <w:pPr>
              <w:spacing w:after="0" w:line="240" w:lineRule="auto"/>
              <w:jc w:val="center"/>
              <w:rPr>
                <w:rFonts w:ascii="Times New Roman" w:eastAsia="Times New Roman" w:hAnsi="Times New Roman"/>
                <w:bCs/>
                <w:color w:val="000000"/>
                <w:sz w:val="20"/>
                <w:szCs w:val="20"/>
                <w:lang w:val="el-GR" w:eastAsia="el-GR"/>
              </w:rPr>
            </w:pPr>
          </w:p>
        </w:tc>
      </w:tr>
      <w:tr w:rsidR="007B7BDE" w:rsidRPr="00F12E8B" w:rsidTr="007B7BDE">
        <w:trPr>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7B7BDE" w:rsidRPr="00F12E8B" w:rsidRDefault="007B7BDE" w:rsidP="00C421DC">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2020</w:t>
            </w:r>
          </w:p>
        </w:tc>
        <w:tc>
          <w:tcPr>
            <w:tcW w:w="3609" w:type="dxa"/>
            <w:tcBorders>
              <w:top w:val="nil"/>
              <w:left w:val="nil"/>
              <w:bottom w:val="single" w:sz="4" w:space="0" w:color="auto"/>
              <w:right w:val="single" w:sz="4" w:space="0" w:color="auto"/>
            </w:tcBorders>
            <w:shd w:val="clear" w:color="auto" w:fill="auto"/>
            <w:noWrap/>
            <w:vAlign w:val="center"/>
            <w:hideMark/>
          </w:tcPr>
          <w:p w:rsidR="007B7BDE" w:rsidRPr="00F12E8B" w:rsidRDefault="007B7BDE" w:rsidP="00C421DC">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-27.62</w:t>
            </w:r>
          </w:p>
        </w:tc>
        <w:tc>
          <w:tcPr>
            <w:tcW w:w="3677" w:type="dxa"/>
            <w:tcBorders>
              <w:top w:val="nil"/>
              <w:left w:val="nil"/>
              <w:bottom w:val="single" w:sz="4" w:space="0" w:color="auto"/>
              <w:right w:val="single" w:sz="4" w:space="0" w:color="auto"/>
            </w:tcBorders>
            <w:shd w:val="clear" w:color="auto" w:fill="auto"/>
            <w:noWrap/>
            <w:vAlign w:val="bottom"/>
            <w:hideMark/>
          </w:tcPr>
          <w:p w:rsidR="007B7BDE" w:rsidRPr="00F12E8B" w:rsidRDefault="007B7BDE" w:rsidP="00C421DC">
            <w:pPr>
              <w:spacing w:after="0" w:line="240" w:lineRule="auto"/>
              <w:jc w:val="center"/>
              <w:rPr>
                <w:rFonts w:ascii="Times New Roman" w:eastAsia="Times New Roman" w:hAnsi="Times New Roman"/>
                <w:bCs/>
                <w:color w:val="000000"/>
                <w:sz w:val="20"/>
                <w:szCs w:val="20"/>
                <w:lang w:val="el-GR" w:eastAsia="el-GR"/>
              </w:rPr>
            </w:pPr>
          </w:p>
        </w:tc>
      </w:tr>
    </w:tbl>
    <w:p w:rsidR="007B7BDE" w:rsidRPr="00F12E8B" w:rsidRDefault="007B7BDE" w:rsidP="00C248F8">
      <w:pPr>
        <w:spacing w:after="0" w:line="240" w:lineRule="auto"/>
        <w:jc w:val="center"/>
        <w:rPr>
          <w:rFonts w:ascii="Times New Roman" w:hAnsi="Times New Roman"/>
          <w:sz w:val="20"/>
          <w:szCs w:val="20"/>
        </w:rPr>
      </w:pPr>
      <w:r w:rsidRPr="00F12E8B">
        <w:rPr>
          <w:rFonts w:ascii="Times New Roman" w:hAnsi="Times New Roman"/>
          <w:sz w:val="20"/>
          <w:szCs w:val="20"/>
        </w:rPr>
        <w:t>Source: Authors' calculations from published financial statements of the Greek Cooperative Banks.</w:t>
      </w:r>
    </w:p>
    <w:p w:rsidR="00FE4C8F" w:rsidRDefault="00FE4C8F" w:rsidP="00C421DC">
      <w:pPr>
        <w:spacing w:after="0" w:line="240" w:lineRule="auto"/>
        <w:jc w:val="center"/>
        <w:rPr>
          <w:rFonts w:ascii="Times New Roman" w:hAnsi="Times New Roman"/>
          <w:sz w:val="20"/>
          <w:szCs w:val="20"/>
        </w:rPr>
      </w:pPr>
    </w:p>
    <w:p w:rsidR="00175BBF" w:rsidRPr="00F12E8B" w:rsidRDefault="00485328" w:rsidP="00C421DC">
      <w:pPr>
        <w:spacing w:after="0" w:line="240" w:lineRule="auto"/>
        <w:jc w:val="center"/>
        <w:rPr>
          <w:rFonts w:ascii="Times New Roman" w:hAnsi="Times New Roman"/>
          <w:sz w:val="20"/>
          <w:szCs w:val="20"/>
        </w:rPr>
      </w:pPr>
      <w:r w:rsidRPr="00F12E8B">
        <w:rPr>
          <w:rFonts w:ascii="Times New Roman" w:hAnsi="Times New Roman"/>
          <w:sz w:val="20"/>
          <w:szCs w:val="20"/>
        </w:rPr>
        <w:t>Figure</w:t>
      </w:r>
      <w:r w:rsidR="007B7BDE" w:rsidRPr="00F12E8B">
        <w:rPr>
          <w:rFonts w:ascii="Times New Roman" w:hAnsi="Times New Roman"/>
          <w:sz w:val="20"/>
          <w:szCs w:val="20"/>
        </w:rPr>
        <w:t xml:space="preserve"> 9: ROCE before and after the acquisition</w:t>
      </w:r>
    </w:p>
    <w:p w:rsidR="00175BBF" w:rsidRPr="00F12E8B" w:rsidRDefault="00175BBF" w:rsidP="00554446">
      <w:pPr>
        <w:spacing w:after="0" w:line="240" w:lineRule="auto"/>
        <w:jc w:val="both"/>
        <w:rPr>
          <w:rFonts w:ascii="Times New Roman" w:hAnsi="Times New Roman"/>
          <w:b/>
          <w:sz w:val="20"/>
          <w:szCs w:val="20"/>
        </w:rPr>
      </w:pPr>
      <w:r w:rsidRPr="00F12E8B">
        <w:rPr>
          <w:rFonts w:ascii="Times New Roman" w:hAnsi="Times New Roman"/>
          <w:b/>
          <w:noProof/>
          <w:sz w:val="20"/>
          <w:szCs w:val="20"/>
          <w:lang w:val="el-GR" w:eastAsia="el-GR"/>
        </w:rPr>
        <w:drawing>
          <wp:inline distT="0" distB="0" distL="0" distR="0">
            <wp:extent cx="5182375" cy="2927268"/>
            <wp:effectExtent l="19050" t="0" r="18275" b="6432"/>
            <wp:docPr id="19" name="Γράφημα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7B7BDE" w:rsidRPr="00F12E8B" w:rsidRDefault="007B7BDE" w:rsidP="00C248F8">
      <w:pPr>
        <w:spacing w:after="0" w:line="240" w:lineRule="auto"/>
        <w:jc w:val="center"/>
        <w:rPr>
          <w:rFonts w:ascii="Times New Roman" w:hAnsi="Times New Roman"/>
          <w:sz w:val="20"/>
          <w:szCs w:val="20"/>
        </w:rPr>
      </w:pPr>
      <w:r w:rsidRPr="00F12E8B">
        <w:rPr>
          <w:rFonts w:ascii="Times New Roman" w:hAnsi="Times New Roman"/>
          <w:sz w:val="20"/>
          <w:szCs w:val="20"/>
        </w:rPr>
        <w:t>Source: Table 9</w:t>
      </w:r>
    </w:p>
    <w:p w:rsidR="00F12E8B" w:rsidRDefault="00F12E8B" w:rsidP="00D95BD7">
      <w:pPr>
        <w:spacing w:after="0" w:line="240" w:lineRule="auto"/>
        <w:jc w:val="both"/>
        <w:rPr>
          <w:rFonts w:ascii="Times New Roman" w:hAnsi="Times New Roman"/>
          <w:sz w:val="20"/>
          <w:szCs w:val="20"/>
        </w:rPr>
      </w:pPr>
    </w:p>
    <w:p w:rsidR="00D95BD7" w:rsidRDefault="00D95BD7" w:rsidP="00D95BD7">
      <w:pPr>
        <w:spacing w:after="0" w:line="240" w:lineRule="auto"/>
        <w:jc w:val="both"/>
        <w:rPr>
          <w:rFonts w:ascii="Times New Roman" w:hAnsi="Times New Roman"/>
          <w:sz w:val="20"/>
          <w:szCs w:val="20"/>
        </w:rPr>
      </w:pPr>
      <w:r w:rsidRPr="00F12E8B">
        <w:rPr>
          <w:rFonts w:ascii="Times New Roman" w:hAnsi="Times New Roman"/>
          <w:sz w:val="20"/>
          <w:szCs w:val="20"/>
        </w:rPr>
        <w:t xml:space="preserve">From the </w:t>
      </w:r>
      <w:r w:rsidR="00B66835" w:rsidRPr="00F12E8B">
        <w:rPr>
          <w:rFonts w:ascii="Times New Roman" w:hAnsi="Times New Roman"/>
          <w:sz w:val="20"/>
          <w:szCs w:val="20"/>
        </w:rPr>
        <w:t xml:space="preserve">above </w:t>
      </w:r>
      <w:r w:rsidR="003B44D3">
        <w:rPr>
          <w:rFonts w:ascii="Times New Roman" w:hAnsi="Times New Roman"/>
          <w:sz w:val="20"/>
          <w:szCs w:val="20"/>
        </w:rPr>
        <w:t>table9, f</w:t>
      </w:r>
      <w:r w:rsidR="00485328" w:rsidRPr="00F12E8B">
        <w:rPr>
          <w:rFonts w:ascii="Times New Roman" w:hAnsi="Times New Roman"/>
          <w:sz w:val="20"/>
          <w:szCs w:val="20"/>
        </w:rPr>
        <w:t>igure</w:t>
      </w:r>
      <w:r w:rsidRPr="00F12E8B">
        <w:rPr>
          <w:rFonts w:ascii="Times New Roman" w:hAnsi="Times New Roman"/>
          <w:sz w:val="20"/>
          <w:szCs w:val="20"/>
        </w:rPr>
        <w:t xml:space="preserve"> 9 </w:t>
      </w:r>
      <w:r w:rsidRPr="00F12E8B">
        <w:rPr>
          <w:rFonts w:ascii="Times New Roman" w:hAnsi="Times New Roman"/>
          <w:spacing w:val="3"/>
          <w:sz w:val="20"/>
          <w:szCs w:val="20"/>
          <w:shd w:val="clear" w:color="auto" w:fill="FFFFFF"/>
        </w:rPr>
        <w:t>ROCE</w:t>
      </w:r>
      <w:r w:rsidRPr="00F12E8B">
        <w:rPr>
          <w:rFonts w:ascii="Times New Roman" w:hAnsi="Times New Roman"/>
          <w:sz w:val="20"/>
          <w:szCs w:val="20"/>
        </w:rPr>
        <w:t xml:space="preserve"> ratio had a very low negative rate </w:t>
      </w:r>
      <w:r w:rsidR="004B031D" w:rsidRPr="00F12E8B">
        <w:rPr>
          <w:rFonts w:ascii="Times New Roman" w:hAnsi="Times New Roman"/>
          <w:sz w:val="20"/>
          <w:szCs w:val="20"/>
        </w:rPr>
        <w:t>in the year</w:t>
      </w:r>
      <w:r w:rsidRPr="00F12E8B">
        <w:rPr>
          <w:rFonts w:ascii="Times New Roman" w:hAnsi="Times New Roman"/>
          <w:sz w:val="20"/>
          <w:szCs w:val="20"/>
        </w:rPr>
        <w:t xml:space="preserve"> 2015 for both cooperative banks before the acquisition took place. After the acquisition the </w:t>
      </w:r>
      <w:r w:rsidRPr="00F12E8B">
        <w:rPr>
          <w:rFonts w:ascii="Times New Roman" w:hAnsi="Times New Roman"/>
          <w:spacing w:val="3"/>
          <w:sz w:val="20"/>
          <w:szCs w:val="20"/>
          <w:shd w:val="clear" w:color="auto" w:fill="FFFFFF"/>
        </w:rPr>
        <w:t>ROCE</w:t>
      </w:r>
      <w:r w:rsidRPr="00F12E8B">
        <w:rPr>
          <w:rFonts w:ascii="Times New Roman" w:hAnsi="Times New Roman"/>
          <w:sz w:val="20"/>
          <w:szCs w:val="20"/>
        </w:rPr>
        <w:t xml:space="preserve"> ratio of the bidder had a steady course</w:t>
      </w:r>
      <w:r w:rsidR="0026682A" w:rsidRPr="00F12E8B">
        <w:rPr>
          <w:rFonts w:ascii="Times New Roman" w:hAnsi="Times New Roman"/>
          <w:sz w:val="20"/>
          <w:szCs w:val="20"/>
        </w:rPr>
        <w:t xml:space="preserve"> </w:t>
      </w:r>
      <w:r w:rsidR="004B031D" w:rsidRPr="00F12E8B">
        <w:rPr>
          <w:rFonts w:ascii="Times New Roman" w:hAnsi="Times New Roman"/>
          <w:sz w:val="20"/>
          <w:szCs w:val="20"/>
        </w:rPr>
        <w:t xml:space="preserve">near zero </w:t>
      </w:r>
      <w:r w:rsidR="0026682A" w:rsidRPr="00F12E8B">
        <w:rPr>
          <w:rFonts w:ascii="Times New Roman" w:hAnsi="Times New Roman"/>
          <w:sz w:val="20"/>
          <w:szCs w:val="20"/>
        </w:rPr>
        <w:t xml:space="preserve">until 2018 </w:t>
      </w:r>
      <w:r w:rsidRPr="00F12E8B">
        <w:rPr>
          <w:rFonts w:ascii="Times New Roman" w:hAnsi="Times New Roman"/>
          <w:sz w:val="20"/>
          <w:szCs w:val="20"/>
        </w:rPr>
        <w:t xml:space="preserve">and in the year 2019 had </w:t>
      </w:r>
      <w:r w:rsidR="0026682A" w:rsidRPr="00F12E8B">
        <w:rPr>
          <w:rFonts w:ascii="Times New Roman" w:hAnsi="Times New Roman"/>
          <w:sz w:val="20"/>
          <w:szCs w:val="20"/>
        </w:rPr>
        <w:t>the</w:t>
      </w:r>
      <w:r w:rsidRPr="00F12E8B">
        <w:rPr>
          <w:rFonts w:ascii="Times New Roman" w:hAnsi="Times New Roman"/>
          <w:sz w:val="20"/>
          <w:szCs w:val="20"/>
        </w:rPr>
        <w:t xml:space="preserve"> high</w:t>
      </w:r>
      <w:r w:rsidR="004B031D" w:rsidRPr="00F12E8B">
        <w:rPr>
          <w:rFonts w:ascii="Times New Roman" w:hAnsi="Times New Roman"/>
          <w:sz w:val="20"/>
          <w:szCs w:val="20"/>
        </w:rPr>
        <w:t>est</w:t>
      </w:r>
      <w:r w:rsidRPr="00F12E8B">
        <w:rPr>
          <w:rFonts w:ascii="Times New Roman" w:hAnsi="Times New Roman"/>
          <w:sz w:val="20"/>
          <w:szCs w:val="20"/>
        </w:rPr>
        <w:t xml:space="preserve"> </w:t>
      </w:r>
      <w:r w:rsidR="0026682A" w:rsidRPr="00F12E8B">
        <w:rPr>
          <w:rFonts w:ascii="Times New Roman" w:hAnsi="Times New Roman"/>
          <w:sz w:val="20"/>
          <w:szCs w:val="20"/>
        </w:rPr>
        <w:t>negative</w:t>
      </w:r>
      <w:r w:rsidRPr="00F12E8B">
        <w:rPr>
          <w:rFonts w:ascii="Times New Roman" w:hAnsi="Times New Roman"/>
          <w:sz w:val="20"/>
          <w:szCs w:val="20"/>
        </w:rPr>
        <w:t xml:space="preserve"> position</w:t>
      </w:r>
      <w:r w:rsidR="0026682A" w:rsidRPr="00F12E8B">
        <w:rPr>
          <w:rFonts w:ascii="Times New Roman" w:hAnsi="Times New Roman"/>
          <w:sz w:val="20"/>
          <w:szCs w:val="20"/>
        </w:rPr>
        <w:t>. The year 2020 had also negative position</w:t>
      </w:r>
      <w:r w:rsidRPr="00F12E8B">
        <w:rPr>
          <w:rFonts w:ascii="Times New Roman" w:hAnsi="Times New Roman"/>
          <w:sz w:val="20"/>
          <w:szCs w:val="20"/>
        </w:rPr>
        <w:t xml:space="preserve"> but </w:t>
      </w:r>
      <w:r w:rsidR="0026682A" w:rsidRPr="00F12E8B">
        <w:rPr>
          <w:rFonts w:ascii="Times New Roman" w:hAnsi="Times New Roman"/>
          <w:sz w:val="20"/>
          <w:szCs w:val="20"/>
        </w:rPr>
        <w:t>not as much as in the year 2019.</w:t>
      </w:r>
    </w:p>
    <w:p w:rsidR="000D0589" w:rsidRPr="00F12E8B" w:rsidRDefault="000D0589" w:rsidP="00D95BD7">
      <w:pPr>
        <w:spacing w:after="0" w:line="240" w:lineRule="auto"/>
        <w:jc w:val="both"/>
        <w:rPr>
          <w:rFonts w:ascii="Times New Roman" w:hAnsi="Times New Roman"/>
          <w:b/>
          <w:sz w:val="20"/>
          <w:szCs w:val="20"/>
        </w:rPr>
      </w:pPr>
    </w:p>
    <w:p w:rsidR="00202EA4" w:rsidRPr="00F12E8B" w:rsidRDefault="00202EA4" w:rsidP="00202EA4">
      <w:pPr>
        <w:spacing w:after="0" w:line="240" w:lineRule="auto"/>
        <w:jc w:val="center"/>
        <w:rPr>
          <w:rFonts w:ascii="Times New Roman" w:hAnsi="Times New Roman"/>
          <w:sz w:val="20"/>
          <w:szCs w:val="20"/>
        </w:rPr>
      </w:pPr>
      <w:r w:rsidRPr="00F12E8B">
        <w:rPr>
          <w:rFonts w:ascii="Times New Roman" w:hAnsi="Times New Roman"/>
          <w:sz w:val="20"/>
          <w:szCs w:val="20"/>
        </w:rPr>
        <w:t>Table 10: Z-Score before and after the acquisition</w:t>
      </w:r>
    </w:p>
    <w:tbl>
      <w:tblPr>
        <w:tblW w:w="4730"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
        <w:gridCol w:w="1960"/>
        <w:gridCol w:w="1740"/>
      </w:tblGrid>
      <w:tr w:rsidR="00202EA4" w:rsidRPr="00F12E8B" w:rsidTr="00202EA4">
        <w:trPr>
          <w:trHeight w:val="315"/>
          <w:jc w:val="center"/>
        </w:trPr>
        <w:tc>
          <w:tcPr>
            <w:tcW w:w="1030" w:type="dxa"/>
            <w:shd w:val="clear" w:color="auto" w:fill="auto"/>
            <w:noWrap/>
            <w:vAlign w:val="center"/>
            <w:hideMark/>
          </w:tcPr>
          <w:p w:rsidR="00202EA4" w:rsidRPr="00F12E8B" w:rsidRDefault="00202EA4" w:rsidP="00202EA4">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YEARS</w:t>
            </w:r>
          </w:p>
        </w:tc>
        <w:tc>
          <w:tcPr>
            <w:tcW w:w="1960" w:type="dxa"/>
            <w:shd w:val="clear" w:color="auto" w:fill="auto"/>
            <w:noWrap/>
            <w:vAlign w:val="center"/>
            <w:hideMark/>
          </w:tcPr>
          <w:p w:rsidR="00202EA4" w:rsidRPr="00F12E8B" w:rsidRDefault="00202EA4" w:rsidP="00202EA4">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Z-SCORE DRAMAS</w:t>
            </w:r>
          </w:p>
        </w:tc>
        <w:tc>
          <w:tcPr>
            <w:tcW w:w="1740" w:type="dxa"/>
            <w:shd w:val="clear" w:color="auto" w:fill="auto"/>
            <w:noWrap/>
            <w:vAlign w:val="center"/>
            <w:hideMark/>
          </w:tcPr>
          <w:p w:rsidR="00202EA4" w:rsidRPr="00F12E8B" w:rsidRDefault="00202EA4" w:rsidP="00202EA4">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Z-SCORE EVROU</w:t>
            </w:r>
          </w:p>
        </w:tc>
      </w:tr>
      <w:tr w:rsidR="00202EA4" w:rsidRPr="00F12E8B" w:rsidTr="00202EA4">
        <w:trPr>
          <w:trHeight w:val="315"/>
          <w:jc w:val="center"/>
        </w:trPr>
        <w:tc>
          <w:tcPr>
            <w:tcW w:w="1030" w:type="dxa"/>
            <w:shd w:val="clear" w:color="auto" w:fill="auto"/>
            <w:noWrap/>
            <w:vAlign w:val="center"/>
            <w:hideMark/>
          </w:tcPr>
          <w:p w:rsidR="00202EA4" w:rsidRPr="00F12E8B" w:rsidRDefault="00202EA4" w:rsidP="00202EA4">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2014</w:t>
            </w:r>
          </w:p>
        </w:tc>
        <w:tc>
          <w:tcPr>
            <w:tcW w:w="1960" w:type="dxa"/>
            <w:shd w:val="clear" w:color="auto" w:fill="auto"/>
            <w:noWrap/>
            <w:vAlign w:val="center"/>
            <w:hideMark/>
          </w:tcPr>
          <w:p w:rsidR="00202EA4" w:rsidRPr="00F12E8B" w:rsidRDefault="00202EA4" w:rsidP="00202EA4">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3.73</w:t>
            </w:r>
          </w:p>
        </w:tc>
        <w:tc>
          <w:tcPr>
            <w:tcW w:w="1740" w:type="dxa"/>
            <w:shd w:val="clear" w:color="auto" w:fill="auto"/>
            <w:noWrap/>
            <w:vAlign w:val="center"/>
            <w:hideMark/>
          </w:tcPr>
          <w:p w:rsidR="00202EA4" w:rsidRPr="00F12E8B" w:rsidRDefault="00202EA4" w:rsidP="00202EA4">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21.2</w:t>
            </w:r>
          </w:p>
        </w:tc>
      </w:tr>
      <w:tr w:rsidR="00202EA4" w:rsidRPr="00F12E8B" w:rsidTr="00202EA4">
        <w:trPr>
          <w:trHeight w:val="315"/>
          <w:jc w:val="center"/>
        </w:trPr>
        <w:tc>
          <w:tcPr>
            <w:tcW w:w="1030" w:type="dxa"/>
            <w:shd w:val="clear" w:color="auto" w:fill="auto"/>
            <w:noWrap/>
            <w:vAlign w:val="center"/>
            <w:hideMark/>
          </w:tcPr>
          <w:p w:rsidR="00202EA4" w:rsidRPr="00F12E8B" w:rsidRDefault="00202EA4" w:rsidP="00202EA4">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2015</w:t>
            </w:r>
          </w:p>
        </w:tc>
        <w:tc>
          <w:tcPr>
            <w:tcW w:w="1960" w:type="dxa"/>
            <w:shd w:val="clear" w:color="auto" w:fill="auto"/>
            <w:noWrap/>
            <w:vAlign w:val="center"/>
            <w:hideMark/>
          </w:tcPr>
          <w:p w:rsidR="00202EA4" w:rsidRPr="00F12E8B" w:rsidRDefault="00202EA4" w:rsidP="00202EA4">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2.68</w:t>
            </w:r>
          </w:p>
        </w:tc>
        <w:tc>
          <w:tcPr>
            <w:tcW w:w="1740" w:type="dxa"/>
            <w:shd w:val="clear" w:color="auto" w:fill="auto"/>
            <w:noWrap/>
            <w:vAlign w:val="center"/>
            <w:hideMark/>
          </w:tcPr>
          <w:p w:rsidR="00202EA4" w:rsidRPr="00F12E8B" w:rsidRDefault="00202EA4" w:rsidP="00202EA4">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5.61</w:t>
            </w:r>
          </w:p>
        </w:tc>
      </w:tr>
      <w:tr w:rsidR="00202EA4" w:rsidRPr="00F12E8B" w:rsidTr="00202EA4">
        <w:trPr>
          <w:trHeight w:val="315"/>
          <w:jc w:val="center"/>
        </w:trPr>
        <w:tc>
          <w:tcPr>
            <w:tcW w:w="1030" w:type="dxa"/>
            <w:shd w:val="clear" w:color="auto" w:fill="auto"/>
            <w:noWrap/>
            <w:vAlign w:val="center"/>
            <w:hideMark/>
          </w:tcPr>
          <w:p w:rsidR="00202EA4" w:rsidRPr="00F12E8B" w:rsidRDefault="00202EA4" w:rsidP="00202EA4">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2016</w:t>
            </w:r>
          </w:p>
        </w:tc>
        <w:tc>
          <w:tcPr>
            <w:tcW w:w="1960" w:type="dxa"/>
            <w:shd w:val="clear" w:color="auto" w:fill="auto"/>
            <w:noWrap/>
            <w:vAlign w:val="center"/>
            <w:hideMark/>
          </w:tcPr>
          <w:p w:rsidR="00202EA4" w:rsidRPr="00F12E8B" w:rsidRDefault="00202EA4" w:rsidP="00202EA4">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5.7</w:t>
            </w:r>
          </w:p>
        </w:tc>
        <w:tc>
          <w:tcPr>
            <w:tcW w:w="1740" w:type="dxa"/>
            <w:shd w:val="clear" w:color="auto" w:fill="auto"/>
            <w:noWrap/>
            <w:vAlign w:val="center"/>
            <w:hideMark/>
          </w:tcPr>
          <w:p w:rsidR="00202EA4" w:rsidRPr="00F12E8B" w:rsidRDefault="00202EA4" w:rsidP="00202EA4">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4.44</w:t>
            </w:r>
          </w:p>
        </w:tc>
      </w:tr>
      <w:tr w:rsidR="00202EA4" w:rsidRPr="00F12E8B" w:rsidTr="00202EA4">
        <w:trPr>
          <w:trHeight w:val="315"/>
          <w:jc w:val="center"/>
        </w:trPr>
        <w:tc>
          <w:tcPr>
            <w:tcW w:w="1030" w:type="dxa"/>
            <w:shd w:val="clear" w:color="auto" w:fill="auto"/>
            <w:noWrap/>
            <w:vAlign w:val="center"/>
            <w:hideMark/>
          </w:tcPr>
          <w:p w:rsidR="00202EA4" w:rsidRPr="00F12E8B" w:rsidRDefault="00202EA4" w:rsidP="00202EA4">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2017</w:t>
            </w:r>
          </w:p>
        </w:tc>
        <w:tc>
          <w:tcPr>
            <w:tcW w:w="1960" w:type="dxa"/>
            <w:shd w:val="clear" w:color="auto" w:fill="auto"/>
            <w:noWrap/>
            <w:vAlign w:val="center"/>
            <w:hideMark/>
          </w:tcPr>
          <w:p w:rsidR="00202EA4" w:rsidRPr="00F12E8B" w:rsidRDefault="00202EA4" w:rsidP="00202EA4">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1.73</w:t>
            </w:r>
          </w:p>
        </w:tc>
        <w:tc>
          <w:tcPr>
            <w:tcW w:w="1740" w:type="dxa"/>
            <w:shd w:val="clear" w:color="auto" w:fill="auto"/>
            <w:noWrap/>
            <w:vAlign w:val="bottom"/>
            <w:hideMark/>
          </w:tcPr>
          <w:p w:rsidR="00202EA4" w:rsidRPr="00F12E8B" w:rsidRDefault="00202EA4" w:rsidP="00202EA4">
            <w:pPr>
              <w:spacing w:after="0" w:line="240" w:lineRule="auto"/>
              <w:jc w:val="center"/>
              <w:rPr>
                <w:rFonts w:ascii="Times New Roman" w:eastAsia="Times New Roman" w:hAnsi="Times New Roman"/>
                <w:color w:val="000000"/>
                <w:sz w:val="20"/>
                <w:szCs w:val="20"/>
                <w:lang w:val="el-GR" w:eastAsia="el-GR"/>
              </w:rPr>
            </w:pPr>
          </w:p>
        </w:tc>
      </w:tr>
      <w:tr w:rsidR="00202EA4" w:rsidRPr="00F12E8B" w:rsidTr="00202EA4">
        <w:trPr>
          <w:trHeight w:val="315"/>
          <w:jc w:val="center"/>
        </w:trPr>
        <w:tc>
          <w:tcPr>
            <w:tcW w:w="1030" w:type="dxa"/>
            <w:shd w:val="clear" w:color="auto" w:fill="auto"/>
            <w:noWrap/>
            <w:vAlign w:val="center"/>
            <w:hideMark/>
          </w:tcPr>
          <w:p w:rsidR="00202EA4" w:rsidRPr="00F12E8B" w:rsidRDefault="00202EA4" w:rsidP="00202EA4">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2018</w:t>
            </w:r>
          </w:p>
        </w:tc>
        <w:tc>
          <w:tcPr>
            <w:tcW w:w="1960" w:type="dxa"/>
            <w:shd w:val="clear" w:color="auto" w:fill="auto"/>
            <w:noWrap/>
            <w:vAlign w:val="center"/>
            <w:hideMark/>
          </w:tcPr>
          <w:p w:rsidR="00202EA4" w:rsidRPr="00F12E8B" w:rsidRDefault="00202EA4" w:rsidP="00202EA4">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1.05</w:t>
            </w:r>
          </w:p>
        </w:tc>
        <w:tc>
          <w:tcPr>
            <w:tcW w:w="1740" w:type="dxa"/>
            <w:shd w:val="clear" w:color="auto" w:fill="auto"/>
            <w:noWrap/>
            <w:vAlign w:val="bottom"/>
            <w:hideMark/>
          </w:tcPr>
          <w:p w:rsidR="00202EA4" w:rsidRPr="00F12E8B" w:rsidRDefault="00202EA4" w:rsidP="00202EA4">
            <w:pPr>
              <w:spacing w:after="0" w:line="240" w:lineRule="auto"/>
              <w:jc w:val="center"/>
              <w:rPr>
                <w:rFonts w:ascii="Times New Roman" w:eastAsia="Times New Roman" w:hAnsi="Times New Roman"/>
                <w:color w:val="000000"/>
                <w:sz w:val="20"/>
                <w:szCs w:val="20"/>
                <w:lang w:val="el-GR" w:eastAsia="el-GR"/>
              </w:rPr>
            </w:pPr>
          </w:p>
        </w:tc>
      </w:tr>
      <w:tr w:rsidR="00202EA4" w:rsidRPr="00F12E8B" w:rsidTr="00202EA4">
        <w:trPr>
          <w:trHeight w:val="315"/>
          <w:jc w:val="center"/>
        </w:trPr>
        <w:tc>
          <w:tcPr>
            <w:tcW w:w="1030" w:type="dxa"/>
            <w:shd w:val="clear" w:color="auto" w:fill="auto"/>
            <w:noWrap/>
            <w:vAlign w:val="center"/>
            <w:hideMark/>
          </w:tcPr>
          <w:p w:rsidR="00202EA4" w:rsidRPr="00F12E8B" w:rsidRDefault="00202EA4" w:rsidP="00202EA4">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2019</w:t>
            </w:r>
          </w:p>
        </w:tc>
        <w:tc>
          <w:tcPr>
            <w:tcW w:w="1960" w:type="dxa"/>
            <w:shd w:val="clear" w:color="auto" w:fill="auto"/>
            <w:noWrap/>
            <w:vAlign w:val="center"/>
            <w:hideMark/>
          </w:tcPr>
          <w:p w:rsidR="00202EA4" w:rsidRPr="00F12E8B" w:rsidRDefault="00202EA4" w:rsidP="00202EA4">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0.5</w:t>
            </w:r>
          </w:p>
        </w:tc>
        <w:tc>
          <w:tcPr>
            <w:tcW w:w="1740" w:type="dxa"/>
            <w:shd w:val="clear" w:color="auto" w:fill="auto"/>
            <w:noWrap/>
            <w:vAlign w:val="bottom"/>
            <w:hideMark/>
          </w:tcPr>
          <w:p w:rsidR="00202EA4" w:rsidRPr="00F12E8B" w:rsidRDefault="00202EA4" w:rsidP="00202EA4">
            <w:pPr>
              <w:spacing w:after="0" w:line="240" w:lineRule="auto"/>
              <w:jc w:val="center"/>
              <w:rPr>
                <w:rFonts w:ascii="Times New Roman" w:eastAsia="Times New Roman" w:hAnsi="Times New Roman"/>
                <w:color w:val="000000"/>
                <w:sz w:val="20"/>
                <w:szCs w:val="20"/>
                <w:lang w:val="el-GR" w:eastAsia="el-GR"/>
              </w:rPr>
            </w:pPr>
          </w:p>
        </w:tc>
      </w:tr>
      <w:tr w:rsidR="00202EA4" w:rsidRPr="00F12E8B" w:rsidTr="00202EA4">
        <w:trPr>
          <w:trHeight w:val="315"/>
          <w:jc w:val="center"/>
        </w:trPr>
        <w:tc>
          <w:tcPr>
            <w:tcW w:w="1030" w:type="dxa"/>
            <w:shd w:val="clear" w:color="auto" w:fill="auto"/>
            <w:noWrap/>
            <w:vAlign w:val="center"/>
            <w:hideMark/>
          </w:tcPr>
          <w:p w:rsidR="00202EA4" w:rsidRPr="00F12E8B" w:rsidRDefault="00202EA4" w:rsidP="00202EA4">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2020</w:t>
            </w:r>
          </w:p>
        </w:tc>
        <w:tc>
          <w:tcPr>
            <w:tcW w:w="1960" w:type="dxa"/>
            <w:shd w:val="clear" w:color="auto" w:fill="auto"/>
            <w:noWrap/>
            <w:vAlign w:val="center"/>
            <w:hideMark/>
          </w:tcPr>
          <w:p w:rsidR="00202EA4" w:rsidRPr="00F12E8B" w:rsidRDefault="00202EA4" w:rsidP="00202EA4">
            <w:pPr>
              <w:spacing w:after="0" w:line="240" w:lineRule="auto"/>
              <w:jc w:val="center"/>
              <w:rPr>
                <w:rFonts w:ascii="Times New Roman" w:eastAsia="Times New Roman" w:hAnsi="Times New Roman"/>
                <w:bCs/>
                <w:color w:val="000000"/>
                <w:sz w:val="20"/>
                <w:szCs w:val="20"/>
                <w:lang w:val="el-GR" w:eastAsia="el-GR"/>
              </w:rPr>
            </w:pPr>
            <w:r w:rsidRPr="00F12E8B">
              <w:rPr>
                <w:rFonts w:ascii="Times New Roman" w:eastAsia="Times New Roman" w:hAnsi="Times New Roman"/>
                <w:bCs/>
                <w:color w:val="000000"/>
                <w:sz w:val="20"/>
                <w:szCs w:val="20"/>
                <w:lang w:val="el-GR" w:eastAsia="el-GR"/>
              </w:rPr>
              <w:t>1.76</w:t>
            </w:r>
          </w:p>
        </w:tc>
        <w:tc>
          <w:tcPr>
            <w:tcW w:w="1740" w:type="dxa"/>
            <w:shd w:val="clear" w:color="auto" w:fill="auto"/>
            <w:noWrap/>
            <w:vAlign w:val="bottom"/>
            <w:hideMark/>
          </w:tcPr>
          <w:p w:rsidR="00202EA4" w:rsidRPr="00F12E8B" w:rsidRDefault="00202EA4" w:rsidP="00202EA4">
            <w:pPr>
              <w:spacing w:after="0" w:line="240" w:lineRule="auto"/>
              <w:jc w:val="center"/>
              <w:rPr>
                <w:rFonts w:ascii="Times New Roman" w:eastAsia="Times New Roman" w:hAnsi="Times New Roman"/>
                <w:color w:val="000000"/>
                <w:sz w:val="20"/>
                <w:szCs w:val="20"/>
                <w:lang w:val="el-GR" w:eastAsia="el-GR"/>
              </w:rPr>
            </w:pPr>
          </w:p>
        </w:tc>
      </w:tr>
    </w:tbl>
    <w:p w:rsidR="00202EA4" w:rsidRPr="00F12E8B" w:rsidRDefault="00202EA4" w:rsidP="00202EA4">
      <w:pPr>
        <w:spacing w:after="0" w:line="240" w:lineRule="auto"/>
        <w:jc w:val="both"/>
        <w:rPr>
          <w:rFonts w:ascii="Times New Roman" w:hAnsi="Times New Roman"/>
          <w:b/>
          <w:sz w:val="20"/>
          <w:szCs w:val="20"/>
        </w:rPr>
      </w:pPr>
      <w:r w:rsidRPr="00F12E8B">
        <w:rPr>
          <w:rFonts w:ascii="Times New Roman" w:hAnsi="Times New Roman"/>
          <w:sz w:val="20"/>
          <w:szCs w:val="20"/>
        </w:rPr>
        <w:t>Source: Authors' calculations from published financial statements of the Greek Cooperative Banks.</w:t>
      </w:r>
    </w:p>
    <w:p w:rsidR="00945934" w:rsidRDefault="00945934" w:rsidP="00554446">
      <w:pPr>
        <w:spacing w:after="0" w:line="240" w:lineRule="auto"/>
        <w:jc w:val="both"/>
        <w:rPr>
          <w:rFonts w:ascii="Times New Roman" w:hAnsi="Times New Roman"/>
          <w:b/>
          <w:sz w:val="20"/>
          <w:szCs w:val="20"/>
        </w:rPr>
      </w:pPr>
    </w:p>
    <w:p w:rsidR="00945934" w:rsidRDefault="00945934" w:rsidP="00554446">
      <w:pPr>
        <w:spacing w:after="0" w:line="240" w:lineRule="auto"/>
        <w:jc w:val="both"/>
        <w:rPr>
          <w:rFonts w:ascii="Times New Roman" w:hAnsi="Times New Roman"/>
          <w:b/>
          <w:sz w:val="20"/>
          <w:szCs w:val="20"/>
        </w:rPr>
      </w:pPr>
    </w:p>
    <w:p w:rsidR="00945934" w:rsidRPr="00F12E8B" w:rsidRDefault="00945934" w:rsidP="00554446">
      <w:pPr>
        <w:spacing w:after="0" w:line="240" w:lineRule="auto"/>
        <w:jc w:val="both"/>
        <w:rPr>
          <w:rFonts w:ascii="Times New Roman" w:hAnsi="Times New Roman"/>
          <w:b/>
          <w:sz w:val="20"/>
          <w:szCs w:val="20"/>
        </w:rPr>
      </w:pPr>
    </w:p>
    <w:p w:rsidR="00202EA4" w:rsidRPr="00F12E8B" w:rsidRDefault="00485328" w:rsidP="00945934">
      <w:pPr>
        <w:spacing w:after="0" w:line="240" w:lineRule="auto"/>
        <w:jc w:val="center"/>
        <w:rPr>
          <w:rFonts w:ascii="Times New Roman" w:hAnsi="Times New Roman"/>
          <w:sz w:val="20"/>
          <w:szCs w:val="20"/>
        </w:rPr>
      </w:pPr>
      <w:r w:rsidRPr="00F12E8B">
        <w:rPr>
          <w:rFonts w:ascii="Times New Roman" w:hAnsi="Times New Roman"/>
          <w:sz w:val="20"/>
          <w:szCs w:val="20"/>
        </w:rPr>
        <w:lastRenderedPageBreak/>
        <w:t>Figure</w:t>
      </w:r>
      <w:r w:rsidR="00202EA4" w:rsidRPr="00F12E8B">
        <w:rPr>
          <w:rFonts w:ascii="Times New Roman" w:hAnsi="Times New Roman"/>
          <w:sz w:val="20"/>
          <w:szCs w:val="20"/>
        </w:rPr>
        <w:t xml:space="preserve"> 10 Z-Score before and after the acquisition</w:t>
      </w:r>
    </w:p>
    <w:p w:rsidR="00202EA4" w:rsidRPr="00F12E8B" w:rsidRDefault="00202EA4" w:rsidP="00554446">
      <w:pPr>
        <w:spacing w:after="0" w:line="240" w:lineRule="auto"/>
        <w:jc w:val="both"/>
        <w:rPr>
          <w:rFonts w:ascii="Times New Roman" w:hAnsi="Times New Roman"/>
          <w:b/>
          <w:sz w:val="20"/>
          <w:szCs w:val="20"/>
        </w:rPr>
      </w:pPr>
      <w:r w:rsidRPr="00F12E8B">
        <w:rPr>
          <w:rFonts w:ascii="Times New Roman" w:hAnsi="Times New Roman"/>
          <w:b/>
          <w:noProof/>
          <w:sz w:val="20"/>
          <w:szCs w:val="20"/>
          <w:lang w:val="el-GR" w:eastAsia="el-GR"/>
        </w:rPr>
        <w:drawing>
          <wp:inline distT="0" distB="0" distL="0" distR="0">
            <wp:extent cx="5273568" cy="3384468"/>
            <wp:effectExtent l="19050" t="0" r="22332" b="6432"/>
            <wp:docPr id="20"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202EA4" w:rsidRPr="00F12E8B" w:rsidRDefault="00202EA4" w:rsidP="00097DEC">
      <w:pPr>
        <w:spacing w:after="0" w:line="240" w:lineRule="auto"/>
        <w:jc w:val="center"/>
        <w:rPr>
          <w:rFonts w:ascii="Times New Roman" w:hAnsi="Times New Roman"/>
          <w:sz w:val="20"/>
          <w:szCs w:val="20"/>
        </w:rPr>
      </w:pPr>
      <w:r w:rsidRPr="00F12E8B">
        <w:rPr>
          <w:rFonts w:ascii="Times New Roman" w:hAnsi="Times New Roman"/>
          <w:sz w:val="20"/>
          <w:szCs w:val="20"/>
        </w:rPr>
        <w:t>Source: Table 10</w:t>
      </w:r>
    </w:p>
    <w:p w:rsidR="002B51E1" w:rsidRPr="00F12E8B" w:rsidRDefault="002B51E1" w:rsidP="002B51E1">
      <w:pPr>
        <w:spacing w:after="0" w:line="240" w:lineRule="auto"/>
        <w:jc w:val="both"/>
        <w:rPr>
          <w:rFonts w:ascii="Times New Roman" w:hAnsi="Times New Roman"/>
          <w:sz w:val="20"/>
          <w:szCs w:val="20"/>
        </w:rPr>
      </w:pPr>
      <w:r w:rsidRPr="00F12E8B">
        <w:rPr>
          <w:rFonts w:ascii="Times New Roman" w:hAnsi="Times New Roman"/>
          <w:sz w:val="20"/>
          <w:szCs w:val="20"/>
        </w:rPr>
        <w:t xml:space="preserve">From the </w:t>
      </w:r>
      <w:r w:rsidR="00B66835" w:rsidRPr="00F12E8B">
        <w:rPr>
          <w:rFonts w:ascii="Times New Roman" w:hAnsi="Times New Roman"/>
          <w:sz w:val="20"/>
          <w:szCs w:val="20"/>
        </w:rPr>
        <w:t xml:space="preserve">above </w:t>
      </w:r>
      <w:r w:rsidR="003B44D3">
        <w:rPr>
          <w:rFonts w:ascii="Times New Roman" w:hAnsi="Times New Roman"/>
          <w:sz w:val="20"/>
          <w:szCs w:val="20"/>
        </w:rPr>
        <w:t>table 10 f</w:t>
      </w:r>
      <w:r w:rsidR="00485328" w:rsidRPr="00F12E8B">
        <w:rPr>
          <w:rFonts w:ascii="Times New Roman" w:hAnsi="Times New Roman"/>
          <w:sz w:val="20"/>
          <w:szCs w:val="20"/>
        </w:rPr>
        <w:t>igure</w:t>
      </w:r>
      <w:r w:rsidRPr="00F12E8B">
        <w:rPr>
          <w:rFonts w:ascii="Times New Roman" w:hAnsi="Times New Roman"/>
          <w:sz w:val="20"/>
          <w:szCs w:val="20"/>
        </w:rPr>
        <w:t xml:space="preserve"> 10 </w:t>
      </w:r>
      <w:r w:rsidRPr="00F12E8B">
        <w:rPr>
          <w:rFonts w:ascii="Times New Roman" w:hAnsi="Times New Roman"/>
          <w:spacing w:val="3"/>
          <w:sz w:val="20"/>
          <w:szCs w:val="20"/>
          <w:shd w:val="clear" w:color="auto" w:fill="FFFFFF"/>
        </w:rPr>
        <w:t>Z-Score</w:t>
      </w:r>
      <w:r w:rsidR="009E0D34" w:rsidRPr="00F12E8B">
        <w:rPr>
          <w:rFonts w:ascii="Times New Roman" w:hAnsi="Times New Roman"/>
          <w:sz w:val="20"/>
          <w:szCs w:val="20"/>
        </w:rPr>
        <w:t xml:space="preserve"> had a very high rate in</w:t>
      </w:r>
      <w:r w:rsidRPr="00F12E8B">
        <w:rPr>
          <w:rFonts w:ascii="Times New Roman" w:hAnsi="Times New Roman"/>
          <w:sz w:val="20"/>
          <w:szCs w:val="20"/>
        </w:rPr>
        <w:t xml:space="preserve"> the year 2014 for the target</w:t>
      </w:r>
      <w:r w:rsidR="009E0D34" w:rsidRPr="00F12E8B">
        <w:rPr>
          <w:rFonts w:ascii="Times New Roman" w:hAnsi="Times New Roman"/>
          <w:sz w:val="20"/>
          <w:szCs w:val="20"/>
        </w:rPr>
        <w:t xml:space="preserve"> bank</w:t>
      </w:r>
      <w:r w:rsidRPr="00F12E8B">
        <w:rPr>
          <w:rFonts w:ascii="Times New Roman" w:hAnsi="Times New Roman"/>
          <w:sz w:val="20"/>
          <w:szCs w:val="20"/>
        </w:rPr>
        <w:t>. In the years 2015-2016 the Z-Score of the target</w:t>
      </w:r>
      <w:r w:rsidR="009E0D34" w:rsidRPr="00F12E8B">
        <w:rPr>
          <w:rFonts w:ascii="Times New Roman" w:hAnsi="Times New Roman"/>
          <w:sz w:val="20"/>
          <w:szCs w:val="20"/>
        </w:rPr>
        <w:t xml:space="preserve"> bank</w:t>
      </w:r>
      <w:r w:rsidRPr="00F12E8B">
        <w:rPr>
          <w:rFonts w:ascii="Times New Roman" w:hAnsi="Times New Roman"/>
          <w:sz w:val="20"/>
          <w:szCs w:val="20"/>
        </w:rPr>
        <w:t xml:space="preserve"> had a very high downward trend. </w:t>
      </w:r>
      <w:r w:rsidR="009D44C7" w:rsidRPr="00F12E8B">
        <w:rPr>
          <w:rFonts w:ascii="Times New Roman" w:hAnsi="Times New Roman"/>
          <w:sz w:val="20"/>
          <w:szCs w:val="20"/>
        </w:rPr>
        <w:t xml:space="preserve">The bidder </w:t>
      </w:r>
      <w:r w:rsidR="009E0D34" w:rsidRPr="00F12E8B">
        <w:rPr>
          <w:rFonts w:ascii="Times New Roman" w:hAnsi="Times New Roman"/>
          <w:sz w:val="20"/>
          <w:szCs w:val="20"/>
        </w:rPr>
        <w:t xml:space="preserve">bank </w:t>
      </w:r>
      <w:r w:rsidR="009D44C7" w:rsidRPr="00F12E8B">
        <w:rPr>
          <w:rFonts w:ascii="Times New Roman" w:hAnsi="Times New Roman"/>
          <w:sz w:val="20"/>
          <w:szCs w:val="20"/>
        </w:rPr>
        <w:t>had low Z-Score two years before the acquisition and one year before the acquisition the Z-Score had the biggest rate from all the period under consideration, before and after the acquisition. We observe that after the acquisition the Z-Score continuous to ha</w:t>
      </w:r>
      <w:r w:rsidR="009E0D34" w:rsidRPr="00F12E8B">
        <w:rPr>
          <w:rFonts w:ascii="Times New Roman" w:hAnsi="Times New Roman"/>
          <w:sz w:val="20"/>
          <w:szCs w:val="20"/>
        </w:rPr>
        <w:t>ve</w:t>
      </w:r>
      <w:r w:rsidR="009D44C7" w:rsidRPr="00F12E8B">
        <w:rPr>
          <w:rFonts w:ascii="Times New Roman" w:hAnsi="Times New Roman"/>
          <w:sz w:val="20"/>
          <w:szCs w:val="20"/>
        </w:rPr>
        <w:t xml:space="preserve"> a downward trend.</w:t>
      </w:r>
    </w:p>
    <w:p w:rsidR="00175BBF" w:rsidRPr="00F12E8B" w:rsidRDefault="009D44C7" w:rsidP="00554446">
      <w:pPr>
        <w:spacing w:after="0" w:line="240" w:lineRule="auto"/>
        <w:jc w:val="both"/>
        <w:rPr>
          <w:rFonts w:ascii="Times New Roman" w:hAnsi="Times New Roman"/>
          <w:b/>
          <w:sz w:val="20"/>
          <w:szCs w:val="20"/>
        </w:rPr>
      </w:pPr>
      <w:r w:rsidRPr="00F12E8B">
        <w:rPr>
          <w:rFonts w:ascii="Times New Roman" w:hAnsi="Times New Roman"/>
          <w:b/>
          <w:sz w:val="20"/>
          <w:szCs w:val="20"/>
        </w:rPr>
        <w:t>Conclusion</w:t>
      </w:r>
    </w:p>
    <w:p w:rsidR="006F7967" w:rsidRPr="00F12E8B" w:rsidRDefault="003263AA" w:rsidP="00554446">
      <w:pPr>
        <w:spacing w:after="0" w:line="240" w:lineRule="auto"/>
        <w:jc w:val="both"/>
        <w:rPr>
          <w:rFonts w:ascii="Times New Roman" w:hAnsi="Times New Roman"/>
          <w:sz w:val="20"/>
          <w:szCs w:val="20"/>
        </w:rPr>
      </w:pPr>
      <w:r w:rsidRPr="00F12E8B">
        <w:rPr>
          <w:rFonts w:ascii="Times New Roman" w:hAnsi="Times New Roman"/>
          <w:sz w:val="20"/>
          <w:szCs w:val="20"/>
        </w:rPr>
        <w:t xml:space="preserve">In this paper we tried to present a financial analysis </w:t>
      </w:r>
      <w:r w:rsidR="00B45760" w:rsidRPr="00F12E8B">
        <w:rPr>
          <w:rFonts w:ascii="Times New Roman" w:hAnsi="Times New Roman"/>
          <w:sz w:val="20"/>
          <w:szCs w:val="20"/>
        </w:rPr>
        <w:t xml:space="preserve">mainly </w:t>
      </w:r>
      <w:r w:rsidRPr="00F12E8B">
        <w:rPr>
          <w:rFonts w:ascii="Times New Roman" w:hAnsi="Times New Roman"/>
          <w:sz w:val="20"/>
          <w:szCs w:val="20"/>
        </w:rPr>
        <w:t>with cash flow ratios</w:t>
      </w:r>
      <w:r w:rsidR="00B45760" w:rsidRPr="00F12E8B">
        <w:rPr>
          <w:rFonts w:ascii="Times New Roman" w:hAnsi="Times New Roman"/>
          <w:sz w:val="20"/>
          <w:szCs w:val="20"/>
        </w:rPr>
        <w:t>. We used also DuPont Analysis and Z-Score so as to be able to find out</w:t>
      </w:r>
      <w:r w:rsidRPr="00F12E8B">
        <w:rPr>
          <w:rFonts w:ascii="Times New Roman" w:hAnsi="Times New Roman"/>
          <w:sz w:val="20"/>
          <w:szCs w:val="20"/>
        </w:rPr>
        <w:t xml:space="preserve"> what </w:t>
      </w:r>
      <w:r w:rsidR="00C45D09" w:rsidRPr="00F12E8B">
        <w:rPr>
          <w:rFonts w:ascii="Times New Roman" w:hAnsi="Times New Roman"/>
          <w:sz w:val="20"/>
          <w:szCs w:val="20"/>
        </w:rPr>
        <w:t>would happen</w:t>
      </w:r>
      <w:r w:rsidRPr="00F12E8B">
        <w:rPr>
          <w:rFonts w:ascii="Times New Roman" w:hAnsi="Times New Roman"/>
          <w:sz w:val="20"/>
          <w:szCs w:val="20"/>
        </w:rPr>
        <w:t xml:space="preserve"> </w:t>
      </w:r>
      <w:r w:rsidR="00B45760" w:rsidRPr="00F12E8B">
        <w:rPr>
          <w:rFonts w:ascii="Times New Roman" w:hAnsi="Times New Roman"/>
          <w:sz w:val="20"/>
          <w:szCs w:val="20"/>
        </w:rPr>
        <w:t>if one cooperative bank t</w:t>
      </w:r>
      <w:r w:rsidR="00C45D09" w:rsidRPr="00F12E8B">
        <w:rPr>
          <w:rFonts w:ascii="Times New Roman" w:hAnsi="Times New Roman"/>
          <w:sz w:val="20"/>
          <w:szCs w:val="20"/>
        </w:rPr>
        <w:t>ook</w:t>
      </w:r>
      <w:r w:rsidR="00B45760" w:rsidRPr="00F12E8B">
        <w:rPr>
          <w:rFonts w:ascii="Times New Roman" w:hAnsi="Times New Roman"/>
          <w:sz w:val="20"/>
          <w:szCs w:val="20"/>
        </w:rPr>
        <w:t xml:space="preserve"> over another one in the same country.</w:t>
      </w:r>
      <w:r w:rsidRPr="00F12E8B">
        <w:rPr>
          <w:rFonts w:ascii="Times New Roman" w:hAnsi="Times New Roman"/>
          <w:sz w:val="20"/>
          <w:szCs w:val="20"/>
        </w:rPr>
        <w:t xml:space="preserve"> </w:t>
      </w:r>
      <w:r w:rsidR="00B45760" w:rsidRPr="00F12E8B">
        <w:rPr>
          <w:rFonts w:ascii="Times New Roman" w:hAnsi="Times New Roman"/>
          <w:sz w:val="20"/>
          <w:szCs w:val="20"/>
        </w:rPr>
        <w:t xml:space="preserve">We should point out that the present financial analysis showed us that both banks </w:t>
      </w:r>
      <w:r w:rsidR="006F7967" w:rsidRPr="00F12E8B">
        <w:rPr>
          <w:rFonts w:ascii="Times New Roman" w:hAnsi="Times New Roman"/>
          <w:sz w:val="20"/>
          <w:szCs w:val="20"/>
        </w:rPr>
        <w:t xml:space="preserve">before the acquisition </w:t>
      </w:r>
      <w:r w:rsidR="00B45760" w:rsidRPr="00F12E8B">
        <w:rPr>
          <w:rFonts w:ascii="Times New Roman" w:hAnsi="Times New Roman"/>
          <w:sz w:val="20"/>
          <w:szCs w:val="20"/>
        </w:rPr>
        <w:t>had low rates in cash flow ratios, ROE, ROA, ROCE and in Z-Score</w:t>
      </w:r>
      <w:r w:rsidR="006F7967" w:rsidRPr="00F12E8B">
        <w:rPr>
          <w:rFonts w:ascii="Times New Roman" w:hAnsi="Times New Roman"/>
          <w:sz w:val="20"/>
          <w:szCs w:val="20"/>
        </w:rPr>
        <w:t>, but the financial leverage (EM) was in a high level</w:t>
      </w:r>
      <w:r w:rsidR="00B45760" w:rsidRPr="00F12E8B">
        <w:rPr>
          <w:rFonts w:ascii="Times New Roman" w:hAnsi="Times New Roman"/>
          <w:sz w:val="20"/>
          <w:szCs w:val="20"/>
        </w:rPr>
        <w:t xml:space="preserve">. </w:t>
      </w:r>
      <w:r w:rsidR="006F7967" w:rsidRPr="00F12E8B">
        <w:rPr>
          <w:rFonts w:ascii="Times New Roman" w:hAnsi="Times New Roman"/>
          <w:sz w:val="20"/>
          <w:szCs w:val="20"/>
        </w:rPr>
        <w:t xml:space="preserve">All these findings support the fact that both cooperative banks mainly the cooperative bank of Evrou were in an unfavorable financial position. So </w:t>
      </w:r>
      <w:r w:rsidR="00246F2F" w:rsidRPr="00F12E8B">
        <w:rPr>
          <w:rFonts w:ascii="Times New Roman" w:hAnsi="Times New Roman"/>
          <w:sz w:val="20"/>
          <w:szCs w:val="20"/>
        </w:rPr>
        <w:t xml:space="preserve">we observed from </w:t>
      </w:r>
      <w:r w:rsidR="006F7967" w:rsidRPr="00F12E8B">
        <w:rPr>
          <w:rFonts w:ascii="Times New Roman" w:hAnsi="Times New Roman"/>
          <w:sz w:val="20"/>
          <w:szCs w:val="20"/>
        </w:rPr>
        <w:t xml:space="preserve">the financial analysis after four years of the acquisition </w:t>
      </w:r>
      <w:r w:rsidR="00246F2F" w:rsidRPr="00F12E8B">
        <w:rPr>
          <w:rFonts w:ascii="Times New Roman" w:hAnsi="Times New Roman"/>
          <w:sz w:val="20"/>
          <w:szCs w:val="20"/>
        </w:rPr>
        <w:t>that the buyer's financial position became more difficult every year culminating in the year 2020.</w:t>
      </w:r>
    </w:p>
    <w:p w:rsidR="00246F2F" w:rsidRPr="00F12E8B" w:rsidRDefault="00246F2F" w:rsidP="00554446">
      <w:pPr>
        <w:spacing w:after="0" w:line="240" w:lineRule="auto"/>
        <w:jc w:val="both"/>
        <w:rPr>
          <w:rFonts w:ascii="Times New Roman" w:hAnsi="Times New Roman"/>
          <w:sz w:val="20"/>
          <w:szCs w:val="20"/>
        </w:rPr>
      </w:pPr>
      <w:r w:rsidRPr="00F12E8B">
        <w:rPr>
          <w:rFonts w:ascii="Times New Roman" w:hAnsi="Times New Roman"/>
          <w:sz w:val="20"/>
          <w:szCs w:val="20"/>
        </w:rPr>
        <w:t xml:space="preserve">The main point of this financial analysis is that it is very difficult for a bidder to absorb </w:t>
      </w:r>
      <w:r w:rsidR="00BB4630" w:rsidRPr="00F12E8B">
        <w:rPr>
          <w:rFonts w:ascii="Times New Roman" w:hAnsi="Times New Roman"/>
          <w:sz w:val="20"/>
          <w:szCs w:val="20"/>
        </w:rPr>
        <w:t xml:space="preserve">a target </w:t>
      </w:r>
      <w:r w:rsidRPr="00F12E8B">
        <w:rPr>
          <w:rFonts w:ascii="Times New Roman" w:hAnsi="Times New Roman"/>
          <w:sz w:val="20"/>
          <w:szCs w:val="20"/>
        </w:rPr>
        <w:t>with profitability and without any risk of insolvency</w:t>
      </w:r>
      <w:r w:rsidR="00BB4630" w:rsidRPr="00F12E8B">
        <w:rPr>
          <w:rFonts w:ascii="Times New Roman" w:hAnsi="Times New Roman"/>
          <w:sz w:val="20"/>
          <w:szCs w:val="20"/>
        </w:rPr>
        <w:t>. And even more if the target is a bank near the edge of bankruptcy.</w:t>
      </w:r>
      <w:r w:rsidR="000A10C0" w:rsidRPr="00F12E8B">
        <w:rPr>
          <w:rFonts w:ascii="Times New Roman" w:eastAsiaTheme="minorHAnsi" w:hAnsi="Times New Roman"/>
          <w:sz w:val="20"/>
          <w:szCs w:val="20"/>
        </w:rPr>
        <w:t xml:space="preserve"> So we have to say that the forecast of bad operative cash flow ratios and insolvency ratios are very important information for banks.</w:t>
      </w:r>
    </w:p>
    <w:p w:rsidR="00BB4630" w:rsidRPr="00F12E8B" w:rsidRDefault="00BB4630" w:rsidP="00554446">
      <w:pPr>
        <w:spacing w:after="0" w:line="240" w:lineRule="auto"/>
        <w:jc w:val="both"/>
        <w:rPr>
          <w:rFonts w:ascii="Times New Roman" w:hAnsi="Times New Roman"/>
          <w:sz w:val="20"/>
          <w:szCs w:val="20"/>
        </w:rPr>
      </w:pPr>
      <w:r w:rsidRPr="00F12E8B">
        <w:rPr>
          <w:rFonts w:ascii="Times New Roman" w:hAnsi="Times New Roman"/>
          <w:sz w:val="20"/>
          <w:szCs w:val="20"/>
        </w:rPr>
        <w:t xml:space="preserve">We would like to </w:t>
      </w:r>
      <w:r w:rsidR="00C45D09" w:rsidRPr="00F12E8B">
        <w:rPr>
          <w:rFonts w:ascii="Times New Roman" w:hAnsi="Times New Roman"/>
          <w:sz w:val="20"/>
          <w:szCs w:val="20"/>
        </w:rPr>
        <w:t xml:space="preserve">stress </w:t>
      </w:r>
      <w:r w:rsidRPr="00F12E8B">
        <w:rPr>
          <w:rFonts w:ascii="Times New Roman" w:hAnsi="Times New Roman"/>
          <w:sz w:val="20"/>
          <w:szCs w:val="20"/>
        </w:rPr>
        <w:t>that the cooperative bank of Drama which was the bidder went bankrupt and closed down in the year 2022 with all the implications for the economy and local society of the city of Drama.</w:t>
      </w:r>
    </w:p>
    <w:p w:rsidR="00554446" w:rsidRPr="00F12E8B" w:rsidRDefault="00554446" w:rsidP="00C421DC">
      <w:pPr>
        <w:spacing w:after="0" w:line="240" w:lineRule="auto"/>
        <w:jc w:val="both"/>
        <w:rPr>
          <w:rFonts w:ascii="Times New Roman" w:hAnsi="Times New Roman"/>
          <w:b/>
          <w:sz w:val="20"/>
          <w:szCs w:val="20"/>
        </w:rPr>
      </w:pPr>
      <w:r w:rsidRPr="00F12E8B">
        <w:rPr>
          <w:rFonts w:ascii="Times New Roman" w:hAnsi="Times New Roman"/>
          <w:b/>
          <w:sz w:val="20"/>
          <w:szCs w:val="20"/>
        </w:rPr>
        <w:t>References</w:t>
      </w:r>
    </w:p>
    <w:p w:rsidR="005F258F" w:rsidRPr="00F12E8B" w:rsidRDefault="005F258F" w:rsidP="005F258F">
      <w:pPr>
        <w:spacing w:after="0" w:line="240" w:lineRule="auto"/>
        <w:jc w:val="both"/>
        <w:rPr>
          <w:rFonts w:ascii="Times New Roman" w:hAnsi="Times New Roman"/>
          <w:sz w:val="20"/>
          <w:szCs w:val="20"/>
        </w:rPr>
      </w:pPr>
      <w:r w:rsidRPr="00F12E8B">
        <w:rPr>
          <w:rFonts w:ascii="Times New Roman" w:hAnsi="Times New Roman"/>
          <w:sz w:val="20"/>
          <w:szCs w:val="20"/>
        </w:rPr>
        <w:t xml:space="preserve">Abu Saleem, K. S &amp; Ahmed, E. Y, (2020). Does Cash Flow Have an Impact </w:t>
      </w:r>
      <w:r w:rsidR="00306A0F" w:rsidRPr="00F12E8B">
        <w:rPr>
          <w:rFonts w:ascii="Times New Roman" w:hAnsi="Times New Roman"/>
          <w:sz w:val="20"/>
          <w:szCs w:val="20"/>
        </w:rPr>
        <w:t>o</w:t>
      </w:r>
      <w:r w:rsidRPr="00F12E8B">
        <w:rPr>
          <w:rFonts w:ascii="Times New Roman" w:hAnsi="Times New Roman"/>
          <w:sz w:val="20"/>
          <w:szCs w:val="20"/>
        </w:rPr>
        <w:t>n Profit Quality</w:t>
      </w:r>
      <w:r w:rsidR="00306A0F" w:rsidRPr="00F12E8B">
        <w:rPr>
          <w:rFonts w:ascii="Times New Roman" w:hAnsi="Times New Roman"/>
          <w:sz w:val="20"/>
          <w:szCs w:val="20"/>
        </w:rPr>
        <w:t>"</w:t>
      </w:r>
      <w:r w:rsidRPr="00F12E8B">
        <w:rPr>
          <w:rFonts w:ascii="Times New Roman" w:hAnsi="Times New Roman"/>
          <w:sz w:val="20"/>
          <w:szCs w:val="20"/>
        </w:rPr>
        <w:t xml:space="preserve">. </w:t>
      </w:r>
      <w:r w:rsidRPr="00F12E8B">
        <w:rPr>
          <w:rFonts w:ascii="Times New Roman" w:hAnsi="Times New Roman"/>
          <w:sz w:val="20"/>
          <w:szCs w:val="20"/>
        </w:rPr>
        <w:tab/>
      </w:r>
      <w:r w:rsidRPr="00F12E8B">
        <w:rPr>
          <w:rFonts w:ascii="Times New Roman" w:hAnsi="Times New Roman"/>
          <w:iCs/>
          <w:sz w:val="20"/>
          <w:szCs w:val="20"/>
        </w:rPr>
        <w:t>International Journal of Scientific &amp; Technology Research</w:t>
      </w:r>
      <w:r w:rsidRPr="00F12E8B">
        <w:rPr>
          <w:rFonts w:ascii="Times New Roman" w:hAnsi="Times New Roman"/>
          <w:sz w:val="20"/>
          <w:szCs w:val="20"/>
        </w:rPr>
        <w:t>, 9(01).</w:t>
      </w:r>
    </w:p>
    <w:p w:rsidR="00444E54" w:rsidRPr="00F12E8B" w:rsidRDefault="00444E54" w:rsidP="00C248F8">
      <w:pPr>
        <w:pStyle w:val="2"/>
        <w:shd w:val="clear" w:color="auto" w:fill="FFFFFF"/>
        <w:spacing w:before="0" w:beforeAutospacing="0" w:after="0" w:afterAutospacing="0"/>
        <w:jc w:val="both"/>
        <w:rPr>
          <w:b w:val="0"/>
          <w:sz w:val="20"/>
          <w:szCs w:val="20"/>
          <w:lang w:val="en-US"/>
        </w:rPr>
      </w:pPr>
      <w:r w:rsidRPr="00F12E8B">
        <w:rPr>
          <w:b w:val="0"/>
          <w:sz w:val="20"/>
          <w:szCs w:val="20"/>
          <w:lang w:val="en-US"/>
        </w:rPr>
        <w:t xml:space="preserve">Anginer, D., Demirgüç-Kunt, A., Zhu, M., </w:t>
      </w:r>
      <w:r w:rsidR="001D062F" w:rsidRPr="00F12E8B">
        <w:rPr>
          <w:b w:val="0"/>
          <w:sz w:val="20"/>
          <w:szCs w:val="20"/>
          <w:lang w:val="en-US"/>
        </w:rPr>
        <w:t>(</w:t>
      </w:r>
      <w:r w:rsidRPr="00F12E8B">
        <w:rPr>
          <w:b w:val="0"/>
          <w:sz w:val="20"/>
          <w:szCs w:val="20"/>
          <w:lang w:val="en-US"/>
        </w:rPr>
        <w:t>2014</w:t>
      </w:r>
      <w:r w:rsidR="001D062F" w:rsidRPr="00F12E8B">
        <w:rPr>
          <w:b w:val="0"/>
          <w:sz w:val="20"/>
          <w:szCs w:val="20"/>
          <w:lang w:val="en-US"/>
        </w:rPr>
        <w:t>)</w:t>
      </w:r>
      <w:r w:rsidRPr="00F12E8B">
        <w:rPr>
          <w:b w:val="0"/>
          <w:sz w:val="20"/>
          <w:szCs w:val="20"/>
          <w:lang w:val="en-US"/>
        </w:rPr>
        <w:t xml:space="preserve">. </w:t>
      </w:r>
      <w:r w:rsidR="001D062F" w:rsidRPr="00F12E8B">
        <w:rPr>
          <w:b w:val="0"/>
          <w:sz w:val="20"/>
          <w:szCs w:val="20"/>
          <w:lang w:val="en-US"/>
        </w:rPr>
        <w:t>"</w:t>
      </w:r>
      <w:r w:rsidRPr="00F12E8B">
        <w:rPr>
          <w:b w:val="0"/>
          <w:sz w:val="20"/>
          <w:szCs w:val="20"/>
          <w:lang w:val="en-US"/>
        </w:rPr>
        <w:t xml:space="preserve">How does </w:t>
      </w:r>
      <w:r w:rsidR="001D062F" w:rsidRPr="00F12E8B">
        <w:rPr>
          <w:b w:val="0"/>
          <w:sz w:val="20"/>
          <w:szCs w:val="20"/>
          <w:lang w:val="en-US"/>
        </w:rPr>
        <w:t>D</w:t>
      </w:r>
      <w:r w:rsidRPr="00F12E8B">
        <w:rPr>
          <w:b w:val="0"/>
          <w:sz w:val="20"/>
          <w:szCs w:val="20"/>
          <w:lang w:val="en-US"/>
        </w:rPr>
        <w:t xml:space="preserve">eposit </w:t>
      </w:r>
      <w:r w:rsidR="001D062F" w:rsidRPr="00F12E8B">
        <w:rPr>
          <w:b w:val="0"/>
          <w:sz w:val="20"/>
          <w:szCs w:val="20"/>
          <w:lang w:val="en-US"/>
        </w:rPr>
        <w:t>I</w:t>
      </w:r>
      <w:r w:rsidRPr="00F12E8B">
        <w:rPr>
          <w:b w:val="0"/>
          <w:sz w:val="20"/>
          <w:szCs w:val="20"/>
          <w:lang w:val="en-US"/>
        </w:rPr>
        <w:t xml:space="preserve">nsurance </w:t>
      </w:r>
      <w:r w:rsidR="00306A0F" w:rsidRPr="00F12E8B">
        <w:rPr>
          <w:b w:val="0"/>
          <w:sz w:val="20"/>
          <w:szCs w:val="20"/>
          <w:lang w:val="en-US"/>
        </w:rPr>
        <w:t>a</w:t>
      </w:r>
      <w:r w:rsidRPr="00F12E8B">
        <w:rPr>
          <w:b w:val="0"/>
          <w:sz w:val="20"/>
          <w:szCs w:val="20"/>
          <w:lang w:val="en-US"/>
        </w:rPr>
        <w:t xml:space="preserve">ffect </w:t>
      </w:r>
      <w:r w:rsidR="001D062F" w:rsidRPr="00F12E8B">
        <w:rPr>
          <w:b w:val="0"/>
          <w:sz w:val="20"/>
          <w:szCs w:val="20"/>
          <w:lang w:val="en-US"/>
        </w:rPr>
        <w:t>B</w:t>
      </w:r>
      <w:r w:rsidRPr="00F12E8B">
        <w:rPr>
          <w:b w:val="0"/>
          <w:sz w:val="20"/>
          <w:szCs w:val="20"/>
          <w:lang w:val="en-US"/>
        </w:rPr>
        <w:t xml:space="preserve">ank </w:t>
      </w:r>
      <w:r w:rsidR="00C421DC" w:rsidRPr="00F12E8B">
        <w:rPr>
          <w:b w:val="0"/>
          <w:sz w:val="20"/>
          <w:szCs w:val="20"/>
          <w:lang w:val="en-US"/>
        </w:rPr>
        <w:tab/>
      </w:r>
      <w:r w:rsidR="001D062F" w:rsidRPr="00F12E8B">
        <w:rPr>
          <w:b w:val="0"/>
          <w:sz w:val="20"/>
          <w:szCs w:val="20"/>
          <w:lang w:val="en-US"/>
        </w:rPr>
        <w:t>R</w:t>
      </w:r>
      <w:r w:rsidRPr="00F12E8B">
        <w:rPr>
          <w:b w:val="0"/>
          <w:sz w:val="20"/>
          <w:szCs w:val="20"/>
          <w:lang w:val="en-US"/>
        </w:rPr>
        <w:t>isk? Evidence from the recent Crisis</w:t>
      </w:r>
      <w:r w:rsidR="001D062F" w:rsidRPr="00F12E8B">
        <w:rPr>
          <w:b w:val="0"/>
          <w:sz w:val="20"/>
          <w:szCs w:val="20"/>
          <w:lang w:val="en-US"/>
        </w:rPr>
        <w:t>"</w:t>
      </w:r>
      <w:r w:rsidRPr="00F12E8B">
        <w:rPr>
          <w:b w:val="0"/>
          <w:sz w:val="20"/>
          <w:szCs w:val="20"/>
          <w:lang w:val="en-US"/>
        </w:rPr>
        <w:t>. Journal of Banking and Finance 48, 312-321.</w:t>
      </w:r>
    </w:p>
    <w:p w:rsidR="001D062F" w:rsidRPr="00F12E8B" w:rsidRDefault="001D062F" w:rsidP="00C248F8">
      <w:pPr>
        <w:pStyle w:val="2"/>
        <w:shd w:val="clear" w:color="auto" w:fill="FFFFFF"/>
        <w:spacing w:before="0" w:beforeAutospacing="0" w:after="0" w:afterAutospacing="0"/>
        <w:jc w:val="both"/>
        <w:rPr>
          <w:b w:val="0"/>
          <w:sz w:val="20"/>
          <w:szCs w:val="20"/>
          <w:lang w:val="en-US"/>
        </w:rPr>
      </w:pPr>
      <w:r w:rsidRPr="00F12E8B">
        <w:rPr>
          <w:b w:val="0"/>
          <w:sz w:val="20"/>
          <w:szCs w:val="20"/>
          <w:lang w:val="en-US"/>
        </w:rPr>
        <w:t xml:space="preserve">Arnold A., Ellis B. and Krishnan S. (2018). "Toward Effective Use of the Statement of Cash </w:t>
      </w:r>
      <w:r w:rsidR="00C421DC" w:rsidRPr="00F12E8B">
        <w:rPr>
          <w:b w:val="0"/>
          <w:sz w:val="20"/>
          <w:szCs w:val="20"/>
          <w:lang w:val="en-US"/>
        </w:rPr>
        <w:tab/>
      </w:r>
      <w:r w:rsidRPr="00F12E8B">
        <w:rPr>
          <w:b w:val="0"/>
          <w:sz w:val="20"/>
          <w:szCs w:val="20"/>
          <w:lang w:val="en-US"/>
        </w:rPr>
        <w:t xml:space="preserve">Flows". </w:t>
      </w:r>
      <w:r w:rsidRPr="00F12E8B">
        <w:rPr>
          <w:b w:val="0"/>
          <w:iCs/>
          <w:sz w:val="20"/>
          <w:szCs w:val="20"/>
          <w:lang w:val="en-US"/>
        </w:rPr>
        <w:t>Journal of Business and Behavioral Sciences</w:t>
      </w:r>
      <w:r w:rsidRPr="00F12E8B">
        <w:rPr>
          <w:b w:val="0"/>
          <w:sz w:val="20"/>
          <w:szCs w:val="20"/>
          <w:lang w:val="en-US"/>
        </w:rPr>
        <w:t>, vol. 30, n.2, pp.46-62</w:t>
      </w:r>
    </w:p>
    <w:p w:rsidR="0065701D" w:rsidRPr="00F12E8B" w:rsidRDefault="0065701D" w:rsidP="00C248F8">
      <w:pPr>
        <w:spacing w:after="0" w:line="240" w:lineRule="auto"/>
        <w:jc w:val="both"/>
        <w:rPr>
          <w:rFonts w:ascii="Times New Roman" w:hAnsi="Times New Roman"/>
          <w:sz w:val="20"/>
          <w:szCs w:val="20"/>
        </w:rPr>
      </w:pPr>
      <w:r w:rsidRPr="00F12E8B">
        <w:rPr>
          <w:rFonts w:ascii="Times New Roman" w:hAnsi="Times New Roman"/>
          <w:sz w:val="20"/>
          <w:szCs w:val="20"/>
        </w:rPr>
        <w:t>Bower, J. L, (2001). "Not all M&amp;As are alike- and that mat</w:t>
      </w:r>
      <w:r w:rsidR="00C248F8" w:rsidRPr="00F12E8B">
        <w:rPr>
          <w:rFonts w:ascii="Times New Roman" w:hAnsi="Times New Roman"/>
          <w:sz w:val="20"/>
          <w:szCs w:val="20"/>
        </w:rPr>
        <w:t xml:space="preserve">ters," Harvard Business Review, </w:t>
      </w:r>
      <w:r w:rsidR="00C248F8" w:rsidRPr="00F12E8B">
        <w:rPr>
          <w:rFonts w:ascii="Times New Roman" w:hAnsi="Times New Roman"/>
          <w:sz w:val="20"/>
          <w:szCs w:val="20"/>
        </w:rPr>
        <w:tab/>
      </w:r>
      <w:r w:rsidRPr="00F12E8B">
        <w:rPr>
          <w:rFonts w:ascii="Times New Roman" w:hAnsi="Times New Roman"/>
          <w:sz w:val="20"/>
          <w:szCs w:val="20"/>
        </w:rPr>
        <w:t>Volume 79, No, pp.93-101.</w:t>
      </w:r>
    </w:p>
    <w:p w:rsidR="00463FEC" w:rsidRPr="00F12E8B" w:rsidRDefault="00463FEC" w:rsidP="00C248F8">
      <w:pPr>
        <w:pStyle w:val="2"/>
        <w:shd w:val="clear" w:color="auto" w:fill="FFFFFF"/>
        <w:spacing w:before="0" w:beforeAutospacing="0" w:after="0" w:afterAutospacing="0"/>
        <w:jc w:val="both"/>
        <w:rPr>
          <w:b w:val="0"/>
          <w:sz w:val="20"/>
          <w:szCs w:val="20"/>
          <w:lang w:val="en-US"/>
        </w:rPr>
      </w:pPr>
      <w:r w:rsidRPr="00F12E8B">
        <w:rPr>
          <w:b w:val="0"/>
          <w:sz w:val="20"/>
          <w:szCs w:val="20"/>
          <w:lang w:val="en-US"/>
        </w:rPr>
        <w:t xml:space="preserve">Boyd, J.H., Runkle, D.E., 1993. </w:t>
      </w:r>
      <w:r w:rsidR="001D062F" w:rsidRPr="00F12E8B">
        <w:rPr>
          <w:b w:val="0"/>
          <w:sz w:val="20"/>
          <w:szCs w:val="20"/>
          <w:lang w:val="en-US"/>
        </w:rPr>
        <w:t>"</w:t>
      </w:r>
      <w:r w:rsidRPr="00F12E8B">
        <w:rPr>
          <w:b w:val="0"/>
          <w:sz w:val="20"/>
          <w:szCs w:val="20"/>
          <w:lang w:val="en-US"/>
        </w:rPr>
        <w:t xml:space="preserve">Size and </w:t>
      </w:r>
      <w:r w:rsidR="001D062F" w:rsidRPr="00F12E8B">
        <w:rPr>
          <w:b w:val="0"/>
          <w:sz w:val="20"/>
          <w:szCs w:val="20"/>
          <w:lang w:val="en-US"/>
        </w:rPr>
        <w:t>P</w:t>
      </w:r>
      <w:r w:rsidRPr="00F12E8B">
        <w:rPr>
          <w:b w:val="0"/>
          <w:sz w:val="20"/>
          <w:szCs w:val="20"/>
          <w:lang w:val="en-US"/>
        </w:rPr>
        <w:t xml:space="preserve">erformance of </w:t>
      </w:r>
      <w:r w:rsidR="001D062F" w:rsidRPr="00F12E8B">
        <w:rPr>
          <w:b w:val="0"/>
          <w:sz w:val="20"/>
          <w:szCs w:val="20"/>
          <w:lang w:val="en-US"/>
        </w:rPr>
        <w:t>B</w:t>
      </w:r>
      <w:r w:rsidRPr="00F12E8B">
        <w:rPr>
          <w:b w:val="0"/>
          <w:sz w:val="20"/>
          <w:szCs w:val="20"/>
          <w:lang w:val="en-US"/>
        </w:rPr>
        <w:t xml:space="preserve">anking </w:t>
      </w:r>
      <w:r w:rsidR="001D062F" w:rsidRPr="00F12E8B">
        <w:rPr>
          <w:b w:val="0"/>
          <w:sz w:val="20"/>
          <w:szCs w:val="20"/>
          <w:lang w:val="en-US"/>
        </w:rPr>
        <w:t>F</w:t>
      </w:r>
      <w:r w:rsidRPr="00F12E8B">
        <w:rPr>
          <w:b w:val="0"/>
          <w:sz w:val="20"/>
          <w:szCs w:val="20"/>
          <w:lang w:val="en-US"/>
        </w:rPr>
        <w:t>irms</w:t>
      </w:r>
      <w:r w:rsidR="001D062F" w:rsidRPr="00F12E8B">
        <w:rPr>
          <w:b w:val="0"/>
          <w:sz w:val="20"/>
          <w:szCs w:val="20"/>
          <w:lang w:val="en-US"/>
        </w:rPr>
        <w:t>"</w:t>
      </w:r>
      <w:r w:rsidRPr="00F12E8B">
        <w:rPr>
          <w:b w:val="0"/>
          <w:sz w:val="20"/>
          <w:szCs w:val="20"/>
          <w:lang w:val="en-US"/>
        </w:rPr>
        <w:t xml:space="preserve">. Journal of Monetary </w:t>
      </w:r>
      <w:r w:rsidR="00C421DC" w:rsidRPr="00F12E8B">
        <w:rPr>
          <w:b w:val="0"/>
          <w:sz w:val="20"/>
          <w:szCs w:val="20"/>
          <w:lang w:val="en-US"/>
        </w:rPr>
        <w:tab/>
      </w:r>
      <w:r w:rsidRPr="00F12E8B">
        <w:rPr>
          <w:b w:val="0"/>
          <w:sz w:val="20"/>
          <w:szCs w:val="20"/>
          <w:lang w:val="en-US"/>
        </w:rPr>
        <w:t xml:space="preserve">Economics 31, 47-67. </w:t>
      </w:r>
    </w:p>
    <w:p w:rsidR="00463FEC" w:rsidRPr="00F12E8B" w:rsidRDefault="00463FEC" w:rsidP="00C248F8">
      <w:pPr>
        <w:pStyle w:val="2"/>
        <w:shd w:val="clear" w:color="auto" w:fill="FFFFFF"/>
        <w:spacing w:before="0" w:beforeAutospacing="0" w:after="0" w:afterAutospacing="0"/>
        <w:jc w:val="both"/>
        <w:rPr>
          <w:b w:val="0"/>
          <w:sz w:val="20"/>
          <w:szCs w:val="20"/>
          <w:lang w:val="en-US"/>
        </w:rPr>
      </w:pPr>
      <w:r w:rsidRPr="00F12E8B">
        <w:rPr>
          <w:b w:val="0"/>
          <w:sz w:val="20"/>
          <w:szCs w:val="20"/>
          <w:lang w:val="en-US"/>
        </w:rPr>
        <w:t xml:space="preserve">Boyd, J.H., Graham, S.L., Hewitt, S.R., </w:t>
      </w:r>
      <w:r w:rsidR="00C421DC" w:rsidRPr="00F12E8B">
        <w:rPr>
          <w:b w:val="0"/>
          <w:sz w:val="20"/>
          <w:szCs w:val="20"/>
          <w:lang w:val="en-US"/>
        </w:rPr>
        <w:t>(</w:t>
      </w:r>
      <w:r w:rsidRPr="00F12E8B">
        <w:rPr>
          <w:b w:val="0"/>
          <w:sz w:val="20"/>
          <w:szCs w:val="20"/>
          <w:lang w:val="en-US"/>
        </w:rPr>
        <w:t>1993</w:t>
      </w:r>
      <w:r w:rsidR="00C421DC" w:rsidRPr="00F12E8B">
        <w:rPr>
          <w:b w:val="0"/>
          <w:sz w:val="20"/>
          <w:szCs w:val="20"/>
          <w:lang w:val="en-US"/>
        </w:rPr>
        <w:t>)</w:t>
      </w:r>
      <w:r w:rsidRPr="00F12E8B">
        <w:rPr>
          <w:b w:val="0"/>
          <w:sz w:val="20"/>
          <w:szCs w:val="20"/>
          <w:lang w:val="en-US"/>
        </w:rPr>
        <w:t xml:space="preserve">. </w:t>
      </w:r>
      <w:r w:rsidR="001D062F" w:rsidRPr="00F12E8B">
        <w:rPr>
          <w:b w:val="0"/>
          <w:sz w:val="20"/>
          <w:szCs w:val="20"/>
          <w:lang w:val="en-US"/>
        </w:rPr>
        <w:t>"</w:t>
      </w:r>
      <w:r w:rsidRPr="00F12E8B">
        <w:rPr>
          <w:b w:val="0"/>
          <w:sz w:val="20"/>
          <w:szCs w:val="20"/>
          <w:lang w:val="en-US"/>
        </w:rPr>
        <w:t xml:space="preserve">Bank </w:t>
      </w:r>
      <w:r w:rsidR="001D062F" w:rsidRPr="00F12E8B">
        <w:rPr>
          <w:b w:val="0"/>
          <w:sz w:val="20"/>
          <w:szCs w:val="20"/>
          <w:lang w:val="en-US"/>
        </w:rPr>
        <w:t>H</w:t>
      </w:r>
      <w:r w:rsidRPr="00F12E8B">
        <w:rPr>
          <w:b w:val="0"/>
          <w:sz w:val="20"/>
          <w:szCs w:val="20"/>
          <w:lang w:val="en-US"/>
        </w:rPr>
        <w:t xml:space="preserve">olding </w:t>
      </w:r>
      <w:r w:rsidR="001D062F" w:rsidRPr="00F12E8B">
        <w:rPr>
          <w:b w:val="0"/>
          <w:sz w:val="20"/>
          <w:szCs w:val="20"/>
          <w:lang w:val="en-US"/>
        </w:rPr>
        <w:t>C</w:t>
      </w:r>
      <w:r w:rsidRPr="00F12E8B">
        <w:rPr>
          <w:b w:val="0"/>
          <w:sz w:val="20"/>
          <w:szCs w:val="20"/>
          <w:lang w:val="en-US"/>
        </w:rPr>
        <w:t xml:space="preserve">ompany </w:t>
      </w:r>
      <w:r w:rsidR="001D062F" w:rsidRPr="00F12E8B">
        <w:rPr>
          <w:b w:val="0"/>
          <w:sz w:val="20"/>
          <w:szCs w:val="20"/>
          <w:lang w:val="en-US"/>
        </w:rPr>
        <w:t>M</w:t>
      </w:r>
      <w:r w:rsidRPr="00F12E8B">
        <w:rPr>
          <w:b w:val="0"/>
          <w:sz w:val="20"/>
          <w:szCs w:val="20"/>
          <w:lang w:val="en-US"/>
        </w:rPr>
        <w:t xml:space="preserve">ergers with </w:t>
      </w:r>
      <w:r w:rsidR="001D062F" w:rsidRPr="00F12E8B">
        <w:rPr>
          <w:b w:val="0"/>
          <w:sz w:val="20"/>
          <w:szCs w:val="20"/>
          <w:lang w:val="en-US"/>
        </w:rPr>
        <w:t>N</w:t>
      </w:r>
      <w:r w:rsidRPr="00F12E8B">
        <w:rPr>
          <w:b w:val="0"/>
          <w:sz w:val="20"/>
          <w:szCs w:val="20"/>
          <w:lang w:val="en-US"/>
        </w:rPr>
        <w:t xml:space="preserve">onbank </w:t>
      </w:r>
      <w:r w:rsidR="00F12E8B">
        <w:rPr>
          <w:b w:val="0"/>
          <w:sz w:val="20"/>
          <w:szCs w:val="20"/>
          <w:lang w:val="en-US"/>
        </w:rPr>
        <w:tab/>
      </w:r>
      <w:r w:rsidR="001D062F" w:rsidRPr="00F12E8B">
        <w:rPr>
          <w:b w:val="0"/>
          <w:sz w:val="20"/>
          <w:szCs w:val="20"/>
          <w:lang w:val="en-US"/>
        </w:rPr>
        <w:t>F</w:t>
      </w:r>
      <w:r w:rsidRPr="00F12E8B">
        <w:rPr>
          <w:b w:val="0"/>
          <w:sz w:val="20"/>
          <w:szCs w:val="20"/>
          <w:lang w:val="en-US"/>
        </w:rPr>
        <w:t xml:space="preserve">inancial </w:t>
      </w:r>
      <w:r w:rsidR="001D062F" w:rsidRPr="00F12E8B">
        <w:rPr>
          <w:b w:val="0"/>
          <w:sz w:val="20"/>
          <w:szCs w:val="20"/>
          <w:lang w:val="en-US"/>
        </w:rPr>
        <w:t>F</w:t>
      </w:r>
      <w:r w:rsidRPr="00F12E8B">
        <w:rPr>
          <w:b w:val="0"/>
          <w:sz w:val="20"/>
          <w:szCs w:val="20"/>
          <w:lang w:val="en-US"/>
        </w:rPr>
        <w:t xml:space="preserve">irms: </w:t>
      </w:r>
      <w:r w:rsidR="001D062F" w:rsidRPr="00F12E8B">
        <w:rPr>
          <w:b w:val="0"/>
          <w:sz w:val="20"/>
          <w:szCs w:val="20"/>
          <w:lang w:val="en-US"/>
        </w:rPr>
        <w:t>E</w:t>
      </w:r>
      <w:r w:rsidRPr="00F12E8B">
        <w:rPr>
          <w:b w:val="0"/>
          <w:sz w:val="20"/>
          <w:szCs w:val="20"/>
          <w:lang w:val="en-US"/>
        </w:rPr>
        <w:t xml:space="preserve">ffects on the </w:t>
      </w:r>
      <w:r w:rsidR="001D062F" w:rsidRPr="00F12E8B">
        <w:rPr>
          <w:b w:val="0"/>
          <w:sz w:val="20"/>
          <w:szCs w:val="20"/>
          <w:lang w:val="en-US"/>
        </w:rPr>
        <w:t>R</w:t>
      </w:r>
      <w:r w:rsidRPr="00F12E8B">
        <w:rPr>
          <w:b w:val="0"/>
          <w:sz w:val="20"/>
          <w:szCs w:val="20"/>
          <w:lang w:val="en-US"/>
        </w:rPr>
        <w:t xml:space="preserve">isk of </w:t>
      </w:r>
      <w:r w:rsidR="001D062F" w:rsidRPr="00F12E8B">
        <w:rPr>
          <w:b w:val="0"/>
          <w:sz w:val="20"/>
          <w:szCs w:val="20"/>
          <w:lang w:val="en-US"/>
        </w:rPr>
        <w:t>F</w:t>
      </w:r>
      <w:r w:rsidRPr="00F12E8B">
        <w:rPr>
          <w:b w:val="0"/>
          <w:sz w:val="20"/>
          <w:szCs w:val="20"/>
          <w:lang w:val="en-US"/>
        </w:rPr>
        <w:t>ailure</w:t>
      </w:r>
      <w:r w:rsidR="001D062F" w:rsidRPr="00F12E8B">
        <w:rPr>
          <w:b w:val="0"/>
          <w:sz w:val="20"/>
          <w:szCs w:val="20"/>
          <w:lang w:val="en-US"/>
        </w:rPr>
        <w:t>"</w:t>
      </w:r>
      <w:r w:rsidRPr="00F12E8B">
        <w:rPr>
          <w:b w:val="0"/>
          <w:sz w:val="20"/>
          <w:szCs w:val="20"/>
          <w:lang w:val="en-US"/>
        </w:rPr>
        <w:t>. Journal of Banking and Finance 17, 43-63.</w:t>
      </w:r>
    </w:p>
    <w:p w:rsidR="001B19F0" w:rsidRPr="00F12E8B" w:rsidRDefault="001B19F0" w:rsidP="001B19F0">
      <w:pPr>
        <w:autoSpaceDE w:val="0"/>
        <w:autoSpaceDN w:val="0"/>
        <w:adjustRightInd w:val="0"/>
        <w:spacing w:after="0" w:line="240" w:lineRule="auto"/>
        <w:jc w:val="both"/>
        <w:rPr>
          <w:rFonts w:ascii="Times New Roman" w:hAnsi="Times New Roman"/>
          <w:b/>
          <w:sz w:val="20"/>
          <w:szCs w:val="20"/>
        </w:rPr>
      </w:pPr>
      <w:r w:rsidRPr="00F12E8B">
        <w:rPr>
          <w:rFonts w:ascii="Times New Roman" w:eastAsiaTheme="minorHAnsi" w:hAnsi="Times New Roman"/>
          <w:sz w:val="20"/>
          <w:szCs w:val="20"/>
        </w:rPr>
        <w:t xml:space="preserve">Catanach, H.A. (2000). "An Emprical Study of Operating Cash Flow Usefulness in Predicting </w:t>
      </w:r>
      <w:r w:rsidRPr="00F12E8B">
        <w:rPr>
          <w:rFonts w:ascii="Times New Roman" w:eastAsiaTheme="minorHAnsi" w:hAnsi="Times New Roman"/>
          <w:sz w:val="20"/>
          <w:szCs w:val="20"/>
        </w:rPr>
        <w:tab/>
        <w:t xml:space="preserve">Savings and Loan Financial Distress". </w:t>
      </w:r>
      <w:r w:rsidRPr="00F12E8B">
        <w:rPr>
          <w:rFonts w:ascii="Times New Roman" w:eastAsiaTheme="minorHAnsi" w:hAnsi="Times New Roman"/>
          <w:iCs/>
          <w:sz w:val="20"/>
          <w:szCs w:val="20"/>
        </w:rPr>
        <w:t>Advances in Accounting</w:t>
      </w:r>
      <w:r w:rsidRPr="00F12E8B">
        <w:rPr>
          <w:rFonts w:ascii="Times New Roman" w:eastAsiaTheme="minorHAnsi" w:hAnsi="Times New Roman"/>
          <w:sz w:val="20"/>
          <w:szCs w:val="20"/>
        </w:rPr>
        <w:t xml:space="preserve">, </w:t>
      </w:r>
      <w:r w:rsidRPr="00F12E8B">
        <w:rPr>
          <w:rFonts w:ascii="Times New Roman" w:eastAsiaTheme="minorHAnsi" w:hAnsi="Times New Roman"/>
          <w:i/>
          <w:iCs/>
          <w:sz w:val="20"/>
          <w:szCs w:val="20"/>
        </w:rPr>
        <w:t>17</w:t>
      </w:r>
      <w:r w:rsidRPr="00F12E8B">
        <w:rPr>
          <w:rFonts w:ascii="Times New Roman" w:eastAsiaTheme="minorHAnsi" w:hAnsi="Times New Roman"/>
          <w:sz w:val="20"/>
          <w:szCs w:val="20"/>
        </w:rPr>
        <w:t>, 1-30.</w:t>
      </w:r>
    </w:p>
    <w:p w:rsidR="00463FEC" w:rsidRPr="00F12E8B" w:rsidRDefault="00463FEC" w:rsidP="00C248F8">
      <w:pPr>
        <w:pStyle w:val="2"/>
        <w:shd w:val="clear" w:color="auto" w:fill="FFFFFF"/>
        <w:spacing w:before="0" w:beforeAutospacing="0" w:after="0" w:afterAutospacing="0"/>
        <w:jc w:val="both"/>
        <w:rPr>
          <w:b w:val="0"/>
          <w:sz w:val="20"/>
          <w:szCs w:val="20"/>
          <w:lang w:val="en-US"/>
        </w:rPr>
      </w:pPr>
      <w:r w:rsidRPr="00F12E8B">
        <w:rPr>
          <w:b w:val="0"/>
          <w:sz w:val="20"/>
          <w:szCs w:val="20"/>
          <w:lang w:val="en-US"/>
        </w:rPr>
        <w:t xml:space="preserve">Hannan, T.H., Hanweck, G.A., </w:t>
      </w:r>
      <w:r w:rsidR="00C421DC" w:rsidRPr="00F12E8B">
        <w:rPr>
          <w:b w:val="0"/>
          <w:sz w:val="20"/>
          <w:szCs w:val="20"/>
          <w:lang w:val="en-US"/>
        </w:rPr>
        <w:t>(</w:t>
      </w:r>
      <w:r w:rsidRPr="00F12E8B">
        <w:rPr>
          <w:b w:val="0"/>
          <w:sz w:val="20"/>
          <w:szCs w:val="20"/>
          <w:lang w:val="en-US"/>
        </w:rPr>
        <w:t>1988</w:t>
      </w:r>
      <w:r w:rsidR="00C421DC" w:rsidRPr="00F12E8B">
        <w:rPr>
          <w:b w:val="0"/>
          <w:sz w:val="20"/>
          <w:szCs w:val="20"/>
          <w:lang w:val="en-US"/>
        </w:rPr>
        <w:t>)</w:t>
      </w:r>
      <w:r w:rsidRPr="00F12E8B">
        <w:rPr>
          <w:b w:val="0"/>
          <w:sz w:val="20"/>
          <w:szCs w:val="20"/>
          <w:lang w:val="en-US"/>
        </w:rPr>
        <w:t xml:space="preserve">. </w:t>
      </w:r>
      <w:r w:rsidR="001D062F" w:rsidRPr="00F12E8B">
        <w:rPr>
          <w:b w:val="0"/>
          <w:sz w:val="20"/>
          <w:szCs w:val="20"/>
          <w:lang w:val="en-US"/>
        </w:rPr>
        <w:t>"</w:t>
      </w:r>
      <w:r w:rsidRPr="00F12E8B">
        <w:rPr>
          <w:b w:val="0"/>
          <w:sz w:val="20"/>
          <w:szCs w:val="20"/>
          <w:lang w:val="en-US"/>
        </w:rPr>
        <w:t xml:space="preserve">Bank </w:t>
      </w:r>
      <w:r w:rsidR="001D062F" w:rsidRPr="00F12E8B">
        <w:rPr>
          <w:b w:val="0"/>
          <w:sz w:val="20"/>
          <w:szCs w:val="20"/>
          <w:lang w:val="en-US"/>
        </w:rPr>
        <w:t>I</w:t>
      </w:r>
      <w:r w:rsidRPr="00F12E8B">
        <w:rPr>
          <w:b w:val="0"/>
          <w:sz w:val="20"/>
          <w:szCs w:val="20"/>
          <w:lang w:val="en-US"/>
        </w:rPr>
        <w:t xml:space="preserve">nsolvency </w:t>
      </w:r>
      <w:r w:rsidR="001D062F" w:rsidRPr="00F12E8B">
        <w:rPr>
          <w:b w:val="0"/>
          <w:sz w:val="20"/>
          <w:szCs w:val="20"/>
          <w:lang w:val="en-US"/>
        </w:rPr>
        <w:t>R</w:t>
      </w:r>
      <w:r w:rsidRPr="00F12E8B">
        <w:rPr>
          <w:b w:val="0"/>
          <w:sz w:val="20"/>
          <w:szCs w:val="20"/>
          <w:lang w:val="en-US"/>
        </w:rPr>
        <w:t xml:space="preserve">isk and the </w:t>
      </w:r>
      <w:r w:rsidR="001D062F" w:rsidRPr="00F12E8B">
        <w:rPr>
          <w:b w:val="0"/>
          <w:sz w:val="20"/>
          <w:szCs w:val="20"/>
          <w:lang w:val="en-US"/>
        </w:rPr>
        <w:t>M</w:t>
      </w:r>
      <w:r w:rsidRPr="00F12E8B">
        <w:rPr>
          <w:b w:val="0"/>
          <w:sz w:val="20"/>
          <w:szCs w:val="20"/>
          <w:lang w:val="en-US"/>
        </w:rPr>
        <w:t xml:space="preserve">arket for </w:t>
      </w:r>
      <w:r w:rsidR="001D062F" w:rsidRPr="00F12E8B">
        <w:rPr>
          <w:b w:val="0"/>
          <w:sz w:val="20"/>
          <w:szCs w:val="20"/>
          <w:lang w:val="en-US"/>
        </w:rPr>
        <w:t>L</w:t>
      </w:r>
      <w:r w:rsidRPr="00F12E8B">
        <w:rPr>
          <w:b w:val="0"/>
          <w:sz w:val="20"/>
          <w:szCs w:val="20"/>
          <w:lang w:val="en-US"/>
        </w:rPr>
        <w:t xml:space="preserve">arge </w:t>
      </w:r>
      <w:r w:rsidR="001D062F" w:rsidRPr="00F12E8B">
        <w:rPr>
          <w:b w:val="0"/>
          <w:sz w:val="20"/>
          <w:szCs w:val="20"/>
          <w:lang w:val="en-US"/>
        </w:rPr>
        <w:t>C</w:t>
      </w:r>
      <w:r w:rsidRPr="00F12E8B">
        <w:rPr>
          <w:b w:val="0"/>
          <w:sz w:val="20"/>
          <w:szCs w:val="20"/>
          <w:lang w:val="en-US"/>
        </w:rPr>
        <w:t xml:space="preserve">ertificates of </w:t>
      </w:r>
      <w:r w:rsidR="00F12E8B">
        <w:rPr>
          <w:b w:val="0"/>
          <w:sz w:val="20"/>
          <w:szCs w:val="20"/>
          <w:lang w:val="en-US"/>
        </w:rPr>
        <w:tab/>
      </w:r>
      <w:r w:rsidR="001D062F" w:rsidRPr="00F12E8B">
        <w:rPr>
          <w:b w:val="0"/>
          <w:sz w:val="20"/>
          <w:szCs w:val="20"/>
          <w:lang w:val="en-US"/>
        </w:rPr>
        <w:t>D</w:t>
      </w:r>
      <w:r w:rsidRPr="00F12E8B">
        <w:rPr>
          <w:b w:val="0"/>
          <w:sz w:val="20"/>
          <w:szCs w:val="20"/>
          <w:lang w:val="en-US"/>
        </w:rPr>
        <w:t>eposit</w:t>
      </w:r>
      <w:r w:rsidR="001D062F" w:rsidRPr="00F12E8B">
        <w:rPr>
          <w:b w:val="0"/>
          <w:sz w:val="20"/>
          <w:szCs w:val="20"/>
          <w:lang w:val="en-US"/>
        </w:rPr>
        <w:t>"</w:t>
      </w:r>
      <w:r w:rsidRPr="00F12E8B">
        <w:rPr>
          <w:b w:val="0"/>
          <w:sz w:val="20"/>
          <w:szCs w:val="20"/>
          <w:lang w:val="en-US"/>
        </w:rPr>
        <w:t>. Journal of Money, Credit and Banking 20, 203-211.</w:t>
      </w:r>
    </w:p>
    <w:p w:rsidR="006C77F9" w:rsidRPr="00F12E8B" w:rsidRDefault="00D56754" w:rsidP="00C248F8">
      <w:pPr>
        <w:shd w:val="clear" w:color="auto" w:fill="FFFFFF"/>
        <w:spacing w:after="0" w:line="240" w:lineRule="auto"/>
        <w:jc w:val="both"/>
        <w:rPr>
          <w:rFonts w:ascii="Times New Roman" w:hAnsi="Times New Roman"/>
          <w:sz w:val="20"/>
          <w:szCs w:val="20"/>
        </w:rPr>
      </w:pPr>
      <w:hyperlink r:id="rId52" w:history="1">
        <w:r w:rsidR="006C77F9" w:rsidRPr="00F12E8B">
          <w:rPr>
            <w:rStyle w:val="-"/>
            <w:rFonts w:ascii="Times New Roman" w:hAnsi="Times New Roman"/>
            <w:caps/>
            <w:color w:val="auto"/>
            <w:sz w:val="20"/>
            <w:szCs w:val="20"/>
            <w:u w:val="none"/>
            <w:shd w:val="clear" w:color="auto" w:fill="FFFFFF"/>
          </w:rPr>
          <w:t>H</w:t>
        </w:r>
        <w:r w:rsidR="006C77F9" w:rsidRPr="00F12E8B">
          <w:rPr>
            <w:rStyle w:val="-"/>
            <w:rFonts w:ascii="Times New Roman" w:hAnsi="Times New Roman"/>
            <w:color w:val="auto"/>
            <w:sz w:val="20"/>
            <w:szCs w:val="20"/>
            <w:u w:val="none"/>
            <w:shd w:val="clear" w:color="auto" w:fill="FFFFFF"/>
          </w:rPr>
          <w:t>ayes</w:t>
        </w:r>
      </w:hyperlink>
      <w:r w:rsidR="006C77F9" w:rsidRPr="00F12E8B">
        <w:rPr>
          <w:rFonts w:ascii="Times New Roman" w:hAnsi="Times New Roman"/>
          <w:sz w:val="20"/>
          <w:szCs w:val="20"/>
        </w:rPr>
        <w:t xml:space="preserve"> A., (2023). "</w:t>
      </w:r>
      <w:r w:rsidR="006C77F9" w:rsidRPr="00F12E8B">
        <w:rPr>
          <w:rFonts w:ascii="Times New Roman" w:eastAsia="Times New Roman" w:hAnsi="Times New Roman"/>
          <w:bCs/>
          <w:sz w:val="20"/>
          <w:szCs w:val="20"/>
          <w:lang w:eastAsia="el-GR"/>
        </w:rPr>
        <w:t xml:space="preserve">What Are Mergers and Acquisitions (M&amp;A)?" </w:t>
      </w:r>
      <w:r w:rsidR="00306A0F" w:rsidRPr="00F12E8B">
        <w:rPr>
          <w:rFonts w:ascii="Times New Roman" w:eastAsia="Times New Roman" w:hAnsi="Times New Roman"/>
          <w:bCs/>
          <w:sz w:val="20"/>
          <w:szCs w:val="20"/>
          <w:lang w:eastAsia="el-GR"/>
        </w:rPr>
        <w:t xml:space="preserve">from </w:t>
      </w:r>
      <w:r w:rsidR="00306A0F" w:rsidRPr="00F12E8B">
        <w:rPr>
          <w:rFonts w:ascii="Times New Roman" w:eastAsia="Times New Roman" w:hAnsi="Times New Roman"/>
          <w:bCs/>
          <w:sz w:val="20"/>
          <w:szCs w:val="20"/>
          <w:lang w:eastAsia="el-GR"/>
        </w:rPr>
        <w:tab/>
      </w:r>
      <w:r w:rsidR="006C77F9" w:rsidRPr="00F12E8B">
        <w:rPr>
          <w:rFonts w:ascii="Times New Roman" w:hAnsi="Times New Roman"/>
          <w:sz w:val="20"/>
          <w:szCs w:val="20"/>
        </w:rPr>
        <w:t>https://www.investopedia.com/terms/m/mergersandacquisitions.asp</w:t>
      </w:r>
    </w:p>
    <w:p w:rsidR="001D062F" w:rsidRPr="00F12E8B" w:rsidRDefault="001D062F" w:rsidP="00C248F8">
      <w:pPr>
        <w:spacing w:after="0" w:line="240" w:lineRule="auto"/>
        <w:jc w:val="both"/>
        <w:rPr>
          <w:rFonts w:ascii="Times New Roman" w:hAnsi="Times New Roman"/>
          <w:sz w:val="20"/>
          <w:szCs w:val="20"/>
        </w:rPr>
      </w:pPr>
      <w:r w:rsidRPr="00F12E8B">
        <w:rPr>
          <w:rFonts w:ascii="Times New Roman" w:hAnsi="Times New Roman"/>
          <w:sz w:val="20"/>
          <w:szCs w:val="20"/>
        </w:rPr>
        <w:lastRenderedPageBreak/>
        <w:t xml:space="preserve">Hesse H., and Cihak M. (2006): "Cooperative Banks and Financial Stability". </w:t>
      </w:r>
      <w:r w:rsidR="006C77F9" w:rsidRPr="00F12E8B">
        <w:rPr>
          <w:rFonts w:ascii="Times New Roman" w:hAnsi="Times New Roman"/>
          <w:sz w:val="20"/>
          <w:szCs w:val="20"/>
        </w:rPr>
        <w:t>Working Paper</w:t>
      </w:r>
      <w:r w:rsidR="0059789D" w:rsidRPr="00F12E8B">
        <w:rPr>
          <w:rFonts w:ascii="Times New Roman" w:hAnsi="Times New Roman"/>
          <w:sz w:val="20"/>
          <w:szCs w:val="20"/>
        </w:rPr>
        <w:t xml:space="preserve"> </w:t>
      </w:r>
      <w:r w:rsidR="0059789D" w:rsidRPr="00F12E8B">
        <w:rPr>
          <w:rFonts w:ascii="Times New Roman" w:hAnsi="Times New Roman"/>
          <w:sz w:val="20"/>
          <w:szCs w:val="20"/>
        </w:rPr>
        <w:tab/>
        <w:t xml:space="preserve">WP/07/2 from International Monetary Fund </w:t>
      </w:r>
    </w:p>
    <w:p w:rsidR="005F258F" w:rsidRPr="00F12E8B" w:rsidRDefault="005F258F" w:rsidP="00C248F8">
      <w:pPr>
        <w:spacing w:after="0" w:line="240" w:lineRule="auto"/>
        <w:jc w:val="both"/>
        <w:rPr>
          <w:rFonts w:ascii="Times New Roman" w:hAnsi="Times New Roman"/>
          <w:sz w:val="20"/>
          <w:szCs w:val="20"/>
        </w:rPr>
      </w:pPr>
      <w:r w:rsidRPr="00F12E8B">
        <w:rPr>
          <w:rFonts w:ascii="Times New Roman" w:hAnsi="Times New Roman"/>
          <w:sz w:val="20"/>
          <w:szCs w:val="20"/>
        </w:rPr>
        <w:t>Hayati, K. ea al, (2021). Effect of Debt Level, Operating Cash Flows, Sales Vol</w:t>
      </w:r>
      <w:r w:rsidR="00306A0F" w:rsidRPr="00F12E8B">
        <w:rPr>
          <w:rFonts w:ascii="Times New Roman" w:hAnsi="Times New Roman"/>
          <w:sz w:val="20"/>
          <w:szCs w:val="20"/>
        </w:rPr>
        <w:t>a</w:t>
      </w:r>
      <w:r w:rsidRPr="00F12E8B">
        <w:rPr>
          <w:rFonts w:ascii="Times New Roman" w:hAnsi="Times New Roman"/>
          <w:sz w:val="20"/>
          <w:szCs w:val="20"/>
        </w:rPr>
        <w:t>t</w:t>
      </w:r>
      <w:r w:rsidR="00306A0F" w:rsidRPr="00F12E8B">
        <w:rPr>
          <w:rFonts w:ascii="Times New Roman" w:hAnsi="Times New Roman"/>
          <w:sz w:val="20"/>
          <w:szCs w:val="20"/>
        </w:rPr>
        <w:t>i</w:t>
      </w:r>
      <w:r w:rsidRPr="00F12E8B">
        <w:rPr>
          <w:rFonts w:ascii="Times New Roman" w:hAnsi="Times New Roman"/>
          <w:sz w:val="20"/>
          <w:szCs w:val="20"/>
        </w:rPr>
        <w:t xml:space="preserve">lity and </w:t>
      </w:r>
      <w:r w:rsidRPr="00F12E8B">
        <w:rPr>
          <w:rFonts w:ascii="Times New Roman" w:hAnsi="Times New Roman"/>
          <w:sz w:val="20"/>
          <w:szCs w:val="20"/>
        </w:rPr>
        <w:tab/>
        <w:t xml:space="preserve">Managerial </w:t>
      </w:r>
      <w:r w:rsidR="00306A0F" w:rsidRPr="00F12E8B">
        <w:rPr>
          <w:rFonts w:ascii="Times New Roman" w:hAnsi="Times New Roman"/>
          <w:sz w:val="20"/>
          <w:szCs w:val="20"/>
        </w:rPr>
        <w:t>Ownership</w:t>
      </w:r>
      <w:r w:rsidRPr="00F12E8B">
        <w:rPr>
          <w:rFonts w:ascii="Times New Roman" w:hAnsi="Times New Roman"/>
          <w:sz w:val="20"/>
          <w:szCs w:val="20"/>
        </w:rPr>
        <w:t xml:space="preserve"> on Earnings Persistence. </w:t>
      </w:r>
      <w:r w:rsidRPr="00F12E8B">
        <w:rPr>
          <w:rFonts w:ascii="Times New Roman" w:hAnsi="Times New Roman"/>
          <w:iCs/>
          <w:sz w:val="20"/>
          <w:szCs w:val="20"/>
        </w:rPr>
        <w:t xml:space="preserve">International Journal of Research and </w:t>
      </w:r>
      <w:r w:rsidR="00F12E8B">
        <w:rPr>
          <w:rFonts w:ascii="Times New Roman" w:hAnsi="Times New Roman"/>
          <w:iCs/>
          <w:sz w:val="20"/>
          <w:szCs w:val="20"/>
        </w:rPr>
        <w:tab/>
      </w:r>
      <w:r w:rsidRPr="00F12E8B">
        <w:rPr>
          <w:rFonts w:ascii="Times New Roman" w:hAnsi="Times New Roman"/>
          <w:iCs/>
          <w:sz w:val="20"/>
          <w:szCs w:val="20"/>
        </w:rPr>
        <w:t>Review</w:t>
      </w:r>
      <w:r w:rsidRPr="00F12E8B">
        <w:rPr>
          <w:rFonts w:ascii="Times New Roman" w:hAnsi="Times New Roman"/>
          <w:sz w:val="20"/>
          <w:szCs w:val="20"/>
        </w:rPr>
        <w:t>, 8(8), 392-397.</w:t>
      </w:r>
    </w:p>
    <w:p w:rsidR="005F258F" w:rsidRPr="00F12E8B" w:rsidRDefault="005F258F" w:rsidP="00C248F8">
      <w:pPr>
        <w:spacing w:after="0" w:line="240" w:lineRule="auto"/>
        <w:jc w:val="both"/>
        <w:rPr>
          <w:rFonts w:ascii="Times New Roman" w:hAnsi="Times New Roman"/>
          <w:sz w:val="20"/>
          <w:szCs w:val="20"/>
        </w:rPr>
      </w:pPr>
      <w:r w:rsidRPr="00F12E8B">
        <w:rPr>
          <w:rFonts w:ascii="Times New Roman" w:hAnsi="Times New Roman"/>
          <w:sz w:val="20"/>
          <w:szCs w:val="20"/>
        </w:rPr>
        <w:t xml:space="preserve">Hutauruk, M. R. (2022). </w:t>
      </w:r>
      <w:r w:rsidR="00306A0F" w:rsidRPr="00F12E8B">
        <w:rPr>
          <w:rFonts w:ascii="Times New Roman" w:hAnsi="Times New Roman"/>
          <w:sz w:val="20"/>
          <w:szCs w:val="20"/>
        </w:rPr>
        <w:t>"</w:t>
      </w:r>
      <w:r w:rsidRPr="00F12E8B">
        <w:rPr>
          <w:rFonts w:ascii="Times New Roman" w:hAnsi="Times New Roman"/>
          <w:sz w:val="20"/>
          <w:szCs w:val="20"/>
        </w:rPr>
        <w:t xml:space="preserve">The </w:t>
      </w:r>
      <w:r w:rsidR="00306A0F" w:rsidRPr="00F12E8B">
        <w:rPr>
          <w:rFonts w:ascii="Times New Roman" w:hAnsi="Times New Roman"/>
          <w:sz w:val="20"/>
          <w:szCs w:val="20"/>
        </w:rPr>
        <w:t>E</w:t>
      </w:r>
      <w:r w:rsidRPr="00F12E8B">
        <w:rPr>
          <w:rFonts w:ascii="Times New Roman" w:hAnsi="Times New Roman"/>
          <w:sz w:val="20"/>
          <w:szCs w:val="20"/>
        </w:rPr>
        <w:t xml:space="preserve">ffect of </w:t>
      </w:r>
      <w:r w:rsidR="00306A0F" w:rsidRPr="00F12E8B">
        <w:rPr>
          <w:rFonts w:ascii="Times New Roman" w:hAnsi="Times New Roman"/>
          <w:sz w:val="20"/>
          <w:szCs w:val="20"/>
        </w:rPr>
        <w:t>D</w:t>
      </w:r>
      <w:r w:rsidRPr="00F12E8B">
        <w:rPr>
          <w:rFonts w:ascii="Times New Roman" w:hAnsi="Times New Roman"/>
          <w:sz w:val="20"/>
          <w:szCs w:val="20"/>
        </w:rPr>
        <w:t xml:space="preserve">ifference in </w:t>
      </w:r>
      <w:r w:rsidR="00306A0F" w:rsidRPr="00F12E8B">
        <w:rPr>
          <w:rFonts w:ascii="Times New Roman" w:hAnsi="Times New Roman"/>
          <w:sz w:val="20"/>
          <w:szCs w:val="20"/>
        </w:rPr>
        <w:t>A</w:t>
      </w:r>
      <w:r w:rsidRPr="00F12E8B">
        <w:rPr>
          <w:rFonts w:ascii="Times New Roman" w:hAnsi="Times New Roman"/>
          <w:sz w:val="20"/>
          <w:szCs w:val="20"/>
        </w:rPr>
        <w:t xml:space="preserve">ccounting and </w:t>
      </w:r>
      <w:r w:rsidR="00306A0F" w:rsidRPr="00F12E8B">
        <w:rPr>
          <w:rFonts w:ascii="Times New Roman" w:hAnsi="Times New Roman"/>
          <w:sz w:val="20"/>
          <w:szCs w:val="20"/>
        </w:rPr>
        <w:t>F</w:t>
      </w:r>
      <w:r w:rsidRPr="00F12E8B">
        <w:rPr>
          <w:rFonts w:ascii="Times New Roman" w:hAnsi="Times New Roman"/>
          <w:sz w:val="20"/>
          <w:szCs w:val="20"/>
        </w:rPr>
        <w:t xml:space="preserve">iscal </w:t>
      </w:r>
      <w:r w:rsidR="00306A0F" w:rsidRPr="00F12E8B">
        <w:rPr>
          <w:rFonts w:ascii="Times New Roman" w:hAnsi="Times New Roman"/>
          <w:sz w:val="20"/>
          <w:szCs w:val="20"/>
        </w:rPr>
        <w:t>P</w:t>
      </w:r>
      <w:r w:rsidRPr="00F12E8B">
        <w:rPr>
          <w:rFonts w:ascii="Times New Roman" w:hAnsi="Times New Roman"/>
          <w:sz w:val="20"/>
          <w:szCs w:val="20"/>
        </w:rPr>
        <w:t xml:space="preserve">rofit, </w:t>
      </w:r>
      <w:r w:rsidR="00306A0F" w:rsidRPr="00F12E8B">
        <w:rPr>
          <w:rFonts w:ascii="Times New Roman" w:hAnsi="Times New Roman"/>
          <w:sz w:val="20"/>
          <w:szCs w:val="20"/>
        </w:rPr>
        <w:t>O</w:t>
      </w:r>
      <w:r w:rsidRPr="00F12E8B">
        <w:rPr>
          <w:rFonts w:ascii="Times New Roman" w:hAnsi="Times New Roman"/>
          <w:sz w:val="20"/>
          <w:szCs w:val="20"/>
        </w:rPr>
        <w:t xml:space="preserve">perating </w:t>
      </w:r>
      <w:r w:rsidR="00306A0F" w:rsidRPr="00F12E8B">
        <w:rPr>
          <w:rFonts w:ascii="Times New Roman" w:hAnsi="Times New Roman"/>
          <w:sz w:val="20"/>
          <w:szCs w:val="20"/>
        </w:rPr>
        <w:tab/>
        <w:t>C</w:t>
      </w:r>
      <w:r w:rsidRPr="00F12E8B">
        <w:rPr>
          <w:rFonts w:ascii="Times New Roman" w:hAnsi="Times New Roman"/>
          <w:sz w:val="20"/>
          <w:szCs w:val="20"/>
        </w:rPr>
        <w:t xml:space="preserve">ash </w:t>
      </w:r>
      <w:r w:rsidR="00306A0F" w:rsidRPr="00F12E8B">
        <w:rPr>
          <w:rFonts w:ascii="Times New Roman" w:hAnsi="Times New Roman"/>
          <w:sz w:val="20"/>
          <w:szCs w:val="20"/>
        </w:rPr>
        <w:t>F</w:t>
      </w:r>
      <w:r w:rsidRPr="00F12E8B">
        <w:rPr>
          <w:rFonts w:ascii="Times New Roman" w:hAnsi="Times New Roman"/>
          <w:sz w:val="20"/>
          <w:szCs w:val="20"/>
        </w:rPr>
        <w:t xml:space="preserve">low and </w:t>
      </w:r>
      <w:r w:rsidR="00306A0F" w:rsidRPr="00F12E8B">
        <w:rPr>
          <w:rFonts w:ascii="Times New Roman" w:hAnsi="Times New Roman"/>
          <w:sz w:val="20"/>
          <w:szCs w:val="20"/>
        </w:rPr>
        <w:t>L</w:t>
      </w:r>
      <w:r w:rsidRPr="00F12E8B">
        <w:rPr>
          <w:rFonts w:ascii="Times New Roman" w:hAnsi="Times New Roman"/>
          <w:sz w:val="20"/>
          <w:szCs w:val="20"/>
        </w:rPr>
        <w:t>iabilities</w:t>
      </w:r>
      <w:r w:rsidR="00306A0F" w:rsidRPr="00F12E8B">
        <w:rPr>
          <w:rFonts w:ascii="Times New Roman" w:hAnsi="Times New Roman"/>
          <w:sz w:val="20"/>
          <w:szCs w:val="20"/>
        </w:rPr>
        <w:t>"</w:t>
      </w:r>
      <w:r w:rsidR="00C51BA0" w:rsidRPr="00F12E8B">
        <w:rPr>
          <w:rFonts w:ascii="Times New Roman" w:hAnsi="Times New Roman"/>
          <w:sz w:val="20"/>
          <w:szCs w:val="20"/>
        </w:rPr>
        <w:t xml:space="preserve">. World Journal of Advanced Research and Reviews, 2022, </w:t>
      </w:r>
      <w:r w:rsidR="00C51BA0" w:rsidRPr="00F12E8B">
        <w:rPr>
          <w:rFonts w:ascii="Times New Roman" w:hAnsi="Times New Roman"/>
          <w:sz w:val="20"/>
          <w:szCs w:val="20"/>
        </w:rPr>
        <w:tab/>
        <w:t>15(03), pp 182–191</w:t>
      </w:r>
    </w:p>
    <w:p w:rsidR="001D062F" w:rsidRPr="00F12E8B" w:rsidRDefault="001D062F" w:rsidP="00C248F8">
      <w:pPr>
        <w:spacing w:after="0" w:line="240" w:lineRule="auto"/>
        <w:jc w:val="both"/>
        <w:rPr>
          <w:rFonts w:ascii="Times New Roman" w:hAnsi="Times New Roman"/>
          <w:sz w:val="20"/>
          <w:szCs w:val="20"/>
        </w:rPr>
      </w:pPr>
      <w:r w:rsidRPr="00F12E8B">
        <w:rPr>
          <w:rFonts w:ascii="Times New Roman" w:hAnsi="Times New Roman"/>
          <w:sz w:val="20"/>
          <w:szCs w:val="20"/>
        </w:rPr>
        <w:t xml:space="preserve">Hyunmi Ji (2017)." The Effect of Cash based Interest Coverage Ratio on the Value Relevance of </w:t>
      </w:r>
      <w:r w:rsidR="00F12E8B">
        <w:rPr>
          <w:rFonts w:ascii="Times New Roman" w:hAnsi="Times New Roman"/>
          <w:sz w:val="20"/>
          <w:szCs w:val="20"/>
        </w:rPr>
        <w:tab/>
      </w:r>
      <w:r w:rsidRPr="00F12E8B">
        <w:rPr>
          <w:rFonts w:ascii="Times New Roman" w:hAnsi="Times New Roman"/>
          <w:sz w:val="20"/>
          <w:szCs w:val="20"/>
        </w:rPr>
        <w:t>Accounting Information" Global Business &amp; Finance Review, Volume. 22 Issue 4 pp 92-100.</w:t>
      </w:r>
    </w:p>
    <w:p w:rsidR="00463FEC" w:rsidRPr="00F12E8B" w:rsidRDefault="00960BF8" w:rsidP="00C248F8">
      <w:pPr>
        <w:pStyle w:val="2"/>
        <w:shd w:val="clear" w:color="auto" w:fill="FFFFFF"/>
        <w:spacing w:before="0" w:beforeAutospacing="0" w:after="0" w:afterAutospacing="0"/>
        <w:jc w:val="both"/>
        <w:rPr>
          <w:b w:val="0"/>
          <w:sz w:val="20"/>
          <w:szCs w:val="20"/>
          <w:lang w:val="en-US"/>
        </w:rPr>
      </w:pPr>
      <w:r w:rsidRPr="00F12E8B">
        <w:rPr>
          <w:b w:val="0"/>
          <w:sz w:val="20"/>
          <w:szCs w:val="20"/>
          <w:lang w:val="en-US"/>
        </w:rPr>
        <w:t xml:space="preserve">Jeet Singh, Preeti Yadav (2017). "Return On Capital Employed of Banking Companies Included in </w:t>
      </w:r>
      <w:r w:rsidR="00F12E8B">
        <w:rPr>
          <w:b w:val="0"/>
          <w:sz w:val="20"/>
          <w:szCs w:val="20"/>
          <w:lang w:val="en-US"/>
        </w:rPr>
        <w:tab/>
      </w:r>
      <w:r w:rsidRPr="00F12E8B">
        <w:rPr>
          <w:b w:val="0"/>
          <w:sz w:val="20"/>
          <w:szCs w:val="20"/>
          <w:lang w:val="en-US"/>
        </w:rPr>
        <w:t xml:space="preserve">nifty: a study" Inspira-Journal of Commerce, Economics &amp; Computer Science (JCECS). </w:t>
      </w:r>
      <w:r w:rsidR="00F12E8B">
        <w:rPr>
          <w:b w:val="0"/>
          <w:sz w:val="20"/>
          <w:szCs w:val="20"/>
          <w:lang w:val="en-US"/>
        </w:rPr>
        <w:tab/>
      </w:r>
      <w:r w:rsidRPr="00F12E8B">
        <w:rPr>
          <w:b w:val="0"/>
          <w:sz w:val="20"/>
          <w:szCs w:val="20"/>
          <w:lang w:val="en-US"/>
        </w:rPr>
        <w:t>Volume 03, No. 03, pp. 279-284.</w:t>
      </w:r>
    </w:p>
    <w:p w:rsidR="00474DFA" w:rsidRPr="00F12E8B" w:rsidRDefault="007A6657" w:rsidP="00C248F8">
      <w:pPr>
        <w:spacing w:after="0" w:line="240" w:lineRule="auto"/>
        <w:jc w:val="both"/>
        <w:rPr>
          <w:rFonts w:ascii="Times New Roman" w:hAnsi="Times New Roman"/>
          <w:sz w:val="20"/>
          <w:szCs w:val="20"/>
        </w:rPr>
      </w:pPr>
      <w:r w:rsidRPr="00F12E8B">
        <w:rPr>
          <w:rFonts w:ascii="Times New Roman" w:hAnsi="Times New Roman"/>
          <w:sz w:val="20"/>
          <w:szCs w:val="20"/>
        </w:rPr>
        <w:t>Kyriazis D. (2016)</w:t>
      </w:r>
      <w:r w:rsidR="00516499" w:rsidRPr="00F12E8B">
        <w:rPr>
          <w:rFonts w:ascii="Times New Roman" w:hAnsi="Times New Roman"/>
          <w:sz w:val="20"/>
          <w:szCs w:val="20"/>
        </w:rPr>
        <w:t>.</w:t>
      </w:r>
      <w:r w:rsidRPr="00F12E8B">
        <w:rPr>
          <w:rFonts w:ascii="Times New Roman" w:hAnsi="Times New Roman"/>
          <w:sz w:val="20"/>
          <w:szCs w:val="20"/>
        </w:rPr>
        <w:t xml:space="preserve"> </w:t>
      </w:r>
      <w:r w:rsidR="00516499" w:rsidRPr="00F12E8B">
        <w:rPr>
          <w:rFonts w:ascii="Times New Roman" w:hAnsi="Times New Roman"/>
          <w:sz w:val="20"/>
          <w:szCs w:val="20"/>
        </w:rPr>
        <w:t>"</w:t>
      </w:r>
      <w:r w:rsidR="00474DFA" w:rsidRPr="00F12E8B">
        <w:rPr>
          <w:rFonts w:ascii="Times New Roman" w:hAnsi="Times New Roman"/>
          <w:sz w:val="20"/>
          <w:szCs w:val="20"/>
        </w:rPr>
        <w:t xml:space="preserve">Mergers and Acquisitions" Book published by Diplografia Publications </w:t>
      </w:r>
      <w:r w:rsidR="0059789D" w:rsidRPr="00F12E8B">
        <w:rPr>
          <w:rFonts w:ascii="Times New Roman" w:hAnsi="Times New Roman"/>
          <w:sz w:val="20"/>
          <w:szCs w:val="20"/>
        </w:rPr>
        <w:tab/>
      </w:r>
      <w:r w:rsidR="00474DFA" w:rsidRPr="00F12E8B">
        <w:rPr>
          <w:rFonts w:ascii="Times New Roman" w:hAnsi="Times New Roman"/>
          <w:sz w:val="20"/>
          <w:szCs w:val="20"/>
        </w:rPr>
        <w:t xml:space="preserve">Athens, Greece. </w:t>
      </w:r>
    </w:p>
    <w:p w:rsidR="00543D04" w:rsidRPr="00F12E8B" w:rsidRDefault="00543D04" w:rsidP="00C248F8">
      <w:pPr>
        <w:spacing w:after="0" w:line="240" w:lineRule="auto"/>
        <w:jc w:val="both"/>
        <w:rPr>
          <w:rFonts w:ascii="Times New Roman" w:hAnsi="Times New Roman"/>
          <w:sz w:val="20"/>
          <w:szCs w:val="20"/>
        </w:rPr>
      </w:pPr>
      <w:r w:rsidRPr="00F12E8B">
        <w:rPr>
          <w:rFonts w:ascii="Times New Roman" w:hAnsi="Times New Roman"/>
          <w:sz w:val="20"/>
          <w:szCs w:val="20"/>
        </w:rPr>
        <w:t>Lapteacru Ion (2016). "On the consistency of the Z-score to measure the bank risk".</w:t>
      </w:r>
      <w:r w:rsidR="00DE4930" w:rsidRPr="00F12E8B">
        <w:rPr>
          <w:rFonts w:ascii="Times New Roman" w:hAnsi="Times New Roman"/>
          <w:sz w:val="20"/>
          <w:szCs w:val="20"/>
        </w:rPr>
        <w:t xml:space="preserve"> – Laboratoire </w:t>
      </w:r>
      <w:r w:rsidR="00F12E8B">
        <w:rPr>
          <w:rFonts w:ascii="Times New Roman" w:hAnsi="Times New Roman"/>
          <w:sz w:val="20"/>
          <w:szCs w:val="20"/>
        </w:rPr>
        <w:tab/>
      </w:r>
      <w:r w:rsidR="00DE4930" w:rsidRPr="00F12E8B">
        <w:rPr>
          <w:rFonts w:ascii="Times New Roman" w:hAnsi="Times New Roman"/>
          <w:sz w:val="20"/>
          <w:szCs w:val="20"/>
        </w:rPr>
        <w:t xml:space="preserve">D’analyse et de Recherche en Economie et Finances Internationales (LAREFI) Working Paper </w:t>
      </w:r>
      <w:r w:rsidR="00F12E8B">
        <w:rPr>
          <w:rFonts w:ascii="Times New Roman" w:hAnsi="Times New Roman"/>
          <w:sz w:val="20"/>
          <w:szCs w:val="20"/>
        </w:rPr>
        <w:tab/>
      </w:r>
      <w:r w:rsidR="00DE4930" w:rsidRPr="00F12E8B">
        <w:rPr>
          <w:rFonts w:ascii="Times New Roman" w:hAnsi="Times New Roman"/>
          <w:sz w:val="20"/>
          <w:szCs w:val="20"/>
        </w:rPr>
        <w:t>N 2016-05. Université de Bordeaux</w:t>
      </w:r>
    </w:p>
    <w:p w:rsidR="00543D04" w:rsidRPr="00F12E8B" w:rsidRDefault="003D5CF3" w:rsidP="00C248F8">
      <w:pPr>
        <w:spacing w:after="0" w:line="240" w:lineRule="auto"/>
        <w:jc w:val="both"/>
        <w:rPr>
          <w:rFonts w:ascii="Times New Roman" w:hAnsi="Times New Roman"/>
          <w:sz w:val="20"/>
          <w:szCs w:val="20"/>
        </w:rPr>
      </w:pPr>
      <w:r w:rsidRPr="00F12E8B">
        <w:rPr>
          <w:rFonts w:ascii="Times New Roman" w:hAnsi="Times New Roman"/>
          <w:sz w:val="20"/>
          <w:szCs w:val="20"/>
        </w:rPr>
        <w:t xml:space="preserve">Lufriansyah (2019). "Ratio of Cash Flow as A Measure in Assessing the Financial Performance of </w:t>
      </w:r>
      <w:r w:rsidR="00F12E8B">
        <w:rPr>
          <w:rFonts w:ascii="Times New Roman" w:hAnsi="Times New Roman"/>
          <w:sz w:val="20"/>
          <w:szCs w:val="20"/>
        </w:rPr>
        <w:tab/>
      </w:r>
      <w:r w:rsidRPr="00F12E8B">
        <w:rPr>
          <w:rFonts w:ascii="Times New Roman" w:hAnsi="Times New Roman"/>
          <w:sz w:val="20"/>
          <w:szCs w:val="20"/>
        </w:rPr>
        <w:t xml:space="preserve">Cigarette Company". Proceeding of The 3 rd International Conference on Accounting, </w:t>
      </w:r>
      <w:r w:rsidR="00F12E8B">
        <w:rPr>
          <w:rFonts w:ascii="Times New Roman" w:hAnsi="Times New Roman"/>
          <w:sz w:val="20"/>
          <w:szCs w:val="20"/>
        </w:rPr>
        <w:tab/>
      </w:r>
      <w:r w:rsidRPr="00F12E8B">
        <w:rPr>
          <w:rFonts w:ascii="Times New Roman" w:hAnsi="Times New Roman"/>
          <w:sz w:val="20"/>
          <w:szCs w:val="20"/>
        </w:rPr>
        <w:t>Business &amp; Economics (UII-ICABE 2019).</w:t>
      </w:r>
    </w:p>
    <w:p w:rsidR="007F12E7" w:rsidRPr="00F12E8B" w:rsidRDefault="007F12E7" w:rsidP="00C248F8">
      <w:pPr>
        <w:spacing w:after="0" w:line="240" w:lineRule="auto"/>
        <w:jc w:val="both"/>
        <w:rPr>
          <w:rFonts w:ascii="Times New Roman" w:hAnsi="Times New Roman"/>
          <w:sz w:val="20"/>
          <w:szCs w:val="20"/>
        </w:rPr>
      </w:pPr>
      <w:r w:rsidRPr="00F12E8B">
        <w:rPr>
          <w:rFonts w:ascii="Times New Roman" w:hAnsi="Times New Roman"/>
          <w:sz w:val="20"/>
          <w:szCs w:val="20"/>
        </w:rPr>
        <w:t>Macve, R. (</w:t>
      </w:r>
      <w:r w:rsidR="00474DFA" w:rsidRPr="00F12E8B">
        <w:rPr>
          <w:rFonts w:ascii="Times New Roman" w:hAnsi="Times New Roman"/>
          <w:sz w:val="20"/>
          <w:szCs w:val="20"/>
        </w:rPr>
        <w:t>2000</w:t>
      </w:r>
      <w:r w:rsidRPr="00F12E8B">
        <w:rPr>
          <w:rFonts w:ascii="Times New Roman" w:hAnsi="Times New Roman"/>
          <w:sz w:val="20"/>
          <w:szCs w:val="20"/>
        </w:rPr>
        <w:t xml:space="preserve">). </w:t>
      </w:r>
      <w:r w:rsidR="001D062F" w:rsidRPr="00F12E8B">
        <w:rPr>
          <w:rFonts w:ascii="Times New Roman" w:hAnsi="Times New Roman"/>
          <w:sz w:val="20"/>
          <w:szCs w:val="20"/>
        </w:rPr>
        <w:t>"</w:t>
      </w:r>
      <w:r w:rsidRPr="00F12E8B">
        <w:rPr>
          <w:rFonts w:ascii="Times New Roman" w:hAnsi="Times New Roman"/>
          <w:sz w:val="20"/>
          <w:szCs w:val="20"/>
        </w:rPr>
        <w:t xml:space="preserve">Accounting for </w:t>
      </w:r>
      <w:r w:rsidR="001D062F" w:rsidRPr="00F12E8B">
        <w:rPr>
          <w:rFonts w:ascii="Times New Roman" w:hAnsi="Times New Roman"/>
          <w:sz w:val="20"/>
          <w:szCs w:val="20"/>
        </w:rPr>
        <w:t>E</w:t>
      </w:r>
      <w:r w:rsidRPr="00F12E8B">
        <w:rPr>
          <w:rFonts w:ascii="Times New Roman" w:hAnsi="Times New Roman"/>
          <w:sz w:val="20"/>
          <w:szCs w:val="20"/>
        </w:rPr>
        <w:t xml:space="preserve">nvironmental </w:t>
      </w:r>
      <w:r w:rsidR="001D062F" w:rsidRPr="00F12E8B">
        <w:rPr>
          <w:rFonts w:ascii="Times New Roman" w:hAnsi="Times New Roman"/>
          <w:sz w:val="20"/>
          <w:szCs w:val="20"/>
        </w:rPr>
        <w:t>C</w:t>
      </w:r>
      <w:r w:rsidRPr="00F12E8B">
        <w:rPr>
          <w:rFonts w:ascii="Times New Roman" w:hAnsi="Times New Roman"/>
          <w:sz w:val="20"/>
          <w:szCs w:val="20"/>
        </w:rPr>
        <w:t>ost</w:t>
      </w:r>
      <w:r w:rsidR="001D062F" w:rsidRPr="00F12E8B">
        <w:rPr>
          <w:rFonts w:ascii="Times New Roman" w:hAnsi="Times New Roman"/>
          <w:sz w:val="20"/>
          <w:szCs w:val="20"/>
        </w:rPr>
        <w:t>"</w:t>
      </w:r>
      <w:r w:rsidRPr="00F12E8B">
        <w:rPr>
          <w:rFonts w:ascii="Times New Roman" w:hAnsi="Times New Roman"/>
          <w:sz w:val="20"/>
          <w:szCs w:val="20"/>
        </w:rPr>
        <w:t xml:space="preserve">. </w:t>
      </w:r>
      <w:r w:rsidR="00474DFA" w:rsidRPr="00F12E8B">
        <w:rPr>
          <w:rFonts w:ascii="Times New Roman" w:hAnsi="Times New Roman"/>
          <w:sz w:val="20"/>
          <w:szCs w:val="20"/>
        </w:rPr>
        <w:t xml:space="preserve">Working Papers in Accounting and </w:t>
      </w:r>
      <w:r w:rsidR="00474DFA" w:rsidRPr="00F12E8B">
        <w:rPr>
          <w:rFonts w:ascii="Times New Roman" w:hAnsi="Times New Roman"/>
          <w:sz w:val="20"/>
          <w:szCs w:val="20"/>
        </w:rPr>
        <w:tab/>
        <w:t>Finance</w:t>
      </w:r>
      <w:r w:rsidRPr="00F12E8B">
        <w:rPr>
          <w:rFonts w:ascii="Times New Roman" w:hAnsi="Times New Roman"/>
          <w:sz w:val="20"/>
          <w:szCs w:val="20"/>
        </w:rPr>
        <w:t>.</w:t>
      </w:r>
      <w:r w:rsidR="00474DFA" w:rsidRPr="00F12E8B">
        <w:rPr>
          <w:rFonts w:ascii="Times New Roman" w:hAnsi="Times New Roman"/>
          <w:sz w:val="20"/>
          <w:szCs w:val="20"/>
        </w:rPr>
        <w:t xml:space="preserve"> The London School of Economics and Political Science, Department of </w:t>
      </w:r>
      <w:r w:rsidR="00474DFA" w:rsidRPr="00F12E8B">
        <w:rPr>
          <w:rFonts w:ascii="Times New Roman" w:hAnsi="Times New Roman"/>
          <w:sz w:val="20"/>
          <w:szCs w:val="20"/>
        </w:rPr>
        <w:tab/>
        <w:t xml:space="preserve">Accounting and Finance </w:t>
      </w:r>
    </w:p>
    <w:p w:rsidR="00A3516A" w:rsidRPr="00F12E8B" w:rsidRDefault="00A3516A" w:rsidP="00C248F8">
      <w:pPr>
        <w:spacing w:after="0" w:line="240" w:lineRule="auto"/>
        <w:jc w:val="both"/>
        <w:rPr>
          <w:rFonts w:ascii="Times New Roman" w:hAnsi="Times New Roman"/>
          <w:sz w:val="20"/>
          <w:szCs w:val="20"/>
        </w:rPr>
      </w:pPr>
      <w:r w:rsidRPr="00F12E8B">
        <w:rPr>
          <w:rFonts w:ascii="Times New Roman" w:hAnsi="Times New Roman"/>
          <w:sz w:val="20"/>
          <w:szCs w:val="20"/>
        </w:rPr>
        <w:t>Moschos D., Hortareas G. (2011).</w:t>
      </w:r>
      <w:r w:rsidR="00516499" w:rsidRPr="00F12E8B">
        <w:rPr>
          <w:rFonts w:ascii="Times New Roman" w:hAnsi="Times New Roman"/>
          <w:sz w:val="20"/>
          <w:szCs w:val="20"/>
        </w:rPr>
        <w:t xml:space="preserve"> "</w:t>
      </w:r>
      <w:r w:rsidR="0059789D" w:rsidRPr="00F12E8B">
        <w:rPr>
          <w:rFonts w:ascii="Times New Roman" w:hAnsi="Times New Roman"/>
          <w:sz w:val="20"/>
          <w:szCs w:val="20"/>
        </w:rPr>
        <w:t xml:space="preserve"> Financial System and Economic Activity in the Chapter </w:t>
      </w:r>
      <w:r w:rsidR="0059789D" w:rsidRPr="00F12E8B">
        <w:rPr>
          <w:rFonts w:ascii="Times New Roman" w:hAnsi="Times New Roman"/>
          <w:sz w:val="20"/>
          <w:szCs w:val="20"/>
        </w:rPr>
        <w:tab/>
        <w:t xml:space="preserve">Entitled "The role of the financial sector in the course of economic development", </w:t>
      </w:r>
      <w:r w:rsidR="0059789D" w:rsidRPr="00F12E8B">
        <w:rPr>
          <w:rFonts w:ascii="Times New Roman" w:hAnsi="Times New Roman"/>
          <w:sz w:val="20"/>
          <w:szCs w:val="20"/>
        </w:rPr>
        <w:tab/>
        <w:t xml:space="preserve">Collective Volume on the subject: "The International Crisis, the Crisis in the Eurozone and the </w:t>
      </w:r>
      <w:r w:rsidR="00F12E8B">
        <w:rPr>
          <w:rFonts w:ascii="Times New Roman" w:hAnsi="Times New Roman"/>
          <w:sz w:val="20"/>
          <w:szCs w:val="20"/>
        </w:rPr>
        <w:tab/>
      </w:r>
      <w:r w:rsidR="0059789D" w:rsidRPr="00F12E8B">
        <w:rPr>
          <w:rFonts w:ascii="Times New Roman" w:hAnsi="Times New Roman"/>
          <w:sz w:val="20"/>
          <w:szCs w:val="20"/>
        </w:rPr>
        <w:t>Greek Financial System"" Association of Hellenic Banks, Athens, Greece.</w:t>
      </w:r>
    </w:p>
    <w:p w:rsidR="00A3516A" w:rsidRPr="00F12E8B" w:rsidRDefault="0059789D" w:rsidP="00C248F8">
      <w:pPr>
        <w:spacing w:after="0" w:line="240" w:lineRule="auto"/>
        <w:jc w:val="both"/>
        <w:rPr>
          <w:rFonts w:ascii="Times New Roman" w:hAnsi="Times New Roman"/>
          <w:sz w:val="20"/>
          <w:szCs w:val="20"/>
        </w:rPr>
      </w:pPr>
      <w:r w:rsidRPr="00F12E8B">
        <w:rPr>
          <w:rFonts w:ascii="Times New Roman" w:hAnsi="Times New Roman"/>
          <w:sz w:val="20"/>
          <w:szCs w:val="20"/>
        </w:rPr>
        <w:tab/>
      </w:r>
      <w:r w:rsidR="00A3516A" w:rsidRPr="00F12E8B">
        <w:rPr>
          <w:rFonts w:ascii="Times New Roman" w:hAnsi="Times New Roman"/>
          <w:sz w:val="20"/>
          <w:szCs w:val="20"/>
        </w:rPr>
        <w:t xml:space="preserve">Pagano M., </w:t>
      </w:r>
      <w:r w:rsidR="00516499" w:rsidRPr="00F12E8B">
        <w:rPr>
          <w:rFonts w:ascii="Times New Roman" w:hAnsi="Times New Roman"/>
          <w:sz w:val="20"/>
          <w:szCs w:val="20"/>
        </w:rPr>
        <w:t>(</w:t>
      </w:r>
      <w:r w:rsidR="00A3516A" w:rsidRPr="00F12E8B">
        <w:rPr>
          <w:rFonts w:ascii="Times New Roman" w:hAnsi="Times New Roman"/>
          <w:sz w:val="20"/>
          <w:szCs w:val="20"/>
        </w:rPr>
        <w:t>1993</w:t>
      </w:r>
      <w:r w:rsidR="00516499" w:rsidRPr="00F12E8B">
        <w:rPr>
          <w:rFonts w:ascii="Times New Roman" w:hAnsi="Times New Roman"/>
          <w:sz w:val="20"/>
          <w:szCs w:val="20"/>
        </w:rPr>
        <w:t>)</w:t>
      </w:r>
      <w:r w:rsidR="001D062F" w:rsidRPr="00F12E8B">
        <w:rPr>
          <w:rFonts w:ascii="Times New Roman" w:hAnsi="Times New Roman"/>
          <w:sz w:val="20"/>
          <w:szCs w:val="20"/>
        </w:rPr>
        <w:t>. "</w:t>
      </w:r>
    </w:p>
    <w:p w:rsidR="000972A4" w:rsidRPr="00F12E8B" w:rsidRDefault="000972A4" w:rsidP="000972A4">
      <w:pPr>
        <w:autoSpaceDE w:val="0"/>
        <w:autoSpaceDN w:val="0"/>
        <w:adjustRightInd w:val="0"/>
        <w:spacing w:after="0" w:line="240" w:lineRule="auto"/>
        <w:jc w:val="both"/>
        <w:rPr>
          <w:rFonts w:ascii="Times New Roman" w:hAnsi="Times New Roman"/>
          <w:sz w:val="20"/>
          <w:szCs w:val="20"/>
        </w:rPr>
      </w:pPr>
      <w:r w:rsidRPr="00F12E8B">
        <w:rPr>
          <w:rFonts w:ascii="Times New Roman" w:eastAsiaTheme="minorHAnsi" w:hAnsi="Times New Roman"/>
          <w:sz w:val="20"/>
          <w:szCs w:val="20"/>
        </w:rPr>
        <w:t xml:space="preserve">Nguyen V. C., Nguyen. N. T., (2019). "A Study on the Impact of the Factors Reflect Solvency to the </w:t>
      </w:r>
      <w:r w:rsidR="00F12E8B">
        <w:rPr>
          <w:rFonts w:ascii="Times New Roman" w:eastAsiaTheme="minorHAnsi" w:hAnsi="Times New Roman"/>
          <w:sz w:val="20"/>
          <w:szCs w:val="20"/>
        </w:rPr>
        <w:tab/>
      </w:r>
      <w:r w:rsidRPr="00F12E8B">
        <w:rPr>
          <w:rFonts w:ascii="Times New Roman" w:eastAsiaTheme="minorHAnsi" w:hAnsi="Times New Roman"/>
          <w:sz w:val="20"/>
          <w:szCs w:val="20"/>
        </w:rPr>
        <w:t>Bankruptcy Risk of Real Estate Companies: Evidence from Vietnam Stock Exchange".</w:t>
      </w:r>
      <w:r w:rsidRPr="00F12E8B">
        <w:rPr>
          <w:rFonts w:ascii="Times New Roman" w:eastAsiaTheme="minorHAnsi" w:hAnsi="Times New Roman"/>
          <w:iCs/>
          <w:sz w:val="20"/>
          <w:szCs w:val="20"/>
        </w:rPr>
        <w:t xml:space="preserve"> </w:t>
      </w:r>
      <w:r w:rsidR="00F12E8B">
        <w:rPr>
          <w:rFonts w:ascii="Times New Roman" w:eastAsiaTheme="minorHAnsi" w:hAnsi="Times New Roman"/>
          <w:iCs/>
          <w:sz w:val="20"/>
          <w:szCs w:val="20"/>
        </w:rPr>
        <w:tab/>
      </w:r>
      <w:r w:rsidRPr="00F12E8B">
        <w:rPr>
          <w:rFonts w:ascii="Times New Roman" w:eastAsiaTheme="minorHAnsi" w:hAnsi="Times New Roman"/>
          <w:iCs/>
          <w:sz w:val="20"/>
          <w:szCs w:val="20"/>
        </w:rPr>
        <w:t>Management Science Letter</w:t>
      </w:r>
      <w:r w:rsidRPr="00F12E8B">
        <w:rPr>
          <w:rFonts w:ascii="Times New Roman" w:eastAsiaTheme="minorHAnsi" w:hAnsi="Times New Roman"/>
          <w:sz w:val="20"/>
          <w:szCs w:val="20"/>
        </w:rPr>
        <w:t xml:space="preserve">, </w:t>
      </w:r>
      <w:r w:rsidRPr="00F12E8B">
        <w:rPr>
          <w:rFonts w:ascii="Times New Roman" w:eastAsiaTheme="minorHAnsi" w:hAnsi="Times New Roman"/>
          <w:iCs/>
          <w:sz w:val="20"/>
          <w:szCs w:val="20"/>
        </w:rPr>
        <w:t>9</w:t>
      </w:r>
      <w:r w:rsidRPr="00F12E8B">
        <w:rPr>
          <w:rFonts w:ascii="Times New Roman" w:eastAsiaTheme="minorHAnsi" w:hAnsi="Times New Roman"/>
          <w:sz w:val="20"/>
          <w:szCs w:val="20"/>
        </w:rPr>
        <w:t>, pp 1773-1782.</w:t>
      </w:r>
    </w:p>
    <w:p w:rsidR="000972A4" w:rsidRPr="00F12E8B" w:rsidRDefault="000972A4" w:rsidP="000972A4">
      <w:pPr>
        <w:spacing w:after="0" w:line="240" w:lineRule="auto"/>
        <w:jc w:val="both"/>
        <w:rPr>
          <w:rFonts w:ascii="Times New Roman" w:hAnsi="Times New Roman"/>
          <w:sz w:val="20"/>
          <w:szCs w:val="20"/>
        </w:rPr>
      </w:pPr>
      <w:r w:rsidRPr="00F12E8B">
        <w:rPr>
          <w:rFonts w:ascii="Times New Roman" w:eastAsiaTheme="minorHAnsi" w:hAnsi="Times New Roman"/>
          <w:sz w:val="20"/>
          <w:szCs w:val="20"/>
        </w:rPr>
        <w:t xml:space="preserve">Nguyen V. C., Nguyen. N. T., </w:t>
      </w:r>
      <w:r w:rsidRPr="00F12E8B">
        <w:rPr>
          <w:rFonts w:ascii="Times New Roman" w:eastAsiaTheme="minorHAnsi" w:hAnsi="Times New Roman"/>
          <w:bCs/>
          <w:sz w:val="20"/>
          <w:szCs w:val="20"/>
        </w:rPr>
        <w:t xml:space="preserve">(2020). "The Impact of Cash Flow Statement on Lending </w:t>
      </w:r>
      <w:r w:rsidRPr="00F12E8B">
        <w:rPr>
          <w:rFonts w:ascii="Times New Roman" w:eastAsiaTheme="minorHAnsi" w:hAnsi="Times New Roman"/>
          <w:bCs/>
          <w:sz w:val="20"/>
          <w:szCs w:val="20"/>
        </w:rPr>
        <w:tab/>
        <w:t xml:space="preserve">Decision of </w:t>
      </w:r>
      <w:r w:rsidR="00F12E8B">
        <w:rPr>
          <w:rFonts w:ascii="Times New Roman" w:eastAsiaTheme="minorHAnsi" w:hAnsi="Times New Roman"/>
          <w:bCs/>
          <w:sz w:val="20"/>
          <w:szCs w:val="20"/>
        </w:rPr>
        <w:tab/>
      </w:r>
      <w:r w:rsidRPr="00F12E8B">
        <w:rPr>
          <w:rFonts w:ascii="Times New Roman" w:eastAsiaTheme="minorHAnsi" w:hAnsi="Times New Roman"/>
          <w:bCs/>
          <w:sz w:val="20"/>
          <w:szCs w:val="20"/>
        </w:rPr>
        <w:t xml:space="preserve">Commercial Banks: Evidence from Vietnam". </w:t>
      </w:r>
      <w:r w:rsidRPr="00F12E8B">
        <w:rPr>
          <w:rFonts w:ascii="Times New Roman" w:eastAsiaTheme="minorHAnsi" w:hAnsi="Times New Roman"/>
          <w:iCs/>
          <w:sz w:val="20"/>
          <w:szCs w:val="20"/>
        </w:rPr>
        <w:t xml:space="preserve">Journal of Asian Finance, Economics and </w:t>
      </w:r>
      <w:r w:rsidR="00F12E8B">
        <w:rPr>
          <w:rFonts w:ascii="Times New Roman" w:eastAsiaTheme="minorHAnsi" w:hAnsi="Times New Roman"/>
          <w:iCs/>
          <w:sz w:val="20"/>
          <w:szCs w:val="20"/>
        </w:rPr>
        <w:tab/>
      </w:r>
      <w:r w:rsidRPr="00F12E8B">
        <w:rPr>
          <w:rFonts w:ascii="Times New Roman" w:eastAsiaTheme="minorHAnsi" w:hAnsi="Times New Roman"/>
          <w:iCs/>
          <w:sz w:val="20"/>
          <w:szCs w:val="20"/>
        </w:rPr>
        <w:t>Business Vol 7 No 6 (2020) pp 085 – 093</w:t>
      </w:r>
    </w:p>
    <w:p w:rsidR="00996E50" w:rsidRPr="00F12E8B" w:rsidRDefault="00996E50" w:rsidP="00C248F8">
      <w:pPr>
        <w:spacing w:after="0" w:line="240" w:lineRule="auto"/>
        <w:jc w:val="both"/>
        <w:rPr>
          <w:rFonts w:ascii="Times New Roman" w:hAnsi="Times New Roman"/>
          <w:sz w:val="20"/>
          <w:szCs w:val="20"/>
        </w:rPr>
      </w:pPr>
      <w:r w:rsidRPr="00F12E8B">
        <w:rPr>
          <w:rFonts w:ascii="Times New Roman" w:hAnsi="Times New Roman"/>
          <w:sz w:val="20"/>
          <w:szCs w:val="20"/>
        </w:rPr>
        <w:t xml:space="preserve">Papadakis B., (2002): </w:t>
      </w:r>
      <w:r w:rsidR="00516499" w:rsidRPr="00F12E8B">
        <w:rPr>
          <w:rFonts w:ascii="Times New Roman" w:hAnsi="Times New Roman"/>
          <w:sz w:val="20"/>
          <w:szCs w:val="20"/>
        </w:rPr>
        <w:t>"</w:t>
      </w:r>
      <w:r w:rsidR="00474DFA" w:rsidRPr="00F12E8B">
        <w:rPr>
          <w:rFonts w:ascii="Times New Roman" w:hAnsi="Times New Roman"/>
          <w:sz w:val="20"/>
          <w:szCs w:val="20"/>
        </w:rPr>
        <w:t xml:space="preserve">Mergers and Acquisitions int he Greek and International Experience" </w:t>
      </w:r>
      <w:r w:rsidR="0059789D" w:rsidRPr="00F12E8B">
        <w:rPr>
          <w:rFonts w:ascii="Times New Roman" w:hAnsi="Times New Roman"/>
          <w:sz w:val="20"/>
          <w:szCs w:val="20"/>
        </w:rPr>
        <w:tab/>
      </w:r>
      <w:r w:rsidR="00474DFA" w:rsidRPr="00F12E8B">
        <w:rPr>
          <w:rFonts w:ascii="Times New Roman" w:hAnsi="Times New Roman"/>
          <w:sz w:val="20"/>
          <w:szCs w:val="20"/>
        </w:rPr>
        <w:t>Book published by Benou Publication Athens, Greece.</w:t>
      </w:r>
    </w:p>
    <w:p w:rsidR="005F258F" w:rsidRPr="00F12E8B" w:rsidRDefault="005F258F" w:rsidP="005F258F">
      <w:pPr>
        <w:spacing w:after="0" w:line="240" w:lineRule="auto"/>
        <w:jc w:val="both"/>
        <w:rPr>
          <w:rFonts w:ascii="Times New Roman" w:hAnsi="Times New Roman"/>
          <w:sz w:val="20"/>
          <w:szCs w:val="20"/>
        </w:rPr>
      </w:pPr>
      <w:r w:rsidRPr="00F12E8B">
        <w:rPr>
          <w:rFonts w:ascii="Times New Roman" w:hAnsi="Times New Roman"/>
          <w:sz w:val="20"/>
          <w:szCs w:val="20"/>
        </w:rPr>
        <w:t xml:space="preserve">Rahman, A., A., A., A., (2017). The Relationship Between Solvency Ratios and Profitability </w:t>
      </w:r>
      <w:r w:rsidRPr="00F12E8B">
        <w:rPr>
          <w:rFonts w:ascii="Times New Roman" w:hAnsi="Times New Roman"/>
          <w:sz w:val="20"/>
          <w:szCs w:val="20"/>
        </w:rPr>
        <w:tab/>
        <w:t xml:space="preserve">Ratios: Analytical Study In Food Industrial Companies Listed In Amman Bursa. </w:t>
      </w:r>
      <w:r w:rsidRPr="00F12E8B">
        <w:rPr>
          <w:rFonts w:ascii="Times New Roman" w:hAnsi="Times New Roman"/>
          <w:sz w:val="20"/>
          <w:szCs w:val="20"/>
        </w:rPr>
        <w:tab/>
      </w:r>
      <w:r w:rsidRPr="00F12E8B">
        <w:rPr>
          <w:rFonts w:ascii="Times New Roman" w:hAnsi="Times New Roman"/>
          <w:iCs/>
          <w:sz w:val="20"/>
          <w:szCs w:val="20"/>
        </w:rPr>
        <w:t>International Journal of Economics and Financial Issues</w:t>
      </w:r>
      <w:r w:rsidRPr="00F12E8B">
        <w:rPr>
          <w:rFonts w:ascii="Times New Roman" w:hAnsi="Times New Roman"/>
          <w:sz w:val="20"/>
          <w:szCs w:val="20"/>
        </w:rPr>
        <w:t>, 7(2), 86-93.</w:t>
      </w:r>
    </w:p>
    <w:p w:rsidR="00996E50" w:rsidRPr="00F12E8B" w:rsidRDefault="007F12E7" w:rsidP="00C248F8">
      <w:pPr>
        <w:spacing w:after="0" w:line="240" w:lineRule="auto"/>
        <w:jc w:val="both"/>
        <w:rPr>
          <w:rFonts w:ascii="Times New Roman" w:hAnsi="Times New Roman"/>
          <w:sz w:val="20"/>
          <w:szCs w:val="20"/>
        </w:rPr>
      </w:pPr>
      <w:r w:rsidRPr="00F12E8B">
        <w:rPr>
          <w:rFonts w:ascii="Times New Roman" w:hAnsi="Times New Roman"/>
          <w:sz w:val="20"/>
          <w:szCs w:val="20"/>
        </w:rPr>
        <w:t xml:space="preserve">Rose, C. (2007). </w:t>
      </w:r>
      <w:r w:rsidR="001D062F" w:rsidRPr="00F12E8B">
        <w:rPr>
          <w:rFonts w:ascii="Times New Roman" w:hAnsi="Times New Roman"/>
          <w:sz w:val="20"/>
          <w:szCs w:val="20"/>
        </w:rPr>
        <w:t>"</w:t>
      </w:r>
      <w:r w:rsidRPr="00F12E8B">
        <w:rPr>
          <w:rFonts w:ascii="Times New Roman" w:hAnsi="Times New Roman"/>
          <w:sz w:val="20"/>
          <w:szCs w:val="20"/>
        </w:rPr>
        <w:t xml:space="preserve">Does </w:t>
      </w:r>
      <w:r w:rsidR="001D062F" w:rsidRPr="00F12E8B">
        <w:rPr>
          <w:rFonts w:ascii="Times New Roman" w:hAnsi="Times New Roman"/>
          <w:sz w:val="20"/>
          <w:szCs w:val="20"/>
        </w:rPr>
        <w:t>F</w:t>
      </w:r>
      <w:r w:rsidRPr="00F12E8B">
        <w:rPr>
          <w:rFonts w:ascii="Times New Roman" w:hAnsi="Times New Roman"/>
          <w:sz w:val="20"/>
          <w:szCs w:val="20"/>
        </w:rPr>
        <w:t xml:space="preserve">emale </w:t>
      </w:r>
      <w:r w:rsidR="001D062F" w:rsidRPr="00F12E8B">
        <w:rPr>
          <w:rFonts w:ascii="Times New Roman" w:hAnsi="Times New Roman"/>
          <w:sz w:val="20"/>
          <w:szCs w:val="20"/>
        </w:rPr>
        <w:t>B</w:t>
      </w:r>
      <w:r w:rsidRPr="00F12E8B">
        <w:rPr>
          <w:rFonts w:ascii="Times New Roman" w:hAnsi="Times New Roman"/>
          <w:sz w:val="20"/>
          <w:szCs w:val="20"/>
        </w:rPr>
        <w:t xml:space="preserve">oard </w:t>
      </w:r>
      <w:r w:rsidR="001D062F" w:rsidRPr="00F12E8B">
        <w:rPr>
          <w:rFonts w:ascii="Times New Roman" w:hAnsi="Times New Roman"/>
          <w:sz w:val="20"/>
          <w:szCs w:val="20"/>
        </w:rPr>
        <w:t>R</w:t>
      </w:r>
      <w:r w:rsidRPr="00F12E8B">
        <w:rPr>
          <w:rFonts w:ascii="Times New Roman" w:hAnsi="Times New Roman"/>
          <w:sz w:val="20"/>
          <w:szCs w:val="20"/>
        </w:rPr>
        <w:t xml:space="preserve">epresentation </w:t>
      </w:r>
      <w:r w:rsidR="001D062F" w:rsidRPr="00F12E8B">
        <w:rPr>
          <w:rFonts w:ascii="Times New Roman" w:hAnsi="Times New Roman"/>
          <w:sz w:val="20"/>
          <w:szCs w:val="20"/>
        </w:rPr>
        <w:t>I</w:t>
      </w:r>
      <w:r w:rsidRPr="00F12E8B">
        <w:rPr>
          <w:rFonts w:ascii="Times New Roman" w:hAnsi="Times New Roman"/>
          <w:sz w:val="20"/>
          <w:szCs w:val="20"/>
        </w:rPr>
        <w:t xml:space="preserve">nfluence </w:t>
      </w:r>
      <w:r w:rsidR="001D062F" w:rsidRPr="00F12E8B">
        <w:rPr>
          <w:rFonts w:ascii="Times New Roman" w:hAnsi="Times New Roman"/>
          <w:sz w:val="20"/>
          <w:szCs w:val="20"/>
        </w:rPr>
        <w:t>F</w:t>
      </w:r>
      <w:r w:rsidRPr="00F12E8B">
        <w:rPr>
          <w:rFonts w:ascii="Times New Roman" w:hAnsi="Times New Roman"/>
          <w:sz w:val="20"/>
          <w:szCs w:val="20"/>
        </w:rPr>
        <w:t xml:space="preserve">irm </w:t>
      </w:r>
      <w:r w:rsidR="001D062F" w:rsidRPr="00F12E8B">
        <w:rPr>
          <w:rFonts w:ascii="Times New Roman" w:hAnsi="Times New Roman"/>
          <w:sz w:val="20"/>
          <w:szCs w:val="20"/>
        </w:rPr>
        <w:t>P</w:t>
      </w:r>
      <w:r w:rsidRPr="00F12E8B">
        <w:rPr>
          <w:rFonts w:ascii="Times New Roman" w:hAnsi="Times New Roman"/>
          <w:sz w:val="20"/>
          <w:szCs w:val="20"/>
        </w:rPr>
        <w:t xml:space="preserve">erformance? The Danish </w:t>
      </w:r>
      <w:r w:rsidR="00C421DC" w:rsidRPr="00F12E8B">
        <w:rPr>
          <w:rFonts w:ascii="Times New Roman" w:hAnsi="Times New Roman"/>
          <w:sz w:val="20"/>
          <w:szCs w:val="20"/>
        </w:rPr>
        <w:tab/>
      </w:r>
      <w:r w:rsidRPr="00F12E8B">
        <w:rPr>
          <w:rFonts w:ascii="Times New Roman" w:hAnsi="Times New Roman"/>
          <w:sz w:val="20"/>
          <w:szCs w:val="20"/>
        </w:rPr>
        <w:t>evidence</w:t>
      </w:r>
      <w:r w:rsidR="001D062F" w:rsidRPr="00F12E8B">
        <w:rPr>
          <w:rFonts w:ascii="Times New Roman" w:hAnsi="Times New Roman"/>
          <w:sz w:val="20"/>
          <w:szCs w:val="20"/>
        </w:rPr>
        <w:t>"</w:t>
      </w:r>
      <w:r w:rsidRPr="00F12E8B">
        <w:rPr>
          <w:rFonts w:ascii="Times New Roman" w:hAnsi="Times New Roman"/>
          <w:sz w:val="20"/>
          <w:szCs w:val="20"/>
        </w:rPr>
        <w:t>. Corporate Governance: An International Review, 15(2), 404-413.</w:t>
      </w:r>
    </w:p>
    <w:p w:rsidR="00A35EC0" w:rsidRPr="00F12E8B" w:rsidRDefault="00A35EC0" w:rsidP="00C248F8">
      <w:pPr>
        <w:spacing w:after="0" w:line="240" w:lineRule="auto"/>
        <w:jc w:val="both"/>
        <w:rPr>
          <w:rFonts w:ascii="Times New Roman" w:hAnsi="Times New Roman"/>
          <w:sz w:val="20"/>
          <w:szCs w:val="20"/>
        </w:rPr>
      </w:pPr>
      <w:r w:rsidRPr="00F12E8B">
        <w:rPr>
          <w:rFonts w:ascii="Times New Roman" w:hAnsi="Times New Roman"/>
          <w:sz w:val="20"/>
          <w:szCs w:val="20"/>
        </w:rPr>
        <w:t xml:space="preserve">Sucharita Y., Lokeswari A., (2019). "Earnings Quality: an Analysis". Journal of Emerging </w:t>
      </w:r>
      <w:r w:rsidR="00C421DC" w:rsidRPr="00F12E8B">
        <w:rPr>
          <w:rFonts w:ascii="Times New Roman" w:hAnsi="Times New Roman"/>
          <w:sz w:val="20"/>
          <w:szCs w:val="20"/>
        </w:rPr>
        <w:tab/>
      </w:r>
      <w:r w:rsidRPr="00F12E8B">
        <w:rPr>
          <w:rFonts w:ascii="Times New Roman" w:hAnsi="Times New Roman"/>
          <w:sz w:val="20"/>
          <w:szCs w:val="20"/>
        </w:rPr>
        <w:t>Technologies and Innovative Research. Volume 6, Issue 2 pp 36-38.</w:t>
      </w:r>
    </w:p>
    <w:p w:rsidR="006B6AF8" w:rsidRPr="00F12E8B" w:rsidRDefault="006B6AF8" w:rsidP="00C248F8">
      <w:pPr>
        <w:spacing w:after="0" w:line="240" w:lineRule="auto"/>
        <w:jc w:val="both"/>
        <w:rPr>
          <w:rFonts w:ascii="Times New Roman" w:hAnsi="Times New Roman"/>
          <w:sz w:val="20"/>
          <w:szCs w:val="20"/>
        </w:rPr>
      </w:pPr>
      <w:r w:rsidRPr="00F12E8B">
        <w:rPr>
          <w:rFonts w:ascii="Times New Roman" w:hAnsi="Times New Roman"/>
          <w:sz w:val="20"/>
          <w:szCs w:val="20"/>
        </w:rPr>
        <w:t>Shyam Pattabiraman (2013). "Growth vs Profitability: The Importance of ROCE". C</w:t>
      </w:r>
      <w:r w:rsidR="00F12E8B" w:rsidRPr="00F12E8B">
        <w:rPr>
          <w:rFonts w:ascii="Times New Roman" w:hAnsi="Times New Roman"/>
          <w:sz w:val="20"/>
          <w:szCs w:val="20"/>
        </w:rPr>
        <w:t>FO</w:t>
      </w:r>
      <w:r w:rsidRPr="00F12E8B">
        <w:rPr>
          <w:rFonts w:ascii="Times New Roman" w:hAnsi="Times New Roman"/>
          <w:sz w:val="20"/>
          <w:szCs w:val="20"/>
        </w:rPr>
        <w:t xml:space="preserve"> C</w:t>
      </w:r>
      <w:r w:rsidR="00F12E8B" w:rsidRPr="00F12E8B">
        <w:rPr>
          <w:rFonts w:ascii="Times New Roman" w:hAnsi="Times New Roman"/>
          <w:sz w:val="20"/>
          <w:szCs w:val="20"/>
        </w:rPr>
        <w:t>onnect</w:t>
      </w:r>
      <w:r w:rsidRPr="00F12E8B">
        <w:rPr>
          <w:rFonts w:ascii="Times New Roman" w:hAnsi="Times New Roman"/>
          <w:sz w:val="20"/>
          <w:szCs w:val="20"/>
        </w:rPr>
        <w:t xml:space="preserve"> </w:t>
      </w:r>
      <w:r w:rsidR="00F12E8B">
        <w:rPr>
          <w:rFonts w:ascii="Times New Roman" w:hAnsi="Times New Roman"/>
          <w:sz w:val="20"/>
          <w:szCs w:val="20"/>
        </w:rPr>
        <w:tab/>
      </w:r>
      <w:r w:rsidRPr="00F12E8B">
        <w:rPr>
          <w:rFonts w:ascii="Times New Roman" w:hAnsi="Times New Roman"/>
          <w:sz w:val="20"/>
          <w:szCs w:val="20"/>
        </w:rPr>
        <w:t>https://www.pwc.in/assets/pdfs/finance-effectiveness/growth-vs-profitability-the-importance-</w:t>
      </w:r>
      <w:r w:rsidR="00F12E8B">
        <w:rPr>
          <w:rFonts w:ascii="Times New Roman" w:hAnsi="Times New Roman"/>
          <w:sz w:val="20"/>
          <w:szCs w:val="20"/>
        </w:rPr>
        <w:tab/>
      </w:r>
      <w:r w:rsidRPr="00F12E8B">
        <w:rPr>
          <w:rFonts w:ascii="Times New Roman" w:hAnsi="Times New Roman"/>
          <w:sz w:val="20"/>
          <w:szCs w:val="20"/>
        </w:rPr>
        <w:t>of-roce.pdf.</w:t>
      </w:r>
    </w:p>
    <w:p w:rsidR="006B6AF8" w:rsidRPr="00F12E8B" w:rsidRDefault="007F12E7" w:rsidP="00C248F8">
      <w:pPr>
        <w:spacing w:after="0" w:line="240" w:lineRule="auto"/>
        <w:jc w:val="both"/>
        <w:rPr>
          <w:rFonts w:ascii="Times New Roman" w:hAnsi="Times New Roman"/>
          <w:sz w:val="20"/>
          <w:szCs w:val="20"/>
        </w:rPr>
      </w:pPr>
      <w:r w:rsidRPr="00F12E8B">
        <w:rPr>
          <w:rFonts w:ascii="Times New Roman" w:hAnsi="Times New Roman"/>
          <w:sz w:val="20"/>
          <w:szCs w:val="20"/>
        </w:rPr>
        <w:t xml:space="preserve">Somnath Das (2018). "Analysis of </w:t>
      </w:r>
      <w:r w:rsidR="001D062F" w:rsidRPr="00F12E8B">
        <w:rPr>
          <w:rFonts w:ascii="Times New Roman" w:hAnsi="Times New Roman"/>
          <w:sz w:val="20"/>
          <w:szCs w:val="20"/>
        </w:rPr>
        <w:t>C</w:t>
      </w:r>
      <w:r w:rsidRPr="00F12E8B">
        <w:rPr>
          <w:rFonts w:ascii="Times New Roman" w:hAnsi="Times New Roman"/>
          <w:sz w:val="20"/>
          <w:szCs w:val="20"/>
        </w:rPr>
        <w:t xml:space="preserve">ash </w:t>
      </w:r>
      <w:r w:rsidR="001D062F" w:rsidRPr="00F12E8B">
        <w:rPr>
          <w:rFonts w:ascii="Times New Roman" w:hAnsi="Times New Roman"/>
          <w:sz w:val="20"/>
          <w:szCs w:val="20"/>
        </w:rPr>
        <w:t>F</w:t>
      </w:r>
      <w:r w:rsidRPr="00F12E8B">
        <w:rPr>
          <w:rFonts w:ascii="Times New Roman" w:hAnsi="Times New Roman"/>
          <w:sz w:val="20"/>
          <w:szCs w:val="20"/>
        </w:rPr>
        <w:t xml:space="preserve">low </w:t>
      </w:r>
      <w:r w:rsidR="001D062F" w:rsidRPr="00F12E8B">
        <w:rPr>
          <w:rFonts w:ascii="Times New Roman" w:hAnsi="Times New Roman"/>
          <w:sz w:val="20"/>
          <w:szCs w:val="20"/>
        </w:rPr>
        <w:t>R</w:t>
      </w:r>
      <w:r w:rsidRPr="00F12E8B">
        <w:rPr>
          <w:rFonts w:ascii="Times New Roman" w:hAnsi="Times New Roman"/>
          <w:sz w:val="20"/>
          <w:szCs w:val="20"/>
        </w:rPr>
        <w:t xml:space="preserve">atios: A study on CMC". Accounting 4 (2018) </w:t>
      </w:r>
      <w:r w:rsidR="00C421DC" w:rsidRPr="00F12E8B">
        <w:rPr>
          <w:rFonts w:ascii="Times New Roman" w:hAnsi="Times New Roman"/>
          <w:sz w:val="20"/>
          <w:szCs w:val="20"/>
        </w:rPr>
        <w:t xml:space="preserve">pp </w:t>
      </w:r>
      <w:r w:rsidRPr="00F12E8B">
        <w:rPr>
          <w:rFonts w:ascii="Times New Roman" w:hAnsi="Times New Roman"/>
          <w:sz w:val="20"/>
          <w:szCs w:val="20"/>
        </w:rPr>
        <w:t>41–</w:t>
      </w:r>
      <w:r w:rsidR="00F12E8B">
        <w:rPr>
          <w:rFonts w:ascii="Times New Roman" w:hAnsi="Times New Roman"/>
          <w:sz w:val="20"/>
          <w:szCs w:val="20"/>
        </w:rPr>
        <w:tab/>
      </w:r>
      <w:r w:rsidRPr="00F12E8B">
        <w:rPr>
          <w:rFonts w:ascii="Times New Roman" w:hAnsi="Times New Roman"/>
          <w:sz w:val="20"/>
          <w:szCs w:val="20"/>
        </w:rPr>
        <w:t>52</w:t>
      </w:r>
    </w:p>
    <w:p w:rsidR="001B19F0" w:rsidRPr="00F12E8B" w:rsidRDefault="001B19F0" w:rsidP="001B19F0">
      <w:pPr>
        <w:pStyle w:val="Default"/>
        <w:jc w:val="both"/>
        <w:rPr>
          <w:sz w:val="20"/>
          <w:szCs w:val="20"/>
          <w:lang w:val="en-US"/>
        </w:rPr>
      </w:pPr>
      <w:r w:rsidRPr="00F12E8B">
        <w:rPr>
          <w:sz w:val="20"/>
          <w:szCs w:val="20"/>
          <w:lang w:val="en-US"/>
        </w:rPr>
        <w:t xml:space="preserve">Tareq Mohammad Almomani , Mohammad Abdullah Almomani , Mohammed Ibrahim Sultan Obeidat </w:t>
      </w:r>
      <w:r w:rsidR="00F12E8B">
        <w:rPr>
          <w:sz w:val="20"/>
          <w:szCs w:val="20"/>
          <w:lang w:val="en-US"/>
        </w:rPr>
        <w:tab/>
      </w:r>
      <w:r w:rsidRPr="00F12E8B">
        <w:rPr>
          <w:sz w:val="20"/>
          <w:szCs w:val="20"/>
          <w:lang w:val="en-US"/>
        </w:rPr>
        <w:t>(2023). "</w:t>
      </w:r>
      <w:r w:rsidRPr="00F12E8B">
        <w:rPr>
          <w:bCs/>
          <w:sz w:val="20"/>
          <w:szCs w:val="20"/>
          <w:lang w:val="en-US"/>
        </w:rPr>
        <w:t xml:space="preserve">The Impact of Liquidity, Solvency, and Operating Cash Flows on Earnings </w:t>
      </w:r>
      <w:r w:rsidR="00F12E8B">
        <w:rPr>
          <w:bCs/>
          <w:sz w:val="20"/>
          <w:szCs w:val="20"/>
          <w:lang w:val="en-US"/>
        </w:rPr>
        <w:tab/>
      </w:r>
      <w:r w:rsidRPr="00F12E8B">
        <w:rPr>
          <w:bCs/>
          <w:sz w:val="20"/>
          <w:szCs w:val="20"/>
          <w:lang w:val="en-US"/>
        </w:rPr>
        <w:t xml:space="preserve">Persistence: The Evidence of Listed Manufacturing Firms at ASE". Journal of System and </w:t>
      </w:r>
      <w:r w:rsidR="00F12E8B">
        <w:rPr>
          <w:bCs/>
          <w:sz w:val="20"/>
          <w:szCs w:val="20"/>
          <w:lang w:val="en-US"/>
        </w:rPr>
        <w:tab/>
      </w:r>
      <w:r w:rsidRPr="00F12E8B">
        <w:rPr>
          <w:bCs/>
          <w:sz w:val="20"/>
          <w:szCs w:val="20"/>
          <w:lang w:val="en-US"/>
        </w:rPr>
        <w:t>Management Sciences</w:t>
      </w:r>
      <w:r w:rsidRPr="00F12E8B">
        <w:rPr>
          <w:b/>
          <w:bCs/>
          <w:sz w:val="20"/>
          <w:szCs w:val="20"/>
          <w:lang w:val="en-US"/>
        </w:rPr>
        <w:t xml:space="preserve"> </w:t>
      </w:r>
      <w:r w:rsidRPr="00F12E8B">
        <w:rPr>
          <w:sz w:val="20"/>
          <w:szCs w:val="20"/>
          <w:lang w:val="en-US"/>
        </w:rPr>
        <w:t xml:space="preserve">Vol. 13 (2023) No. 2, pp. 211-224 </w:t>
      </w:r>
    </w:p>
    <w:p w:rsidR="00554446" w:rsidRPr="00F12E8B" w:rsidRDefault="00554446" w:rsidP="00C248F8">
      <w:pPr>
        <w:spacing w:after="0" w:line="240" w:lineRule="auto"/>
        <w:jc w:val="both"/>
        <w:rPr>
          <w:rFonts w:ascii="Times New Roman" w:hAnsi="Times New Roman"/>
          <w:sz w:val="20"/>
          <w:szCs w:val="20"/>
        </w:rPr>
      </w:pPr>
      <w:r w:rsidRPr="00F12E8B">
        <w:rPr>
          <w:rFonts w:ascii="Times New Roman" w:hAnsi="Times New Roman"/>
          <w:sz w:val="20"/>
          <w:szCs w:val="20"/>
        </w:rPr>
        <w:t>Tragakis G., (1996)</w:t>
      </w:r>
      <w:r w:rsidR="00D04F14" w:rsidRPr="00F12E8B">
        <w:rPr>
          <w:rFonts w:ascii="Times New Roman" w:hAnsi="Times New Roman"/>
          <w:sz w:val="20"/>
          <w:szCs w:val="20"/>
        </w:rPr>
        <w:t xml:space="preserve">: "Cooperative Banks in Greece", </w:t>
      </w:r>
      <w:r w:rsidR="00C421DC" w:rsidRPr="00F12E8B">
        <w:rPr>
          <w:rFonts w:ascii="Times New Roman" w:hAnsi="Times New Roman"/>
          <w:sz w:val="20"/>
          <w:szCs w:val="20"/>
        </w:rPr>
        <w:t xml:space="preserve">Book published by </w:t>
      </w:r>
      <w:r w:rsidR="00D04F14" w:rsidRPr="00F12E8B">
        <w:rPr>
          <w:rFonts w:ascii="Times New Roman" w:hAnsi="Times New Roman"/>
          <w:sz w:val="20"/>
          <w:szCs w:val="20"/>
        </w:rPr>
        <w:t xml:space="preserve">Sakkoula Publications, </w:t>
      </w:r>
      <w:r w:rsidR="00C421DC" w:rsidRPr="00F12E8B">
        <w:rPr>
          <w:rFonts w:ascii="Times New Roman" w:hAnsi="Times New Roman"/>
          <w:sz w:val="20"/>
          <w:szCs w:val="20"/>
        </w:rPr>
        <w:tab/>
      </w:r>
      <w:r w:rsidR="00D04F14" w:rsidRPr="00F12E8B">
        <w:rPr>
          <w:rFonts w:ascii="Times New Roman" w:hAnsi="Times New Roman"/>
          <w:sz w:val="20"/>
          <w:szCs w:val="20"/>
        </w:rPr>
        <w:t>Athens</w:t>
      </w:r>
      <w:r w:rsidR="00516499" w:rsidRPr="00F12E8B">
        <w:rPr>
          <w:rFonts w:ascii="Times New Roman" w:hAnsi="Times New Roman"/>
          <w:sz w:val="20"/>
          <w:szCs w:val="20"/>
        </w:rPr>
        <w:t xml:space="preserve"> </w:t>
      </w:r>
      <w:r w:rsidR="00D04F14" w:rsidRPr="00F12E8B">
        <w:rPr>
          <w:rFonts w:ascii="Times New Roman" w:hAnsi="Times New Roman"/>
          <w:sz w:val="20"/>
          <w:szCs w:val="20"/>
        </w:rPr>
        <w:t>-Komotini</w:t>
      </w:r>
    </w:p>
    <w:p w:rsidR="00192348" w:rsidRPr="00F12E8B" w:rsidRDefault="00444E54" w:rsidP="00C248F8">
      <w:pPr>
        <w:spacing w:after="0" w:line="240" w:lineRule="auto"/>
        <w:jc w:val="both"/>
        <w:rPr>
          <w:rFonts w:ascii="Times New Roman" w:hAnsi="Times New Roman"/>
          <w:sz w:val="20"/>
          <w:szCs w:val="20"/>
        </w:rPr>
      </w:pPr>
      <w:r w:rsidRPr="00F12E8B">
        <w:rPr>
          <w:rFonts w:ascii="Times New Roman" w:hAnsi="Times New Roman"/>
          <w:sz w:val="20"/>
          <w:szCs w:val="20"/>
        </w:rPr>
        <w:t xml:space="preserve">Williams, B., 2014. </w:t>
      </w:r>
      <w:r w:rsidR="001D062F" w:rsidRPr="00F12E8B">
        <w:rPr>
          <w:rFonts w:ascii="Times New Roman" w:hAnsi="Times New Roman"/>
          <w:sz w:val="20"/>
          <w:szCs w:val="20"/>
        </w:rPr>
        <w:t>"</w:t>
      </w:r>
      <w:r w:rsidRPr="00F12E8B">
        <w:rPr>
          <w:rFonts w:ascii="Times New Roman" w:hAnsi="Times New Roman"/>
          <w:sz w:val="20"/>
          <w:szCs w:val="20"/>
        </w:rPr>
        <w:t xml:space="preserve">Bank </w:t>
      </w:r>
      <w:r w:rsidR="001D062F" w:rsidRPr="00F12E8B">
        <w:rPr>
          <w:rFonts w:ascii="Times New Roman" w:hAnsi="Times New Roman"/>
          <w:sz w:val="20"/>
          <w:szCs w:val="20"/>
        </w:rPr>
        <w:t>R</w:t>
      </w:r>
      <w:r w:rsidRPr="00F12E8B">
        <w:rPr>
          <w:rFonts w:ascii="Times New Roman" w:hAnsi="Times New Roman"/>
          <w:sz w:val="20"/>
          <w:szCs w:val="20"/>
        </w:rPr>
        <w:t xml:space="preserve">isk and </w:t>
      </w:r>
      <w:r w:rsidR="001D062F" w:rsidRPr="00F12E8B">
        <w:rPr>
          <w:rFonts w:ascii="Times New Roman" w:hAnsi="Times New Roman"/>
          <w:sz w:val="20"/>
          <w:szCs w:val="20"/>
        </w:rPr>
        <w:t>N</w:t>
      </w:r>
      <w:r w:rsidRPr="00F12E8B">
        <w:rPr>
          <w:rFonts w:ascii="Times New Roman" w:hAnsi="Times New Roman"/>
          <w:sz w:val="20"/>
          <w:szCs w:val="20"/>
        </w:rPr>
        <w:t xml:space="preserve">ational </w:t>
      </w:r>
      <w:r w:rsidR="001D062F" w:rsidRPr="00F12E8B">
        <w:rPr>
          <w:rFonts w:ascii="Times New Roman" w:hAnsi="Times New Roman"/>
          <w:sz w:val="20"/>
          <w:szCs w:val="20"/>
        </w:rPr>
        <w:t>G</w:t>
      </w:r>
      <w:r w:rsidRPr="00F12E8B">
        <w:rPr>
          <w:rFonts w:ascii="Times New Roman" w:hAnsi="Times New Roman"/>
          <w:sz w:val="20"/>
          <w:szCs w:val="20"/>
        </w:rPr>
        <w:t>overnance in Asia</w:t>
      </w:r>
      <w:r w:rsidR="001D062F" w:rsidRPr="00F12E8B">
        <w:rPr>
          <w:rFonts w:ascii="Times New Roman" w:hAnsi="Times New Roman"/>
          <w:sz w:val="20"/>
          <w:szCs w:val="20"/>
        </w:rPr>
        <w:t>"</w:t>
      </w:r>
      <w:r w:rsidRPr="00F12E8B">
        <w:rPr>
          <w:rFonts w:ascii="Times New Roman" w:hAnsi="Times New Roman"/>
          <w:sz w:val="20"/>
          <w:szCs w:val="20"/>
        </w:rPr>
        <w:t xml:space="preserve">. Journal of Banking and </w:t>
      </w:r>
      <w:r w:rsidR="00C421DC" w:rsidRPr="00F12E8B">
        <w:rPr>
          <w:rFonts w:ascii="Times New Roman" w:hAnsi="Times New Roman"/>
          <w:sz w:val="20"/>
          <w:szCs w:val="20"/>
        </w:rPr>
        <w:tab/>
      </w:r>
      <w:r w:rsidRPr="00F12E8B">
        <w:rPr>
          <w:rFonts w:ascii="Times New Roman" w:hAnsi="Times New Roman"/>
          <w:sz w:val="20"/>
          <w:szCs w:val="20"/>
        </w:rPr>
        <w:t xml:space="preserve">Finance 49, </w:t>
      </w:r>
      <w:r w:rsidR="00C421DC" w:rsidRPr="00F12E8B">
        <w:rPr>
          <w:rFonts w:ascii="Times New Roman" w:hAnsi="Times New Roman"/>
          <w:sz w:val="20"/>
          <w:szCs w:val="20"/>
        </w:rPr>
        <w:t xml:space="preserve">pp </w:t>
      </w:r>
      <w:r w:rsidRPr="00F12E8B">
        <w:rPr>
          <w:rFonts w:ascii="Times New Roman" w:hAnsi="Times New Roman"/>
          <w:sz w:val="20"/>
          <w:szCs w:val="20"/>
        </w:rPr>
        <w:t>10–26.</w:t>
      </w:r>
    </w:p>
    <w:p w:rsidR="00097DEC" w:rsidRPr="00F12E8B" w:rsidRDefault="00097DEC" w:rsidP="00C248F8">
      <w:pPr>
        <w:spacing w:after="0" w:line="240" w:lineRule="auto"/>
        <w:jc w:val="both"/>
        <w:rPr>
          <w:rFonts w:ascii="Times New Roman" w:hAnsi="Times New Roman"/>
          <w:color w:val="000000"/>
          <w:sz w:val="20"/>
          <w:szCs w:val="20"/>
        </w:rPr>
      </w:pPr>
      <w:r w:rsidRPr="00F12E8B">
        <w:rPr>
          <w:rFonts w:ascii="Times New Roman" w:hAnsi="Times New Roman"/>
          <w:color w:val="000000"/>
          <w:sz w:val="20"/>
          <w:szCs w:val="20"/>
        </w:rPr>
        <w:t>Internet Sources</w:t>
      </w:r>
    </w:p>
    <w:p w:rsidR="001D062F" w:rsidRPr="00F12E8B" w:rsidRDefault="001D062F" w:rsidP="00C248F8">
      <w:pPr>
        <w:spacing w:after="0" w:line="240" w:lineRule="auto"/>
        <w:jc w:val="both"/>
        <w:rPr>
          <w:rFonts w:ascii="Times New Roman" w:hAnsi="Times New Roman"/>
          <w:sz w:val="20"/>
          <w:szCs w:val="20"/>
        </w:rPr>
      </w:pPr>
      <w:r w:rsidRPr="00F12E8B">
        <w:rPr>
          <w:rFonts w:ascii="Times New Roman" w:hAnsi="Times New Roman"/>
          <w:color w:val="000000"/>
          <w:sz w:val="20"/>
          <w:szCs w:val="20"/>
        </w:rPr>
        <w:t>https://www.financestrategists.com/accounting/financial-statements/dupont-analysis/</w:t>
      </w:r>
    </w:p>
    <w:p w:rsidR="001D062F" w:rsidRPr="00F12E8B" w:rsidRDefault="001D062F" w:rsidP="00C248F8">
      <w:pPr>
        <w:pStyle w:val="2"/>
        <w:shd w:val="clear" w:color="auto" w:fill="FFFFFF"/>
        <w:spacing w:before="0" w:beforeAutospacing="0" w:after="0" w:afterAutospacing="0"/>
        <w:jc w:val="both"/>
        <w:rPr>
          <w:b w:val="0"/>
          <w:sz w:val="20"/>
          <w:szCs w:val="20"/>
          <w:lang w:val="en-US"/>
        </w:rPr>
      </w:pPr>
      <w:r w:rsidRPr="00F12E8B">
        <w:rPr>
          <w:b w:val="0"/>
          <w:sz w:val="20"/>
          <w:szCs w:val="20"/>
          <w:lang w:val="en-US"/>
        </w:rPr>
        <w:t>https://www.accountingtools.com/articles/cash-flow-ratios.html</w:t>
      </w:r>
    </w:p>
    <w:p w:rsidR="001D062F" w:rsidRPr="00F12E8B" w:rsidRDefault="001D062F" w:rsidP="00C248F8">
      <w:pPr>
        <w:spacing w:after="0" w:line="240" w:lineRule="auto"/>
        <w:jc w:val="both"/>
        <w:rPr>
          <w:rFonts w:ascii="Times New Roman" w:hAnsi="Times New Roman"/>
          <w:sz w:val="20"/>
          <w:szCs w:val="20"/>
        </w:rPr>
      </w:pPr>
      <w:r w:rsidRPr="00F12E8B">
        <w:rPr>
          <w:rFonts w:ascii="Times New Roman" w:hAnsi="Times New Roman"/>
          <w:sz w:val="20"/>
          <w:szCs w:val="20"/>
        </w:rPr>
        <w:t>https://www.investopedia.com/terms/r/roce.asp</w:t>
      </w:r>
    </w:p>
    <w:p w:rsidR="001D062F" w:rsidRPr="00F12E8B" w:rsidRDefault="001D062F" w:rsidP="00C248F8">
      <w:pPr>
        <w:spacing w:after="0" w:line="240" w:lineRule="auto"/>
        <w:jc w:val="both"/>
        <w:rPr>
          <w:rFonts w:ascii="Times New Roman" w:hAnsi="Times New Roman"/>
          <w:sz w:val="20"/>
          <w:szCs w:val="20"/>
          <w:shd w:val="clear" w:color="auto" w:fill="FFFFFF"/>
        </w:rPr>
      </w:pPr>
      <w:r w:rsidRPr="00F12E8B">
        <w:rPr>
          <w:rFonts w:ascii="Times New Roman" w:hAnsi="Times New Roman"/>
          <w:sz w:val="20"/>
          <w:szCs w:val="20"/>
          <w:shd w:val="clear" w:color="auto" w:fill="FFFFFF"/>
        </w:rPr>
        <w:t>https://managementmania.com/en/roe-cf-cash-flow-return-on-equity</w:t>
      </w:r>
    </w:p>
    <w:p w:rsidR="001D062F" w:rsidRPr="00F12E8B" w:rsidRDefault="001D062F" w:rsidP="00C248F8">
      <w:pPr>
        <w:spacing w:after="0" w:line="240" w:lineRule="auto"/>
        <w:jc w:val="both"/>
        <w:rPr>
          <w:rFonts w:ascii="Times New Roman" w:hAnsi="Times New Roman"/>
          <w:sz w:val="20"/>
          <w:szCs w:val="20"/>
          <w:shd w:val="clear" w:color="auto" w:fill="FFFFFF"/>
        </w:rPr>
      </w:pPr>
      <w:r w:rsidRPr="00F12E8B">
        <w:rPr>
          <w:rFonts w:ascii="Times New Roman" w:hAnsi="Times New Roman"/>
          <w:sz w:val="20"/>
          <w:szCs w:val="20"/>
          <w:shd w:val="clear" w:color="auto" w:fill="FFFFFF"/>
        </w:rPr>
        <w:t>https://managementmania.com/en/roa-cf-cash-flow-return-on-asstes</w:t>
      </w:r>
    </w:p>
    <w:p w:rsidR="001D062F" w:rsidRPr="00F12E8B" w:rsidRDefault="001D062F" w:rsidP="00C248F8">
      <w:pPr>
        <w:spacing w:after="0" w:line="240" w:lineRule="auto"/>
        <w:jc w:val="both"/>
        <w:rPr>
          <w:rFonts w:ascii="Times New Roman" w:hAnsi="Times New Roman"/>
          <w:sz w:val="20"/>
          <w:szCs w:val="20"/>
        </w:rPr>
      </w:pPr>
      <w:r w:rsidRPr="00F12E8B">
        <w:rPr>
          <w:rFonts w:ascii="Times New Roman" w:hAnsi="Times New Roman"/>
          <w:sz w:val="20"/>
          <w:szCs w:val="20"/>
        </w:rPr>
        <w:t>https://www.wallstreetprep.com/knowledge/dupont-analysis-template/</w:t>
      </w:r>
    </w:p>
    <w:p w:rsidR="00192348" w:rsidRPr="00F12E8B" w:rsidRDefault="00C421DC" w:rsidP="00097DEC">
      <w:pPr>
        <w:pStyle w:val="2"/>
        <w:shd w:val="clear" w:color="auto" w:fill="FFFFFF"/>
        <w:spacing w:before="0" w:beforeAutospacing="0" w:after="0" w:afterAutospacing="0"/>
        <w:jc w:val="both"/>
        <w:rPr>
          <w:b w:val="0"/>
          <w:sz w:val="20"/>
          <w:szCs w:val="20"/>
          <w:lang w:val="en-US"/>
        </w:rPr>
      </w:pPr>
      <w:r w:rsidRPr="00F12E8B">
        <w:rPr>
          <w:b w:val="0"/>
          <w:sz w:val="20"/>
          <w:szCs w:val="20"/>
          <w:lang w:val="en-US"/>
        </w:rPr>
        <w:t>https://www.investopedia.com/terms/m/mergersandacquisitions.asp</w:t>
      </w:r>
    </w:p>
    <w:p w:rsidR="00192348" w:rsidRPr="00F12E8B" w:rsidRDefault="00192348" w:rsidP="00C248F8">
      <w:pPr>
        <w:spacing w:after="0" w:line="240" w:lineRule="auto"/>
        <w:jc w:val="both"/>
        <w:rPr>
          <w:rFonts w:ascii="Times New Roman" w:hAnsi="Times New Roman"/>
          <w:sz w:val="20"/>
          <w:szCs w:val="20"/>
        </w:rPr>
      </w:pPr>
    </w:p>
    <w:sectPr w:rsidR="00192348" w:rsidRPr="00F12E8B" w:rsidSect="00137C10">
      <w:footerReference w:type="default" r:id="rId53"/>
      <w:pgSz w:w="11906" w:h="16838" w:code="9"/>
      <w:pgMar w:top="709" w:right="1797" w:bottom="851"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7DB" w:rsidRDefault="003A67DB" w:rsidP="00B02BEB">
      <w:pPr>
        <w:spacing w:after="0" w:line="240" w:lineRule="auto"/>
      </w:pPr>
      <w:r>
        <w:separator/>
      </w:r>
    </w:p>
  </w:endnote>
  <w:endnote w:type="continuationSeparator" w:id="0">
    <w:p w:rsidR="003A67DB" w:rsidRDefault="003A67DB" w:rsidP="00B02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1"/>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0413"/>
      <w:docPartObj>
        <w:docPartGallery w:val="Page Numbers (Bottom of Page)"/>
        <w:docPartUnique/>
      </w:docPartObj>
    </w:sdtPr>
    <w:sdtEndPr>
      <w:rPr>
        <w:rFonts w:ascii="Times New Roman" w:hAnsi="Times New Roman"/>
        <w:sz w:val="20"/>
        <w:szCs w:val="20"/>
      </w:rPr>
    </w:sdtEndPr>
    <w:sdtContent>
      <w:p w:rsidR="002162D2" w:rsidRPr="00B02BEB" w:rsidRDefault="00D56754" w:rsidP="00B02BEB">
        <w:pPr>
          <w:pStyle w:val="a4"/>
          <w:jc w:val="right"/>
          <w:rPr>
            <w:rFonts w:ascii="Times New Roman" w:hAnsi="Times New Roman"/>
            <w:sz w:val="20"/>
            <w:szCs w:val="20"/>
          </w:rPr>
        </w:pPr>
        <w:r w:rsidRPr="00B02BEB">
          <w:rPr>
            <w:rFonts w:ascii="Times New Roman" w:hAnsi="Times New Roman"/>
            <w:sz w:val="20"/>
            <w:szCs w:val="20"/>
          </w:rPr>
          <w:fldChar w:fldCharType="begin"/>
        </w:r>
        <w:r w:rsidR="002162D2" w:rsidRPr="00B02BEB">
          <w:rPr>
            <w:rFonts w:ascii="Times New Roman" w:hAnsi="Times New Roman"/>
            <w:sz w:val="20"/>
            <w:szCs w:val="20"/>
          </w:rPr>
          <w:instrText xml:space="preserve"> PAGE   \* MERGEFORMAT </w:instrText>
        </w:r>
        <w:r w:rsidRPr="00B02BEB">
          <w:rPr>
            <w:rFonts w:ascii="Times New Roman" w:hAnsi="Times New Roman"/>
            <w:sz w:val="20"/>
            <w:szCs w:val="20"/>
          </w:rPr>
          <w:fldChar w:fldCharType="separate"/>
        </w:r>
        <w:r w:rsidR="00346308">
          <w:rPr>
            <w:rFonts w:ascii="Times New Roman" w:hAnsi="Times New Roman"/>
            <w:noProof/>
            <w:sz w:val="20"/>
            <w:szCs w:val="20"/>
          </w:rPr>
          <w:t>5</w:t>
        </w:r>
        <w:r w:rsidRPr="00B02BEB">
          <w:rPr>
            <w:rFonts w:ascii="Times New Roman" w:hAnsi="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7DB" w:rsidRDefault="003A67DB" w:rsidP="00B02BEB">
      <w:pPr>
        <w:spacing w:after="0" w:line="240" w:lineRule="auto"/>
      </w:pPr>
      <w:r>
        <w:separator/>
      </w:r>
    </w:p>
  </w:footnote>
  <w:footnote w:type="continuationSeparator" w:id="0">
    <w:p w:rsidR="003A67DB" w:rsidRDefault="003A67DB" w:rsidP="00B02BEB">
      <w:pPr>
        <w:spacing w:after="0" w:line="240" w:lineRule="auto"/>
      </w:pPr>
      <w:r>
        <w:continuationSeparator/>
      </w:r>
    </w:p>
  </w:footnote>
  <w:footnote w:id="1">
    <w:p w:rsidR="002162D2" w:rsidRPr="00B94C08" w:rsidRDefault="002162D2" w:rsidP="00B94C08">
      <w:pPr>
        <w:pStyle w:val="ab"/>
        <w:jc w:val="both"/>
        <w:rPr>
          <w:rFonts w:ascii="Times New Roman" w:hAnsi="Times New Roman"/>
          <w:sz w:val="16"/>
          <w:szCs w:val="16"/>
        </w:rPr>
      </w:pPr>
      <w:r w:rsidRPr="00B94C08">
        <w:rPr>
          <w:rStyle w:val="ac"/>
          <w:rFonts w:ascii="Times New Roman" w:hAnsi="Times New Roman"/>
          <w:sz w:val="16"/>
          <w:szCs w:val="16"/>
        </w:rPr>
        <w:footnoteRef/>
      </w:r>
      <w:r w:rsidRPr="00B94C08">
        <w:rPr>
          <w:rFonts w:ascii="Times New Roman" w:hAnsi="Times New Roman"/>
          <w:sz w:val="16"/>
          <w:szCs w:val="16"/>
        </w:rPr>
        <w:t xml:space="preserve"> *Corresponding author. This paper is in the context of the cooperation of ICODECON with your journal.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5EEB"/>
    <w:multiLevelType w:val="multilevel"/>
    <w:tmpl w:val="4542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492C99"/>
    <w:multiLevelType w:val="multilevel"/>
    <w:tmpl w:val="2B0A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036F07"/>
    <w:multiLevelType w:val="hybridMultilevel"/>
    <w:tmpl w:val="1EAACB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F2E64DA"/>
    <w:multiLevelType w:val="multilevel"/>
    <w:tmpl w:val="7742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366EAE"/>
    <w:multiLevelType w:val="multilevel"/>
    <w:tmpl w:val="B3380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F146C0"/>
    <w:multiLevelType w:val="multilevel"/>
    <w:tmpl w:val="F7BC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2B6B0C"/>
    <w:multiLevelType w:val="hybridMultilevel"/>
    <w:tmpl w:val="132015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FB444A2"/>
    <w:multiLevelType w:val="multilevel"/>
    <w:tmpl w:val="8DEA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E5E5A49"/>
    <w:multiLevelType w:val="multilevel"/>
    <w:tmpl w:val="E6DE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423940"/>
    <w:multiLevelType w:val="multilevel"/>
    <w:tmpl w:val="21EC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B6F35BA"/>
    <w:multiLevelType w:val="hybridMultilevel"/>
    <w:tmpl w:val="B5D41D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1F90BF3"/>
    <w:multiLevelType w:val="hybridMultilevel"/>
    <w:tmpl w:val="190AF0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9666D85"/>
    <w:multiLevelType w:val="multilevel"/>
    <w:tmpl w:val="9D0E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CB43234"/>
    <w:multiLevelType w:val="multilevel"/>
    <w:tmpl w:val="8704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0AD14E7"/>
    <w:multiLevelType w:val="multilevel"/>
    <w:tmpl w:val="2278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8CE7EB2"/>
    <w:multiLevelType w:val="multilevel"/>
    <w:tmpl w:val="8B826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F264CA6"/>
    <w:multiLevelType w:val="multilevel"/>
    <w:tmpl w:val="A54A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4681AC1"/>
    <w:multiLevelType w:val="multilevel"/>
    <w:tmpl w:val="4464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4CA3885"/>
    <w:multiLevelType w:val="hybridMultilevel"/>
    <w:tmpl w:val="04407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ED631EB"/>
    <w:multiLevelType w:val="multilevel"/>
    <w:tmpl w:val="87B0E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8"/>
  </w:num>
  <w:num w:numId="3">
    <w:abstractNumId w:val="11"/>
  </w:num>
  <w:num w:numId="4">
    <w:abstractNumId w:val="7"/>
  </w:num>
  <w:num w:numId="5">
    <w:abstractNumId w:val="12"/>
  </w:num>
  <w:num w:numId="6">
    <w:abstractNumId w:val="15"/>
  </w:num>
  <w:num w:numId="7">
    <w:abstractNumId w:val="16"/>
  </w:num>
  <w:num w:numId="8">
    <w:abstractNumId w:val="1"/>
  </w:num>
  <w:num w:numId="9">
    <w:abstractNumId w:val="14"/>
  </w:num>
  <w:num w:numId="10">
    <w:abstractNumId w:val="8"/>
  </w:num>
  <w:num w:numId="11">
    <w:abstractNumId w:val="19"/>
  </w:num>
  <w:num w:numId="12">
    <w:abstractNumId w:val="2"/>
  </w:num>
  <w:num w:numId="13">
    <w:abstractNumId w:val="4"/>
  </w:num>
  <w:num w:numId="14">
    <w:abstractNumId w:val="0"/>
  </w:num>
  <w:num w:numId="15">
    <w:abstractNumId w:val="10"/>
  </w:num>
  <w:num w:numId="16">
    <w:abstractNumId w:val="13"/>
  </w:num>
  <w:num w:numId="17">
    <w:abstractNumId w:val="3"/>
  </w:num>
  <w:num w:numId="18">
    <w:abstractNumId w:val="17"/>
  </w:num>
  <w:num w:numId="19">
    <w:abstractNumId w:val="5"/>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B1C25"/>
    <w:rsid w:val="000159EF"/>
    <w:rsid w:val="00020E84"/>
    <w:rsid w:val="00033AA5"/>
    <w:rsid w:val="00080F1B"/>
    <w:rsid w:val="000972A4"/>
    <w:rsid w:val="00097DEC"/>
    <w:rsid w:val="000A10C0"/>
    <w:rsid w:val="000D0589"/>
    <w:rsid w:val="000E1F80"/>
    <w:rsid w:val="000F1E5F"/>
    <w:rsid w:val="00124C5A"/>
    <w:rsid w:val="00137C10"/>
    <w:rsid w:val="00156AC5"/>
    <w:rsid w:val="001708F1"/>
    <w:rsid w:val="0017363D"/>
    <w:rsid w:val="00173B34"/>
    <w:rsid w:val="00175BBF"/>
    <w:rsid w:val="0018122F"/>
    <w:rsid w:val="00185307"/>
    <w:rsid w:val="00192348"/>
    <w:rsid w:val="001926A7"/>
    <w:rsid w:val="00193FB1"/>
    <w:rsid w:val="001B19F0"/>
    <w:rsid w:val="001C2BDA"/>
    <w:rsid w:val="001C5E58"/>
    <w:rsid w:val="001D062F"/>
    <w:rsid w:val="001E02B0"/>
    <w:rsid w:val="001E7142"/>
    <w:rsid w:val="001E7213"/>
    <w:rsid w:val="001F6DE7"/>
    <w:rsid w:val="00202EA4"/>
    <w:rsid w:val="0020626A"/>
    <w:rsid w:val="00210EA5"/>
    <w:rsid w:val="002113B3"/>
    <w:rsid w:val="002162D2"/>
    <w:rsid w:val="0023021C"/>
    <w:rsid w:val="002443AE"/>
    <w:rsid w:val="00246F2F"/>
    <w:rsid w:val="002519D8"/>
    <w:rsid w:val="00260D86"/>
    <w:rsid w:val="00265D52"/>
    <w:rsid w:val="0026682A"/>
    <w:rsid w:val="00266E19"/>
    <w:rsid w:val="00274446"/>
    <w:rsid w:val="00286D36"/>
    <w:rsid w:val="002952BF"/>
    <w:rsid w:val="002A1D23"/>
    <w:rsid w:val="002A6353"/>
    <w:rsid w:val="002A7F58"/>
    <w:rsid w:val="002B51E1"/>
    <w:rsid w:val="002C0A45"/>
    <w:rsid w:val="002F4F89"/>
    <w:rsid w:val="00306A0F"/>
    <w:rsid w:val="00311D59"/>
    <w:rsid w:val="003263AA"/>
    <w:rsid w:val="00346308"/>
    <w:rsid w:val="003634BF"/>
    <w:rsid w:val="00367410"/>
    <w:rsid w:val="00374956"/>
    <w:rsid w:val="00386B10"/>
    <w:rsid w:val="00391000"/>
    <w:rsid w:val="003940B6"/>
    <w:rsid w:val="003A021E"/>
    <w:rsid w:val="003A67DB"/>
    <w:rsid w:val="003B44D3"/>
    <w:rsid w:val="003C59C3"/>
    <w:rsid w:val="003D2CEF"/>
    <w:rsid w:val="003D5CF3"/>
    <w:rsid w:val="003D72DA"/>
    <w:rsid w:val="003E7F7D"/>
    <w:rsid w:val="003F5196"/>
    <w:rsid w:val="003F5912"/>
    <w:rsid w:val="00400463"/>
    <w:rsid w:val="0040350A"/>
    <w:rsid w:val="0041244F"/>
    <w:rsid w:val="00421501"/>
    <w:rsid w:val="00444E54"/>
    <w:rsid w:val="00450AD9"/>
    <w:rsid w:val="0045473E"/>
    <w:rsid w:val="0046245E"/>
    <w:rsid w:val="00463FEC"/>
    <w:rsid w:val="0046506F"/>
    <w:rsid w:val="0047187A"/>
    <w:rsid w:val="00474DFA"/>
    <w:rsid w:val="00485328"/>
    <w:rsid w:val="004A0C8F"/>
    <w:rsid w:val="004B031D"/>
    <w:rsid w:val="004C34DA"/>
    <w:rsid w:val="004D281B"/>
    <w:rsid w:val="004E6C75"/>
    <w:rsid w:val="004E6E82"/>
    <w:rsid w:val="004F71E7"/>
    <w:rsid w:val="00503C3E"/>
    <w:rsid w:val="005077F1"/>
    <w:rsid w:val="00515ADA"/>
    <w:rsid w:val="00516499"/>
    <w:rsid w:val="00521777"/>
    <w:rsid w:val="00527A83"/>
    <w:rsid w:val="00543742"/>
    <w:rsid w:val="00543D04"/>
    <w:rsid w:val="00554446"/>
    <w:rsid w:val="00565075"/>
    <w:rsid w:val="00574B34"/>
    <w:rsid w:val="00580532"/>
    <w:rsid w:val="00585CB6"/>
    <w:rsid w:val="00587B37"/>
    <w:rsid w:val="0059789D"/>
    <w:rsid w:val="005A1D30"/>
    <w:rsid w:val="005B1D37"/>
    <w:rsid w:val="005D1ABA"/>
    <w:rsid w:val="005E1075"/>
    <w:rsid w:val="005E6F8B"/>
    <w:rsid w:val="005F258F"/>
    <w:rsid w:val="00601F23"/>
    <w:rsid w:val="006103BA"/>
    <w:rsid w:val="006210BB"/>
    <w:rsid w:val="0063365F"/>
    <w:rsid w:val="006349B3"/>
    <w:rsid w:val="00645EF0"/>
    <w:rsid w:val="0065701D"/>
    <w:rsid w:val="00680169"/>
    <w:rsid w:val="00680F6E"/>
    <w:rsid w:val="00693E2D"/>
    <w:rsid w:val="006A381D"/>
    <w:rsid w:val="006B0BE2"/>
    <w:rsid w:val="006B1C25"/>
    <w:rsid w:val="006B43A1"/>
    <w:rsid w:val="006B474A"/>
    <w:rsid w:val="006B6AF8"/>
    <w:rsid w:val="006C00C5"/>
    <w:rsid w:val="006C77F9"/>
    <w:rsid w:val="006D0AF1"/>
    <w:rsid w:val="006F14FB"/>
    <w:rsid w:val="006F7967"/>
    <w:rsid w:val="00723E50"/>
    <w:rsid w:val="007314BC"/>
    <w:rsid w:val="00747ED4"/>
    <w:rsid w:val="00774553"/>
    <w:rsid w:val="007863D0"/>
    <w:rsid w:val="00786C28"/>
    <w:rsid w:val="00787809"/>
    <w:rsid w:val="00787FCA"/>
    <w:rsid w:val="007906C0"/>
    <w:rsid w:val="00790962"/>
    <w:rsid w:val="00791C30"/>
    <w:rsid w:val="007A6657"/>
    <w:rsid w:val="007A6867"/>
    <w:rsid w:val="007B7BDE"/>
    <w:rsid w:val="007C30EA"/>
    <w:rsid w:val="007E63FA"/>
    <w:rsid w:val="007F12E7"/>
    <w:rsid w:val="0081424E"/>
    <w:rsid w:val="00817173"/>
    <w:rsid w:val="00817D37"/>
    <w:rsid w:val="00824027"/>
    <w:rsid w:val="00825B96"/>
    <w:rsid w:val="00835F06"/>
    <w:rsid w:val="008407B4"/>
    <w:rsid w:val="00843202"/>
    <w:rsid w:val="00846005"/>
    <w:rsid w:val="008471B8"/>
    <w:rsid w:val="00854231"/>
    <w:rsid w:val="00855C6C"/>
    <w:rsid w:val="00864040"/>
    <w:rsid w:val="008748AD"/>
    <w:rsid w:val="00875DFF"/>
    <w:rsid w:val="008B5B24"/>
    <w:rsid w:val="008E2C71"/>
    <w:rsid w:val="008E59B2"/>
    <w:rsid w:val="008F225E"/>
    <w:rsid w:val="00917C86"/>
    <w:rsid w:val="009401AE"/>
    <w:rsid w:val="00945934"/>
    <w:rsid w:val="0095120F"/>
    <w:rsid w:val="00952F71"/>
    <w:rsid w:val="00960BF8"/>
    <w:rsid w:val="0098756D"/>
    <w:rsid w:val="00994764"/>
    <w:rsid w:val="00996E50"/>
    <w:rsid w:val="00997E47"/>
    <w:rsid w:val="009A2736"/>
    <w:rsid w:val="009A6F4D"/>
    <w:rsid w:val="009C3DA4"/>
    <w:rsid w:val="009C4D14"/>
    <w:rsid w:val="009C7DB8"/>
    <w:rsid w:val="009D44C7"/>
    <w:rsid w:val="009D4F06"/>
    <w:rsid w:val="009E0D34"/>
    <w:rsid w:val="009E318D"/>
    <w:rsid w:val="009E6A19"/>
    <w:rsid w:val="009F31C9"/>
    <w:rsid w:val="00A006AD"/>
    <w:rsid w:val="00A05E00"/>
    <w:rsid w:val="00A300F3"/>
    <w:rsid w:val="00A3516A"/>
    <w:rsid w:val="00A3564C"/>
    <w:rsid w:val="00A35EC0"/>
    <w:rsid w:val="00A451FE"/>
    <w:rsid w:val="00A45A44"/>
    <w:rsid w:val="00A46C43"/>
    <w:rsid w:val="00A57292"/>
    <w:rsid w:val="00A64521"/>
    <w:rsid w:val="00A91C7F"/>
    <w:rsid w:val="00AB7890"/>
    <w:rsid w:val="00AC4A67"/>
    <w:rsid w:val="00AD1C16"/>
    <w:rsid w:val="00AF6120"/>
    <w:rsid w:val="00B02BEB"/>
    <w:rsid w:val="00B036C3"/>
    <w:rsid w:val="00B07093"/>
    <w:rsid w:val="00B11FD0"/>
    <w:rsid w:val="00B12D4F"/>
    <w:rsid w:val="00B3230F"/>
    <w:rsid w:val="00B415C8"/>
    <w:rsid w:val="00B45760"/>
    <w:rsid w:val="00B66835"/>
    <w:rsid w:val="00B71231"/>
    <w:rsid w:val="00B72C7F"/>
    <w:rsid w:val="00B94C08"/>
    <w:rsid w:val="00B969E1"/>
    <w:rsid w:val="00BA24E0"/>
    <w:rsid w:val="00BB4630"/>
    <w:rsid w:val="00BC4DE1"/>
    <w:rsid w:val="00BC5079"/>
    <w:rsid w:val="00BE301A"/>
    <w:rsid w:val="00C160FB"/>
    <w:rsid w:val="00C248F8"/>
    <w:rsid w:val="00C36413"/>
    <w:rsid w:val="00C421DC"/>
    <w:rsid w:val="00C45D09"/>
    <w:rsid w:val="00C45D9C"/>
    <w:rsid w:val="00C477D5"/>
    <w:rsid w:val="00C512DE"/>
    <w:rsid w:val="00C51BA0"/>
    <w:rsid w:val="00C6018B"/>
    <w:rsid w:val="00C668D3"/>
    <w:rsid w:val="00C90316"/>
    <w:rsid w:val="00CA160A"/>
    <w:rsid w:val="00CC7FF8"/>
    <w:rsid w:val="00CE5B6B"/>
    <w:rsid w:val="00CF1BDF"/>
    <w:rsid w:val="00CF4F4B"/>
    <w:rsid w:val="00CF62EA"/>
    <w:rsid w:val="00D03F96"/>
    <w:rsid w:val="00D04F14"/>
    <w:rsid w:val="00D07600"/>
    <w:rsid w:val="00D146F7"/>
    <w:rsid w:val="00D239A2"/>
    <w:rsid w:val="00D334CD"/>
    <w:rsid w:val="00D475BD"/>
    <w:rsid w:val="00D56754"/>
    <w:rsid w:val="00D65DAD"/>
    <w:rsid w:val="00D87000"/>
    <w:rsid w:val="00D93EFA"/>
    <w:rsid w:val="00D95BD7"/>
    <w:rsid w:val="00DA7145"/>
    <w:rsid w:val="00DB3359"/>
    <w:rsid w:val="00DB5699"/>
    <w:rsid w:val="00DC1394"/>
    <w:rsid w:val="00DC3480"/>
    <w:rsid w:val="00DC4AAB"/>
    <w:rsid w:val="00DE4930"/>
    <w:rsid w:val="00E0657F"/>
    <w:rsid w:val="00E11ABE"/>
    <w:rsid w:val="00E12A2E"/>
    <w:rsid w:val="00E27ADD"/>
    <w:rsid w:val="00E311B5"/>
    <w:rsid w:val="00E34D12"/>
    <w:rsid w:val="00E35122"/>
    <w:rsid w:val="00E676D3"/>
    <w:rsid w:val="00E82882"/>
    <w:rsid w:val="00E90855"/>
    <w:rsid w:val="00E964A6"/>
    <w:rsid w:val="00EA7BB7"/>
    <w:rsid w:val="00EB06AB"/>
    <w:rsid w:val="00EC3A74"/>
    <w:rsid w:val="00EE370B"/>
    <w:rsid w:val="00EE5D65"/>
    <w:rsid w:val="00EF4631"/>
    <w:rsid w:val="00EF59D2"/>
    <w:rsid w:val="00F0150E"/>
    <w:rsid w:val="00F12E8B"/>
    <w:rsid w:val="00F23CD7"/>
    <w:rsid w:val="00F23F65"/>
    <w:rsid w:val="00F27D4E"/>
    <w:rsid w:val="00F67B6B"/>
    <w:rsid w:val="00F87DDF"/>
    <w:rsid w:val="00F9452B"/>
    <w:rsid w:val="00FB0C75"/>
    <w:rsid w:val="00FB1F9F"/>
    <w:rsid w:val="00FC3D2C"/>
    <w:rsid w:val="00FE331D"/>
    <w:rsid w:val="00FE4C8F"/>
    <w:rsid w:val="00FE69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C25"/>
    <w:pPr>
      <w:spacing w:after="200" w:line="276" w:lineRule="auto"/>
      <w:jc w:val="left"/>
    </w:pPr>
    <w:rPr>
      <w:rFonts w:ascii="Calibri" w:eastAsia="Calibri" w:hAnsi="Calibri" w:cs="Times New Roman"/>
      <w:lang w:val="en-US"/>
    </w:rPr>
  </w:style>
  <w:style w:type="paragraph" w:styleId="2">
    <w:name w:val="heading 2"/>
    <w:basedOn w:val="a"/>
    <w:link w:val="2Char"/>
    <w:uiPriority w:val="9"/>
    <w:qFormat/>
    <w:rsid w:val="007A6657"/>
    <w:pPr>
      <w:spacing w:before="100" w:beforeAutospacing="1" w:after="100" w:afterAutospacing="1" w:line="240" w:lineRule="auto"/>
      <w:outlineLvl w:val="1"/>
    </w:pPr>
    <w:rPr>
      <w:rFonts w:ascii="Times New Roman" w:eastAsia="Times New Roman" w:hAnsi="Times New Roman"/>
      <w:b/>
      <w:bCs/>
      <w:sz w:val="36"/>
      <w:szCs w:val="36"/>
      <w:lang w:val="el-GR" w:eastAsia="el-GR"/>
    </w:rPr>
  </w:style>
  <w:style w:type="paragraph" w:styleId="3">
    <w:name w:val="heading 3"/>
    <w:basedOn w:val="a"/>
    <w:next w:val="a"/>
    <w:link w:val="3Char"/>
    <w:uiPriority w:val="9"/>
    <w:semiHidden/>
    <w:unhideWhenUsed/>
    <w:qFormat/>
    <w:rsid w:val="00286D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6B1C25"/>
    <w:rPr>
      <w:color w:val="0000FF"/>
      <w:u w:val="single"/>
    </w:rPr>
  </w:style>
  <w:style w:type="paragraph" w:styleId="a3">
    <w:name w:val="header"/>
    <w:basedOn w:val="a"/>
    <w:link w:val="Char"/>
    <w:uiPriority w:val="99"/>
    <w:semiHidden/>
    <w:unhideWhenUsed/>
    <w:rsid w:val="00B02BEB"/>
    <w:pPr>
      <w:tabs>
        <w:tab w:val="center" w:pos="4153"/>
        <w:tab w:val="right" w:pos="8306"/>
      </w:tabs>
      <w:spacing w:after="0" w:line="240" w:lineRule="auto"/>
    </w:pPr>
  </w:style>
  <w:style w:type="character" w:customStyle="1" w:styleId="Char">
    <w:name w:val="Κεφαλίδα Char"/>
    <w:basedOn w:val="a0"/>
    <w:link w:val="a3"/>
    <w:uiPriority w:val="99"/>
    <w:semiHidden/>
    <w:rsid w:val="00B02BEB"/>
    <w:rPr>
      <w:rFonts w:ascii="Calibri" w:eastAsia="Calibri" w:hAnsi="Calibri" w:cs="Times New Roman"/>
      <w:lang w:val="en-US"/>
    </w:rPr>
  </w:style>
  <w:style w:type="paragraph" w:styleId="a4">
    <w:name w:val="footer"/>
    <w:basedOn w:val="a"/>
    <w:link w:val="Char0"/>
    <w:uiPriority w:val="99"/>
    <w:unhideWhenUsed/>
    <w:rsid w:val="00B02BEB"/>
    <w:pPr>
      <w:tabs>
        <w:tab w:val="center" w:pos="4153"/>
        <w:tab w:val="right" w:pos="8306"/>
      </w:tabs>
      <w:spacing w:after="0" w:line="240" w:lineRule="auto"/>
    </w:pPr>
  </w:style>
  <w:style w:type="character" w:customStyle="1" w:styleId="Char0">
    <w:name w:val="Υποσέλιδο Char"/>
    <w:basedOn w:val="a0"/>
    <w:link w:val="a4"/>
    <w:uiPriority w:val="99"/>
    <w:rsid w:val="00B02BEB"/>
    <w:rPr>
      <w:rFonts w:ascii="Calibri" w:eastAsia="Calibri" w:hAnsi="Calibri" w:cs="Times New Roman"/>
      <w:lang w:val="en-US"/>
    </w:rPr>
  </w:style>
  <w:style w:type="paragraph" w:customStyle="1" w:styleId="comp">
    <w:name w:val="comp"/>
    <w:basedOn w:val="a"/>
    <w:rsid w:val="007A6657"/>
    <w:pPr>
      <w:spacing w:before="100" w:beforeAutospacing="1" w:after="100" w:afterAutospacing="1" w:line="240" w:lineRule="auto"/>
    </w:pPr>
    <w:rPr>
      <w:rFonts w:ascii="Times New Roman" w:eastAsia="Times New Roman" w:hAnsi="Times New Roman"/>
      <w:sz w:val="24"/>
      <w:szCs w:val="24"/>
      <w:lang w:val="el-GR" w:eastAsia="el-GR"/>
    </w:rPr>
  </w:style>
  <w:style w:type="character" w:customStyle="1" w:styleId="2Char">
    <w:name w:val="Επικεφαλίδα 2 Char"/>
    <w:basedOn w:val="a0"/>
    <w:link w:val="2"/>
    <w:uiPriority w:val="9"/>
    <w:rsid w:val="007A6657"/>
    <w:rPr>
      <w:rFonts w:ascii="Times New Roman" w:eastAsia="Times New Roman" w:hAnsi="Times New Roman" w:cs="Times New Roman"/>
      <w:b/>
      <w:bCs/>
      <w:sz w:val="36"/>
      <w:szCs w:val="36"/>
      <w:lang w:eastAsia="el-GR"/>
    </w:rPr>
  </w:style>
  <w:style w:type="character" w:customStyle="1" w:styleId="mntl-sc-block-headingtext">
    <w:name w:val="mntl-sc-block-heading__text"/>
    <w:basedOn w:val="a0"/>
    <w:rsid w:val="007A6657"/>
  </w:style>
  <w:style w:type="character" w:styleId="a5">
    <w:name w:val="Strong"/>
    <w:basedOn w:val="a0"/>
    <w:uiPriority w:val="22"/>
    <w:qFormat/>
    <w:rsid w:val="005E6F8B"/>
    <w:rPr>
      <w:b/>
      <w:bCs/>
    </w:rPr>
  </w:style>
  <w:style w:type="paragraph" w:styleId="a6">
    <w:name w:val="List Paragraph"/>
    <w:basedOn w:val="a"/>
    <w:uiPriority w:val="34"/>
    <w:qFormat/>
    <w:rsid w:val="005E6F8B"/>
    <w:pPr>
      <w:ind w:left="720"/>
      <w:contextualSpacing/>
    </w:pPr>
  </w:style>
  <w:style w:type="paragraph" w:styleId="a7">
    <w:name w:val="Balloon Text"/>
    <w:basedOn w:val="a"/>
    <w:link w:val="Char1"/>
    <w:uiPriority w:val="99"/>
    <w:semiHidden/>
    <w:unhideWhenUsed/>
    <w:rsid w:val="00A006A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A006AD"/>
    <w:rPr>
      <w:rFonts w:ascii="Tahoma" w:eastAsia="Calibri" w:hAnsi="Tahoma" w:cs="Tahoma"/>
      <w:sz w:val="16"/>
      <w:szCs w:val="16"/>
      <w:lang w:val="en-US"/>
    </w:rPr>
  </w:style>
  <w:style w:type="paragraph" w:styleId="Web">
    <w:name w:val="Normal (Web)"/>
    <w:basedOn w:val="a"/>
    <w:uiPriority w:val="99"/>
    <w:unhideWhenUsed/>
    <w:rsid w:val="00952F71"/>
    <w:pPr>
      <w:spacing w:before="100" w:beforeAutospacing="1" w:after="100" w:afterAutospacing="1" w:line="240" w:lineRule="auto"/>
    </w:pPr>
    <w:rPr>
      <w:rFonts w:ascii="Times New Roman" w:eastAsia="Times New Roman" w:hAnsi="Times New Roman"/>
      <w:sz w:val="24"/>
      <w:szCs w:val="24"/>
      <w:lang w:val="el-GR" w:eastAsia="el-GR"/>
    </w:rPr>
  </w:style>
  <w:style w:type="paragraph" w:styleId="a8">
    <w:name w:val="caption"/>
    <w:basedOn w:val="a"/>
    <w:next w:val="a"/>
    <w:uiPriority w:val="35"/>
    <w:unhideWhenUsed/>
    <w:qFormat/>
    <w:rsid w:val="00994764"/>
    <w:pPr>
      <w:spacing w:line="240" w:lineRule="auto"/>
    </w:pPr>
    <w:rPr>
      <w:b/>
      <w:bCs/>
      <w:color w:val="4F81BD" w:themeColor="accent1"/>
      <w:sz w:val="18"/>
      <w:szCs w:val="18"/>
    </w:rPr>
  </w:style>
  <w:style w:type="character" w:customStyle="1" w:styleId="3Char">
    <w:name w:val="Επικεφαλίδα 3 Char"/>
    <w:basedOn w:val="a0"/>
    <w:link w:val="3"/>
    <w:uiPriority w:val="9"/>
    <w:semiHidden/>
    <w:rsid w:val="00286D36"/>
    <w:rPr>
      <w:rFonts w:asciiTheme="majorHAnsi" w:eastAsiaTheme="majorEastAsia" w:hAnsiTheme="majorHAnsi" w:cstheme="majorBidi"/>
      <w:b/>
      <w:bCs/>
      <w:color w:val="4F81BD" w:themeColor="accent1"/>
      <w:lang w:val="en-US"/>
    </w:rPr>
  </w:style>
  <w:style w:type="character" w:customStyle="1" w:styleId="mntl-sc-block-subheadingtext">
    <w:name w:val="mntl-sc-block-subheading__text"/>
    <w:basedOn w:val="a0"/>
    <w:rsid w:val="00843202"/>
  </w:style>
  <w:style w:type="paragraph" w:customStyle="1" w:styleId="Default">
    <w:name w:val="Default"/>
    <w:rsid w:val="005F258F"/>
    <w:pPr>
      <w:autoSpaceDE w:val="0"/>
      <w:autoSpaceDN w:val="0"/>
      <w:adjustRightInd w:val="0"/>
      <w:spacing w:line="240" w:lineRule="auto"/>
      <w:jc w:val="left"/>
    </w:pPr>
    <w:rPr>
      <w:rFonts w:ascii="Times New Roman" w:hAnsi="Times New Roman" w:cs="Times New Roman"/>
      <w:color w:val="000000"/>
      <w:sz w:val="24"/>
      <w:szCs w:val="24"/>
    </w:rPr>
  </w:style>
  <w:style w:type="character" w:customStyle="1" w:styleId="vfppkd-vqzf8d">
    <w:name w:val="vfppkd-vqzf8d"/>
    <w:basedOn w:val="a0"/>
    <w:rsid w:val="00B94C08"/>
  </w:style>
  <w:style w:type="paragraph" w:styleId="a9">
    <w:name w:val="endnote text"/>
    <w:basedOn w:val="a"/>
    <w:link w:val="Char2"/>
    <w:uiPriority w:val="99"/>
    <w:semiHidden/>
    <w:unhideWhenUsed/>
    <w:rsid w:val="00B94C08"/>
    <w:pPr>
      <w:spacing w:after="0" w:line="240" w:lineRule="auto"/>
    </w:pPr>
    <w:rPr>
      <w:sz w:val="20"/>
      <w:szCs w:val="20"/>
    </w:rPr>
  </w:style>
  <w:style w:type="character" w:customStyle="1" w:styleId="Char2">
    <w:name w:val="Κείμενο σημείωσης τέλους Char"/>
    <w:basedOn w:val="a0"/>
    <w:link w:val="a9"/>
    <w:uiPriority w:val="99"/>
    <w:semiHidden/>
    <w:rsid w:val="00B94C08"/>
    <w:rPr>
      <w:rFonts w:ascii="Calibri" w:eastAsia="Calibri" w:hAnsi="Calibri" w:cs="Times New Roman"/>
      <w:sz w:val="20"/>
      <w:szCs w:val="20"/>
      <w:lang w:val="en-US"/>
    </w:rPr>
  </w:style>
  <w:style w:type="character" w:styleId="aa">
    <w:name w:val="endnote reference"/>
    <w:basedOn w:val="a0"/>
    <w:uiPriority w:val="99"/>
    <w:semiHidden/>
    <w:unhideWhenUsed/>
    <w:rsid w:val="00B94C08"/>
    <w:rPr>
      <w:vertAlign w:val="superscript"/>
    </w:rPr>
  </w:style>
  <w:style w:type="paragraph" w:styleId="ab">
    <w:name w:val="footnote text"/>
    <w:basedOn w:val="a"/>
    <w:link w:val="Char3"/>
    <w:uiPriority w:val="99"/>
    <w:semiHidden/>
    <w:unhideWhenUsed/>
    <w:rsid w:val="00B94C08"/>
    <w:pPr>
      <w:spacing w:after="0" w:line="240" w:lineRule="auto"/>
    </w:pPr>
    <w:rPr>
      <w:sz w:val="20"/>
      <w:szCs w:val="20"/>
    </w:rPr>
  </w:style>
  <w:style w:type="character" w:customStyle="1" w:styleId="Char3">
    <w:name w:val="Κείμενο υποσημείωσης Char"/>
    <w:basedOn w:val="a0"/>
    <w:link w:val="ab"/>
    <w:uiPriority w:val="99"/>
    <w:semiHidden/>
    <w:rsid w:val="00B94C08"/>
    <w:rPr>
      <w:rFonts w:ascii="Calibri" w:eastAsia="Calibri" w:hAnsi="Calibri" w:cs="Times New Roman"/>
      <w:sz w:val="20"/>
      <w:szCs w:val="20"/>
      <w:lang w:val="en-US"/>
    </w:rPr>
  </w:style>
  <w:style w:type="character" w:styleId="ac">
    <w:name w:val="footnote reference"/>
    <w:basedOn w:val="a0"/>
    <w:uiPriority w:val="99"/>
    <w:semiHidden/>
    <w:unhideWhenUsed/>
    <w:rsid w:val="00B94C08"/>
    <w:rPr>
      <w:vertAlign w:val="superscript"/>
    </w:rPr>
  </w:style>
</w:styles>
</file>

<file path=word/webSettings.xml><?xml version="1.0" encoding="utf-8"?>
<w:webSettings xmlns:r="http://schemas.openxmlformats.org/officeDocument/2006/relationships" xmlns:w="http://schemas.openxmlformats.org/wordprocessingml/2006/main">
  <w:divs>
    <w:div w:id="14769207">
      <w:bodyDiv w:val="1"/>
      <w:marLeft w:val="0"/>
      <w:marRight w:val="0"/>
      <w:marTop w:val="0"/>
      <w:marBottom w:val="0"/>
      <w:divBdr>
        <w:top w:val="none" w:sz="0" w:space="0" w:color="auto"/>
        <w:left w:val="none" w:sz="0" w:space="0" w:color="auto"/>
        <w:bottom w:val="none" w:sz="0" w:space="0" w:color="auto"/>
        <w:right w:val="none" w:sz="0" w:space="0" w:color="auto"/>
      </w:divBdr>
      <w:divsChild>
        <w:div w:id="113332857">
          <w:marLeft w:val="0"/>
          <w:marRight w:val="0"/>
          <w:marTop w:val="0"/>
          <w:marBottom w:val="0"/>
          <w:divBdr>
            <w:top w:val="none" w:sz="0" w:space="0" w:color="auto"/>
            <w:left w:val="none" w:sz="0" w:space="0" w:color="auto"/>
            <w:bottom w:val="none" w:sz="0" w:space="0" w:color="auto"/>
            <w:right w:val="none" w:sz="0" w:space="0" w:color="auto"/>
          </w:divBdr>
        </w:div>
      </w:divsChild>
    </w:div>
    <w:div w:id="74401760">
      <w:bodyDiv w:val="1"/>
      <w:marLeft w:val="0"/>
      <w:marRight w:val="0"/>
      <w:marTop w:val="0"/>
      <w:marBottom w:val="0"/>
      <w:divBdr>
        <w:top w:val="none" w:sz="0" w:space="0" w:color="auto"/>
        <w:left w:val="none" w:sz="0" w:space="0" w:color="auto"/>
        <w:bottom w:val="none" w:sz="0" w:space="0" w:color="auto"/>
        <w:right w:val="none" w:sz="0" w:space="0" w:color="auto"/>
      </w:divBdr>
    </w:div>
    <w:div w:id="138232797">
      <w:bodyDiv w:val="1"/>
      <w:marLeft w:val="0"/>
      <w:marRight w:val="0"/>
      <w:marTop w:val="0"/>
      <w:marBottom w:val="0"/>
      <w:divBdr>
        <w:top w:val="none" w:sz="0" w:space="0" w:color="auto"/>
        <w:left w:val="none" w:sz="0" w:space="0" w:color="auto"/>
        <w:bottom w:val="none" w:sz="0" w:space="0" w:color="auto"/>
        <w:right w:val="none" w:sz="0" w:space="0" w:color="auto"/>
      </w:divBdr>
    </w:div>
    <w:div w:id="268128367">
      <w:bodyDiv w:val="1"/>
      <w:marLeft w:val="0"/>
      <w:marRight w:val="0"/>
      <w:marTop w:val="0"/>
      <w:marBottom w:val="0"/>
      <w:divBdr>
        <w:top w:val="none" w:sz="0" w:space="0" w:color="auto"/>
        <w:left w:val="none" w:sz="0" w:space="0" w:color="auto"/>
        <w:bottom w:val="none" w:sz="0" w:space="0" w:color="auto"/>
        <w:right w:val="none" w:sz="0" w:space="0" w:color="auto"/>
      </w:divBdr>
    </w:div>
    <w:div w:id="271596304">
      <w:bodyDiv w:val="1"/>
      <w:marLeft w:val="0"/>
      <w:marRight w:val="0"/>
      <w:marTop w:val="0"/>
      <w:marBottom w:val="0"/>
      <w:divBdr>
        <w:top w:val="none" w:sz="0" w:space="0" w:color="auto"/>
        <w:left w:val="none" w:sz="0" w:space="0" w:color="auto"/>
        <w:bottom w:val="none" w:sz="0" w:space="0" w:color="auto"/>
        <w:right w:val="none" w:sz="0" w:space="0" w:color="auto"/>
      </w:divBdr>
    </w:div>
    <w:div w:id="276563952">
      <w:bodyDiv w:val="1"/>
      <w:marLeft w:val="0"/>
      <w:marRight w:val="0"/>
      <w:marTop w:val="0"/>
      <w:marBottom w:val="0"/>
      <w:divBdr>
        <w:top w:val="none" w:sz="0" w:space="0" w:color="auto"/>
        <w:left w:val="none" w:sz="0" w:space="0" w:color="auto"/>
        <w:bottom w:val="none" w:sz="0" w:space="0" w:color="auto"/>
        <w:right w:val="none" w:sz="0" w:space="0" w:color="auto"/>
      </w:divBdr>
    </w:div>
    <w:div w:id="293222124">
      <w:bodyDiv w:val="1"/>
      <w:marLeft w:val="0"/>
      <w:marRight w:val="0"/>
      <w:marTop w:val="0"/>
      <w:marBottom w:val="0"/>
      <w:divBdr>
        <w:top w:val="none" w:sz="0" w:space="0" w:color="auto"/>
        <w:left w:val="none" w:sz="0" w:space="0" w:color="auto"/>
        <w:bottom w:val="none" w:sz="0" w:space="0" w:color="auto"/>
        <w:right w:val="none" w:sz="0" w:space="0" w:color="auto"/>
      </w:divBdr>
    </w:div>
    <w:div w:id="475993870">
      <w:bodyDiv w:val="1"/>
      <w:marLeft w:val="0"/>
      <w:marRight w:val="0"/>
      <w:marTop w:val="0"/>
      <w:marBottom w:val="0"/>
      <w:divBdr>
        <w:top w:val="none" w:sz="0" w:space="0" w:color="auto"/>
        <w:left w:val="none" w:sz="0" w:space="0" w:color="auto"/>
        <w:bottom w:val="none" w:sz="0" w:space="0" w:color="auto"/>
        <w:right w:val="none" w:sz="0" w:space="0" w:color="auto"/>
      </w:divBdr>
    </w:div>
    <w:div w:id="564530686">
      <w:bodyDiv w:val="1"/>
      <w:marLeft w:val="0"/>
      <w:marRight w:val="0"/>
      <w:marTop w:val="0"/>
      <w:marBottom w:val="0"/>
      <w:divBdr>
        <w:top w:val="none" w:sz="0" w:space="0" w:color="auto"/>
        <w:left w:val="none" w:sz="0" w:space="0" w:color="auto"/>
        <w:bottom w:val="none" w:sz="0" w:space="0" w:color="auto"/>
        <w:right w:val="none" w:sz="0" w:space="0" w:color="auto"/>
      </w:divBdr>
    </w:div>
    <w:div w:id="695740232">
      <w:bodyDiv w:val="1"/>
      <w:marLeft w:val="0"/>
      <w:marRight w:val="0"/>
      <w:marTop w:val="0"/>
      <w:marBottom w:val="0"/>
      <w:divBdr>
        <w:top w:val="none" w:sz="0" w:space="0" w:color="auto"/>
        <w:left w:val="none" w:sz="0" w:space="0" w:color="auto"/>
        <w:bottom w:val="none" w:sz="0" w:space="0" w:color="auto"/>
        <w:right w:val="none" w:sz="0" w:space="0" w:color="auto"/>
      </w:divBdr>
    </w:div>
    <w:div w:id="898710471">
      <w:bodyDiv w:val="1"/>
      <w:marLeft w:val="0"/>
      <w:marRight w:val="0"/>
      <w:marTop w:val="0"/>
      <w:marBottom w:val="0"/>
      <w:divBdr>
        <w:top w:val="none" w:sz="0" w:space="0" w:color="auto"/>
        <w:left w:val="none" w:sz="0" w:space="0" w:color="auto"/>
        <w:bottom w:val="none" w:sz="0" w:space="0" w:color="auto"/>
        <w:right w:val="none" w:sz="0" w:space="0" w:color="auto"/>
      </w:divBdr>
    </w:div>
    <w:div w:id="948051285">
      <w:bodyDiv w:val="1"/>
      <w:marLeft w:val="0"/>
      <w:marRight w:val="0"/>
      <w:marTop w:val="0"/>
      <w:marBottom w:val="0"/>
      <w:divBdr>
        <w:top w:val="none" w:sz="0" w:space="0" w:color="auto"/>
        <w:left w:val="none" w:sz="0" w:space="0" w:color="auto"/>
        <w:bottom w:val="none" w:sz="0" w:space="0" w:color="auto"/>
        <w:right w:val="none" w:sz="0" w:space="0" w:color="auto"/>
      </w:divBdr>
    </w:div>
    <w:div w:id="971131679">
      <w:bodyDiv w:val="1"/>
      <w:marLeft w:val="0"/>
      <w:marRight w:val="0"/>
      <w:marTop w:val="0"/>
      <w:marBottom w:val="0"/>
      <w:divBdr>
        <w:top w:val="none" w:sz="0" w:space="0" w:color="auto"/>
        <w:left w:val="none" w:sz="0" w:space="0" w:color="auto"/>
        <w:bottom w:val="none" w:sz="0" w:space="0" w:color="auto"/>
        <w:right w:val="none" w:sz="0" w:space="0" w:color="auto"/>
      </w:divBdr>
    </w:div>
    <w:div w:id="1009679806">
      <w:bodyDiv w:val="1"/>
      <w:marLeft w:val="0"/>
      <w:marRight w:val="0"/>
      <w:marTop w:val="0"/>
      <w:marBottom w:val="0"/>
      <w:divBdr>
        <w:top w:val="none" w:sz="0" w:space="0" w:color="auto"/>
        <w:left w:val="none" w:sz="0" w:space="0" w:color="auto"/>
        <w:bottom w:val="none" w:sz="0" w:space="0" w:color="auto"/>
        <w:right w:val="none" w:sz="0" w:space="0" w:color="auto"/>
      </w:divBdr>
    </w:div>
    <w:div w:id="1042360604">
      <w:bodyDiv w:val="1"/>
      <w:marLeft w:val="0"/>
      <w:marRight w:val="0"/>
      <w:marTop w:val="0"/>
      <w:marBottom w:val="0"/>
      <w:divBdr>
        <w:top w:val="none" w:sz="0" w:space="0" w:color="auto"/>
        <w:left w:val="none" w:sz="0" w:space="0" w:color="auto"/>
        <w:bottom w:val="none" w:sz="0" w:space="0" w:color="auto"/>
        <w:right w:val="none" w:sz="0" w:space="0" w:color="auto"/>
      </w:divBdr>
    </w:div>
    <w:div w:id="1097558396">
      <w:bodyDiv w:val="1"/>
      <w:marLeft w:val="0"/>
      <w:marRight w:val="0"/>
      <w:marTop w:val="0"/>
      <w:marBottom w:val="0"/>
      <w:divBdr>
        <w:top w:val="none" w:sz="0" w:space="0" w:color="auto"/>
        <w:left w:val="none" w:sz="0" w:space="0" w:color="auto"/>
        <w:bottom w:val="none" w:sz="0" w:space="0" w:color="auto"/>
        <w:right w:val="none" w:sz="0" w:space="0" w:color="auto"/>
      </w:divBdr>
    </w:div>
    <w:div w:id="1249195014">
      <w:bodyDiv w:val="1"/>
      <w:marLeft w:val="0"/>
      <w:marRight w:val="0"/>
      <w:marTop w:val="0"/>
      <w:marBottom w:val="0"/>
      <w:divBdr>
        <w:top w:val="none" w:sz="0" w:space="0" w:color="auto"/>
        <w:left w:val="none" w:sz="0" w:space="0" w:color="auto"/>
        <w:bottom w:val="none" w:sz="0" w:space="0" w:color="auto"/>
        <w:right w:val="none" w:sz="0" w:space="0" w:color="auto"/>
      </w:divBdr>
    </w:div>
    <w:div w:id="1270697297">
      <w:bodyDiv w:val="1"/>
      <w:marLeft w:val="0"/>
      <w:marRight w:val="0"/>
      <w:marTop w:val="0"/>
      <w:marBottom w:val="0"/>
      <w:divBdr>
        <w:top w:val="none" w:sz="0" w:space="0" w:color="auto"/>
        <w:left w:val="none" w:sz="0" w:space="0" w:color="auto"/>
        <w:bottom w:val="none" w:sz="0" w:space="0" w:color="auto"/>
        <w:right w:val="none" w:sz="0" w:space="0" w:color="auto"/>
      </w:divBdr>
      <w:divsChild>
        <w:div w:id="1279021727">
          <w:marLeft w:val="0"/>
          <w:marRight w:val="0"/>
          <w:marTop w:val="0"/>
          <w:marBottom w:val="0"/>
          <w:divBdr>
            <w:top w:val="none" w:sz="0" w:space="0" w:color="auto"/>
            <w:left w:val="none" w:sz="0" w:space="0" w:color="auto"/>
            <w:bottom w:val="none" w:sz="0" w:space="0" w:color="auto"/>
            <w:right w:val="none" w:sz="0" w:space="0" w:color="auto"/>
          </w:divBdr>
          <w:divsChild>
            <w:div w:id="1763448612">
              <w:marLeft w:val="0"/>
              <w:marRight w:val="0"/>
              <w:marTop w:val="0"/>
              <w:marBottom w:val="0"/>
              <w:divBdr>
                <w:top w:val="none" w:sz="0" w:space="0" w:color="auto"/>
                <w:left w:val="none" w:sz="0" w:space="0" w:color="auto"/>
                <w:bottom w:val="none" w:sz="0" w:space="0" w:color="auto"/>
                <w:right w:val="none" w:sz="0" w:space="0" w:color="auto"/>
              </w:divBdr>
              <w:divsChild>
                <w:div w:id="1259556292">
                  <w:marLeft w:val="0"/>
                  <w:marRight w:val="0"/>
                  <w:marTop w:val="0"/>
                  <w:marBottom w:val="0"/>
                  <w:divBdr>
                    <w:top w:val="none" w:sz="0" w:space="0" w:color="auto"/>
                    <w:left w:val="none" w:sz="0" w:space="0" w:color="auto"/>
                    <w:bottom w:val="none" w:sz="0" w:space="0" w:color="auto"/>
                    <w:right w:val="none" w:sz="0" w:space="0" w:color="auto"/>
                  </w:divBdr>
                  <w:divsChild>
                    <w:div w:id="861016171">
                      <w:marLeft w:val="206"/>
                      <w:marRight w:val="206"/>
                      <w:marTop w:val="168"/>
                      <w:marBottom w:val="131"/>
                      <w:divBdr>
                        <w:top w:val="none" w:sz="0" w:space="0" w:color="auto"/>
                        <w:left w:val="none" w:sz="0" w:space="0" w:color="auto"/>
                        <w:bottom w:val="none" w:sz="0" w:space="0" w:color="auto"/>
                        <w:right w:val="none" w:sz="0" w:space="0" w:color="auto"/>
                      </w:divBdr>
                      <w:divsChild>
                        <w:div w:id="766849399">
                          <w:marLeft w:val="0"/>
                          <w:marRight w:val="0"/>
                          <w:marTop w:val="0"/>
                          <w:marBottom w:val="131"/>
                          <w:divBdr>
                            <w:top w:val="none" w:sz="0" w:space="0" w:color="auto"/>
                            <w:left w:val="none" w:sz="0" w:space="0" w:color="auto"/>
                            <w:bottom w:val="none" w:sz="0" w:space="0" w:color="auto"/>
                            <w:right w:val="none" w:sz="0" w:space="0" w:color="auto"/>
                          </w:divBdr>
                          <w:divsChild>
                            <w:div w:id="207570099">
                              <w:marLeft w:val="0"/>
                              <w:marRight w:val="0"/>
                              <w:marTop w:val="0"/>
                              <w:marBottom w:val="0"/>
                              <w:divBdr>
                                <w:top w:val="none" w:sz="0" w:space="0" w:color="auto"/>
                                <w:left w:val="none" w:sz="0" w:space="0" w:color="auto"/>
                                <w:bottom w:val="none" w:sz="0" w:space="0" w:color="auto"/>
                                <w:right w:val="none" w:sz="0" w:space="0" w:color="auto"/>
                              </w:divBdr>
                              <w:divsChild>
                                <w:div w:id="209639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32185">
                      <w:marLeft w:val="0"/>
                      <w:marRight w:val="0"/>
                      <w:marTop w:val="0"/>
                      <w:marBottom w:val="0"/>
                      <w:divBdr>
                        <w:top w:val="single" w:sz="4" w:space="0" w:color="DADCE0"/>
                        <w:left w:val="none" w:sz="0" w:space="0" w:color="auto"/>
                        <w:bottom w:val="none" w:sz="0" w:space="0" w:color="auto"/>
                        <w:right w:val="none" w:sz="0" w:space="0" w:color="auto"/>
                      </w:divBdr>
                      <w:divsChild>
                        <w:div w:id="17873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82997">
      <w:bodyDiv w:val="1"/>
      <w:marLeft w:val="0"/>
      <w:marRight w:val="0"/>
      <w:marTop w:val="0"/>
      <w:marBottom w:val="0"/>
      <w:divBdr>
        <w:top w:val="none" w:sz="0" w:space="0" w:color="auto"/>
        <w:left w:val="none" w:sz="0" w:space="0" w:color="auto"/>
        <w:bottom w:val="none" w:sz="0" w:space="0" w:color="auto"/>
        <w:right w:val="none" w:sz="0" w:space="0" w:color="auto"/>
      </w:divBdr>
      <w:divsChild>
        <w:div w:id="450325200">
          <w:marLeft w:val="0"/>
          <w:marRight w:val="0"/>
          <w:marTop w:val="0"/>
          <w:marBottom w:val="0"/>
          <w:divBdr>
            <w:top w:val="none" w:sz="0" w:space="0" w:color="auto"/>
            <w:left w:val="none" w:sz="0" w:space="0" w:color="auto"/>
            <w:bottom w:val="none" w:sz="0" w:space="0" w:color="auto"/>
            <w:right w:val="none" w:sz="0" w:space="0" w:color="auto"/>
          </w:divBdr>
        </w:div>
        <w:div w:id="727649980">
          <w:marLeft w:val="0"/>
          <w:marRight w:val="0"/>
          <w:marTop w:val="0"/>
          <w:marBottom w:val="0"/>
          <w:divBdr>
            <w:top w:val="none" w:sz="0" w:space="0" w:color="auto"/>
            <w:left w:val="none" w:sz="0" w:space="0" w:color="auto"/>
            <w:bottom w:val="none" w:sz="0" w:space="0" w:color="auto"/>
            <w:right w:val="none" w:sz="0" w:space="0" w:color="auto"/>
          </w:divBdr>
          <w:divsChild>
            <w:div w:id="16390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43512">
      <w:bodyDiv w:val="1"/>
      <w:marLeft w:val="0"/>
      <w:marRight w:val="0"/>
      <w:marTop w:val="0"/>
      <w:marBottom w:val="0"/>
      <w:divBdr>
        <w:top w:val="none" w:sz="0" w:space="0" w:color="auto"/>
        <w:left w:val="none" w:sz="0" w:space="0" w:color="auto"/>
        <w:bottom w:val="none" w:sz="0" w:space="0" w:color="auto"/>
        <w:right w:val="none" w:sz="0" w:space="0" w:color="auto"/>
      </w:divBdr>
    </w:div>
    <w:div w:id="1467117974">
      <w:bodyDiv w:val="1"/>
      <w:marLeft w:val="0"/>
      <w:marRight w:val="0"/>
      <w:marTop w:val="0"/>
      <w:marBottom w:val="0"/>
      <w:divBdr>
        <w:top w:val="none" w:sz="0" w:space="0" w:color="auto"/>
        <w:left w:val="none" w:sz="0" w:space="0" w:color="auto"/>
        <w:bottom w:val="none" w:sz="0" w:space="0" w:color="auto"/>
        <w:right w:val="none" w:sz="0" w:space="0" w:color="auto"/>
      </w:divBdr>
    </w:div>
    <w:div w:id="1508666370">
      <w:bodyDiv w:val="1"/>
      <w:marLeft w:val="0"/>
      <w:marRight w:val="0"/>
      <w:marTop w:val="0"/>
      <w:marBottom w:val="0"/>
      <w:divBdr>
        <w:top w:val="none" w:sz="0" w:space="0" w:color="auto"/>
        <w:left w:val="none" w:sz="0" w:space="0" w:color="auto"/>
        <w:bottom w:val="none" w:sz="0" w:space="0" w:color="auto"/>
        <w:right w:val="none" w:sz="0" w:space="0" w:color="auto"/>
      </w:divBdr>
    </w:div>
    <w:div w:id="1607155271">
      <w:bodyDiv w:val="1"/>
      <w:marLeft w:val="0"/>
      <w:marRight w:val="0"/>
      <w:marTop w:val="0"/>
      <w:marBottom w:val="0"/>
      <w:divBdr>
        <w:top w:val="none" w:sz="0" w:space="0" w:color="auto"/>
        <w:left w:val="none" w:sz="0" w:space="0" w:color="auto"/>
        <w:bottom w:val="none" w:sz="0" w:space="0" w:color="auto"/>
        <w:right w:val="none" w:sz="0" w:space="0" w:color="auto"/>
      </w:divBdr>
    </w:div>
    <w:div w:id="1613824497">
      <w:bodyDiv w:val="1"/>
      <w:marLeft w:val="0"/>
      <w:marRight w:val="0"/>
      <w:marTop w:val="0"/>
      <w:marBottom w:val="0"/>
      <w:divBdr>
        <w:top w:val="none" w:sz="0" w:space="0" w:color="auto"/>
        <w:left w:val="none" w:sz="0" w:space="0" w:color="auto"/>
        <w:bottom w:val="none" w:sz="0" w:space="0" w:color="auto"/>
        <w:right w:val="none" w:sz="0" w:space="0" w:color="auto"/>
      </w:divBdr>
    </w:div>
    <w:div w:id="1673753627">
      <w:bodyDiv w:val="1"/>
      <w:marLeft w:val="0"/>
      <w:marRight w:val="0"/>
      <w:marTop w:val="0"/>
      <w:marBottom w:val="0"/>
      <w:divBdr>
        <w:top w:val="none" w:sz="0" w:space="0" w:color="auto"/>
        <w:left w:val="none" w:sz="0" w:space="0" w:color="auto"/>
        <w:bottom w:val="none" w:sz="0" w:space="0" w:color="auto"/>
        <w:right w:val="none" w:sz="0" w:space="0" w:color="auto"/>
      </w:divBdr>
    </w:div>
    <w:div w:id="1807428779">
      <w:bodyDiv w:val="1"/>
      <w:marLeft w:val="0"/>
      <w:marRight w:val="0"/>
      <w:marTop w:val="0"/>
      <w:marBottom w:val="0"/>
      <w:divBdr>
        <w:top w:val="none" w:sz="0" w:space="0" w:color="auto"/>
        <w:left w:val="none" w:sz="0" w:space="0" w:color="auto"/>
        <w:bottom w:val="none" w:sz="0" w:space="0" w:color="auto"/>
        <w:right w:val="none" w:sz="0" w:space="0" w:color="auto"/>
      </w:divBdr>
    </w:div>
    <w:div w:id="1930191209">
      <w:bodyDiv w:val="1"/>
      <w:marLeft w:val="0"/>
      <w:marRight w:val="0"/>
      <w:marTop w:val="0"/>
      <w:marBottom w:val="0"/>
      <w:divBdr>
        <w:top w:val="none" w:sz="0" w:space="0" w:color="auto"/>
        <w:left w:val="none" w:sz="0" w:space="0" w:color="auto"/>
        <w:bottom w:val="none" w:sz="0" w:space="0" w:color="auto"/>
        <w:right w:val="none" w:sz="0" w:space="0" w:color="auto"/>
      </w:divBdr>
    </w:div>
    <w:div w:id="1953244471">
      <w:bodyDiv w:val="1"/>
      <w:marLeft w:val="0"/>
      <w:marRight w:val="0"/>
      <w:marTop w:val="0"/>
      <w:marBottom w:val="0"/>
      <w:divBdr>
        <w:top w:val="none" w:sz="0" w:space="0" w:color="auto"/>
        <w:left w:val="none" w:sz="0" w:space="0" w:color="auto"/>
        <w:bottom w:val="none" w:sz="0" w:space="0" w:color="auto"/>
        <w:right w:val="none" w:sz="0" w:space="0" w:color="auto"/>
      </w:divBdr>
    </w:div>
    <w:div w:id="1976637669">
      <w:bodyDiv w:val="1"/>
      <w:marLeft w:val="0"/>
      <w:marRight w:val="0"/>
      <w:marTop w:val="0"/>
      <w:marBottom w:val="0"/>
      <w:divBdr>
        <w:top w:val="none" w:sz="0" w:space="0" w:color="auto"/>
        <w:left w:val="none" w:sz="0" w:space="0" w:color="auto"/>
        <w:bottom w:val="none" w:sz="0" w:space="0" w:color="auto"/>
        <w:right w:val="none" w:sz="0" w:space="0" w:color="auto"/>
      </w:divBdr>
    </w:div>
    <w:div w:id="2026127245">
      <w:bodyDiv w:val="1"/>
      <w:marLeft w:val="0"/>
      <w:marRight w:val="0"/>
      <w:marTop w:val="0"/>
      <w:marBottom w:val="0"/>
      <w:divBdr>
        <w:top w:val="none" w:sz="0" w:space="0" w:color="auto"/>
        <w:left w:val="none" w:sz="0" w:space="0" w:color="auto"/>
        <w:bottom w:val="none" w:sz="0" w:space="0" w:color="auto"/>
        <w:right w:val="none" w:sz="0" w:space="0" w:color="auto"/>
      </w:divBdr>
    </w:div>
    <w:div w:id="2040810195">
      <w:bodyDiv w:val="1"/>
      <w:marLeft w:val="0"/>
      <w:marRight w:val="0"/>
      <w:marTop w:val="0"/>
      <w:marBottom w:val="0"/>
      <w:divBdr>
        <w:top w:val="none" w:sz="0" w:space="0" w:color="auto"/>
        <w:left w:val="none" w:sz="0" w:space="0" w:color="auto"/>
        <w:bottom w:val="none" w:sz="0" w:space="0" w:color="auto"/>
        <w:right w:val="none" w:sz="0" w:space="0" w:color="auto"/>
      </w:divBdr>
    </w:div>
    <w:div w:id="2089229224">
      <w:bodyDiv w:val="1"/>
      <w:marLeft w:val="0"/>
      <w:marRight w:val="0"/>
      <w:marTop w:val="0"/>
      <w:marBottom w:val="0"/>
      <w:divBdr>
        <w:top w:val="none" w:sz="0" w:space="0" w:color="auto"/>
        <w:left w:val="none" w:sz="0" w:space="0" w:color="auto"/>
        <w:bottom w:val="none" w:sz="0" w:space="0" w:color="auto"/>
        <w:right w:val="none" w:sz="0" w:space="0" w:color="auto"/>
      </w:divBdr>
    </w:div>
    <w:div w:id="209559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vestopedia.com/contributors/53677/" TargetMode="External"/><Relationship Id="rId18" Type="http://schemas.openxmlformats.org/officeDocument/2006/relationships/hyperlink" Target="https://www.investopedia.com/terms/v/verticalmerger.asp" TargetMode="External"/><Relationship Id="rId26" Type="http://schemas.openxmlformats.org/officeDocument/2006/relationships/hyperlink" Target="https://www.accountingtools.com/articles/profit" TargetMode="External"/><Relationship Id="rId39" Type="http://schemas.openxmlformats.org/officeDocument/2006/relationships/image" Target="media/image1.png"/><Relationship Id="rId21" Type="http://schemas.openxmlformats.org/officeDocument/2006/relationships/hyperlink" Target="https://www.accountingtools.com/articles/what-is-cash-flow.html" TargetMode="External"/><Relationship Id="rId34" Type="http://schemas.openxmlformats.org/officeDocument/2006/relationships/hyperlink" Target="https://www.accountingtools.com/articles/sales" TargetMode="External"/><Relationship Id="rId42" Type="http://schemas.openxmlformats.org/officeDocument/2006/relationships/chart" Target="charts/chart1.xml"/><Relationship Id="rId47" Type="http://schemas.openxmlformats.org/officeDocument/2006/relationships/chart" Target="charts/chart6.xml"/><Relationship Id="rId50" Type="http://schemas.openxmlformats.org/officeDocument/2006/relationships/chart" Target="charts/chart9.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vestopedia.com/terms/f/financialinstitution.asp" TargetMode="External"/><Relationship Id="rId17" Type="http://schemas.openxmlformats.org/officeDocument/2006/relationships/hyperlink" Target="https://www.investopedia.com/terms/m/market-power.asp" TargetMode="External"/><Relationship Id="rId25" Type="http://schemas.openxmlformats.org/officeDocument/2006/relationships/hyperlink" Target="https://www.accountingtools.com/articles/liquidity" TargetMode="External"/><Relationship Id="rId33" Type="http://schemas.openxmlformats.org/officeDocument/2006/relationships/hyperlink" Target="https://www.accountingtools.com/articles/bankruptcy" TargetMode="External"/><Relationship Id="rId38" Type="http://schemas.openxmlformats.org/officeDocument/2006/relationships/hyperlink" Target="https://www.investopedia.com/terms/c/capital.asp" TargetMode="External"/><Relationship Id="rId46"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hyperlink" Target="https://www.investopedia.com/terms/h/horizontalmerger.asp" TargetMode="External"/><Relationship Id="rId20" Type="http://schemas.openxmlformats.org/officeDocument/2006/relationships/hyperlink" Target="https://www.investopedia.com/terms/c/conglomerate.asp" TargetMode="External"/><Relationship Id="rId29" Type="http://schemas.openxmlformats.org/officeDocument/2006/relationships/hyperlink" Target="https://www.accountingtools.com/articles/principal" TargetMode="External"/><Relationship Id="rId41" Type="http://schemas.openxmlformats.org/officeDocument/2006/relationships/image" Target="media/image3.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estopedia.com/terms/t/tenderoffer.asp" TargetMode="External"/><Relationship Id="rId24" Type="http://schemas.openxmlformats.org/officeDocument/2006/relationships/hyperlink" Target="https://www.accountingtools.com/articles/investor" TargetMode="External"/><Relationship Id="rId32" Type="http://schemas.openxmlformats.org/officeDocument/2006/relationships/hyperlink" Target="https://www.accountingtools.com/articles/obligation" TargetMode="External"/><Relationship Id="rId37" Type="http://schemas.openxmlformats.org/officeDocument/2006/relationships/hyperlink" Target="https://www.investopedia.com/terms/p/profit.asp" TargetMode="External"/><Relationship Id="rId40" Type="http://schemas.openxmlformats.org/officeDocument/2006/relationships/image" Target="media/image2.png"/><Relationship Id="rId45" Type="http://schemas.openxmlformats.org/officeDocument/2006/relationships/chart" Target="charts/chart4.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nvestopedia.com/contributors/53677/" TargetMode="External"/><Relationship Id="rId23" Type="http://schemas.openxmlformats.org/officeDocument/2006/relationships/hyperlink" Target="https://www.accountingtools.com/articles/what-are-dividends.html" TargetMode="External"/><Relationship Id="rId28" Type="http://schemas.openxmlformats.org/officeDocument/2006/relationships/hyperlink" Target="https://www.accountingtools.com/articles/debt" TargetMode="External"/><Relationship Id="rId36" Type="http://schemas.openxmlformats.org/officeDocument/2006/relationships/hyperlink" Target="https://www.investopedia.com/ask/answers/062215/what-are-financial-risk-ratios-and-how-are-they-used-measure-risk.asp" TargetMode="External"/><Relationship Id="rId49" Type="http://schemas.openxmlformats.org/officeDocument/2006/relationships/chart" Target="charts/chart8.xml"/><Relationship Id="rId10" Type="http://schemas.openxmlformats.org/officeDocument/2006/relationships/hyperlink" Target="mailto:d.petropoulos@uop.gr" TargetMode="External"/><Relationship Id="rId19" Type="http://schemas.openxmlformats.org/officeDocument/2006/relationships/hyperlink" Target="https://www.investopedia.com/terms/c/congeneric-merger.asp" TargetMode="External"/><Relationship Id="rId31" Type="http://schemas.openxmlformats.org/officeDocument/2006/relationships/hyperlink" Target="https://www.accountingtools.com/articles/current-liability" TargetMode="External"/><Relationship Id="rId44" Type="http://schemas.openxmlformats.org/officeDocument/2006/relationships/chart" Target="charts/chart3.xml"/><Relationship Id="rId52" Type="http://schemas.openxmlformats.org/officeDocument/2006/relationships/hyperlink" Target="https://www.investopedia.com/contributors/53677/" TargetMode="External"/><Relationship Id="rId4" Type="http://schemas.openxmlformats.org/officeDocument/2006/relationships/settings" Target="settings.xml"/><Relationship Id="rId9" Type="http://schemas.openxmlformats.org/officeDocument/2006/relationships/hyperlink" Target="mailto:emustaqe@ubt.edu.al" TargetMode="External"/><Relationship Id="rId14" Type="http://schemas.openxmlformats.org/officeDocument/2006/relationships/hyperlink" Target="https://www.investopedia.com/contributors/53677/" TargetMode="External"/><Relationship Id="rId22" Type="http://schemas.openxmlformats.org/officeDocument/2006/relationships/hyperlink" Target="https://www.accountingtools.com/articles/financial-statements" TargetMode="External"/><Relationship Id="rId27" Type="http://schemas.openxmlformats.org/officeDocument/2006/relationships/hyperlink" Target="https://www.accountingtools.com/articles/operating-cash-flow" TargetMode="External"/><Relationship Id="rId30" Type="http://schemas.openxmlformats.org/officeDocument/2006/relationships/hyperlink" Target="https://www.accountingtools.com/articles/interest" TargetMode="External"/><Relationship Id="rId35" Type="http://schemas.openxmlformats.org/officeDocument/2006/relationships/hyperlink" Target="https://www.accountingtools.com/articles/net-profit" TargetMode="External"/><Relationship Id="rId43" Type="http://schemas.openxmlformats.org/officeDocument/2006/relationships/chart" Target="charts/chart2.xml"/><Relationship Id="rId48" Type="http://schemas.openxmlformats.org/officeDocument/2006/relationships/chart" Target="charts/chart7.xml"/><Relationship Id="rId8" Type="http://schemas.openxmlformats.org/officeDocument/2006/relationships/hyperlink" Target="mailto:Kyriazopoulos@yahoo.gr" TargetMode="External"/><Relationship Id="rId51" Type="http://schemas.openxmlformats.org/officeDocument/2006/relationships/chart" Target="charts/chart10.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Desktop\COOPERATIVE%20BANK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Desktop\COOPERATIVE%20BANK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Desktop\COOPERATIVE%20BANK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Desktop\COOPERATIVE%20BANK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Desktop\COOPERATIVE%20BANK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Desktop\COOPERATIVE%20BANK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Desktop\COOPERATIVE%20BANK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Desktop\COOPERATIVE%20BANK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Desktop\COOPERATIVE%20BANK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Desktop\COOPERATIVE%20BANK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sz="1000">
                <a:latin typeface="Times New Roman" pitchFamily="18" charset="0"/>
                <a:cs typeface="Times New Roman" pitchFamily="18" charset="0"/>
              </a:defRPr>
            </a:pPr>
            <a:r>
              <a:rPr lang="en-US" sz="1000">
                <a:latin typeface="Times New Roman" pitchFamily="18" charset="0"/>
                <a:cs typeface="Times New Roman" pitchFamily="18" charset="0"/>
              </a:rPr>
              <a:t>CFEQMR</a:t>
            </a:r>
            <a:endParaRPr lang="el-GR" sz="1000">
              <a:latin typeface="Times New Roman" pitchFamily="18" charset="0"/>
              <a:cs typeface="Times New Roman" pitchFamily="18" charset="0"/>
            </a:endParaRPr>
          </a:p>
        </c:rich>
      </c:tx>
      <c:layout>
        <c:manualLayout>
          <c:xMode val="edge"/>
          <c:yMode val="edge"/>
          <c:x val="0.41521886580828243"/>
          <c:y val="0"/>
        </c:manualLayout>
      </c:layout>
    </c:title>
    <c:plotArea>
      <c:layout>
        <c:manualLayout>
          <c:layoutTarget val="inner"/>
          <c:xMode val="edge"/>
          <c:yMode val="edge"/>
          <c:x val="7.4556849787424315E-2"/>
          <c:y val="7.9231111559833395E-2"/>
          <c:w val="0.8989753927534837"/>
          <c:h val="0.829464987538307"/>
        </c:manualLayout>
      </c:layout>
      <c:lineChart>
        <c:grouping val="standard"/>
        <c:ser>
          <c:idx val="0"/>
          <c:order val="0"/>
          <c:tx>
            <c:strRef>
              <c:f>'MEASUREMENT OF PROFIT QUALITY'!$I$41</c:f>
              <c:strCache>
                <c:ptCount val="1"/>
                <c:pt idx="0">
                  <c:v>YEARS</c:v>
                </c:pt>
              </c:strCache>
            </c:strRef>
          </c:tx>
          <c:cat>
            <c:numRef>
              <c:f>'MEASUREMENT OF PROFIT QUALITY'!$I$42:$I$48</c:f>
              <c:numCache>
                <c:formatCode>General</c:formatCode>
                <c:ptCount val="7"/>
                <c:pt idx="0">
                  <c:v>2014</c:v>
                </c:pt>
                <c:pt idx="1">
                  <c:v>2015</c:v>
                </c:pt>
                <c:pt idx="2">
                  <c:v>2016</c:v>
                </c:pt>
                <c:pt idx="3">
                  <c:v>2017</c:v>
                </c:pt>
                <c:pt idx="4">
                  <c:v>2018</c:v>
                </c:pt>
                <c:pt idx="5">
                  <c:v>2019</c:v>
                </c:pt>
                <c:pt idx="6">
                  <c:v>2020</c:v>
                </c:pt>
              </c:numCache>
            </c:numRef>
          </c:cat>
          <c:val>
            <c:numRef>
              <c:f>'MEASUREMENT OF PROFIT QUALITY'!$I$42:$I$48</c:f>
              <c:numCache>
                <c:formatCode>General</c:formatCode>
                <c:ptCount val="7"/>
                <c:pt idx="0">
                  <c:v>2014</c:v>
                </c:pt>
                <c:pt idx="1">
                  <c:v>2015</c:v>
                </c:pt>
                <c:pt idx="2">
                  <c:v>2016</c:v>
                </c:pt>
                <c:pt idx="3">
                  <c:v>2017</c:v>
                </c:pt>
                <c:pt idx="4">
                  <c:v>2018</c:v>
                </c:pt>
                <c:pt idx="5">
                  <c:v>2019</c:v>
                </c:pt>
                <c:pt idx="6">
                  <c:v>2020</c:v>
                </c:pt>
              </c:numCache>
            </c:numRef>
          </c:val>
        </c:ser>
        <c:ser>
          <c:idx val="1"/>
          <c:order val="1"/>
          <c:tx>
            <c:strRef>
              <c:f>'MEASUREMENT OF PROFIT QUALITY'!$J$41</c:f>
              <c:strCache>
                <c:ptCount val="1"/>
                <c:pt idx="0">
                  <c:v>CFEQMR Cooperative Bank of DRAMAS</c:v>
                </c:pt>
              </c:strCache>
            </c:strRef>
          </c:tx>
          <c:cat>
            <c:numRef>
              <c:f>'MEASUREMENT OF PROFIT QUALITY'!$I$42:$I$48</c:f>
              <c:numCache>
                <c:formatCode>General</c:formatCode>
                <c:ptCount val="7"/>
                <c:pt idx="0">
                  <c:v>2014</c:v>
                </c:pt>
                <c:pt idx="1">
                  <c:v>2015</c:v>
                </c:pt>
                <c:pt idx="2">
                  <c:v>2016</c:v>
                </c:pt>
                <c:pt idx="3">
                  <c:v>2017</c:v>
                </c:pt>
                <c:pt idx="4">
                  <c:v>2018</c:v>
                </c:pt>
                <c:pt idx="5">
                  <c:v>2019</c:v>
                </c:pt>
                <c:pt idx="6">
                  <c:v>2020</c:v>
                </c:pt>
              </c:numCache>
            </c:numRef>
          </c:cat>
          <c:val>
            <c:numRef>
              <c:f>'MEASUREMENT OF PROFIT QUALITY'!$J$42:$J$48</c:f>
              <c:numCache>
                <c:formatCode>General</c:formatCode>
                <c:ptCount val="7"/>
                <c:pt idx="0">
                  <c:v>6.8199999999999985</c:v>
                </c:pt>
                <c:pt idx="1">
                  <c:v>0.27</c:v>
                </c:pt>
                <c:pt idx="2">
                  <c:v>-12.91</c:v>
                </c:pt>
                <c:pt idx="3">
                  <c:v>-13.16</c:v>
                </c:pt>
                <c:pt idx="4">
                  <c:v>105.21000000000002</c:v>
                </c:pt>
                <c:pt idx="5">
                  <c:v>0.11</c:v>
                </c:pt>
                <c:pt idx="6">
                  <c:v>0.11</c:v>
                </c:pt>
              </c:numCache>
            </c:numRef>
          </c:val>
        </c:ser>
        <c:ser>
          <c:idx val="2"/>
          <c:order val="2"/>
          <c:tx>
            <c:strRef>
              <c:f>'MEASUREMENT OF PROFIT QUALITY'!$K$41</c:f>
              <c:strCache>
                <c:ptCount val="1"/>
                <c:pt idx="0">
                  <c:v>CFEQMR Cooperative Bank of EVROS</c:v>
                </c:pt>
              </c:strCache>
            </c:strRef>
          </c:tx>
          <c:cat>
            <c:numRef>
              <c:f>'MEASUREMENT OF PROFIT QUALITY'!$I$42:$I$48</c:f>
              <c:numCache>
                <c:formatCode>General</c:formatCode>
                <c:ptCount val="7"/>
                <c:pt idx="0">
                  <c:v>2014</c:v>
                </c:pt>
                <c:pt idx="1">
                  <c:v>2015</c:v>
                </c:pt>
                <c:pt idx="2">
                  <c:v>2016</c:v>
                </c:pt>
                <c:pt idx="3">
                  <c:v>2017</c:v>
                </c:pt>
                <c:pt idx="4">
                  <c:v>2018</c:v>
                </c:pt>
                <c:pt idx="5">
                  <c:v>2019</c:v>
                </c:pt>
                <c:pt idx="6">
                  <c:v>2020</c:v>
                </c:pt>
              </c:numCache>
            </c:numRef>
          </c:cat>
          <c:val>
            <c:numRef>
              <c:f>'MEASUREMENT OF PROFIT QUALITY'!$K$42:$K$48</c:f>
              <c:numCache>
                <c:formatCode>General</c:formatCode>
                <c:ptCount val="7"/>
                <c:pt idx="0">
                  <c:v>5.9</c:v>
                </c:pt>
                <c:pt idx="1">
                  <c:v>12.11</c:v>
                </c:pt>
                <c:pt idx="2">
                  <c:v>7.6</c:v>
                </c:pt>
              </c:numCache>
            </c:numRef>
          </c:val>
        </c:ser>
        <c:marker val="1"/>
        <c:axId val="129572224"/>
        <c:axId val="69088384"/>
      </c:lineChart>
      <c:catAx>
        <c:axId val="129572224"/>
        <c:scaling>
          <c:orientation val="minMax"/>
        </c:scaling>
        <c:axPos val="b"/>
        <c:numFmt formatCode="General" sourceLinked="1"/>
        <c:majorTickMark val="none"/>
        <c:tickLblPos val="nextTo"/>
        <c:txPr>
          <a:bodyPr/>
          <a:lstStyle/>
          <a:p>
            <a:pPr>
              <a:defRPr sz="800" baseline="0">
                <a:latin typeface="Times New Roman" pitchFamily="18" charset="0"/>
                <a:cs typeface="Times New Roman" pitchFamily="18" charset="0"/>
              </a:defRPr>
            </a:pPr>
            <a:endParaRPr lang="el-GR"/>
          </a:p>
        </c:txPr>
        <c:crossAx val="69088384"/>
        <c:crossesAt val="0"/>
        <c:auto val="1"/>
        <c:lblAlgn val="ctr"/>
        <c:lblOffset val="100"/>
      </c:catAx>
      <c:valAx>
        <c:axId val="69088384"/>
        <c:scaling>
          <c:orientation val="minMax"/>
          <c:max val="120"/>
          <c:min val="-20"/>
        </c:scaling>
        <c:axPos val="l"/>
        <c:majorGridlines/>
        <c:numFmt formatCode="General" sourceLinked="1"/>
        <c:majorTickMark val="none"/>
        <c:tickLblPos val="nextTo"/>
        <c:spPr>
          <a:ln w="9525">
            <a:noFill/>
          </a:ln>
        </c:spPr>
        <c:txPr>
          <a:bodyPr/>
          <a:lstStyle/>
          <a:p>
            <a:pPr>
              <a:defRPr sz="600" baseline="0">
                <a:latin typeface="Times New Roman" pitchFamily="18" charset="0"/>
                <a:cs typeface="Times New Roman" pitchFamily="18" charset="0"/>
              </a:defRPr>
            </a:pPr>
            <a:endParaRPr lang="el-GR"/>
          </a:p>
        </c:txPr>
        <c:crossAx val="129572224"/>
        <c:crosses val="autoZero"/>
        <c:crossBetween val="between"/>
        <c:majorUnit val="5"/>
        <c:minorUnit val="1"/>
      </c:valAx>
    </c:plotArea>
    <c:legend>
      <c:legendPos val="b"/>
      <c:layout>
        <c:manualLayout>
          <c:xMode val="edge"/>
          <c:yMode val="edge"/>
          <c:x val="6.7540904716073144E-2"/>
          <c:y val="0.90250383794522226"/>
          <c:w val="0.8721366698748797"/>
          <c:h val="9.7496162054777777E-2"/>
        </c:manualLayout>
      </c:layout>
      <c:txPr>
        <a:bodyPr/>
        <a:lstStyle/>
        <a:p>
          <a:pPr>
            <a:defRPr sz="600">
              <a:latin typeface="Times New Roman" pitchFamily="18" charset="0"/>
              <a:cs typeface="Times New Roman" pitchFamily="18" charset="0"/>
            </a:defRPr>
          </a:pPr>
          <a:endParaRPr lang="el-GR"/>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l-GR"/>
  <c:chart>
    <c:plotArea>
      <c:layout/>
      <c:lineChart>
        <c:grouping val="standard"/>
        <c:ser>
          <c:idx val="0"/>
          <c:order val="0"/>
          <c:tx>
            <c:strRef>
              <c:f>'Z-SCORE'!$I$15</c:f>
              <c:strCache>
                <c:ptCount val="1"/>
                <c:pt idx="0">
                  <c:v>YEARS</c:v>
                </c:pt>
              </c:strCache>
            </c:strRef>
          </c:tx>
          <c:cat>
            <c:numRef>
              <c:f>'Z-SCORE'!$I$16:$I$22</c:f>
              <c:numCache>
                <c:formatCode>General</c:formatCode>
                <c:ptCount val="7"/>
                <c:pt idx="0">
                  <c:v>2014</c:v>
                </c:pt>
                <c:pt idx="1">
                  <c:v>2015</c:v>
                </c:pt>
                <c:pt idx="2">
                  <c:v>2016</c:v>
                </c:pt>
                <c:pt idx="3">
                  <c:v>2017</c:v>
                </c:pt>
                <c:pt idx="4">
                  <c:v>2018</c:v>
                </c:pt>
                <c:pt idx="5">
                  <c:v>2019</c:v>
                </c:pt>
                <c:pt idx="6">
                  <c:v>2020</c:v>
                </c:pt>
              </c:numCache>
            </c:numRef>
          </c:cat>
          <c:val>
            <c:numRef>
              <c:f>'Z-SCORE'!$I$16:$I$22</c:f>
              <c:numCache>
                <c:formatCode>General</c:formatCode>
                <c:ptCount val="7"/>
                <c:pt idx="0">
                  <c:v>2014</c:v>
                </c:pt>
                <c:pt idx="1">
                  <c:v>2015</c:v>
                </c:pt>
                <c:pt idx="2">
                  <c:v>2016</c:v>
                </c:pt>
                <c:pt idx="3">
                  <c:v>2017</c:v>
                </c:pt>
                <c:pt idx="4">
                  <c:v>2018</c:v>
                </c:pt>
                <c:pt idx="5">
                  <c:v>2019</c:v>
                </c:pt>
                <c:pt idx="6">
                  <c:v>2020</c:v>
                </c:pt>
              </c:numCache>
            </c:numRef>
          </c:val>
        </c:ser>
        <c:ser>
          <c:idx val="1"/>
          <c:order val="1"/>
          <c:tx>
            <c:strRef>
              <c:f>'Z-SCORE'!$J$15</c:f>
              <c:strCache>
                <c:ptCount val="1"/>
                <c:pt idx="0">
                  <c:v>Z-SCORE DRAMAS</c:v>
                </c:pt>
              </c:strCache>
            </c:strRef>
          </c:tx>
          <c:cat>
            <c:numRef>
              <c:f>'Z-SCORE'!$I$16:$I$22</c:f>
              <c:numCache>
                <c:formatCode>General</c:formatCode>
                <c:ptCount val="7"/>
                <c:pt idx="0">
                  <c:v>2014</c:v>
                </c:pt>
                <c:pt idx="1">
                  <c:v>2015</c:v>
                </c:pt>
                <c:pt idx="2">
                  <c:v>2016</c:v>
                </c:pt>
                <c:pt idx="3">
                  <c:v>2017</c:v>
                </c:pt>
                <c:pt idx="4">
                  <c:v>2018</c:v>
                </c:pt>
                <c:pt idx="5">
                  <c:v>2019</c:v>
                </c:pt>
                <c:pt idx="6">
                  <c:v>2020</c:v>
                </c:pt>
              </c:numCache>
            </c:numRef>
          </c:cat>
          <c:val>
            <c:numRef>
              <c:f>'Z-SCORE'!$J$16:$J$22</c:f>
              <c:numCache>
                <c:formatCode>0.000000000</c:formatCode>
                <c:ptCount val="7"/>
                <c:pt idx="0">
                  <c:v>3.73</c:v>
                </c:pt>
                <c:pt idx="1">
                  <c:v>2.68</c:v>
                </c:pt>
                <c:pt idx="2">
                  <c:v>5.7</c:v>
                </c:pt>
                <c:pt idx="3">
                  <c:v>1.73</c:v>
                </c:pt>
                <c:pt idx="4">
                  <c:v>1.05</c:v>
                </c:pt>
                <c:pt idx="5">
                  <c:v>0.5</c:v>
                </c:pt>
                <c:pt idx="6">
                  <c:v>1.76</c:v>
                </c:pt>
              </c:numCache>
            </c:numRef>
          </c:val>
        </c:ser>
        <c:ser>
          <c:idx val="2"/>
          <c:order val="2"/>
          <c:tx>
            <c:strRef>
              <c:f>'Z-SCORE'!$K$15</c:f>
              <c:strCache>
                <c:ptCount val="1"/>
                <c:pt idx="0">
                  <c:v>Z-SCORE EVROU</c:v>
                </c:pt>
              </c:strCache>
            </c:strRef>
          </c:tx>
          <c:cat>
            <c:numRef>
              <c:f>'Z-SCORE'!$I$16:$I$22</c:f>
              <c:numCache>
                <c:formatCode>General</c:formatCode>
                <c:ptCount val="7"/>
                <c:pt idx="0">
                  <c:v>2014</c:v>
                </c:pt>
                <c:pt idx="1">
                  <c:v>2015</c:v>
                </c:pt>
                <c:pt idx="2">
                  <c:v>2016</c:v>
                </c:pt>
                <c:pt idx="3">
                  <c:v>2017</c:v>
                </c:pt>
                <c:pt idx="4">
                  <c:v>2018</c:v>
                </c:pt>
                <c:pt idx="5">
                  <c:v>2019</c:v>
                </c:pt>
                <c:pt idx="6">
                  <c:v>2020</c:v>
                </c:pt>
              </c:numCache>
            </c:numRef>
          </c:cat>
          <c:val>
            <c:numRef>
              <c:f>'Z-SCORE'!$K$16:$K$22</c:f>
              <c:numCache>
                <c:formatCode>General</c:formatCode>
                <c:ptCount val="7"/>
                <c:pt idx="0">
                  <c:v>21.2</c:v>
                </c:pt>
                <c:pt idx="1">
                  <c:v>5.6099999999999985</c:v>
                </c:pt>
                <c:pt idx="2">
                  <c:v>4.4400000000000004</c:v>
                </c:pt>
              </c:numCache>
            </c:numRef>
          </c:val>
        </c:ser>
        <c:marker val="1"/>
        <c:axId val="120800384"/>
        <c:axId val="120801920"/>
      </c:lineChart>
      <c:catAx>
        <c:axId val="120800384"/>
        <c:scaling>
          <c:orientation val="minMax"/>
        </c:scaling>
        <c:axPos val="b"/>
        <c:numFmt formatCode="General" sourceLinked="1"/>
        <c:tickLblPos val="nextTo"/>
        <c:txPr>
          <a:bodyPr/>
          <a:lstStyle/>
          <a:p>
            <a:pPr>
              <a:defRPr sz="600">
                <a:latin typeface="Times New Roman" pitchFamily="18" charset="0"/>
                <a:cs typeface="Times New Roman" pitchFamily="18" charset="0"/>
              </a:defRPr>
            </a:pPr>
            <a:endParaRPr lang="el-GR"/>
          </a:p>
        </c:txPr>
        <c:crossAx val="120801920"/>
        <c:crosses val="autoZero"/>
        <c:auto val="1"/>
        <c:lblAlgn val="ctr"/>
        <c:lblOffset val="100"/>
      </c:catAx>
      <c:valAx>
        <c:axId val="120801920"/>
        <c:scaling>
          <c:orientation val="minMax"/>
          <c:max val="25"/>
          <c:min val="0.5"/>
        </c:scaling>
        <c:axPos val="l"/>
        <c:majorGridlines/>
        <c:numFmt formatCode="General" sourceLinked="1"/>
        <c:tickLblPos val="nextTo"/>
        <c:txPr>
          <a:bodyPr/>
          <a:lstStyle/>
          <a:p>
            <a:pPr>
              <a:defRPr sz="600">
                <a:latin typeface="Times New Roman" pitchFamily="18" charset="0"/>
                <a:cs typeface="Times New Roman" pitchFamily="18" charset="0"/>
              </a:defRPr>
            </a:pPr>
            <a:endParaRPr lang="el-GR"/>
          </a:p>
        </c:txPr>
        <c:crossAx val="120800384"/>
        <c:crosses val="autoZero"/>
        <c:crossBetween val="between"/>
        <c:majorUnit val="0.5"/>
        <c:minorUnit val="1.0000000000000005E-2"/>
      </c:valAx>
    </c:plotArea>
    <c:legend>
      <c:legendPos val="b"/>
      <c:txPr>
        <a:bodyPr/>
        <a:lstStyle/>
        <a:p>
          <a:pPr>
            <a:defRPr sz="600">
              <a:latin typeface="Times New Roman" pitchFamily="18" charset="0"/>
              <a:cs typeface="Times New Roman" pitchFamily="18" charset="0"/>
            </a:defRPr>
          </a:pPr>
          <a:endParaRPr lang="el-GR"/>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a:pPr>
            <a:r>
              <a:rPr lang="en-US"/>
              <a:t>CFDICR</a:t>
            </a:r>
            <a:endParaRPr lang="el-GR"/>
          </a:p>
        </c:rich>
      </c:tx>
      <c:layout>
        <c:manualLayout>
          <c:xMode val="edge"/>
          <c:yMode val="edge"/>
          <c:x val="0.42828976131678392"/>
          <c:y val="0"/>
        </c:manualLayout>
      </c:layout>
    </c:title>
    <c:plotArea>
      <c:layout>
        <c:manualLayout>
          <c:layoutTarget val="inner"/>
          <c:xMode val="edge"/>
          <c:yMode val="edge"/>
          <c:x val="7.5806773742566932E-2"/>
          <c:y val="8.5453291802077211E-2"/>
          <c:w val="0.89772174742836364"/>
          <c:h val="0.79706638434229016"/>
        </c:manualLayout>
      </c:layout>
      <c:lineChart>
        <c:grouping val="standard"/>
        <c:ser>
          <c:idx val="0"/>
          <c:order val="0"/>
          <c:tx>
            <c:strRef>
              <c:f>'COVERAGE OF DIV AND INTEREST'!$F$2</c:f>
              <c:strCache>
                <c:ptCount val="1"/>
                <c:pt idx="0">
                  <c:v>YEARS</c:v>
                </c:pt>
              </c:strCache>
            </c:strRef>
          </c:tx>
          <c:cat>
            <c:numRef>
              <c:f>'COVERAGE OF DIV AND INTEREST'!$F$3:$F$9</c:f>
              <c:numCache>
                <c:formatCode>General</c:formatCode>
                <c:ptCount val="7"/>
                <c:pt idx="0">
                  <c:v>2014</c:v>
                </c:pt>
                <c:pt idx="1">
                  <c:v>2015</c:v>
                </c:pt>
                <c:pt idx="2">
                  <c:v>2016</c:v>
                </c:pt>
                <c:pt idx="3">
                  <c:v>2017</c:v>
                </c:pt>
                <c:pt idx="4">
                  <c:v>2018</c:v>
                </c:pt>
                <c:pt idx="5">
                  <c:v>2019</c:v>
                </c:pt>
                <c:pt idx="6">
                  <c:v>2020</c:v>
                </c:pt>
              </c:numCache>
            </c:numRef>
          </c:cat>
          <c:val>
            <c:numRef>
              <c:f>'COVERAGE OF DIV AND INTEREST'!$F$3:$F$9</c:f>
              <c:numCache>
                <c:formatCode>General</c:formatCode>
                <c:ptCount val="7"/>
                <c:pt idx="0">
                  <c:v>2014</c:v>
                </c:pt>
                <c:pt idx="1">
                  <c:v>2015</c:v>
                </c:pt>
                <c:pt idx="2">
                  <c:v>2016</c:v>
                </c:pt>
                <c:pt idx="3">
                  <c:v>2017</c:v>
                </c:pt>
                <c:pt idx="4">
                  <c:v>2018</c:v>
                </c:pt>
                <c:pt idx="5">
                  <c:v>2019</c:v>
                </c:pt>
                <c:pt idx="6">
                  <c:v>2020</c:v>
                </c:pt>
              </c:numCache>
            </c:numRef>
          </c:val>
        </c:ser>
        <c:ser>
          <c:idx val="1"/>
          <c:order val="1"/>
          <c:tx>
            <c:strRef>
              <c:f>'COVERAGE OF DIV AND INTEREST'!$G$2</c:f>
              <c:strCache>
                <c:ptCount val="1"/>
                <c:pt idx="0">
                  <c:v>CFDICR Cooperative Bank of Dramas</c:v>
                </c:pt>
              </c:strCache>
            </c:strRef>
          </c:tx>
          <c:cat>
            <c:numRef>
              <c:f>'COVERAGE OF DIV AND INTEREST'!$F$3:$F$9</c:f>
              <c:numCache>
                <c:formatCode>General</c:formatCode>
                <c:ptCount val="7"/>
                <c:pt idx="0">
                  <c:v>2014</c:v>
                </c:pt>
                <c:pt idx="1">
                  <c:v>2015</c:v>
                </c:pt>
                <c:pt idx="2">
                  <c:v>2016</c:v>
                </c:pt>
                <c:pt idx="3">
                  <c:v>2017</c:v>
                </c:pt>
                <c:pt idx="4">
                  <c:v>2018</c:v>
                </c:pt>
                <c:pt idx="5">
                  <c:v>2019</c:v>
                </c:pt>
                <c:pt idx="6">
                  <c:v>2020</c:v>
                </c:pt>
              </c:numCache>
            </c:numRef>
          </c:cat>
          <c:val>
            <c:numRef>
              <c:f>'COVERAGE OF DIV AND INTEREST'!$G$3:$G$9</c:f>
              <c:numCache>
                <c:formatCode>General</c:formatCode>
                <c:ptCount val="7"/>
                <c:pt idx="0">
                  <c:v>-0.31000000000000127</c:v>
                </c:pt>
                <c:pt idx="1">
                  <c:v>-0.56999999999999995</c:v>
                </c:pt>
                <c:pt idx="2">
                  <c:v>-0.56000000000000005</c:v>
                </c:pt>
                <c:pt idx="3">
                  <c:v>1.01</c:v>
                </c:pt>
                <c:pt idx="4">
                  <c:v>0.7600000000000029</c:v>
                </c:pt>
                <c:pt idx="5">
                  <c:v>-8.0000000000000043E-2</c:v>
                </c:pt>
                <c:pt idx="6">
                  <c:v>0.13</c:v>
                </c:pt>
              </c:numCache>
            </c:numRef>
          </c:val>
        </c:ser>
        <c:ser>
          <c:idx val="2"/>
          <c:order val="2"/>
          <c:tx>
            <c:strRef>
              <c:f>'COVERAGE OF DIV AND INTEREST'!$H$2</c:f>
              <c:strCache>
                <c:ptCount val="1"/>
                <c:pt idx="0">
                  <c:v>CFDICR Cooperative Bank of Evros</c:v>
                </c:pt>
              </c:strCache>
            </c:strRef>
          </c:tx>
          <c:cat>
            <c:numRef>
              <c:f>'COVERAGE OF DIV AND INTEREST'!$F$3:$F$9</c:f>
              <c:numCache>
                <c:formatCode>General</c:formatCode>
                <c:ptCount val="7"/>
                <c:pt idx="0">
                  <c:v>2014</c:v>
                </c:pt>
                <c:pt idx="1">
                  <c:v>2015</c:v>
                </c:pt>
                <c:pt idx="2">
                  <c:v>2016</c:v>
                </c:pt>
                <c:pt idx="3">
                  <c:v>2017</c:v>
                </c:pt>
                <c:pt idx="4">
                  <c:v>2018</c:v>
                </c:pt>
                <c:pt idx="5">
                  <c:v>2019</c:v>
                </c:pt>
                <c:pt idx="6">
                  <c:v>2020</c:v>
                </c:pt>
              </c:numCache>
            </c:numRef>
          </c:cat>
          <c:val>
            <c:numRef>
              <c:f>'COVERAGE OF DIV AND INTEREST'!$H$3:$H$9</c:f>
              <c:numCache>
                <c:formatCode>General</c:formatCode>
                <c:ptCount val="7"/>
                <c:pt idx="0">
                  <c:v>0.63000000000000289</c:v>
                </c:pt>
                <c:pt idx="1">
                  <c:v>-5.14</c:v>
                </c:pt>
                <c:pt idx="2">
                  <c:v>-1.29</c:v>
                </c:pt>
              </c:numCache>
            </c:numRef>
          </c:val>
        </c:ser>
        <c:marker val="1"/>
        <c:axId val="69130496"/>
        <c:axId val="69132288"/>
      </c:lineChart>
      <c:catAx>
        <c:axId val="69130496"/>
        <c:scaling>
          <c:orientation val="minMax"/>
        </c:scaling>
        <c:axPos val="b"/>
        <c:numFmt formatCode="General" sourceLinked="1"/>
        <c:majorTickMark val="none"/>
        <c:tickLblPos val="nextTo"/>
        <c:txPr>
          <a:bodyPr/>
          <a:lstStyle/>
          <a:p>
            <a:pPr>
              <a:defRPr sz="600"/>
            </a:pPr>
            <a:endParaRPr lang="el-GR"/>
          </a:p>
        </c:txPr>
        <c:crossAx val="69132288"/>
        <c:crossesAt val="0"/>
        <c:auto val="1"/>
        <c:lblAlgn val="ctr"/>
        <c:lblOffset val="100"/>
      </c:catAx>
      <c:valAx>
        <c:axId val="69132288"/>
        <c:scaling>
          <c:orientation val="minMax"/>
          <c:max val="2"/>
          <c:min val="-6"/>
        </c:scaling>
        <c:axPos val="l"/>
        <c:majorGridlines/>
        <c:numFmt formatCode="General" sourceLinked="1"/>
        <c:majorTickMark val="none"/>
        <c:tickLblPos val="nextTo"/>
        <c:spPr>
          <a:ln w="9525">
            <a:noFill/>
          </a:ln>
        </c:spPr>
        <c:txPr>
          <a:bodyPr/>
          <a:lstStyle/>
          <a:p>
            <a:pPr>
              <a:defRPr sz="600"/>
            </a:pPr>
            <a:endParaRPr lang="el-GR"/>
          </a:p>
        </c:txPr>
        <c:crossAx val="69130496"/>
        <c:crosses val="autoZero"/>
        <c:crossBetween val="between"/>
        <c:majorUnit val="0.5"/>
        <c:minorUnit val="0.05"/>
      </c:valAx>
    </c:plotArea>
    <c:legend>
      <c:legendPos val="b"/>
      <c:txPr>
        <a:bodyPr/>
        <a:lstStyle/>
        <a:p>
          <a:pPr>
            <a:defRPr sz="600"/>
          </a:pPr>
          <a:endParaRPr lang="el-GR"/>
        </a:p>
      </c:txPr>
    </c:legend>
    <c:plotVisOnly val="1"/>
  </c:chart>
  <c:txPr>
    <a:bodyPr/>
    <a:lstStyle/>
    <a:p>
      <a:pPr>
        <a:defRPr sz="800">
          <a:latin typeface="Times New Roman" pitchFamily="18" charset="0"/>
          <a:cs typeface="Times New Roman" pitchFamily="18" charset="0"/>
        </a:defRPr>
      </a:pPr>
      <a:endParaRPr lang="el-G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a:pPr>
            <a:r>
              <a:rPr lang="en-US" sz="1000">
                <a:latin typeface="Palatino Linotype" pitchFamily="18" charset="0"/>
              </a:rPr>
              <a:t>CFTLCR %</a:t>
            </a:r>
            <a:endParaRPr lang="el-GR" sz="1000">
              <a:latin typeface="Palatino Linotype" pitchFamily="18" charset="0"/>
            </a:endParaRPr>
          </a:p>
        </c:rich>
      </c:tx>
      <c:layout>
        <c:manualLayout>
          <c:xMode val="edge"/>
          <c:yMode val="edge"/>
          <c:x val="0.42166198184226766"/>
          <c:y val="0"/>
        </c:manualLayout>
      </c:layout>
    </c:title>
    <c:plotArea>
      <c:layout>
        <c:manualLayout>
          <c:layoutTarget val="inner"/>
          <c:xMode val="edge"/>
          <c:yMode val="edge"/>
          <c:x val="7.2493295854738349E-2"/>
          <c:y val="8.6192389410672712E-2"/>
          <c:w val="0.89741613087353056"/>
          <c:h val="0.78735302891648418"/>
        </c:manualLayout>
      </c:layout>
      <c:lineChart>
        <c:grouping val="standard"/>
        <c:ser>
          <c:idx val="0"/>
          <c:order val="0"/>
          <c:tx>
            <c:strRef>
              <c:f>'COVER TOTAL LIABILITY'!$F$24</c:f>
              <c:strCache>
                <c:ptCount val="1"/>
                <c:pt idx="0">
                  <c:v>YEARS</c:v>
                </c:pt>
              </c:strCache>
            </c:strRef>
          </c:tx>
          <c:cat>
            <c:numRef>
              <c:f>'COVER TOTAL LIABILITY'!$F$25:$F$31</c:f>
              <c:numCache>
                <c:formatCode>General</c:formatCode>
                <c:ptCount val="7"/>
                <c:pt idx="0">
                  <c:v>2014</c:v>
                </c:pt>
                <c:pt idx="1">
                  <c:v>2015</c:v>
                </c:pt>
                <c:pt idx="2">
                  <c:v>2016</c:v>
                </c:pt>
                <c:pt idx="3">
                  <c:v>2017</c:v>
                </c:pt>
                <c:pt idx="4">
                  <c:v>2018</c:v>
                </c:pt>
                <c:pt idx="5">
                  <c:v>2019</c:v>
                </c:pt>
                <c:pt idx="6">
                  <c:v>2020</c:v>
                </c:pt>
              </c:numCache>
            </c:numRef>
          </c:cat>
          <c:val>
            <c:numRef>
              <c:f>'COVER TOTAL LIABILITY'!$F$25:$F$31</c:f>
              <c:numCache>
                <c:formatCode>General</c:formatCode>
                <c:ptCount val="7"/>
                <c:pt idx="0">
                  <c:v>2014</c:v>
                </c:pt>
                <c:pt idx="1">
                  <c:v>2015</c:v>
                </c:pt>
                <c:pt idx="2">
                  <c:v>2016</c:v>
                </c:pt>
                <c:pt idx="3">
                  <c:v>2017</c:v>
                </c:pt>
                <c:pt idx="4">
                  <c:v>2018</c:v>
                </c:pt>
                <c:pt idx="5">
                  <c:v>2019</c:v>
                </c:pt>
                <c:pt idx="6">
                  <c:v>2020</c:v>
                </c:pt>
              </c:numCache>
            </c:numRef>
          </c:val>
        </c:ser>
        <c:ser>
          <c:idx val="1"/>
          <c:order val="1"/>
          <c:tx>
            <c:strRef>
              <c:f>'COVER TOTAL LIABILITY'!$G$24</c:f>
              <c:strCache>
                <c:ptCount val="1"/>
                <c:pt idx="0">
                  <c:v>CFTLCR Cooperative Bank Dramas</c:v>
                </c:pt>
              </c:strCache>
            </c:strRef>
          </c:tx>
          <c:cat>
            <c:numRef>
              <c:f>'COVER TOTAL LIABILITY'!$F$25:$F$31</c:f>
              <c:numCache>
                <c:formatCode>General</c:formatCode>
                <c:ptCount val="7"/>
                <c:pt idx="0">
                  <c:v>2014</c:v>
                </c:pt>
                <c:pt idx="1">
                  <c:v>2015</c:v>
                </c:pt>
                <c:pt idx="2">
                  <c:v>2016</c:v>
                </c:pt>
                <c:pt idx="3">
                  <c:v>2017</c:v>
                </c:pt>
                <c:pt idx="4">
                  <c:v>2018</c:v>
                </c:pt>
                <c:pt idx="5">
                  <c:v>2019</c:v>
                </c:pt>
                <c:pt idx="6">
                  <c:v>2020</c:v>
                </c:pt>
              </c:numCache>
            </c:numRef>
          </c:cat>
          <c:val>
            <c:numRef>
              <c:f>'COVER TOTAL LIABILITY'!$G$25:$G$31</c:f>
              <c:numCache>
                <c:formatCode>General</c:formatCode>
                <c:ptCount val="7"/>
                <c:pt idx="0">
                  <c:v>-2.4</c:v>
                </c:pt>
                <c:pt idx="1">
                  <c:v>-2.5</c:v>
                </c:pt>
                <c:pt idx="2">
                  <c:v>-2</c:v>
                </c:pt>
                <c:pt idx="3">
                  <c:v>5.72</c:v>
                </c:pt>
                <c:pt idx="4">
                  <c:v>4.7</c:v>
                </c:pt>
                <c:pt idx="5">
                  <c:v>-4.0000000000000022E-2</c:v>
                </c:pt>
                <c:pt idx="6">
                  <c:v>-2.5</c:v>
                </c:pt>
              </c:numCache>
            </c:numRef>
          </c:val>
        </c:ser>
        <c:ser>
          <c:idx val="2"/>
          <c:order val="2"/>
          <c:tx>
            <c:strRef>
              <c:f>'COVER TOTAL LIABILITY'!$H$24</c:f>
              <c:strCache>
                <c:ptCount val="1"/>
                <c:pt idx="0">
                  <c:v>CFTLCR Cooperative Bank Evrou</c:v>
                </c:pt>
              </c:strCache>
            </c:strRef>
          </c:tx>
          <c:cat>
            <c:numRef>
              <c:f>'COVER TOTAL LIABILITY'!$F$25:$F$31</c:f>
              <c:numCache>
                <c:formatCode>General</c:formatCode>
                <c:ptCount val="7"/>
                <c:pt idx="0">
                  <c:v>2014</c:v>
                </c:pt>
                <c:pt idx="1">
                  <c:v>2015</c:v>
                </c:pt>
                <c:pt idx="2">
                  <c:v>2016</c:v>
                </c:pt>
                <c:pt idx="3">
                  <c:v>2017</c:v>
                </c:pt>
                <c:pt idx="4">
                  <c:v>2018</c:v>
                </c:pt>
                <c:pt idx="5">
                  <c:v>2019</c:v>
                </c:pt>
                <c:pt idx="6">
                  <c:v>2020</c:v>
                </c:pt>
              </c:numCache>
            </c:numRef>
          </c:cat>
          <c:val>
            <c:numRef>
              <c:f>'COVER TOTAL LIABILITY'!$H$25:$H$31</c:f>
              <c:numCache>
                <c:formatCode>General</c:formatCode>
                <c:ptCount val="7"/>
                <c:pt idx="0">
                  <c:v>5.73</c:v>
                </c:pt>
                <c:pt idx="1">
                  <c:v>-3.3</c:v>
                </c:pt>
                <c:pt idx="2">
                  <c:v>7.4</c:v>
                </c:pt>
              </c:numCache>
            </c:numRef>
          </c:val>
        </c:ser>
        <c:marker val="1"/>
        <c:axId val="118109312"/>
        <c:axId val="118110848"/>
      </c:lineChart>
      <c:catAx>
        <c:axId val="118109312"/>
        <c:scaling>
          <c:orientation val="minMax"/>
        </c:scaling>
        <c:axPos val="b"/>
        <c:numFmt formatCode="General" sourceLinked="1"/>
        <c:majorTickMark val="none"/>
        <c:tickLblPos val="nextTo"/>
        <c:txPr>
          <a:bodyPr/>
          <a:lstStyle/>
          <a:p>
            <a:pPr>
              <a:defRPr sz="600">
                <a:latin typeface="Times New Roman" pitchFamily="18" charset="0"/>
                <a:cs typeface="Times New Roman" pitchFamily="18" charset="0"/>
              </a:defRPr>
            </a:pPr>
            <a:endParaRPr lang="el-GR"/>
          </a:p>
        </c:txPr>
        <c:crossAx val="118110848"/>
        <c:crossesAt val="0"/>
        <c:auto val="1"/>
        <c:lblAlgn val="ctr"/>
        <c:lblOffset val="100"/>
      </c:catAx>
      <c:valAx>
        <c:axId val="118110848"/>
        <c:scaling>
          <c:orientation val="minMax"/>
          <c:max val="8"/>
          <c:min val="-4"/>
        </c:scaling>
        <c:axPos val="l"/>
        <c:majorGridlines/>
        <c:numFmt formatCode="General" sourceLinked="1"/>
        <c:majorTickMark val="none"/>
        <c:tickLblPos val="nextTo"/>
        <c:spPr>
          <a:ln w="6350">
            <a:noFill/>
          </a:ln>
        </c:spPr>
        <c:txPr>
          <a:bodyPr/>
          <a:lstStyle/>
          <a:p>
            <a:pPr>
              <a:defRPr sz="600" baseline="0">
                <a:latin typeface="Times New Roman" pitchFamily="18" charset="0"/>
                <a:cs typeface="Times New Roman" pitchFamily="18" charset="0"/>
              </a:defRPr>
            </a:pPr>
            <a:endParaRPr lang="el-GR"/>
          </a:p>
        </c:txPr>
        <c:crossAx val="118109312"/>
        <c:crosses val="autoZero"/>
        <c:crossBetween val="between"/>
        <c:majorUnit val="0.5"/>
        <c:minorUnit val="1.0000000000000005E-2"/>
      </c:valAx>
    </c:plotArea>
    <c:legend>
      <c:legendPos val="b"/>
      <c:txPr>
        <a:bodyPr/>
        <a:lstStyle/>
        <a:p>
          <a:pPr>
            <a:defRPr sz="600" baseline="0">
              <a:latin typeface="Times New Roman" pitchFamily="18" charset="0"/>
              <a:cs typeface="Times New Roman" pitchFamily="18" charset="0"/>
            </a:defRPr>
          </a:pPr>
          <a:endParaRPr lang="el-GR"/>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l-GR"/>
  <c:chart>
    <c:title>
      <c:tx>
        <c:rich>
          <a:bodyPr/>
          <a:lstStyle/>
          <a:p>
            <a:pPr>
              <a:defRPr sz="1000">
                <a:latin typeface="Palatino Linotype" pitchFamily="18" charset="0"/>
              </a:defRPr>
            </a:pPr>
            <a:r>
              <a:rPr lang="en-US" sz="1000">
                <a:latin typeface="Palatino Linotype" pitchFamily="18" charset="0"/>
                <a:cs typeface="Times New Roman" pitchFamily="18" charset="0"/>
              </a:rPr>
              <a:t>CFCLCR</a:t>
            </a:r>
            <a:r>
              <a:rPr lang="en-US" sz="1000" baseline="0">
                <a:latin typeface="Palatino Linotype" pitchFamily="18" charset="0"/>
                <a:cs typeface="Times New Roman" pitchFamily="18" charset="0"/>
              </a:rPr>
              <a:t> %</a:t>
            </a:r>
            <a:endParaRPr lang="el-GR" sz="1000">
              <a:latin typeface="Palatino Linotype" pitchFamily="18" charset="0"/>
              <a:cs typeface="Times New Roman" pitchFamily="18" charset="0"/>
            </a:endParaRPr>
          </a:p>
        </c:rich>
      </c:tx>
      <c:layout>
        <c:manualLayout>
          <c:xMode val="edge"/>
          <c:yMode val="edge"/>
          <c:x val="0.43495097359405793"/>
          <c:y val="1.3888888888888978E-2"/>
        </c:manualLayout>
      </c:layout>
    </c:title>
    <c:plotArea>
      <c:layout>
        <c:manualLayout>
          <c:layoutTarget val="inner"/>
          <c:xMode val="edge"/>
          <c:yMode val="edge"/>
          <c:x val="6.762120488363646E-2"/>
          <c:y val="0.11609981044036161"/>
          <c:w val="0.90367690340077644"/>
          <c:h val="0.74145414114902308"/>
        </c:manualLayout>
      </c:layout>
      <c:lineChart>
        <c:grouping val="standard"/>
        <c:ser>
          <c:idx val="0"/>
          <c:order val="0"/>
          <c:tx>
            <c:strRef>
              <c:f>'COVER CURRENT LIABILITY'!$M$2</c:f>
              <c:strCache>
                <c:ptCount val="1"/>
                <c:pt idx="0">
                  <c:v>YEARS</c:v>
                </c:pt>
              </c:strCache>
            </c:strRef>
          </c:tx>
          <c:cat>
            <c:numRef>
              <c:f>'COVER CURRENT LIABILITY'!$M$3:$M$9</c:f>
              <c:numCache>
                <c:formatCode>General</c:formatCode>
                <c:ptCount val="7"/>
                <c:pt idx="0">
                  <c:v>2014</c:v>
                </c:pt>
                <c:pt idx="1">
                  <c:v>2015</c:v>
                </c:pt>
                <c:pt idx="2">
                  <c:v>2016</c:v>
                </c:pt>
                <c:pt idx="3">
                  <c:v>2017</c:v>
                </c:pt>
                <c:pt idx="4">
                  <c:v>2018</c:v>
                </c:pt>
                <c:pt idx="5">
                  <c:v>2019</c:v>
                </c:pt>
                <c:pt idx="6">
                  <c:v>2020</c:v>
                </c:pt>
              </c:numCache>
            </c:numRef>
          </c:cat>
          <c:val>
            <c:numRef>
              <c:f>'COVER CURRENT LIABILITY'!$M$3:$M$9</c:f>
              <c:numCache>
                <c:formatCode>General</c:formatCode>
                <c:ptCount val="7"/>
                <c:pt idx="0">
                  <c:v>2014</c:v>
                </c:pt>
                <c:pt idx="1">
                  <c:v>2015</c:v>
                </c:pt>
                <c:pt idx="2">
                  <c:v>2016</c:v>
                </c:pt>
                <c:pt idx="3">
                  <c:v>2017</c:v>
                </c:pt>
                <c:pt idx="4">
                  <c:v>2018</c:v>
                </c:pt>
                <c:pt idx="5">
                  <c:v>2019</c:v>
                </c:pt>
                <c:pt idx="6">
                  <c:v>2020</c:v>
                </c:pt>
              </c:numCache>
            </c:numRef>
          </c:val>
        </c:ser>
        <c:ser>
          <c:idx val="1"/>
          <c:order val="1"/>
          <c:tx>
            <c:strRef>
              <c:f>'COVER CURRENT LIABILITY'!$N$2</c:f>
              <c:strCache>
                <c:ptCount val="1"/>
                <c:pt idx="0">
                  <c:v>CFCLCR Cooperative Bank Dramas</c:v>
                </c:pt>
              </c:strCache>
            </c:strRef>
          </c:tx>
          <c:cat>
            <c:numRef>
              <c:f>'COVER CURRENT LIABILITY'!$M$3:$M$9</c:f>
              <c:numCache>
                <c:formatCode>General</c:formatCode>
                <c:ptCount val="7"/>
                <c:pt idx="0">
                  <c:v>2014</c:v>
                </c:pt>
                <c:pt idx="1">
                  <c:v>2015</c:v>
                </c:pt>
                <c:pt idx="2">
                  <c:v>2016</c:v>
                </c:pt>
                <c:pt idx="3">
                  <c:v>2017</c:v>
                </c:pt>
                <c:pt idx="4">
                  <c:v>2018</c:v>
                </c:pt>
                <c:pt idx="5">
                  <c:v>2019</c:v>
                </c:pt>
                <c:pt idx="6">
                  <c:v>2020</c:v>
                </c:pt>
              </c:numCache>
            </c:numRef>
          </c:cat>
          <c:val>
            <c:numRef>
              <c:f>'COVER CURRENT LIABILITY'!$N$3:$N$9</c:f>
              <c:numCache>
                <c:formatCode>General</c:formatCode>
                <c:ptCount val="7"/>
                <c:pt idx="0">
                  <c:v>-3</c:v>
                </c:pt>
                <c:pt idx="1">
                  <c:v>-1</c:v>
                </c:pt>
                <c:pt idx="2">
                  <c:v>3</c:v>
                </c:pt>
                <c:pt idx="3">
                  <c:v>5</c:v>
                </c:pt>
                <c:pt idx="4">
                  <c:v>4</c:v>
                </c:pt>
                <c:pt idx="5">
                  <c:v>-1</c:v>
                </c:pt>
                <c:pt idx="6">
                  <c:v>-2</c:v>
                </c:pt>
              </c:numCache>
            </c:numRef>
          </c:val>
        </c:ser>
        <c:ser>
          <c:idx val="2"/>
          <c:order val="2"/>
          <c:tx>
            <c:strRef>
              <c:f>'COVER CURRENT LIABILITY'!$O$2</c:f>
              <c:strCache>
                <c:ptCount val="1"/>
                <c:pt idx="0">
                  <c:v>CFCLCR Cooperative Bank Evros</c:v>
                </c:pt>
              </c:strCache>
            </c:strRef>
          </c:tx>
          <c:cat>
            <c:numRef>
              <c:f>'COVER CURRENT LIABILITY'!$M$3:$M$9</c:f>
              <c:numCache>
                <c:formatCode>General</c:formatCode>
                <c:ptCount val="7"/>
                <c:pt idx="0">
                  <c:v>2014</c:v>
                </c:pt>
                <c:pt idx="1">
                  <c:v>2015</c:v>
                </c:pt>
                <c:pt idx="2">
                  <c:v>2016</c:v>
                </c:pt>
                <c:pt idx="3">
                  <c:v>2017</c:v>
                </c:pt>
                <c:pt idx="4">
                  <c:v>2018</c:v>
                </c:pt>
                <c:pt idx="5">
                  <c:v>2019</c:v>
                </c:pt>
                <c:pt idx="6">
                  <c:v>2020</c:v>
                </c:pt>
              </c:numCache>
            </c:numRef>
          </c:cat>
          <c:val>
            <c:numRef>
              <c:f>'COVER CURRENT LIABILITY'!$O$3:$O$9</c:f>
              <c:numCache>
                <c:formatCode>General</c:formatCode>
                <c:ptCount val="7"/>
                <c:pt idx="0">
                  <c:v>5</c:v>
                </c:pt>
                <c:pt idx="1">
                  <c:v>-3</c:v>
                </c:pt>
                <c:pt idx="2">
                  <c:v>7</c:v>
                </c:pt>
              </c:numCache>
            </c:numRef>
          </c:val>
        </c:ser>
        <c:marker val="1"/>
        <c:axId val="118145024"/>
        <c:axId val="118146560"/>
      </c:lineChart>
      <c:catAx>
        <c:axId val="118145024"/>
        <c:scaling>
          <c:orientation val="minMax"/>
        </c:scaling>
        <c:axPos val="b"/>
        <c:numFmt formatCode="General" sourceLinked="1"/>
        <c:majorTickMark val="none"/>
        <c:tickLblPos val="nextTo"/>
        <c:txPr>
          <a:bodyPr/>
          <a:lstStyle/>
          <a:p>
            <a:pPr>
              <a:defRPr sz="800">
                <a:latin typeface="Times New Roman" pitchFamily="18" charset="0"/>
                <a:cs typeface="Times New Roman" pitchFamily="18" charset="0"/>
              </a:defRPr>
            </a:pPr>
            <a:endParaRPr lang="el-GR"/>
          </a:p>
        </c:txPr>
        <c:crossAx val="118146560"/>
        <c:crossesAt val="0"/>
        <c:auto val="1"/>
        <c:lblAlgn val="ctr"/>
        <c:lblOffset val="100"/>
      </c:catAx>
      <c:valAx>
        <c:axId val="118146560"/>
        <c:scaling>
          <c:orientation val="minMax"/>
          <c:max val="10"/>
          <c:min val="-5"/>
        </c:scaling>
        <c:axPos val="l"/>
        <c:majorGridlines/>
        <c:numFmt formatCode="General" sourceLinked="1"/>
        <c:majorTickMark val="none"/>
        <c:tickLblPos val="nextTo"/>
        <c:spPr>
          <a:ln w="9525">
            <a:noFill/>
          </a:ln>
        </c:spPr>
        <c:txPr>
          <a:bodyPr/>
          <a:lstStyle/>
          <a:p>
            <a:pPr>
              <a:defRPr sz="600" baseline="0">
                <a:latin typeface="Times New Roman" pitchFamily="18" charset="0"/>
                <a:cs typeface="Times New Roman" pitchFamily="18" charset="0"/>
              </a:defRPr>
            </a:pPr>
            <a:endParaRPr lang="el-GR"/>
          </a:p>
        </c:txPr>
        <c:crossAx val="118145024"/>
        <c:crosses val="autoZero"/>
        <c:crossBetween val="between"/>
        <c:majorUnit val="1"/>
        <c:minorUnit val="0.5"/>
      </c:valAx>
    </c:plotArea>
    <c:legend>
      <c:legendPos val="b"/>
      <c:txPr>
        <a:bodyPr/>
        <a:lstStyle/>
        <a:p>
          <a:pPr>
            <a:defRPr sz="600">
              <a:latin typeface="Times New Roman" pitchFamily="18" charset="0"/>
              <a:cs typeface="Times New Roman" pitchFamily="18" charset="0"/>
            </a:defRPr>
          </a:pPr>
          <a:endParaRPr lang="el-GR"/>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l-GR"/>
  <c:chart>
    <c:plotArea>
      <c:layout>
        <c:manualLayout>
          <c:layoutTarget val="inner"/>
          <c:xMode val="edge"/>
          <c:yMode val="edge"/>
          <c:x val="5.5395860647351712E-2"/>
          <c:y val="3.7445784695583482E-2"/>
          <c:w val="0.91139672011366246"/>
          <c:h val="0.84785030623669189"/>
        </c:manualLayout>
      </c:layout>
      <c:lineChart>
        <c:grouping val="standard"/>
        <c:ser>
          <c:idx val="0"/>
          <c:order val="0"/>
          <c:tx>
            <c:strRef>
              <c:f>'OPERATING CASH FLOW FOR SALES'!$P$6</c:f>
              <c:strCache>
                <c:ptCount val="1"/>
                <c:pt idx="0">
                  <c:v>ΕΤΗ</c:v>
                </c:pt>
              </c:strCache>
            </c:strRef>
          </c:tx>
          <c:cat>
            <c:numRef>
              <c:f>'OPERATING CASH FLOW FOR SALES'!$P$7:$P$13</c:f>
              <c:numCache>
                <c:formatCode>General</c:formatCode>
                <c:ptCount val="7"/>
                <c:pt idx="0">
                  <c:v>2014</c:v>
                </c:pt>
                <c:pt idx="1">
                  <c:v>2015</c:v>
                </c:pt>
                <c:pt idx="2">
                  <c:v>2016</c:v>
                </c:pt>
                <c:pt idx="3">
                  <c:v>2017</c:v>
                </c:pt>
                <c:pt idx="4">
                  <c:v>2018</c:v>
                </c:pt>
                <c:pt idx="5">
                  <c:v>2019</c:v>
                </c:pt>
                <c:pt idx="6">
                  <c:v>2020</c:v>
                </c:pt>
              </c:numCache>
            </c:numRef>
          </c:cat>
          <c:val>
            <c:numRef>
              <c:f>'OPERATING CASH FLOW FOR SALES'!$P$7:$P$13</c:f>
              <c:numCache>
                <c:formatCode>General</c:formatCode>
                <c:ptCount val="7"/>
                <c:pt idx="0">
                  <c:v>2014</c:v>
                </c:pt>
                <c:pt idx="1">
                  <c:v>2015</c:v>
                </c:pt>
                <c:pt idx="2">
                  <c:v>2016</c:v>
                </c:pt>
                <c:pt idx="3">
                  <c:v>2017</c:v>
                </c:pt>
                <c:pt idx="4">
                  <c:v>2018</c:v>
                </c:pt>
                <c:pt idx="5">
                  <c:v>2019</c:v>
                </c:pt>
                <c:pt idx="6">
                  <c:v>2020</c:v>
                </c:pt>
              </c:numCache>
            </c:numRef>
          </c:val>
        </c:ser>
        <c:ser>
          <c:idx val="1"/>
          <c:order val="1"/>
          <c:tx>
            <c:strRef>
              <c:f>'OPERATING CASH FLOW FOR SALES'!$Q$6</c:f>
              <c:strCache>
                <c:ptCount val="1"/>
                <c:pt idx="0">
                  <c:v>CFMR Cooperative Bank Dramas</c:v>
                </c:pt>
              </c:strCache>
            </c:strRef>
          </c:tx>
          <c:cat>
            <c:numRef>
              <c:f>'OPERATING CASH FLOW FOR SALES'!$P$7:$P$13</c:f>
              <c:numCache>
                <c:formatCode>General</c:formatCode>
                <c:ptCount val="7"/>
                <c:pt idx="0">
                  <c:v>2014</c:v>
                </c:pt>
                <c:pt idx="1">
                  <c:v>2015</c:v>
                </c:pt>
                <c:pt idx="2">
                  <c:v>2016</c:v>
                </c:pt>
                <c:pt idx="3">
                  <c:v>2017</c:v>
                </c:pt>
                <c:pt idx="4">
                  <c:v>2018</c:v>
                </c:pt>
                <c:pt idx="5">
                  <c:v>2019</c:v>
                </c:pt>
                <c:pt idx="6">
                  <c:v>2020</c:v>
                </c:pt>
              </c:numCache>
            </c:numRef>
          </c:cat>
          <c:val>
            <c:numRef>
              <c:f>'OPERATING CASH FLOW FOR SALES'!$Q$7:$Q$13</c:f>
              <c:numCache>
                <c:formatCode>General</c:formatCode>
                <c:ptCount val="7"/>
                <c:pt idx="0">
                  <c:v>-52.57</c:v>
                </c:pt>
                <c:pt idx="1">
                  <c:v>-103.91000000000012</c:v>
                </c:pt>
                <c:pt idx="2">
                  <c:v>-16.52</c:v>
                </c:pt>
                <c:pt idx="3">
                  <c:v>139.19</c:v>
                </c:pt>
                <c:pt idx="4">
                  <c:v>97.01</c:v>
                </c:pt>
                <c:pt idx="5">
                  <c:v>-12.639999999999999</c:v>
                </c:pt>
                <c:pt idx="6">
                  <c:v>-94.72</c:v>
                </c:pt>
              </c:numCache>
            </c:numRef>
          </c:val>
        </c:ser>
        <c:ser>
          <c:idx val="2"/>
          <c:order val="2"/>
          <c:tx>
            <c:strRef>
              <c:f>'OPERATING CASH FLOW FOR SALES'!$R$6</c:f>
              <c:strCache>
                <c:ptCount val="1"/>
                <c:pt idx="0">
                  <c:v>CFMR Cooperative Bank Evrou</c:v>
                </c:pt>
              </c:strCache>
            </c:strRef>
          </c:tx>
          <c:cat>
            <c:numRef>
              <c:f>'OPERATING CASH FLOW FOR SALES'!$P$7:$P$13</c:f>
              <c:numCache>
                <c:formatCode>General</c:formatCode>
                <c:ptCount val="7"/>
                <c:pt idx="0">
                  <c:v>2014</c:v>
                </c:pt>
                <c:pt idx="1">
                  <c:v>2015</c:v>
                </c:pt>
                <c:pt idx="2">
                  <c:v>2016</c:v>
                </c:pt>
                <c:pt idx="3">
                  <c:v>2017</c:v>
                </c:pt>
                <c:pt idx="4">
                  <c:v>2018</c:v>
                </c:pt>
                <c:pt idx="5">
                  <c:v>2019</c:v>
                </c:pt>
                <c:pt idx="6">
                  <c:v>2020</c:v>
                </c:pt>
              </c:numCache>
            </c:numRef>
          </c:cat>
          <c:val>
            <c:numRef>
              <c:f>'OPERATING CASH FLOW FOR SALES'!$R$7:$R$13</c:f>
              <c:numCache>
                <c:formatCode>0.00</c:formatCode>
                <c:ptCount val="7"/>
                <c:pt idx="0" formatCode="General">
                  <c:v>98</c:v>
                </c:pt>
                <c:pt idx="1">
                  <c:v>-759.34999999999798</c:v>
                </c:pt>
                <c:pt idx="2" formatCode="General">
                  <c:v>174.38000000000054</c:v>
                </c:pt>
              </c:numCache>
            </c:numRef>
          </c:val>
        </c:ser>
        <c:marker val="1"/>
        <c:axId val="118200960"/>
        <c:axId val="118223232"/>
      </c:lineChart>
      <c:catAx>
        <c:axId val="118200960"/>
        <c:scaling>
          <c:orientation val="minMax"/>
        </c:scaling>
        <c:axPos val="b"/>
        <c:numFmt formatCode="General" sourceLinked="1"/>
        <c:tickLblPos val="nextTo"/>
        <c:txPr>
          <a:bodyPr/>
          <a:lstStyle/>
          <a:p>
            <a:pPr>
              <a:defRPr sz="600" baseline="0">
                <a:latin typeface="Times New Roman" pitchFamily="18" charset="0"/>
                <a:cs typeface="Times New Roman" pitchFamily="18" charset="0"/>
              </a:defRPr>
            </a:pPr>
            <a:endParaRPr lang="el-GR"/>
          </a:p>
        </c:txPr>
        <c:crossAx val="118223232"/>
        <c:crosses val="autoZero"/>
        <c:auto val="1"/>
        <c:lblAlgn val="ctr"/>
        <c:lblOffset val="100"/>
      </c:catAx>
      <c:valAx>
        <c:axId val="118223232"/>
        <c:scaling>
          <c:orientation val="minMax"/>
          <c:max val="200"/>
          <c:min val="-800"/>
        </c:scaling>
        <c:axPos val="l"/>
        <c:majorGridlines/>
        <c:numFmt formatCode="General" sourceLinked="1"/>
        <c:tickLblPos val="nextTo"/>
        <c:txPr>
          <a:bodyPr/>
          <a:lstStyle/>
          <a:p>
            <a:pPr>
              <a:defRPr sz="600" baseline="0">
                <a:latin typeface="Times New Roman" pitchFamily="18" charset="0"/>
                <a:cs typeface="Times New Roman" pitchFamily="18" charset="0"/>
              </a:defRPr>
            </a:pPr>
            <a:endParaRPr lang="el-GR"/>
          </a:p>
        </c:txPr>
        <c:crossAx val="118200960"/>
        <c:crosses val="autoZero"/>
        <c:crossBetween val="between"/>
        <c:majorUnit val="20"/>
        <c:minorUnit val="10"/>
      </c:valAx>
    </c:plotArea>
    <c:legend>
      <c:legendPos val="b"/>
      <c:txPr>
        <a:bodyPr/>
        <a:lstStyle/>
        <a:p>
          <a:pPr>
            <a:defRPr sz="600" baseline="0">
              <a:latin typeface="Palatino Linotype" pitchFamily="18" charset="0"/>
            </a:defRPr>
          </a:pPr>
          <a:endParaRPr lang="el-GR"/>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l-GR"/>
  <c:chart>
    <c:plotArea>
      <c:layout>
        <c:manualLayout>
          <c:layoutTarget val="inner"/>
          <c:xMode val="edge"/>
          <c:yMode val="edge"/>
          <c:x val="4.7434096881484415E-2"/>
          <c:y val="2.7464494366352427E-2"/>
          <c:w val="0.93692907726680486"/>
          <c:h val="0.85828061952672163"/>
        </c:manualLayout>
      </c:layout>
      <c:lineChart>
        <c:grouping val="standard"/>
        <c:ser>
          <c:idx val="0"/>
          <c:order val="0"/>
          <c:tx>
            <c:strRef>
              <c:f>'OPERATING CASH FLOW ROE'!$O$2</c:f>
              <c:strCache>
                <c:ptCount val="1"/>
                <c:pt idx="0">
                  <c:v>YEARS</c:v>
                </c:pt>
              </c:strCache>
            </c:strRef>
          </c:tx>
          <c:cat>
            <c:numRef>
              <c:f>'OPERATING CASH FLOW ROE'!$O$3:$O$9</c:f>
              <c:numCache>
                <c:formatCode>General</c:formatCode>
                <c:ptCount val="7"/>
                <c:pt idx="0">
                  <c:v>2014</c:v>
                </c:pt>
                <c:pt idx="1">
                  <c:v>2015</c:v>
                </c:pt>
                <c:pt idx="2">
                  <c:v>2016</c:v>
                </c:pt>
                <c:pt idx="3">
                  <c:v>2017</c:v>
                </c:pt>
                <c:pt idx="4">
                  <c:v>2018</c:v>
                </c:pt>
                <c:pt idx="5">
                  <c:v>2019</c:v>
                </c:pt>
                <c:pt idx="6">
                  <c:v>2020</c:v>
                </c:pt>
              </c:numCache>
            </c:numRef>
          </c:cat>
          <c:val>
            <c:numRef>
              <c:f>'OPERATING CASH FLOW ROE'!$O$3:$O$9</c:f>
              <c:numCache>
                <c:formatCode>General</c:formatCode>
                <c:ptCount val="7"/>
                <c:pt idx="0">
                  <c:v>2014</c:v>
                </c:pt>
                <c:pt idx="1">
                  <c:v>2015</c:v>
                </c:pt>
                <c:pt idx="2">
                  <c:v>2016</c:v>
                </c:pt>
                <c:pt idx="3">
                  <c:v>2017</c:v>
                </c:pt>
                <c:pt idx="4">
                  <c:v>2018</c:v>
                </c:pt>
                <c:pt idx="5">
                  <c:v>2019</c:v>
                </c:pt>
                <c:pt idx="6">
                  <c:v>2020</c:v>
                </c:pt>
              </c:numCache>
            </c:numRef>
          </c:val>
        </c:ser>
        <c:ser>
          <c:idx val="1"/>
          <c:order val="1"/>
          <c:tx>
            <c:strRef>
              <c:f>'OPERATING CASH FLOW ROE'!$P$2</c:f>
              <c:strCache>
                <c:ptCount val="1"/>
                <c:pt idx="0">
                  <c:v>% OCFROE Cooperative Bank Dramas</c:v>
                </c:pt>
              </c:strCache>
            </c:strRef>
          </c:tx>
          <c:cat>
            <c:numRef>
              <c:f>'OPERATING CASH FLOW ROE'!$O$3:$O$9</c:f>
              <c:numCache>
                <c:formatCode>General</c:formatCode>
                <c:ptCount val="7"/>
                <c:pt idx="0">
                  <c:v>2014</c:v>
                </c:pt>
                <c:pt idx="1">
                  <c:v>2015</c:v>
                </c:pt>
                <c:pt idx="2">
                  <c:v>2016</c:v>
                </c:pt>
                <c:pt idx="3">
                  <c:v>2017</c:v>
                </c:pt>
                <c:pt idx="4">
                  <c:v>2018</c:v>
                </c:pt>
                <c:pt idx="5">
                  <c:v>2019</c:v>
                </c:pt>
                <c:pt idx="6">
                  <c:v>2020</c:v>
                </c:pt>
              </c:numCache>
            </c:numRef>
          </c:cat>
          <c:val>
            <c:numRef>
              <c:f>'OPERATING CASH FLOW ROE'!$P$3:$P$9</c:f>
              <c:numCache>
                <c:formatCode>General</c:formatCode>
                <c:ptCount val="7"/>
                <c:pt idx="0">
                  <c:v>-12</c:v>
                </c:pt>
                <c:pt idx="1">
                  <c:v>-17.399999999999999</c:v>
                </c:pt>
                <c:pt idx="2">
                  <c:v>-7.2</c:v>
                </c:pt>
                <c:pt idx="3">
                  <c:v>57.2</c:v>
                </c:pt>
                <c:pt idx="4">
                  <c:v>67.2</c:v>
                </c:pt>
                <c:pt idx="5">
                  <c:v>-8.8000000000000007</c:v>
                </c:pt>
                <c:pt idx="6">
                  <c:v>-27.6</c:v>
                </c:pt>
              </c:numCache>
            </c:numRef>
          </c:val>
        </c:ser>
        <c:ser>
          <c:idx val="2"/>
          <c:order val="2"/>
          <c:tx>
            <c:strRef>
              <c:f>'OPERATING CASH FLOW ROE'!$Q$2</c:f>
              <c:strCache>
                <c:ptCount val="1"/>
                <c:pt idx="0">
                  <c:v>% OCFROE Cooperative Bank Evrou</c:v>
                </c:pt>
              </c:strCache>
            </c:strRef>
          </c:tx>
          <c:cat>
            <c:numRef>
              <c:f>'OPERATING CASH FLOW ROE'!$O$3:$O$9</c:f>
              <c:numCache>
                <c:formatCode>General</c:formatCode>
                <c:ptCount val="7"/>
                <c:pt idx="0">
                  <c:v>2014</c:v>
                </c:pt>
                <c:pt idx="1">
                  <c:v>2015</c:v>
                </c:pt>
                <c:pt idx="2">
                  <c:v>2016</c:v>
                </c:pt>
                <c:pt idx="3">
                  <c:v>2017</c:v>
                </c:pt>
                <c:pt idx="4">
                  <c:v>2018</c:v>
                </c:pt>
                <c:pt idx="5">
                  <c:v>2019</c:v>
                </c:pt>
                <c:pt idx="6">
                  <c:v>2020</c:v>
                </c:pt>
              </c:numCache>
            </c:numRef>
          </c:cat>
          <c:val>
            <c:numRef>
              <c:f>'OPERATING CASH FLOW ROE'!$Q$3:$Q$9</c:f>
              <c:numCache>
                <c:formatCode>0.00</c:formatCode>
                <c:ptCount val="7"/>
                <c:pt idx="0" formatCode="General">
                  <c:v>62.5</c:v>
                </c:pt>
                <c:pt idx="1">
                  <c:v>-408.4</c:v>
                </c:pt>
                <c:pt idx="2" formatCode="General">
                  <c:v>93</c:v>
                </c:pt>
              </c:numCache>
            </c:numRef>
          </c:val>
        </c:ser>
        <c:marker val="1"/>
        <c:axId val="118260864"/>
        <c:axId val="118262400"/>
      </c:lineChart>
      <c:catAx>
        <c:axId val="118260864"/>
        <c:scaling>
          <c:orientation val="minMax"/>
        </c:scaling>
        <c:axPos val="b"/>
        <c:numFmt formatCode="General" sourceLinked="1"/>
        <c:tickLblPos val="nextTo"/>
        <c:txPr>
          <a:bodyPr/>
          <a:lstStyle/>
          <a:p>
            <a:pPr>
              <a:defRPr sz="600">
                <a:latin typeface="Times New Roman" pitchFamily="18" charset="0"/>
                <a:cs typeface="Times New Roman" pitchFamily="18" charset="0"/>
              </a:defRPr>
            </a:pPr>
            <a:endParaRPr lang="el-GR"/>
          </a:p>
        </c:txPr>
        <c:crossAx val="118262400"/>
        <c:crosses val="autoZero"/>
        <c:auto val="1"/>
        <c:lblAlgn val="ctr"/>
        <c:lblOffset val="100"/>
      </c:catAx>
      <c:valAx>
        <c:axId val="118262400"/>
        <c:scaling>
          <c:orientation val="minMax"/>
          <c:max val="110"/>
          <c:min val="-410"/>
        </c:scaling>
        <c:axPos val="l"/>
        <c:majorGridlines/>
        <c:numFmt formatCode="General" sourceLinked="1"/>
        <c:tickLblPos val="nextTo"/>
        <c:txPr>
          <a:bodyPr/>
          <a:lstStyle/>
          <a:p>
            <a:pPr>
              <a:defRPr sz="600" baseline="0">
                <a:latin typeface="Times New Roman" pitchFamily="18" charset="0"/>
                <a:cs typeface="Times New Roman" pitchFamily="18" charset="0"/>
              </a:defRPr>
            </a:pPr>
            <a:endParaRPr lang="el-GR"/>
          </a:p>
        </c:txPr>
        <c:crossAx val="118260864"/>
        <c:crosses val="autoZero"/>
        <c:crossBetween val="between"/>
        <c:majorUnit val="20"/>
        <c:minorUnit val="10"/>
      </c:valAx>
    </c:plotArea>
    <c:legend>
      <c:legendPos val="b"/>
      <c:txPr>
        <a:bodyPr/>
        <a:lstStyle/>
        <a:p>
          <a:pPr>
            <a:defRPr sz="600" baseline="0"/>
          </a:pPr>
          <a:endParaRPr lang="el-GR"/>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l-GR"/>
  <c:chart>
    <c:plotArea>
      <c:layout>
        <c:manualLayout>
          <c:layoutTarget val="inner"/>
          <c:xMode val="edge"/>
          <c:yMode val="edge"/>
          <c:x val="5.0044605823235833E-2"/>
          <c:y val="3.4996121938658378E-2"/>
          <c:w val="0.93129587702111039"/>
          <c:h val="0.8742713381484738"/>
        </c:manualLayout>
      </c:layout>
      <c:lineChart>
        <c:grouping val="standard"/>
        <c:ser>
          <c:idx val="0"/>
          <c:order val="0"/>
          <c:tx>
            <c:strRef>
              <c:f>'OPERATING CASH FLOW ROA'!$O$3</c:f>
              <c:strCache>
                <c:ptCount val="1"/>
                <c:pt idx="0">
                  <c:v>YEARS</c:v>
                </c:pt>
              </c:strCache>
            </c:strRef>
          </c:tx>
          <c:cat>
            <c:numRef>
              <c:f>'OPERATING CASH FLOW ROA'!$O$4:$O$10</c:f>
              <c:numCache>
                <c:formatCode>General</c:formatCode>
                <c:ptCount val="7"/>
                <c:pt idx="0">
                  <c:v>2014</c:v>
                </c:pt>
                <c:pt idx="1">
                  <c:v>2015</c:v>
                </c:pt>
                <c:pt idx="2">
                  <c:v>2016</c:v>
                </c:pt>
                <c:pt idx="3">
                  <c:v>2017</c:v>
                </c:pt>
                <c:pt idx="4">
                  <c:v>2018</c:v>
                </c:pt>
                <c:pt idx="5">
                  <c:v>2019</c:v>
                </c:pt>
                <c:pt idx="6">
                  <c:v>2020</c:v>
                </c:pt>
              </c:numCache>
            </c:numRef>
          </c:cat>
          <c:val>
            <c:numRef>
              <c:f>'OPERATING CASH FLOW ROA'!$O$4:$O$10</c:f>
              <c:numCache>
                <c:formatCode>General</c:formatCode>
                <c:ptCount val="7"/>
                <c:pt idx="0">
                  <c:v>2014</c:v>
                </c:pt>
                <c:pt idx="1">
                  <c:v>2015</c:v>
                </c:pt>
                <c:pt idx="2">
                  <c:v>2016</c:v>
                </c:pt>
                <c:pt idx="3">
                  <c:v>2017</c:v>
                </c:pt>
                <c:pt idx="4">
                  <c:v>2018</c:v>
                </c:pt>
                <c:pt idx="5">
                  <c:v>2019</c:v>
                </c:pt>
                <c:pt idx="6">
                  <c:v>2020</c:v>
                </c:pt>
              </c:numCache>
            </c:numRef>
          </c:val>
        </c:ser>
        <c:ser>
          <c:idx val="1"/>
          <c:order val="1"/>
          <c:tx>
            <c:strRef>
              <c:f>'OPERATING CASH FLOW ROA'!$P$3</c:f>
              <c:strCache>
                <c:ptCount val="1"/>
                <c:pt idx="0">
                  <c:v>% OCFROΑ Cooperative Bank Dramas</c:v>
                </c:pt>
              </c:strCache>
            </c:strRef>
          </c:tx>
          <c:cat>
            <c:numRef>
              <c:f>'OPERATING CASH FLOW ROA'!$O$4:$O$10</c:f>
              <c:numCache>
                <c:formatCode>General</c:formatCode>
                <c:ptCount val="7"/>
                <c:pt idx="0">
                  <c:v>2014</c:v>
                </c:pt>
                <c:pt idx="1">
                  <c:v>2015</c:v>
                </c:pt>
                <c:pt idx="2">
                  <c:v>2016</c:v>
                </c:pt>
                <c:pt idx="3">
                  <c:v>2017</c:v>
                </c:pt>
                <c:pt idx="4">
                  <c:v>2018</c:v>
                </c:pt>
                <c:pt idx="5">
                  <c:v>2019</c:v>
                </c:pt>
                <c:pt idx="6">
                  <c:v>2020</c:v>
                </c:pt>
              </c:numCache>
            </c:numRef>
          </c:cat>
          <c:val>
            <c:numRef>
              <c:f>'OPERATING CASH FLOW ROA'!$P$4:$P$10</c:f>
              <c:numCache>
                <c:formatCode>General</c:formatCode>
                <c:ptCount val="7"/>
                <c:pt idx="0">
                  <c:v>1.9000000000000001</c:v>
                </c:pt>
                <c:pt idx="1">
                  <c:v>-2</c:v>
                </c:pt>
                <c:pt idx="2">
                  <c:v>-7.2</c:v>
                </c:pt>
                <c:pt idx="3">
                  <c:v>-1.6</c:v>
                </c:pt>
                <c:pt idx="4">
                  <c:v>4.7</c:v>
                </c:pt>
                <c:pt idx="5">
                  <c:v>3.8</c:v>
                </c:pt>
                <c:pt idx="6">
                  <c:v>-2.2999999999999998</c:v>
                </c:pt>
              </c:numCache>
            </c:numRef>
          </c:val>
        </c:ser>
        <c:ser>
          <c:idx val="2"/>
          <c:order val="2"/>
          <c:tx>
            <c:strRef>
              <c:f>'OPERATING CASH FLOW ROA'!$Q$3</c:f>
              <c:strCache>
                <c:ptCount val="1"/>
                <c:pt idx="0">
                  <c:v>% OCFROΑ Cooperative Bank Evrou</c:v>
                </c:pt>
              </c:strCache>
            </c:strRef>
          </c:tx>
          <c:cat>
            <c:numRef>
              <c:f>'OPERATING CASH FLOW ROA'!$O$4:$O$10</c:f>
              <c:numCache>
                <c:formatCode>General</c:formatCode>
                <c:ptCount val="7"/>
                <c:pt idx="0">
                  <c:v>2014</c:v>
                </c:pt>
                <c:pt idx="1">
                  <c:v>2015</c:v>
                </c:pt>
                <c:pt idx="2">
                  <c:v>2016</c:v>
                </c:pt>
                <c:pt idx="3">
                  <c:v>2017</c:v>
                </c:pt>
                <c:pt idx="4">
                  <c:v>2018</c:v>
                </c:pt>
                <c:pt idx="5">
                  <c:v>2019</c:v>
                </c:pt>
                <c:pt idx="6">
                  <c:v>2020</c:v>
                </c:pt>
              </c:numCache>
            </c:numRef>
          </c:cat>
          <c:val>
            <c:numRef>
              <c:f>'OPERATING CASH FLOW ROA'!$Q$4:$Q$10</c:f>
              <c:numCache>
                <c:formatCode>0.00</c:formatCode>
                <c:ptCount val="7"/>
                <c:pt idx="0" formatCode="General">
                  <c:v>4.2</c:v>
                </c:pt>
                <c:pt idx="1">
                  <c:v>-28.9</c:v>
                </c:pt>
                <c:pt idx="2" formatCode="General">
                  <c:v>6.4</c:v>
                </c:pt>
              </c:numCache>
            </c:numRef>
          </c:val>
        </c:ser>
        <c:marker val="1"/>
        <c:axId val="118308224"/>
        <c:axId val="118326400"/>
      </c:lineChart>
      <c:catAx>
        <c:axId val="118308224"/>
        <c:scaling>
          <c:orientation val="minMax"/>
        </c:scaling>
        <c:axPos val="b"/>
        <c:numFmt formatCode="General" sourceLinked="1"/>
        <c:tickLblPos val="nextTo"/>
        <c:txPr>
          <a:bodyPr/>
          <a:lstStyle/>
          <a:p>
            <a:pPr>
              <a:defRPr sz="600" baseline="0">
                <a:latin typeface="Times New Roman" pitchFamily="18" charset="0"/>
                <a:cs typeface="Times New Roman" pitchFamily="18" charset="0"/>
              </a:defRPr>
            </a:pPr>
            <a:endParaRPr lang="el-GR"/>
          </a:p>
        </c:txPr>
        <c:crossAx val="118326400"/>
        <c:crosses val="autoZero"/>
        <c:auto val="1"/>
        <c:lblAlgn val="ctr"/>
        <c:lblOffset val="100"/>
      </c:catAx>
      <c:valAx>
        <c:axId val="118326400"/>
        <c:scaling>
          <c:orientation val="minMax"/>
          <c:max val="10"/>
          <c:min val="-30"/>
        </c:scaling>
        <c:axPos val="l"/>
        <c:majorGridlines/>
        <c:numFmt formatCode="General" sourceLinked="1"/>
        <c:tickLblPos val="nextTo"/>
        <c:txPr>
          <a:bodyPr/>
          <a:lstStyle/>
          <a:p>
            <a:pPr>
              <a:defRPr sz="600" baseline="0">
                <a:latin typeface="Times New Roman" pitchFamily="18" charset="0"/>
                <a:cs typeface="Times New Roman" pitchFamily="18" charset="0"/>
              </a:defRPr>
            </a:pPr>
            <a:endParaRPr lang="el-GR"/>
          </a:p>
        </c:txPr>
        <c:crossAx val="118308224"/>
        <c:crosses val="autoZero"/>
        <c:crossBetween val="between"/>
        <c:majorUnit val="1"/>
        <c:minorUnit val="0.5"/>
      </c:valAx>
    </c:plotArea>
    <c:legend>
      <c:legendPos val="b"/>
      <c:txPr>
        <a:bodyPr/>
        <a:lstStyle/>
        <a:p>
          <a:pPr>
            <a:defRPr sz="600" baseline="0">
              <a:latin typeface="Times New Roman" pitchFamily="18" charset="0"/>
              <a:cs typeface="Times New Roman" pitchFamily="18" charset="0"/>
            </a:defRPr>
          </a:pPr>
          <a:endParaRPr lang="el-GR"/>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l-GR"/>
  <c:chart>
    <c:plotArea>
      <c:layout>
        <c:manualLayout>
          <c:layoutTarget val="inner"/>
          <c:xMode val="edge"/>
          <c:yMode val="edge"/>
          <c:x val="4.3141030897995612E-2"/>
          <c:y val="4.0635188793646825E-2"/>
          <c:w val="0.92990221664777295"/>
          <c:h val="0.85275520035994801"/>
        </c:manualLayout>
      </c:layout>
      <c:lineChart>
        <c:grouping val="standard"/>
        <c:ser>
          <c:idx val="0"/>
          <c:order val="0"/>
          <c:tx>
            <c:strRef>
              <c:f>'DUPONT ANALYSIS'!$B$4</c:f>
              <c:strCache>
                <c:ptCount val="1"/>
                <c:pt idx="0">
                  <c:v>ROE COOPERATIVE BANK DRAMAS</c:v>
                </c:pt>
              </c:strCache>
            </c:strRef>
          </c:tx>
          <c:cat>
            <c:numRef>
              <c:f>'DUPONT ANALYSIS'!$A$5:$A$11</c:f>
              <c:numCache>
                <c:formatCode>General</c:formatCode>
                <c:ptCount val="7"/>
                <c:pt idx="0">
                  <c:v>2014</c:v>
                </c:pt>
                <c:pt idx="1">
                  <c:v>2015</c:v>
                </c:pt>
                <c:pt idx="2">
                  <c:v>2016</c:v>
                </c:pt>
                <c:pt idx="3">
                  <c:v>2017</c:v>
                </c:pt>
                <c:pt idx="4">
                  <c:v>2018</c:v>
                </c:pt>
                <c:pt idx="5">
                  <c:v>2019</c:v>
                </c:pt>
                <c:pt idx="6">
                  <c:v>2020</c:v>
                </c:pt>
              </c:numCache>
            </c:numRef>
          </c:cat>
          <c:val>
            <c:numRef>
              <c:f>'DUPONT ANALYSIS'!$B$5:$B$11</c:f>
              <c:numCache>
                <c:formatCode>General</c:formatCode>
                <c:ptCount val="7"/>
                <c:pt idx="0">
                  <c:v>-1.7000000000000001E-2</c:v>
                </c:pt>
                <c:pt idx="1">
                  <c:v>-0.65000000000000202</c:v>
                </c:pt>
                <c:pt idx="2">
                  <c:v>6.0000000000000114E-3</c:v>
                </c:pt>
                <c:pt idx="3">
                  <c:v>-4.0000000000000022E-2</c:v>
                </c:pt>
                <c:pt idx="4">
                  <c:v>6.0000000000000114E-3</c:v>
                </c:pt>
                <c:pt idx="5">
                  <c:v>-0.74000000000000166</c:v>
                </c:pt>
                <c:pt idx="6">
                  <c:v>-0.27</c:v>
                </c:pt>
              </c:numCache>
            </c:numRef>
          </c:val>
        </c:ser>
        <c:ser>
          <c:idx val="1"/>
          <c:order val="1"/>
          <c:tx>
            <c:strRef>
              <c:f>'DUPONT ANALYSIS'!$C$4</c:f>
              <c:strCache>
                <c:ptCount val="1"/>
                <c:pt idx="0">
                  <c:v>ROA COOPERATIVE BANKS DRAMAS</c:v>
                </c:pt>
              </c:strCache>
            </c:strRef>
          </c:tx>
          <c:cat>
            <c:numRef>
              <c:f>'DUPONT ANALYSIS'!$A$5:$A$11</c:f>
              <c:numCache>
                <c:formatCode>General</c:formatCode>
                <c:ptCount val="7"/>
                <c:pt idx="0">
                  <c:v>2014</c:v>
                </c:pt>
                <c:pt idx="1">
                  <c:v>2015</c:v>
                </c:pt>
                <c:pt idx="2">
                  <c:v>2016</c:v>
                </c:pt>
                <c:pt idx="3">
                  <c:v>2017</c:v>
                </c:pt>
                <c:pt idx="4">
                  <c:v>2018</c:v>
                </c:pt>
                <c:pt idx="5">
                  <c:v>2019</c:v>
                </c:pt>
                <c:pt idx="6">
                  <c:v>2020</c:v>
                </c:pt>
              </c:numCache>
            </c:numRef>
          </c:cat>
          <c:val>
            <c:numRef>
              <c:f>'DUPONT ANALYSIS'!$C$5:$C$11</c:f>
              <c:numCache>
                <c:formatCode>General</c:formatCode>
                <c:ptCount val="7"/>
                <c:pt idx="0">
                  <c:v>-2.0000000000000052E-3</c:v>
                </c:pt>
                <c:pt idx="1">
                  <c:v>-7.0000000000000021E-2</c:v>
                </c:pt>
                <c:pt idx="2">
                  <c:v>1.0000000000000035E-3</c:v>
                </c:pt>
                <c:pt idx="3">
                  <c:v>-3.000000000000007E-3</c:v>
                </c:pt>
                <c:pt idx="4">
                  <c:v>3.0000000000000095E-4</c:v>
                </c:pt>
                <c:pt idx="5">
                  <c:v>-2.7000000000000073E-2</c:v>
                </c:pt>
                <c:pt idx="6">
                  <c:v>-2.0000000000000011E-2</c:v>
                </c:pt>
              </c:numCache>
            </c:numRef>
          </c:val>
        </c:ser>
        <c:ser>
          <c:idx val="2"/>
          <c:order val="2"/>
          <c:tx>
            <c:strRef>
              <c:f>'DUPONT ANALYSIS'!$D$4</c:f>
              <c:strCache>
                <c:ptCount val="1"/>
                <c:pt idx="0">
                  <c:v>ROE COOPERATIVE BANK EVROU </c:v>
                </c:pt>
              </c:strCache>
            </c:strRef>
          </c:tx>
          <c:cat>
            <c:numRef>
              <c:f>'DUPONT ANALYSIS'!$A$5:$A$11</c:f>
              <c:numCache>
                <c:formatCode>General</c:formatCode>
                <c:ptCount val="7"/>
                <c:pt idx="0">
                  <c:v>2014</c:v>
                </c:pt>
                <c:pt idx="1">
                  <c:v>2015</c:v>
                </c:pt>
                <c:pt idx="2">
                  <c:v>2016</c:v>
                </c:pt>
                <c:pt idx="3">
                  <c:v>2017</c:v>
                </c:pt>
                <c:pt idx="4">
                  <c:v>2018</c:v>
                </c:pt>
                <c:pt idx="5">
                  <c:v>2019</c:v>
                </c:pt>
                <c:pt idx="6">
                  <c:v>2020</c:v>
                </c:pt>
              </c:numCache>
            </c:numRef>
          </c:cat>
          <c:val>
            <c:numRef>
              <c:f>'DUPONT ANALYSIS'!$D$5:$D$11</c:f>
              <c:numCache>
                <c:formatCode>General</c:formatCode>
                <c:ptCount val="7"/>
                <c:pt idx="0" formatCode="0.00">
                  <c:v>0.1</c:v>
                </c:pt>
                <c:pt idx="1">
                  <c:v>-0.33000000000000107</c:v>
                </c:pt>
                <c:pt idx="2">
                  <c:v>-0.12000000000000002</c:v>
                </c:pt>
              </c:numCache>
            </c:numRef>
          </c:val>
        </c:ser>
        <c:ser>
          <c:idx val="3"/>
          <c:order val="3"/>
          <c:tx>
            <c:strRef>
              <c:f>'DUPONT ANALYSIS'!$E$4</c:f>
              <c:strCache>
                <c:ptCount val="1"/>
                <c:pt idx="0">
                  <c:v>ROA COOPERATIVE BANK EVROU </c:v>
                </c:pt>
              </c:strCache>
            </c:strRef>
          </c:tx>
          <c:cat>
            <c:numRef>
              <c:f>'DUPONT ANALYSIS'!$A$5:$A$11</c:f>
              <c:numCache>
                <c:formatCode>General</c:formatCode>
                <c:ptCount val="7"/>
                <c:pt idx="0">
                  <c:v>2014</c:v>
                </c:pt>
                <c:pt idx="1">
                  <c:v>2015</c:v>
                </c:pt>
                <c:pt idx="2">
                  <c:v>2016</c:v>
                </c:pt>
                <c:pt idx="3">
                  <c:v>2017</c:v>
                </c:pt>
                <c:pt idx="4">
                  <c:v>2018</c:v>
                </c:pt>
                <c:pt idx="5">
                  <c:v>2019</c:v>
                </c:pt>
                <c:pt idx="6">
                  <c:v>2020</c:v>
                </c:pt>
              </c:numCache>
            </c:numRef>
          </c:cat>
          <c:val>
            <c:numRef>
              <c:f>'DUPONT ANALYSIS'!$E$5:$E$11</c:f>
              <c:numCache>
                <c:formatCode>General</c:formatCode>
                <c:ptCount val="7"/>
                <c:pt idx="0">
                  <c:v>7.0000000000000114E-3</c:v>
                </c:pt>
                <c:pt idx="1">
                  <c:v>-2.0000000000000011E-2</c:v>
                </c:pt>
                <c:pt idx="2">
                  <c:v>-8.0000000000000227E-3</c:v>
                </c:pt>
              </c:numCache>
            </c:numRef>
          </c:val>
        </c:ser>
        <c:ser>
          <c:idx val="4"/>
          <c:order val="4"/>
          <c:tx>
            <c:strRef>
              <c:f>'DUPONT ANALYSIS'!$F$4</c:f>
              <c:strCache>
                <c:ptCount val="1"/>
                <c:pt idx="0">
                  <c:v>EM DOOPERATIVE BANK DRAMAS</c:v>
                </c:pt>
              </c:strCache>
            </c:strRef>
          </c:tx>
          <c:cat>
            <c:numRef>
              <c:f>'DUPONT ANALYSIS'!$A$5:$A$11</c:f>
              <c:numCache>
                <c:formatCode>General</c:formatCode>
                <c:ptCount val="7"/>
                <c:pt idx="0">
                  <c:v>2014</c:v>
                </c:pt>
                <c:pt idx="1">
                  <c:v>2015</c:v>
                </c:pt>
                <c:pt idx="2">
                  <c:v>2016</c:v>
                </c:pt>
                <c:pt idx="3">
                  <c:v>2017</c:v>
                </c:pt>
                <c:pt idx="4">
                  <c:v>2018</c:v>
                </c:pt>
                <c:pt idx="5">
                  <c:v>2019</c:v>
                </c:pt>
                <c:pt idx="6">
                  <c:v>2020</c:v>
                </c:pt>
              </c:numCache>
            </c:numRef>
          </c:cat>
          <c:val>
            <c:numRef>
              <c:f>'DUPONT ANALYSIS'!$F$5:$F$11</c:f>
              <c:numCache>
                <c:formatCode>General</c:formatCode>
                <c:ptCount val="7"/>
                <c:pt idx="0">
                  <c:v>8.5</c:v>
                </c:pt>
                <c:pt idx="1">
                  <c:v>9.3000000000000007</c:v>
                </c:pt>
                <c:pt idx="2">
                  <c:v>6</c:v>
                </c:pt>
                <c:pt idx="3">
                  <c:v>13.3</c:v>
                </c:pt>
                <c:pt idx="4">
                  <c:v>20</c:v>
                </c:pt>
                <c:pt idx="5">
                  <c:v>27.4</c:v>
                </c:pt>
                <c:pt idx="6">
                  <c:v>13.5</c:v>
                </c:pt>
              </c:numCache>
            </c:numRef>
          </c:val>
        </c:ser>
        <c:ser>
          <c:idx val="5"/>
          <c:order val="5"/>
          <c:tx>
            <c:strRef>
              <c:f>'DUPONT ANALYSIS'!$G$4</c:f>
              <c:strCache>
                <c:ptCount val="1"/>
                <c:pt idx="0">
                  <c:v>EM COOPERATIVE BANK EVROU </c:v>
                </c:pt>
              </c:strCache>
            </c:strRef>
          </c:tx>
          <c:cat>
            <c:numRef>
              <c:f>'DUPONT ANALYSIS'!$A$5:$A$11</c:f>
              <c:numCache>
                <c:formatCode>General</c:formatCode>
                <c:ptCount val="7"/>
                <c:pt idx="0">
                  <c:v>2014</c:v>
                </c:pt>
                <c:pt idx="1">
                  <c:v>2015</c:v>
                </c:pt>
                <c:pt idx="2">
                  <c:v>2016</c:v>
                </c:pt>
                <c:pt idx="3">
                  <c:v>2017</c:v>
                </c:pt>
                <c:pt idx="4">
                  <c:v>2018</c:v>
                </c:pt>
                <c:pt idx="5">
                  <c:v>2019</c:v>
                </c:pt>
                <c:pt idx="6">
                  <c:v>2020</c:v>
                </c:pt>
              </c:numCache>
            </c:numRef>
          </c:cat>
          <c:val>
            <c:numRef>
              <c:f>'DUPONT ANALYSIS'!$G$5:$G$11</c:f>
              <c:numCache>
                <c:formatCode>General</c:formatCode>
                <c:ptCount val="7"/>
                <c:pt idx="0">
                  <c:v>14.3</c:v>
                </c:pt>
                <c:pt idx="1">
                  <c:v>16.5</c:v>
                </c:pt>
                <c:pt idx="2">
                  <c:v>15</c:v>
                </c:pt>
              </c:numCache>
            </c:numRef>
          </c:val>
        </c:ser>
        <c:marker val="1"/>
        <c:axId val="120729984"/>
        <c:axId val="120731520"/>
      </c:lineChart>
      <c:catAx>
        <c:axId val="120729984"/>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el-GR"/>
          </a:p>
        </c:txPr>
        <c:crossAx val="120731520"/>
        <c:crosses val="autoZero"/>
        <c:auto val="1"/>
        <c:lblAlgn val="ctr"/>
        <c:lblOffset val="100"/>
      </c:catAx>
      <c:valAx>
        <c:axId val="120731520"/>
        <c:scaling>
          <c:orientation val="minMax"/>
          <c:max val="30"/>
          <c:min val="-1"/>
        </c:scaling>
        <c:axPos val="l"/>
        <c:majorGridlines/>
        <c:numFmt formatCode="General" sourceLinked="1"/>
        <c:tickLblPos val="nextTo"/>
        <c:txPr>
          <a:bodyPr/>
          <a:lstStyle/>
          <a:p>
            <a:pPr>
              <a:defRPr>
                <a:latin typeface="Times New Roman" pitchFamily="18" charset="0"/>
                <a:cs typeface="Times New Roman" pitchFamily="18" charset="0"/>
              </a:defRPr>
            </a:pPr>
            <a:endParaRPr lang="el-GR"/>
          </a:p>
        </c:txPr>
        <c:crossAx val="120729984"/>
        <c:crosses val="autoZero"/>
        <c:crossBetween val="between"/>
        <c:majorUnit val="1"/>
        <c:minorUnit val="0.5"/>
      </c:valAx>
    </c:plotArea>
    <c:legend>
      <c:legendPos val="b"/>
      <c:layout>
        <c:manualLayout>
          <c:xMode val="edge"/>
          <c:yMode val="edge"/>
          <c:x val="3.4738512747533715E-2"/>
          <c:y val="0.92116596096570269"/>
          <c:w val="0.91581909838635767"/>
          <c:h val="7.1787742125681328E-2"/>
        </c:manualLayout>
      </c:layout>
      <c:txPr>
        <a:bodyPr/>
        <a:lstStyle/>
        <a:p>
          <a:pPr>
            <a:defRPr>
              <a:latin typeface="Times New Roman" pitchFamily="18" charset="0"/>
              <a:cs typeface="Times New Roman" pitchFamily="18" charset="0"/>
            </a:defRPr>
          </a:pPr>
          <a:endParaRPr lang="el-GR"/>
        </a:p>
      </c:txPr>
    </c:legend>
    <c:plotVisOnly val="1"/>
  </c:chart>
  <c:txPr>
    <a:bodyPr/>
    <a:lstStyle/>
    <a:p>
      <a:pPr>
        <a:defRPr sz="600" baseline="0"/>
      </a:pPr>
      <a:endParaRPr lang="el-GR"/>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l-GR"/>
  <c:chart>
    <c:plotArea>
      <c:layout>
        <c:manualLayout>
          <c:layoutTarget val="inner"/>
          <c:xMode val="edge"/>
          <c:yMode val="edge"/>
          <c:x val="7.1008562676378978E-2"/>
          <c:y val="5.8061259112605963E-2"/>
          <c:w val="0.90203468486938898"/>
          <c:h val="0.80609296916949691"/>
        </c:manualLayout>
      </c:layout>
      <c:lineChart>
        <c:grouping val="standard"/>
        <c:ser>
          <c:idx val="0"/>
          <c:order val="0"/>
          <c:tx>
            <c:strRef>
              <c:f>'ROCE ROIC'!$L$12</c:f>
              <c:strCache>
                <c:ptCount val="1"/>
                <c:pt idx="0">
                  <c:v>YEARS</c:v>
                </c:pt>
              </c:strCache>
            </c:strRef>
          </c:tx>
          <c:cat>
            <c:numRef>
              <c:f>'ROCE ROIC'!$L$13:$L$19</c:f>
              <c:numCache>
                <c:formatCode>General</c:formatCode>
                <c:ptCount val="7"/>
                <c:pt idx="0">
                  <c:v>2014</c:v>
                </c:pt>
                <c:pt idx="1">
                  <c:v>2015</c:v>
                </c:pt>
                <c:pt idx="2">
                  <c:v>2016</c:v>
                </c:pt>
                <c:pt idx="3">
                  <c:v>2017</c:v>
                </c:pt>
                <c:pt idx="4">
                  <c:v>2018</c:v>
                </c:pt>
                <c:pt idx="5">
                  <c:v>2019</c:v>
                </c:pt>
                <c:pt idx="6">
                  <c:v>2020</c:v>
                </c:pt>
              </c:numCache>
            </c:numRef>
          </c:cat>
          <c:val>
            <c:numRef>
              <c:f>'ROCE ROIC'!$L$13:$L$19</c:f>
              <c:numCache>
                <c:formatCode>General</c:formatCode>
                <c:ptCount val="7"/>
                <c:pt idx="0">
                  <c:v>2014</c:v>
                </c:pt>
                <c:pt idx="1">
                  <c:v>2015</c:v>
                </c:pt>
                <c:pt idx="2">
                  <c:v>2016</c:v>
                </c:pt>
                <c:pt idx="3">
                  <c:v>2017</c:v>
                </c:pt>
                <c:pt idx="4">
                  <c:v>2018</c:v>
                </c:pt>
                <c:pt idx="5">
                  <c:v>2019</c:v>
                </c:pt>
                <c:pt idx="6">
                  <c:v>2020</c:v>
                </c:pt>
              </c:numCache>
            </c:numRef>
          </c:val>
        </c:ser>
        <c:ser>
          <c:idx val="1"/>
          <c:order val="1"/>
          <c:tx>
            <c:strRef>
              <c:f>'ROCE ROIC'!$M$12</c:f>
              <c:strCache>
                <c:ptCount val="1"/>
                <c:pt idx="0">
                  <c:v>ROCE COOPERATIVE BANK DRAMAS</c:v>
                </c:pt>
              </c:strCache>
            </c:strRef>
          </c:tx>
          <c:cat>
            <c:numRef>
              <c:f>'ROCE ROIC'!$L$13:$L$19</c:f>
              <c:numCache>
                <c:formatCode>General</c:formatCode>
                <c:ptCount val="7"/>
                <c:pt idx="0">
                  <c:v>2014</c:v>
                </c:pt>
                <c:pt idx="1">
                  <c:v>2015</c:v>
                </c:pt>
                <c:pt idx="2">
                  <c:v>2016</c:v>
                </c:pt>
                <c:pt idx="3">
                  <c:v>2017</c:v>
                </c:pt>
                <c:pt idx="4">
                  <c:v>2018</c:v>
                </c:pt>
                <c:pt idx="5">
                  <c:v>2019</c:v>
                </c:pt>
                <c:pt idx="6">
                  <c:v>2020</c:v>
                </c:pt>
              </c:numCache>
            </c:numRef>
          </c:cat>
          <c:val>
            <c:numRef>
              <c:f>'ROCE ROIC'!$M$13:$M$19</c:f>
              <c:numCache>
                <c:formatCode>General</c:formatCode>
                <c:ptCount val="7"/>
                <c:pt idx="0">
                  <c:v>1.76</c:v>
                </c:pt>
                <c:pt idx="1">
                  <c:v>-65.45</c:v>
                </c:pt>
                <c:pt idx="2">
                  <c:v>1.31</c:v>
                </c:pt>
                <c:pt idx="3">
                  <c:v>-4.2</c:v>
                </c:pt>
                <c:pt idx="4">
                  <c:v>0.6400000000000019</c:v>
                </c:pt>
                <c:pt idx="5">
                  <c:v>-74.910000000000025</c:v>
                </c:pt>
                <c:pt idx="6">
                  <c:v>-27.62</c:v>
                </c:pt>
              </c:numCache>
            </c:numRef>
          </c:val>
        </c:ser>
        <c:ser>
          <c:idx val="2"/>
          <c:order val="2"/>
          <c:tx>
            <c:strRef>
              <c:f>'ROCE ROIC'!$N$12</c:f>
              <c:strCache>
                <c:ptCount val="1"/>
                <c:pt idx="0">
                  <c:v>ROCE COOPERATIVE BANK EVROU</c:v>
                </c:pt>
              </c:strCache>
            </c:strRef>
          </c:tx>
          <c:cat>
            <c:numRef>
              <c:f>'ROCE ROIC'!$L$13:$L$19</c:f>
              <c:numCache>
                <c:formatCode>General</c:formatCode>
                <c:ptCount val="7"/>
                <c:pt idx="0">
                  <c:v>2014</c:v>
                </c:pt>
                <c:pt idx="1">
                  <c:v>2015</c:v>
                </c:pt>
                <c:pt idx="2">
                  <c:v>2016</c:v>
                </c:pt>
                <c:pt idx="3">
                  <c:v>2017</c:v>
                </c:pt>
                <c:pt idx="4">
                  <c:v>2018</c:v>
                </c:pt>
                <c:pt idx="5">
                  <c:v>2019</c:v>
                </c:pt>
                <c:pt idx="6">
                  <c:v>2020</c:v>
                </c:pt>
              </c:numCache>
            </c:numRef>
          </c:cat>
          <c:val>
            <c:numRef>
              <c:f>'ROCE ROIC'!$N$13:$N$19</c:f>
              <c:numCache>
                <c:formatCode>0.00</c:formatCode>
                <c:ptCount val="7"/>
                <c:pt idx="0" formatCode="General">
                  <c:v>1.57</c:v>
                </c:pt>
                <c:pt idx="1">
                  <c:v>-33.71</c:v>
                </c:pt>
                <c:pt idx="2" formatCode="General">
                  <c:v>-12.209999999999999</c:v>
                </c:pt>
              </c:numCache>
            </c:numRef>
          </c:val>
        </c:ser>
        <c:marker val="1"/>
        <c:axId val="120756864"/>
        <c:axId val="120775040"/>
      </c:lineChart>
      <c:catAx>
        <c:axId val="120756864"/>
        <c:scaling>
          <c:orientation val="minMax"/>
        </c:scaling>
        <c:axPos val="b"/>
        <c:numFmt formatCode="General" sourceLinked="1"/>
        <c:tickLblPos val="nextTo"/>
        <c:txPr>
          <a:bodyPr/>
          <a:lstStyle/>
          <a:p>
            <a:pPr>
              <a:defRPr sz="800">
                <a:latin typeface="Palatino Linotype" pitchFamily="18" charset="0"/>
              </a:defRPr>
            </a:pPr>
            <a:endParaRPr lang="el-GR"/>
          </a:p>
        </c:txPr>
        <c:crossAx val="120775040"/>
        <c:crosses val="autoZero"/>
        <c:auto val="1"/>
        <c:lblAlgn val="ctr"/>
        <c:lblOffset val="100"/>
      </c:catAx>
      <c:valAx>
        <c:axId val="120775040"/>
        <c:scaling>
          <c:orientation val="minMax"/>
          <c:max val="2"/>
          <c:min val="-75"/>
        </c:scaling>
        <c:axPos val="l"/>
        <c:majorGridlines/>
        <c:numFmt formatCode="General" sourceLinked="1"/>
        <c:tickLblPos val="nextTo"/>
        <c:txPr>
          <a:bodyPr/>
          <a:lstStyle/>
          <a:p>
            <a:pPr>
              <a:defRPr sz="600">
                <a:latin typeface="Times New Roman" pitchFamily="18" charset="0"/>
                <a:cs typeface="Times New Roman" pitchFamily="18" charset="0"/>
              </a:defRPr>
            </a:pPr>
            <a:endParaRPr lang="el-GR"/>
          </a:p>
        </c:txPr>
        <c:crossAx val="120756864"/>
        <c:crosses val="autoZero"/>
        <c:crossBetween val="between"/>
        <c:majorUnit val="5"/>
        <c:minorUnit val="0.1"/>
      </c:valAx>
    </c:plotArea>
    <c:legend>
      <c:legendPos val="b"/>
      <c:layout>
        <c:manualLayout>
          <c:xMode val="edge"/>
          <c:yMode val="edge"/>
          <c:x val="6.6913336066957724E-3"/>
          <c:y val="0.85423124689109065"/>
          <c:w val="0.98416652596540988"/>
          <c:h val="0.11439141133800891"/>
        </c:manualLayout>
      </c:layout>
      <c:txPr>
        <a:bodyPr/>
        <a:lstStyle/>
        <a:p>
          <a:pPr>
            <a:defRPr sz="600">
              <a:latin typeface="Times New Roman" pitchFamily="18" charset="0"/>
              <a:cs typeface="Times New Roman" pitchFamily="18" charset="0"/>
            </a:defRPr>
          </a:pPr>
          <a:endParaRPr lang="el-GR"/>
        </a:p>
      </c:txPr>
    </c:legend>
    <c:plotVisOnly val="1"/>
  </c:chart>
  <c:externalData r:id="rId1"/>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6AEEE-FB67-49BB-8ACF-47611BF9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14</Pages>
  <Words>8032</Words>
  <Characters>43375</Characters>
  <Application>Microsoft Office Word</Application>
  <DocSecurity>0</DocSecurity>
  <Lines>361</Lines>
  <Paragraphs>102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103</cp:revision>
  <dcterms:created xsi:type="dcterms:W3CDTF">2023-07-08T11:21:00Z</dcterms:created>
  <dcterms:modified xsi:type="dcterms:W3CDTF">2023-08-10T15:17:00Z</dcterms:modified>
</cp:coreProperties>
</file>