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A0" w:rsidRPr="00D34FA0" w:rsidRDefault="00D34FA0" w:rsidP="00D34FA0">
      <w:pPr>
        <w:autoSpaceDE w:val="0"/>
        <w:autoSpaceDN w:val="0"/>
        <w:spacing w:after="240"/>
        <w:ind w:left="-357" w:right="-476"/>
        <w:jc w:val="center"/>
        <w:rPr>
          <w:rFonts w:eastAsia="Calibri"/>
          <w:sz w:val="36"/>
          <w:szCs w:val="36"/>
          <w:lang w:val="en-US" w:eastAsia="en-US"/>
        </w:rPr>
      </w:pPr>
      <w:r>
        <w:rPr>
          <w:rFonts w:eastAsia="Calibri"/>
          <w:sz w:val="36"/>
          <w:szCs w:val="36"/>
          <w:lang w:val="en-US" w:eastAsia="en-US"/>
        </w:rPr>
        <w:t>Merger Arbitrage in Germany</w:t>
      </w:r>
    </w:p>
    <w:p w:rsidR="00D34FA0" w:rsidRPr="00D34FA0" w:rsidRDefault="00D34FA0" w:rsidP="00D34FA0">
      <w:pPr>
        <w:pBdr>
          <w:bottom w:val="single" w:sz="12" w:space="1" w:color="auto"/>
        </w:pBdr>
        <w:tabs>
          <w:tab w:val="left" w:pos="720"/>
          <w:tab w:val="left" w:pos="1440"/>
          <w:tab w:val="left" w:pos="1980"/>
        </w:tabs>
        <w:spacing w:after="200" w:line="360" w:lineRule="auto"/>
        <w:rPr>
          <w:rFonts w:eastAsiaTheme="minorHAnsi"/>
          <w:sz w:val="20"/>
          <w:szCs w:val="20"/>
          <w:lang w:eastAsia="en-US"/>
        </w:rPr>
      </w:pPr>
    </w:p>
    <w:p w:rsidR="000E0C9E" w:rsidRPr="00D14943" w:rsidRDefault="000E0C9E" w:rsidP="000E0C9E">
      <w:pPr>
        <w:tabs>
          <w:tab w:val="left" w:pos="720"/>
        </w:tabs>
        <w:autoSpaceDE w:val="0"/>
        <w:autoSpaceDN w:val="0"/>
        <w:spacing w:before="120" w:line="480" w:lineRule="auto"/>
        <w:rPr>
          <w:rFonts w:eastAsiaTheme="minorHAnsi"/>
          <w:b/>
          <w:sz w:val="28"/>
          <w:szCs w:val="28"/>
          <w:lang w:eastAsia="en-US"/>
        </w:rPr>
      </w:pPr>
      <w:r w:rsidRPr="00D14943">
        <w:rPr>
          <w:rFonts w:eastAsiaTheme="minorHAnsi"/>
          <w:b/>
          <w:sz w:val="28"/>
          <w:szCs w:val="28"/>
          <w:lang w:eastAsia="en-US"/>
        </w:rPr>
        <w:t xml:space="preserve">Abstract </w:t>
      </w:r>
    </w:p>
    <w:p w:rsidR="00571672" w:rsidRPr="00EB6E3F" w:rsidRDefault="00571672" w:rsidP="00571672">
      <w:pPr>
        <w:spacing w:line="480" w:lineRule="auto"/>
        <w:jc w:val="both"/>
      </w:pPr>
      <w:r w:rsidRPr="00EB6E3F">
        <w:t xml:space="preserve">This paper analyses the risk and return characteristics from a merger arbitrage trading strategy in Germany for the first time.  The extant literature </w:t>
      </w:r>
      <w:r>
        <w:t>focuses</w:t>
      </w:r>
      <w:r w:rsidRPr="00EB6E3F">
        <w:t xml:space="preserve"> mainly on data sets from Anglo-American based jurisdictions with mixed results.  We argue that because in Germany </w:t>
      </w:r>
      <w:proofErr w:type="spellStart"/>
      <w:r w:rsidRPr="00EB6E3F">
        <w:t>i</w:t>
      </w:r>
      <w:proofErr w:type="spellEnd"/>
      <w:r w:rsidRPr="00EB6E3F">
        <w:t>) acquisition laws bias consideration toward cash bids thereby decreasing the uncertainty of announced transactions</w:t>
      </w:r>
      <w:r w:rsidR="003F6F68">
        <w:t xml:space="preserve"> </w:t>
      </w:r>
      <w:r w:rsidR="003F6F68" w:rsidRPr="00EB6E3F">
        <w:t>(versus share offers)</w:t>
      </w:r>
      <w:r w:rsidRPr="00EB6E3F">
        <w:t xml:space="preserve"> and ii) the </w:t>
      </w:r>
      <w:proofErr w:type="spellStart"/>
      <w:r w:rsidRPr="00EB6E3F">
        <w:t>Aufsichstrat</w:t>
      </w:r>
      <w:proofErr w:type="spellEnd"/>
      <w:r w:rsidRPr="00EB6E3F">
        <w:t xml:space="preserve"> (supervisory board with employee participation) has corporate governance oversight over any proposed merger such that only bids tacitly approved by it are likely to be announced in the first instance, a merger arbitrage trading strategy </w:t>
      </w:r>
      <w:r w:rsidR="003F6F68">
        <w:t>in a German setting</w:t>
      </w:r>
      <w:r w:rsidRPr="00EB6E3F">
        <w:t xml:space="preserve"> </w:t>
      </w:r>
      <w:r w:rsidR="00CF58F1">
        <w:t xml:space="preserve">will have different risk and return </w:t>
      </w:r>
      <w:r w:rsidR="00B438CF">
        <w:t>characteristics</w:t>
      </w:r>
      <w:r w:rsidRPr="00EB6E3F">
        <w:t xml:space="preserve">.  To estimate the significance of merger arbitrage returns we construct a realistic measure of risk arbitrage which factors in transaction costs and other practical limitations encountered by arbitrageurs employing this strategy.  We also construct two additional portfolios, an equally-weighted portfolio and a value weighted portfolio, for comparison purposes. The results show that </w:t>
      </w:r>
      <w:r>
        <w:t xml:space="preserve">the practical </w:t>
      </w:r>
      <w:r w:rsidRPr="00EB6E3F">
        <w:t xml:space="preserve">risk arbitrage manager portfolio </w:t>
      </w:r>
      <w:r>
        <w:t xml:space="preserve">fails to </w:t>
      </w:r>
      <w:r w:rsidR="00B438CF">
        <w:t>outperform</w:t>
      </w:r>
      <w:r w:rsidR="00CF58F1">
        <w:t xml:space="preserve"> on a risk-adjusted basis </w:t>
      </w:r>
      <w:r w:rsidR="00B438CF">
        <w:t>indicating</w:t>
      </w:r>
      <w:r w:rsidR="00CF58F1">
        <w:t xml:space="preserve"> that insofar as the German setting yields benefits in the form of lower risk</w:t>
      </w:r>
      <w:r w:rsidR="003F6F68">
        <w:t>,</w:t>
      </w:r>
      <w:r w:rsidR="00CF58F1">
        <w:t xml:space="preserve"> these </w:t>
      </w:r>
      <w:r w:rsidR="003F6F68">
        <w:t xml:space="preserve">are properly priced </w:t>
      </w:r>
      <w:r w:rsidR="00CF58F1">
        <w:t>by the market</w:t>
      </w:r>
      <w:r w:rsidRPr="00EB6E3F">
        <w:t xml:space="preserve">.  </w:t>
      </w:r>
    </w:p>
    <w:p w:rsidR="000E0C9E" w:rsidRPr="000E0C9E" w:rsidRDefault="000E0C9E" w:rsidP="005F17C1">
      <w:pPr>
        <w:spacing w:beforeLines="100" w:before="240" w:after="100"/>
        <w:jc w:val="both"/>
        <w:rPr>
          <w:rFonts w:eastAsiaTheme="minorHAnsi"/>
          <w:color w:val="FF0000"/>
          <w:lang w:eastAsia="en-US"/>
        </w:rPr>
      </w:pPr>
      <w:r w:rsidRPr="000E0C9E">
        <w:rPr>
          <w:rFonts w:eastAsiaTheme="minorHAnsi"/>
          <w:i/>
          <w:lang w:eastAsia="en-US"/>
        </w:rPr>
        <w:t>Keywords:</w:t>
      </w:r>
      <w:r w:rsidRPr="000E0C9E">
        <w:rPr>
          <w:rFonts w:eastAsiaTheme="minorHAnsi"/>
          <w:b/>
          <w:lang w:eastAsia="en-US"/>
        </w:rPr>
        <w:t xml:space="preserve"> </w:t>
      </w:r>
      <w:r w:rsidR="003D26A5" w:rsidRPr="003D26A5">
        <w:rPr>
          <w:rFonts w:eastAsiaTheme="minorHAnsi"/>
          <w:lang w:eastAsia="en-US"/>
        </w:rPr>
        <w:t>Merger arbitrage, Germany, abnormal returns, practical limitations</w:t>
      </w:r>
    </w:p>
    <w:p w:rsidR="000E0C9E" w:rsidRPr="000E0C9E" w:rsidRDefault="000E0C9E" w:rsidP="005F17C1">
      <w:pPr>
        <w:spacing w:beforeLines="100" w:before="240" w:after="100"/>
        <w:jc w:val="both"/>
        <w:rPr>
          <w:rFonts w:eastAsiaTheme="minorHAnsi"/>
          <w:lang w:eastAsia="en-US"/>
        </w:rPr>
      </w:pPr>
      <w:r w:rsidRPr="000E0C9E">
        <w:rPr>
          <w:rFonts w:eastAsiaTheme="minorHAnsi"/>
          <w:i/>
          <w:lang w:eastAsia="en-US"/>
        </w:rPr>
        <w:t>JEL Classification:</w:t>
      </w:r>
      <w:r w:rsidRPr="000E0C9E">
        <w:rPr>
          <w:rFonts w:eastAsiaTheme="minorHAnsi"/>
          <w:b/>
          <w:lang w:eastAsia="en-US"/>
        </w:rPr>
        <w:t xml:space="preserve"> </w:t>
      </w:r>
      <w:r w:rsidRPr="000E0C9E">
        <w:rPr>
          <w:rFonts w:eastAsiaTheme="minorHAnsi"/>
          <w:lang w:eastAsia="en-US"/>
        </w:rPr>
        <w:t>G1</w:t>
      </w:r>
      <w:r w:rsidR="00005A7E">
        <w:rPr>
          <w:rFonts w:eastAsiaTheme="minorHAnsi"/>
          <w:lang w:eastAsia="en-US"/>
        </w:rPr>
        <w:t>1</w:t>
      </w:r>
      <w:r w:rsidR="00FD548A">
        <w:rPr>
          <w:rFonts w:eastAsiaTheme="minorHAnsi"/>
          <w:lang w:eastAsia="en-US"/>
        </w:rPr>
        <w:t>, G15</w:t>
      </w:r>
      <w:r w:rsidR="00005A7E">
        <w:rPr>
          <w:rFonts w:eastAsiaTheme="minorHAnsi"/>
          <w:lang w:eastAsia="en-US"/>
        </w:rPr>
        <w:t>, G34</w:t>
      </w:r>
    </w:p>
    <w:p w:rsidR="000E0C9E" w:rsidRDefault="000E0C9E" w:rsidP="005F17C1">
      <w:pPr>
        <w:spacing w:beforeLines="100" w:before="240" w:after="100"/>
        <w:jc w:val="both"/>
        <w:rPr>
          <w:rFonts w:eastAsiaTheme="minorHAnsi"/>
          <w:lang w:eastAsia="en-US"/>
        </w:rPr>
      </w:pPr>
      <w:r w:rsidRPr="000E0C9E">
        <w:rPr>
          <w:rFonts w:eastAsiaTheme="minorHAnsi"/>
          <w:i/>
          <w:lang w:eastAsia="en-US"/>
        </w:rPr>
        <w:t>Funding:</w:t>
      </w:r>
      <w:r w:rsidRPr="000E0C9E">
        <w:rPr>
          <w:rFonts w:eastAsiaTheme="minorHAnsi"/>
          <w:lang w:eastAsia="en-US"/>
        </w:rPr>
        <w:t xml:space="preserve"> This research did not receive any specific grant from funding agencies in the public, commercial, or not-for-profit sectors.</w:t>
      </w:r>
    </w:p>
    <w:p w:rsidR="00D90776" w:rsidRDefault="00D90776">
      <w:pPr>
        <w:spacing w:after="200" w:line="276" w:lineRule="auto"/>
        <w:rPr>
          <w:b/>
        </w:rPr>
      </w:pPr>
      <w:r>
        <w:rPr>
          <w:b/>
        </w:rPr>
        <w:br w:type="page"/>
      </w:r>
    </w:p>
    <w:p w:rsidR="00E20A6D" w:rsidRPr="00FC17E1" w:rsidRDefault="00792767" w:rsidP="00D14943">
      <w:pPr>
        <w:pStyle w:val="Title"/>
        <w:numPr>
          <w:ilvl w:val="0"/>
          <w:numId w:val="11"/>
        </w:numPr>
        <w:spacing w:line="480" w:lineRule="auto"/>
        <w:ind w:left="567" w:hanging="567"/>
        <w:jc w:val="both"/>
        <w:rPr>
          <w:szCs w:val="28"/>
        </w:rPr>
      </w:pPr>
      <w:r w:rsidRPr="00FC17E1">
        <w:rPr>
          <w:szCs w:val="28"/>
          <w:lang w:val="en-GB"/>
        </w:rPr>
        <w:lastRenderedPageBreak/>
        <w:t>Introduction</w:t>
      </w:r>
    </w:p>
    <w:p w:rsidR="009D60C8" w:rsidRPr="00EB6E3F" w:rsidRDefault="00C97463" w:rsidP="007B141D">
      <w:pPr>
        <w:spacing w:line="480" w:lineRule="auto"/>
        <w:jc w:val="both"/>
      </w:pPr>
      <w:r w:rsidRPr="00EB6E3F">
        <w:t>Merger a</w:t>
      </w:r>
      <w:r w:rsidR="00E20A6D" w:rsidRPr="00EB6E3F">
        <w:t xml:space="preserve">rbitrage </w:t>
      </w:r>
      <w:r w:rsidRPr="00EB6E3F">
        <w:t>involves the</w:t>
      </w:r>
      <w:r w:rsidR="00E20A6D" w:rsidRPr="00EB6E3F">
        <w:t xml:space="preserve"> integrated purchase and sale of s</w:t>
      </w:r>
      <w:r w:rsidRPr="00EB6E3F">
        <w:t>hares in companies engaged in acquisitions</w:t>
      </w:r>
      <w:r w:rsidR="00E20A6D" w:rsidRPr="00EB6E3F">
        <w:t xml:space="preserve"> to</w:t>
      </w:r>
      <w:r w:rsidR="00D6213A" w:rsidRPr="00EB6E3F">
        <w:t xml:space="preserve"> capitalise on the spread between the consideration offered (cash and/or </w:t>
      </w:r>
      <w:r w:rsidR="00C14E57" w:rsidRPr="00EB6E3F">
        <w:t>shares</w:t>
      </w:r>
      <w:r w:rsidR="00D6213A" w:rsidRPr="00EB6E3F">
        <w:t>) for a target firm’s shares and the market price of those shares (</w:t>
      </w:r>
      <w:r w:rsidR="00F47A19" w:rsidRPr="00EB6E3F">
        <w:t>Branch and</w:t>
      </w:r>
      <w:r w:rsidR="00D6213A" w:rsidRPr="00EB6E3F">
        <w:t xml:space="preserve"> Yang, </w:t>
      </w:r>
      <w:r w:rsidR="00E20A6D" w:rsidRPr="00EB6E3F">
        <w:t>200</w:t>
      </w:r>
      <w:r w:rsidR="0026579D">
        <w:t>3</w:t>
      </w:r>
      <w:r w:rsidR="00D6213A" w:rsidRPr="00EB6E3F">
        <w:t xml:space="preserve">).  </w:t>
      </w:r>
      <w:r w:rsidR="009D60C8" w:rsidRPr="00EB6E3F">
        <w:t xml:space="preserve">Previous merger arbitrage trading strategy research has focused on the US, Canadian, and UK </w:t>
      </w:r>
      <w:r w:rsidR="008746E4" w:rsidRPr="00EB6E3F">
        <w:t>market</w:t>
      </w:r>
      <w:r w:rsidR="000C6B1E" w:rsidRPr="00EB6E3F">
        <w:t>s</w:t>
      </w:r>
      <w:r w:rsidR="009D60C8" w:rsidRPr="00EB6E3F">
        <w:t xml:space="preserve"> — all of which have similar legal and internal corporate governance systems — for different periods and the results have been inconclusive</w:t>
      </w:r>
      <w:r w:rsidR="0035020D" w:rsidRPr="00EB6E3F">
        <w:t xml:space="preserve"> (Dukes, </w:t>
      </w:r>
      <w:proofErr w:type="spellStart"/>
      <w:r w:rsidR="0035020D" w:rsidRPr="00EB6E3F">
        <w:t>Frohlich</w:t>
      </w:r>
      <w:proofErr w:type="spellEnd"/>
      <w:r w:rsidR="0035020D" w:rsidRPr="00EB6E3F">
        <w:t xml:space="preserve"> and Ma, 1992; </w:t>
      </w:r>
      <w:proofErr w:type="spellStart"/>
      <w:r w:rsidR="0035020D" w:rsidRPr="00EB6E3F">
        <w:t>Jindra</w:t>
      </w:r>
      <w:proofErr w:type="spellEnd"/>
      <w:r w:rsidR="0035020D" w:rsidRPr="00EB6E3F">
        <w:t xml:space="preserve"> and </w:t>
      </w:r>
      <w:proofErr w:type="spellStart"/>
      <w:r w:rsidR="0035020D" w:rsidRPr="00EB6E3F">
        <w:t>Walkling</w:t>
      </w:r>
      <w:proofErr w:type="spellEnd"/>
      <w:r w:rsidR="0035020D" w:rsidRPr="00EB6E3F">
        <w:t xml:space="preserve">, 1999; </w:t>
      </w:r>
      <w:proofErr w:type="spellStart"/>
      <w:r w:rsidR="0035020D" w:rsidRPr="00EB6E3F">
        <w:t>Karolyi</w:t>
      </w:r>
      <w:proofErr w:type="spellEnd"/>
      <w:r w:rsidR="0035020D" w:rsidRPr="00EB6E3F">
        <w:t xml:space="preserve"> and Shannon, 1999</w:t>
      </w:r>
      <w:r w:rsidR="00D90776">
        <w:t xml:space="preserve">; Kearney, Hutchinson and Cotter, 2007; </w:t>
      </w:r>
      <w:proofErr w:type="spellStart"/>
      <w:r w:rsidR="00D90776">
        <w:t>Maheswaran</w:t>
      </w:r>
      <w:proofErr w:type="spellEnd"/>
      <w:r w:rsidR="00D90776">
        <w:t xml:space="preserve"> and Chin </w:t>
      </w:r>
      <w:proofErr w:type="spellStart"/>
      <w:r w:rsidR="00D90776">
        <w:t>Yeoh</w:t>
      </w:r>
      <w:proofErr w:type="spellEnd"/>
      <w:r w:rsidR="00D90776">
        <w:t>, 2005</w:t>
      </w:r>
      <w:r w:rsidR="00137EF4" w:rsidRPr="00EB6E3F">
        <w:t xml:space="preserve">).  </w:t>
      </w:r>
      <w:r w:rsidR="00D90776">
        <w:t>For the first time t</w:t>
      </w:r>
      <w:r w:rsidR="00C14E57" w:rsidRPr="00EB6E3F">
        <w:t xml:space="preserve">his paper investigates the profitability of the merger arbitrage strategy </w:t>
      </w:r>
      <w:r w:rsidR="008746E4" w:rsidRPr="00EB6E3F">
        <w:t xml:space="preserve">which involved firms listed on the </w:t>
      </w:r>
      <w:r w:rsidR="00C14E57" w:rsidRPr="00EB6E3F">
        <w:t>German</w:t>
      </w:r>
      <w:r w:rsidR="000C6B1E" w:rsidRPr="00EB6E3F">
        <w:t xml:space="preserve"> </w:t>
      </w:r>
      <w:r w:rsidR="008746E4" w:rsidRPr="00EB6E3F">
        <w:t>stock exchange</w:t>
      </w:r>
      <w:r w:rsidR="00D90776">
        <w:t>,</w:t>
      </w:r>
      <w:r w:rsidR="00C14E57" w:rsidRPr="00EB6E3F">
        <w:t xml:space="preserve"> </w:t>
      </w:r>
      <w:r w:rsidR="00A96A3B" w:rsidRPr="00EB6E3F">
        <w:t>arguing</w:t>
      </w:r>
      <w:r w:rsidR="009D60C8" w:rsidRPr="00EB6E3F">
        <w:t xml:space="preserve"> that</w:t>
      </w:r>
      <w:r w:rsidR="008746E4" w:rsidRPr="00EB6E3F">
        <w:t xml:space="preserve"> because German</w:t>
      </w:r>
      <w:r w:rsidR="00D90776">
        <w:t>y’s</w:t>
      </w:r>
      <w:r w:rsidR="008746E4" w:rsidRPr="00EB6E3F">
        <w:t xml:space="preserve"> </w:t>
      </w:r>
      <w:r w:rsidR="00A96A3B" w:rsidRPr="00EB6E3F">
        <w:t>corporate</w:t>
      </w:r>
      <w:r w:rsidR="00C14E57" w:rsidRPr="00EB6E3F">
        <w:t xml:space="preserve"> governance structures</w:t>
      </w:r>
      <w:r w:rsidR="00A96A3B" w:rsidRPr="00EB6E3F">
        <w:t xml:space="preserve"> </w:t>
      </w:r>
      <w:r w:rsidR="007967CF" w:rsidRPr="00EB6E3F">
        <w:t>and acquisition law</w:t>
      </w:r>
      <w:r w:rsidR="005C412F">
        <w:t>s</w:t>
      </w:r>
      <w:r w:rsidR="007967CF" w:rsidRPr="00EB6E3F">
        <w:t xml:space="preserve"> </w:t>
      </w:r>
      <w:r w:rsidR="00D90776">
        <w:t xml:space="preserve">are likely to </w:t>
      </w:r>
      <w:r w:rsidR="009D60C8" w:rsidRPr="00EB6E3F">
        <w:t xml:space="preserve">combine to </w:t>
      </w:r>
      <w:r w:rsidR="00D90776">
        <w:t xml:space="preserve">decrease </w:t>
      </w:r>
      <w:r w:rsidR="00AB4FD5">
        <w:t>merger</w:t>
      </w:r>
      <w:r w:rsidR="00D90776">
        <w:t xml:space="preserve"> risk relative to previously researched jurisdictions, an analysis of </w:t>
      </w:r>
      <w:r w:rsidR="00AB4FD5">
        <w:t xml:space="preserve">the risk-adjusted characteristics of the merger arbitrage strategy in a </w:t>
      </w:r>
      <w:r w:rsidR="00D90776">
        <w:t>German setting is merited</w:t>
      </w:r>
      <w:r w:rsidR="009D60C8" w:rsidRPr="00EB6E3F">
        <w:t>.</w:t>
      </w:r>
    </w:p>
    <w:p w:rsidR="009D60C8" w:rsidRPr="00EB6E3F" w:rsidRDefault="009D60C8" w:rsidP="007B141D">
      <w:pPr>
        <w:spacing w:line="480" w:lineRule="auto"/>
        <w:jc w:val="both"/>
      </w:pPr>
    </w:p>
    <w:p w:rsidR="007967CF" w:rsidRPr="00EB6E3F" w:rsidRDefault="001651E9" w:rsidP="007B141D">
      <w:pPr>
        <w:spacing w:line="480" w:lineRule="auto"/>
        <w:jc w:val="both"/>
      </w:pPr>
      <w:r w:rsidRPr="00EB6E3F">
        <w:t xml:space="preserve">Germany </w:t>
      </w:r>
      <w:r w:rsidR="007967CF" w:rsidRPr="00EB6E3F">
        <w:t xml:space="preserve">operates </w:t>
      </w:r>
      <w:r w:rsidR="00695DB8" w:rsidRPr="00EB6E3F">
        <w:t>a</w:t>
      </w:r>
      <w:r w:rsidR="009D60C8" w:rsidRPr="00EB6E3F">
        <w:t xml:space="preserve"> two tier </w:t>
      </w:r>
      <w:r w:rsidR="00D7619B" w:rsidRPr="00EB6E3F">
        <w:t xml:space="preserve">corporate </w:t>
      </w:r>
      <w:r w:rsidR="009D60C8" w:rsidRPr="00EB6E3F">
        <w:t>governance structure</w:t>
      </w:r>
      <w:r w:rsidR="00415F0A" w:rsidRPr="00EB6E3F">
        <w:t xml:space="preserve"> </w:t>
      </w:r>
      <w:r w:rsidRPr="00EB6E3F">
        <w:t xml:space="preserve">versus the one-tier board structure in </w:t>
      </w:r>
      <w:r w:rsidR="00015E40" w:rsidRPr="00EB6E3F">
        <w:t xml:space="preserve">the </w:t>
      </w:r>
      <w:r w:rsidRPr="00EB6E3F">
        <w:t>Anglo-</w:t>
      </w:r>
      <w:r w:rsidR="007967CF" w:rsidRPr="00EB6E3F">
        <w:t>American</w:t>
      </w:r>
      <w:r w:rsidRPr="00EB6E3F">
        <w:t xml:space="preserve"> </w:t>
      </w:r>
      <w:r w:rsidR="0014101B" w:rsidRPr="00EB6E3F">
        <w:t>jurisdictions</w:t>
      </w:r>
      <w:r w:rsidR="00015E40" w:rsidRPr="00EB6E3F">
        <w:t xml:space="preserve"> where previous merger arbitrage research was </w:t>
      </w:r>
      <w:r w:rsidR="00CA5148">
        <w:t>undertaken (</w:t>
      </w:r>
      <w:proofErr w:type="spellStart"/>
      <w:r w:rsidR="00CA5148">
        <w:t>Chirinko</w:t>
      </w:r>
      <w:proofErr w:type="spellEnd"/>
      <w:r w:rsidR="00CA5148">
        <w:t xml:space="preserve"> and </w:t>
      </w:r>
      <w:proofErr w:type="spellStart"/>
      <w:r w:rsidR="00CA5148">
        <w:t>Elston</w:t>
      </w:r>
      <w:proofErr w:type="spellEnd"/>
      <w:r w:rsidR="00CA5148">
        <w:t>, 2006;</w:t>
      </w:r>
      <w:r w:rsidR="00582503">
        <w:t xml:space="preserve"> </w:t>
      </w:r>
      <w:proofErr w:type="spellStart"/>
      <w:r w:rsidR="00582503">
        <w:t>Hackethal</w:t>
      </w:r>
      <w:proofErr w:type="spellEnd"/>
      <w:r w:rsidR="00582503">
        <w:t>, Schmidt and Tyrell, 2005</w:t>
      </w:r>
      <w:r w:rsidR="00CA5148">
        <w:t>)</w:t>
      </w:r>
      <w:r w:rsidR="007967CF" w:rsidRPr="00EB6E3F">
        <w:t xml:space="preserve">.  </w:t>
      </w:r>
      <w:r w:rsidR="00D7619B" w:rsidRPr="00EB6E3F">
        <w:t>T</w:t>
      </w:r>
      <w:r w:rsidR="007967CF" w:rsidRPr="00EB6E3F">
        <w:t>he</w:t>
      </w:r>
      <w:r w:rsidR="00695DB8" w:rsidRPr="00EB6E3F">
        <w:t xml:space="preserve"> </w:t>
      </w:r>
      <w:proofErr w:type="spellStart"/>
      <w:r w:rsidR="00695DB8" w:rsidRPr="00EB6E3F">
        <w:t>Aufsichtsrat</w:t>
      </w:r>
      <w:proofErr w:type="spellEnd"/>
      <w:r w:rsidR="00695DB8" w:rsidRPr="00EB6E3F">
        <w:t xml:space="preserve"> — a supervisory board which is comprised of an equal number of employee and shareholder representatives</w:t>
      </w:r>
      <w:r w:rsidR="007967CF" w:rsidRPr="00EB6E3F">
        <w:t xml:space="preserve"> —</w:t>
      </w:r>
      <w:r w:rsidR="00695DB8" w:rsidRPr="00EB6E3F">
        <w:t xml:space="preserve"> </w:t>
      </w:r>
      <w:r w:rsidR="006A3A1E" w:rsidRPr="00EB6E3F">
        <w:t xml:space="preserve">is </w:t>
      </w:r>
      <w:r w:rsidR="00D7619B" w:rsidRPr="00EB6E3F">
        <w:t xml:space="preserve">particularly </w:t>
      </w:r>
      <w:r w:rsidR="006A3A1E" w:rsidRPr="00EB6E3F">
        <w:t xml:space="preserve">relevant </w:t>
      </w:r>
      <w:r w:rsidR="00695DB8" w:rsidRPr="00EB6E3F">
        <w:t xml:space="preserve">for this study because </w:t>
      </w:r>
      <w:r w:rsidR="006A3A1E" w:rsidRPr="00EB6E3F">
        <w:t xml:space="preserve">one of its </w:t>
      </w:r>
      <w:r w:rsidR="00DC646B" w:rsidRPr="00EB6E3F">
        <w:t xml:space="preserve">main </w:t>
      </w:r>
      <w:r w:rsidR="006A3A1E" w:rsidRPr="00EB6E3F">
        <w:t xml:space="preserve">roles is </w:t>
      </w:r>
      <w:r w:rsidR="00695DB8" w:rsidRPr="00EB6E3F">
        <w:t>t</w:t>
      </w:r>
      <w:r w:rsidR="000C6B1E" w:rsidRPr="00EB6E3F">
        <w:t xml:space="preserve">o confirm all corporate actions, </w:t>
      </w:r>
      <w:r w:rsidR="00695DB8" w:rsidRPr="00EB6E3F">
        <w:t>of which proposed mergers are an example</w:t>
      </w:r>
      <w:r w:rsidR="00D7619B" w:rsidRPr="00EB6E3F">
        <w:t xml:space="preserve">.  </w:t>
      </w:r>
      <w:r w:rsidR="00D654F8" w:rsidRPr="00EB6E3F">
        <w:t xml:space="preserve"> </w:t>
      </w:r>
      <w:r w:rsidR="00D7619B" w:rsidRPr="00EB6E3F">
        <w:t xml:space="preserve">Indeed, </w:t>
      </w:r>
      <w:proofErr w:type="spellStart"/>
      <w:r w:rsidR="00D7619B" w:rsidRPr="00EB6E3F">
        <w:rPr>
          <w:bCs/>
        </w:rPr>
        <w:t>Köke</w:t>
      </w:r>
      <w:proofErr w:type="spellEnd"/>
      <w:r w:rsidR="00D7619B" w:rsidRPr="00EB6E3F">
        <w:rPr>
          <w:bCs/>
        </w:rPr>
        <w:t xml:space="preserve"> (2002) argues that </w:t>
      </w:r>
      <w:r w:rsidR="00D7619B" w:rsidRPr="00EB6E3F">
        <w:t xml:space="preserve">the </w:t>
      </w:r>
      <w:proofErr w:type="spellStart"/>
      <w:r w:rsidR="00D7619B" w:rsidRPr="00EB6E3F">
        <w:t>Aufsichtsrat</w:t>
      </w:r>
      <w:proofErr w:type="spellEnd"/>
      <w:r w:rsidR="00D654F8" w:rsidRPr="00EB6E3F">
        <w:t xml:space="preserve"> is likely to have a profound effect on the probability of </w:t>
      </w:r>
      <w:r w:rsidR="00DC646B" w:rsidRPr="00EB6E3F">
        <w:t>any</w:t>
      </w:r>
      <w:r w:rsidR="00D654F8" w:rsidRPr="00EB6E3F">
        <w:t xml:space="preserve"> announced acquisitions completing successfully</w:t>
      </w:r>
      <w:r w:rsidR="006A3A1E" w:rsidRPr="00EB6E3F">
        <w:t xml:space="preserve">.  </w:t>
      </w:r>
      <w:r w:rsidR="007967CF" w:rsidRPr="00EB6E3F">
        <w:t xml:space="preserve">Another factor likely to impact of the successful consummation of announced acquisitions is that German takeover law </w:t>
      </w:r>
      <w:r w:rsidR="00582503">
        <w:t>makes s</w:t>
      </w:r>
      <w:r w:rsidR="00AB4FD5">
        <w:t>h</w:t>
      </w:r>
      <w:r w:rsidR="00582503">
        <w:t>are offers more difficult and so biases consideration toward cash</w:t>
      </w:r>
      <w:r w:rsidR="007967CF" w:rsidRPr="00EB6E3F">
        <w:t xml:space="preserve">.  </w:t>
      </w:r>
      <w:r w:rsidR="000C6B1E" w:rsidRPr="00EB6E3F">
        <w:t xml:space="preserve">These stipulations </w:t>
      </w:r>
      <w:r w:rsidR="007967CF" w:rsidRPr="00EB6E3F">
        <w:t xml:space="preserve">decrease the </w:t>
      </w:r>
      <w:r w:rsidR="007967CF" w:rsidRPr="00EB6E3F">
        <w:lastRenderedPageBreak/>
        <w:t>likelihood th</w:t>
      </w:r>
      <w:r w:rsidR="000C6B1E" w:rsidRPr="00EB6E3F">
        <w:t>at announced mergers will fail</w:t>
      </w:r>
      <w:r w:rsidR="00D15DC4">
        <w:t>, and so</w:t>
      </w:r>
      <w:r w:rsidR="007967CF" w:rsidRPr="00EB6E3F">
        <w:t xml:space="preserve"> decreas</w:t>
      </w:r>
      <w:r w:rsidR="00D15DC4">
        <w:t>e</w:t>
      </w:r>
      <w:r w:rsidR="007967CF" w:rsidRPr="00EB6E3F">
        <w:t xml:space="preserve"> the uncertainty of a merger</w:t>
      </w:r>
      <w:r w:rsidR="000C6B1E" w:rsidRPr="00EB6E3F">
        <w:t xml:space="preserve"> arbit</w:t>
      </w:r>
      <w:r w:rsidR="008746E4" w:rsidRPr="00EB6E3F">
        <w:t xml:space="preserve">rage strategy involving German </w:t>
      </w:r>
      <w:r w:rsidR="000C6B1E" w:rsidRPr="00EB6E3F">
        <w:t>firms</w:t>
      </w:r>
      <w:r w:rsidR="007967CF" w:rsidRPr="00EB6E3F">
        <w:t>.</w:t>
      </w:r>
    </w:p>
    <w:p w:rsidR="002E04A9" w:rsidRPr="00EB6E3F" w:rsidRDefault="002E04A9" w:rsidP="007B141D">
      <w:pPr>
        <w:spacing w:line="480" w:lineRule="auto"/>
        <w:jc w:val="both"/>
      </w:pPr>
    </w:p>
    <w:p w:rsidR="00831457" w:rsidRPr="00EB6E3F" w:rsidRDefault="00BE7214" w:rsidP="007B141D">
      <w:pPr>
        <w:spacing w:line="480" w:lineRule="auto"/>
        <w:jc w:val="both"/>
        <w:rPr>
          <w:bCs/>
        </w:rPr>
      </w:pPr>
      <w:r w:rsidRPr="00EB6E3F">
        <w:t xml:space="preserve">The objective of </w:t>
      </w:r>
      <w:r w:rsidR="00C70B2E">
        <w:t>this paper</w:t>
      </w:r>
      <w:r w:rsidRPr="00EB6E3F">
        <w:t xml:space="preserve"> is to examine the impact of setting in the </w:t>
      </w:r>
      <w:r w:rsidR="000844EE" w:rsidRPr="00EB6E3F">
        <w:t>merger arbitrage</w:t>
      </w:r>
      <w:r w:rsidRPr="00EB6E3F">
        <w:t xml:space="preserve"> process.  </w:t>
      </w:r>
      <w:proofErr w:type="spellStart"/>
      <w:r w:rsidR="00453E36" w:rsidRPr="00EB6E3F">
        <w:t>Cornelli</w:t>
      </w:r>
      <w:proofErr w:type="spellEnd"/>
      <w:r w:rsidR="00453E36" w:rsidRPr="00EB6E3F">
        <w:t xml:space="preserve"> and Li (2002) argue that arbitrageurs can impart demand </w:t>
      </w:r>
      <w:r w:rsidR="002E419D" w:rsidRPr="00EB6E3F">
        <w:t>side pressure</w:t>
      </w:r>
      <w:r w:rsidR="00453E36" w:rsidRPr="00EB6E3F">
        <w:t xml:space="preserve"> via their holdings to influence </w:t>
      </w:r>
      <w:r w:rsidR="001F026C" w:rsidRPr="00EB6E3F">
        <w:t>outcomes of announced mergers</w:t>
      </w:r>
      <w:r w:rsidR="00453E36" w:rsidRPr="00EB6E3F">
        <w:t xml:space="preserve">.  </w:t>
      </w:r>
      <w:r w:rsidR="002E419D" w:rsidRPr="00EB6E3F">
        <w:rPr>
          <w:bCs/>
        </w:rPr>
        <w:t xml:space="preserve">This paper </w:t>
      </w:r>
      <w:r w:rsidR="00F85B27" w:rsidRPr="00EB6E3F">
        <w:rPr>
          <w:bCs/>
        </w:rPr>
        <w:t xml:space="preserve">adopts a sell side approach to argue that </w:t>
      </w:r>
      <w:r w:rsidR="00D7619B" w:rsidRPr="00EB6E3F">
        <w:rPr>
          <w:bCs/>
        </w:rPr>
        <w:t xml:space="preserve">the </w:t>
      </w:r>
      <w:r w:rsidR="001651E9" w:rsidRPr="00EB6E3F">
        <w:rPr>
          <w:bCs/>
        </w:rPr>
        <w:t xml:space="preserve">corporate governance </w:t>
      </w:r>
      <w:r w:rsidR="001F026C" w:rsidRPr="00EB6E3F">
        <w:rPr>
          <w:bCs/>
        </w:rPr>
        <w:t>and legal setting can also influence outcomes</w:t>
      </w:r>
      <w:r w:rsidR="00D654F8" w:rsidRPr="00EB6E3F">
        <w:rPr>
          <w:bCs/>
        </w:rPr>
        <w:t>.</w:t>
      </w:r>
      <w:r w:rsidR="001651E9" w:rsidRPr="00EB6E3F">
        <w:rPr>
          <w:bCs/>
        </w:rPr>
        <w:t xml:space="preserve">  </w:t>
      </w:r>
      <w:r w:rsidR="0035020D" w:rsidRPr="00EB6E3F">
        <w:rPr>
          <w:bCs/>
        </w:rPr>
        <w:t xml:space="preserve">To test this </w:t>
      </w:r>
      <w:proofErr w:type="gramStart"/>
      <w:r w:rsidR="0035020D" w:rsidRPr="00EB6E3F">
        <w:rPr>
          <w:bCs/>
        </w:rPr>
        <w:t>hypothesis</w:t>
      </w:r>
      <w:proofErr w:type="gramEnd"/>
      <w:r w:rsidR="0035020D" w:rsidRPr="00EB6E3F">
        <w:rPr>
          <w:bCs/>
        </w:rPr>
        <w:t xml:space="preserve"> we</w:t>
      </w:r>
      <w:r w:rsidR="004F4521" w:rsidRPr="00EB6E3F">
        <w:t xml:space="preserve"> </w:t>
      </w:r>
      <w:r w:rsidR="0035020D" w:rsidRPr="00EB6E3F">
        <w:t xml:space="preserve">follow the prior literature </w:t>
      </w:r>
      <w:r w:rsidR="004F4521" w:rsidRPr="00EB6E3F">
        <w:t xml:space="preserve">by creating a simulated risk arbitrage portfolio </w:t>
      </w:r>
      <w:r w:rsidR="00831457" w:rsidRPr="00EB6E3F">
        <w:rPr>
          <w:lang w:eastAsia="en-US"/>
        </w:rPr>
        <w:t>using high frequency daily data in a manner ascribed to practitioners</w:t>
      </w:r>
      <w:r w:rsidR="000844EE" w:rsidRPr="00EB6E3F">
        <w:rPr>
          <w:lang w:eastAsia="en-US"/>
        </w:rPr>
        <w:t xml:space="preserve"> (Mitchell and </w:t>
      </w:r>
      <w:proofErr w:type="spellStart"/>
      <w:r w:rsidR="000844EE" w:rsidRPr="00EB6E3F">
        <w:rPr>
          <w:lang w:eastAsia="en-US"/>
        </w:rPr>
        <w:t>Pulvino</w:t>
      </w:r>
      <w:proofErr w:type="spellEnd"/>
      <w:r w:rsidR="000844EE" w:rsidRPr="00EB6E3F">
        <w:rPr>
          <w:lang w:eastAsia="en-US"/>
        </w:rPr>
        <w:t>, 2001)</w:t>
      </w:r>
      <w:r w:rsidR="00831457" w:rsidRPr="00EB6E3F">
        <w:rPr>
          <w:lang w:eastAsia="en-US"/>
        </w:rPr>
        <w:t xml:space="preserve">. To construct the simulated portfolio </w:t>
      </w:r>
      <w:r w:rsidR="00295CA8" w:rsidRPr="00EB6E3F">
        <w:rPr>
          <w:lang w:eastAsia="en-US"/>
        </w:rPr>
        <w:t>a long position is taken</w:t>
      </w:r>
      <w:r w:rsidR="00831457" w:rsidRPr="00EB6E3F">
        <w:rPr>
          <w:lang w:eastAsia="en-US"/>
        </w:rPr>
        <w:t xml:space="preserve"> in the target equity</w:t>
      </w:r>
      <w:r w:rsidR="00295CA8" w:rsidRPr="00EB6E3F">
        <w:rPr>
          <w:lang w:eastAsia="en-US"/>
        </w:rPr>
        <w:t xml:space="preserve"> and a simultaneous short position is taken in the consideration</w:t>
      </w:r>
      <w:r w:rsidR="00831457" w:rsidRPr="00EB6E3F">
        <w:rPr>
          <w:lang w:eastAsia="en-US"/>
        </w:rPr>
        <w:t xml:space="preserve">, creating </w:t>
      </w:r>
      <w:r w:rsidR="00295CA8" w:rsidRPr="00EB6E3F">
        <w:rPr>
          <w:lang w:eastAsia="en-US"/>
        </w:rPr>
        <w:t>a merger arbitrage position</w:t>
      </w:r>
      <w:r w:rsidR="00831457" w:rsidRPr="00EB6E3F">
        <w:rPr>
          <w:lang w:eastAsia="en-US"/>
        </w:rPr>
        <w:t xml:space="preserve"> that capture</w:t>
      </w:r>
      <w:r w:rsidR="00C70B2E">
        <w:rPr>
          <w:lang w:eastAsia="en-US"/>
        </w:rPr>
        <w:t>s</w:t>
      </w:r>
      <w:r w:rsidR="00831457" w:rsidRPr="00EB6E3F">
        <w:rPr>
          <w:lang w:eastAsia="en-US"/>
        </w:rPr>
        <w:t xml:space="preserve"> deal spreads.  We then combine the merger arbitrage </w:t>
      </w:r>
      <w:r w:rsidR="00407052" w:rsidRPr="00EB6E3F">
        <w:rPr>
          <w:lang w:eastAsia="en-US"/>
        </w:rPr>
        <w:t>positions into three portfolios: an equally weighted portfolio;</w:t>
      </w:r>
      <w:r w:rsidR="00831457" w:rsidRPr="00EB6E3F">
        <w:rPr>
          <w:lang w:eastAsia="en-US"/>
        </w:rPr>
        <w:t xml:space="preserve"> a value weighted portfolio</w:t>
      </w:r>
      <w:r w:rsidR="00CB7D63" w:rsidRPr="00EB6E3F">
        <w:rPr>
          <w:lang w:eastAsia="en-US"/>
        </w:rPr>
        <w:t>;</w:t>
      </w:r>
      <w:r w:rsidR="00831457" w:rsidRPr="00EB6E3F">
        <w:rPr>
          <w:lang w:eastAsia="en-US"/>
        </w:rPr>
        <w:t xml:space="preserve"> and a real world portfolio which controls for transaction costs and capital constraints.  </w:t>
      </w:r>
      <w:r w:rsidR="00407052" w:rsidRPr="00EB6E3F">
        <w:rPr>
          <w:lang w:eastAsia="en-US"/>
        </w:rPr>
        <w:t>W</w:t>
      </w:r>
      <w:r w:rsidR="00831457" w:rsidRPr="00EB6E3F">
        <w:rPr>
          <w:lang w:eastAsia="en-US"/>
        </w:rPr>
        <w:t xml:space="preserve">e </w:t>
      </w:r>
      <w:r w:rsidR="00407052" w:rsidRPr="00EB6E3F">
        <w:rPr>
          <w:lang w:eastAsia="en-US"/>
        </w:rPr>
        <w:t xml:space="preserve">use multi-factor asset class </w:t>
      </w:r>
      <w:r w:rsidR="00954C50">
        <w:rPr>
          <w:lang w:eastAsia="en-US"/>
        </w:rPr>
        <w:t xml:space="preserve">pricing </w:t>
      </w:r>
      <w:r w:rsidR="00407052" w:rsidRPr="00EB6E3F">
        <w:rPr>
          <w:lang w:eastAsia="en-US"/>
        </w:rPr>
        <w:t>models</w:t>
      </w:r>
      <w:r w:rsidR="0035020D" w:rsidRPr="00EB6E3F">
        <w:rPr>
          <w:lang w:eastAsia="en-US"/>
        </w:rPr>
        <w:t>, which</w:t>
      </w:r>
      <w:r w:rsidR="00AE2FD3" w:rsidRPr="00EB6E3F">
        <w:rPr>
          <w:lang w:eastAsia="en-US"/>
        </w:rPr>
        <w:t xml:space="preserve"> have been specified extensively in the hedge fund and mutual fund literature to assess risk and performance of investment funds, </w:t>
      </w:r>
      <w:r w:rsidR="00407052" w:rsidRPr="00EB6E3F">
        <w:rPr>
          <w:lang w:eastAsia="en-US"/>
        </w:rPr>
        <w:t xml:space="preserve">to </w:t>
      </w:r>
      <w:r w:rsidR="00831457" w:rsidRPr="00EB6E3F">
        <w:rPr>
          <w:lang w:eastAsia="en-US"/>
        </w:rPr>
        <w:t>examine the data generating process of the merger arbitrage strategy</w:t>
      </w:r>
      <w:r w:rsidR="00407052" w:rsidRPr="00EB6E3F">
        <w:rPr>
          <w:lang w:eastAsia="en-US"/>
        </w:rPr>
        <w:t>.</w:t>
      </w:r>
      <w:r w:rsidR="00AE2FD3" w:rsidRPr="00EB6E3F">
        <w:rPr>
          <w:lang w:eastAsia="en-US"/>
        </w:rPr>
        <w:t xml:space="preserve"> </w:t>
      </w:r>
    </w:p>
    <w:p w:rsidR="00AE2FD3" w:rsidRPr="00EB6E3F" w:rsidRDefault="00AE2FD3" w:rsidP="007B141D">
      <w:pPr>
        <w:spacing w:line="480" w:lineRule="auto"/>
        <w:jc w:val="both"/>
        <w:rPr>
          <w:bCs/>
        </w:rPr>
      </w:pPr>
    </w:p>
    <w:p w:rsidR="00831457" w:rsidRPr="00EB6E3F" w:rsidRDefault="00831457" w:rsidP="007B141D">
      <w:pPr>
        <w:spacing w:line="480" w:lineRule="auto"/>
        <w:jc w:val="both"/>
        <w:rPr>
          <w:bCs/>
        </w:rPr>
      </w:pPr>
      <w:r w:rsidRPr="00EB6E3F">
        <w:rPr>
          <w:bCs/>
        </w:rPr>
        <w:t>As such this paper represents a robust extension of the extant research in an alternative setting</w:t>
      </w:r>
      <w:r w:rsidR="00954C50">
        <w:rPr>
          <w:bCs/>
        </w:rPr>
        <w:t xml:space="preserve"> </w:t>
      </w:r>
      <w:r w:rsidR="00954C50" w:rsidRPr="00EB6E3F">
        <w:rPr>
          <w:bCs/>
        </w:rPr>
        <w:t>(i.e. non Anglo-Saxon)</w:t>
      </w:r>
      <w:r w:rsidRPr="00EB6E3F">
        <w:rPr>
          <w:bCs/>
        </w:rPr>
        <w:t xml:space="preserve"> </w:t>
      </w:r>
      <w:r w:rsidR="00954C50">
        <w:rPr>
          <w:bCs/>
        </w:rPr>
        <w:t xml:space="preserve">where </w:t>
      </w:r>
      <w:r w:rsidR="002871B6">
        <w:rPr>
          <w:bCs/>
        </w:rPr>
        <w:t xml:space="preserve">the governance and legal setting </w:t>
      </w:r>
      <w:r w:rsidRPr="00EB6E3F">
        <w:rPr>
          <w:bCs/>
        </w:rPr>
        <w:t xml:space="preserve">is </w:t>
      </w:r>
      <w:r w:rsidR="002871B6">
        <w:rPr>
          <w:bCs/>
        </w:rPr>
        <w:t>expected</w:t>
      </w:r>
      <w:r w:rsidRPr="00EB6E3F">
        <w:rPr>
          <w:bCs/>
        </w:rPr>
        <w:t xml:space="preserve"> to </w:t>
      </w:r>
      <w:r w:rsidR="004B02DC">
        <w:rPr>
          <w:bCs/>
        </w:rPr>
        <w:t xml:space="preserve">favourably </w:t>
      </w:r>
      <w:r w:rsidRPr="00EB6E3F">
        <w:rPr>
          <w:bCs/>
        </w:rPr>
        <w:t xml:space="preserve">impact </w:t>
      </w:r>
      <w:r w:rsidR="00161791">
        <w:rPr>
          <w:bCs/>
        </w:rPr>
        <w:t xml:space="preserve">the risk and potentially the risk-adjusted returns </w:t>
      </w:r>
      <w:r w:rsidRPr="00EB6E3F">
        <w:rPr>
          <w:bCs/>
        </w:rPr>
        <w:t>to a merger arbitrage strategy</w:t>
      </w:r>
      <w:r w:rsidR="00161791">
        <w:rPr>
          <w:bCs/>
        </w:rPr>
        <w:t>.</w:t>
      </w:r>
    </w:p>
    <w:p w:rsidR="000844EE" w:rsidRPr="00EB6E3F" w:rsidRDefault="000844EE" w:rsidP="007B141D">
      <w:pPr>
        <w:spacing w:line="480" w:lineRule="auto"/>
        <w:jc w:val="both"/>
        <w:rPr>
          <w:b/>
        </w:rPr>
      </w:pPr>
    </w:p>
    <w:p w:rsidR="00911E46" w:rsidRPr="00D14943" w:rsidRDefault="00792767" w:rsidP="00D14943">
      <w:pPr>
        <w:pStyle w:val="ListParagraph"/>
        <w:numPr>
          <w:ilvl w:val="0"/>
          <w:numId w:val="10"/>
        </w:numPr>
        <w:spacing w:line="480" w:lineRule="auto"/>
        <w:ind w:left="567" w:hanging="567"/>
        <w:jc w:val="both"/>
        <w:rPr>
          <w:b/>
          <w:sz w:val="28"/>
          <w:szCs w:val="28"/>
        </w:rPr>
      </w:pPr>
      <w:r w:rsidRPr="00D14943">
        <w:rPr>
          <w:b/>
          <w:sz w:val="28"/>
          <w:szCs w:val="28"/>
        </w:rPr>
        <w:t>Literature Review</w:t>
      </w:r>
    </w:p>
    <w:p w:rsidR="0073661B" w:rsidRPr="00EB6E3F" w:rsidRDefault="007742C8" w:rsidP="007B141D">
      <w:pPr>
        <w:spacing w:line="480" w:lineRule="auto"/>
        <w:jc w:val="both"/>
      </w:pPr>
      <w:r w:rsidRPr="00EB6E3F">
        <w:t>When a merger is announced a spread between the target</w:t>
      </w:r>
      <w:r w:rsidR="008746E4" w:rsidRPr="00EB6E3F">
        <w:t>’</w:t>
      </w:r>
      <w:r w:rsidRPr="00EB6E3F">
        <w:t xml:space="preserve">s share price and the consideration (deal price) is established instantaneously.  The size of the spread </w:t>
      </w:r>
      <w:r w:rsidR="0073661B" w:rsidRPr="00EB6E3F">
        <w:t xml:space="preserve">between </w:t>
      </w:r>
      <w:r w:rsidR="00012025" w:rsidRPr="00EB6E3F">
        <w:t xml:space="preserve">the </w:t>
      </w:r>
      <w:r w:rsidR="0073661B" w:rsidRPr="00EB6E3F">
        <w:t xml:space="preserve">target price and </w:t>
      </w:r>
      <w:r w:rsidR="0073661B" w:rsidRPr="00EB6E3F">
        <w:lastRenderedPageBreak/>
        <w:t xml:space="preserve">the consideration </w:t>
      </w:r>
      <w:r w:rsidRPr="00EB6E3F">
        <w:t>depends on investors’ expectation</w:t>
      </w:r>
      <w:r w:rsidR="00012025" w:rsidRPr="00EB6E3F">
        <w:t>s</w:t>
      </w:r>
      <w:r w:rsidRPr="00EB6E3F">
        <w:t xml:space="preserve"> of whether or not the merger w</w:t>
      </w:r>
      <w:r w:rsidR="002871B6">
        <w:t>ill be successfully consummated (</w:t>
      </w:r>
      <w:r w:rsidRPr="00EB6E3F">
        <w:rPr>
          <w:i/>
        </w:rPr>
        <w:t>ceteris paribus</w:t>
      </w:r>
      <w:r w:rsidRPr="00EB6E3F">
        <w:t xml:space="preserve"> the spread will d</w:t>
      </w:r>
      <w:r w:rsidR="0073661B" w:rsidRPr="00EB6E3F">
        <w:t>ecrease</w:t>
      </w:r>
      <w:r w:rsidRPr="00EB6E3F">
        <w:t xml:space="preserve"> as the consummation date approaches</w:t>
      </w:r>
      <w:r w:rsidR="002871B6">
        <w:t>)</w:t>
      </w:r>
      <w:r w:rsidRPr="00EB6E3F">
        <w:t xml:space="preserve">.  Merger arbitrageurs attempt to profit from the </w:t>
      </w:r>
      <w:r w:rsidR="0073661B" w:rsidRPr="00EB6E3F">
        <w:t>narrowing</w:t>
      </w:r>
      <w:r w:rsidRPr="00EB6E3F">
        <w:t xml:space="preserve"> spread by purchasing </w:t>
      </w:r>
      <w:r w:rsidR="0073661B" w:rsidRPr="00EB6E3F">
        <w:t>shares in the target</w:t>
      </w:r>
      <w:r w:rsidR="00012025" w:rsidRPr="00EB6E3F">
        <w:t xml:space="preserve"> firm</w:t>
      </w:r>
      <w:r w:rsidR="0073661B" w:rsidRPr="00EB6E3F">
        <w:t xml:space="preserve"> a</w:t>
      </w:r>
      <w:r w:rsidR="00E05B85" w:rsidRPr="00EB6E3F">
        <w:t xml:space="preserve">nd </w:t>
      </w:r>
      <w:r w:rsidR="00012025" w:rsidRPr="00EB6E3F">
        <w:t xml:space="preserve">simply </w:t>
      </w:r>
      <w:r w:rsidR="00E05B85" w:rsidRPr="00EB6E3F">
        <w:t>waiting (</w:t>
      </w:r>
      <w:r w:rsidR="00012025" w:rsidRPr="00EB6E3F">
        <w:t>in</w:t>
      </w:r>
      <w:r w:rsidR="00E05B85" w:rsidRPr="00EB6E3F">
        <w:t xml:space="preserve"> all-</w:t>
      </w:r>
      <w:r w:rsidR="0073661B" w:rsidRPr="00EB6E3F">
        <w:t>cash transactions) or by simultaneously short-selling s</w:t>
      </w:r>
      <w:r w:rsidR="00E05B85" w:rsidRPr="00EB6E3F">
        <w:t>hares in the acquirer (</w:t>
      </w:r>
      <w:r w:rsidR="00012025" w:rsidRPr="00EB6E3F">
        <w:t>in</w:t>
      </w:r>
      <w:r w:rsidR="00E05B85" w:rsidRPr="00EB6E3F">
        <w:t xml:space="preserve"> all-</w:t>
      </w:r>
      <w:r w:rsidR="0073661B" w:rsidRPr="00EB6E3F">
        <w:t>share transactions).</w:t>
      </w:r>
    </w:p>
    <w:p w:rsidR="0073661B" w:rsidRPr="00EB6E3F" w:rsidRDefault="0073661B" w:rsidP="007B141D">
      <w:pPr>
        <w:spacing w:line="480" w:lineRule="auto"/>
        <w:jc w:val="both"/>
      </w:pPr>
    </w:p>
    <w:p w:rsidR="00751E02" w:rsidRPr="00EB6E3F" w:rsidRDefault="0073661B" w:rsidP="007B141D">
      <w:pPr>
        <w:spacing w:line="480" w:lineRule="auto"/>
        <w:jc w:val="both"/>
        <w:rPr>
          <w:lang w:eastAsia="en-US"/>
        </w:rPr>
      </w:pPr>
      <w:r w:rsidRPr="00EB6E3F">
        <w:t xml:space="preserve">Drawn by the high reported returns by practitioners, academics have attempted to replicate the </w:t>
      </w:r>
      <w:r w:rsidR="002871B6">
        <w:t xml:space="preserve">merger arbitrage </w:t>
      </w:r>
      <w:r w:rsidRPr="00EB6E3F">
        <w:t xml:space="preserve">strategy in various markets.  Early evidence </w:t>
      </w:r>
      <w:r w:rsidR="00E05B85" w:rsidRPr="00EB6E3F">
        <w:t>from</w:t>
      </w:r>
      <w:r w:rsidRPr="00EB6E3F">
        <w:t xml:space="preserve"> the US markets</w:t>
      </w:r>
      <w:r w:rsidR="00193403" w:rsidRPr="00EB6E3F">
        <w:t>,</w:t>
      </w:r>
      <w:r w:rsidRPr="00EB6E3F">
        <w:t xml:space="preserve"> where the majority or merger activity takes place</w:t>
      </w:r>
      <w:r w:rsidR="00193403" w:rsidRPr="00EB6E3F">
        <w:t>,</w:t>
      </w:r>
      <w:r w:rsidRPr="00EB6E3F">
        <w:t xml:space="preserve"> was that the strategy was indeed profitable.</w:t>
      </w:r>
      <w:r w:rsidR="00204382" w:rsidRPr="00EB6E3F">
        <w:rPr>
          <w:lang w:eastAsia="en-US"/>
        </w:rPr>
        <w:t xml:space="preserve"> </w:t>
      </w:r>
      <w:r w:rsidR="0035020D" w:rsidRPr="00EB6E3F">
        <w:rPr>
          <w:lang w:eastAsia="en-US"/>
        </w:rPr>
        <w:t xml:space="preserve"> </w:t>
      </w:r>
      <w:r w:rsidR="00751E02" w:rsidRPr="00EB6E3F">
        <w:rPr>
          <w:lang w:eastAsia="en-US"/>
        </w:rPr>
        <w:t xml:space="preserve">Dukes, </w:t>
      </w:r>
      <w:proofErr w:type="spellStart"/>
      <w:r w:rsidR="00751E02" w:rsidRPr="00EB6E3F">
        <w:rPr>
          <w:lang w:eastAsia="en-US"/>
        </w:rPr>
        <w:t>Frohlich</w:t>
      </w:r>
      <w:proofErr w:type="spellEnd"/>
      <w:r w:rsidR="00751E02" w:rsidRPr="00EB6E3F">
        <w:rPr>
          <w:lang w:eastAsia="en-US"/>
        </w:rPr>
        <w:t xml:space="preserve"> and Ma (1992) </w:t>
      </w:r>
      <w:r w:rsidR="001F46ED" w:rsidRPr="00EB6E3F">
        <w:rPr>
          <w:lang w:eastAsia="en-US"/>
        </w:rPr>
        <w:t>studied</w:t>
      </w:r>
      <w:r w:rsidR="00751E02" w:rsidRPr="00EB6E3F">
        <w:rPr>
          <w:lang w:eastAsia="en-US"/>
        </w:rPr>
        <w:t xml:space="preserve"> 761 tender offers </w:t>
      </w:r>
      <w:r w:rsidR="008746E4" w:rsidRPr="00EB6E3F">
        <w:rPr>
          <w:lang w:eastAsia="en-US"/>
        </w:rPr>
        <w:t>involving US firms</w:t>
      </w:r>
      <w:r w:rsidR="00012025" w:rsidRPr="00EB6E3F">
        <w:rPr>
          <w:lang w:eastAsia="en-US"/>
        </w:rPr>
        <w:t xml:space="preserve"> </w:t>
      </w:r>
      <w:r w:rsidR="00751E02" w:rsidRPr="00EB6E3F">
        <w:rPr>
          <w:lang w:eastAsia="en-US"/>
        </w:rPr>
        <w:t>between 1971 and 1985</w:t>
      </w:r>
      <w:r w:rsidR="001F46ED" w:rsidRPr="00EB6E3F">
        <w:rPr>
          <w:lang w:eastAsia="en-US"/>
        </w:rPr>
        <w:t xml:space="preserve"> and found that</w:t>
      </w:r>
      <w:r w:rsidR="00751E02" w:rsidRPr="00EB6E3F">
        <w:rPr>
          <w:lang w:eastAsia="en-US"/>
        </w:rPr>
        <w:t xml:space="preserve"> 82% of the transactions to be profitable with average abnormal returns of 24.6%. </w:t>
      </w:r>
      <w:r w:rsidR="001F46ED" w:rsidRPr="00EB6E3F">
        <w:rPr>
          <w:lang w:eastAsia="en-US"/>
        </w:rPr>
        <w:t xml:space="preserve"> </w:t>
      </w:r>
      <w:r w:rsidR="00792767" w:rsidRPr="00EB6E3F">
        <w:rPr>
          <w:lang w:eastAsia="en-US"/>
        </w:rPr>
        <w:t>Similarly,</w:t>
      </w:r>
      <w:r w:rsidR="001F46ED" w:rsidRPr="00EB6E3F">
        <w:rPr>
          <w:lang w:eastAsia="en-US"/>
        </w:rPr>
        <w:t xml:space="preserve"> </w:t>
      </w:r>
      <w:proofErr w:type="spellStart"/>
      <w:r w:rsidR="00751E02" w:rsidRPr="00EB6E3F">
        <w:rPr>
          <w:lang w:eastAsia="en-US"/>
        </w:rPr>
        <w:t>Jindra</w:t>
      </w:r>
      <w:proofErr w:type="spellEnd"/>
      <w:r w:rsidR="00751E02" w:rsidRPr="00EB6E3F">
        <w:rPr>
          <w:lang w:eastAsia="en-US"/>
        </w:rPr>
        <w:t xml:space="preserve"> and </w:t>
      </w:r>
      <w:proofErr w:type="spellStart"/>
      <w:r w:rsidR="00751E02" w:rsidRPr="00EB6E3F">
        <w:rPr>
          <w:lang w:eastAsia="en-US"/>
        </w:rPr>
        <w:t>Walkling</w:t>
      </w:r>
      <w:proofErr w:type="spellEnd"/>
      <w:r w:rsidR="00751E02" w:rsidRPr="00EB6E3F">
        <w:rPr>
          <w:lang w:eastAsia="en-US"/>
        </w:rPr>
        <w:t xml:space="preserve"> (1999) studied 362 cash tender offers between 1981 and 1995, reporting annual returns of 24</w:t>
      </w:r>
      <w:r w:rsidR="001F46ED" w:rsidRPr="00EB6E3F">
        <w:rPr>
          <w:lang w:eastAsia="en-US"/>
        </w:rPr>
        <w:t>.0</w:t>
      </w:r>
      <w:r w:rsidR="00751E02" w:rsidRPr="00EB6E3F">
        <w:rPr>
          <w:lang w:eastAsia="en-US"/>
        </w:rPr>
        <w:t xml:space="preserve">%. </w:t>
      </w:r>
      <w:r w:rsidR="001F46ED" w:rsidRPr="00EB6E3F">
        <w:rPr>
          <w:lang w:eastAsia="en-US"/>
        </w:rPr>
        <w:t xml:space="preserve"> </w:t>
      </w:r>
      <w:r w:rsidR="002871B6">
        <w:rPr>
          <w:lang w:eastAsia="en-US"/>
        </w:rPr>
        <w:t>Branch and Y</w:t>
      </w:r>
      <w:r w:rsidR="00751E02" w:rsidRPr="00EB6E3F">
        <w:rPr>
          <w:lang w:eastAsia="en-US"/>
        </w:rPr>
        <w:t>ang (200</w:t>
      </w:r>
      <w:r w:rsidR="002871B6">
        <w:rPr>
          <w:lang w:eastAsia="en-US"/>
        </w:rPr>
        <w:t>6</w:t>
      </w:r>
      <w:r w:rsidR="00751E02" w:rsidRPr="00EB6E3F">
        <w:rPr>
          <w:lang w:eastAsia="en-US"/>
        </w:rPr>
        <w:t>) concentrate</w:t>
      </w:r>
      <w:r w:rsidR="001F46ED" w:rsidRPr="00EB6E3F">
        <w:rPr>
          <w:lang w:eastAsia="en-US"/>
        </w:rPr>
        <w:t>d</w:t>
      </w:r>
      <w:r w:rsidR="00751E02" w:rsidRPr="00EB6E3F">
        <w:rPr>
          <w:lang w:eastAsia="en-US"/>
        </w:rPr>
        <w:t xml:space="preserve"> their research on </w:t>
      </w:r>
      <w:r w:rsidR="001F46ED" w:rsidRPr="00EB6E3F">
        <w:rPr>
          <w:lang w:eastAsia="en-US"/>
        </w:rPr>
        <w:t xml:space="preserve">244 </w:t>
      </w:r>
      <w:r w:rsidR="00751E02" w:rsidRPr="00EB6E3F">
        <w:rPr>
          <w:lang w:eastAsia="en-US"/>
        </w:rPr>
        <w:t xml:space="preserve">stock swap offers </w:t>
      </w:r>
      <w:r w:rsidR="001F46ED" w:rsidRPr="00EB6E3F">
        <w:rPr>
          <w:lang w:eastAsia="en-US"/>
        </w:rPr>
        <w:t xml:space="preserve">with collars </w:t>
      </w:r>
      <w:r w:rsidR="00751E02" w:rsidRPr="00EB6E3F">
        <w:rPr>
          <w:lang w:eastAsia="en-US"/>
        </w:rPr>
        <w:t>between 1994 and 2003</w:t>
      </w:r>
      <w:r w:rsidR="001F46ED" w:rsidRPr="00EB6E3F">
        <w:rPr>
          <w:lang w:eastAsia="en-US"/>
        </w:rPr>
        <w:t xml:space="preserve"> and e</w:t>
      </w:r>
      <w:r w:rsidR="00751E02" w:rsidRPr="00EB6E3F">
        <w:rPr>
          <w:lang w:eastAsia="en-US"/>
        </w:rPr>
        <w:t xml:space="preserve">stimated annualised excess returns of 9.2%. </w:t>
      </w:r>
      <w:r w:rsidR="001F46ED" w:rsidRPr="00EB6E3F">
        <w:rPr>
          <w:lang w:eastAsia="en-US"/>
        </w:rPr>
        <w:t xml:space="preserve"> Outside of the US </w:t>
      </w:r>
      <w:proofErr w:type="spellStart"/>
      <w:r w:rsidR="00751E02" w:rsidRPr="00EB6E3F">
        <w:rPr>
          <w:lang w:eastAsia="en-US"/>
        </w:rPr>
        <w:t>Karolyi</w:t>
      </w:r>
      <w:proofErr w:type="spellEnd"/>
      <w:r w:rsidR="00751E02" w:rsidRPr="00EB6E3F">
        <w:rPr>
          <w:lang w:eastAsia="en-US"/>
        </w:rPr>
        <w:t xml:space="preserve"> and Shannon (1999) examined the profit potential of a risk arbitrage trading strategy </w:t>
      </w:r>
      <w:r w:rsidR="004D54C1" w:rsidRPr="00EB6E3F">
        <w:rPr>
          <w:lang w:eastAsia="en-US"/>
        </w:rPr>
        <w:t>involving</w:t>
      </w:r>
      <w:r w:rsidR="00751E02" w:rsidRPr="00EB6E3F">
        <w:rPr>
          <w:lang w:eastAsia="en-US"/>
        </w:rPr>
        <w:t xml:space="preserve"> Canadian </w:t>
      </w:r>
      <w:r w:rsidR="008746E4" w:rsidRPr="00EB6E3F">
        <w:rPr>
          <w:lang w:eastAsia="en-US"/>
        </w:rPr>
        <w:t>firm</w:t>
      </w:r>
      <w:r w:rsidR="004D54C1" w:rsidRPr="00EB6E3F">
        <w:rPr>
          <w:lang w:eastAsia="en-US"/>
        </w:rPr>
        <w:t>s</w:t>
      </w:r>
      <w:r w:rsidR="001F46ED" w:rsidRPr="00EB6E3F">
        <w:rPr>
          <w:lang w:eastAsia="en-US"/>
        </w:rPr>
        <w:t xml:space="preserve">. They studied 37 </w:t>
      </w:r>
      <w:r w:rsidR="004D54C1" w:rsidRPr="00EB6E3F">
        <w:rPr>
          <w:lang w:eastAsia="en-US"/>
        </w:rPr>
        <w:t>transaction</w:t>
      </w:r>
      <w:r w:rsidR="001F46ED" w:rsidRPr="00EB6E3F">
        <w:rPr>
          <w:lang w:eastAsia="en-US"/>
        </w:rPr>
        <w:t>s valued</w:t>
      </w:r>
      <w:r w:rsidR="00751E02" w:rsidRPr="00EB6E3F">
        <w:rPr>
          <w:lang w:eastAsia="en-US"/>
        </w:rPr>
        <w:t xml:space="preserve"> over CAD$50million which took place in 1997, reporting an annualised excess return of 33.9%</w:t>
      </w:r>
    </w:p>
    <w:p w:rsidR="00751E02" w:rsidRPr="00EB6E3F" w:rsidRDefault="00751E02" w:rsidP="007B141D">
      <w:pPr>
        <w:spacing w:line="480" w:lineRule="auto"/>
        <w:jc w:val="both"/>
        <w:rPr>
          <w:lang w:eastAsia="en-US"/>
        </w:rPr>
      </w:pPr>
    </w:p>
    <w:p w:rsidR="002276CC" w:rsidRPr="00EB6E3F" w:rsidRDefault="00275C99" w:rsidP="007B141D">
      <w:pPr>
        <w:spacing w:line="480" w:lineRule="auto"/>
        <w:jc w:val="both"/>
        <w:rPr>
          <w:lang w:eastAsia="en-US"/>
        </w:rPr>
      </w:pPr>
      <w:r w:rsidRPr="00EB6E3F">
        <w:rPr>
          <w:lang w:eastAsia="en-US"/>
        </w:rPr>
        <w:t xml:space="preserve">A criticism of </w:t>
      </w:r>
      <w:r w:rsidR="00012025" w:rsidRPr="00EB6E3F">
        <w:rPr>
          <w:lang w:eastAsia="en-US"/>
        </w:rPr>
        <w:t xml:space="preserve">academic </w:t>
      </w:r>
      <w:r w:rsidRPr="00EB6E3F">
        <w:rPr>
          <w:lang w:eastAsia="en-US"/>
        </w:rPr>
        <w:t xml:space="preserve">risk arbitrage research is that </w:t>
      </w:r>
      <w:r w:rsidR="004E1E4D" w:rsidRPr="00EB6E3F">
        <w:rPr>
          <w:lang w:eastAsia="en-US"/>
        </w:rPr>
        <w:t xml:space="preserve">the </w:t>
      </w:r>
      <w:r w:rsidRPr="00EB6E3F">
        <w:rPr>
          <w:lang w:eastAsia="en-US"/>
        </w:rPr>
        <w:t>studies often ignore practical factors</w:t>
      </w:r>
      <w:r w:rsidR="0054776C" w:rsidRPr="00EB6E3F">
        <w:rPr>
          <w:lang w:eastAsia="en-US"/>
        </w:rPr>
        <w:t>.</w:t>
      </w:r>
      <w:r w:rsidR="00BD215F" w:rsidRPr="00EB6E3F">
        <w:rPr>
          <w:lang w:eastAsia="en-US"/>
        </w:rPr>
        <w:t xml:space="preserve">  </w:t>
      </w:r>
      <w:r w:rsidR="00726443" w:rsidRPr="00EB6E3F">
        <w:rPr>
          <w:lang w:eastAsia="en-US"/>
        </w:rPr>
        <w:t>Indeed, Shleifer and</w:t>
      </w:r>
      <w:r w:rsidR="0054776C" w:rsidRPr="00EB6E3F">
        <w:rPr>
          <w:lang w:eastAsia="en-US"/>
        </w:rPr>
        <w:t xml:space="preserve"> </w:t>
      </w:r>
      <w:proofErr w:type="spellStart"/>
      <w:r w:rsidR="0054776C" w:rsidRPr="00EB6E3F">
        <w:rPr>
          <w:lang w:eastAsia="en-US"/>
        </w:rPr>
        <w:t>Vishny</w:t>
      </w:r>
      <w:proofErr w:type="spellEnd"/>
      <w:r w:rsidR="0054776C" w:rsidRPr="00EB6E3F">
        <w:rPr>
          <w:lang w:eastAsia="en-US"/>
        </w:rPr>
        <w:t xml:space="preserve"> (1997) argue that the te</w:t>
      </w:r>
      <w:r w:rsidR="00955A5D" w:rsidRPr="00EB6E3F">
        <w:rPr>
          <w:lang w:eastAsia="en-US"/>
        </w:rPr>
        <w:t xml:space="preserve">xtbook definition of arbitrage </w:t>
      </w:r>
      <w:r w:rsidR="0054776C" w:rsidRPr="00EB6E3F">
        <w:rPr>
          <w:lang w:eastAsia="en-US"/>
        </w:rPr>
        <w:t xml:space="preserve">is </w:t>
      </w:r>
      <w:r w:rsidR="00955A5D" w:rsidRPr="00EB6E3F">
        <w:rPr>
          <w:lang w:eastAsia="en-US"/>
        </w:rPr>
        <w:t>un</w:t>
      </w:r>
      <w:r w:rsidR="0054776C" w:rsidRPr="00EB6E3F">
        <w:rPr>
          <w:lang w:eastAsia="en-US"/>
        </w:rPr>
        <w:t xml:space="preserve">realistic because the strategy can be hindered by </w:t>
      </w:r>
      <w:r w:rsidR="00896859" w:rsidRPr="00EB6E3F">
        <w:rPr>
          <w:lang w:eastAsia="en-US"/>
        </w:rPr>
        <w:t xml:space="preserve">real world factors </w:t>
      </w:r>
      <w:r w:rsidR="0054776C" w:rsidRPr="00EB6E3F">
        <w:rPr>
          <w:lang w:eastAsia="en-US"/>
        </w:rPr>
        <w:t>which</w:t>
      </w:r>
      <w:r w:rsidR="00193403" w:rsidRPr="00EB6E3F">
        <w:rPr>
          <w:lang w:eastAsia="en-US"/>
        </w:rPr>
        <w:t>,</w:t>
      </w:r>
      <w:r w:rsidR="0054776C" w:rsidRPr="00EB6E3F">
        <w:rPr>
          <w:lang w:eastAsia="en-US"/>
        </w:rPr>
        <w:t xml:space="preserve"> if not accommodated in the analysis</w:t>
      </w:r>
      <w:r w:rsidR="00193403" w:rsidRPr="00EB6E3F">
        <w:rPr>
          <w:lang w:eastAsia="en-US"/>
        </w:rPr>
        <w:t>,</w:t>
      </w:r>
      <w:r w:rsidR="0054776C" w:rsidRPr="00EB6E3F">
        <w:rPr>
          <w:lang w:eastAsia="en-US"/>
        </w:rPr>
        <w:t xml:space="preserve"> can</w:t>
      </w:r>
      <w:r w:rsidRPr="00EB6E3F">
        <w:rPr>
          <w:lang w:eastAsia="en-US"/>
        </w:rPr>
        <w:t xml:space="preserve"> </w:t>
      </w:r>
      <w:r w:rsidR="003930E4" w:rsidRPr="00EB6E3F">
        <w:rPr>
          <w:lang w:eastAsia="en-US"/>
        </w:rPr>
        <w:t>bias prior performance estimates</w:t>
      </w:r>
      <w:r w:rsidRPr="00EB6E3F">
        <w:rPr>
          <w:lang w:eastAsia="en-US"/>
        </w:rPr>
        <w:t xml:space="preserve"> upwards</w:t>
      </w:r>
      <w:r w:rsidR="003930E4" w:rsidRPr="00EB6E3F">
        <w:rPr>
          <w:lang w:eastAsia="en-US"/>
        </w:rPr>
        <w:t xml:space="preserve">. </w:t>
      </w:r>
      <w:r w:rsidR="00BD215F" w:rsidRPr="00EB6E3F">
        <w:rPr>
          <w:lang w:eastAsia="en-US"/>
        </w:rPr>
        <w:t xml:space="preserve"> </w:t>
      </w:r>
      <w:r w:rsidR="00012025" w:rsidRPr="00EB6E3F">
        <w:rPr>
          <w:lang w:eastAsia="en-US"/>
        </w:rPr>
        <w:t>With this in mind, m</w:t>
      </w:r>
      <w:r w:rsidRPr="00EB6E3F">
        <w:rPr>
          <w:lang w:eastAsia="en-US"/>
        </w:rPr>
        <w:t>ore recent research has attempted assess whether th</w:t>
      </w:r>
      <w:r w:rsidR="002276CC" w:rsidRPr="00EB6E3F">
        <w:rPr>
          <w:lang w:eastAsia="en-US"/>
        </w:rPr>
        <w:t xml:space="preserve">e reported excess returns are robust to the accommodation of </w:t>
      </w:r>
      <w:r w:rsidR="004E1E4D" w:rsidRPr="00EB6E3F">
        <w:rPr>
          <w:lang w:eastAsia="en-US"/>
        </w:rPr>
        <w:t>such</w:t>
      </w:r>
      <w:r w:rsidR="002276CC" w:rsidRPr="00EB6E3F">
        <w:rPr>
          <w:lang w:eastAsia="en-US"/>
        </w:rPr>
        <w:t xml:space="preserve"> practical limiting factors.  </w:t>
      </w:r>
      <w:r w:rsidRPr="00EB6E3F">
        <w:rPr>
          <w:lang w:eastAsia="en-US"/>
        </w:rPr>
        <w:t xml:space="preserve">For </w:t>
      </w:r>
      <w:r w:rsidR="00792767" w:rsidRPr="00EB6E3F">
        <w:rPr>
          <w:lang w:eastAsia="en-US"/>
        </w:rPr>
        <w:t>instance,</w:t>
      </w:r>
      <w:r w:rsidRPr="00EB6E3F">
        <w:rPr>
          <w:lang w:eastAsia="en-US"/>
        </w:rPr>
        <w:t xml:space="preserve"> in their study of a </w:t>
      </w:r>
      <w:r w:rsidR="003930E4" w:rsidRPr="00EB6E3F">
        <w:rPr>
          <w:lang w:eastAsia="en-US"/>
        </w:rPr>
        <w:t xml:space="preserve">diversified portfolio of </w:t>
      </w:r>
      <w:r w:rsidRPr="00EB6E3F">
        <w:rPr>
          <w:lang w:eastAsia="en-US"/>
        </w:rPr>
        <w:t xml:space="preserve">1,901 cash and stock mergers and acquisitions </w:t>
      </w:r>
      <w:r w:rsidR="003930E4" w:rsidRPr="00EB6E3F">
        <w:rPr>
          <w:lang w:eastAsia="en-US"/>
        </w:rPr>
        <w:t xml:space="preserve">risk </w:t>
      </w:r>
      <w:r w:rsidRPr="00EB6E3F">
        <w:rPr>
          <w:lang w:eastAsia="en-US"/>
        </w:rPr>
        <w:t>arbitrage positions from 1981–</w:t>
      </w:r>
      <w:r w:rsidR="003930E4" w:rsidRPr="00EB6E3F">
        <w:rPr>
          <w:lang w:eastAsia="en-US"/>
        </w:rPr>
        <w:lastRenderedPageBreak/>
        <w:t>1996</w:t>
      </w:r>
      <w:r w:rsidRPr="00EB6E3F">
        <w:rPr>
          <w:lang w:eastAsia="en-US"/>
        </w:rPr>
        <w:t xml:space="preserve">, Baker and </w:t>
      </w:r>
      <w:proofErr w:type="spellStart"/>
      <w:r w:rsidRPr="00EB6E3F">
        <w:rPr>
          <w:lang w:eastAsia="en-US"/>
        </w:rPr>
        <w:t>Savasoglu</w:t>
      </w:r>
      <w:proofErr w:type="spellEnd"/>
      <w:r w:rsidRPr="00EB6E3F">
        <w:rPr>
          <w:lang w:eastAsia="en-US"/>
        </w:rPr>
        <w:t xml:space="preserve"> </w:t>
      </w:r>
      <w:r w:rsidR="004E1E4D" w:rsidRPr="00EB6E3F">
        <w:rPr>
          <w:lang w:eastAsia="en-US"/>
        </w:rPr>
        <w:t>(</w:t>
      </w:r>
      <w:r w:rsidR="00D7619B" w:rsidRPr="00EB6E3F">
        <w:rPr>
          <w:lang w:eastAsia="en-US"/>
        </w:rPr>
        <w:t>2002</w:t>
      </w:r>
      <w:r w:rsidR="004E1E4D" w:rsidRPr="00EB6E3F">
        <w:rPr>
          <w:lang w:eastAsia="en-US"/>
        </w:rPr>
        <w:t xml:space="preserve">) </w:t>
      </w:r>
      <w:r w:rsidR="003930E4" w:rsidRPr="00EB6E3F">
        <w:rPr>
          <w:lang w:eastAsia="en-US"/>
        </w:rPr>
        <w:t xml:space="preserve">constrained the risk bearing capacity </w:t>
      </w:r>
      <w:r w:rsidR="0054776C" w:rsidRPr="00EB6E3F">
        <w:rPr>
          <w:lang w:eastAsia="en-US"/>
        </w:rPr>
        <w:t xml:space="preserve">of the arbitrageur </w:t>
      </w:r>
      <w:r w:rsidRPr="00EB6E3F">
        <w:rPr>
          <w:lang w:eastAsia="en-US"/>
        </w:rPr>
        <w:t>to</w:t>
      </w:r>
      <w:r w:rsidR="003930E4" w:rsidRPr="00EB6E3F">
        <w:rPr>
          <w:lang w:eastAsia="en-US"/>
        </w:rPr>
        <w:t xml:space="preserve"> </w:t>
      </w:r>
      <w:r w:rsidR="0054776C" w:rsidRPr="00EB6E3F">
        <w:rPr>
          <w:lang w:eastAsia="en-US"/>
        </w:rPr>
        <w:t>better reflect reality</w:t>
      </w:r>
      <w:r w:rsidR="00896859" w:rsidRPr="00EB6E3F">
        <w:rPr>
          <w:lang w:eastAsia="en-US"/>
        </w:rPr>
        <w:t xml:space="preserve">.  The authors </w:t>
      </w:r>
      <w:r w:rsidR="0054776C" w:rsidRPr="00EB6E3F">
        <w:rPr>
          <w:lang w:eastAsia="en-US"/>
        </w:rPr>
        <w:t>observed r</w:t>
      </w:r>
      <w:r w:rsidR="003930E4" w:rsidRPr="00EB6E3F">
        <w:rPr>
          <w:lang w:eastAsia="en-US"/>
        </w:rPr>
        <w:t>eturns ranging from 0.6</w:t>
      </w:r>
      <w:r w:rsidR="00C70D09" w:rsidRPr="00EB6E3F">
        <w:rPr>
          <w:lang w:eastAsia="en-US"/>
        </w:rPr>
        <w:t>–</w:t>
      </w:r>
      <w:r w:rsidR="003930E4" w:rsidRPr="00EB6E3F">
        <w:rPr>
          <w:lang w:eastAsia="en-US"/>
        </w:rPr>
        <w:t>0.9% per month for the sa</w:t>
      </w:r>
      <w:r w:rsidR="00C70D09" w:rsidRPr="00EB6E3F">
        <w:rPr>
          <w:lang w:eastAsia="en-US"/>
        </w:rPr>
        <w:t>mple period (annual return 7.2–</w:t>
      </w:r>
      <w:r w:rsidR="003930E4" w:rsidRPr="00EB6E3F">
        <w:rPr>
          <w:lang w:eastAsia="en-US"/>
        </w:rPr>
        <w:t xml:space="preserve">10.8%), with estimated positive </w:t>
      </w:r>
      <w:r w:rsidR="004D54C1" w:rsidRPr="00EB6E3F">
        <w:rPr>
          <w:lang w:eastAsia="en-US"/>
        </w:rPr>
        <w:t>excess</w:t>
      </w:r>
      <w:r w:rsidR="003930E4" w:rsidRPr="00EB6E3F">
        <w:rPr>
          <w:lang w:eastAsia="en-US"/>
        </w:rPr>
        <w:t xml:space="preserve"> returns of </w:t>
      </w:r>
      <w:r w:rsidR="004D54C1" w:rsidRPr="00EB6E3F">
        <w:rPr>
          <w:lang w:eastAsia="en-US"/>
        </w:rPr>
        <w:t xml:space="preserve">a more modest </w:t>
      </w:r>
      <w:r w:rsidR="003930E4" w:rsidRPr="00EB6E3F">
        <w:rPr>
          <w:lang w:eastAsia="en-US"/>
        </w:rPr>
        <w:t>3.6% per annum.</w:t>
      </w:r>
      <w:r w:rsidR="0054776C" w:rsidRPr="00EB6E3F">
        <w:rPr>
          <w:lang w:eastAsia="en-US"/>
        </w:rPr>
        <w:t xml:space="preserve"> </w:t>
      </w:r>
      <w:r w:rsidR="003930E4" w:rsidRPr="00EB6E3F">
        <w:rPr>
          <w:lang w:eastAsia="en-US"/>
        </w:rPr>
        <w:t xml:space="preserve"> </w:t>
      </w:r>
      <w:r w:rsidRPr="00EB6E3F">
        <w:rPr>
          <w:lang w:eastAsia="en-US"/>
        </w:rPr>
        <w:t xml:space="preserve">Similarly, </w:t>
      </w:r>
      <w:r w:rsidR="003930E4" w:rsidRPr="00EB6E3F">
        <w:rPr>
          <w:lang w:eastAsia="en-US"/>
        </w:rPr>
        <w:t xml:space="preserve">based on a comprehensive sample of 4,750 </w:t>
      </w:r>
      <w:r w:rsidR="00C70D09" w:rsidRPr="00EB6E3F">
        <w:rPr>
          <w:lang w:eastAsia="en-US"/>
        </w:rPr>
        <w:t>transaction</w:t>
      </w:r>
      <w:r w:rsidR="003930E4" w:rsidRPr="00EB6E3F">
        <w:rPr>
          <w:lang w:eastAsia="en-US"/>
        </w:rPr>
        <w:t xml:space="preserve">s spanning from 1963 to 1998, </w:t>
      </w:r>
      <w:r w:rsidR="00012025" w:rsidRPr="00EB6E3F">
        <w:rPr>
          <w:lang w:eastAsia="en-US"/>
        </w:rPr>
        <w:t>i</w:t>
      </w:r>
      <w:r w:rsidR="005B232E" w:rsidRPr="00EB6E3F">
        <w:rPr>
          <w:lang w:eastAsia="en-US"/>
        </w:rPr>
        <w:t>n the knowledge that in the real world t</w:t>
      </w:r>
      <w:r w:rsidR="00C12BC1" w:rsidRPr="00EB6E3F">
        <w:rPr>
          <w:lang w:eastAsia="en-US"/>
        </w:rPr>
        <w:t xml:space="preserve">ransaction </w:t>
      </w:r>
      <w:r w:rsidR="005B232E" w:rsidRPr="00EB6E3F">
        <w:rPr>
          <w:lang w:eastAsia="en-US"/>
        </w:rPr>
        <w:t xml:space="preserve">costs </w:t>
      </w:r>
      <w:r w:rsidR="00C12BC1" w:rsidRPr="00EB6E3F">
        <w:rPr>
          <w:lang w:eastAsia="en-US"/>
        </w:rPr>
        <w:t>prevent rational traders from fully eliminating inefficiencies</w:t>
      </w:r>
      <w:r w:rsidR="005B232E" w:rsidRPr="00EB6E3F">
        <w:rPr>
          <w:lang w:eastAsia="en-US"/>
        </w:rPr>
        <w:t>, i.e. make arbitrage costly</w:t>
      </w:r>
      <w:r w:rsidR="002871B6">
        <w:rPr>
          <w:lang w:eastAsia="en-US"/>
        </w:rPr>
        <w:t xml:space="preserve"> </w:t>
      </w:r>
      <w:r w:rsidR="002871B6" w:rsidRPr="00EB6E3F">
        <w:rPr>
          <w:lang w:eastAsia="en-US"/>
        </w:rPr>
        <w:t>(Pontiff, 2006)</w:t>
      </w:r>
      <w:r w:rsidR="002871B6">
        <w:rPr>
          <w:lang w:eastAsia="en-US"/>
        </w:rPr>
        <w:t>.</w:t>
      </w:r>
      <w:r w:rsidR="00C12BC1" w:rsidRPr="00EB6E3F">
        <w:rPr>
          <w:lang w:eastAsia="en-US"/>
        </w:rPr>
        <w:t xml:space="preserve"> </w:t>
      </w:r>
      <w:r w:rsidRPr="00EB6E3F">
        <w:rPr>
          <w:lang w:eastAsia="en-US"/>
        </w:rPr>
        <w:t xml:space="preserve">Mitchell and </w:t>
      </w:r>
      <w:proofErr w:type="spellStart"/>
      <w:r w:rsidRPr="00EB6E3F">
        <w:rPr>
          <w:lang w:eastAsia="en-US"/>
        </w:rPr>
        <w:t>Pulvino</w:t>
      </w:r>
      <w:proofErr w:type="spellEnd"/>
      <w:r w:rsidRPr="00EB6E3F">
        <w:rPr>
          <w:lang w:eastAsia="en-US"/>
        </w:rPr>
        <w:t xml:space="preserve"> (2001) controlled for </w:t>
      </w:r>
      <w:r w:rsidR="003930E4" w:rsidRPr="00EB6E3F">
        <w:rPr>
          <w:lang w:eastAsia="en-US"/>
        </w:rPr>
        <w:t xml:space="preserve">transaction costs </w:t>
      </w:r>
      <w:r w:rsidRPr="00EB6E3F">
        <w:rPr>
          <w:lang w:eastAsia="en-US"/>
        </w:rPr>
        <w:t xml:space="preserve">and </w:t>
      </w:r>
      <w:r w:rsidR="003930E4" w:rsidRPr="00EB6E3F">
        <w:rPr>
          <w:lang w:eastAsia="en-US"/>
        </w:rPr>
        <w:t xml:space="preserve">generated abnormal returns of </w:t>
      </w:r>
      <w:r w:rsidR="00012025" w:rsidRPr="00EB6E3F">
        <w:rPr>
          <w:lang w:eastAsia="en-US"/>
        </w:rPr>
        <w:t xml:space="preserve">just </w:t>
      </w:r>
      <w:r w:rsidR="003930E4" w:rsidRPr="00EB6E3F">
        <w:rPr>
          <w:lang w:eastAsia="en-US"/>
        </w:rPr>
        <w:t>4</w:t>
      </w:r>
      <w:r w:rsidR="00C70D09" w:rsidRPr="00EB6E3F">
        <w:rPr>
          <w:lang w:eastAsia="en-US"/>
        </w:rPr>
        <w:t>.0</w:t>
      </w:r>
      <w:r w:rsidR="003930E4" w:rsidRPr="00EB6E3F">
        <w:rPr>
          <w:lang w:eastAsia="en-US"/>
        </w:rPr>
        <w:t xml:space="preserve">% per annum. </w:t>
      </w:r>
      <w:r w:rsidR="0054776C" w:rsidRPr="00EB6E3F">
        <w:rPr>
          <w:lang w:eastAsia="en-US"/>
        </w:rPr>
        <w:t xml:space="preserve"> </w:t>
      </w:r>
    </w:p>
    <w:p w:rsidR="002276CC" w:rsidRPr="00EB6E3F" w:rsidRDefault="002276CC" w:rsidP="007B141D">
      <w:pPr>
        <w:spacing w:line="480" w:lineRule="auto"/>
        <w:jc w:val="both"/>
        <w:rPr>
          <w:lang w:eastAsia="en-US"/>
        </w:rPr>
      </w:pPr>
    </w:p>
    <w:p w:rsidR="000579F3" w:rsidRPr="00EB6E3F" w:rsidRDefault="002276CC" w:rsidP="007B141D">
      <w:pPr>
        <w:spacing w:line="480" w:lineRule="auto"/>
        <w:jc w:val="both"/>
        <w:rPr>
          <w:lang w:eastAsia="en-US"/>
        </w:rPr>
      </w:pPr>
      <w:r w:rsidRPr="00EB6E3F">
        <w:rPr>
          <w:lang w:eastAsia="en-US"/>
        </w:rPr>
        <w:t xml:space="preserve">Extending the research outside of a North American setting </w:t>
      </w:r>
      <w:proofErr w:type="spellStart"/>
      <w:r w:rsidRPr="00EB6E3F">
        <w:rPr>
          <w:lang w:eastAsia="en-US"/>
        </w:rPr>
        <w:t>Maheswaran</w:t>
      </w:r>
      <w:proofErr w:type="spellEnd"/>
      <w:r w:rsidRPr="00EB6E3F">
        <w:rPr>
          <w:lang w:eastAsia="en-US"/>
        </w:rPr>
        <w:t xml:space="preserve"> </w:t>
      </w:r>
      <w:r w:rsidR="00193403" w:rsidRPr="00EB6E3F">
        <w:rPr>
          <w:lang w:eastAsia="en-US"/>
        </w:rPr>
        <w:t>and</w:t>
      </w:r>
      <w:r w:rsidRPr="00EB6E3F">
        <w:rPr>
          <w:lang w:eastAsia="en-US"/>
        </w:rPr>
        <w:t xml:space="preserve"> Chin </w:t>
      </w:r>
      <w:proofErr w:type="spellStart"/>
      <w:r w:rsidRPr="00EB6E3F">
        <w:rPr>
          <w:lang w:eastAsia="en-US"/>
        </w:rPr>
        <w:t>Yeoh</w:t>
      </w:r>
      <w:proofErr w:type="spellEnd"/>
      <w:r w:rsidRPr="00EB6E3F">
        <w:rPr>
          <w:lang w:eastAsia="en-US"/>
        </w:rPr>
        <w:t xml:space="preserve"> (2005) </w:t>
      </w:r>
      <w:r w:rsidR="005C15BE" w:rsidRPr="00EB6E3F">
        <w:rPr>
          <w:lang w:eastAsia="en-US"/>
        </w:rPr>
        <w:t>and Kearney, Hutchinson and Cotter (200</w:t>
      </w:r>
      <w:r w:rsidR="002871B6">
        <w:rPr>
          <w:lang w:eastAsia="en-US"/>
        </w:rPr>
        <w:t>7</w:t>
      </w:r>
      <w:r w:rsidR="005C15BE" w:rsidRPr="00EB6E3F">
        <w:rPr>
          <w:lang w:eastAsia="en-US"/>
        </w:rPr>
        <w:t xml:space="preserve">) </w:t>
      </w:r>
      <w:r w:rsidR="0054776C" w:rsidRPr="00EB6E3F">
        <w:rPr>
          <w:lang w:eastAsia="en-US"/>
        </w:rPr>
        <w:t xml:space="preserve">studied returns to merger arbitrage </w:t>
      </w:r>
      <w:r w:rsidR="005C15BE" w:rsidRPr="00EB6E3F">
        <w:rPr>
          <w:lang w:eastAsia="en-US"/>
        </w:rPr>
        <w:t xml:space="preserve">in Australian and UK settings, respectively.  </w:t>
      </w:r>
      <w:proofErr w:type="spellStart"/>
      <w:r w:rsidR="005C15BE" w:rsidRPr="00EB6E3F">
        <w:rPr>
          <w:lang w:eastAsia="en-US"/>
        </w:rPr>
        <w:t>Maheswaran</w:t>
      </w:r>
      <w:proofErr w:type="spellEnd"/>
      <w:r w:rsidR="005C15BE" w:rsidRPr="00EB6E3F">
        <w:rPr>
          <w:lang w:eastAsia="en-US"/>
        </w:rPr>
        <w:t xml:space="preserve"> </w:t>
      </w:r>
      <w:r w:rsidR="00193403" w:rsidRPr="00EB6E3F">
        <w:rPr>
          <w:lang w:eastAsia="en-US"/>
        </w:rPr>
        <w:t>and</w:t>
      </w:r>
      <w:r w:rsidR="005C15BE" w:rsidRPr="00EB6E3F">
        <w:rPr>
          <w:lang w:eastAsia="en-US"/>
        </w:rPr>
        <w:t xml:space="preserve"> Chin </w:t>
      </w:r>
      <w:proofErr w:type="spellStart"/>
      <w:r w:rsidR="005C15BE" w:rsidRPr="00EB6E3F">
        <w:rPr>
          <w:lang w:eastAsia="en-US"/>
        </w:rPr>
        <w:t>Yeoh</w:t>
      </w:r>
      <w:proofErr w:type="spellEnd"/>
      <w:r w:rsidR="005C15BE" w:rsidRPr="00EB6E3F">
        <w:rPr>
          <w:lang w:eastAsia="en-US"/>
        </w:rPr>
        <w:t xml:space="preserve"> (2005) </w:t>
      </w:r>
      <w:r w:rsidRPr="00EB6E3F">
        <w:rPr>
          <w:lang w:eastAsia="en-US"/>
        </w:rPr>
        <w:t xml:space="preserve">find that merger arbitrage generates statistically and economically significant excess risk-adjusted returns when the portfolios are benchmarked against the CAPM and </w:t>
      </w:r>
      <w:proofErr w:type="spellStart"/>
      <w:r w:rsidRPr="00EB6E3F">
        <w:rPr>
          <w:lang w:eastAsia="en-US"/>
        </w:rPr>
        <w:t>Fama</w:t>
      </w:r>
      <w:proofErr w:type="spellEnd"/>
      <w:r w:rsidRPr="00EB6E3F">
        <w:rPr>
          <w:lang w:eastAsia="en-US"/>
        </w:rPr>
        <w:t xml:space="preserve"> </w:t>
      </w:r>
      <w:r w:rsidR="00193403" w:rsidRPr="00EB6E3F">
        <w:rPr>
          <w:lang w:eastAsia="en-US"/>
        </w:rPr>
        <w:t>and</w:t>
      </w:r>
      <w:r w:rsidRPr="00EB6E3F">
        <w:rPr>
          <w:lang w:eastAsia="en-US"/>
        </w:rPr>
        <w:t xml:space="preserve"> French (1993) three-factor models, but</w:t>
      </w:r>
      <w:r w:rsidR="004D54C1" w:rsidRPr="00EB6E3F">
        <w:rPr>
          <w:lang w:eastAsia="en-US"/>
        </w:rPr>
        <w:t xml:space="preserve"> only before transaction costs.  </w:t>
      </w:r>
      <w:r w:rsidR="005C15BE" w:rsidRPr="00EB6E3F">
        <w:rPr>
          <w:lang w:eastAsia="en-US"/>
        </w:rPr>
        <w:t>Kearney, Hutchinson and Cotter (200</w:t>
      </w:r>
      <w:r w:rsidR="002871B6">
        <w:rPr>
          <w:lang w:eastAsia="en-US"/>
        </w:rPr>
        <w:t>7</w:t>
      </w:r>
      <w:r w:rsidR="005C15BE" w:rsidRPr="00EB6E3F">
        <w:rPr>
          <w:lang w:eastAsia="en-US"/>
        </w:rPr>
        <w:t>)</w:t>
      </w:r>
      <w:r w:rsidR="000579F3" w:rsidRPr="00EB6E3F">
        <w:rPr>
          <w:lang w:eastAsia="en-US"/>
        </w:rPr>
        <w:t xml:space="preserve"> include transaction costs and limitations on investing capital to reflect real world constraints</w:t>
      </w:r>
      <w:r w:rsidR="0054776C" w:rsidRPr="00EB6E3F">
        <w:rPr>
          <w:lang w:eastAsia="en-US"/>
        </w:rPr>
        <w:t xml:space="preserve"> in their study</w:t>
      </w:r>
      <w:r w:rsidR="000579F3" w:rsidRPr="00EB6E3F">
        <w:rPr>
          <w:lang w:eastAsia="en-US"/>
        </w:rPr>
        <w:t xml:space="preserve">.  The authors find evidence that </w:t>
      </w:r>
      <w:r w:rsidR="00D960D1" w:rsidRPr="00EB6E3F">
        <w:rPr>
          <w:lang w:eastAsia="en-US"/>
        </w:rPr>
        <w:t>excess</w:t>
      </w:r>
      <w:r w:rsidR="000579F3" w:rsidRPr="00EB6E3F">
        <w:rPr>
          <w:lang w:eastAsia="en-US"/>
        </w:rPr>
        <w:t xml:space="preserve"> returns are robust to the accommodation of these practical limiting factors in the UK</w:t>
      </w:r>
      <w:r w:rsidR="00D960D1" w:rsidRPr="00EB6E3F">
        <w:rPr>
          <w:lang w:eastAsia="en-US"/>
        </w:rPr>
        <w:t xml:space="preserve"> generating 2.5% per annum</w:t>
      </w:r>
      <w:r w:rsidR="000579F3" w:rsidRPr="00EB6E3F">
        <w:rPr>
          <w:lang w:eastAsia="en-US"/>
        </w:rPr>
        <w:t>.  They also find that, contrary to prior evidence, th</w:t>
      </w:r>
      <w:r w:rsidR="0054776C" w:rsidRPr="00EB6E3F">
        <w:rPr>
          <w:lang w:eastAsia="en-US"/>
        </w:rPr>
        <w:t>e</w:t>
      </w:r>
      <w:r w:rsidR="000579F3" w:rsidRPr="00EB6E3F">
        <w:rPr>
          <w:lang w:eastAsia="en-US"/>
        </w:rPr>
        <w:t xml:space="preserve"> strategy produced consistently positive returns with a low variance, i.e. there is almost no significant relationship with equity market risk factors over the sample period. </w:t>
      </w:r>
    </w:p>
    <w:p w:rsidR="00C70D09" w:rsidRPr="00EB6E3F" w:rsidRDefault="00C70D09" w:rsidP="007B141D">
      <w:pPr>
        <w:spacing w:line="480" w:lineRule="auto"/>
        <w:jc w:val="both"/>
        <w:rPr>
          <w:highlight w:val="yellow"/>
          <w:lang w:eastAsia="en-US"/>
        </w:rPr>
      </w:pPr>
    </w:p>
    <w:p w:rsidR="0078206F" w:rsidRDefault="000D66B7" w:rsidP="007B141D">
      <w:pPr>
        <w:spacing w:line="480" w:lineRule="auto"/>
        <w:jc w:val="both"/>
        <w:rPr>
          <w:lang w:eastAsia="en-US"/>
        </w:rPr>
      </w:pPr>
      <w:r w:rsidRPr="00EB6E3F">
        <w:t xml:space="preserve">What is evident </w:t>
      </w:r>
      <w:r w:rsidR="0078206F" w:rsidRPr="00EB6E3F">
        <w:t>from is the</w:t>
      </w:r>
      <w:r w:rsidRPr="00EB6E3F">
        <w:t xml:space="preserve"> </w:t>
      </w:r>
      <w:r w:rsidR="00726443" w:rsidRPr="00EB6E3F">
        <w:t xml:space="preserve">extant </w:t>
      </w:r>
      <w:r w:rsidRPr="00EB6E3F">
        <w:t xml:space="preserve">research is </w:t>
      </w:r>
      <w:r w:rsidR="0078206F" w:rsidRPr="00EB6E3F">
        <w:t xml:space="preserve">that all of the prior studies are located </w:t>
      </w:r>
      <w:r w:rsidRPr="00EB6E3F">
        <w:t xml:space="preserve">in jurisdictions </w:t>
      </w:r>
      <w:r w:rsidR="00243717" w:rsidRPr="00EB6E3F">
        <w:t>with</w:t>
      </w:r>
      <w:r w:rsidR="0074457A" w:rsidRPr="00EB6E3F">
        <w:t xml:space="preserve"> </w:t>
      </w:r>
      <w:r w:rsidRPr="00EB6E3F">
        <w:t xml:space="preserve">Anglo/American </w:t>
      </w:r>
      <w:r w:rsidR="0074457A" w:rsidRPr="00EB6E3F">
        <w:t xml:space="preserve">(outsider) </w:t>
      </w:r>
      <w:r w:rsidRPr="00EB6E3F">
        <w:t>governance characteristics</w:t>
      </w:r>
      <w:r w:rsidR="0074457A" w:rsidRPr="00EB6E3F">
        <w:t xml:space="preserve"> (i.e. US, Canada, Australia and the UK)</w:t>
      </w:r>
      <w:r w:rsidRPr="00EB6E3F">
        <w:t xml:space="preserve">.  </w:t>
      </w:r>
      <w:r w:rsidRPr="00EB6E3F">
        <w:rPr>
          <w:lang w:eastAsia="en-US"/>
        </w:rPr>
        <w:t xml:space="preserve">Shleifer </w:t>
      </w:r>
      <w:r w:rsidR="0078206F" w:rsidRPr="00EB6E3F">
        <w:rPr>
          <w:lang w:eastAsia="en-US"/>
        </w:rPr>
        <w:t>and</w:t>
      </w:r>
      <w:r w:rsidRPr="00EB6E3F">
        <w:rPr>
          <w:lang w:eastAsia="en-US"/>
        </w:rPr>
        <w:t xml:space="preserve"> </w:t>
      </w:r>
      <w:proofErr w:type="spellStart"/>
      <w:r w:rsidRPr="00EB6E3F">
        <w:rPr>
          <w:lang w:eastAsia="en-US"/>
        </w:rPr>
        <w:t>Vishny</w:t>
      </w:r>
      <w:proofErr w:type="spellEnd"/>
      <w:r w:rsidRPr="00EB6E3F">
        <w:rPr>
          <w:lang w:eastAsia="en-US"/>
        </w:rPr>
        <w:t xml:space="preserve"> (1997) ide</w:t>
      </w:r>
      <w:r w:rsidR="0074457A" w:rsidRPr="00EB6E3F">
        <w:rPr>
          <w:lang w:eastAsia="en-US"/>
        </w:rPr>
        <w:t xml:space="preserve">ntified agency problems as one </w:t>
      </w:r>
      <w:r w:rsidRPr="00EB6E3F">
        <w:rPr>
          <w:lang w:eastAsia="en-US"/>
        </w:rPr>
        <w:t>o</w:t>
      </w:r>
      <w:r w:rsidR="0074457A" w:rsidRPr="00EB6E3F">
        <w:rPr>
          <w:lang w:eastAsia="en-US"/>
        </w:rPr>
        <w:t>f t</w:t>
      </w:r>
      <w:r w:rsidRPr="00EB6E3F">
        <w:rPr>
          <w:lang w:eastAsia="en-US"/>
        </w:rPr>
        <w:t>h</w:t>
      </w:r>
      <w:r w:rsidR="0074457A" w:rsidRPr="00EB6E3F">
        <w:rPr>
          <w:lang w:eastAsia="en-US"/>
        </w:rPr>
        <w:t>e</w:t>
      </w:r>
      <w:r w:rsidRPr="00EB6E3F">
        <w:rPr>
          <w:lang w:eastAsia="en-US"/>
        </w:rPr>
        <w:t xml:space="preserve"> </w:t>
      </w:r>
      <w:r w:rsidRPr="00EB6E3F">
        <w:rPr>
          <w:lang w:eastAsia="en-US"/>
        </w:rPr>
        <w:lastRenderedPageBreak/>
        <w:t xml:space="preserve">limiting practical </w:t>
      </w:r>
      <w:r w:rsidR="0074457A" w:rsidRPr="00EB6E3F">
        <w:rPr>
          <w:lang w:eastAsia="en-US"/>
        </w:rPr>
        <w:t>factors</w:t>
      </w:r>
      <w:r w:rsidRPr="00EB6E3F">
        <w:rPr>
          <w:lang w:eastAsia="en-US"/>
        </w:rPr>
        <w:t xml:space="preserve"> that might hinder the success of a merger arbitrage strategy.  Although the agency problem to which they refer is that between the brains and the resources involved in implementing the strategy, the agency problem</w:t>
      </w:r>
      <w:r w:rsidR="0078206F" w:rsidRPr="00EB6E3F">
        <w:rPr>
          <w:lang w:eastAsia="en-US"/>
        </w:rPr>
        <w:t>s</w:t>
      </w:r>
      <w:r w:rsidR="00243717" w:rsidRPr="00EB6E3F">
        <w:rPr>
          <w:lang w:eastAsia="en-US"/>
        </w:rPr>
        <w:t xml:space="preserve"> that exist</w:t>
      </w:r>
      <w:r w:rsidRPr="00EB6E3F">
        <w:rPr>
          <w:lang w:eastAsia="en-US"/>
        </w:rPr>
        <w:t xml:space="preserve"> within </w:t>
      </w:r>
      <w:r w:rsidR="0074457A" w:rsidRPr="00EB6E3F">
        <w:rPr>
          <w:lang w:eastAsia="en-US"/>
        </w:rPr>
        <w:t>both</w:t>
      </w:r>
      <w:r w:rsidRPr="00EB6E3F">
        <w:rPr>
          <w:lang w:eastAsia="en-US"/>
        </w:rPr>
        <w:t xml:space="preserve"> companies involved in </w:t>
      </w:r>
      <w:r w:rsidR="004D54C1" w:rsidRPr="00EB6E3F">
        <w:rPr>
          <w:lang w:eastAsia="en-US"/>
        </w:rPr>
        <w:t>an announced</w:t>
      </w:r>
      <w:r w:rsidR="00A24353" w:rsidRPr="00EB6E3F">
        <w:rPr>
          <w:lang w:eastAsia="en-US"/>
        </w:rPr>
        <w:t xml:space="preserve"> </w:t>
      </w:r>
      <w:r w:rsidR="0074457A" w:rsidRPr="00EB6E3F">
        <w:rPr>
          <w:lang w:eastAsia="en-US"/>
        </w:rPr>
        <w:t xml:space="preserve">merger </w:t>
      </w:r>
      <w:r w:rsidR="0078206F" w:rsidRPr="00EB6E3F">
        <w:rPr>
          <w:lang w:eastAsia="en-US"/>
        </w:rPr>
        <w:t>are</w:t>
      </w:r>
      <w:r w:rsidRPr="00EB6E3F">
        <w:rPr>
          <w:lang w:eastAsia="en-US"/>
        </w:rPr>
        <w:t xml:space="preserve"> also likely to impact</w:t>
      </w:r>
      <w:r w:rsidR="0074457A" w:rsidRPr="00EB6E3F">
        <w:rPr>
          <w:bCs/>
        </w:rPr>
        <w:t xml:space="preserve"> </w:t>
      </w:r>
      <w:r w:rsidR="003674FC">
        <w:rPr>
          <w:bCs/>
        </w:rPr>
        <w:t>both on t</w:t>
      </w:r>
      <w:r w:rsidR="0074457A" w:rsidRPr="00EB6E3F">
        <w:rPr>
          <w:bCs/>
        </w:rPr>
        <w:t xml:space="preserve">he </w:t>
      </w:r>
      <w:r w:rsidR="004D54C1" w:rsidRPr="00EB6E3F">
        <w:rPr>
          <w:bCs/>
        </w:rPr>
        <w:t>consideration</w:t>
      </w:r>
      <w:r w:rsidR="00243717" w:rsidRPr="00EB6E3F">
        <w:rPr>
          <w:bCs/>
        </w:rPr>
        <w:t xml:space="preserve"> in that merger as </w:t>
      </w:r>
      <w:r w:rsidR="003674FC">
        <w:rPr>
          <w:bCs/>
        </w:rPr>
        <w:t xml:space="preserve">well as </w:t>
      </w:r>
      <w:r w:rsidR="00243717" w:rsidRPr="00EB6E3F">
        <w:rPr>
          <w:bCs/>
        </w:rPr>
        <w:t xml:space="preserve">the </w:t>
      </w:r>
      <w:r w:rsidR="00243717" w:rsidRPr="00EB6E3F">
        <w:rPr>
          <w:lang w:eastAsia="en-US"/>
        </w:rPr>
        <w:t>probability of that</w:t>
      </w:r>
      <w:r w:rsidRPr="00EB6E3F">
        <w:rPr>
          <w:lang w:eastAsia="en-US"/>
        </w:rPr>
        <w:t xml:space="preserve"> merger being successful</w:t>
      </w:r>
      <w:r w:rsidR="003674FC">
        <w:rPr>
          <w:lang w:eastAsia="en-US"/>
        </w:rPr>
        <w:t>,</w:t>
      </w:r>
      <w:r w:rsidRPr="00EB6E3F">
        <w:rPr>
          <w:lang w:eastAsia="en-US"/>
        </w:rPr>
        <w:t xml:space="preserve"> and </w:t>
      </w:r>
      <w:r w:rsidR="00726443" w:rsidRPr="00EB6E3F">
        <w:rPr>
          <w:lang w:eastAsia="en-US"/>
        </w:rPr>
        <w:t xml:space="preserve">so impact on </w:t>
      </w:r>
      <w:r w:rsidRPr="00EB6E3F">
        <w:rPr>
          <w:lang w:eastAsia="en-US"/>
        </w:rPr>
        <w:t xml:space="preserve">the </w:t>
      </w:r>
      <w:r w:rsidR="003674FC">
        <w:rPr>
          <w:lang w:eastAsia="en-US"/>
        </w:rPr>
        <w:t>risk-adjusted r</w:t>
      </w:r>
      <w:r w:rsidRPr="00EB6E3F">
        <w:rPr>
          <w:lang w:eastAsia="en-US"/>
        </w:rPr>
        <w:t>eturn</w:t>
      </w:r>
      <w:r w:rsidR="00726443" w:rsidRPr="00EB6E3F">
        <w:rPr>
          <w:lang w:eastAsia="en-US"/>
        </w:rPr>
        <w:t>s f</w:t>
      </w:r>
      <w:r w:rsidRPr="00EB6E3F">
        <w:rPr>
          <w:lang w:eastAsia="en-US"/>
        </w:rPr>
        <w:t>r</w:t>
      </w:r>
      <w:r w:rsidR="00726443" w:rsidRPr="00EB6E3F">
        <w:rPr>
          <w:lang w:eastAsia="en-US"/>
        </w:rPr>
        <w:t>o</w:t>
      </w:r>
      <w:r w:rsidRPr="00EB6E3F">
        <w:rPr>
          <w:lang w:eastAsia="en-US"/>
        </w:rPr>
        <w:t xml:space="preserve">m </w:t>
      </w:r>
      <w:r w:rsidR="00726443" w:rsidRPr="00EB6E3F">
        <w:rPr>
          <w:lang w:eastAsia="en-US"/>
        </w:rPr>
        <w:t>a merger</w:t>
      </w:r>
      <w:r w:rsidRPr="00EB6E3F">
        <w:rPr>
          <w:lang w:eastAsia="en-US"/>
        </w:rPr>
        <w:t xml:space="preserve"> arbitrage strategy</w:t>
      </w:r>
      <w:r w:rsidR="00726443" w:rsidRPr="00EB6E3F">
        <w:rPr>
          <w:lang w:eastAsia="en-US"/>
        </w:rPr>
        <w:t xml:space="preserve"> based thereon</w:t>
      </w:r>
      <w:r w:rsidR="0074457A" w:rsidRPr="00EB6E3F">
        <w:rPr>
          <w:lang w:eastAsia="en-US"/>
        </w:rPr>
        <w:t>.</w:t>
      </w:r>
      <w:r w:rsidR="004D54C1" w:rsidRPr="00EB6E3F">
        <w:rPr>
          <w:lang w:eastAsia="en-US"/>
        </w:rPr>
        <w:t xml:space="preserve"> </w:t>
      </w:r>
      <w:r w:rsidR="0074457A" w:rsidRPr="00EB6E3F">
        <w:rPr>
          <w:lang w:eastAsia="en-US"/>
        </w:rPr>
        <w:t xml:space="preserve"> </w:t>
      </w:r>
    </w:p>
    <w:p w:rsidR="00D158A8" w:rsidRPr="00EB6E3F" w:rsidRDefault="00D158A8" w:rsidP="007B141D">
      <w:pPr>
        <w:spacing w:line="480" w:lineRule="auto"/>
        <w:jc w:val="both"/>
      </w:pPr>
    </w:p>
    <w:p w:rsidR="00B9746E" w:rsidRPr="00EB6E3F" w:rsidRDefault="00147003" w:rsidP="00147003">
      <w:pPr>
        <w:spacing w:line="480" w:lineRule="auto"/>
        <w:ind w:left="567" w:hanging="567"/>
        <w:jc w:val="both"/>
        <w:rPr>
          <w:b/>
        </w:rPr>
      </w:pPr>
      <w:r>
        <w:rPr>
          <w:b/>
        </w:rPr>
        <w:t>2.2</w:t>
      </w:r>
      <w:r>
        <w:rPr>
          <w:b/>
        </w:rPr>
        <w:tab/>
      </w:r>
      <w:r w:rsidR="00F76E8D" w:rsidRPr="00EB6E3F">
        <w:rPr>
          <w:b/>
        </w:rPr>
        <w:t>The German Setting</w:t>
      </w:r>
    </w:p>
    <w:p w:rsidR="00A0712E" w:rsidRPr="00EB6E3F" w:rsidRDefault="00D52E48" w:rsidP="007B141D">
      <w:pPr>
        <w:spacing w:line="480" w:lineRule="auto"/>
        <w:jc w:val="both"/>
        <w:rPr>
          <w:color w:val="000000"/>
        </w:rPr>
      </w:pPr>
      <w:r w:rsidRPr="00EB6E3F">
        <w:rPr>
          <w:bCs/>
        </w:rPr>
        <w:t xml:space="preserve">There are differences in corporate governance </w:t>
      </w:r>
      <w:r w:rsidR="00263FB1" w:rsidRPr="00EB6E3F">
        <w:rPr>
          <w:bCs/>
        </w:rPr>
        <w:t xml:space="preserve">and legal systems </w:t>
      </w:r>
      <w:r w:rsidRPr="00EB6E3F">
        <w:rPr>
          <w:bCs/>
        </w:rPr>
        <w:t>across countries</w:t>
      </w:r>
      <w:r w:rsidR="0078206F" w:rsidRPr="00EB6E3F">
        <w:rPr>
          <w:bCs/>
        </w:rPr>
        <w:t xml:space="preserve"> which, </w:t>
      </w:r>
      <w:r w:rsidRPr="00EB6E3F">
        <w:rPr>
          <w:bCs/>
        </w:rPr>
        <w:t>for the pur</w:t>
      </w:r>
      <w:r w:rsidR="0078206F" w:rsidRPr="00EB6E3F">
        <w:rPr>
          <w:bCs/>
        </w:rPr>
        <w:t>poses of this study,</w:t>
      </w:r>
      <w:r w:rsidRPr="00EB6E3F">
        <w:rPr>
          <w:bCs/>
        </w:rPr>
        <w:t xml:space="preserve"> are likely to </w:t>
      </w:r>
      <w:r w:rsidR="003C7D51">
        <w:rPr>
          <w:bCs/>
        </w:rPr>
        <w:t xml:space="preserve">impact the outcome </w:t>
      </w:r>
      <w:r w:rsidR="00263FB1" w:rsidRPr="00EB6E3F">
        <w:rPr>
          <w:bCs/>
        </w:rPr>
        <w:t>of those mergers</w:t>
      </w:r>
      <w:r w:rsidRPr="00EB6E3F">
        <w:rPr>
          <w:bCs/>
        </w:rPr>
        <w:t xml:space="preserve">.  At one extreme </w:t>
      </w:r>
      <w:r w:rsidR="00263FB1" w:rsidRPr="00EB6E3F">
        <w:rPr>
          <w:bCs/>
        </w:rPr>
        <w:t xml:space="preserve">of the corporate governance landscape </w:t>
      </w:r>
      <w:r w:rsidRPr="00EB6E3F">
        <w:rPr>
          <w:bCs/>
        </w:rPr>
        <w:t>is the Anglo-American system found in the US, Canada, Australia and the UK which</w:t>
      </w:r>
      <w:r w:rsidR="00EF3566" w:rsidRPr="00EB6E3F">
        <w:rPr>
          <w:bCs/>
        </w:rPr>
        <w:t>, because ownership tends to be diffuse</w:t>
      </w:r>
      <w:r w:rsidR="00F76E8D" w:rsidRPr="00EB6E3F">
        <w:rPr>
          <w:bCs/>
        </w:rPr>
        <w:t>,</w:t>
      </w:r>
      <w:r w:rsidR="00EF3566" w:rsidRPr="00EB6E3F">
        <w:rPr>
          <w:bCs/>
        </w:rPr>
        <w:t xml:space="preserve"> </w:t>
      </w:r>
      <w:r w:rsidRPr="00EB6E3F">
        <w:rPr>
          <w:bCs/>
        </w:rPr>
        <w:t>has rules designed to promote shareholder value</w:t>
      </w:r>
      <w:r w:rsidR="00582A01" w:rsidRPr="00EB6E3F">
        <w:rPr>
          <w:bCs/>
        </w:rPr>
        <w:t>.  At the other extreme is the Continental system found in Germany where</w:t>
      </w:r>
      <w:r w:rsidR="00053D65" w:rsidRPr="00EB6E3F">
        <w:rPr>
          <w:bCs/>
        </w:rPr>
        <w:t xml:space="preserve"> management have responsibilities to </w:t>
      </w:r>
      <w:r w:rsidR="00EF3566" w:rsidRPr="00EB6E3F">
        <w:rPr>
          <w:bCs/>
        </w:rPr>
        <w:t xml:space="preserve">multiple </w:t>
      </w:r>
      <w:r w:rsidR="00053D65" w:rsidRPr="00EB6E3F">
        <w:rPr>
          <w:bCs/>
        </w:rPr>
        <w:t>stakeholders</w:t>
      </w:r>
      <w:r w:rsidR="00EF3566" w:rsidRPr="00EB6E3F">
        <w:rPr>
          <w:bCs/>
        </w:rPr>
        <w:t>,</w:t>
      </w:r>
      <w:r w:rsidR="00053D65" w:rsidRPr="00EB6E3F">
        <w:rPr>
          <w:bCs/>
        </w:rPr>
        <w:t xml:space="preserve"> including employees</w:t>
      </w:r>
      <w:r w:rsidR="00EF3566" w:rsidRPr="00EB6E3F">
        <w:rPr>
          <w:bCs/>
        </w:rPr>
        <w:t>, which limit management’s ability to engage in activities which are in line with their own interests.</w:t>
      </w:r>
      <w:r w:rsidR="00053D65" w:rsidRPr="00EB6E3F">
        <w:rPr>
          <w:bCs/>
        </w:rPr>
        <w:t xml:space="preserve"> </w:t>
      </w:r>
      <w:r w:rsidR="00EF3566" w:rsidRPr="00EB6E3F">
        <w:rPr>
          <w:bCs/>
        </w:rPr>
        <w:t xml:space="preserve">Specifically, </w:t>
      </w:r>
      <w:r w:rsidR="00365DFD" w:rsidRPr="00EB6E3F">
        <w:rPr>
          <w:color w:val="000000"/>
        </w:rPr>
        <w:t>German corporation law (</w:t>
      </w:r>
      <w:r w:rsidR="00A0712E" w:rsidRPr="00EB6E3F">
        <w:rPr>
          <w:color w:val="000000"/>
        </w:rPr>
        <w:t xml:space="preserve">the </w:t>
      </w:r>
      <w:proofErr w:type="spellStart"/>
      <w:r w:rsidR="00A0712E" w:rsidRPr="00EB6E3F">
        <w:rPr>
          <w:iCs/>
          <w:color w:val="000000"/>
        </w:rPr>
        <w:t>Aktiengesetz</w:t>
      </w:r>
      <w:proofErr w:type="spellEnd"/>
      <w:r w:rsidR="00365DFD" w:rsidRPr="00EB6E3F">
        <w:rPr>
          <w:iCs/>
          <w:color w:val="000000"/>
        </w:rPr>
        <w:t>)</w:t>
      </w:r>
      <w:r w:rsidR="00A0712E" w:rsidRPr="00EB6E3F">
        <w:rPr>
          <w:color w:val="000000"/>
        </w:rPr>
        <w:t xml:space="preserve">, requires all public companies to have two boards: a management board called a </w:t>
      </w:r>
      <w:proofErr w:type="spellStart"/>
      <w:r w:rsidR="00A0712E" w:rsidRPr="00EB6E3F">
        <w:rPr>
          <w:iCs/>
        </w:rPr>
        <w:t>Vorstand</w:t>
      </w:r>
      <w:proofErr w:type="spellEnd"/>
      <w:r w:rsidR="00A0712E" w:rsidRPr="00EB6E3F">
        <w:t xml:space="preserve"> </w:t>
      </w:r>
      <w:r w:rsidR="00A0712E" w:rsidRPr="00EB6E3F">
        <w:rPr>
          <w:color w:val="000000"/>
        </w:rPr>
        <w:t xml:space="preserve">and a supervisory board called an </w:t>
      </w:r>
      <w:proofErr w:type="spellStart"/>
      <w:r w:rsidR="00A0712E" w:rsidRPr="00EB6E3F">
        <w:rPr>
          <w:iCs/>
        </w:rPr>
        <w:t>Aufsichtsrat</w:t>
      </w:r>
      <w:proofErr w:type="spellEnd"/>
      <w:r w:rsidR="00EF3566" w:rsidRPr="00EB6E3F">
        <w:rPr>
          <w:iCs/>
        </w:rPr>
        <w:t xml:space="preserve"> </w:t>
      </w:r>
      <w:r w:rsidR="00365DFD" w:rsidRPr="00EB6E3F">
        <w:rPr>
          <w:iCs/>
        </w:rPr>
        <w:t>(</w:t>
      </w:r>
      <w:r w:rsidR="00EF3566" w:rsidRPr="00EB6E3F">
        <w:rPr>
          <w:iCs/>
        </w:rPr>
        <w:t>half of which, i</w:t>
      </w:r>
      <w:r w:rsidR="001D687F" w:rsidRPr="00EB6E3F">
        <w:rPr>
          <w:color w:val="000000"/>
        </w:rPr>
        <w:t>n large firms</w:t>
      </w:r>
      <w:r w:rsidR="00EF3566" w:rsidRPr="00EB6E3F">
        <w:rPr>
          <w:color w:val="000000"/>
        </w:rPr>
        <w:t>, is</w:t>
      </w:r>
      <w:r w:rsidR="00A0712E" w:rsidRPr="00EB6E3F">
        <w:rPr>
          <w:color w:val="000000"/>
        </w:rPr>
        <w:t xml:space="preserve"> comprised of employee representatives</w:t>
      </w:r>
      <w:r w:rsidR="00365DFD" w:rsidRPr="00EB6E3F">
        <w:rPr>
          <w:color w:val="000000"/>
        </w:rPr>
        <w:t>)</w:t>
      </w:r>
      <w:r w:rsidR="00A0712E" w:rsidRPr="00EB6E3F">
        <w:rPr>
          <w:color w:val="000000"/>
        </w:rPr>
        <w:t xml:space="preserve">. </w:t>
      </w:r>
      <w:r w:rsidR="001D687F" w:rsidRPr="00EB6E3F">
        <w:rPr>
          <w:color w:val="000000"/>
        </w:rPr>
        <w:t xml:space="preserve"> </w:t>
      </w:r>
      <w:r w:rsidR="00EF3566" w:rsidRPr="00EB6E3F">
        <w:rPr>
          <w:color w:val="000000"/>
        </w:rPr>
        <w:t>N</w:t>
      </w:r>
      <w:r w:rsidR="001D687F" w:rsidRPr="00EB6E3F">
        <w:rPr>
          <w:color w:val="000000"/>
        </w:rPr>
        <w:t xml:space="preserve">ot only must </w:t>
      </w:r>
      <w:r w:rsidR="00A0712E" w:rsidRPr="00EB6E3F">
        <w:rPr>
          <w:color w:val="000000"/>
        </w:rPr>
        <w:t>the supervisory board approve all major business decisions (</w:t>
      </w:r>
      <w:r w:rsidR="00EF3566" w:rsidRPr="00EB6E3F">
        <w:rPr>
          <w:color w:val="000000"/>
        </w:rPr>
        <w:t xml:space="preserve">of which a merger is an </w:t>
      </w:r>
      <w:r w:rsidR="00A0712E" w:rsidRPr="00EB6E3F">
        <w:rPr>
          <w:color w:val="000000"/>
        </w:rPr>
        <w:t>example)</w:t>
      </w:r>
      <w:r w:rsidR="00365DFD" w:rsidRPr="00EB6E3F">
        <w:rPr>
          <w:color w:val="000000"/>
        </w:rPr>
        <w:t>,</w:t>
      </w:r>
      <w:r w:rsidR="00A0712E" w:rsidRPr="00EB6E3F">
        <w:rPr>
          <w:color w:val="000000"/>
        </w:rPr>
        <w:t xml:space="preserve"> </w:t>
      </w:r>
      <w:r w:rsidR="001D687F" w:rsidRPr="00EB6E3F">
        <w:rPr>
          <w:color w:val="000000"/>
        </w:rPr>
        <w:t xml:space="preserve">but a supermajority is </w:t>
      </w:r>
      <w:r w:rsidR="00F76E8D" w:rsidRPr="00EB6E3F">
        <w:rPr>
          <w:color w:val="000000"/>
        </w:rPr>
        <w:t xml:space="preserve">also </w:t>
      </w:r>
      <w:r w:rsidR="001D687F" w:rsidRPr="00EB6E3F">
        <w:rPr>
          <w:color w:val="000000"/>
        </w:rPr>
        <w:t xml:space="preserve">required such that </w:t>
      </w:r>
      <w:r w:rsidR="00F76E8D" w:rsidRPr="00EB6E3F">
        <w:rPr>
          <w:color w:val="000000"/>
        </w:rPr>
        <w:t xml:space="preserve">this study contends that </w:t>
      </w:r>
      <w:r w:rsidR="001D687F" w:rsidRPr="00EB6E3F">
        <w:rPr>
          <w:color w:val="000000"/>
        </w:rPr>
        <w:t xml:space="preserve">the </w:t>
      </w:r>
      <w:proofErr w:type="spellStart"/>
      <w:r w:rsidR="0078206F" w:rsidRPr="00EB6E3F">
        <w:rPr>
          <w:color w:val="000000"/>
        </w:rPr>
        <w:t>A</w:t>
      </w:r>
      <w:r w:rsidR="00B03537" w:rsidRPr="00EB6E3F">
        <w:rPr>
          <w:color w:val="000000"/>
        </w:rPr>
        <w:t>ufsichstrat</w:t>
      </w:r>
      <w:proofErr w:type="spellEnd"/>
      <w:r w:rsidR="00B03537" w:rsidRPr="00EB6E3F">
        <w:rPr>
          <w:color w:val="000000"/>
        </w:rPr>
        <w:t xml:space="preserve"> </w:t>
      </w:r>
      <w:r w:rsidR="00A0712E" w:rsidRPr="00EB6E3F">
        <w:rPr>
          <w:color w:val="000000"/>
        </w:rPr>
        <w:t xml:space="preserve">will </w:t>
      </w:r>
      <w:r w:rsidR="00EF3566" w:rsidRPr="00EB6E3F">
        <w:rPr>
          <w:color w:val="000000"/>
        </w:rPr>
        <w:t xml:space="preserve">likely </w:t>
      </w:r>
      <w:r w:rsidR="00A0712E" w:rsidRPr="00EB6E3F">
        <w:rPr>
          <w:color w:val="000000"/>
        </w:rPr>
        <w:t xml:space="preserve">materially impact on the </w:t>
      </w:r>
      <w:r w:rsidR="00243717" w:rsidRPr="00EB6E3F">
        <w:rPr>
          <w:color w:val="000000"/>
        </w:rPr>
        <w:t xml:space="preserve">consideration </w:t>
      </w:r>
      <w:r w:rsidR="00365DFD" w:rsidRPr="00EB6E3F">
        <w:rPr>
          <w:color w:val="000000"/>
        </w:rPr>
        <w:t>offered</w:t>
      </w:r>
      <w:r w:rsidR="00243717" w:rsidRPr="00EB6E3F">
        <w:rPr>
          <w:color w:val="000000"/>
        </w:rPr>
        <w:t xml:space="preserve">, the </w:t>
      </w:r>
      <w:r w:rsidR="00726443" w:rsidRPr="00EB6E3F">
        <w:rPr>
          <w:lang w:eastAsia="en-US"/>
        </w:rPr>
        <w:t xml:space="preserve">probability of </w:t>
      </w:r>
      <w:r w:rsidR="00365DFD" w:rsidRPr="00EB6E3F">
        <w:rPr>
          <w:lang w:eastAsia="en-US"/>
        </w:rPr>
        <w:t>success</w:t>
      </w:r>
      <w:r w:rsidR="00243717" w:rsidRPr="00EB6E3F">
        <w:rPr>
          <w:lang w:eastAsia="en-US"/>
        </w:rPr>
        <w:t xml:space="preserve">, </w:t>
      </w:r>
      <w:r w:rsidR="00A0712E" w:rsidRPr="00EB6E3F">
        <w:rPr>
          <w:lang w:eastAsia="en-US"/>
        </w:rPr>
        <w:t xml:space="preserve">and hence </w:t>
      </w:r>
      <w:r w:rsidR="00243717" w:rsidRPr="00EB6E3F">
        <w:rPr>
          <w:lang w:eastAsia="en-US"/>
        </w:rPr>
        <w:t>on the</w:t>
      </w:r>
      <w:r w:rsidR="00A0712E" w:rsidRPr="00EB6E3F">
        <w:rPr>
          <w:lang w:eastAsia="en-US"/>
        </w:rPr>
        <w:t xml:space="preserve"> </w:t>
      </w:r>
      <w:r w:rsidR="004D79B0">
        <w:rPr>
          <w:lang w:eastAsia="en-US"/>
        </w:rPr>
        <w:t xml:space="preserve">risk-adjusted </w:t>
      </w:r>
      <w:r w:rsidR="00A0712E" w:rsidRPr="00EB6E3F">
        <w:rPr>
          <w:lang w:eastAsia="en-US"/>
        </w:rPr>
        <w:t>returns from a merger arbitrage strategy</w:t>
      </w:r>
      <w:r w:rsidR="00243717" w:rsidRPr="00EB6E3F">
        <w:rPr>
          <w:lang w:eastAsia="en-US"/>
        </w:rPr>
        <w:t xml:space="preserve"> </w:t>
      </w:r>
      <w:r w:rsidR="00B6045A" w:rsidRPr="00EB6E3F">
        <w:rPr>
          <w:lang w:eastAsia="en-US"/>
        </w:rPr>
        <w:t>involving firms</w:t>
      </w:r>
      <w:r w:rsidR="008746E4" w:rsidRPr="00EB6E3F">
        <w:rPr>
          <w:lang w:eastAsia="en-US"/>
        </w:rPr>
        <w:t xml:space="preserve"> listed on the German stock exchange</w:t>
      </w:r>
      <w:r w:rsidR="00A0712E" w:rsidRPr="00EB6E3F">
        <w:rPr>
          <w:lang w:eastAsia="en-US"/>
        </w:rPr>
        <w:t>.</w:t>
      </w:r>
      <w:r w:rsidR="00A0712E" w:rsidRPr="00EB6E3F">
        <w:rPr>
          <w:color w:val="000000"/>
        </w:rPr>
        <w:t xml:space="preserve"> </w:t>
      </w:r>
    </w:p>
    <w:p w:rsidR="00263FB1" w:rsidRPr="00EB6E3F" w:rsidRDefault="00263FB1" w:rsidP="007B141D">
      <w:pPr>
        <w:spacing w:line="480" w:lineRule="auto"/>
        <w:jc w:val="both"/>
      </w:pPr>
    </w:p>
    <w:p w:rsidR="00263FB1" w:rsidRPr="00EB6E3F" w:rsidRDefault="00263FB1" w:rsidP="007B141D">
      <w:pPr>
        <w:spacing w:line="480" w:lineRule="auto"/>
        <w:jc w:val="both"/>
      </w:pPr>
      <w:r w:rsidRPr="00EB6E3F">
        <w:lastRenderedPageBreak/>
        <w:t xml:space="preserve">Germany’s legal system pertaining to business combinations is also likely to influence </w:t>
      </w:r>
      <w:r w:rsidRPr="00EB6E3F">
        <w:rPr>
          <w:lang w:eastAsia="en-US"/>
        </w:rPr>
        <w:t xml:space="preserve">merger arbitrage outcomes.  </w:t>
      </w:r>
      <w:r w:rsidRPr="00EB6E3F">
        <w:t>Takeovers of public companies in Germany are regulated by the Securities Acquisition and Takeover Act (</w:t>
      </w:r>
      <w:proofErr w:type="spellStart"/>
      <w:r w:rsidRPr="00EB6E3F">
        <w:t>Wertpapiererwerbs</w:t>
      </w:r>
      <w:proofErr w:type="spellEnd"/>
      <w:r w:rsidRPr="00EB6E3F">
        <w:t xml:space="preserve">-und </w:t>
      </w:r>
      <w:proofErr w:type="spellStart"/>
      <w:r w:rsidRPr="00EB6E3F">
        <w:t>Übernahmegesetz</w:t>
      </w:r>
      <w:proofErr w:type="spellEnd"/>
      <w:r w:rsidRPr="00EB6E3F">
        <w:t xml:space="preserve">) which, due to stipulations contained therein, biases consideration toward cash bids.  One such stipulation is that any shares offered as consideration for a German firm must be tradable on a regulated market within the European Economic Area (EEA) making share offers more complicated for non-EEA bidders.  Another stipulation is that any proposed merger must be approved by a majority of 75% of the share capital of both entities (target and bidder) represented at each of the two shareholder meetings.  In addition, dissenting target shareholders can challenge the majority agreed exchange ratio in the courts and, if successful, the bidder will have to pay to all target shareholders (and not only those dissenting) extra amounts in cash as determined by the court. </w:t>
      </w:r>
    </w:p>
    <w:p w:rsidR="00B56FD8" w:rsidRPr="00EB6E3F" w:rsidRDefault="00B56FD8" w:rsidP="007B141D">
      <w:pPr>
        <w:spacing w:line="480" w:lineRule="auto"/>
        <w:jc w:val="both"/>
        <w:rPr>
          <w:bCs/>
        </w:rPr>
      </w:pPr>
    </w:p>
    <w:p w:rsidR="00A0712E" w:rsidRPr="00EB6E3F" w:rsidRDefault="002E76C2" w:rsidP="007B141D">
      <w:pPr>
        <w:spacing w:line="480" w:lineRule="auto"/>
        <w:jc w:val="both"/>
        <w:rPr>
          <w:bCs/>
        </w:rPr>
      </w:pPr>
      <w:r w:rsidRPr="00EB6E3F">
        <w:rPr>
          <w:bCs/>
        </w:rPr>
        <w:t xml:space="preserve">Given the </w:t>
      </w:r>
      <w:r w:rsidR="00726443" w:rsidRPr="00EB6E3F">
        <w:rPr>
          <w:bCs/>
        </w:rPr>
        <w:t>inconclusive results from Anglo-</w:t>
      </w:r>
      <w:r w:rsidR="00EF6D24" w:rsidRPr="00EB6E3F">
        <w:rPr>
          <w:bCs/>
        </w:rPr>
        <w:t>American</w:t>
      </w:r>
      <w:r w:rsidR="00726443" w:rsidRPr="00EB6E3F">
        <w:rPr>
          <w:bCs/>
        </w:rPr>
        <w:t xml:space="preserve"> settings and </w:t>
      </w:r>
      <w:r w:rsidR="009F074E">
        <w:rPr>
          <w:bCs/>
        </w:rPr>
        <w:t xml:space="preserve">the likely impact </w:t>
      </w:r>
      <w:proofErr w:type="gramStart"/>
      <w:r w:rsidR="009F074E">
        <w:rPr>
          <w:bCs/>
        </w:rPr>
        <w:t>of  German</w:t>
      </w:r>
      <w:proofErr w:type="gramEnd"/>
      <w:r w:rsidR="00295CA8" w:rsidRPr="00EB6E3F">
        <w:rPr>
          <w:bCs/>
        </w:rPr>
        <w:t xml:space="preserve"> takeover law and governance structures</w:t>
      </w:r>
      <w:r w:rsidR="009F074E">
        <w:rPr>
          <w:bCs/>
        </w:rPr>
        <w:t xml:space="preserve"> on the risk of mergers</w:t>
      </w:r>
      <w:r w:rsidRPr="00EB6E3F">
        <w:rPr>
          <w:bCs/>
        </w:rPr>
        <w:t>, this research aims to examine</w:t>
      </w:r>
      <w:r w:rsidR="00726443" w:rsidRPr="00EB6E3F">
        <w:t xml:space="preserve"> </w:t>
      </w:r>
      <w:r w:rsidR="00726443" w:rsidRPr="00EB6E3F">
        <w:rPr>
          <w:bCs/>
        </w:rPr>
        <w:t>if positive excess risk arbitrage returns are achievable from</w:t>
      </w:r>
      <w:r w:rsidRPr="00EB6E3F">
        <w:rPr>
          <w:bCs/>
        </w:rPr>
        <w:t xml:space="preserve"> a merger arbitrage trading strategy in the German market.</w:t>
      </w:r>
    </w:p>
    <w:p w:rsidR="0079717E" w:rsidRPr="00EB6E3F" w:rsidRDefault="0079717E" w:rsidP="007B141D">
      <w:pPr>
        <w:spacing w:line="480" w:lineRule="auto"/>
        <w:jc w:val="both"/>
      </w:pPr>
    </w:p>
    <w:p w:rsidR="00E20A6D" w:rsidRPr="00D14943" w:rsidRDefault="00792767" w:rsidP="00D14943">
      <w:pPr>
        <w:pStyle w:val="ListParagraph"/>
        <w:numPr>
          <w:ilvl w:val="0"/>
          <w:numId w:val="9"/>
        </w:numPr>
        <w:spacing w:line="480" w:lineRule="auto"/>
        <w:ind w:left="567" w:hanging="567"/>
        <w:jc w:val="both"/>
        <w:rPr>
          <w:b/>
          <w:sz w:val="28"/>
          <w:szCs w:val="28"/>
          <w:lang w:eastAsia="en-US"/>
        </w:rPr>
      </w:pPr>
      <w:r w:rsidRPr="00D14943">
        <w:rPr>
          <w:b/>
          <w:sz w:val="28"/>
          <w:szCs w:val="28"/>
          <w:lang w:eastAsia="en-US"/>
        </w:rPr>
        <w:t>Data and Methodology</w:t>
      </w:r>
    </w:p>
    <w:p w:rsidR="00B93AC4" w:rsidRPr="00EB6E3F" w:rsidRDefault="00E20A6D" w:rsidP="007B141D">
      <w:pPr>
        <w:spacing w:line="480" w:lineRule="auto"/>
        <w:jc w:val="both"/>
        <w:rPr>
          <w:bCs/>
          <w:lang w:eastAsia="en-US"/>
        </w:rPr>
      </w:pPr>
      <w:r w:rsidRPr="00EB6E3F">
        <w:rPr>
          <w:bCs/>
          <w:lang w:eastAsia="en-US"/>
        </w:rPr>
        <w:t xml:space="preserve">The </w:t>
      </w:r>
      <w:r w:rsidR="00D034A6" w:rsidRPr="00EB6E3F">
        <w:rPr>
          <w:bCs/>
          <w:lang w:eastAsia="en-US"/>
        </w:rPr>
        <w:t xml:space="preserve">initial </w:t>
      </w:r>
      <w:r w:rsidRPr="00EB6E3F">
        <w:rPr>
          <w:bCs/>
          <w:lang w:eastAsia="en-US"/>
        </w:rPr>
        <w:t xml:space="preserve">sample </w:t>
      </w:r>
      <w:r w:rsidR="00D034A6" w:rsidRPr="00EB6E3F">
        <w:rPr>
          <w:bCs/>
          <w:lang w:eastAsia="en-US"/>
        </w:rPr>
        <w:t>is</w:t>
      </w:r>
      <w:r w:rsidRPr="00EB6E3F">
        <w:rPr>
          <w:bCs/>
          <w:lang w:eastAsia="en-US"/>
        </w:rPr>
        <w:t xml:space="preserve"> all merger and acquisitions activity by publicly traded companies on the German market between the </w:t>
      </w:r>
      <w:r w:rsidR="00AA3DCD" w:rsidRPr="00EB6E3F">
        <w:rPr>
          <w:bCs/>
          <w:lang w:eastAsia="en-US"/>
        </w:rPr>
        <w:t>1</w:t>
      </w:r>
      <w:r w:rsidR="00AA3DCD" w:rsidRPr="00EB6E3F">
        <w:rPr>
          <w:bCs/>
          <w:vertAlign w:val="superscript"/>
          <w:lang w:eastAsia="en-US"/>
        </w:rPr>
        <w:t>st</w:t>
      </w:r>
      <w:r w:rsidR="00AA3DCD" w:rsidRPr="00EB6E3F">
        <w:rPr>
          <w:bCs/>
          <w:lang w:eastAsia="en-US"/>
        </w:rPr>
        <w:t xml:space="preserve"> January, </w:t>
      </w:r>
      <w:r w:rsidRPr="00EB6E3F">
        <w:rPr>
          <w:bCs/>
          <w:lang w:eastAsia="en-US"/>
        </w:rPr>
        <w:t>2003 and 1</w:t>
      </w:r>
      <w:r w:rsidR="00AA3DCD" w:rsidRPr="00EB6E3F">
        <w:rPr>
          <w:bCs/>
          <w:vertAlign w:val="superscript"/>
          <w:lang w:eastAsia="en-US"/>
        </w:rPr>
        <w:t>st</w:t>
      </w:r>
      <w:r w:rsidR="00AA3DCD" w:rsidRPr="00EB6E3F">
        <w:rPr>
          <w:bCs/>
          <w:lang w:eastAsia="en-US"/>
        </w:rPr>
        <w:t xml:space="preserve"> June, 2007</w:t>
      </w:r>
      <w:r w:rsidR="00D034A6" w:rsidRPr="00EB6E3F">
        <w:rPr>
          <w:bCs/>
          <w:lang w:eastAsia="en-US"/>
        </w:rPr>
        <w:t xml:space="preserve"> for a total of 83 possible transactions. </w:t>
      </w:r>
      <w:r w:rsidR="00B93AC4" w:rsidRPr="00EB6E3F">
        <w:rPr>
          <w:bCs/>
          <w:lang w:eastAsia="en-US"/>
        </w:rPr>
        <w:t xml:space="preserve"> As a result of </w:t>
      </w:r>
      <w:r w:rsidR="003E341C" w:rsidRPr="00EB6E3F">
        <w:rPr>
          <w:bCs/>
          <w:lang w:eastAsia="en-US"/>
        </w:rPr>
        <w:t xml:space="preserve">the </w:t>
      </w:r>
      <w:r w:rsidR="00B93AC4" w:rsidRPr="00EB6E3F">
        <w:rPr>
          <w:bCs/>
          <w:lang w:eastAsia="en-US"/>
        </w:rPr>
        <w:t>re</w:t>
      </w:r>
      <w:r w:rsidR="00241D4B" w:rsidRPr="00EB6E3F">
        <w:rPr>
          <w:bCs/>
          <w:lang w:eastAsia="en-US"/>
        </w:rPr>
        <w:t>latively</w:t>
      </w:r>
      <w:r w:rsidR="00B93AC4" w:rsidRPr="00EB6E3F">
        <w:rPr>
          <w:bCs/>
          <w:lang w:eastAsia="en-US"/>
        </w:rPr>
        <w:t xml:space="preserve"> small number of all-share transactions on the German market during the sample period as well as </w:t>
      </w:r>
      <w:r w:rsidR="00295CA8" w:rsidRPr="00EB6E3F">
        <w:rPr>
          <w:bCs/>
          <w:lang w:eastAsia="en-US"/>
        </w:rPr>
        <w:t xml:space="preserve">the lack of available date on some mergers </w:t>
      </w:r>
      <w:r w:rsidR="00B93AC4" w:rsidRPr="00EB6E3F">
        <w:rPr>
          <w:bCs/>
          <w:lang w:eastAsia="en-US"/>
        </w:rPr>
        <w:t xml:space="preserve">(i.e. where the information necessary for the study was not available from any source), the focus of </w:t>
      </w:r>
      <w:r w:rsidR="00B93AC4" w:rsidRPr="00EB6E3F">
        <w:rPr>
          <w:bCs/>
          <w:lang w:eastAsia="en-US"/>
        </w:rPr>
        <w:lastRenderedPageBreak/>
        <w:t xml:space="preserve">this research is on </w:t>
      </w:r>
      <w:r w:rsidR="00E66FEA" w:rsidRPr="00EB6E3F">
        <w:rPr>
          <w:lang w:eastAsia="en-US"/>
        </w:rPr>
        <w:t>a</w:t>
      </w:r>
      <w:r w:rsidR="00295CA8" w:rsidRPr="00EB6E3F">
        <w:rPr>
          <w:lang w:eastAsia="en-US"/>
        </w:rPr>
        <w:t xml:space="preserve"> revised</w:t>
      </w:r>
      <w:r w:rsidR="00E66FEA" w:rsidRPr="00EB6E3F">
        <w:rPr>
          <w:lang w:eastAsia="en-US"/>
        </w:rPr>
        <w:t xml:space="preserve"> total final sample of </w:t>
      </w:r>
      <w:r w:rsidR="00B93AC4" w:rsidRPr="00EB6E3F">
        <w:rPr>
          <w:bCs/>
          <w:lang w:eastAsia="en-US"/>
        </w:rPr>
        <w:t xml:space="preserve">61 </w:t>
      </w:r>
      <w:r w:rsidR="00295CA8" w:rsidRPr="00EB6E3F">
        <w:rPr>
          <w:bCs/>
          <w:lang w:eastAsia="en-US"/>
        </w:rPr>
        <w:t xml:space="preserve">all-cash and cash-and-share transactions only for </w:t>
      </w:r>
      <w:r w:rsidR="00B93AC4" w:rsidRPr="00EB6E3F">
        <w:rPr>
          <w:bCs/>
          <w:lang w:eastAsia="en-US"/>
        </w:rPr>
        <w:t>transactions</w:t>
      </w:r>
      <w:r w:rsidR="00BF3D91" w:rsidRPr="00EB6E3F">
        <w:rPr>
          <w:bCs/>
          <w:lang w:eastAsia="en-US"/>
        </w:rPr>
        <w:t xml:space="preserve"> (see Table 1)</w:t>
      </w:r>
      <w:r w:rsidR="00E66FEA" w:rsidRPr="00EB6E3F">
        <w:rPr>
          <w:bCs/>
          <w:lang w:eastAsia="en-US"/>
        </w:rPr>
        <w:t>.</w:t>
      </w:r>
    </w:p>
    <w:p w:rsidR="00792767" w:rsidRPr="00792767" w:rsidRDefault="00792767" w:rsidP="00792767">
      <w:pPr>
        <w:spacing w:line="480" w:lineRule="auto"/>
        <w:ind w:firstLine="720"/>
        <w:jc w:val="both"/>
        <w:rPr>
          <w:rFonts w:eastAsiaTheme="minorHAnsi"/>
          <w:lang w:eastAsia="en-US"/>
        </w:rPr>
      </w:pPr>
    </w:p>
    <w:p w:rsidR="00796DB2" w:rsidRDefault="00796DB2">
      <w:pPr>
        <w:spacing w:after="200" w:line="276" w:lineRule="auto"/>
        <w:rPr>
          <w:b/>
          <w:lang w:eastAsia="en-US"/>
        </w:rPr>
      </w:pPr>
      <w:r>
        <w:rPr>
          <w:b/>
          <w:lang w:eastAsia="en-US"/>
        </w:rPr>
        <w:br w:type="page"/>
      </w:r>
    </w:p>
    <w:p w:rsidR="00796DB2" w:rsidRPr="00EB6E3F" w:rsidRDefault="00796DB2" w:rsidP="00796DB2">
      <w:pPr>
        <w:ind w:left="-567"/>
        <w:rPr>
          <w:b/>
          <w:lang w:eastAsia="en-US"/>
        </w:rPr>
      </w:pPr>
      <w:r w:rsidRPr="0067116C">
        <w:rPr>
          <w:b/>
          <w:lang w:eastAsia="en-US"/>
        </w:rPr>
        <w:lastRenderedPageBreak/>
        <w:t xml:space="preserve">Table </w:t>
      </w:r>
      <w:proofErr w:type="gramStart"/>
      <w:r w:rsidRPr="0067116C">
        <w:rPr>
          <w:b/>
          <w:lang w:eastAsia="en-US"/>
        </w:rPr>
        <w:t xml:space="preserve">1  </w:t>
      </w:r>
      <w:r w:rsidRPr="0067116C">
        <w:rPr>
          <w:b/>
          <w:lang w:eastAsia="en-US"/>
        </w:rPr>
        <w:tab/>
      </w:r>
      <w:proofErr w:type="gramEnd"/>
      <w:r w:rsidRPr="0067116C">
        <w:rPr>
          <w:b/>
          <w:lang w:eastAsia="en-US"/>
        </w:rPr>
        <w:tab/>
      </w:r>
      <w:r w:rsidRPr="0067116C">
        <w:rPr>
          <w:b/>
          <w:lang w:eastAsia="en-US"/>
        </w:rPr>
        <w:tab/>
      </w:r>
      <w:r w:rsidRPr="0067116C">
        <w:rPr>
          <w:b/>
          <w:lang w:eastAsia="en-US"/>
        </w:rPr>
        <w:tab/>
        <w:t>Mergers and Acquisitions Sample</w:t>
      </w:r>
    </w:p>
    <w:p w:rsidR="00796DB2" w:rsidRPr="00EB6E3F" w:rsidRDefault="00796DB2" w:rsidP="00796DB2">
      <w:pPr>
        <w:jc w:val="both"/>
        <w:rPr>
          <w:lang w:eastAsia="en-US"/>
        </w:rPr>
      </w:pPr>
    </w:p>
    <w:bookmarkStart w:id="0" w:name="_MON_1463985991"/>
    <w:bookmarkEnd w:id="0"/>
    <w:p w:rsidR="00796DB2" w:rsidRPr="00EB6E3F" w:rsidRDefault="00796DB2" w:rsidP="00796DB2">
      <w:pPr>
        <w:spacing w:line="480" w:lineRule="auto"/>
        <w:ind w:left="-709"/>
        <w:jc w:val="both"/>
        <w:rPr>
          <w:bCs/>
          <w:lang w:eastAsia="en-US"/>
        </w:rPr>
      </w:pPr>
      <w:r w:rsidRPr="00EB6E3F">
        <w:rPr>
          <w:bCs/>
          <w:lang w:eastAsia="en-US"/>
        </w:rPr>
        <w:object w:dxaOrig="10335" w:dyaOrig="1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607.5pt" o:ole="">
            <v:imagedata r:id="rId7" o:title=""/>
          </v:shape>
          <o:OLEObject Type="Embed" ProgID="Excel.Sheet.12" ShapeID="_x0000_i1025" DrawAspect="Content" ObjectID="_1550471313" r:id="rId8"/>
        </w:object>
      </w:r>
    </w:p>
    <w:p w:rsidR="00796DB2" w:rsidRPr="00EB6E3F" w:rsidRDefault="00796DB2" w:rsidP="00796DB2">
      <w:pPr>
        <w:spacing w:line="480" w:lineRule="auto"/>
        <w:ind w:left="-540"/>
        <w:jc w:val="both"/>
        <w:rPr>
          <w:bCs/>
          <w:lang w:eastAsia="en-US"/>
        </w:rPr>
      </w:pPr>
    </w:p>
    <w:p w:rsidR="00796DB2" w:rsidRPr="00EB6E3F" w:rsidRDefault="00796DB2" w:rsidP="00796DB2">
      <w:pPr>
        <w:spacing w:line="480" w:lineRule="auto"/>
        <w:ind w:left="-540"/>
        <w:jc w:val="both"/>
        <w:rPr>
          <w:bCs/>
          <w:lang w:eastAsia="en-US"/>
        </w:rPr>
      </w:pPr>
    </w:p>
    <w:p w:rsidR="00796DB2" w:rsidRPr="00EB6E3F" w:rsidRDefault="00796DB2" w:rsidP="00796DB2">
      <w:pPr>
        <w:spacing w:line="480" w:lineRule="auto"/>
        <w:ind w:left="-540"/>
        <w:jc w:val="center"/>
        <w:rPr>
          <w:b/>
          <w:bCs/>
          <w:lang w:eastAsia="en-US"/>
        </w:rPr>
      </w:pPr>
      <w:r w:rsidRPr="00EB6E3F">
        <w:rPr>
          <w:b/>
          <w:bCs/>
          <w:lang w:eastAsia="en-US"/>
        </w:rPr>
        <w:lastRenderedPageBreak/>
        <w:t xml:space="preserve">Table </w:t>
      </w:r>
      <w:proofErr w:type="gramStart"/>
      <w:r w:rsidRPr="00EB6E3F">
        <w:rPr>
          <w:b/>
          <w:bCs/>
          <w:lang w:eastAsia="en-US"/>
        </w:rPr>
        <w:t>1  Continued</w:t>
      </w:r>
      <w:proofErr w:type="gramEnd"/>
    </w:p>
    <w:bookmarkStart w:id="1" w:name="_MON_1463986264"/>
    <w:bookmarkEnd w:id="1"/>
    <w:p w:rsidR="00796DB2" w:rsidRPr="00EB6E3F" w:rsidRDefault="00796DB2" w:rsidP="00796DB2">
      <w:pPr>
        <w:ind w:left="-709" w:right="-1333"/>
        <w:jc w:val="both"/>
        <w:rPr>
          <w:lang w:eastAsia="en-US"/>
        </w:rPr>
      </w:pPr>
      <w:r w:rsidRPr="00EB6E3F">
        <w:rPr>
          <w:bCs/>
          <w:lang w:eastAsia="en-US"/>
        </w:rPr>
        <w:object w:dxaOrig="10335" w:dyaOrig="6094">
          <v:shape id="_x0000_i1026" type="#_x0000_t75" style="width:516.75pt;height:303.75pt" o:ole="">
            <v:imagedata r:id="rId9" o:title=""/>
          </v:shape>
          <o:OLEObject Type="Embed" ProgID="Excel.Sheet.12" ShapeID="_x0000_i1026" DrawAspect="Content" ObjectID="_1550471314" r:id="rId10"/>
        </w:object>
      </w:r>
      <w:r w:rsidRPr="00EB6E3F">
        <w:rPr>
          <w:lang w:eastAsia="en-US"/>
        </w:rPr>
        <w:t xml:space="preserve"> </w:t>
      </w:r>
    </w:p>
    <w:p w:rsidR="00796DB2" w:rsidRPr="00EB6E3F" w:rsidRDefault="00796DB2" w:rsidP="00796DB2">
      <w:pPr>
        <w:ind w:left="-709" w:right="-613"/>
        <w:jc w:val="both"/>
        <w:rPr>
          <w:sz w:val="20"/>
          <w:szCs w:val="20"/>
          <w:lang w:eastAsia="en-US"/>
        </w:rPr>
      </w:pPr>
      <w:r>
        <w:rPr>
          <w:sz w:val="20"/>
          <w:szCs w:val="20"/>
          <w:lang w:eastAsia="en-US"/>
        </w:rPr>
        <w:t>This t</w:t>
      </w:r>
      <w:r w:rsidRPr="00EB6E3F">
        <w:rPr>
          <w:sz w:val="20"/>
          <w:szCs w:val="20"/>
          <w:lang w:eastAsia="en-US"/>
        </w:rPr>
        <w:t xml:space="preserve">able presents the revised sample of 61 merger and acquisitions analysed in this study and presents the announcement dates, conclusion dates, name of the acquirer, name of target and type of consideration. </w:t>
      </w:r>
    </w:p>
    <w:p w:rsidR="00796DB2" w:rsidRPr="00EB6E3F" w:rsidRDefault="00796DB2" w:rsidP="00796DB2">
      <w:pPr>
        <w:spacing w:line="480" w:lineRule="auto"/>
        <w:ind w:left="-709"/>
        <w:jc w:val="both"/>
        <w:rPr>
          <w:bCs/>
          <w:lang w:eastAsia="en-US"/>
        </w:rPr>
      </w:pPr>
    </w:p>
    <w:p w:rsidR="00792767" w:rsidRPr="00EB6E3F" w:rsidRDefault="00792767" w:rsidP="00B93AC4">
      <w:pPr>
        <w:spacing w:line="480" w:lineRule="auto"/>
        <w:jc w:val="both"/>
        <w:rPr>
          <w:bCs/>
          <w:lang w:eastAsia="en-US"/>
        </w:rPr>
      </w:pPr>
    </w:p>
    <w:p w:rsidR="00D034A6" w:rsidRDefault="00E66FEA" w:rsidP="007B141D">
      <w:pPr>
        <w:spacing w:line="480" w:lineRule="auto"/>
        <w:jc w:val="both"/>
        <w:rPr>
          <w:bCs/>
          <w:lang w:eastAsia="en-US"/>
        </w:rPr>
      </w:pPr>
      <w:r w:rsidRPr="00EB6E3F">
        <w:rPr>
          <w:bCs/>
          <w:lang w:eastAsia="en-US"/>
        </w:rPr>
        <w:t>Detailed information about each of these 61 transactions</w:t>
      </w:r>
      <w:r w:rsidR="00AA3DCD" w:rsidRPr="00EB6E3F">
        <w:rPr>
          <w:bCs/>
          <w:lang w:eastAsia="en-US"/>
        </w:rPr>
        <w:t xml:space="preserve"> </w:t>
      </w:r>
      <w:r w:rsidRPr="00EB6E3F">
        <w:rPr>
          <w:bCs/>
          <w:lang w:eastAsia="en-US"/>
        </w:rPr>
        <w:t xml:space="preserve">was </w:t>
      </w:r>
      <w:r w:rsidR="00AA3DCD" w:rsidRPr="00EB6E3F">
        <w:rPr>
          <w:bCs/>
          <w:lang w:eastAsia="en-US"/>
        </w:rPr>
        <w:t>collected from</w:t>
      </w:r>
      <w:r w:rsidR="00E20A6D" w:rsidRPr="00EB6E3F">
        <w:rPr>
          <w:bCs/>
          <w:lang w:eastAsia="en-US"/>
        </w:rPr>
        <w:t xml:space="preserve"> “Acquisitions Monthly”</w:t>
      </w:r>
      <w:r w:rsidR="00AA3DCD" w:rsidRPr="00EB6E3F">
        <w:rPr>
          <w:bCs/>
          <w:lang w:eastAsia="en-US"/>
        </w:rPr>
        <w:t xml:space="preserve">, a </w:t>
      </w:r>
      <w:r w:rsidR="00E20A6D" w:rsidRPr="00EB6E3F">
        <w:rPr>
          <w:bCs/>
          <w:lang w:eastAsia="en-US"/>
        </w:rPr>
        <w:t xml:space="preserve">worldwide publication, which records merger and acquisition activity in the </w:t>
      </w:r>
      <w:r w:rsidR="00AA3DCD" w:rsidRPr="00EB6E3F">
        <w:rPr>
          <w:bCs/>
          <w:lang w:eastAsia="en-US"/>
        </w:rPr>
        <w:t>Eurozone</w:t>
      </w:r>
      <w:r w:rsidR="00E20A6D" w:rsidRPr="00EB6E3F">
        <w:rPr>
          <w:bCs/>
          <w:lang w:eastAsia="en-US"/>
        </w:rPr>
        <w:t xml:space="preserve">. </w:t>
      </w:r>
      <w:r w:rsidR="00AA3DCD" w:rsidRPr="00EB6E3F">
        <w:rPr>
          <w:bCs/>
          <w:lang w:eastAsia="en-US"/>
        </w:rPr>
        <w:t xml:space="preserve"> </w:t>
      </w:r>
      <w:r w:rsidRPr="00EB6E3F">
        <w:rPr>
          <w:bCs/>
          <w:lang w:eastAsia="en-US"/>
        </w:rPr>
        <w:t xml:space="preserve">Bloomberg was used to supplement the data collection process.  </w:t>
      </w:r>
      <w:r w:rsidR="00AA3DCD" w:rsidRPr="00EB6E3F">
        <w:rPr>
          <w:bCs/>
          <w:lang w:eastAsia="en-US"/>
        </w:rPr>
        <w:t xml:space="preserve">For each merger the </w:t>
      </w:r>
      <w:r w:rsidR="00E20A6D" w:rsidRPr="00EB6E3F">
        <w:rPr>
          <w:bCs/>
          <w:lang w:eastAsia="en-US"/>
        </w:rPr>
        <w:t xml:space="preserve">target and </w:t>
      </w:r>
      <w:r w:rsidR="00772BC6" w:rsidRPr="00EB6E3F">
        <w:rPr>
          <w:bCs/>
          <w:lang w:eastAsia="en-US"/>
        </w:rPr>
        <w:t>acquirer</w:t>
      </w:r>
      <w:r w:rsidR="00E20A6D" w:rsidRPr="00EB6E3F">
        <w:rPr>
          <w:bCs/>
          <w:lang w:eastAsia="en-US"/>
        </w:rPr>
        <w:t xml:space="preserve">, the value of the merger, </w:t>
      </w:r>
      <w:r w:rsidR="00AA3DCD" w:rsidRPr="00EB6E3F">
        <w:rPr>
          <w:bCs/>
          <w:lang w:eastAsia="en-US"/>
        </w:rPr>
        <w:t>the payment methods, the</w:t>
      </w:r>
      <w:r w:rsidR="00E20A6D" w:rsidRPr="00EB6E3F">
        <w:rPr>
          <w:bCs/>
          <w:lang w:eastAsia="en-US"/>
        </w:rPr>
        <w:t xml:space="preserve"> </w:t>
      </w:r>
      <w:r w:rsidR="00D034A6" w:rsidRPr="00EB6E3F">
        <w:rPr>
          <w:bCs/>
          <w:lang w:eastAsia="en-US"/>
        </w:rPr>
        <w:t>announcement</w:t>
      </w:r>
      <w:r w:rsidR="00772BC6" w:rsidRPr="00EB6E3F">
        <w:rPr>
          <w:bCs/>
          <w:lang w:eastAsia="en-US"/>
        </w:rPr>
        <w:t xml:space="preserve"> date</w:t>
      </w:r>
      <w:r w:rsidR="00D034A6" w:rsidRPr="00EB6E3F">
        <w:rPr>
          <w:bCs/>
          <w:lang w:eastAsia="en-US"/>
        </w:rPr>
        <w:t xml:space="preserve">, revision </w:t>
      </w:r>
      <w:r w:rsidR="00772BC6" w:rsidRPr="00EB6E3F">
        <w:rPr>
          <w:bCs/>
          <w:lang w:eastAsia="en-US"/>
        </w:rPr>
        <w:t xml:space="preserve">date </w:t>
      </w:r>
      <w:r w:rsidR="00D034A6" w:rsidRPr="00EB6E3F">
        <w:rPr>
          <w:bCs/>
          <w:lang w:eastAsia="en-US"/>
        </w:rPr>
        <w:t>and conclusion date, as well as the details of failed transactions ar</w:t>
      </w:r>
      <w:r w:rsidR="00AA3DCD" w:rsidRPr="00EB6E3F">
        <w:rPr>
          <w:bCs/>
          <w:lang w:eastAsia="en-US"/>
        </w:rPr>
        <w:t>e collected</w:t>
      </w:r>
      <w:r w:rsidR="00E20A6D" w:rsidRPr="00EB6E3F">
        <w:rPr>
          <w:bCs/>
          <w:lang w:eastAsia="en-US"/>
        </w:rPr>
        <w:t xml:space="preserve">.  </w:t>
      </w:r>
      <w:r w:rsidR="00D034A6" w:rsidRPr="00EB6E3F">
        <w:rPr>
          <w:bCs/>
          <w:lang w:eastAsia="en-US"/>
        </w:rPr>
        <w:t>T</w:t>
      </w:r>
      <w:r w:rsidR="00E20A6D" w:rsidRPr="00EB6E3F">
        <w:rPr>
          <w:bCs/>
          <w:lang w:eastAsia="en-US"/>
        </w:rPr>
        <w:t xml:space="preserve">he announcement date </w:t>
      </w:r>
      <w:r w:rsidR="00D034A6" w:rsidRPr="00EB6E3F">
        <w:rPr>
          <w:bCs/>
          <w:lang w:eastAsia="en-US"/>
        </w:rPr>
        <w:t xml:space="preserve">of an offer </w:t>
      </w:r>
      <w:r w:rsidR="00E20A6D" w:rsidRPr="00EB6E3F">
        <w:rPr>
          <w:bCs/>
          <w:lang w:eastAsia="en-US"/>
        </w:rPr>
        <w:t xml:space="preserve">is defined as the date at which </w:t>
      </w:r>
      <w:r w:rsidR="00A16E1E">
        <w:rPr>
          <w:bCs/>
          <w:lang w:eastAsia="en-US"/>
        </w:rPr>
        <w:t>the formal offer is made public</w:t>
      </w:r>
      <w:r w:rsidR="00E20A6D" w:rsidRPr="00EB6E3F">
        <w:rPr>
          <w:bCs/>
          <w:lang w:eastAsia="en-US"/>
        </w:rPr>
        <w:t xml:space="preserve">. </w:t>
      </w:r>
      <w:r w:rsidR="00AA3DCD" w:rsidRPr="00EB6E3F">
        <w:rPr>
          <w:bCs/>
          <w:lang w:eastAsia="en-US"/>
        </w:rPr>
        <w:t xml:space="preserve"> Although it is well documented </w:t>
      </w:r>
      <w:r w:rsidR="00D034A6" w:rsidRPr="00EB6E3F">
        <w:rPr>
          <w:bCs/>
          <w:lang w:eastAsia="en-US"/>
        </w:rPr>
        <w:t>in</w:t>
      </w:r>
      <w:r w:rsidR="00AA3DCD" w:rsidRPr="00EB6E3F">
        <w:rPr>
          <w:bCs/>
          <w:lang w:eastAsia="en-US"/>
        </w:rPr>
        <w:t xml:space="preserve"> the research that</w:t>
      </w:r>
      <w:r w:rsidR="00E20A6D" w:rsidRPr="00EB6E3F">
        <w:rPr>
          <w:bCs/>
          <w:lang w:eastAsia="en-US"/>
        </w:rPr>
        <w:t xml:space="preserve"> pre-announcement discussions and </w:t>
      </w:r>
      <w:r w:rsidR="004E7D8C" w:rsidRPr="00EB6E3F">
        <w:rPr>
          <w:bCs/>
          <w:lang w:eastAsia="en-US"/>
        </w:rPr>
        <w:t>rumours</w:t>
      </w:r>
      <w:r w:rsidR="00AA3DCD" w:rsidRPr="00EB6E3F">
        <w:rPr>
          <w:bCs/>
          <w:lang w:eastAsia="en-US"/>
        </w:rPr>
        <w:t xml:space="preserve"> of same can</w:t>
      </w:r>
      <w:r w:rsidR="00E20A6D" w:rsidRPr="00EB6E3F">
        <w:rPr>
          <w:bCs/>
          <w:lang w:eastAsia="en-US"/>
        </w:rPr>
        <w:t xml:space="preserve"> cause considerable share price movements</w:t>
      </w:r>
      <w:r w:rsidR="00AA3DCD" w:rsidRPr="00EB6E3F">
        <w:rPr>
          <w:bCs/>
          <w:lang w:eastAsia="en-US"/>
        </w:rPr>
        <w:t>, for practical purposes this research uses</w:t>
      </w:r>
      <w:r w:rsidR="00E20A6D" w:rsidRPr="00EB6E3F">
        <w:rPr>
          <w:bCs/>
          <w:lang w:eastAsia="en-US"/>
        </w:rPr>
        <w:t xml:space="preserve"> the actual offer date </w:t>
      </w:r>
      <w:r w:rsidR="00AA3DCD" w:rsidRPr="00EB6E3F">
        <w:rPr>
          <w:bCs/>
          <w:lang w:eastAsia="en-US"/>
        </w:rPr>
        <w:t>to</w:t>
      </w:r>
      <w:r w:rsidR="00E20A6D" w:rsidRPr="00EB6E3F">
        <w:rPr>
          <w:bCs/>
          <w:lang w:eastAsia="en-US"/>
        </w:rPr>
        <w:t xml:space="preserve"> determine the starting point of the transaction.  The </w:t>
      </w:r>
      <w:r w:rsidR="00AA3DCD" w:rsidRPr="00EB6E3F">
        <w:rPr>
          <w:bCs/>
          <w:lang w:eastAsia="en-US"/>
        </w:rPr>
        <w:t xml:space="preserve">determination of the </w:t>
      </w:r>
      <w:r w:rsidR="00E20A6D" w:rsidRPr="00EB6E3F">
        <w:rPr>
          <w:bCs/>
          <w:lang w:eastAsia="en-US"/>
        </w:rPr>
        <w:t xml:space="preserve">conclusion </w:t>
      </w:r>
      <w:r w:rsidR="00AA3DCD" w:rsidRPr="00EB6E3F">
        <w:rPr>
          <w:bCs/>
          <w:lang w:eastAsia="en-US"/>
        </w:rPr>
        <w:t>date</w:t>
      </w:r>
      <w:r w:rsidR="00E20A6D" w:rsidRPr="00EB6E3F">
        <w:rPr>
          <w:bCs/>
          <w:lang w:eastAsia="en-US"/>
        </w:rPr>
        <w:t xml:space="preserve"> depend</w:t>
      </w:r>
      <w:r w:rsidR="00AA3DCD" w:rsidRPr="00EB6E3F">
        <w:rPr>
          <w:bCs/>
          <w:lang w:eastAsia="en-US"/>
        </w:rPr>
        <w:t>s</w:t>
      </w:r>
      <w:r w:rsidR="00E20A6D" w:rsidRPr="00EB6E3F">
        <w:rPr>
          <w:bCs/>
          <w:lang w:eastAsia="en-US"/>
        </w:rPr>
        <w:t xml:space="preserve"> on whether the transaction was successful or unsuccessful. </w:t>
      </w:r>
      <w:r w:rsidR="00AA3DCD" w:rsidRPr="00EB6E3F">
        <w:rPr>
          <w:bCs/>
          <w:lang w:eastAsia="en-US"/>
        </w:rPr>
        <w:t xml:space="preserve"> </w:t>
      </w:r>
      <w:r w:rsidR="00E20A6D" w:rsidRPr="00EB6E3F">
        <w:rPr>
          <w:bCs/>
          <w:lang w:eastAsia="en-US"/>
        </w:rPr>
        <w:t xml:space="preserve">For </w:t>
      </w:r>
      <w:r w:rsidR="00E20A6D" w:rsidRPr="00EB6E3F">
        <w:rPr>
          <w:bCs/>
          <w:lang w:eastAsia="en-US"/>
        </w:rPr>
        <w:lastRenderedPageBreak/>
        <w:t>successful bids the conclusion date is the date when successful bids are determined wholly unconditional</w:t>
      </w:r>
      <w:r w:rsidR="00AA3DCD" w:rsidRPr="00EB6E3F">
        <w:rPr>
          <w:bCs/>
          <w:lang w:eastAsia="en-US"/>
        </w:rPr>
        <w:t>; f</w:t>
      </w:r>
      <w:r w:rsidR="00E20A6D" w:rsidRPr="00EB6E3F">
        <w:rPr>
          <w:bCs/>
          <w:lang w:eastAsia="en-US"/>
        </w:rPr>
        <w:t>or unsuccessful bids the conclusion date is defined as the date when a public announcement is made concerning the failure of the transa</w:t>
      </w:r>
      <w:r w:rsidR="00AA3DCD" w:rsidRPr="00EB6E3F">
        <w:rPr>
          <w:bCs/>
          <w:lang w:eastAsia="en-US"/>
        </w:rPr>
        <w:t xml:space="preserve">ction.  </w:t>
      </w:r>
    </w:p>
    <w:p w:rsidR="00A16E1E" w:rsidRPr="00EB6E3F" w:rsidRDefault="00A16E1E" w:rsidP="007B141D">
      <w:pPr>
        <w:spacing w:line="480" w:lineRule="auto"/>
        <w:jc w:val="both"/>
        <w:rPr>
          <w:bCs/>
          <w:lang w:eastAsia="en-US"/>
        </w:rPr>
      </w:pPr>
    </w:p>
    <w:p w:rsidR="002C0D56" w:rsidRPr="00EB6E3F" w:rsidRDefault="002C0D56" w:rsidP="007B141D">
      <w:pPr>
        <w:spacing w:line="480" w:lineRule="auto"/>
        <w:jc w:val="both"/>
        <w:rPr>
          <w:lang w:eastAsia="en-US"/>
        </w:rPr>
      </w:pPr>
      <w:r w:rsidRPr="00EB6E3F">
        <w:rPr>
          <w:bCs/>
          <w:lang w:eastAsia="en-US"/>
        </w:rPr>
        <w:t xml:space="preserve">All returns are calculated for all </w:t>
      </w:r>
      <w:r w:rsidR="00241D4B" w:rsidRPr="00EB6E3F">
        <w:rPr>
          <w:bCs/>
          <w:lang w:eastAsia="en-US"/>
        </w:rPr>
        <w:t>transaction</w:t>
      </w:r>
      <w:r w:rsidRPr="00EB6E3F">
        <w:rPr>
          <w:bCs/>
          <w:lang w:eastAsia="en-US"/>
        </w:rPr>
        <w:t xml:space="preserve">s while active from the date that they were publicly announced until one-week </w:t>
      </w:r>
      <w:r w:rsidR="00772BC6" w:rsidRPr="00EB6E3F">
        <w:rPr>
          <w:bCs/>
          <w:lang w:eastAsia="en-US"/>
        </w:rPr>
        <w:t>after the</w:t>
      </w:r>
      <w:r w:rsidRPr="00EB6E3F">
        <w:rPr>
          <w:bCs/>
          <w:lang w:eastAsia="en-US"/>
        </w:rPr>
        <w:t xml:space="preserve"> conclusion of the merger to allow the market </w:t>
      </w:r>
      <w:r w:rsidR="00241D4B" w:rsidRPr="00EB6E3F">
        <w:rPr>
          <w:bCs/>
          <w:lang w:eastAsia="en-US"/>
        </w:rPr>
        <w:t>sufficient</w:t>
      </w:r>
      <w:r w:rsidR="00772BC6" w:rsidRPr="00EB6E3F">
        <w:rPr>
          <w:bCs/>
          <w:lang w:eastAsia="en-US"/>
        </w:rPr>
        <w:t xml:space="preserve"> </w:t>
      </w:r>
      <w:r w:rsidRPr="00EB6E3F">
        <w:rPr>
          <w:bCs/>
          <w:lang w:eastAsia="en-US"/>
        </w:rPr>
        <w:t xml:space="preserve">time to fully digest the impact of the transaction on </w:t>
      </w:r>
      <w:r w:rsidR="00772BC6" w:rsidRPr="00EB6E3F">
        <w:rPr>
          <w:bCs/>
          <w:lang w:eastAsia="en-US"/>
        </w:rPr>
        <w:t>the companies involved</w:t>
      </w:r>
      <w:r w:rsidRPr="00EB6E3F">
        <w:rPr>
          <w:bCs/>
          <w:lang w:eastAsia="en-US"/>
        </w:rPr>
        <w:t xml:space="preserve">.  </w:t>
      </w:r>
      <w:r w:rsidR="00881FCE" w:rsidRPr="00EB6E3F">
        <w:rPr>
          <w:bCs/>
          <w:lang w:eastAsia="en-US"/>
        </w:rPr>
        <w:t xml:space="preserve">Information about </w:t>
      </w:r>
      <w:r w:rsidR="00772BC6" w:rsidRPr="00EB6E3F">
        <w:rPr>
          <w:bCs/>
          <w:lang w:eastAsia="en-US"/>
        </w:rPr>
        <w:t>s</w:t>
      </w:r>
      <w:r w:rsidR="00881FCE" w:rsidRPr="00EB6E3F">
        <w:rPr>
          <w:bCs/>
          <w:lang w:eastAsia="en-US"/>
        </w:rPr>
        <w:t xml:space="preserve">hare prices, dividends, the risk free rate of return, the market rate of return, and the return inputs for the </w:t>
      </w:r>
      <w:proofErr w:type="spellStart"/>
      <w:r w:rsidR="00881FCE" w:rsidRPr="00EB6E3F">
        <w:rPr>
          <w:bCs/>
          <w:lang w:eastAsia="en-US"/>
        </w:rPr>
        <w:t>Fama</w:t>
      </w:r>
      <w:proofErr w:type="spellEnd"/>
      <w:r w:rsidR="00881FCE" w:rsidRPr="00EB6E3F">
        <w:rPr>
          <w:bCs/>
          <w:lang w:eastAsia="en-US"/>
        </w:rPr>
        <w:t xml:space="preserve"> </w:t>
      </w:r>
      <w:r w:rsidR="00772BC6" w:rsidRPr="00EB6E3F">
        <w:rPr>
          <w:bCs/>
          <w:lang w:eastAsia="en-US"/>
        </w:rPr>
        <w:t>and</w:t>
      </w:r>
      <w:r w:rsidR="00881FCE" w:rsidRPr="00EB6E3F">
        <w:rPr>
          <w:bCs/>
          <w:lang w:eastAsia="en-US"/>
        </w:rPr>
        <w:t xml:space="preserve"> French three factor model used in this study </w:t>
      </w:r>
      <w:r w:rsidR="00241D4B" w:rsidRPr="00EB6E3F">
        <w:rPr>
          <w:bCs/>
          <w:lang w:eastAsia="en-US"/>
        </w:rPr>
        <w:t>are</w:t>
      </w:r>
      <w:r w:rsidR="00881FCE" w:rsidRPr="00EB6E3F">
        <w:rPr>
          <w:bCs/>
          <w:lang w:eastAsia="en-US"/>
        </w:rPr>
        <w:t xml:space="preserve"> collected from DATASTREAM.  </w:t>
      </w:r>
      <w:r w:rsidR="00E20A6D" w:rsidRPr="00EB6E3F">
        <w:rPr>
          <w:bCs/>
          <w:lang w:eastAsia="en-US"/>
        </w:rPr>
        <w:t xml:space="preserve">The risk free rate of return </w:t>
      </w:r>
      <w:r w:rsidR="00881FCE" w:rsidRPr="00EB6E3F">
        <w:rPr>
          <w:bCs/>
          <w:lang w:eastAsia="en-US"/>
        </w:rPr>
        <w:t xml:space="preserve">used is </w:t>
      </w:r>
      <w:r w:rsidR="00772BC6" w:rsidRPr="00EB6E3F">
        <w:rPr>
          <w:bCs/>
          <w:lang w:eastAsia="en-US"/>
        </w:rPr>
        <w:t>the 1-</w:t>
      </w:r>
      <w:r w:rsidR="00E20A6D" w:rsidRPr="00EB6E3F">
        <w:rPr>
          <w:bCs/>
          <w:lang w:eastAsia="en-US"/>
        </w:rPr>
        <w:t xml:space="preserve">month German euro mark middle rate </w:t>
      </w:r>
      <w:r w:rsidR="00772BC6" w:rsidRPr="00EB6E3F">
        <w:rPr>
          <w:bCs/>
          <w:lang w:eastAsia="en-US"/>
        </w:rPr>
        <w:t>and</w:t>
      </w:r>
      <w:r w:rsidR="00E20A6D" w:rsidRPr="00EB6E3F">
        <w:rPr>
          <w:bCs/>
          <w:lang w:eastAsia="en-US"/>
        </w:rPr>
        <w:t xml:space="preserve"> the Morgan Stanley Capital International </w:t>
      </w:r>
      <w:r w:rsidR="00A16E1E">
        <w:rPr>
          <w:bCs/>
          <w:lang w:eastAsia="en-US"/>
        </w:rPr>
        <w:t xml:space="preserve">(MSCI) </w:t>
      </w:r>
      <w:r w:rsidR="00E20A6D" w:rsidRPr="00EB6E3F">
        <w:rPr>
          <w:bCs/>
          <w:lang w:eastAsia="en-US"/>
        </w:rPr>
        <w:t xml:space="preserve">price index Germany </w:t>
      </w:r>
      <w:r w:rsidR="00881FCE" w:rsidRPr="00EB6E3F">
        <w:rPr>
          <w:bCs/>
          <w:lang w:eastAsia="en-US"/>
        </w:rPr>
        <w:t xml:space="preserve">is used to </w:t>
      </w:r>
      <w:r w:rsidR="00E20A6D" w:rsidRPr="00EB6E3F">
        <w:rPr>
          <w:bCs/>
          <w:lang w:eastAsia="en-US"/>
        </w:rPr>
        <w:t xml:space="preserve">represent the market rate of return. </w:t>
      </w:r>
      <w:r w:rsidR="00881FCE" w:rsidRPr="00EB6E3F">
        <w:rPr>
          <w:bCs/>
          <w:lang w:eastAsia="en-US"/>
        </w:rPr>
        <w:t xml:space="preserve"> </w:t>
      </w:r>
      <w:r w:rsidR="00E20A6D" w:rsidRPr="00EB6E3F">
        <w:rPr>
          <w:bCs/>
          <w:lang w:eastAsia="en-US"/>
        </w:rPr>
        <w:t xml:space="preserve">The other two components of the </w:t>
      </w:r>
      <w:proofErr w:type="spellStart"/>
      <w:r w:rsidR="00E20A6D" w:rsidRPr="00EB6E3F">
        <w:rPr>
          <w:bCs/>
          <w:lang w:eastAsia="en-US"/>
        </w:rPr>
        <w:t>Fama</w:t>
      </w:r>
      <w:proofErr w:type="spellEnd"/>
      <w:r w:rsidR="00E20A6D" w:rsidRPr="00EB6E3F">
        <w:rPr>
          <w:bCs/>
          <w:lang w:eastAsia="en-US"/>
        </w:rPr>
        <w:t xml:space="preserve"> </w:t>
      </w:r>
      <w:r w:rsidR="00772BC6" w:rsidRPr="00EB6E3F">
        <w:rPr>
          <w:bCs/>
          <w:lang w:eastAsia="en-US"/>
        </w:rPr>
        <w:t>and</w:t>
      </w:r>
      <w:r w:rsidR="00E20A6D" w:rsidRPr="00EB6E3F">
        <w:rPr>
          <w:bCs/>
          <w:lang w:eastAsia="en-US"/>
        </w:rPr>
        <w:t xml:space="preserve"> French three-factor model are the </w:t>
      </w:r>
      <w:r w:rsidRPr="00EB6E3F">
        <w:rPr>
          <w:bCs/>
          <w:lang w:eastAsia="en-US"/>
        </w:rPr>
        <w:t xml:space="preserve">HML (value stocks minus growth stocks) and the </w:t>
      </w:r>
      <w:r w:rsidR="00E20A6D" w:rsidRPr="00EB6E3F">
        <w:rPr>
          <w:bCs/>
          <w:lang w:eastAsia="en-US"/>
        </w:rPr>
        <w:t>SMB (small cap</w:t>
      </w:r>
      <w:r w:rsidRPr="00EB6E3F">
        <w:rPr>
          <w:bCs/>
          <w:lang w:eastAsia="en-US"/>
        </w:rPr>
        <w:t>.</w:t>
      </w:r>
      <w:r w:rsidR="00E20A6D" w:rsidRPr="00EB6E3F">
        <w:rPr>
          <w:bCs/>
          <w:lang w:eastAsia="en-US"/>
        </w:rPr>
        <w:t xml:space="preserve"> stock minus large cap</w:t>
      </w:r>
      <w:r w:rsidRPr="00EB6E3F">
        <w:rPr>
          <w:bCs/>
          <w:lang w:eastAsia="en-US"/>
        </w:rPr>
        <w:t>.</w:t>
      </w:r>
      <w:r w:rsidR="00E20A6D" w:rsidRPr="00EB6E3F">
        <w:rPr>
          <w:bCs/>
          <w:lang w:eastAsia="en-US"/>
        </w:rPr>
        <w:t xml:space="preserve"> stocks). </w:t>
      </w:r>
      <w:r w:rsidRPr="00EB6E3F">
        <w:rPr>
          <w:bCs/>
          <w:lang w:eastAsia="en-US"/>
        </w:rPr>
        <w:t xml:space="preserve"> The HML factor was obtained by using the FTSE Germany value stocks index and the FTSE Germany growth stocks index.  </w:t>
      </w:r>
      <w:r w:rsidR="00E20A6D" w:rsidRPr="00EB6E3F">
        <w:rPr>
          <w:bCs/>
          <w:lang w:eastAsia="en-US"/>
        </w:rPr>
        <w:t xml:space="preserve">The SMB factor </w:t>
      </w:r>
      <w:r w:rsidRPr="00EB6E3F">
        <w:rPr>
          <w:bCs/>
          <w:lang w:eastAsia="en-US"/>
        </w:rPr>
        <w:t>is, due to the lack of available small and large indices from the same vendor,</w:t>
      </w:r>
      <w:r w:rsidR="00E20A6D" w:rsidRPr="00EB6E3F">
        <w:rPr>
          <w:bCs/>
          <w:lang w:eastAsia="en-US"/>
        </w:rPr>
        <w:t xml:space="preserve"> obtained by using the </w:t>
      </w:r>
      <w:r w:rsidR="00A16E1E">
        <w:rPr>
          <w:bCs/>
          <w:lang w:eastAsia="en-US"/>
        </w:rPr>
        <w:t>FTSE</w:t>
      </w:r>
      <w:r w:rsidR="00E20A6D" w:rsidRPr="00EB6E3F">
        <w:rPr>
          <w:bCs/>
          <w:lang w:eastAsia="en-US"/>
        </w:rPr>
        <w:t xml:space="preserve"> International small cap index Germany and the FTSE Germany large cap index. </w:t>
      </w:r>
      <w:r w:rsidRPr="00EB6E3F">
        <w:rPr>
          <w:bCs/>
          <w:lang w:eastAsia="en-US"/>
        </w:rPr>
        <w:t xml:space="preserve"> </w:t>
      </w:r>
      <w:r w:rsidRPr="00EB6E3F">
        <w:rPr>
          <w:lang w:eastAsia="en-US"/>
        </w:rPr>
        <w:t xml:space="preserve">Capital which is idle during the period of investment is assumed to earn the risk free rate of return. </w:t>
      </w:r>
    </w:p>
    <w:p w:rsidR="00241D4B" w:rsidRPr="00EB6E3F" w:rsidRDefault="00241D4B" w:rsidP="007B141D">
      <w:pPr>
        <w:spacing w:line="480" w:lineRule="auto"/>
        <w:jc w:val="both"/>
        <w:rPr>
          <w:b/>
          <w:lang w:eastAsia="en-US"/>
        </w:rPr>
      </w:pPr>
    </w:p>
    <w:p w:rsidR="00782103" w:rsidRPr="00EB6E3F" w:rsidRDefault="004F5224" w:rsidP="00147003">
      <w:pPr>
        <w:spacing w:line="480" w:lineRule="auto"/>
        <w:ind w:left="567" w:hanging="567"/>
        <w:jc w:val="both"/>
        <w:rPr>
          <w:b/>
          <w:lang w:eastAsia="en-US"/>
        </w:rPr>
      </w:pPr>
      <w:r>
        <w:rPr>
          <w:b/>
          <w:lang w:eastAsia="en-US"/>
        </w:rPr>
        <w:t>3</w:t>
      </w:r>
      <w:r w:rsidR="00147003">
        <w:rPr>
          <w:b/>
          <w:lang w:eastAsia="en-US"/>
        </w:rPr>
        <w:t>.1</w:t>
      </w:r>
      <w:r w:rsidR="00147003">
        <w:rPr>
          <w:b/>
          <w:lang w:eastAsia="en-US"/>
        </w:rPr>
        <w:tab/>
      </w:r>
      <w:r w:rsidR="00782103" w:rsidRPr="00EB6E3F">
        <w:rPr>
          <w:b/>
          <w:lang w:eastAsia="en-US"/>
        </w:rPr>
        <w:t>Calculating Returns</w:t>
      </w:r>
    </w:p>
    <w:p w:rsidR="00E20A6D" w:rsidRPr="00EB6E3F" w:rsidRDefault="00A11E5C" w:rsidP="007B141D">
      <w:pPr>
        <w:spacing w:line="480" w:lineRule="auto"/>
        <w:jc w:val="both"/>
        <w:rPr>
          <w:lang w:eastAsia="en-US"/>
        </w:rPr>
      </w:pPr>
      <w:r w:rsidRPr="00EB6E3F">
        <w:rPr>
          <w:lang w:eastAsia="en-US"/>
        </w:rPr>
        <w:t xml:space="preserve">There are two sources of return from merger arbitrage. The </w:t>
      </w:r>
      <w:r w:rsidR="002B218F" w:rsidRPr="00EB6E3F">
        <w:rPr>
          <w:lang w:eastAsia="en-US"/>
        </w:rPr>
        <w:t>main</w:t>
      </w:r>
      <w:r w:rsidRPr="00EB6E3F">
        <w:rPr>
          <w:lang w:eastAsia="en-US"/>
        </w:rPr>
        <w:t xml:space="preserve"> source of return is the spread, i.e. the difference between the price at which the arbitrageur purchases the targets stock and the price offered by the acquiring company. </w:t>
      </w:r>
      <w:r w:rsidR="00772BC6" w:rsidRPr="00EB6E3F">
        <w:rPr>
          <w:lang w:eastAsia="en-US"/>
        </w:rPr>
        <w:t xml:space="preserve"> </w:t>
      </w:r>
      <w:r w:rsidR="002B218F" w:rsidRPr="00EB6E3F">
        <w:rPr>
          <w:lang w:eastAsia="en-US"/>
        </w:rPr>
        <w:t>The other</w:t>
      </w:r>
      <w:r w:rsidR="00E20A6D" w:rsidRPr="00EB6E3F">
        <w:rPr>
          <w:lang w:eastAsia="en-US"/>
        </w:rPr>
        <w:t xml:space="preserve"> source of returns comes in the form of </w:t>
      </w:r>
      <w:r w:rsidRPr="00EB6E3F">
        <w:rPr>
          <w:lang w:eastAsia="en-US"/>
        </w:rPr>
        <w:t xml:space="preserve">any </w:t>
      </w:r>
      <w:r w:rsidR="00E20A6D" w:rsidRPr="00EB6E3F">
        <w:rPr>
          <w:lang w:eastAsia="en-US"/>
        </w:rPr>
        <w:t>dividends received from the long position held in the target company’s stock</w:t>
      </w:r>
      <w:r w:rsidRPr="00EB6E3F">
        <w:rPr>
          <w:lang w:eastAsia="en-US"/>
        </w:rPr>
        <w:t xml:space="preserve"> which can, </w:t>
      </w:r>
      <w:r w:rsidRPr="00EB6E3F">
        <w:rPr>
          <w:lang w:eastAsia="en-US"/>
        </w:rPr>
        <w:lastRenderedPageBreak/>
        <w:t>in certain circumstances</w:t>
      </w:r>
      <w:r w:rsidR="00772BC6" w:rsidRPr="00EB6E3F">
        <w:rPr>
          <w:lang w:eastAsia="en-US"/>
        </w:rPr>
        <w:t>,</w:t>
      </w:r>
      <w:r w:rsidRPr="00EB6E3F">
        <w:rPr>
          <w:lang w:eastAsia="en-US"/>
        </w:rPr>
        <w:t xml:space="preserve"> have a significant impact on the overall calculation of returns</w:t>
      </w:r>
      <w:r w:rsidR="00E20A6D" w:rsidRPr="00EB6E3F">
        <w:rPr>
          <w:lang w:eastAsia="en-US"/>
        </w:rPr>
        <w:t>.</w:t>
      </w:r>
      <w:r w:rsidRPr="00EB6E3F">
        <w:rPr>
          <w:lang w:eastAsia="en-US"/>
        </w:rPr>
        <w:t xml:space="preserve"> The</w:t>
      </w:r>
      <w:r w:rsidR="00E20A6D" w:rsidRPr="00EB6E3F">
        <w:rPr>
          <w:lang w:eastAsia="en-US"/>
        </w:rPr>
        <w:t xml:space="preserve"> formula used </w:t>
      </w:r>
      <w:r w:rsidRPr="00EB6E3F">
        <w:rPr>
          <w:lang w:eastAsia="en-US"/>
        </w:rPr>
        <w:t>to</w:t>
      </w:r>
      <w:r w:rsidR="00E20A6D" w:rsidRPr="00EB6E3F">
        <w:rPr>
          <w:lang w:eastAsia="en-US"/>
        </w:rPr>
        <w:t xml:space="preserve"> comput</w:t>
      </w:r>
      <w:r w:rsidRPr="00EB6E3F">
        <w:rPr>
          <w:lang w:eastAsia="en-US"/>
        </w:rPr>
        <w:t>e</w:t>
      </w:r>
      <w:r w:rsidR="00E20A6D" w:rsidRPr="00EB6E3F">
        <w:rPr>
          <w:lang w:eastAsia="en-US"/>
        </w:rPr>
        <w:t xml:space="preserve"> the daily returns for individual</w:t>
      </w:r>
      <w:r w:rsidRPr="00EB6E3F">
        <w:rPr>
          <w:lang w:eastAsia="en-US"/>
        </w:rPr>
        <w:t xml:space="preserve"> deals is</w:t>
      </w:r>
      <w:r w:rsidR="00E20A6D" w:rsidRPr="00EB6E3F">
        <w:rPr>
          <w:lang w:eastAsia="en-US"/>
        </w:rPr>
        <w:t>:</w:t>
      </w:r>
    </w:p>
    <w:p w:rsidR="00843E32" w:rsidRPr="00EB6E3F" w:rsidRDefault="00843E32" w:rsidP="007B141D">
      <w:pPr>
        <w:spacing w:line="480" w:lineRule="auto"/>
        <w:jc w:val="both"/>
        <w:rPr>
          <w:lang w:eastAsia="en-US"/>
        </w:rPr>
      </w:pPr>
    </w:p>
    <w:p w:rsidR="00843E32" w:rsidRPr="00EB6E3F" w:rsidRDefault="005F05FC" w:rsidP="007B141D">
      <w:pPr>
        <w:spacing w:line="480" w:lineRule="auto"/>
        <w:jc w:val="both"/>
        <w:rPr>
          <w:lang w:eastAsia="en-US"/>
        </w:rPr>
      </w:pPr>
      <m:oMathPara>
        <m:oMath>
          <m:sSub>
            <m:sSubPr>
              <m:ctrlPr>
                <w:rPr>
                  <w:rFonts w:ascii="Cambria Math" w:hAnsi="Cambria Math" w:cs="Cambria Math"/>
                  <w:lang w:eastAsia="en-US"/>
                </w:rPr>
              </m:ctrlPr>
            </m:sSubPr>
            <m:e>
              <m:r>
                <w:rPr>
                  <w:rFonts w:ascii="Cambria Math" w:hAnsi="Cambria Math" w:cs="Cambria Math"/>
                  <w:lang w:eastAsia="en-US"/>
                </w:rPr>
                <m:t>R</m:t>
              </m:r>
            </m:e>
            <m:sub>
              <m:r>
                <w:rPr>
                  <w:rFonts w:ascii="Cambria Math" w:hAnsi="Cambria Math" w:cs="Cambria Math"/>
                  <w:lang w:eastAsia="en-US"/>
                </w:rPr>
                <m:t>it</m:t>
              </m:r>
            </m:sub>
          </m:sSub>
          <m:r>
            <m:rPr>
              <m:sty m:val="p"/>
            </m:rPr>
            <w:rPr>
              <w:rFonts w:ascii="Cambria Math" w:hAnsi="Cambria Math" w:cs="Cambria Math"/>
              <w:lang w:eastAsia="en-US"/>
            </w:rPr>
            <m:t>=</m:t>
          </m:r>
          <m:f>
            <m:fPr>
              <m:ctrlPr>
                <w:rPr>
                  <w:rFonts w:ascii="Cambria Math" w:hAnsi="Cambria Math"/>
                  <w:lang w:eastAsia="en-US"/>
                </w:rPr>
              </m:ctrlPr>
            </m:fPr>
            <m:num>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m:t>
                  </m:r>
                </m:sub>
                <m:sup>
                  <m:r>
                    <w:rPr>
                      <w:rFonts w:ascii="Cambria Math" w:hAnsi="Cambria Math" w:cs="Cambria Math"/>
                      <w:lang w:eastAsia="en-US"/>
                    </w:rPr>
                    <m:t>T</m:t>
                  </m:r>
                </m:sup>
              </m:sSubSup>
              <m:r>
                <w:rPr>
                  <w:rFonts w:ascii="Cambria Math" w:hAnsi="Cambria Math" w:cs="Cambria Math"/>
                  <w:lang w:eastAsia="en-US"/>
                </w:rPr>
                <m:t xml:space="preserve">+ </m:t>
              </m:r>
              <m:sSubSup>
                <m:sSubSupPr>
                  <m:ctrlPr>
                    <w:rPr>
                      <w:rFonts w:ascii="Cambria Math" w:hAnsi="Cambria Math" w:cs="Cambria Math"/>
                      <w:lang w:eastAsia="en-US"/>
                    </w:rPr>
                  </m:ctrlPr>
                </m:sSubSupPr>
                <m:e>
                  <m:r>
                    <w:rPr>
                      <w:rFonts w:ascii="Cambria Math" w:hAnsi="Cambria Math" w:cs="Cambria Math"/>
                      <w:lang w:eastAsia="en-US"/>
                    </w:rPr>
                    <m:t>D</m:t>
                  </m:r>
                </m:e>
                <m:sub>
                  <m:r>
                    <w:rPr>
                      <w:rFonts w:ascii="Cambria Math" w:hAnsi="Cambria Math" w:cs="Cambria Math"/>
                      <w:lang w:eastAsia="en-US"/>
                    </w:rPr>
                    <m:t>it</m:t>
                  </m:r>
                </m:sub>
                <m:sup>
                  <m:r>
                    <w:rPr>
                      <w:rFonts w:ascii="Cambria Math" w:hAnsi="Cambria Math" w:cs="Cambria Math"/>
                      <w:lang w:eastAsia="en-US"/>
                    </w:rPr>
                    <m:t>T</m:t>
                  </m:r>
                </m:sup>
              </m:sSubSup>
              <m:r>
                <w:rPr>
                  <w:rFonts w:ascii="Cambria Math" w:hAnsi="Cambria Math" w:cs="Cambria Math"/>
                  <w:lang w:eastAsia="en-US"/>
                </w:rPr>
                <m:t xml:space="preserve">- </m:t>
              </m:r>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it-1</m:t>
                  </m:r>
                </m:sub>
                <m:sup>
                  <m:r>
                    <w:rPr>
                      <w:rFonts w:ascii="Cambria Math" w:hAnsi="Cambria Math" w:cs="Cambria Math"/>
                      <w:lang w:eastAsia="en-US"/>
                    </w:rPr>
                    <m:t>T</m:t>
                  </m:r>
                </m:sup>
              </m:sSubSup>
            </m:num>
            <m:den>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it-1</m:t>
                  </m:r>
                </m:sub>
                <m:sup>
                  <m:r>
                    <w:rPr>
                      <w:rFonts w:ascii="Cambria Math" w:hAnsi="Cambria Math" w:cs="Cambria Math"/>
                      <w:lang w:eastAsia="en-US"/>
                    </w:rPr>
                    <m:t>T</m:t>
                  </m:r>
                </m:sup>
              </m:sSubSup>
            </m:den>
          </m:f>
        </m:oMath>
      </m:oMathPara>
    </w:p>
    <w:p w:rsidR="00E20A6D" w:rsidRPr="00EB6E3F" w:rsidRDefault="00843E32" w:rsidP="007B141D">
      <w:pPr>
        <w:spacing w:line="480" w:lineRule="auto"/>
        <w:jc w:val="both"/>
        <w:rPr>
          <w:lang w:eastAsia="en-US"/>
        </w:rPr>
      </w:pP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t>(1)</w:t>
      </w:r>
    </w:p>
    <w:p w:rsidR="00E20A6D" w:rsidRPr="00EB6E3F" w:rsidRDefault="00E20A6D" w:rsidP="007B141D">
      <w:pPr>
        <w:spacing w:line="480" w:lineRule="auto"/>
        <w:jc w:val="both"/>
        <w:rPr>
          <w:lang w:eastAsia="en-US"/>
        </w:rPr>
      </w:pPr>
      <w:r w:rsidRPr="00EB6E3F">
        <w:rPr>
          <w:lang w:eastAsia="en-US"/>
        </w:rPr>
        <w:t xml:space="preserve">where </w:t>
      </w:r>
      <m:oMath>
        <m:sSub>
          <m:sSubPr>
            <m:ctrlPr>
              <w:rPr>
                <w:rFonts w:ascii="Cambria Math" w:hAnsi="Cambria Math" w:cs="Cambria Math"/>
                <w:lang w:eastAsia="en-US"/>
              </w:rPr>
            </m:ctrlPr>
          </m:sSubPr>
          <m:e>
            <m:r>
              <w:rPr>
                <w:rFonts w:ascii="Cambria Math" w:hAnsi="Cambria Math" w:cs="Cambria Math"/>
                <w:lang w:eastAsia="en-US"/>
              </w:rPr>
              <m:t>R</m:t>
            </m:r>
          </m:e>
          <m:sub>
            <m:r>
              <w:rPr>
                <w:rFonts w:ascii="Cambria Math" w:hAnsi="Cambria Math" w:cs="Cambria Math"/>
                <w:lang w:eastAsia="en-US"/>
              </w:rPr>
              <m:t>it</m:t>
            </m:r>
          </m:sub>
        </m:sSub>
      </m:oMath>
      <w:r w:rsidRPr="00EB6E3F">
        <w:rPr>
          <w:lang w:eastAsia="en-US"/>
        </w:rPr>
        <w:t xml:space="preserve"> is the return for deal “i” on day “t”, </w:t>
      </w:r>
      <m:oMath>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m:t>
            </m:r>
          </m:sub>
          <m:sup>
            <m:r>
              <w:rPr>
                <w:rFonts w:ascii="Cambria Math" w:hAnsi="Cambria Math" w:cs="Cambria Math"/>
                <w:lang w:eastAsia="en-US"/>
              </w:rPr>
              <m:t>T</m:t>
            </m:r>
          </m:sup>
        </m:sSubSup>
      </m:oMath>
      <w:r w:rsidRPr="00EB6E3F">
        <w:rPr>
          <w:lang w:eastAsia="en-US"/>
        </w:rPr>
        <w:t xml:space="preserve"> is the closing price of the target company “i” on day “t”, </w:t>
      </w:r>
      <m:oMath>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it-1</m:t>
            </m:r>
          </m:sub>
          <m:sup>
            <m:r>
              <w:rPr>
                <w:rFonts w:ascii="Cambria Math" w:hAnsi="Cambria Math" w:cs="Cambria Math"/>
                <w:lang w:eastAsia="en-US"/>
              </w:rPr>
              <m:t>T</m:t>
            </m:r>
          </m:sup>
        </m:sSubSup>
      </m:oMath>
      <w:r w:rsidR="00843E32" w:rsidRPr="00EB6E3F">
        <w:rPr>
          <w:lang w:eastAsia="en-US"/>
        </w:rPr>
        <w:t xml:space="preserve"> </w:t>
      </w:r>
      <w:r w:rsidRPr="00EB6E3F">
        <w:rPr>
          <w:lang w:eastAsia="en-US"/>
        </w:rPr>
        <w:t>is the closing price of the target company “</w:t>
      </w:r>
      <w:proofErr w:type="spellStart"/>
      <w:r w:rsidRPr="00EB6E3F">
        <w:rPr>
          <w:lang w:eastAsia="en-US"/>
        </w:rPr>
        <w:t>i</w:t>
      </w:r>
      <w:proofErr w:type="spellEnd"/>
      <w:r w:rsidRPr="00EB6E3F">
        <w:rPr>
          <w:lang w:eastAsia="en-US"/>
        </w:rPr>
        <w:t xml:space="preserve">” on day “t-1” and </w:t>
      </w:r>
      <m:oMath>
        <m:sSubSup>
          <m:sSubSupPr>
            <m:ctrlPr>
              <w:rPr>
                <w:rFonts w:ascii="Cambria Math" w:hAnsi="Cambria Math" w:cs="Cambria Math"/>
                <w:lang w:eastAsia="en-US"/>
              </w:rPr>
            </m:ctrlPr>
          </m:sSubSupPr>
          <m:e>
            <m:r>
              <w:rPr>
                <w:rFonts w:ascii="Cambria Math" w:hAnsi="Cambria Math" w:cs="Cambria Math"/>
                <w:lang w:eastAsia="en-US"/>
              </w:rPr>
              <m:t>D</m:t>
            </m:r>
          </m:e>
          <m:sub>
            <m:r>
              <w:rPr>
                <w:rFonts w:ascii="Cambria Math" w:hAnsi="Cambria Math" w:cs="Cambria Math"/>
                <w:lang w:eastAsia="en-US"/>
              </w:rPr>
              <m:t>it</m:t>
            </m:r>
          </m:sub>
          <m:sup>
            <m:r>
              <w:rPr>
                <w:rFonts w:ascii="Cambria Math" w:hAnsi="Cambria Math" w:cs="Cambria Math"/>
                <w:lang w:eastAsia="en-US"/>
              </w:rPr>
              <m:t>T</m:t>
            </m:r>
          </m:sup>
        </m:sSubSup>
      </m:oMath>
      <w:r w:rsidRPr="00EB6E3F">
        <w:rPr>
          <w:lang w:eastAsia="en-US"/>
        </w:rPr>
        <w:t xml:space="preserve"> is the dividend receivable form the target company “</w:t>
      </w:r>
      <w:proofErr w:type="spellStart"/>
      <w:r w:rsidRPr="00EB6E3F">
        <w:rPr>
          <w:lang w:eastAsia="en-US"/>
        </w:rPr>
        <w:t>i</w:t>
      </w:r>
      <w:proofErr w:type="spellEnd"/>
      <w:r w:rsidRPr="00EB6E3F">
        <w:rPr>
          <w:lang w:eastAsia="en-US"/>
        </w:rPr>
        <w:t xml:space="preserve">” on day “t”. </w:t>
      </w:r>
    </w:p>
    <w:p w:rsidR="00A11E5C" w:rsidRPr="00EB6E3F" w:rsidRDefault="00A11E5C" w:rsidP="007B141D">
      <w:pPr>
        <w:spacing w:line="480" w:lineRule="auto"/>
        <w:jc w:val="both"/>
        <w:rPr>
          <w:lang w:eastAsia="en-US"/>
        </w:rPr>
      </w:pPr>
    </w:p>
    <w:p w:rsidR="00E20A6D" w:rsidRPr="00EB6E3F" w:rsidRDefault="00E20A6D" w:rsidP="007B141D">
      <w:pPr>
        <w:spacing w:line="480" w:lineRule="auto"/>
        <w:jc w:val="both"/>
        <w:rPr>
          <w:lang w:eastAsia="en-US"/>
        </w:rPr>
      </w:pPr>
      <w:r w:rsidRPr="00EB6E3F">
        <w:rPr>
          <w:lang w:eastAsia="en-US"/>
        </w:rPr>
        <w:t xml:space="preserve">The returns are calculated for the week prior to the announcement date and for each day thereafter that the deal is deemed active. </w:t>
      </w:r>
      <w:r w:rsidR="00843E32" w:rsidRPr="00EB6E3F">
        <w:rPr>
          <w:lang w:eastAsia="en-US"/>
        </w:rPr>
        <w:t xml:space="preserve"> </w:t>
      </w:r>
      <w:r w:rsidRPr="00EB6E3F">
        <w:rPr>
          <w:lang w:eastAsia="en-US"/>
        </w:rPr>
        <w:t>The value of the long position is included in the</w:t>
      </w:r>
      <w:r w:rsidR="00843E32" w:rsidRPr="00EB6E3F">
        <w:rPr>
          <w:lang w:eastAsia="en-US"/>
        </w:rPr>
        <w:t xml:space="preserve"> portfolio at the close of trading</w:t>
      </w:r>
      <w:r w:rsidRPr="00EB6E3F">
        <w:rPr>
          <w:lang w:eastAsia="en-US"/>
        </w:rPr>
        <w:t xml:space="preserve"> on each day</w:t>
      </w:r>
      <w:r w:rsidR="00843E32" w:rsidRPr="00EB6E3F">
        <w:rPr>
          <w:lang w:eastAsia="en-US"/>
        </w:rPr>
        <w:t>,</w:t>
      </w:r>
      <w:r w:rsidRPr="00EB6E3F">
        <w:rPr>
          <w:lang w:eastAsia="en-US"/>
        </w:rPr>
        <w:t xml:space="preserve"> however the returns are </w:t>
      </w:r>
      <w:r w:rsidR="00A11E5C" w:rsidRPr="00EB6E3F">
        <w:rPr>
          <w:lang w:eastAsia="en-US"/>
        </w:rPr>
        <w:t xml:space="preserve">not realised until the deal is </w:t>
      </w:r>
      <w:r w:rsidRPr="00EB6E3F">
        <w:rPr>
          <w:lang w:eastAsia="en-US"/>
        </w:rPr>
        <w:t>complet</w:t>
      </w:r>
      <w:r w:rsidR="00A11E5C" w:rsidRPr="00EB6E3F">
        <w:rPr>
          <w:lang w:eastAsia="en-US"/>
        </w:rPr>
        <w:t>e</w:t>
      </w:r>
      <w:r w:rsidRPr="00EB6E3F">
        <w:rPr>
          <w:lang w:eastAsia="en-US"/>
        </w:rPr>
        <w:t xml:space="preserve">. </w:t>
      </w:r>
      <w:r w:rsidR="00843E32" w:rsidRPr="00EB6E3F">
        <w:rPr>
          <w:lang w:eastAsia="en-US"/>
        </w:rPr>
        <w:t xml:space="preserve"> </w:t>
      </w:r>
      <w:r w:rsidR="00A11E5C" w:rsidRPr="00EB6E3F">
        <w:rPr>
          <w:lang w:eastAsia="en-US"/>
        </w:rPr>
        <w:t>I</w:t>
      </w:r>
      <w:r w:rsidRPr="00EB6E3F">
        <w:rPr>
          <w:lang w:eastAsia="en-US"/>
        </w:rPr>
        <w:t xml:space="preserve">f </w:t>
      </w:r>
      <w:r w:rsidR="00A11E5C" w:rsidRPr="00EB6E3F">
        <w:rPr>
          <w:lang w:eastAsia="en-US"/>
        </w:rPr>
        <w:t>a</w:t>
      </w:r>
      <w:r w:rsidRPr="00EB6E3F">
        <w:rPr>
          <w:lang w:eastAsia="en-US"/>
        </w:rPr>
        <w:t xml:space="preserve"> transaction is unsuccessful, the arbitrageurs </w:t>
      </w:r>
      <w:r w:rsidR="00A11E5C" w:rsidRPr="00EB6E3F">
        <w:rPr>
          <w:lang w:eastAsia="en-US"/>
        </w:rPr>
        <w:t xml:space="preserve">may have to </w:t>
      </w:r>
      <w:r w:rsidRPr="00EB6E3F">
        <w:rPr>
          <w:lang w:eastAsia="en-US"/>
        </w:rPr>
        <w:t xml:space="preserve">sell the target company’s stock at its market price </w:t>
      </w:r>
      <w:r w:rsidR="00843E32" w:rsidRPr="00EB6E3F">
        <w:rPr>
          <w:lang w:eastAsia="en-US"/>
        </w:rPr>
        <w:t>to close out the position</w:t>
      </w:r>
      <w:r w:rsidR="00140E49" w:rsidRPr="00EB6E3F">
        <w:rPr>
          <w:lang w:eastAsia="en-US"/>
        </w:rPr>
        <w:t xml:space="preserve">, a price </w:t>
      </w:r>
      <w:r w:rsidRPr="00EB6E3F">
        <w:rPr>
          <w:lang w:eastAsia="en-US"/>
        </w:rPr>
        <w:t xml:space="preserve">which </w:t>
      </w:r>
      <w:r w:rsidR="00140E49" w:rsidRPr="00EB6E3F">
        <w:rPr>
          <w:lang w:eastAsia="en-US"/>
        </w:rPr>
        <w:t xml:space="preserve">might be </w:t>
      </w:r>
      <w:r w:rsidRPr="00EB6E3F">
        <w:rPr>
          <w:lang w:eastAsia="en-US"/>
        </w:rPr>
        <w:t xml:space="preserve">substantially lower than the </w:t>
      </w:r>
      <w:r w:rsidR="00A11E5C" w:rsidRPr="00EB6E3F">
        <w:rPr>
          <w:lang w:eastAsia="en-US"/>
        </w:rPr>
        <w:t xml:space="preserve">original </w:t>
      </w:r>
      <w:r w:rsidRPr="00EB6E3F">
        <w:rPr>
          <w:lang w:eastAsia="en-US"/>
        </w:rPr>
        <w:t xml:space="preserve">purchase price </w:t>
      </w:r>
      <w:r w:rsidR="00140E49" w:rsidRPr="00EB6E3F">
        <w:rPr>
          <w:lang w:eastAsia="en-US"/>
        </w:rPr>
        <w:t>thereby yielding a</w:t>
      </w:r>
      <w:r w:rsidR="00A11E5C" w:rsidRPr="00EB6E3F">
        <w:rPr>
          <w:lang w:eastAsia="en-US"/>
        </w:rPr>
        <w:t xml:space="preserve"> negative return</w:t>
      </w:r>
      <w:r w:rsidRPr="00EB6E3F">
        <w:rPr>
          <w:lang w:eastAsia="en-US"/>
        </w:rPr>
        <w:t>.</w:t>
      </w:r>
    </w:p>
    <w:p w:rsidR="00A11E5C" w:rsidRPr="00EB6E3F" w:rsidRDefault="00A11E5C" w:rsidP="007B141D">
      <w:pPr>
        <w:spacing w:line="480" w:lineRule="auto"/>
        <w:jc w:val="both"/>
        <w:rPr>
          <w:lang w:eastAsia="en-US"/>
        </w:rPr>
      </w:pPr>
    </w:p>
    <w:p w:rsidR="00241D4B" w:rsidRPr="00EB6E3F" w:rsidRDefault="002B218F" w:rsidP="007B141D">
      <w:pPr>
        <w:spacing w:line="480" w:lineRule="auto"/>
        <w:jc w:val="both"/>
        <w:rPr>
          <w:lang w:eastAsia="en-US"/>
        </w:rPr>
      </w:pPr>
      <w:r w:rsidRPr="00EB6E3F">
        <w:rPr>
          <w:lang w:eastAsia="en-US"/>
        </w:rPr>
        <w:t xml:space="preserve">A transaction that consists of a combination of both cash and shares is treated as if it is a stock swap deal.  The reasoning for this is that it is assumed that the market incorporates the cash element of the deal and thus is included in the share price of the target firm. To do this </w:t>
      </w:r>
      <w:r w:rsidR="00E20A6D" w:rsidRPr="00EB6E3F">
        <w:rPr>
          <w:lang w:eastAsia="en-US"/>
        </w:rPr>
        <w:t xml:space="preserve">the arbitrageur </w:t>
      </w:r>
      <w:r w:rsidRPr="00EB6E3F">
        <w:rPr>
          <w:lang w:eastAsia="en-US"/>
        </w:rPr>
        <w:t xml:space="preserve">simultaneously </w:t>
      </w:r>
      <w:r w:rsidR="00E20A6D" w:rsidRPr="00EB6E3F">
        <w:rPr>
          <w:lang w:eastAsia="en-US"/>
        </w:rPr>
        <w:t>take</w:t>
      </w:r>
      <w:r w:rsidRPr="00EB6E3F">
        <w:rPr>
          <w:lang w:eastAsia="en-US"/>
        </w:rPr>
        <w:t>s</w:t>
      </w:r>
      <w:r w:rsidR="00E20A6D" w:rsidRPr="00EB6E3F">
        <w:rPr>
          <w:lang w:eastAsia="en-US"/>
        </w:rPr>
        <w:t xml:space="preserve"> a long position in the </w:t>
      </w:r>
      <w:r w:rsidRPr="00EB6E3F">
        <w:rPr>
          <w:lang w:eastAsia="en-US"/>
        </w:rPr>
        <w:t xml:space="preserve">shares of the </w:t>
      </w:r>
      <w:r w:rsidR="00E20A6D" w:rsidRPr="00EB6E3F">
        <w:rPr>
          <w:lang w:eastAsia="en-US"/>
        </w:rPr>
        <w:t xml:space="preserve">target company </w:t>
      </w:r>
      <w:r w:rsidRPr="00EB6E3F">
        <w:rPr>
          <w:lang w:eastAsia="en-US"/>
        </w:rPr>
        <w:t xml:space="preserve">and a short position in </w:t>
      </w:r>
      <w:r w:rsidR="00E20A6D" w:rsidRPr="00EB6E3F">
        <w:rPr>
          <w:lang w:eastAsia="en-US"/>
        </w:rPr>
        <w:t xml:space="preserve">the </w:t>
      </w:r>
      <w:r w:rsidRPr="00EB6E3F">
        <w:rPr>
          <w:lang w:eastAsia="en-US"/>
        </w:rPr>
        <w:t>shares of the acquirer</w:t>
      </w:r>
      <w:r w:rsidR="00E20A6D" w:rsidRPr="00EB6E3F">
        <w:rPr>
          <w:lang w:eastAsia="en-US"/>
        </w:rPr>
        <w:t xml:space="preserve">. </w:t>
      </w:r>
      <w:r w:rsidRPr="00EB6E3F">
        <w:rPr>
          <w:lang w:eastAsia="en-US"/>
        </w:rPr>
        <w:t xml:space="preserve"> </w:t>
      </w:r>
      <w:r w:rsidR="00E20A6D" w:rsidRPr="00EB6E3F">
        <w:rPr>
          <w:lang w:eastAsia="en-US"/>
        </w:rPr>
        <w:t xml:space="preserve">In order to </w:t>
      </w:r>
      <w:r w:rsidRPr="00EB6E3F">
        <w:rPr>
          <w:lang w:eastAsia="en-US"/>
        </w:rPr>
        <w:t>maximize returns from this situation</w:t>
      </w:r>
      <w:r w:rsidR="00A16E1E">
        <w:rPr>
          <w:lang w:eastAsia="en-US"/>
        </w:rPr>
        <w:t>,</w:t>
      </w:r>
      <w:r w:rsidR="00E20A6D" w:rsidRPr="00EB6E3F">
        <w:rPr>
          <w:lang w:eastAsia="en-US"/>
        </w:rPr>
        <w:t xml:space="preserve"> s</w:t>
      </w:r>
      <w:r w:rsidRPr="00EB6E3F">
        <w:rPr>
          <w:lang w:eastAsia="en-US"/>
        </w:rPr>
        <w:t xml:space="preserve">hares in both companies </w:t>
      </w:r>
      <w:r w:rsidR="00E20A6D" w:rsidRPr="00EB6E3F">
        <w:rPr>
          <w:lang w:eastAsia="en-US"/>
        </w:rPr>
        <w:t xml:space="preserve">must be held </w:t>
      </w:r>
      <w:r w:rsidRPr="00EB6E3F">
        <w:rPr>
          <w:lang w:eastAsia="en-US"/>
        </w:rPr>
        <w:t xml:space="preserve">(long or short) </w:t>
      </w:r>
      <w:r w:rsidR="00E20A6D" w:rsidRPr="00EB6E3F">
        <w:rPr>
          <w:lang w:eastAsia="en-US"/>
        </w:rPr>
        <w:t>by arbitrageurs in a ratio which reflects the proposed offer price. The number of shares needed by the arbitrageur is calculated by the share exchange ratio agreed b</w:t>
      </w:r>
      <w:r w:rsidRPr="00EB6E3F">
        <w:rPr>
          <w:lang w:eastAsia="en-US"/>
        </w:rPr>
        <w:t xml:space="preserve">etween </w:t>
      </w:r>
      <w:r w:rsidR="00E20A6D" w:rsidRPr="00EB6E3F">
        <w:rPr>
          <w:lang w:eastAsia="en-US"/>
        </w:rPr>
        <w:t xml:space="preserve">the acquiring and target company. </w:t>
      </w:r>
    </w:p>
    <w:p w:rsidR="00241D4B" w:rsidRPr="00EB6E3F" w:rsidRDefault="00241D4B" w:rsidP="007B141D">
      <w:pPr>
        <w:spacing w:line="480" w:lineRule="auto"/>
        <w:jc w:val="both"/>
        <w:rPr>
          <w:lang w:eastAsia="en-US"/>
        </w:rPr>
      </w:pPr>
    </w:p>
    <w:p w:rsidR="00E20A6D" w:rsidRPr="00EB6E3F" w:rsidRDefault="00E20A6D" w:rsidP="007B141D">
      <w:pPr>
        <w:spacing w:line="480" w:lineRule="auto"/>
        <w:jc w:val="both"/>
        <w:rPr>
          <w:lang w:eastAsia="en-US"/>
        </w:rPr>
      </w:pPr>
      <w:r w:rsidRPr="00EB6E3F">
        <w:rPr>
          <w:lang w:eastAsia="en-US"/>
        </w:rPr>
        <w:t xml:space="preserve">There are three sources of profit, which may be obtained by an arbitrageur if this strategy is employed. </w:t>
      </w:r>
      <w:r w:rsidR="002B218F" w:rsidRPr="00EB6E3F">
        <w:rPr>
          <w:lang w:eastAsia="en-US"/>
        </w:rPr>
        <w:t xml:space="preserve"> The first is</w:t>
      </w:r>
      <w:r w:rsidRPr="00EB6E3F">
        <w:rPr>
          <w:lang w:eastAsia="en-US"/>
        </w:rPr>
        <w:t xml:space="preserve"> the difference between the price obtained from short selling </w:t>
      </w:r>
      <w:r w:rsidR="002B218F" w:rsidRPr="00EB6E3F">
        <w:rPr>
          <w:lang w:eastAsia="en-US"/>
        </w:rPr>
        <w:t>the shares o</w:t>
      </w:r>
      <w:r w:rsidRPr="00EB6E3F">
        <w:rPr>
          <w:lang w:eastAsia="en-US"/>
        </w:rPr>
        <w:t>f the acquir</w:t>
      </w:r>
      <w:r w:rsidR="00D67BE4" w:rsidRPr="00EB6E3F">
        <w:rPr>
          <w:lang w:eastAsia="en-US"/>
        </w:rPr>
        <w:t>er</w:t>
      </w:r>
      <w:r w:rsidRPr="00EB6E3F">
        <w:rPr>
          <w:lang w:eastAsia="en-US"/>
        </w:rPr>
        <w:t xml:space="preserve"> and the price at which the target stock is purchased. The second source of profit is realised from the dividend paid on the investment in the target company’s stock. </w:t>
      </w:r>
      <w:r w:rsidR="00D67BE4" w:rsidRPr="00EB6E3F">
        <w:rPr>
          <w:lang w:eastAsia="en-US"/>
        </w:rPr>
        <w:t xml:space="preserve"> Unlike all-cash transactions the contribution of dividend yield to the return when shares are involved can be </w:t>
      </w:r>
      <w:r w:rsidRPr="00EB6E3F">
        <w:rPr>
          <w:lang w:eastAsia="en-US"/>
        </w:rPr>
        <w:t xml:space="preserve">miniscule or non-existent </w:t>
      </w:r>
      <w:r w:rsidR="00D67BE4" w:rsidRPr="00EB6E3F">
        <w:rPr>
          <w:lang w:eastAsia="en-US"/>
        </w:rPr>
        <w:t>(or even negative) because</w:t>
      </w:r>
      <w:r w:rsidRPr="00EB6E3F">
        <w:rPr>
          <w:lang w:eastAsia="en-US"/>
        </w:rPr>
        <w:t xml:space="preserve"> dividends payable on the </w:t>
      </w:r>
      <w:r w:rsidR="00D67BE4" w:rsidRPr="00EB6E3F">
        <w:rPr>
          <w:lang w:eastAsia="en-US"/>
        </w:rPr>
        <w:t>short</w:t>
      </w:r>
      <w:r w:rsidRPr="00EB6E3F">
        <w:rPr>
          <w:lang w:eastAsia="en-US"/>
        </w:rPr>
        <w:t xml:space="preserve"> position </w:t>
      </w:r>
      <w:r w:rsidR="00D67BE4" w:rsidRPr="00EB6E3F">
        <w:rPr>
          <w:lang w:eastAsia="en-US"/>
        </w:rPr>
        <w:t xml:space="preserve">offset any gains from the dividends receivable on the long position. </w:t>
      </w:r>
      <w:r w:rsidRPr="00EB6E3F">
        <w:rPr>
          <w:lang w:eastAsia="en-US"/>
        </w:rPr>
        <w:t xml:space="preserve">The third source of </w:t>
      </w:r>
      <w:r w:rsidR="00D67BE4" w:rsidRPr="00EB6E3F">
        <w:rPr>
          <w:lang w:eastAsia="en-US"/>
        </w:rPr>
        <w:t xml:space="preserve">return available to </w:t>
      </w:r>
      <w:r w:rsidRPr="00EB6E3F">
        <w:rPr>
          <w:lang w:eastAsia="en-US"/>
        </w:rPr>
        <w:t>large institutions and hedge funds</w:t>
      </w:r>
      <w:r w:rsidR="00D67BE4" w:rsidRPr="00EB6E3F">
        <w:rPr>
          <w:lang w:eastAsia="en-US"/>
        </w:rPr>
        <w:t xml:space="preserve"> is the</w:t>
      </w:r>
      <w:r w:rsidRPr="00EB6E3F">
        <w:rPr>
          <w:lang w:eastAsia="en-US"/>
        </w:rPr>
        <w:t xml:space="preserve"> interest </w:t>
      </w:r>
      <w:r w:rsidR="00D67BE4" w:rsidRPr="00EB6E3F">
        <w:rPr>
          <w:lang w:eastAsia="en-US"/>
        </w:rPr>
        <w:t xml:space="preserve">earned (typically at the risk free rate) from the proceeds from short selling the acquirer’s shares.   </w:t>
      </w:r>
      <w:r w:rsidRPr="00EB6E3F">
        <w:rPr>
          <w:lang w:eastAsia="en-US"/>
        </w:rPr>
        <w:t xml:space="preserve">The formula for calculating the return on </w:t>
      </w:r>
      <w:r w:rsidR="00D67BE4" w:rsidRPr="00EB6E3F">
        <w:rPr>
          <w:lang w:eastAsia="en-US"/>
        </w:rPr>
        <w:t>cash and share</w:t>
      </w:r>
      <w:r w:rsidRPr="00EB6E3F">
        <w:rPr>
          <w:lang w:eastAsia="en-US"/>
        </w:rPr>
        <w:t xml:space="preserve"> mergers is:</w:t>
      </w:r>
    </w:p>
    <w:p w:rsidR="00140E49" w:rsidRPr="00EB6E3F" w:rsidRDefault="00140E49" w:rsidP="007B141D">
      <w:pPr>
        <w:spacing w:line="480" w:lineRule="auto"/>
        <w:jc w:val="both"/>
        <w:rPr>
          <w:lang w:eastAsia="en-US"/>
        </w:rPr>
      </w:pPr>
    </w:p>
    <w:p w:rsidR="00140E49" w:rsidRPr="00EB6E3F" w:rsidRDefault="005F05FC" w:rsidP="007B141D">
      <w:pPr>
        <w:spacing w:line="480" w:lineRule="auto"/>
        <w:jc w:val="both"/>
        <w:rPr>
          <w:lang w:eastAsia="en-US"/>
        </w:rPr>
      </w:pPr>
      <m:oMathPara>
        <m:oMath>
          <m:sSub>
            <m:sSubPr>
              <m:ctrlPr>
                <w:rPr>
                  <w:rFonts w:ascii="Cambria Math" w:hAnsi="Cambria Math" w:cs="Cambria Math"/>
                  <w:lang w:eastAsia="en-US"/>
                </w:rPr>
              </m:ctrlPr>
            </m:sSubPr>
            <m:e>
              <m:r>
                <w:rPr>
                  <w:rFonts w:ascii="Cambria Math" w:hAnsi="Cambria Math" w:cs="Cambria Math"/>
                  <w:lang w:eastAsia="en-US"/>
                </w:rPr>
                <m:t>R</m:t>
              </m:r>
            </m:e>
            <m:sub>
              <m:r>
                <w:rPr>
                  <w:rFonts w:ascii="Cambria Math" w:hAnsi="Cambria Math" w:cs="Cambria Math"/>
                  <w:lang w:eastAsia="en-US"/>
                </w:rPr>
                <m:t>it</m:t>
              </m:r>
            </m:sub>
          </m:sSub>
          <m:r>
            <m:rPr>
              <m:sty m:val="p"/>
            </m:rPr>
            <w:rPr>
              <w:rFonts w:ascii="Cambria Math" w:hAnsi="Cambria Math" w:cs="Cambria Math"/>
              <w:lang w:eastAsia="en-US"/>
            </w:rPr>
            <m:t>=</m:t>
          </m:r>
          <m:f>
            <m:fPr>
              <m:ctrlPr>
                <w:rPr>
                  <w:rFonts w:ascii="Cambria Math" w:hAnsi="Cambria Math"/>
                  <w:lang w:eastAsia="en-US"/>
                </w:rPr>
              </m:ctrlPr>
            </m:fPr>
            <m:num>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m:t>
                  </m:r>
                </m:sub>
                <m:sup>
                  <m:r>
                    <w:rPr>
                      <w:rFonts w:ascii="Cambria Math" w:hAnsi="Cambria Math" w:cs="Cambria Math"/>
                      <w:lang w:eastAsia="en-US"/>
                    </w:rPr>
                    <m:t>T</m:t>
                  </m:r>
                </m:sup>
              </m:sSubSup>
              <m:r>
                <w:rPr>
                  <w:rFonts w:ascii="Cambria Math" w:hAnsi="Cambria Math" w:cs="Cambria Math"/>
                  <w:lang w:eastAsia="en-US"/>
                </w:rPr>
                <m:t xml:space="preserve">+ </m:t>
              </m:r>
              <m:sSubSup>
                <m:sSubSupPr>
                  <m:ctrlPr>
                    <w:rPr>
                      <w:rFonts w:ascii="Cambria Math" w:hAnsi="Cambria Math" w:cs="Cambria Math"/>
                      <w:lang w:eastAsia="en-US"/>
                    </w:rPr>
                  </m:ctrlPr>
                </m:sSubSupPr>
                <m:e>
                  <m:r>
                    <w:rPr>
                      <w:rFonts w:ascii="Cambria Math" w:hAnsi="Cambria Math" w:cs="Cambria Math"/>
                      <w:lang w:eastAsia="en-US"/>
                    </w:rPr>
                    <m:t>D</m:t>
                  </m:r>
                </m:e>
                <m:sub>
                  <m:r>
                    <w:rPr>
                      <w:rFonts w:ascii="Cambria Math" w:hAnsi="Cambria Math" w:cs="Cambria Math"/>
                      <w:lang w:eastAsia="en-US"/>
                    </w:rPr>
                    <m:t>it</m:t>
                  </m:r>
                </m:sub>
                <m:sup>
                  <m:r>
                    <w:rPr>
                      <w:rFonts w:ascii="Cambria Math" w:hAnsi="Cambria Math" w:cs="Cambria Math"/>
                      <w:lang w:eastAsia="en-US"/>
                    </w:rPr>
                    <m:t>T</m:t>
                  </m:r>
                </m:sup>
              </m:sSubSup>
              <m:r>
                <w:rPr>
                  <w:rFonts w:ascii="Cambria Math" w:hAnsi="Cambria Math" w:cs="Cambria Math"/>
                  <w:lang w:eastAsia="en-US"/>
                </w:rPr>
                <m:t xml:space="preserve">- </m:t>
              </m:r>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it-1</m:t>
                  </m:r>
                </m:sub>
                <m:sup>
                  <m:r>
                    <w:rPr>
                      <w:rFonts w:ascii="Cambria Math" w:hAnsi="Cambria Math" w:cs="Cambria Math"/>
                      <w:lang w:eastAsia="en-US"/>
                    </w:rPr>
                    <m:t>T</m:t>
                  </m:r>
                </m:sup>
              </m:sSubSup>
              <m:r>
                <w:rPr>
                  <w:rFonts w:ascii="Cambria Math" w:hAnsi="Cambria Math" w:cs="Cambria Math"/>
                  <w:lang w:eastAsia="en-US"/>
                </w:rPr>
                <m:t>-∆(</m:t>
              </m:r>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m:t>
                  </m:r>
                </m:sub>
                <m:sup>
                  <m:r>
                    <w:rPr>
                      <w:rFonts w:ascii="Cambria Math" w:hAnsi="Cambria Math" w:cs="Cambria Math"/>
                      <w:lang w:eastAsia="en-US"/>
                    </w:rPr>
                    <m:t>A</m:t>
                  </m:r>
                </m:sup>
              </m:sSubSup>
              <m:r>
                <w:rPr>
                  <w:rFonts w:ascii="Cambria Math" w:hAnsi="Cambria Math" w:cs="Cambria Math"/>
                  <w:lang w:eastAsia="en-US"/>
                </w:rPr>
                <m:t>+</m:t>
              </m:r>
              <m:sSubSup>
                <m:sSubSupPr>
                  <m:ctrlPr>
                    <w:rPr>
                      <w:rFonts w:ascii="Cambria Math" w:hAnsi="Cambria Math" w:cs="Cambria Math"/>
                      <w:lang w:eastAsia="en-US"/>
                    </w:rPr>
                  </m:ctrlPr>
                </m:sSubSupPr>
                <m:e>
                  <m:r>
                    <w:rPr>
                      <w:rFonts w:ascii="Cambria Math" w:hAnsi="Cambria Math" w:cs="Cambria Math"/>
                      <w:lang w:eastAsia="en-US"/>
                    </w:rPr>
                    <m:t>D</m:t>
                  </m:r>
                </m:e>
                <m:sub>
                  <m:r>
                    <w:rPr>
                      <w:rFonts w:ascii="Cambria Math" w:hAnsi="Cambria Math" w:cs="Cambria Math"/>
                      <w:lang w:eastAsia="en-US"/>
                    </w:rPr>
                    <m:t>it</m:t>
                  </m:r>
                </m:sub>
                <m:sup>
                  <m:r>
                    <w:rPr>
                      <w:rFonts w:ascii="Cambria Math" w:hAnsi="Cambria Math" w:cs="Cambria Math"/>
                      <w:lang w:eastAsia="en-US"/>
                    </w:rPr>
                    <m:t>A</m:t>
                  </m:r>
                </m:sup>
              </m:sSubSup>
              <m:r>
                <w:rPr>
                  <w:rFonts w:ascii="Cambria Math" w:hAnsi="Cambria Math" w:cs="Cambria Math"/>
                  <w:lang w:eastAsia="en-US"/>
                </w:rPr>
                <m:t xml:space="preserve">- </m:t>
              </m:r>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it-1</m:t>
                  </m:r>
                </m:sub>
                <m:sup>
                  <m:r>
                    <w:rPr>
                      <w:rFonts w:ascii="Cambria Math" w:hAnsi="Cambria Math" w:cs="Cambria Math"/>
                      <w:lang w:eastAsia="en-US"/>
                    </w:rPr>
                    <m:t>A</m:t>
                  </m:r>
                </m:sup>
              </m:sSubSup>
              <m:r>
                <w:rPr>
                  <w:rFonts w:ascii="Cambria Math" w:hAnsi="Cambria Math" w:cs="Cambria Math"/>
                  <w:lang w:eastAsia="en-US"/>
                </w:rPr>
                <m:t xml:space="preserve">- </m:t>
              </m:r>
              <m:sSub>
                <m:sSubPr>
                  <m:ctrlPr>
                    <w:rPr>
                      <w:rFonts w:ascii="Cambria Math" w:hAnsi="Cambria Math" w:cs="Cambria Math"/>
                      <w:i/>
                      <w:lang w:eastAsia="en-US"/>
                    </w:rPr>
                  </m:ctrlPr>
                </m:sSubPr>
                <m:e>
                  <m:r>
                    <w:rPr>
                      <w:rFonts w:ascii="Cambria Math" w:hAnsi="Cambria Math" w:cs="Cambria Math"/>
                      <w:lang w:eastAsia="en-US"/>
                    </w:rPr>
                    <m:t>r</m:t>
                  </m:r>
                </m:e>
                <m:sub>
                  <m:r>
                    <w:rPr>
                      <w:rFonts w:ascii="Cambria Math" w:hAnsi="Cambria Math" w:cs="Cambria Math"/>
                      <w:lang w:eastAsia="en-US"/>
                    </w:rPr>
                    <m:t>f</m:t>
                  </m:r>
                </m:sub>
              </m:sSub>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i1</m:t>
                  </m:r>
                </m:sub>
                <m:sup>
                  <m:r>
                    <w:rPr>
                      <w:rFonts w:ascii="Cambria Math" w:hAnsi="Cambria Math" w:cs="Cambria Math"/>
                      <w:lang w:eastAsia="en-US"/>
                    </w:rPr>
                    <m:t>A</m:t>
                  </m:r>
                </m:sup>
              </m:sSubSup>
              <m:r>
                <w:rPr>
                  <w:rFonts w:ascii="Cambria Math" w:hAnsi="Cambria Math" w:cs="Cambria Math"/>
                  <w:lang w:eastAsia="en-US"/>
                </w:rPr>
                <m:t xml:space="preserve">) </m:t>
              </m:r>
            </m:num>
            <m:den>
              <m:sSub>
                <m:sSubPr>
                  <m:ctrlPr>
                    <w:rPr>
                      <w:rFonts w:ascii="Cambria Math" w:hAnsi="Cambria Math"/>
                      <w:i/>
                      <w:lang w:eastAsia="en-US"/>
                    </w:rPr>
                  </m:ctrlPr>
                </m:sSubPr>
                <m:e>
                  <m:r>
                    <w:rPr>
                      <w:rFonts w:ascii="Cambria Math" w:hAnsi="Cambria Math"/>
                      <w:lang w:eastAsia="en-US"/>
                    </w:rPr>
                    <m:t>Position Value</m:t>
                  </m:r>
                </m:e>
                <m:sub>
                  <m:r>
                    <w:rPr>
                      <w:rFonts w:ascii="Cambria Math" w:hAnsi="Cambria Math"/>
                      <w:lang w:eastAsia="en-US"/>
                    </w:rPr>
                    <m:t>t-1</m:t>
                  </m:r>
                </m:sub>
              </m:sSub>
            </m:den>
          </m:f>
        </m:oMath>
      </m:oMathPara>
    </w:p>
    <w:p w:rsidR="00E20A6D" w:rsidRPr="00EB6E3F" w:rsidRDefault="00140E49" w:rsidP="007B141D">
      <w:pPr>
        <w:spacing w:line="480" w:lineRule="auto"/>
        <w:jc w:val="both"/>
        <w:rPr>
          <w:lang w:eastAsia="en-US"/>
        </w:rPr>
      </w:pP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Pr="00EB6E3F">
        <w:rPr>
          <w:lang w:eastAsia="en-US"/>
        </w:rPr>
        <w:tab/>
      </w:r>
      <w:r w:rsidR="00E20A6D" w:rsidRPr="00EB6E3F">
        <w:rPr>
          <w:lang w:eastAsia="en-US"/>
        </w:rPr>
        <w:tab/>
        <w:t>(2)</w:t>
      </w:r>
    </w:p>
    <w:p w:rsidR="00E20A6D" w:rsidRPr="00EB6E3F" w:rsidRDefault="00E20A6D" w:rsidP="007B141D">
      <w:pPr>
        <w:spacing w:line="480" w:lineRule="auto"/>
        <w:jc w:val="both"/>
        <w:rPr>
          <w:lang w:eastAsia="en-US"/>
        </w:rPr>
      </w:pPr>
    </w:p>
    <w:p w:rsidR="00E20A6D" w:rsidRPr="00EB6E3F" w:rsidRDefault="00140E49" w:rsidP="007B141D">
      <w:pPr>
        <w:spacing w:line="480" w:lineRule="auto"/>
        <w:jc w:val="both"/>
        <w:rPr>
          <w:lang w:eastAsia="en-US"/>
        </w:rPr>
      </w:pPr>
      <w:r w:rsidRPr="00EB6E3F">
        <w:rPr>
          <w:lang w:eastAsia="en-US"/>
        </w:rPr>
        <w:t>w</w:t>
      </w:r>
      <w:r w:rsidR="00E20A6D" w:rsidRPr="00EB6E3F">
        <w:rPr>
          <w:lang w:eastAsia="en-US"/>
        </w:rPr>
        <w:t>here, superscript T refers to the target, superscript A refers to the acquirer,</w:t>
      </w:r>
      <w:r w:rsidRPr="00EB6E3F">
        <w:rPr>
          <w:lang w:eastAsia="en-US"/>
        </w:rPr>
        <w:t xml:space="preserve"> Δ represents the hedge ratio i.e. the number of shares in the acquiring company to be exchanged for each target share,</w:t>
      </w:r>
      <w:r w:rsidR="00E20A6D" w:rsidRPr="00EB6E3F">
        <w:rPr>
          <w:lang w:eastAsia="en-US"/>
        </w:rPr>
        <w:t xml:space="preserve"> </w:t>
      </w:r>
      <m:oMath>
        <m:sSub>
          <m:sSubPr>
            <m:ctrlPr>
              <w:rPr>
                <w:rFonts w:ascii="Cambria Math" w:hAnsi="Cambria Math" w:cs="Cambria Math"/>
                <w:i/>
                <w:lang w:eastAsia="en-US"/>
              </w:rPr>
            </m:ctrlPr>
          </m:sSubPr>
          <m:e>
            <m:r>
              <w:rPr>
                <w:rFonts w:ascii="Cambria Math" w:hAnsi="Cambria Math" w:cs="Cambria Math"/>
                <w:lang w:eastAsia="en-US"/>
              </w:rPr>
              <m:t>r</m:t>
            </m:r>
          </m:e>
          <m:sub>
            <m:r>
              <w:rPr>
                <w:rFonts w:ascii="Cambria Math" w:hAnsi="Cambria Math" w:cs="Cambria Math"/>
                <w:lang w:eastAsia="en-US"/>
              </w:rPr>
              <m:t>f</m:t>
            </m:r>
          </m:sub>
        </m:sSub>
      </m:oMath>
      <w:r w:rsidR="00E20A6D" w:rsidRPr="00EB6E3F">
        <w:rPr>
          <w:lang w:eastAsia="en-US"/>
        </w:rPr>
        <w:t xml:space="preserve"> is the risk free rate of return, </w:t>
      </w:r>
      <m:oMath>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i1</m:t>
            </m:r>
          </m:sub>
          <m:sup>
            <m:r>
              <w:rPr>
                <w:rFonts w:ascii="Cambria Math" w:hAnsi="Cambria Math" w:cs="Cambria Math"/>
                <w:lang w:eastAsia="en-US"/>
              </w:rPr>
              <m:t>A</m:t>
            </m:r>
          </m:sup>
        </m:sSubSup>
      </m:oMath>
      <w:r w:rsidR="00E20A6D" w:rsidRPr="00EB6E3F">
        <w:rPr>
          <w:lang w:eastAsia="en-US"/>
        </w:rPr>
        <w:t xml:space="preserve"> represents the acquirers stock price at the close of market on the day following the merger announcement, and </w:t>
      </w:r>
      <m:oMath>
        <m:sSub>
          <m:sSubPr>
            <m:ctrlPr>
              <w:rPr>
                <w:rFonts w:ascii="Cambria Math" w:hAnsi="Cambria Math"/>
                <w:i/>
                <w:lang w:eastAsia="en-US"/>
              </w:rPr>
            </m:ctrlPr>
          </m:sSubPr>
          <m:e>
            <m:r>
              <w:rPr>
                <w:rFonts w:ascii="Cambria Math" w:hAnsi="Cambria Math"/>
                <w:lang w:eastAsia="en-US"/>
              </w:rPr>
              <m:t>Position Value</m:t>
            </m:r>
          </m:e>
          <m:sub>
            <m:r>
              <w:rPr>
                <w:rFonts w:ascii="Cambria Math" w:hAnsi="Cambria Math"/>
                <w:lang w:eastAsia="en-US"/>
              </w:rPr>
              <m:t>t-1</m:t>
            </m:r>
          </m:sub>
        </m:sSub>
      </m:oMath>
      <w:r w:rsidR="00E20A6D" w:rsidRPr="00EB6E3F">
        <w:rPr>
          <w:lang w:eastAsia="en-US"/>
        </w:rPr>
        <w:t xml:space="preserve"> is the value of the overall position on the previous day</w:t>
      </w:r>
      <w:r w:rsidRPr="00EB6E3F">
        <w:rPr>
          <w:lang w:eastAsia="en-US"/>
        </w:rPr>
        <w:t xml:space="preserve"> calculate as </w:t>
      </w:r>
      <m:oMath>
        <m:r>
          <w:rPr>
            <w:rFonts w:ascii="Cambria Math" w:hAnsi="Cambria Math"/>
            <w:lang w:eastAsia="en-US"/>
          </w:rPr>
          <m:t>(</m:t>
        </m:r>
        <m:sSubSup>
          <m:sSubSupPr>
            <m:ctrlPr>
              <w:rPr>
                <w:rFonts w:ascii="Cambria Math" w:hAnsi="Cambria Math" w:cs="Cambria Math"/>
                <w:lang w:eastAsia="en-US"/>
              </w:rPr>
            </m:ctrlPr>
          </m:sSubSupPr>
          <m:e>
            <m:r>
              <w:rPr>
                <w:rFonts w:ascii="Cambria Math" w:hAnsi="Cambria Math" w:cs="Cambria Math"/>
                <w:lang w:eastAsia="en-US"/>
              </w:rPr>
              <m:t>P</m:t>
            </m:r>
          </m:e>
          <m:sub>
            <m:r>
              <w:rPr>
                <w:rFonts w:ascii="Cambria Math" w:hAnsi="Cambria Math" w:cs="Cambria Math"/>
                <w:lang w:eastAsia="en-US"/>
              </w:rPr>
              <m:t>it-1</m:t>
            </m:r>
          </m:sub>
          <m:sup>
            <m:r>
              <w:rPr>
                <w:rFonts w:ascii="Cambria Math" w:hAnsi="Cambria Math" w:cs="Cambria Math"/>
                <w:lang w:eastAsia="en-US"/>
              </w:rPr>
              <m:t>T</m:t>
            </m:r>
          </m:sup>
        </m:sSubSup>
        <m:r>
          <w:rPr>
            <w:rFonts w:ascii="Cambria Math" w:hAnsi="Cambria Math" w:cs="Cambria Math"/>
            <w:lang w:eastAsia="en-US"/>
          </w:rPr>
          <m:t>+</m:t>
        </m:r>
        <m:sSubSup>
          <m:sSubSupPr>
            <m:ctrlPr>
              <w:rPr>
                <w:rFonts w:ascii="Cambria Math" w:hAnsi="Cambria Math" w:cs="Cambria Math"/>
                <w:lang w:eastAsia="en-US"/>
              </w:rPr>
            </m:ctrlPr>
          </m:sSubSupPr>
          <m:e>
            <m:r>
              <w:rPr>
                <w:rFonts w:ascii="Cambria Math" w:hAnsi="Cambria Math" w:cs="Cambria Math"/>
                <w:lang w:eastAsia="en-US"/>
              </w:rPr>
              <m:t>ΔP</m:t>
            </m:r>
          </m:e>
          <m:sub>
            <m:r>
              <w:rPr>
                <w:rFonts w:ascii="Cambria Math" w:hAnsi="Cambria Math" w:cs="Cambria Math"/>
                <w:lang w:eastAsia="en-US"/>
              </w:rPr>
              <m:t>it-1</m:t>
            </m:r>
          </m:sub>
          <m:sup>
            <m:r>
              <w:rPr>
                <w:rFonts w:ascii="Cambria Math" w:hAnsi="Cambria Math" w:cs="Cambria Math"/>
                <w:lang w:eastAsia="en-US"/>
              </w:rPr>
              <m:t>A</m:t>
            </m:r>
          </m:sup>
        </m:sSubSup>
        <m:r>
          <w:rPr>
            <w:rFonts w:ascii="Cambria Math" w:hAnsi="Cambria Math" w:cs="Cambria Math"/>
            <w:lang w:eastAsia="en-US"/>
          </w:rPr>
          <m:t>)</m:t>
        </m:r>
      </m:oMath>
      <w:r w:rsidRPr="00EB6E3F">
        <w:rPr>
          <w:lang w:eastAsia="en-US"/>
        </w:rPr>
        <w:t>.  All other variables are as previously defined.</w:t>
      </w:r>
    </w:p>
    <w:p w:rsidR="00E20A6D" w:rsidRPr="00EB6E3F" w:rsidRDefault="00E20A6D" w:rsidP="007B141D">
      <w:pPr>
        <w:spacing w:line="480" w:lineRule="auto"/>
        <w:jc w:val="both"/>
        <w:rPr>
          <w:lang w:eastAsia="en-US"/>
        </w:rPr>
      </w:pPr>
    </w:p>
    <w:p w:rsidR="00E20A6D" w:rsidRPr="00EB6E3F" w:rsidRDefault="00E20A6D" w:rsidP="007B141D">
      <w:pPr>
        <w:spacing w:line="480" w:lineRule="auto"/>
        <w:jc w:val="both"/>
        <w:rPr>
          <w:lang w:eastAsia="en-US"/>
        </w:rPr>
      </w:pPr>
      <w:r w:rsidRPr="00EB6E3F">
        <w:rPr>
          <w:lang w:eastAsia="en-US"/>
        </w:rPr>
        <w:t xml:space="preserve">Once the </w:t>
      </w:r>
      <w:r w:rsidR="00D67BE4" w:rsidRPr="00EB6E3F">
        <w:rPr>
          <w:lang w:eastAsia="en-US"/>
        </w:rPr>
        <w:t>transaction</w:t>
      </w:r>
      <w:r w:rsidRPr="00EB6E3F">
        <w:rPr>
          <w:lang w:eastAsia="en-US"/>
        </w:rPr>
        <w:t xml:space="preserve"> is successfully completed</w:t>
      </w:r>
      <w:r w:rsidR="00140E49" w:rsidRPr="00EB6E3F">
        <w:rPr>
          <w:lang w:eastAsia="en-US"/>
        </w:rPr>
        <w:t>,</w:t>
      </w:r>
      <w:r w:rsidRPr="00EB6E3F">
        <w:rPr>
          <w:lang w:eastAsia="en-US"/>
        </w:rPr>
        <w:t xml:space="preserve"> the arbitrage returns are realised from the spread observed on the announcement date. </w:t>
      </w:r>
      <w:r w:rsidR="00D67BE4" w:rsidRPr="00EB6E3F">
        <w:rPr>
          <w:lang w:eastAsia="en-US"/>
        </w:rPr>
        <w:t xml:space="preserve"> </w:t>
      </w:r>
      <w:r w:rsidRPr="00EB6E3F">
        <w:rPr>
          <w:lang w:eastAsia="en-US"/>
        </w:rPr>
        <w:t>However</w:t>
      </w:r>
      <w:r w:rsidR="00140E49" w:rsidRPr="00EB6E3F">
        <w:rPr>
          <w:lang w:eastAsia="en-US"/>
        </w:rPr>
        <w:t>,</w:t>
      </w:r>
      <w:r w:rsidRPr="00EB6E3F">
        <w:rPr>
          <w:lang w:eastAsia="en-US"/>
        </w:rPr>
        <w:t xml:space="preserve"> if the deal </w:t>
      </w:r>
      <w:r w:rsidR="00D67BE4" w:rsidRPr="00EB6E3F">
        <w:rPr>
          <w:lang w:eastAsia="en-US"/>
        </w:rPr>
        <w:t xml:space="preserve">is </w:t>
      </w:r>
      <w:r w:rsidRPr="00EB6E3F">
        <w:rPr>
          <w:lang w:eastAsia="en-US"/>
        </w:rPr>
        <w:t>unsuccessful the</w:t>
      </w:r>
      <w:r w:rsidR="00D67BE4" w:rsidRPr="00EB6E3F">
        <w:rPr>
          <w:lang w:eastAsia="en-US"/>
        </w:rPr>
        <w:t xml:space="preserve">n the </w:t>
      </w:r>
      <w:r w:rsidRPr="00EB6E3F">
        <w:rPr>
          <w:lang w:eastAsia="en-US"/>
        </w:rPr>
        <w:lastRenderedPageBreak/>
        <w:t>arbitrageur is</w:t>
      </w:r>
      <w:r w:rsidR="00CC101D" w:rsidRPr="00EB6E3F">
        <w:rPr>
          <w:lang w:eastAsia="en-US"/>
        </w:rPr>
        <w:t xml:space="preserve"> </w:t>
      </w:r>
      <w:r w:rsidRPr="00EB6E3F">
        <w:rPr>
          <w:lang w:eastAsia="en-US"/>
        </w:rPr>
        <w:t>open to downside risk</w:t>
      </w:r>
      <w:r w:rsidR="00CC101D" w:rsidRPr="00EB6E3F">
        <w:rPr>
          <w:lang w:eastAsia="en-US"/>
        </w:rPr>
        <w:t xml:space="preserve"> from unwinding both the long and short positions previously entered into</w:t>
      </w:r>
      <w:r w:rsidRPr="00EB6E3F">
        <w:rPr>
          <w:lang w:eastAsia="en-US"/>
        </w:rPr>
        <w:t xml:space="preserve">. </w:t>
      </w:r>
    </w:p>
    <w:p w:rsidR="00E20A6D" w:rsidRPr="00EB6E3F" w:rsidRDefault="00E20A6D" w:rsidP="007B141D">
      <w:pPr>
        <w:spacing w:line="480" w:lineRule="auto"/>
        <w:jc w:val="both"/>
        <w:rPr>
          <w:lang w:eastAsia="en-US"/>
        </w:rPr>
      </w:pPr>
    </w:p>
    <w:p w:rsidR="007D20FD" w:rsidRPr="00EB6E3F" w:rsidRDefault="00CC101D" w:rsidP="007B141D">
      <w:pPr>
        <w:spacing w:line="480" w:lineRule="auto"/>
        <w:jc w:val="both"/>
        <w:rPr>
          <w:lang w:eastAsia="en-US"/>
        </w:rPr>
      </w:pPr>
      <w:r w:rsidRPr="007B20B5">
        <w:rPr>
          <w:bCs/>
          <w:lang w:eastAsia="en-US"/>
        </w:rPr>
        <w:t xml:space="preserve">Similar to Mitchell and </w:t>
      </w:r>
      <w:proofErr w:type="spellStart"/>
      <w:r w:rsidRPr="007B20B5">
        <w:rPr>
          <w:bCs/>
          <w:lang w:eastAsia="en-US"/>
        </w:rPr>
        <w:t>Pulvino</w:t>
      </w:r>
      <w:proofErr w:type="spellEnd"/>
      <w:r w:rsidRPr="007B20B5">
        <w:rPr>
          <w:bCs/>
          <w:lang w:eastAsia="en-US"/>
        </w:rPr>
        <w:t xml:space="preserve"> </w:t>
      </w:r>
      <w:r w:rsidR="00782103" w:rsidRPr="007B20B5">
        <w:rPr>
          <w:bCs/>
          <w:lang w:eastAsia="en-US"/>
        </w:rPr>
        <w:t>(</w:t>
      </w:r>
      <w:r w:rsidR="007B20B5" w:rsidRPr="007B20B5">
        <w:rPr>
          <w:bCs/>
          <w:lang w:eastAsia="en-US"/>
        </w:rPr>
        <w:t>2001</w:t>
      </w:r>
      <w:r w:rsidR="00782103" w:rsidRPr="007B20B5">
        <w:rPr>
          <w:bCs/>
          <w:lang w:eastAsia="en-US"/>
        </w:rPr>
        <w:t xml:space="preserve">) </w:t>
      </w:r>
      <w:r w:rsidRPr="007B20B5">
        <w:rPr>
          <w:bCs/>
          <w:lang w:eastAsia="en-US"/>
        </w:rPr>
        <w:t xml:space="preserve">and Kearney </w:t>
      </w:r>
      <w:r w:rsidRPr="007B20B5">
        <w:rPr>
          <w:bCs/>
          <w:i/>
          <w:lang w:eastAsia="en-US"/>
        </w:rPr>
        <w:t>et al</w:t>
      </w:r>
      <w:r w:rsidRPr="007B20B5">
        <w:rPr>
          <w:bCs/>
          <w:lang w:eastAsia="en-US"/>
        </w:rPr>
        <w:t>.</w:t>
      </w:r>
      <w:r w:rsidR="00782103" w:rsidRPr="007B20B5">
        <w:rPr>
          <w:bCs/>
          <w:lang w:eastAsia="en-US"/>
        </w:rPr>
        <w:t xml:space="preserve"> (</w:t>
      </w:r>
      <w:r w:rsidR="007B20B5" w:rsidRPr="007B20B5">
        <w:rPr>
          <w:bCs/>
          <w:lang w:eastAsia="en-US"/>
        </w:rPr>
        <w:t>2007</w:t>
      </w:r>
      <w:r w:rsidR="00782103" w:rsidRPr="007B20B5">
        <w:rPr>
          <w:bCs/>
          <w:lang w:eastAsia="en-US"/>
        </w:rPr>
        <w:t>),</w:t>
      </w:r>
      <w:r w:rsidRPr="00EB6E3F">
        <w:rPr>
          <w:bCs/>
          <w:lang w:eastAsia="en-US"/>
        </w:rPr>
        <w:t xml:space="preserve"> this study </w:t>
      </w:r>
      <w:r w:rsidR="00E20A6D" w:rsidRPr="00EB6E3F">
        <w:rPr>
          <w:lang w:eastAsia="en-US"/>
        </w:rPr>
        <w:t xml:space="preserve">establishes three separate merger arbitrage portfolios and charts their </w:t>
      </w:r>
      <w:r w:rsidRPr="00EB6E3F">
        <w:rPr>
          <w:lang w:eastAsia="en-US"/>
        </w:rPr>
        <w:t xml:space="preserve">progress over the sample period.  </w:t>
      </w:r>
      <w:r w:rsidR="00E20A6D" w:rsidRPr="00EB6E3F">
        <w:rPr>
          <w:lang w:eastAsia="en-US"/>
        </w:rPr>
        <w:t xml:space="preserve">The first </w:t>
      </w:r>
      <w:r w:rsidR="003D1F77" w:rsidRPr="00EB6E3F">
        <w:rPr>
          <w:lang w:eastAsia="en-US"/>
        </w:rPr>
        <w:t xml:space="preserve">two </w:t>
      </w:r>
      <w:proofErr w:type="gramStart"/>
      <w:r w:rsidR="00E20A6D" w:rsidRPr="00EB6E3F">
        <w:rPr>
          <w:lang w:eastAsia="en-US"/>
        </w:rPr>
        <w:t>are</w:t>
      </w:r>
      <w:proofErr w:type="gramEnd"/>
      <w:r w:rsidR="00E20A6D" w:rsidRPr="00EB6E3F">
        <w:rPr>
          <w:lang w:eastAsia="en-US"/>
        </w:rPr>
        <w:t xml:space="preserve"> </w:t>
      </w:r>
      <w:r w:rsidRPr="00EB6E3F">
        <w:rPr>
          <w:lang w:eastAsia="en-US"/>
        </w:rPr>
        <w:t xml:space="preserve">the </w:t>
      </w:r>
      <w:r w:rsidR="00E20A6D" w:rsidRPr="00EB6E3F">
        <w:rPr>
          <w:lang w:eastAsia="en-US"/>
        </w:rPr>
        <w:t>equally weighted (EWRA) and value weighted portfolios (VWRA)</w:t>
      </w:r>
      <w:r w:rsidR="003D1F77" w:rsidRPr="00EB6E3F">
        <w:rPr>
          <w:lang w:eastAsia="en-US"/>
        </w:rPr>
        <w:t>,</w:t>
      </w:r>
      <w:r w:rsidR="00225AB4">
        <w:rPr>
          <w:lang w:eastAsia="en-US"/>
        </w:rPr>
        <w:t xml:space="preserve"> respectively,</w:t>
      </w:r>
      <w:r w:rsidR="00E20A6D" w:rsidRPr="00EB6E3F">
        <w:rPr>
          <w:lang w:eastAsia="en-US"/>
        </w:rPr>
        <w:t xml:space="preserve"> </w:t>
      </w:r>
      <w:r w:rsidRPr="00EB6E3F">
        <w:rPr>
          <w:lang w:eastAsia="en-US"/>
        </w:rPr>
        <w:t>b</w:t>
      </w:r>
      <w:r w:rsidR="00E20A6D" w:rsidRPr="00EB6E3F">
        <w:rPr>
          <w:lang w:eastAsia="en-US"/>
        </w:rPr>
        <w:t xml:space="preserve">oth </w:t>
      </w:r>
      <w:r w:rsidRPr="00EB6E3F">
        <w:rPr>
          <w:lang w:eastAsia="en-US"/>
        </w:rPr>
        <w:t xml:space="preserve">of which </w:t>
      </w:r>
      <w:r w:rsidR="00E20A6D" w:rsidRPr="00EB6E3F">
        <w:rPr>
          <w:lang w:eastAsia="en-US"/>
        </w:rPr>
        <w:t>ignore transaction costs and other practical limitations</w:t>
      </w:r>
      <w:r w:rsidRPr="00EB6E3F">
        <w:rPr>
          <w:lang w:eastAsia="en-US"/>
        </w:rPr>
        <w:t xml:space="preserve"> and are used for the purposes of </w:t>
      </w:r>
      <w:r w:rsidR="00E20A6D" w:rsidRPr="00EB6E3F">
        <w:rPr>
          <w:lang w:eastAsia="en-US"/>
        </w:rPr>
        <w:t>comparison</w:t>
      </w:r>
      <w:r w:rsidRPr="00EB6E3F">
        <w:rPr>
          <w:lang w:eastAsia="en-US"/>
        </w:rPr>
        <w:t xml:space="preserve">.  </w:t>
      </w:r>
      <w:r w:rsidR="003D1F77" w:rsidRPr="00EB6E3F">
        <w:rPr>
          <w:lang w:eastAsia="en-US"/>
        </w:rPr>
        <w:t xml:space="preserve">The EWRA is calculated by simply averaging returns over 1,160 trading days where transactions were active (transactions which are absent are presumed to earn the risk free rate of return).  The VWRA takes the relative size (or value) of each transaction each day into </w:t>
      </w:r>
      <w:r w:rsidR="00782103" w:rsidRPr="00EB6E3F">
        <w:rPr>
          <w:lang w:eastAsia="en-US"/>
        </w:rPr>
        <w:t>consideration and</w:t>
      </w:r>
      <w:r w:rsidR="003D1F77" w:rsidRPr="00EB6E3F">
        <w:rPr>
          <w:lang w:eastAsia="en-US"/>
        </w:rPr>
        <w:t xml:space="preserve"> uses this relative daily weighti</w:t>
      </w:r>
      <w:r w:rsidR="007D20FD" w:rsidRPr="00EB6E3F">
        <w:rPr>
          <w:lang w:eastAsia="en-US"/>
        </w:rPr>
        <w:t>ng (where the sum of all weights each day</w:t>
      </w:r>
      <w:r w:rsidR="003D1F77" w:rsidRPr="00EB6E3F">
        <w:rPr>
          <w:lang w:eastAsia="en-US"/>
        </w:rPr>
        <w:t xml:space="preserve"> equals 1) to scale</w:t>
      </w:r>
      <w:r w:rsidR="007D20FD" w:rsidRPr="00EB6E3F">
        <w:rPr>
          <w:lang w:eastAsia="en-US"/>
        </w:rPr>
        <w:t xml:space="preserve"> each transaction</w:t>
      </w:r>
      <w:r w:rsidR="00782103" w:rsidRPr="00EB6E3F">
        <w:rPr>
          <w:lang w:eastAsia="en-US"/>
        </w:rPr>
        <w:t>’</w:t>
      </w:r>
      <w:r w:rsidR="007D20FD" w:rsidRPr="00EB6E3F">
        <w:rPr>
          <w:lang w:eastAsia="en-US"/>
        </w:rPr>
        <w:t>s return</w:t>
      </w:r>
      <w:r w:rsidR="00782103" w:rsidRPr="00EB6E3F">
        <w:rPr>
          <w:lang w:eastAsia="en-US"/>
        </w:rPr>
        <w:t xml:space="preserve">.  </w:t>
      </w:r>
      <w:r w:rsidR="003D1F77" w:rsidRPr="00EB6E3F">
        <w:rPr>
          <w:lang w:eastAsia="en-US"/>
        </w:rPr>
        <w:t>Similar to the equally weighted portfolio, it is assumed that the risk free rate of return can be achieved by transactions that are absent.</w:t>
      </w:r>
      <w:r w:rsidR="007D20FD" w:rsidRPr="00EB6E3F">
        <w:rPr>
          <w:lang w:eastAsia="en-US"/>
        </w:rPr>
        <w:t xml:space="preserve">  </w:t>
      </w:r>
    </w:p>
    <w:p w:rsidR="007D20FD" w:rsidRPr="00EB6E3F" w:rsidRDefault="007D20FD" w:rsidP="007B141D">
      <w:pPr>
        <w:spacing w:line="480" w:lineRule="auto"/>
        <w:jc w:val="both"/>
        <w:rPr>
          <w:lang w:eastAsia="en-US"/>
        </w:rPr>
      </w:pPr>
    </w:p>
    <w:p w:rsidR="000C4874" w:rsidRDefault="00E20A6D" w:rsidP="007B141D">
      <w:pPr>
        <w:spacing w:line="480" w:lineRule="auto"/>
        <w:jc w:val="both"/>
        <w:rPr>
          <w:lang w:eastAsia="en-US"/>
        </w:rPr>
      </w:pPr>
      <w:r w:rsidRPr="00EB6E3F">
        <w:rPr>
          <w:lang w:eastAsia="en-US"/>
        </w:rPr>
        <w:t xml:space="preserve">The third portfolio </w:t>
      </w:r>
      <w:r w:rsidR="00CC101D" w:rsidRPr="00EB6E3F">
        <w:rPr>
          <w:lang w:eastAsia="en-US"/>
        </w:rPr>
        <w:t xml:space="preserve">more realistically </w:t>
      </w:r>
      <w:r w:rsidRPr="00EB6E3F">
        <w:rPr>
          <w:lang w:eastAsia="en-US"/>
        </w:rPr>
        <w:t xml:space="preserve">emulates </w:t>
      </w:r>
      <w:r w:rsidR="00CC101D" w:rsidRPr="00EB6E3F">
        <w:rPr>
          <w:lang w:eastAsia="en-US"/>
        </w:rPr>
        <w:t xml:space="preserve">the performance of </w:t>
      </w:r>
      <w:r w:rsidRPr="00EB6E3F">
        <w:rPr>
          <w:lang w:eastAsia="en-US"/>
        </w:rPr>
        <w:t>a hypothetical risk arbitrage index manager (RAIM)</w:t>
      </w:r>
      <w:r w:rsidR="00CC101D" w:rsidRPr="00EB6E3F">
        <w:rPr>
          <w:lang w:eastAsia="en-US"/>
        </w:rPr>
        <w:t xml:space="preserve"> in that it </w:t>
      </w:r>
      <w:r w:rsidRPr="00EB6E3F">
        <w:rPr>
          <w:lang w:eastAsia="en-US"/>
        </w:rPr>
        <w:t xml:space="preserve">includes transaction costs. </w:t>
      </w:r>
      <w:r w:rsidR="007D20FD" w:rsidRPr="00EB6E3F">
        <w:rPr>
          <w:lang w:eastAsia="en-US"/>
        </w:rPr>
        <w:t xml:space="preserve"> </w:t>
      </w:r>
      <w:r w:rsidR="000C4874" w:rsidRPr="00EB6E3F">
        <w:rPr>
          <w:lang w:eastAsia="en-US"/>
        </w:rPr>
        <w:t xml:space="preserve">Because all of the share prices are taken from the </w:t>
      </w:r>
      <w:r w:rsidR="000C4874" w:rsidRPr="00EB6E3F">
        <w:rPr>
          <w:bCs/>
          <w:lang w:eastAsia="en-US"/>
        </w:rPr>
        <w:t xml:space="preserve">Frankfurt stock exchange, the relevant transaction costs </w:t>
      </w:r>
      <w:r w:rsidR="000C4874" w:rsidRPr="00EB6E3F">
        <w:rPr>
          <w:lang w:eastAsia="en-US"/>
        </w:rPr>
        <w:t xml:space="preserve">to be included in the risk arbitrage index manager portfolio are sourced from the Deutsche </w:t>
      </w:r>
      <w:proofErr w:type="spellStart"/>
      <w:r w:rsidR="00782103" w:rsidRPr="00EB6E3F">
        <w:rPr>
          <w:lang w:eastAsia="en-US"/>
        </w:rPr>
        <w:t>Boerse</w:t>
      </w:r>
      <w:proofErr w:type="spellEnd"/>
      <w:r w:rsidR="000C4874" w:rsidRPr="00EB6E3F">
        <w:rPr>
          <w:lang w:eastAsia="en-US"/>
        </w:rPr>
        <w:t xml:space="preserve"> which provides </w:t>
      </w:r>
      <w:r w:rsidR="00A16E1E">
        <w:rPr>
          <w:lang w:eastAsia="en-US"/>
        </w:rPr>
        <w:t>prices</w:t>
      </w:r>
      <w:r w:rsidR="000C4874" w:rsidRPr="00EB6E3F">
        <w:rPr>
          <w:lang w:eastAsia="en-US"/>
        </w:rPr>
        <w:t xml:space="preserve"> for using the Frankfurt Stock Exchange trading system (see Table 2).  </w:t>
      </w:r>
    </w:p>
    <w:p w:rsidR="000C25B3" w:rsidRDefault="000C25B3">
      <w:pPr>
        <w:spacing w:after="200" w:line="276" w:lineRule="auto"/>
        <w:rPr>
          <w:lang w:eastAsia="en-US"/>
        </w:rPr>
      </w:pPr>
      <w:r>
        <w:rPr>
          <w:lang w:eastAsia="en-US"/>
        </w:rPr>
        <w:br w:type="page"/>
      </w:r>
    </w:p>
    <w:p w:rsidR="000C25B3" w:rsidRPr="00EB6E3F" w:rsidRDefault="000C25B3" w:rsidP="000C25B3">
      <w:pPr>
        <w:rPr>
          <w:b/>
          <w:lang w:eastAsia="en-US"/>
        </w:rPr>
      </w:pPr>
      <w:r w:rsidRPr="00EB6E3F">
        <w:rPr>
          <w:b/>
          <w:lang w:eastAsia="en-US"/>
        </w:rPr>
        <w:lastRenderedPageBreak/>
        <w:t>Table 2</w:t>
      </w:r>
      <w:r w:rsidRPr="00EB6E3F">
        <w:rPr>
          <w:b/>
          <w:lang w:eastAsia="en-US"/>
        </w:rPr>
        <w:tab/>
        <w:t>Transaction Costs on the Frankfurt Stock Exchange</w:t>
      </w:r>
    </w:p>
    <w:p w:rsidR="000C25B3" w:rsidRPr="00EB6E3F" w:rsidRDefault="000C25B3" w:rsidP="000C25B3">
      <w:pPr>
        <w:jc w:val="both"/>
        <w:rPr>
          <w:lang w:eastAsia="en-US"/>
        </w:rPr>
      </w:pPr>
    </w:p>
    <w:tbl>
      <w:tblPr>
        <w:tblW w:w="8475" w:type="dxa"/>
        <w:tblInd w:w="93" w:type="dxa"/>
        <w:tblLook w:val="0000" w:firstRow="0" w:lastRow="0" w:firstColumn="0" w:lastColumn="0" w:noHBand="0" w:noVBand="0"/>
      </w:tblPr>
      <w:tblGrid>
        <w:gridCol w:w="2175"/>
        <w:gridCol w:w="1980"/>
        <w:gridCol w:w="2340"/>
        <w:gridCol w:w="1980"/>
      </w:tblGrid>
      <w:tr w:rsidR="000C25B3" w:rsidRPr="00EB6E3F" w:rsidTr="000372C1">
        <w:trPr>
          <w:trHeight w:val="270"/>
        </w:trPr>
        <w:tc>
          <w:tcPr>
            <w:tcW w:w="2175" w:type="dxa"/>
            <w:tcBorders>
              <w:top w:val="single" w:sz="4" w:space="0" w:color="auto"/>
              <w:left w:val="nil"/>
              <w:bottom w:val="double" w:sz="6" w:space="0" w:color="auto"/>
              <w:right w:val="nil"/>
            </w:tcBorders>
            <w:shd w:val="clear" w:color="auto" w:fill="auto"/>
            <w:noWrap/>
            <w:vAlign w:val="bottom"/>
          </w:tcPr>
          <w:p w:rsidR="000C25B3" w:rsidRPr="00EB6E3F" w:rsidRDefault="000C25B3" w:rsidP="000372C1">
            <w:pPr>
              <w:jc w:val="both"/>
              <w:rPr>
                <w:b/>
                <w:lang w:eastAsia="en-US"/>
              </w:rPr>
            </w:pPr>
            <w:r w:rsidRPr="00EB6E3F">
              <w:rPr>
                <w:b/>
                <w:lang w:eastAsia="en-US"/>
              </w:rPr>
              <w:t>Fee Model</w:t>
            </w:r>
          </w:p>
        </w:tc>
        <w:tc>
          <w:tcPr>
            <w:tcW w:w="1980" w:type="dxa"/>
            <w:tcBorders>
              <w:top w:val="single" w:sz="4" w:space="0" w:color="auto"/>
              <w:left w:val="nil"/>
              <w:bottom w:val="double" w:sz="6" w:space="0" w:color="auto"/>
              <w:right w:val="nil"/>
            </w:tcBorders>
            <w:shd w:val="clear" w:color="auto" w:fill="auto"/>
            <w:noWrap/>
            <w:vAlign w:val="bottom"/>
          </w:tcPr>
          <w:p w:rsidR="000C25B3" w:rsidRPr="00EB6E3F" w:rsidRDefault="000C25B3" w:rsidP="000372C1">
            <w:pPr>
              <w:jc w:val="center"/>
              <w:rPr>
                <w:b/>
                <w:lang w:eastAsia="en-US"/>
              </w:rPr>
            </w:pPr>
            <w:r w:rsidRPr="00EB6E3F">
              <w:rPr>
                <w:b/>
                <w:lang w:eastAsia="en-US"/>
              </w:rPr>
              <w:t>Floor per order (€)</w:t>
            </w:r>
          </w:p>
        </w:tc>
        <w:tc>
          <w:tcPr>
            <w:tcW w:w="2340" w:type="dxa"/>
            <w:tcBorders>
              <w:top w:val="single" w:sz="4" w:space="0" w:color="auto"/>
              <w:left w:val="nil"/>
              <w:bottom w:val="double" w:sz="6" w:space="0" w:color="auto"/>
              <w:right w:val="nil"/>
            </w:tcBorders>
            <w:shd w:val="clear" w:color="auto" w:fill="auto"/>
            <w:noWrap/>
            <w:vAlign w:val="bottom"/>
          </w:tcPr>
          <w:p w:rsidR="000C25B3" w:rsidRPr="00EB6E3F" w:rsidRDefault="000C25B3" w:rsidP="000372C1">
            <w:pPr>
              <w:jc w:val="center"/>
              <w:rPr>
                <w:b/>
                <w:lang w:eastAsia="en-US"/>
              </w:rPr>
            </w:pPr>
            <w:r w:rsidRPr="00EB6E3F">
              <w:rPr>
                <w:b/>
                <w:lang w:eastAsia="en-US"/>
              </w:rPr>
              <w:t>Value based price</w:t>
            </w:r>
          </w:p>
        </w:tc>
        <w:tc>
          <w:tcPr>
            <w:tcW w:w="1980" w:type="dxa"/>
            <w:tcBorders>
              <w:top w:val="single" w:sz="4" w:space="0" w:color="auto"/>
              <w:left w:val="nil"/>
              <w:bottom w:val="double" w:sz="6" w:space="0" w:color="auto"/>
              <w:right w:val="nil"/>
            </w:tcBorders>
            <w:shd w:val="clear" w:color="auto" w:fill="auto"/>
            <w:noWrap/>
            <w:vAlign w:val="bottom"/>
          </w:tcPr>
          <w:p w:rsidR="000C25B3" w:rsidRPr="00EB6E3F" w:rsidRDefault="000C25B3" w:rsidP="000372C1">
            <w:pPr>
              <w:jc w:val="center"/>
              <w:rPr>
                <w:b/>
                <w:lang w:eastAsia="en-US"/>
              </w:rPr>
            </w:pPr>
            <w:r w:rsidRPr="00EB6E3F">
              <w:rPr>
                <w:b/>
                <w:lang w:eastAsia="en-US"/>
              </w:rPr>
              <w:t>Cap per order (€)</w:t>
            </w:r>
          </w:p>
        </w:tc>
      </w:tr>
      <w:tr w:rsidR="000C25B3" w:rsidRPr="00EB6E3F" w:rsidTr="000372C1">
        <w:trPr>
          <w:trHeight w:val="270"/>
        </w:trPr>
        <w:tc>
          <w:tcPr>
            <w:tcW w:w="2175" w:type="dxa"/>
            <w:tcBorders>
              <w:top w:val="nil"/>
              <w:left w:val="nil"/>
              <w:bottom w:val="nil"/>
              <w:right w:val="nil"/>
            </w:tcBorders>
            <w:shd w:val="clear" w:color="auto" w:fill="auto"/>
            <w:noWrap/>
            <w:vAlign w:val="bottom"/>
          </w:tcPr>
          <w:p w:rsidR="000C25B3" w:rsidRPr="00EB6E3F" w:rsidRDefault="000C25B3" w:rsidP="000372C1">
            <w:pPr>
              <w:jc w:val="both"/>
              <w:rPr>
                <w:lang w:eastAsia="en-US"/>
              </w:rPr>
            </w:pPr>
          </w:p>
        </w:tc>
        <w:tc>
          <w:tcPr>
            <w:tcW w:w="1980" w:type="dxa"/>
            <w:tcBorders>
              <w:top w:val="nil"/>
              <w:left w:val="nil"/>
              <w:bottom w:val="nil"/>
              <w:right w:val="nil"/>
            </w:tcBorders>
            <w:shd w:val="clear" w:color="auto" w:fill="auto"/>
            <w:noWrap/>
            <w:vAlign w:val="bottom"/>
          </w:tcPr>
          <w:p w:rsidR="000C25B3" w:rsidRPr="00EB6E3F" w:rsidRDefault="000C25B3" w:rsidP="000372C1">
            <w:pPr>
              <w:jc w:val="both"/>
              <w:rPr>
                <w:lang w:eastAsia="en-US"/>
              </w:rPr>
            </w:pPr>
          </w:p>
        </w:tc>
        <w:tc>
          <w:tcPr>
            <w:tcW w:w="234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c>
          <w:tcPr>
            <w:tcW w:w="1980" w:type="dxa"/>
            <w:tcBorders>
              <w:top w:val="nil"/>
              <w:left w:val="nil"/>
              <w:bottom w:val="nil"/>
              <w:right w:val="nil"/>
            </w:tcBorders>
            <w:shd w:val="clear" w:color="auto" w:fill="auto"/>
            <w:noWrap/>
            <w:vAlign w:val="bottom"/>
          </w:tcPr>
          <w:p w:rsidR="000C25B3" w:rsidRPr="00EB6E3F" w:rsidRDefault="000C25B3" w:rsidP="000372C1">
            <w:pPr>
              <w:jc w:val="both"/>
              <w:rPr>
                <w:lang w:eastAsia="en-US"/>
              </w:rPr>
            </w:pPr>
          </w:p>
        </w:tc>
      </w:tr>
      <w:tr w:rsidR="000C25B3" w:rsidRPr="00EB6E3F" w:rsidTr="000372C1">
        <w:trPr>
          <w:trHeight w:val="255"/>
        </w:trPr>
        <w:tc>
          <w:tcPr>
            <w:tcW w:w="2175" w:type="dxa"/>
            <w:tcBorders>
              <w:top w:val="nil"/>
              <w:left w:val="nil"/>
              <w:bottom w:val="nil"/>
              <w:right w:val="nil"/>
            </w:tcBorders>
            <w:shd w:val="clear" w:color="auto" w:fill="auto"/>
            <w:noWrap/>
            <w:vAlign w:val="bottom"/>
          </w:tcPr>
          <w:p w:rsidR="000C25B3" w:rsidRPr="00EB6E3F" w:rsidRDefault="000C25B3" w:rsidP="000372C1">
            <w:pPr>
              <w:jc w:val="both"/>
              <w:rPr>
                <w:b/>
                <w:lang w:eastAsia="en-US"/>
              </w:rPr>
            </w:pPr>
            <w:r w:rsidRPr="00EB6E3F">
              <w:rPr>
                <w:b/>
                <w:lang w:eastAsia="en-US"/>
              </w:rPr>
              <w:t>High Volume</w:t>
            </w: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0.60</w:t>
            </w:r>
          </w:p>
        </w:tc>
        <w:tc>
          <w:tcPr>
            <w:tcW w:w="234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0.48  Basis points</w:t>
            </w: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18.00</w:t>
            </w:r>
          </w:p>
        </w:tc>
      </w:tr>
      <w:tr w:rsidR="000C25B3" w:rsidRPr="00EB6E3F" w:rsidTr="000372C1">
        <w:trPr>
          <w:trHeight w:val="255"/>
        </w:trPr>
        <w:tc>
          <w:tcPr>
            <w:tcW w:w="2175" w:type="dxa"/>
            <w:tcBorders>
              <w:top w:val="nil"/>
              <w:left w:val="nil"/>
              <w:bottom w:val="nil"/>
              <w:right w:val="nil"/>
            </w:tcBorders>
            <w:shd w:val="clear" w:color="auto" w:fill="auto"/>
            <w:noWrap/>
            <w:vAlign w:val="bottom"/>
          </w:tcPr>
          <w:p w:rsidR="000C25B3" w:rsidRPr="00EB6E3F" w:rsidRDefault="000C25B3" w:rsidP="000372C1">
            <w:pPr>
              <w:jc w:val="both"/>
              <w:rPr>
                <w:b/>
                <w:lang w:eastAsia="en-US"/>
              </w:rPr>
            </w:pP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c>
          <w:tcPr>
            <w:tcW w:w="234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r>
      <w:tr w:rsidR="000C25B3" w:rsidRPr="00EB6E3F" w:rsidTr="000372C1">
        <w:trPr>
          <w:trHeight w:val="255"/>
        </w:trPr>
        <w:tc>
          <w:tcPr>
            <w:tcW w:w="2175" w:type="dxa"/>
            <w:tcBorders>
              <w:top w:val="nil"/>
              <w:left w:val="nil"/>
              <w:bottom w:val="nil"/>
              <w:right w:val="nil"/>
            </w:tcBorders>
            <w:shd w:val="clear" w:color="auto" w:fill="auto"/>
            <w:noWrap/>
            <w:vAlign w:val="bottom"/>
          </w:tcPr>
          <w:p w:rsidR="000C25B3" w:rsidRPr="00EB6E3F" w:rsidRDefault="000C25B3" w:rsidP="000372C1">
            <w:pPr>
              <w:jc w:val="both"/>
              <w:rPr>
                <w:b/>
                <w:lang w:eastAsia="en-US"/>
              </w:rPr>
            </w:pPr>
            <w:r w:rsidRPr="00EB6E3F">
              <w:rPr>
                <w:b/>
                <w:lang w:eastAsia="en-US"/>
              </w:rPr>
              <w:t>Medium Volume</w:t>
            </w: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0.63</w:t>
            </w:r>
          </w:p>
        </w:tc>
        <w:tc>
          <w:tcPr>
            <w:tcW w:w="234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0.504  Basis points</w:t>
            </w: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18.90</w:t>
            </w:r>
          </w:p>
        </w:tc>
      </w:tr>
      <w:tr w:rsidR="000C25B3" w:rsidRPr="00EB6E3F" w:rsidTr="000372C1">
        <w:trPr>
          <w:trHeight w:val="255"/>
        </w:trPr>
        <w:tc>
          <w:tcPr>
            <w:tcW w:w="2175" w:type="dxa"/>
            <w:tcBorders>
              <w:top w:val="nil"/>
              <w:left w:val="nil"/>
              <w:bottom w:val="nil"/>
              <w:right w:val="nil"/>
            </w:tcBorders>
            <w:shd w:val="clear" w:color="auto" w:fill="auto"/>
            <w:noWrap/>
            <w:vAlign w:val="bottom"/>
          </w:tcPr>
          <w:p w:rsidR="000C25B3" w:rsidRPr="00EB6E3F" w:rsidRDefault="000C25B3" w:rsidP="000372C1">
            <w:pPr>
              <w:jc w:val="both"/>
              <w:rPr>
                <w:b/>
                <w:lang w:eastAsia="en-US"/>
              </w:rPr>
            </w:pP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c>
          <w:tcPr>
            <w:tcW w:w="234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p>
        </w:tc>
      </w:tr>
      <w:tr w:rsidR="000C25B3" w:rsidRPr="00EB6E3F" w:rsidTr="000372C1">
        <w:trPr>
          <w:trHeight w:val="255"/>
        </w:trPr>
        <w:tc>
          <w:tcPr>
            <w:tcW w:w="2175" w:type="dxa"/>
            <w:tcBorders>
              <w:top w:val="nil"/>
              <w:left w:val="nil"/>
              <w:bottom w:val="nil"/>
              <w:right w:val="nil"/>
            </w:tcBorders>
            <w:shd w:val="clear" w:color="auto" w:fill="auto"/>
            <w:noWrap/>
            <w:vAlign w:val="bottom"/>
          </w:tcPr>
          <w:p w:rsidR="000C25B3" w:rsidRPr="00EB6E3F" w:rsidRDefault="000C25B3" w:rsidP="000372C1">
            <w:pPr>
              <w:jc w:val="both"/>
              <w:rPr>
                <w:b/>
                <w:lang w:eastAsia="en-US"/>
              </w:rPr>
            </w:pPr>
            <w:r w:rsidRPr="00EB6E3F">
              <w:rPr>
                <w:b/>
                <w:lang w:eastAsia="en-US"/>
              </w:rPr>
              <w:t>Low Volume</w:t>
            </w: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0.69</w:t>
            </w:r>
          </w:p>
        </w:tc>
        <w:tc>
          <w:tcPr>
            <w:tcW w:w="234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0.552  Basis points</w:t>
            </w:r>
          </w:p>
        </w:tc>
        <w:tc>
          <w:tcPr>
            <w:tcW w:w="1980" w:type="dxa"/>
            <w:tcBorders>
              <w:top w:val="nil"/>
              <w:left w:val="nil"/>
              <w:bottom w:val="nil"/>
              <w:right w:val="nil"/>
            </w:tcBorders>
            <w:shd w:val="clear" w:color="auto" w:fill="auto"/>
            <w:noWrap/>
            <w:vAlign w:val="bottom"/>
          </w:tcPr>
          <w:p w:rsidR="000C25B3" w:rsidRPr="00EB6E3F" w:rsidRDefault="000C25B3" w:rsidP="000372C1">
            <w:pPr>
              <w:jc w:val="center"/>
              <w:rPr>
                <w:lang w:eastAsia="en-US"/>
              </w:rPr>
            </w:pPr>
            <w:r w:rsidRPr="00EB6E3F">
              <w:rPr>
                <w:lang w:eastAsia="en-US"/>
              </w:rPr>
              <w:t>20.70</w:t>
            </w:r>
          </w:p>
        </w:tc>
      </w:tr>
      <w:tr w:rsidR="000C25B3" w:rsidRPr="00EB6E3F" w:rsidTr="000372C1">
        <w:trPr>
          <w:trHeight w:val="270"/>
        </w:trPr>
        <w:tc>
          <w:tcPr>
            <w:tcW w:w="2175" w:type="dxa"/>
            <w:tcBorders>
              <w:top w:val="nil"/>
              <w:left w:val="nil"/>
              <w:bottom w:val="double" w:sz="6" w:space="0" w:color="auto"/>
              <w:right w:val="nil"/>
            </w:tcBorders>
            <w:shd w:val="clear" w:color="auto" w:fill="auto"/>
            <w:noWrap/>
            <w:vAlign w:val="bottom"/>
          </w:tcPr>
          <w:p w:rsidR="000C25B3" w:rsidRPr="00EB6E3F" w:rsidRDefault="000C25B3" w:rsidP="000372C1">
            <w:pPr>
              <w:jc w:val="both"/>
              <w:rPr>
                <w:lang w:eastAsia="en-US"/>
              </w:rPr>
            </w:pPr>
          </w:p>
        </w:tc>
        <w:tc>
          <w:tcPr>
            <w:tcW w:w="1980" w:type="dxa"/>
            <w:tcBorders>
              <w:top w:val="nil"/>
              <w:left w:val="nil"/>
              <w:bottom w:val="double" w:sz="6" w:space="0" w:color="auto"/>
              <w:right w:val="nil"/>
            </w:tcBorders>
            <w:shd w:val="clear" w:color="auto" w:fill="auto"/>
            <w:noWrap/>
            <w:vAlign w:val="bottom"/>
          </w:tcPr>
          <w:p w:rsidR="000C25B3" w:rsidRPr="00EB6E3F" w:rsidRDefault="000C25B3" w:rsidP="000372C1">
            <w:pPr>
              <w:jc w:val="both"/>
              <w:rPr>
                <w:lang w:eastAsia="en-US"/>
              </w:rPr>
            </w:pPr>
          </w:p>
        </w:tc>
        <w:tc>
          <w:tcPr>
            <w:tcW w:w="2340" w:type="dxa"/>
            <w:tcBorders>
              <w:top w:val="nil"/>
              <w:left w:val="nil"/>
              <w:bottom w:val="double" w:sz="6" w:space="0" w:color="auto"/>
              <w:right w:val="nil"/>
            </w:tcBorders>
            <w:shd w:val="clear" w:color="auto" w:fill="auto"/>
            <w:noWrap/>
            <w:vAlign w:val="bottom"/>
          </w:tcPr>
          <w:p w:rsidR="000C25B3" w:rsidRPr="00EB6E3F" w:rsidRDefault="000C25B3" w:rsidP="000372C1">
            <w:pPr>
              <w:jc w:val="both"/>
              <w:rPr>
                <w:lang w:eastAsia="en-US"/>
              </w:rPr>
            </w:pPr>
          </w:p>
        </w:tc>
        <w:tc>
          <w:tcPr>
            <w:tcW w:w="1980" w:type="dxa"/>
            <w:tcBorders>
              <w:top w:val="nil"/>
              <w:left w:val="nil"/>
              <w:bottom w:val="double" w:sz="6" w:space="0" w:color="auto"/>
              <w:right w:val="nil"/>
            </w:tcBorders>
            <w:shd w:val="clear" w:color="auto" w:fill="auto"/>
            <w:noWrap/>
            <w:vAlign w:val="bottom"/>
          </w:tcPr>
          <w:p w:rsidR="000C25B3" w:rsidRPr="00EB6E3F" w:rsidRDefault="000C25B3" w:rsidP="000372C1">
            <w:pPr>
              <w:jc w:val="both"/>
              <w:rPr>
                <w:lang w:eastAsia="en-US"/>
              </w:rPr>
            </w:pPr>
          </w:p>
        </w:tc>
      </w:tr>
    </w:tbl>
    <w:p w:rsidR="000C25B3" w:rsidRPr="00EB6E3F" w:rsidRDefault="000C25B3" w:rsidP="000C25B3">
      <w:pPr>
        <w:jc w:val="both"/>
        <w:rPr>
          <w:sz w:val="20"/>
          <w:szCs w:val="20"/>
          <w:lang w:eastAsia="en-US"/>
        </w:rPr>
      </w:pPr>
      <w:r w:rsidRPr="00EB6E3F">
        <w:rPr>
          <w:sz w:val="20"/>
          <w:szCs w:val="20"/>
          <w:lang w:eastAsia="en-US"/>
        </w:rPr>
        <w:t>T</w:t>
      </w:r>
      <w:r>
        <w:rPr>
          <w:sz w:val="20"/>
          <w:szCs w:val="20"/>
          <w:lang w:eastAsia="en-US"/>
        </w:rPr>
        <w:t>his t</w:t>
      </w:r>
      <w:r w:rsidRPr="00EB6E3F">
        <w:rPr>
          <w:sz w:val="20"/>
          <w:szCs w:val="20"/>
          <w:lang w:eastAsia="en-US"/>
        </w:rPr>
        <w:t xml:space="preserve">able presents the transaction costs per order for the equity transactions in the portfolio. </w:t>
      </w:r>
    </w:p>
    <w:p w:rsidR="00782103" w:rsidRPr="00EB6E3F" w:rsidRDefault="00782103" w:rsidP="007D20FD">
      <w:pPr>
        <w:spacing w:line="480" w:lineRule="auto"/>
        <w:jc w:val="both"/>
        <w:rPr>
          <w:lang w:eastAsia="en-US"/>
        </w:rPr>
      </w:pPr>
    </w:p>
    <w:p w:rsidR="007D20FD" w:rsidRPr="00EB6E3F" w:rsidRDefault="007D20FD" w:rsidP="007B141D">
      <w:pPr>
        <w:spacing w:line="480" w:lineRule="auto"/>
        <w:jc w:val="both"/>
        <w:rPr>
          <w:lang w:eastAsia="en-US"/>
        </w:rPr>
      </w:pPr>
      <w:r w:rsidRPr="00EB6E3F">
        <w:rPr>
          <w:lang w:eastAsia="en-US"/>
        </w:rPr>
        <w:t>In addition to the inclusion of transaction costs, a limit is placed on the amount of investment capital available because, in the real world, arbitrageurs do not have unlimited capital to invest (</w:t>
      </w:r>
      <w:proofErr w:type="spellStart"/>
      <w:r w:rsidRPr="00EB6E3F">
        <w:rPr>
          <w:lang w:eastAsia="en-US"/>
        </w:rPr>
        <w:t>Schleifer</w:t>
      </w:r>
      <w:proofErr w:type="spellEnd"/>
      <w:r w:rsidRPr="00EB6E3F">
        <w:rPr>
          <w:lang w:eastAsia="en-US"/>
        </w:rPr>
        <w:t xml:space="preserve"> </w:t>
      </w:r>
      <w:r w:rsidR="00782103" w:rsidRPr="00EB6E3F">
        <w:rPr>
          <w:lang w:eastAsia="en-US"/>
        </w:rPr>
        <w:t>and</w:t>
      </w:r>
      <w:r w:rsidRPr="00EB6E3F">
        <w:rPr>
          <w:lang w:eastAsia="en-US"/>
        </w:rPr>
        <w:t xml:space="preserve"> </w:t>
      </w:r>
      <w:proofErr w:type="spellStart"/>
      <w:r w:rsidRPr="00EB6E3F">
        <w:rPr>
          <w:lang w:eastAsia="en-US"/>
        </w:rPr>
        <w:t>Vishney</w:t>
      </w:r>
      <w:proofErr w:type="spellEnd"/>
      <w:r w:rsidRPr="00EB6E3F">
        <w:rPr>
          <w:lang w:eastAsia="en-US"/>
        </w:rPr>
        <w:t xml:space="preserve">, 1997). </w:t>
      </w:r>
      <w:r w:rsidR="00782103" w:rsidRPr="00EB6E3F">
        <w:rPr>
          <w:lang w:eastAsia="en-US"/>
        </w:rPr>
        <w:t xml:space="preserve"> </w:t>
      </w:r>
      <w:r w:rsidRPr="00EB6E3F">
        <w:rPr>
          <w:lang w:eastAsia="en-US"/>
        </w:rPr>
        <w:t xml:space="preserve">Specifically, as mergers are announced the €1.0 million capital is invested.  Each transaction is attributed an amount which is equally weighted throughout the sample period subject to the condition that no investment can correspond to more than 10% of the total portfolio value at any time. </w:t>
      </w:r>
      <w:r w:rsidR="00782103" w:rsidRPr="00EB6E3F">
        <w:rPr>
          <w:lang w:eastAsia="en-US"/>
        </w:rPr>
        <w:t xml:space="preserve"> </w:t>
      </w:r>
      <w:r w:rsidRPr="00EB6E3F">
        <w:rPr>
          <w:lang w:eastAsia="en-US"/>
        </w:rPr>
        <w:t xml:space="preserve">This additional condition is in place to protect arbitrageurs from downside risk caused by unsuccessful transactions. </w:t>
      </w:r>
      <w:r w:rsidR="00782103" w:rsidRPr="00EB6E3F">
        <w:rPr>
          <w:lang w:eastAsia="en-US"/>
        </w:rPr>
        <w:t xml:space="preserve"> </w:t>
      </w:r>
      <w:r w:rsidRPr="00EB6E3F">
        <w:rPr>
          <w:lang w:eastAsia="en-US"/>
        </w:rPr>
        <w:t xml:space="preserve">Returns calculated from active transactions are summed daily. </w:t>
      </w:r>
      <w:r w:rsidR="00782103" w:rsidRPr="00EB6E3F">
        <w:rPr>
          <w:lang w:eastAsia="en-US"/>
        </w:rPr>
        <w:t xml:space="preserve"> </w:t>
      </w:r>
      <w:r w:rsidRPr="00EB6E3F">
        <w:rPr>
          <w:lang w:eastAsia="en-US"/>
        </w:rPr>
        <w:t xml:space="preserve">This is an important process as it provides the position value inclusive of open positions over the 1,160 trading days.  </w:t>
      </w:r>
    </w:p>
    <w:p w:rsidR="00E20A6D" w:rsidRPr="00EB6E3F" w:rsidRDefault="00E20A6D" w:rsidP="007B141D">
      <w:pPr>
        <w:spacing w:line="480" w:lineRule="auto"/>
        <w:jc w:val="both"/>
        <w:rPr>
          <w:lang w:eastAsia="en-US"/>
        </w:rPr>
      </w:pPr>
    </w:p>
    <w:p w:rsidR="00782103" w:rsidRPr="00EB6E3F" w:rsidRDefault="004F5224" w:rsidP="00147003">
      <w:pPr>
        <w:spacing w:line="480" w:lineRule="auto"/>
        <w:ind w:left="567" w:hanging="567"/>
        <w:jc w:val="both"/>
        <w:rPr>
          <w:b/>
          <w:lang w:eastAsia="en-US"/>
        </w:rPr>
      </w:pPr>
      <w:r>
        <w:rPr>
          <w:b/>
          <w:lang w:eastAsia="en-US"/>
        </w:rPr>
        <w:t>3</w:t>
      </w:r>
      <w:r w:rsidR="00147003">
        <w:rPr>
          <w:b/>
          <w:lang w:eastAsia="en-US"/>
        </w:rPr>
        <w:t>.2</w:t>
      </w:r>
      <w:r w:rsidR="00147003">
        <w:rPr>
          <w:b/>
          <w:lang w:eastAsia="en-US"/>
        </w:rPr>
        <w:tab/>
      </w:r>
      <w:r w:rsidR="00782103" w:rsidRPr="00EB6E3F">
        <w:rPr>
          <w:b/>
          <w:lang w:eastAsia="en-US"/>
        </w:rPr>
        <w:t>Regression Equations</w:t>
      </w:r>
    </w:p>
    <w:p w:rsidR="00D9447F" w:rsidRPr="00EB6E3F" w:rsidRDefault="00E20A6D" w:rsidP="007B141D">
      <w:pPr>
        <w:spacing w:line="480" w:lineRule="auto"/>
        <w:jc w:val="both"/>
        <w:rPr>
          <w:lang w:eastAsia="en-US"/>
        </w:rPr>
      </w:pPr>
      <w:r w:rsidRPr="00EB6E3F">
        <w:rPr>
          <w:lang w:eastAsia="en-US"/>
        </w:rPr>
        <w:t xml:space="preserve">Much of the </w:t>
      </w:r>
      <w:r w:rsidR="00241D4B" w:rsidRPr="00EB6E3F">
        <w:rPr>
          <w:lang w:eastAsia="en-US"/>
        </w:rPr>
        <w:t>extant</w:t>
      </w:r>
      <w:r w:rsidRPr="00EB6E3F">
        <w:rPr>
          <w:lang w:eastAsia="en-US"/>
        </w:rPr>
        <w:t xml:space="preserve"> literature has attributed the returns achieved by the </w:t>
      </w:r>
      <w:r w:rsidR="00241D4B" w:rsidRPr="00EB6E3F">
        <w:rPr>
          <w:lang w:eastAsia="en-US"/>
        </w:rPr>
        <w:t xml:space="preserve">merger arbitrage </w:t>
      </w:r>
      <w:r w:rsidRPr="00EB6E3F">
        <w:rPr>
          <w:lang w:eastAsia="en-US"/>
        </w:rPr>
        <w:t xml:space="preserve">trading strategy </w:t>
      </w:r>
      <w:r w:rsidR="00241D4B" w:rsidRPr="00EB6E3F">
        <w:rPr>
          <w:lang w:eastAsia="en-US"/>
        </w:rPr>
        <w:t xml:space="preserve">to compensation commensurate with </w:t>
      </w:r>
      <w:r w:rsidRPr="00EB6E3F">
        <w:rPr>
          <w:lang w:eastAsia="en-US"/>
        </w:rPr>
        <w:t>bearing large amounts of unsystematic risk</w:t>
      </w:r>
      <w:r w:rsidR="00241D4B" w:rsidRPr="00EB6E3F">
        <w:rPr>
          <w:lang w:eastAsia="en-US"/>
        </w:rPr>
        <w:t>, i.e.</w:t>
      </w:r>
      <w:r w:rsidRPr="00EB6E3F">
        <w:rPr>
          <w:lang w:eastAsia="en-US"/>
        </w:rPr>
        <w:t xml:space="preserve"> the inherent risk that the </w:t>
      </w:r>
      <w:r w:rsidR="00241D4B" w:rsidRPr="00EB6E3F">
        <w:rPr>
          <w:lang w:eastAsia="en-US"/>
        </w:rPr>
        <w:t xml:space="preserve">proposed </w:t>
      </w:r>
      <w:r w:rsidRPr="00EB6E3F">
        <w:rPr>
          <w:lang w:eastAsia="en-US"/>
        </w:rPr>
        <w:t xml:space="preserve">merger will </w:t>
      </w:r>
      <w:r w:rsidR="00241D4B" w:rsidRPr="00EB6E3F">
        <w:rPr>
          <w:lang w:eastAsia="en-US"/>
        </w:rPr>
        <w:t>not be a success and so expose</w:t>
      </w:r>
      <w:r w:rsidRPr="00EB6E3F">
        <w:rPr>
          <w:lang w:eastAsia="en-US"/>
        </w:rPr>
        <w:t xml:space="preserve"> </w:t>
      </w:r>
      <w:r w:rsidR="008D6F18" w:rsidRPr="00EB6E3F">
        <w:rPr>
          <w:lang w:eastAsia="en-US"/>
        </w:rPr>
        <w:t>any shareholders</w:t>
      </w:r>
      <w:r w:rsidRPr="00EB6E3F">
        <w:rPr>
          <w:lang w:eastAsia="en-US"/>
        </w:rPr>
        <w:t xml:space="preserve"> </w:t>
      </w:r>
      <w:r w:rsidR="00241D4B" w:rsidRPr="00EB6E3F">
        <w:rPr>
          <w:lang w:eastAsia="en-US"/>
        </w:rPr>
        <w:t>to a larg</w:t>
      </w:r>
      <w:r w:rsidRPr="00EB6E3F">
        <w:rPr>
          <w:lang w:eastAsia="en-US"/>
        </w:rPr>
        <w:t xml:space="preserve">e downside. </w:t>
      </w:r>
      <w:r w:rsidR="00782103" w:rsidRPr="00EB6E3F">
        <w:rPr>
          <w:lang w:eastAsia="en-US"/>
        </w:rPr>
        <w:t xml:space="preserve"> </w:t>
      </w:r>
      <w:r w:rsidR="008D6F18" w:rsidRPr="00EB6E3F">
        <w:rPr>
          <w:lang w:eastAsia="en-US"/>
        </w:rPr>
        <w:t>Any i</w:t>
      </w:r>
      <w:r w:rsidRPr="00EB6E3F">
        <w:rPr>
          <w:lang w:eastAsia="en-US"/>
        </w:rPr>
        <w:t xml:space="preserve">nvestors who </w:t>
      </w:r>
      <w:r w:rsidR="008D6F18" w:rsidRPr="00EB6E3F">
        <w:rPr>
          <w:lang w:eastAsia="en-US"/>
        </w:rPr>
        <w:t xml:space="preserve">own shares in a company subject to an acquisition bid and </w:t>
      </w:r>
      <w:r w:rsidRPr="00EB6E3F">
        <w:rPr>
          <w:lang w:eastAsia="en-US"/>
        </w:rPr>
        <w:t xml:space="preserve">are unwilling to </w:t>
      </w:r>
      <w:r w:rsidR="00241D4B" w:rsidRPr="00EB6E3F">
        <w:rPr>
          <w:lang w:eastAsia="en-US"/>
        </w:rPr>
        <w:t>countenance</w:t>
      </w:r>
      <w:r w:rsidRPr="00EB6E3F">
        <w:rPr>
          <w:lang w:eastAsia="en-US"/>
        </w:rPr>
        <w:t xml:space="preserve"> </w:t>
      </w:r>
      <w:r w:rsidR="008D6F18" w:rsidRPr="00EB6E3F">
        <w:rPr>
          <w:lang w:eastAsia="en-US"/>
        </w:rPr>
        <w:t xml:space="preserve">the potential for </w:t>
      </w:r>
      <w:r w:rsidRPr="00EB6E3F">
        <w:rPr>
          <w:lang w:eastAsia="en-US"/>
        </w:rPr>
        <w:t xml:space="preserve">such </w:t>
      </w:r>
      <w:r w:rsidR="00241D4B" w:rsidRPr="00EB6E3F">
        <w:rPr>
          <w:lang w:eastAsia="en-US"/>
        </w:rPr>
        <w:t xml:space="preserve">a large </w:t>
      </w:r>
      <w:r w:rsidR="008D6F18" w:rsidRPr="00EB6E3F">
        <w:rPr>
          <w:lang w:eastAsia="en-US"/>
        </w:rPr>
        <w:t xml:space="preserve">downside risk will liquidate their shareholding </w:t>
      </w:r>
      <w:r w:rsidR="00241D4B" w:rsidRPr="00EB6E3F">
        <w:rPr>
          <w:lang w:eastAsia="en-US"/>
        </w:rPr>
        <w:t xml:space="preserve">soon </w:t>
      </w:r>
      <w:r w:rsidRPr="00EB6E3F">
        <w:rPr>
          <w:lang w:eastAsia="en-US"/>
        </w:rPr>
        <w:t xml:space="preserve">after the announcement of an offer. </w:t>
      </w:r>
      <w:r w:rsidR="00782103" w:rsidRPr="00EB6E3F">
        <w:rPr>
          <w:lang w:eastAsia="en-US"/>
        </w:rPr>
        <w:t xml:space="preserve"> </w:t>
      </w:r>
      <w:r w:rsidR="008D6F18" w:rsidRPr="00EB6E3F">
        <w:rPr>
          <w:lang w:eastAsia="en-US"/>
        </w:rPr>
        <w:t>A</w:t>
      </w:r>
      <w:r w:rsidR="00782103" w:rsidRPr="00EB6E3F">
        <w:rPr>
          <w:lang w:eastAsia="en-US"/>
        </w:rPr>
        <w:t xml:space="preserve">lthough </w:t>
      </w:r>
      <w:r w:rsidRPr="00EB6E3F">
        <w:rPr>
          <w:lang w:eastAsia="en-US"/>
        </w:rPr>
        <w:t>the</w:t>
      </w:r>
      <w:r w:rsidR="00782103" w:rsidRPr="00EB6E3F">
        <w:rPr>
          <w:lang w:eastAsia="en-US"/>
        </w:rPr>
        <w:t>se</w:t>
      </w:r>
      <w:r w:rsidRPr="00EB6E3F">
        <w:rPr>
          <w:lang w:eastAsia="en-US"/>
        </w:rPr>
        <w:t xml:space="preserve"> investor</w:t>
      </w:r>
      <w:r w:rsidR="00782103" w:rsidRPr="00EB6E3F">
        <w:rPr>
          <w:lang w:eastAsia="en-US"/>
        </w:rPr>
        <w:t>s</w:t>
      </w:r>
      <w:r w:rsidRPr="00EB6E3F">
        <w:rPr>
          <w:lang w:eastAsia="en-US"/>
        </w:rPr>
        <w:t xml:space="preserve"> </w:t>
      </w:r>
      <w:r w:rsidR="008D6F18" w:rsidRPr="00EB6E3F">
        <w:rPr>
          <w:lang w:eastAsia="en-US"/>
        </w:rPr>
        <w:t xml:space="preserve">typically </w:t>
      </w:r>
      <w:r w:rsidRPr="00EB6E3F">
        <w:rPr>
          <w:lang w:eastAsia="en-US"/>
        </w:rPr>
        <w:t xml:space="preserve">earn a substantial return </w:t>
      </w:r>
      <w:r w:rsidR="008D6F18" w:rsidRPr="00EB6E3F">
        <w:rPr>
          <w:lang w:eastAsia="en-US"/>
        </w:rPr>
        <w:t xml:space="preserve">from an increase in the value of their shares </w:t>
      </w:r>
      <w:r w:rsidRPr="00EB6E3F">
        <w:rPr>
          <w:lang w:eastAsia="en-US"/>
        </w:rPr>
        <w:t>almost immediately</w:t>
      </w:r>
      <w:r w:rsidR="00241D4B" w:rsidRPr="00EB6E3F">
        <w:rPr>
          <w:lang w:eastAsia="en-US"/>
        </w:rPr>
        <w:t>,</w:t>
      </w:r>
      <w:r w:rsidR="00782103" w:rsidRPr="00EB6E3F">
        <w:rPr>
          <w:lang w:eastAsia="en-US"/>
        </w:rPr>
        <w:t xml:space="preserve"> th</w:t>
      </w:r>
      <w:r w:rsidR="008D6F18" w:rsidRPr="00EB6E3F">
        <w:rPr>
          <w:lang w:eastAsia="en-US"/>
        </w:rPr>
        <w:t>is</w:t>
      </w:r>
      <w:r w:rsidR="00782103" w:rsidRPr="00EB6E3F">
        <w:rPr>
          <w:lang w:eastAsia="en-US"/>
        </w:rPr>
        <w:t xml:space="preserve"> </w:t>
      </w:r>
      <w:r w:rsidR="00782103" w:rsidRPr="00EB6E3F">
        <w:rPr>
          <w:lang w:eastAsia="en-US"/>
        </w:rPr>
        <w:lastRenderedPageBreak/>
        <w:t xml:space="preserve">return is </w:t>
      </w:r>
      <w:r w:rsidRPr="00EB6E3F">
        <w:rPr>
          <w:lang w:eastAsia="en-US"/>
        </w:rPr>
        <w:t xml:space="preserve">less than the total return </w:t>
      </w:r>
      <w:r w:rsidR="008D6F18" w:rsidRPr="00EB6E3F">
        <w:rPr>
          <w:lang w:eastAsia="en-US"/>
        </w:rPr>
        <w:t>that could have been earned if</w:t>
      </w:r>
      <w:r w:rsidR="00833456" w:rsidRPr="00EB6E3F">
        <w:rPr>
          <w:lang w:eastAsia="en-US"/>
        </w:rPr>
        <w:t xml:space="preserve">, assuming the acquisition is successful, </w:t>
      </w:r>
      <w:r w:rsidR="008D6F18" w:rsidRPr="00EB6E3F">
        <w:rPr>
          <w:lang w:eastAsia="en-US"/>
        </w:rPr>
        <w:t xml:space="preserve">they had held the shares to the </w:t>
      </w:r>
      <w:r w:rsidR="00833456" w:rsidRPr="00EB6E3F">
        <w:rPr>
          <w:lang w:eastAsia="en-US"/>
        </w:rPr>
        <w:t>conclusion of the transaction</w:t>
      </w:r>
      <w:r w:rsidR="008D6F18" w:rsidRPr="00EB6E3F">
        <w:rPr>
          <w:lang w:eastAsia="en-US"/>
        </w:rPr>
        <w:t xml:space="preserve">. </w:t>
      </w:r>
      <w:r w:rsidR="00EB6E3F" w:rsidRPr="00EB6E3F">
        <w:rPr>
          <w:lang w:eastAsia="en-US"/>
        </w:rPr>
        <w:t>Therefore,</w:t>
      </w:r>
      <w:r w:rsidR="00833456" w:rsidRPr="00EB6E3F">
        <w:rPr>
          <w:lang w:eastAsia="en-US"/>
        </w:rPr>
        <w:t xml:space="preserve"> the</w:t>
      </w:r>
      <w:r w:rsidRPr="00EB6E3F">
        <w:rPr>
          <w:lang w:eastAsia="en-US"/>
        </w:rPr>
        <w:t xml:space="preserve"> probability that the </w:t>
      </w:r>
      <w:r w:rsidR="00833456" w:rsidRPr="00EB6E3F">
        <w:rPr>
          <w:lang w:eastAsia="en-US"/>
        </w:rPr>
        <w:t xml:space="preserve">proposed </w:t>
      </w:r>
      <w:r w:rsidRPr="00EB6E3F">
        <w:rPr>
          <w:lang w:eastAsia="en-US"/>
        </w:rPr>
        <w:t xml:space="preserve">merger will fail is the </w:t>
      </w:r>
      <w:r w:rsidR="00782103" w:rsidRPr="00EB6E3F">
        <w:rPr>
          <w:lang w:eastAsia="en-US"/>
        </w:rPr>
        <w:t xml:space="preserve">single most important </w:t>
      </w:r>
      <w:r w:rsidRPr="00EB6E3F">
        <w:rPr>
          <w:lang w:eastAsia="en-US"/>
        </w:rPr>
        <w:t xml:space="preserve">factor </w:t>
      </w:r>
      <w:r w:rsidR="00833456" w:rsidRPr="00EB6E3F">
        <w:rPr>
          <w:lang w:eastAsia="en-US"/>
        </w:rPr>
        <w:t>in determining</w:t>
      </w:r>
      <w:r w:rsidRPr="00EB6E3F">
        <w:rPr>
          <w:lang w:eastAsia="en-US"/>
        </w:rPr>
        <w:t xml:space="preserve"> the </w:t>
      </w:r>
      <w:r w:rsidR="00833456" w:rsidRPr="00EB6E3F">
        <w:rPr>
          <w:lang w:eastAsia="en-US"/>
        </w:rPr>
        <w:t xml:space="preserve">size of the </w:t>
      </w:r>
      <w:r w:rsidRPr="00EB6E3F">
        <w:rPr>
          <w:lang w:eastAsia="en-US"/>
        </w:rPr>
        <w:t>discount</w:t>
      </w:r>
      <w:r w:rsidR="00833456" w:rsidRPr="00EB6E3F">
        <w:rPr>
          <w:lang w:eastAsia="en-US"/>
        </w:rPr>
        <w:t xml:space="preserve">, or spread, </w:t>
      </w:r>
      <w:r w:rsidR="00782103" w:rsidRPr="00EB6E3F">
        <w:rPr>
          <w:lang w:eastAsia="en-US"/>
        </w:rPr>
        <w:t>these investors are willing to accept</w:t>
      </w:r>
      <w:r w:rsidR="00833456" w:rsidRPr="00EB6E3F">
        <w:rPr>
          <w:lang w:eastAsia="en-US"/>
        </w:rPr>
        <w:t xml:space="preserve"> and which is the </w:t>
      </w:r>
      <w:r w:rsidRPr="00EB6E3F">
        <w:rPr>
          <w:lang w:eastAsia="en-US"/>
        </w:rPr>
        <w:t xml:space="preserve">principal source of returns </w:t>
      </w:r>
      <w:r w:rsidR="00833456" w:rsidRPr="00EB6E3F">
        <w:rPr>
          <w:lang w:eastAsia="en-US"/>
        </w:rPr>
        <w:t xml:space="preserve">to </w:t>
      </w:r>
      <w:r w:rsidRPr="00EB6E3F">
        <w:rPr>
          <w:lang w:eastAsia="en-US"/>
        </w:rPr>
        <w:t>arbitrageur</w:t>
      </w:r>
      <w:r w:rsidR="00833456" w:rsidRPr="00EB6E3F">
        <w:rPr>
          <w:lang w:eastAsia="en-US"/>
        </w:rPr>
        <w:t>s</w:t>
      </w:r>
      <w:r w:rsidRPr="00EB6E3F">
        <w:rPr>
          <w:lang w:eastAsia="en-US"/>
        </w:rPr>
        <w:t xml:space="preserve">. </w:t>
      </w:r>
      <w:r w:rsidR="00D9447F" w:rsidRPr="00EB6E3F">
        <w:rPr>
          <w:lang w:eastAsia="en-US"/>
        </w:rPr>
        <w:t xml:space="preserve"> </w:t>
      </w:r>
      <w:r w:rsidR="00833456" w:rsidRPr="00EB6E3F">
        <w:rPr>
          <w:lang w:eastAsia="en-US"/>
        </w:rPr>
        <w:t xml:space="preserve">As a </w:t>
      </w:r>
      <w:r w:rsidR="00EB6E3F" w:rsidRPr="00EB6E3F">
        <w:rPr>
          <w:lang w:eastAsia="en-US"/>
        </w:rPr>
        <w:t>result,</w:t>
      </w:r>
      <w:r w:rsidR="00D9447F" w:rsidRPr="00EB6E3F">
        <w:rPr>
          <w:lang w:eastAsia="en-US"/>
        </w:rPr>
        <w:t xml:space="preserve"> arbitrage</w:t>
      </w:r>
      <w:r w:rsidRPr="00EB6E3F">
        <w:rPr>
          <w:lang w:eastAsia="en-US"/>
        </w:rPr>
        <w:t xml:space="preserve"> returns should contain very little systematic risk </w:t>
      </w:r>
      <w:r w:rsidR="00D9447F" w:rsidRPr="00EB6E3F">
        <w:rPr>
          <w:lang w:eastAsia="en-US"/>
        </w:rPr>
        <w:t xml:space="preserve">because, as explained, </w:t>
      </w:r>
      <w:r w:rsidRPr="00EB6E3F">
        <w:rPr>
          <w:lang w:eastAsia="en-US"/>
        </w:rPr>
        <w:t xml:space="preserve">spread </w:t>
      </w:r>
      <w:r w:rsidR="00D9447F" w:rsidRPr="00EB6E3F">
        <w:rPr>
          <w:lang w:eastAsia="en-US"/>
        </w:rPr>
        <w:t xml:space="preserve">is a function of transaction </w:t>
      </w:r>
      <w:r w:rsidRPr="00EB6E3F">
        <w:rPr>
          <w:lang w:eastAsia="en-US"/>
        </w:rPr>
        <w:t xml:space="preserve">specific risk </w:t>
      </w:r>
      <w:r w:rsidR="00D9447F" w:rsidRPr="00EB6E3F">
        <w:rPr>
          <w:lang w:eastAsia="en-US"/>
        </w:rPr>
        <w:t>only such that an analysis of</w:t>
      </w:r>
      <w:r w:rsidRPr="00EB6E3F">
        <w:rPr>
          <w:lang w:eastAsia="en-US"/>
        </w:rPr>
        <w:t xml:space="preserve"> the risk</w:t>
      </w:r>
      <w:r w:rsidR="00EA25F1">
        <w:rPr>
          <w:lang w:eastAsia="en-US"/>
        </w:rPr>
        <w:t>-adjusted returns from</w:t>
      </w:r>
      <w:r w:rsidRPr="00EB6E3F">
        <w:rPr>
          <w:lang w:eastAsia="en-US"/>
        </w:rPr>
        <w:t xml:space="preserve"> arbitrage </w:t>
      </w:r>
      <w:r w:rsidR="00D9447F" w:rsidRPr="00EB6E3F">
        <w:rPr>
          <w:lang w:eastAsia="en-US"/>
        </w:rPr>
        <w:t>is possible.</w:t>
      </w:r>
    </w:p>
    <w:p w:rsidR="00D9447F" w:rsidRPr="00EB6E3F" w:rsidRDefault="00D9447F" w:rsidP="007B141D">
      <w:pPr>
        <w:spacing w:line="480" w:lineRule="auto"/>
        <w:jc w:val="both"/>
        <w:rPr>
          <w:lang w:eastAsia="en-US"/>
        </w:rPr>
      </w:pPr>
    </w:p>
    <w:p w:rsidR="00E20A6D" w:rsidRDefault="00DA59D0" w:rsidP="007B141D">
      <w:pPr>
        <w:spacing w:line="480" w:lineRule="auto"/>
        <w:jc w:val="both"/>
        <w:rPr>
          <w:lang w:eastAsia="en-US"/>
        </w:rPr>
      </w:pPr>
      <w:r>
        <w:rPr>
          <w:lang w:eastAsia="en-US"/>
        </w:rPr>
        <w:t xml:space="preserve">In order to perform this analysis this study uses two asset pricing models, the market model derived from the Capital Asset Pricing Model (CAPM) of Sharpe (1964) and </w:t>
      </w:r>
      <w:proofErr w:type="spellStart"/>
      <w:r>
        <w:rPr>
          <w:lang w:eastAsia="en-US"/>
        </w:rPr>
        <w:t>Lintner</w:t>
      </w:r>
      <w:proofErr w:type="spellEnd"/>
      <w:r>
        <w:rPr>
          <w:lang w:eastAsia="en-US"/>
        </w:rPr>
        <w:t xml:space="preserve"> (1965) and a three factor model incorporating a market, size and value factors (</w:t>
      </w:r>
      <w:proofErr w:type="spellStart"/>
      <w:r>
        <w:rPr>
          <w:lang w:eastAsia="en-US"/>
        </w:rPr>
        <w:t>Fama</w:t>
      </w:r>
      <w:proofErr w:type="spellEnd"/>
      <w:r>
        <w:rPr>
          <w:lang w:eastAsia="en-US"/>
        </w:rPr>
        <w:t xml:space="preserve"> and French, 1992, 1993).</w:t>
      </w:r>
      <w:r w:rsidR="00DE2817">
        <w:rPr>
          <w:lang w:eastAsia="en-US"/>
        </w:rPr>
        <w:t xml:space="preserve"> </w:t>
      </w:r>
      <w:r>
        <w:rPr>
          <w:lang w:eastAsia="en-US"/>
        </w:rPr>
        <w:t>The market model is a single index model which assumes that all of a stock’s</w:t>
      </w:r>
      <w:r w:rsidR="00DE2817">
        <w:rPr>
          <w:lang w:eastAsia="en-US"/>
        </w:rPr>
        <w:t xml:space="preserve"> </w:t>
      </w:r>
      <w:r>
        <w:rPr>
          <w:lang w:eastAsia="en-US"/>
        </w:rPr>
        <w:t>systematic risk can be captured by one market factor:</w:t>
      </w:r>
    </w:p>
    <w:p w:rsidR="00DA59D0" w:rsidRPr="00EB6E3F" w:rsidRDefault="00DA59D0" w:rsidP="007B141D">
      <w:pPr>
        <w:spacing w:line="480" w:lineRule="auto"/>
        <w:jc w:val="both"/>
        <w:rPr>
          <w:lang w:eastAsia="en-US"/>
        </w:rPr>
      </w:pPr>
    </w:p>
    <w:p w:rsidR="007D0279" w:rsidRPr="00EB6E3F" w:rsidRDefault="005F05FC" w:rsidP="007D0279">
      <w:pPr>
        <w:spacing w:line="480" w:lineRule="auto"/>
        <w:jc w:val="center"/>
        <w:rPr>
          <w:lang w:eastAsia="en-US"/>
        </w:rPr>
      </w:pPr>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t</m:t>
            </m:r>
          </m:sub>
        </m:sSub>
        <m:r>
          <w:rPr>
            <w:rFonts w:ascii="Cambria Math" w:hAnsi="Cambria Math"/>
            <w:lang w:eastAsia="en-US"/>
          </w:rPr>
          <m:t>=α+β</m:t>
        </m:r>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oMath>
      <w:r w:rsidR="00DA59D0">
        <w:rPr>
          <w:lang w:eastAsia="en-US"/>
        </w:rPr>
        <w:tab/>
      </w:r>
      <w:r w:rsidR="00DA59D0">
        <w:rPr>
          <w:lang w:eastAsia="en-US"/>
        </w:rPr>
        <w:tab/>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oMath>
      <w:r w:rsidR="007D0279">
        <w:rPr>
          <w:rFonts w:ascii="TimesNewRoman" w:eastAsiaTheme="minorHAnsi" w:hAnsi="TimesNewRoman" w:cs="TimesNewRoman"/>
          <w:sz w:val="23"/>
          <w:szCs w:val="23"/>
          <w:lang w:eastAsia="en-US"/>
        </w:rPr>
        <w:t xml:space="preserve">, </w:t>
      </w:r>
      <m:oMath>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oMath>
      <w:r w:rsidR="007D0279">
        <w:rPr>
          <w:rFonts w:ascii="TimesNewRoman" w:eastAsiaTheme="minorHAnsi" w:hAnsi="TimesNewRoman" w:cs="TimesNewRoman"/>
          <w:sz w:val="16"/>
          <w:szCs w:val="16"/>
          <w:lang w:eastAsia="en-US"/>
        </w:rPr>
        <w:t xml:space="preserve"> </w:t>
      </w:r>
      <w:r w:rsidR="007D0279">
        <w:rPr>
          <w:rFonts w:ascii="TimesNewRoman" w:eastAsiaTheme="minorHAnsi" w:hAnsi="TimesNewRoman" w:cs="TimesNewRoman"/>
          <w:sz w:val="23"/>
          <w:szCs w:val="23"/>
          <w:lang w:eastAsia="en-US"/>
        </w:rPr>
        <w:t>~ IID</w:t>
      </w:r>
    </w:p>
    <w:p w:rsidR="00F023B2" w:rsidRPr="00EB6E3F" w:rsidRDefault="00F023B2" w:rsidP="007B141D">
      <w:pPr>
        <w:spacing w:line="480" w:lineRule="auto"/>
        <w:jc w:val="center"/>
        <w:rPr>
          <w:lang w:eastAsia="en-US"/>
        </w:rPr>
      </w:pPr>
    </w:p>
    <w:p w:rsidR="00F023B2" w:rsidRPr="00EB6E3F" w:rsidRDefault="00F023B2" w:rsidP="007B141D">
      <w:pPr>
        <w:spacing w:line="480" w:lineRule="auto"/>
        <w:jc w:val="both"/>
        <w:rPr>
          <w:lang w:eastAsia="en-US"/>
        </w:rPr>
      </w:pPr>
    </w:p>
    <w:p w:rsidR="007A0800" w:rsidRDefault="00DA59D0" w:rsidP="007B141D">
      <w:pPr>
        <w:spacing w:line="480" w:lineRule="auto"/>
        <w:jc w:val="both"/>
        <w:rPr>
          <w:lang w:eastAsia="en-US"/>
        </w:rPr>
      </w:pPr>
      <w:r>
        <w:rPr>
          <w:lang w:eastAsia="en-US"/>
        </w:rPr>
        <w:t>w</w:t>
      </w:r>
      <w:r w:rsidRPr="00DA59D0">
        <w:rPr>
          <w:lang w:eastAsia="en-US"/>
        </w:rPr>
        <w:t xml:space="preserve">here </w:t>
      </w:r>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t</m:t>
            </m:r>
          </m:sub>
        </m:sSub>
      </m:oMath>
      <w:r w:rsidRPr="00DA59D0">
        <w:rPr>
          <w:lang w:eastAsia="en-US"/>
        </w:rPr>
        <w:t xml:space="preserve"> is the excess return on </w:t>
      </w:r>
      <w:r>
        <w:rPr>
          <w:lang w:eastAsia="en-US"/>
        </w:rPr>
        <w:t>each of</w:t>
      </w:r>
      <w:r w:rsidRPr="00EB6E3F">
        <w:rPr>
          <w:lang w:eastAsia="en-US"/>
        </w:rPr>
        <w:t xml:space="preserve"> the three portfolios (EWRA, VWRA and RAIM)</w:t>
      </w:r>
      <w:r>
        <w:rPr>
          <w:lang w:eastAsia="en-US"/>
        </w:rPr>
        <w:t xml:space="preserve"> </w:t>
      </w:r>
      <w:r w:rsidRPr="00DA59D0">
        <w:rPr>
          <w:lang w:eastAsia="en-US"/>
        </w:rPr>
        <w:t xml:space="preserve">at time t, </w:t>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m:t>
            </m:r>
          </m:sub>
        </m:sSub>
      </m:oMath>
      <w:r w:rsidRPr="00DA59D0">
        <w:rPr>
          <w:lang w:eastAsia="en-US"/>
        </w:rPr>
        <w:t xml:space="preserve"> is the </w:t>
      </w:r>
      <w:r w:rsidR="00AE2454" w:rsidRPr="00DA59D0">
        <w:rPr>
          <w:lang w:eastAsia="en-US"/>
        </w:rPr>
        <w:t>excess</w:t>
      </w:r>
      <w:r w:rsidRPr="00DA59D0">
        <w:rPr>
          <w:lang w:eastAsia="en-US"/>
        </w:rPr>
        <w:t xml:space="preserve"> return on the MSCI index at time t, </w:t>
      </w:r>
      <w:r w:rsidR="009C76FE" w:rsidRPr="00EB6E3F">
        <w:rPr>
          <w:lang w:eastAsia="en-US"/>
        </w:rPr>
        <w:t xml:space="preserve">and </w:t>
      </w:r>
      <m:oMath>
        <m:r>
          <w:rPr>
            <w:rFonts w:ascii="Cambria Math" w:hAnsi="Cambria Math"/>
            <w:lang w:eastAsia="en-US"/>
          </w:rPr>
          <m:t>β</m:t>
        </m:r>
      </m:oMath>
      <w:r w:rsidR="009C76FE" w:rsidRPr="00EB6E3F">
        <w:rPr>
          <w:lang w:eastAsia="en-US"/>
        </w:rPr>
        <w:t xml:space="preserve"> measures the </w:t>
      </w:r>
      <w:hyperlink r:id="rId11" w:tooltip="Portfolio (finance)" w:history="1">
        <w:r w:rsidR="009C76FE" w:rsidRPr="00EB6E3F">
          <w:rPr>
            <w:lang w:eastAsia="en-US"/>
          </w:rPr>
          <w:t>portfolio</w:t>
        </w:r>
      </w:hyperlink>
      <w:r w:rsidR="009C76FE" w:rsidRPr="00EB6E3F">
        <w:rPr>
          <w:lang w:eastAsia="en-US"/>
        </w:rPr>
        <w:t xml:space="preserve">’s </w:t>
      </w:r>
      <w:hyperlink r:id="rId12" w:tooltip="Volatility" w:history="1">
        <w:r w:rsidR="009C76FE" w:rsidRPr="00EB6E3F">
          <w:rPr>
            <w:lang w:eastAsia="en-US"/>
          </w:rPr>
          <w:t>volatility</w:t>
        </w:r>
      </w:hyperlink>
      <w:r w:rsidR="009C76FE" w:rsidRPr="00EB6E3F">
        <w:rPr>
          <w:lang w:eastAsia="en-US"/>
        </w:rPr>
        <w:t xml:space="preserve"> in relation to the </w:t>
      </w:r>
      <w:hyperlink r:id="rId13" w:tooltip="Financial market" w:history="1">
        <w:r w:rsidR="009C76FE" w:rsidRPr="00EB6E3F">
          <w:rPr>
            <w:lang w:eastAsia="en-US"/>
          </w:rPr>
          <w:t>market</w:t>
        </w:r>
      </w:hyperlink>
      <w:r w:rsidR="009C76FE" w:rsidRPr="00EB6E3F">
        <w:rPr>
          <w:lang w:eastAsia="en-US"/>
        </w:rPr>
        <w:t xml:space="preserve">.  </w:t>
      </w:r>
    </w:p>
    <w:p w:rsidR="007A0800" w:rsidRDefault="007A0800" w:rsidP="007B141D">
      <w:pPr>
        <w:spacing w:line="480" w:lineRule="auto"/>
        <w:jc w:val="both"/>
        <w:rPr>
          <w:lang w:eastAsia="en-US"/>
        </w:rPr>
      </w:pPr>
    </w:p>
    <w:p w:rsidR="00E20A6D" w:rsidRPr="00EB6E3F" w:rsidRDefault="007A0800" w:rsidP="007B141D">
      <w:pPr>
        <w:spacing w:line="480" w:lineRule="auto"/>
        <w:jc w:val="both"/>
        <w:rPr>
          <w:lang w:eastAsia="en-US"/>
        </w:rPr>
      </w:pPr>
      <w:r>
        <w:rPr>
          <w:lang w:eastAsia="en-US"/>
        </w:rPr>
        <w:t xml:space="preserve">The </w:t>
      </w:r>
      <w:proofErr w:type="spellStart"/>
      <w:r w:rsidR="00E20A6D" w:rsidRPr="00EB6E3F">
        <w:rPr>
          <w:lang w:eastAsia="en-US"/>
        </w:rPr>
        <w:t>Fama</w:t>
      </w:r>
      <w:proofErr w:type="spellEnd"/>
      <w:r w:rsidR="00E20A6D" w:rsidRPr="00EB6E3F">
        <w:rPr>
          <w:lang w:eastAsia="en-US"/>
        </w:rPr>
        <w:t xml:space="preserve"> and French (1993) three-factor model</w:t>
      </w:r>
      <w:r w:rsidR="001D0A56" w:rsidRPr="00EB6E3F">
        <w:rPr>
          <w:lang w:eastAsia="en-US"/>
        </w:rPr>
        <w:t xml:space="preserve"> takes account of two additional risk factors to give </w:t>
      </w:r>
      <w:r w:rsidR="00E20A6D" w:rsidRPr="00EB6E3F">
        <w:rPr>
          <w:lang w:eastAsia="en-US"/>
        </w:rPr>
        <w:t xml:space="preserve">a better estimate of the factors affecting the returns of the </w:t>
      </w:r>
      <w:r w:rsidR="001D0A56" w:rsidRPr="00EB6E3F">
        <w:rPr>
          <w:lang w:eastAsia="en-US"/>
        </w:rPr>
        <w:t>three risk arbitrage portfolios</w:t>
      </w:r>
      <w:r w:rsidR="00E20A6D" w:rsidRPr="00EB6E3F">
        <w:rPr>
          <w:lang w:eastAsia="en-US"/>
        </w:rPr>
        <w:t xml:space="preserve">. </w:t>
      </w:r>
      <w:r w:rsidR="001D0A56" w:rsidRPr="00EB6E3F">
        <w:rPr>
          <w:lang w:eastAsia="en-US"/>
        </w:rPr>
        <w:t xml:space="preserve"> </w:t>
      </w:r>
      <w:r w:rsidR="00E20A6D" w:rsidRPr="00EB6E3F">
        <w:rPr>
          <w:lang w:eastAsia="en-US"/>
        </w:rPr>
        <w:t xml:space="preserve">The </w:t>
      </w:r>
      <w:r w:rsidR="001D0A56" w:rsidRPr="00EB6E3F">
        <w:rPr>
          <w:lang w:eastAsia="en-US"/>
        </w:rPr>
        <w:t xml:space="preserve">additional factors which are said to explain over 90% of stock returns are </w:t>
      </w:r>
      <w:r w:rsidR="00E20A6D" w:rsidRPr="00EB6E3F">
        <w:rPr>
          <w:lang w:eastAsia="en-US"/>
        </w:rPr>
        <w:t>SMB</w:t>
      </w:r>
      <w:r w:rsidR="001D0A56" w:rsidRPr="00EB6E3F">
        <w:rPr>
          <w:lang w:eastAsia="en-US"/>
        </w:rPr>
        <w:t>, which</w:t>
      </w:r>
      <w:r w:rsidR="00E20A6D" w:rsidRPr="00EB6E3F">
        <w:rPr>
          <w:lang w:eastAsia="en-US"/>
        </w:rPr>
        <w:t xml:space="preserve"> stands for small cap</w:t>
      </w:r>
      <w:r w:rsidR="001D0A56" w:rsidRPr="00EB6E3F">
        <w:rPr>
          <w:lang w:eastAsia="en-US"/>
        </w:rPr>
        <w:t>.</w:t>
      </w:r>
      <w:r w:rsidR="00E20A6D" w:rsidRPr="00EB6E3F">
        <w:rPr>
          <w:lang w:eastAsia="en-US"/>
        </w:rPr>
        <w:t xml:space="preserve"> index stock</w:t>
      </w:r>
      <w:r w:rsidR="001D0A56" w:rsidRPr="00EB6E3F">
        <w:rPr>
          <w:lang w:eastAsia="en-US"/>
        </w:rPr>
        <w:t>s</w:t>
      </w:r>
      <w:r w:rsidR="00E20A6D" w:rsidRPr="00EB6E3F">
        <w:rPr>
          <w:lang w:eastAsia="en-US"/>
        </w:rPr>
        <w:t xml:space="preserve"> minus large cap</w:t>
      </w:r>
      <w:r w:rsidR="001D0A56" w:rsidRPr="00EB6E3F">
        <w:rPr>
          <w:lang w:eastAsia="en-US"/>
        </w:rPr>
        <w:t>.</w:t>
      </w:r>
      <w:r w:rsidR="00E20A6D" w:rsidRPr="00EB6E3F">
        <w:rPr>
          <w:lang w:eastAsia="en-US"/>
        </w:rPr>
        <w:t xml:space="preserve"> index stocks</w:t>
      </w:r>
      <w:r w:rsidR="001D0A56" w:rsidRPr="00EB6E3F">
        <w:rPr>
          <w:lang w:eastAsia="en-US"/>
        </w:rPr>
        <w:t>,</w:t>
      </w:r>
      <w:r w:rsidR="00E20A6D" w:rsidRPr="00EB6E3F">
        <w:rPr>
          <w:lang w:eastAsia="en-US"/>
        </w:rPr>
        <w:t xml:space="preserve"> and HML</w:t>
      </w:r>
      <w:r w:rsidR="001D0A56" w:rsidRPr="00EB6E3F">
        <w:rPr>
          <w:lang w:eastAsia="en-US"/>
        </w:rPr>
        <w:t>,</w:t>
      </w:r>
      <w:r w:rsidR="00E20A6D" w:rsidRPr="00EB6E3F">
        <w:rPr>
          <w:lang w:eastAsia="en-US"/>
        </w:rPr>
        <w:t xml:space="preserve"> </w:t>
      </w:r>
      <w:r w:rsidR="001D0A56" w:rsidRPr="00EB6E3F">
        <w:rPr>
          <w:lang w:eastAsia="en-US"/>
        </w:rPr>
        <w:t xml:space="preserve">which </w:t>
      </w:r>
      <w:r w:rsidR="0099182C">
        <w:rPr>
          <w:lang w:eastAsia="en-US"/>
        </w:rPr>
        <w:t xml:space="preserve">stands for </w:t>
      </w:r>
      <w:r w:rsidR="0099182C">
        <w:rPr>
          <w:lang w:eastAsia="en-US"/>
        </w:rPr>
        <w:lastRenderedPageBreak/>
        <w:t>h</w:t>
      </w:r>
      <w:r w:rsidR="00E20A6D" w:rsidRPr="00EB6E3F">
        <w:rPr>
          <w:lang w:eastAsia="en-US"/>
        </w:rPr>
        <w:t xml:space="preserve">igh book-to-market </w:t>
      </w:r>
      <w:r w:rsidR="001D0A56" w:rsidRPr="00EB6E3F">
        <w:rPr>
          <w:lang w:eastAsia="en-US"/>
        </w:rPr>
        <w:t xml:space="preserve">stocks </w:t>
      </w:r>
      <w:r w:rsidR="00E20A6D" w:rsidRPr="00EB6E3F">
        <w:rPr>
          <w:lang w:eastAsia="en-US"/>
        </w:rPr>
        <w:t xml:space="preserve">minus low book-to-market stocks. </w:t>
      </w:r>
      <w:r w:rsidR="001D0A56" w:rsidRPr="00EB6E3F">
        <w:rPr>
          <w:lang w:eastAsia="en-US"/>
        </w:rPr>
        <w:t xml:space="preserve"> </w:t>
      </w:r>
      <w:r w:rsidR="00E20A6D" w:rsidRPr="00EB6E3F">
        <w:rPr>
          <w:lang w:eastAsia="en-US"/>
        </w:rPr>
        <w:t xml:space="preserve">The </w:t>
      </w:r>
      <w:proofErr w:type="spellStart"/>
      <w:r w:rsidR="00E20A6D" w:rsidRPr="00EB6E3F">
        <w:rPr>
          <w:lang w:eastAsia="en-US"/>
        </w:rPr>
        <w:t>Fama</w:t>
      </w:r>
      <w:proofErr w:type="spellEnd"/>
      <w:r w:rsidR="00E20A6D" w:rsidRPr="00EB6E3F">
        <w:rPr>
          <w:lang w:eastAsia="en-US"/>
        </w:rPr>
        <w:t xml:space="preserve"> and French three factor model is:</w:t>
      </w:r>
    </w:p>
    <w:p w:rsidR="001D0A56" w:rsidRPr="00EB6E3F" w:rsidRDefault="001D0A56" w:rsidP="007B141D">
      <w:pPr>
        <w:spacing w:line="480" w:lineRule="auto"/>
        <w:jc w:val="both"/>
        <w:rPr>
          <w:lang w:eastAsia="en-US"/>
        </w:rPr>
      </w:pPr>
    </w:p>
    <w:p w:rsidR="001D0A56" w:rsidRPr="00EB6E3F" w:rsidRDefault="005F05FC" w:rsidP="007B141D">
      <w:pPr>
        <w:spacing w:line="480" w:lineRule="auto"/>
        <w:jc w:val="center"/>
        <w:rPr>
          <w:lang w:eastAsia="en-US"/>
        </w:rPr>
      </w:pPr>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t</m:t>
            </m:r>
          </m:sub>
        </m:sSub>
        <m:r>
          <w:rPr>
            <w:rFonts w:ascii="Cambria Math" w:hAnsi="Cambria Math"/>
            <w:lang w:eastAsia="en-US"/>
          </w:rPr>
          <m:t>=α+</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1</m:t>
            </m:r>
          </m:sub>
        </m:sSub>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2</m:t>
            </m:r>
          </m:sub>
        </m:sSub>
        <m:sSub>
          <m:sSubPr>
            <m:ctrlPr>
              <w:rPr>
                <w:rFonts w:ascii="Cambria Math" w:hAnsi="Cambria Math"/>
                <w:i/>
                <w:lang w:eastAsia="en-US"/>
              </w:rPr>
            </m:ctrlPr>
          </m:sSubPr>
          <m:e>
            <m:r>
              <w:rPr>
                <w:rFonts w:ascii="Cambria Math" w:hAnsi="Cambria Math"/>
                <w:lang w:eastAsia="en-US"/>
              </w:rPr>
              <m:t>SMB</m:t>
            </m:r>
          </m:e>
          <m:sub>
            <m:r>
              <w:rPr>
                <w:rFonts w:ascii="Cambria Math" w:hAnsi="Cambria Math"/>
                <w:lang w:eastAsia="en-US"/>
              </w:rPr>
              <m:t>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3</m:t>
            </m:r>
          </m:sub>
        </m:sSub>
        <m:sSub>
          <m:sSubPr>
            <m:ctrlPr>
              <w:rPr>
                <w:rFonts w:ascii="Cambria Math" w:hAnsi="Cambria Math"/>
                <w:i/>
                <w:lang w:eastAsia="en-US"/>
              </w:rPr>
            </m:ctrlPr>
          </m:sSubPr>
          <m:e>
            <m:r>
              <w:rPr>
                <w:rFonts w:ascii="Cambria Math" w:hAnsi="Cambria Math"/>
                <w:lang w:eastAsia="en-US"/>
              </w:rPr>
              <m:t>HML</m:t>
            </m:r>
          </m:e>
          <m:sub>
            <m:r>
              <w:rPr>
                <w:rFonts w:ascii="Cambria Math" w:hAnsi="Cambria Math"/>
                <w:lang w:eastAsia="en-US"/>
              </w:rPr>
              <m:t>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oMath>
      <w:r w:rsidR="007A0800">
        <w:rPr>
          <w:lang w:eastAsia="en-US"/>
        </w:rPr>
        <w:tab/>
      </w:r>
      <w:r w:rsidR="007A0800">
        <w:rPr>
          <w:lang w:eastAsia="en-US"/>
        </w:rPr>
        <w:tab/>
      </w:r>
      <m:oMath>
        <m:sSub>
          <m:sSubPr>
            <m:ctrlPr>
              <w:rPr>
                <w:rFonts w:ascii="Cambria Math" w:hAnsi="Cambria Math"/>
                <w:i/>
                <w:lang w:eastAsia="en-US"/>
              </w:rPr>
            </m:ctrlPr>
          </m:sSubPr>
          <m:e>
            <m:r>
              <w:rPr>
                <w:rFonts w:ascii="Cambria Math" w:hAnsi="Cambria Math"/>
                <w:lang w:eastAsia="en-US"/>
              </w:rPr>
              <m:t>R</m:t>
            </m:r>
          </m:e>
          <m:sub>
            <m:r>
              <w:rPr>
                <w:rFonts w:ascii="Cambria Math" w:hAnsi="Cambria Math"/>
                <w:lang w:eastAsia="en-US"/>
              </w:rPr>
              <m:t>Mt</m:t>
            </m:r>
          </m:sub>
        </m:sSub>
      </m:oMath>
      <w:r w:rsidR="007A0800">
        <w:rPr>
          <w:rFonts w:ascii="TimesNewRoman" w:eastAsiaTheme="minorHAnsi" w:hAnsi="TimesNewRoman" w:cs="TimesNewRoman"/>
          <w:sz w:val="23"/>
          <w:szCs w:val="23"/>
          <w:lang w:eastAsia="en-US"/>
        </w:rPr>
        <w:t xml:space="preserve">, </w:t>
      </w:r>
      <m:oMath>
        <m:sSub>
          <m:sSubPr>
            <m:ctrlPr>
              <w:rPr>
                <w:rFonts w:ascii="Cambria Math" w:hAnsi="Cambria Math"/>
                <w:i/>
                <w:lang w:eastAsia="en-US"/>
              </w:rPr>
            </m:ctrlPr>
          </m:sSubPr>
          <m:e>
            <m:r>
              <w:rPr>
                <w:rFonts w:ascii="Cambria Math" w:hAnsi="Cambria Math"/>
                <w:lang w:eastAsia="en-US"/>
              </w:rPr>
              <m:t>SMB</m:t>
            </m:r>
          </m:e>
          <m:sub>
            <m:r>
              <w:rPr>
                <w:rFonts w:ascii="Cambria Math" w:hAnsi="Cambria Math"/>
                <w:lang w:eastAsia="en-US"/>
              </w:rPr>
              <m:t>t</m:t>
            </m:r>
          </m:sub>
        </m:sSub>
      </m:oMath>
      <w:r w:rsidR="007A0800">
        <w:rPr>
          <w:rFonts w:eastAsiaTheme="minorHAnsi"/>
          <w:i/>
          <w:iCs/>
          <w:sz w:val="23"/>
          <w:szCs w:val="23"/>
          <w:lang w:eastAsia="en-US"/>
        </w:rPr>
        <w:t>,</w:t>
      </w:r>
      <m:oMath>
        <m:sSub>
          <m:sSubPr>
            <m:ctrlPr>
              <w:rPr>
                <w:rFonts w:ascii="Cambria Math" w:hAnsi="Cambria Math"/>
                <w:i/>
                <w:lang w:eastAsia="en-US"/>
              </w:rPr>
            </m:ctrlPr>
          </m:sSubPr>
          <m:e>
            <m:r>
              <w:rPr>
                <w:rFonts w:ascii="Cambria Math" w:hAnsi="Cambria Math"/>
                <w:lang w:eastAsia="en-US"/>
              </w:rPr>
              <m:t>HML</m:t>
            </m:r>
          </m:e>
          <m:sub>
            <m:r>
              <w:rPr>
                <w:rFonts w:ascii="Cambria Math" w:hAnsi="Cambria Math"/>
                <w:lang w:eastAsia="en-US"/>
              </w:rPr>
              <m:t>t</m:t>
            </m:r>
          </m:sub>
        </m:sSub>
      </m:oMath>
      <w:r w:rsidR="007D0279">
        <w:rPr>
          <w:rFonts w:ascii="TimesNewRoman" w:eastAsiaTheme="minorEastAsia" w:hAnsi="TimesNewRoman" w:cs="TimesNewRoman"/>
          <w:sz w:val="23"/>
          <w:szCs w:val="23"/>
          <w:lang w:eastAsia="en-US"/>
        </w:rPr>
        <w:t xml:space="preserve">, </w:t>
      </w:r>
      <m:oMath>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t</m:t>
            </m:r>
          </m:sub>
        </m:sSub>
      </m:oMath>
      <w:r w:rsidR="007A0800">
        <w:rPr>
          <w:rFonts w:ascii="TimesNewRoman" w:eastAsiaTheme="minorHAnsi" w:hAnsi="TimesNewRoman" w:cs="TimesNewRoman"/>
          <w:sz w:val="16"/>
          <w:szCs w:val="16"/>
          <w:lang w:eastAsia="en-US"/>
        </w:rPr>
        <w:t xml:space="preserve"> </w:t>
      </w:r>
      <w:r w:rsidR="007A0800">
        <w:rPr>
          <w:rFonts w:ascii="TimesNewRoman" w:eastAsiaTheme="minorHAnsi" w:hAnsi="TimesNewRoman" w:cs="TimesNewRoman"/>
          <w:sz w:val="23"/>
          <w:szCs w:val="23"/>
          <w:lang w:eastAsia="en-US"/>
        </w:rPr>
        <w:t>~ IID</w:t>
      </w:r>
    </w:p>
    <w:p w:rsidR="00E20A6D" w:rsidRPr="00EB6E3F" w:rsidRDefault="00E20A6D" w:rsidP="007B141D">
      <w:pPr>
        <w:spacing w:line="480" w:lineRule="auto"/>
        <w:jc w:val="both"/>
        <w:rPr>
          <w:lang w:eastAsia="en-US"/>
        </w:rPr>
      </w:pPr>
    </w:p>
    <w:p w:rsidR="00E20A6D" w:rsidRPr="00EB6E3F" w:rsidRDefault="00E20A6D" w:rsidP="007B141D">
      <w:pPr>
        <w:spacing w:line="480" w:lineRule="auto"/>
        <w:jc w:val="both"/>
        <w:rPr>
          <w:lang w:eastAsia="en-US"/>
        </w:rPr>
      </w:pPr>
      <w:r w:rsidRPr="00EB6E3F">
        <w:rPr>
          <w:lang w:eastAsia="en-US"/>
        </w:rPr>
        <w:t xml:space="preserve">where </w:t>
      </w:r>
      <w:r w:rsidR="001D0A56" w:rsidRPr="00EB6E3F">
        <w:rPr>
          <w:lang w:eastAsia="en-US"/>
        </w:rPr>
        <w:t xml:space="preserve">all variables are as previously defined. </w:t>
      </w:r>
    </w:p>
    <w:p w:rsidR="007A0800" w:rsidRDefault="007A0800" w:rsidP="007B141D">
      <w:pPr>
        <w:spacing w:line="480" w:lineRule="auto"/>
        <w:jc w:val="both"/>
        <w:rPr>
          <w:lang w:eastAsia="en-US"/>
        </w:rPr>
      </w:pPr>
    </w:p>
    <w:p w:rsidR="001D0A56" w:rsidRPr="00EB6E3F" w:rsidRDefault="007A0800" w:rsidP="007B141D">
      <w:pPr>
        <w:spacing w:line="480" w:lineRule="auto"/>
        <w:jc w:val="both"/>
        <w:rPr>
          <w:lang w:eastAsia="en-US"/>
        </w:rPr>
      </w:pPr>
      <w:r w:rsidRPr="00EB6E3F">
        <w:rPr>
          <w:lang w:eastAsia="en-US"/>
        </w:rPr>
        <w:t xml:space="preserve">The important variable for this study is the intercept (Jensen’s alpha) which measures the average return on a portfolio over </w:t>
      </w:r>
      <w:r w:rsidR="005914B5">
        <w:rPr>
          <w:lang w:eastAsia="en-US"/>
        </w:rPr>
        <w:t xml:space="preserve">and above that predicted by asset pricing models </w:t>
      </w:r>
      <w:r w:rsidRPr="00EB6E3F">
        <w:rPr>
          <w:lang w:eastAsia="en-US"/>
        </w:rPr>
        <w:t>(given the portfolio's beta and the average market return)</w:t>
      </w:r>
      <w:r w:rsidR="00660819">
        <w:rPr>
          <w:lang w:eastAsia="en-US"/>
        </w:rPr>
        <w:t xml:space="preserve"> and other factors,</w:t>
      </w:r>
      <w:r w:rsidRPr="00EB6E3F">
        <w:rPr>
          <w:lang w:eastAsia="en-US"/>
        </w:rPr>
        <w:t xml:space="preserve"> or, in other words, the average abnormal returns </w:t>
      </w:r>
      <w:r>
        <w:rPr>
          <w:lang w:eastAsia="en-US"/>
        </w:rPr>
        <w:t xml:space="preserve">generated by </w:t>
      </w:r>
      <w:r w:rsidR="00660819">
        <w:rPr>
          <w:lang w:eastAsia="en-US"/>
        </w:rPr>
        <w:t>an arbitrageur</w:t>
      </w:r>
      <w:r>
        <w:rPr>
          <w:lang w:eastAsia="en-US"/>
        </w:rPr>
        <w:t xml:space="preserve">. A significantly positive alpha is evidence that the portfolio generates positive risk adjusted abnormal returns. </w:t>
      </w:r>
    </w:p>
    <w:p w:rsidR="00D203F9" w:rsidRDefault="00D203F9" w:rsidP="007B141D">
      <w:pPr>
        <w:spacing w:line="480" w:lineRule="auto"/>
        <w:jc w:val="both"/>
        <w:rPr>
          <w:b/>
        </w:rPr>
      </w:pPr>
    </w:p>
    <w:p w:rsidR="00E20A6D" w:rsidRPr="00D14943" w:rsidRDefault="00792767" w:rsidP="00D14943">
      <w:pPr>
        <w:pStyle w:val="ListParagraph"/>
        <w:numPr>
          <w:ilvl w:val="0"/>
          <w:numId w:val="8"/>
        </w:numPr>
        <w:spacing w:line="480" w:lineRule="auto"/>
        <w:ind w:left="567" w:hanging="567"/>
        <w:jc w:val="both"/>
        <w:rPr>
          <w:b/>
          <w:sz w:val="28"/>
          <w:szCs w:val="28"/>
        </w:rPr>
      </w:pPr>
      <w:r w:rsidRPr="00D14943">
        <w:rPr>
          <w:b/>
          <w:sz w:val="28"/>
          <w:szCs w:val="28"/>
        </w:rPr>
        <w:t>Empirical Analysis</w:t>
      </w:r>
    </w:p>
    <w:p w:rsidR="00E20A6D" w:rsidRPr="00792767" w:rsidRDefault="004F5224" w:rsidP="004F5224">
      <w:pPr>
        <w:spacing w:line="480" w:lineRule="auto"/>
        <w:ind w:left="567" w:hanging="567"/>
        <w:jc w:val="both"/>
        <w:rPr>
          <w:b/>
        </w:rPr>
      </w:pPr>
      <w:r w:rsidRPr="00792767">
        <w:rPr>
          <w:b/>
        </w:rPr>
        <w:t>4.1</w:t>
      </w:r>
      <w:r w:rsidRPr="00792767">
        <w:rPr>
          <w:b/>
        </w:rPr>
        <w:tab/>
      </w:r>
      <w:r w:rsidR="00E20A6D" w:rsidRPr="00792767">
        <w:rPr>
          <w:b/>
        </w:rPr>
        <w:t>Descriptive statistics</w:t>
      </w:r>
    </w:p>
    <w:p w:rsidR="001F4549" w:rsidRDefault="00E20A6D" w:rsidP="007B141D">
      <w:pPr>
        <w:spacing w:line="480" w:lineRule="auto"/>
        <w:jc w:val="both"/>
      </w:pPr>
      <w:r w:rsidRPr="00EB6E3F">
        <w:t xml:space="preserve">Preliminary statistical analysis was carried out on the return series generated by the three risk arbitrage portfolios. </w:t>
      </w:r>
      <w:r w:rsidR="001D0A56" w:rsidRPr="00EB6E3F">
        <w:t xml:space="preserve"> </w:t>
      </w:r>
      <w:r w:rsidR="00C915A1" w:rsidRPr="00EB6E3F">
        <w:t xml:space="preserve">Although the focus of this study is on the </w:t>
      </w:r>
      <w:r w:rsidR="00595189" w:rsidRPr="00EB6E3F">
        <w:t xml:space="preserve">returns form the </w:t>
      </w:r>
      <w:r w:rsidRPr="00EB6E3F">
        <w:t>risk arbitrage index manager portfolio (RAIM)</w:t>
      </w:r>
      <w:r w:rsidR="00C915A1" w:rsidRPr="00EB6E3F">
        <w:t xml:space="preserve">, </w:t>
      </w:r>
      <w:r w:rsidRPr="00EB6E3F">
        <w:t xml:space="preserve">the </w:t>
      </w:r>
      <w:r w:rsidR="00EB75AB" w:rsidRPr="00EB6E3F">
        <w:t xml:space="preserve">returns </w:t>
      </w:r>
      <w:r w:rsidR="008642E8" w:rsidRPr="00EB6E3F">
        <w:t>from</w:t>
      </w:r>
      <w:r w:rsidR="00595189" w:rsidRPr="00EB6E3F">
        <w:t xml:space="preserve"> the </w:t>
      </w:r>
      <w:r w:rsidRPr="00EB6E3F">
        <w:t>equal</w:t>
      </w:r>
      <w:r w:rsidR="00EB75AB" w:rsidRPr="00EB6E3F">
        <w:t>-weighted</w:t>
      </w:r>
      <w:r w:rsidR="00B70C68" w:rsidRPr="00EB6E3F">
        <w:t xml:space="preserve"> (EWRA)</w:t>
      </w:r>
      <w:r w:rsidR="00595189" w:rsidRPr="00EB6E3F">
        <w:t>,</w:t>
      </w:r>
      <w:r w:rsidRPr="00EB6E3F">
        <w:t xml:space="preserve"> </w:t>
      </w:r>
      <w:r w:rsidR="00EA25F1">
        <w:t xml:space="preserve">and the </w:t>
      </w:r>
      <w:r w:rsidRPr="00EB6E3F">
        <w:t>value</w:t>
      </w:r>
      <w:r w:rsidR="00C915A1" w:rsidRPr="00EB6E3F">
        <w:t>-</w:t>
      </w:r>
      <w:r w:rsidRPr="00EB6E3F">
        <w:t>weighted</w:t>
      </w:r>
      <w:r w:rsidR="00B70C68" w:rsidRPr="00EB6E3F">
        <w:t xml:space="preserve"> (VWRA)</w:t>
      </w:r>
      <w:r w:rsidR="00EA25F1">
        <w:t xml:space="preserve"> </w:t>
      </w:r>
      <w:r w:rsidR="00595189" w:rsidRPr="00EB6E3F">
        <w:t>included in Table 3</w:t>
      </w:r>
      <w:r w:rsidR="000D57C0">
        <w:t>, Panel A</w:t>
      </w:r>
      <w:r w:rsidR="00595189" w:rsidRPr="00EB6E3F">
        <w:t xml:space="preserve"> are</w:t>
      </w:r>
      <w:r w:rsidRPr="00EB6E3F">
        <w:t xml:space="preserve"> </w:t>
      </w:r>
      <w:r w:rsidR="00C915A1" w:rsidRPr="00EB6E3F">
        <w:t xml:space="preserve">useful </w:t>
      </w:r>
      <w:r w:rsidRPr="00EB6E3F">
        <w:t xml:space="preserve">benchmarks </w:t>
      </w:r>
      <w:r w:rsidR="001F4549" w:rsidRPr="00EB6E3F">
        <w:t xml:space="preserve">for </w:t>
      </w:r>
      <w:r w:rsidR="00C915A1" w:rsidRPr="00EB6E3F">
        <w:t xml:space="preserve">comparison </w:t>
      </w:r>
      <w:r w:rsidR="00595189" w:rsidRPr="00EB6E3F">
        <w:t>purposes</w:t>
      </w:r>
      <w:r w:rsidR="001F4549" w:rsidRPr="00EB6E3F">
        <w:t>.</w:t>
      </w:r>
      <w:r w:rsidR="00C915A1" w:rsidRPr="00EB6E3F">
        <w:t xml:space="preserve"> </w:t>
      </w:r>
    </w:p>
    <w:p w:rsidR="00AD0D12" w:rsidRDefault="00AD0D12" w:rsidP="00AD0D12">
      <w:pPr>
        <w:spacing w:line="480" w:lineRule="auto"/>
        <w:jc w:val="both"/>
        <w:rPr>
          <w:lang w:eastAsia="en-US"/>
        </w:rPr>
      </w:pPr>
    </w:p>
    <w:p w:rsidR="000C25B3" w:rsidRDefault="000C25B3">
      <w:pPr>
        <w:spacing w:after="200" w:line="276" w:lineRule="auto"/>
      </w:pPr>
      <w:r>
        <w:br w:type="page"/>
      </w:r>
    </w:p>
    <w:p w:rsidR="000C25B3" w:rsidRDefault="000C25B3" w:rsidP="000C25B3">
      <w:pPr>
        <w:spacing w:line="480" w:lineRule="auto"/>
        <w:rPr>
          <w:b/>
          <w:bCs/>
        </w:rPr>
      </w:pPr>
      <w:r w:rsidRPr="00EB6E3F">
        <w:rPr>
          <w:b/>
          <w:bCs/>
        </w:rPr>
        <w:lastRenderedPageBreak/>
        <w:t>Table 3</w:t>
      </w:r>
      <w:r w:rsidRPr="00EB6E3F">
        <w:rPr>
          <w:b/>
          <w:bCs/>
        </w:rPr>
        <w:tab/>
      </w:r>
      <w:r>
        <w:rPr>
          <w:b/>
          <w:bCs/>
        </w:rPr>
        <w:tab/>
      </w:r>
      <w:r>
        <w:rPr>
          <w:b/>
          <w:bCs/>
        </w:rPr>
        <w:tab/>
      </w:r>
      <w:r>
        <w:rPr>
          <w:b/>
          <w:bCs/>
        </w:rPr>
        <w:tab/>
      </w:r>
      <w:r w:rsidRPr="00EB6E3F">
        <w:rPr>
          <w:b/>
          <w:bCs/>
        </w:rPr>
        <w:t xml:space="preserve">Descriptive Statistics </w:t>
      </w:r>
    </w:p>
    <w:p w:rsidR="000C25B3" w:rsidRDefault="000C25B3" w:rsidP="000C25B3">
      <w:pPr>
        <w:jc w:val="both"/>
        <w:rPr>
          <w:sz w:val="20"/>
          <w:szCs w:val="20"/>
        </w:rPr>
      </w:pPr>
      <w:r>
        <w:rPr>
          <w:sz w:val="20"/>
          <w:szCs w:val="20"/>
        </w:rPr>
        <w:t>Panel A</w:t>
      </w:r>
      <w:r w:rsidRPr="00EB6E3F">
        <w:rPr>
          <w:sz w:val="20"/>
          <w:szCs w:val="20"/>
        </w:rPr>
        <w:t xml:space="preserve"> presents the descriptive statistics for the daily returns of the </w:t>
      </w:r>
      <w:r>
        <w:rPr>
          <w:sz w:val="20"/>
          <w:szCs w:val="20"/>
        </w:rPr>
        <w:t>three</w:t>
      </w:r>
      <w:r w:rsidRPr="00EB6E3F">
        <w:rPr>
          <w:sz w:val="20"/>
          <w:szCs w:val="20"/>
        </w:rPr>
        <w:t xml:space="preserve"> return series. The statistics are analysing three different time series of returns, which span over a four-and-a-half-year period from 1/1/2003 to 12/6/2007.  The first portfolio of returns (EWRA) is equally weighted, ignoring the practical limitations of risk arbitrage and is averaged across daily returns.  The second portfolio of returns (VWRA) is similar to the equally weighted however returns are weighted according to the value of market capitalisation and averaged across daily returns.  The third portfolio of returns (RAIM) simulates a risk arbitrage index manager and is comparative to an actively managed risk arbitrage portfolio.</w:t>
      </w:r>
      <w:r w:rsidRPr="001F365F">
        <w:t xml:space="preserve"> </w:t>
      </w:r>
      <w:r w:rsidRPr="001F365F">
        <w:rPr>
          <w:sz w:val="20"/>
          <w:szCs w:val="20"/>
        </w:rPr>
        <w:t xml:space="preserve">The </w:t>
      </w:r>
      <w:r>
        <w:rPr>
          <w:sz w:val="20"/>
          <w:szCs w:val="20"/>
        </w:rPr>
        <w:t xml:space="preserve">excess </w:t>
      </w:r>
      <w:r w:rsidRPr="001F365F">
        <w:rPr>
          <w:sz w:val="20"/>
          <w:szCs w:val="20"/>
        </w:rPr>
        <w:t>return series generated by the market</w:t>
      </w:r>
      <w:r>
        <w:rPr>
          <w:sz w:val="20"/>
          <w:szCs w:val="20"/>
        </w:rPr>
        <w:t xml:space="preserve"> R</w:t>
      </w:r>
      <w:r w:rsidRPr="00F83534">
        <w:rPr>
          <w:sz w:val="20"/>
          <w:szCs w:val="20"/>
          <w:vertAlign w:val="subscript"/>
        </w:rPr>
        <w:t>M</w:t>
      </w:r>
      <w:r>
        <w:rPr>
          <w:sz w:val="20"/>
          <w:szCs w:val="20"/>
        </w:rPr>
        <w:t xml:space="preserve"> (i.e. </w:t>
      </w:r>
      <w:r w:rsidRPr="00F83534">
        <w:rPr>
          <w:sz w:val="20"/>
          <w:szCs w:val="20"/>
        </w:rPr>
        <w:t>MSCI-</w:t>
      </w:r>
      <w:proofErr w:type="spellStart"/>
      <w:r w:rsidRPr="00F83534">
        <w:rPr>
          <w:sz w:val="20"/>
          <w:szCs w:val="20"/>
        </w:rPr>
        <w:t>Rf</w:t>
      </w:r>
      <w:proofErr w:type="spellEnd"/>
      <w:r>
        <w:rPr>
          <w:sz w:val="20"/>
          <w:szCs w:val="20"/>
        </w:rPr>
        <w:t>)</w:t>
      </w:r>
      <w:r w:rsidRPr="001F365F">
        <w:rPr>
          <w:sz w:val="20"/>
          <w:szCs w:val="20"/>
        </w:rPr>
        <w:t xml:space="preserve"> for the sample period and the size (SMB) and book to market (HML) factors are also analysed</w:t>
      </w:r>
      <w:r>
        <w:rPr>
          <w:sz w:val="20"/>
          <w:szCs w:val="20"/>
        </w:rPr>
        <w:t xml:space="preserve"> in Panel B.</w:t>
      </w:r>
      <w:r w:rsidRPr="004E51D4">
        <w:t xml:space="preserve"> </w:t>
      </w:r>
      <w:r>
        <w:rPr>
          <w:sz w:val="20"/>
          <w:szCs w:val="20"/>
        </w:rPr>
        <w:t xml:space="preserve">Panel C </w:t>
      </w:r>
      <w:r w:rsidRPr="004E51D4">
        <w:rPr>
          <w:sz w:val="20"/>
          <w:szCs w:val="20"/>
        </w:rPr>
        <w:t>presents the correlation coefficients between the 3 explanatory factors.</w:t>
      </w:r>
    </w:p>
    <w:p w:rsidR="000C25B3" w:rsidRDefault="000C25B3" w:rsidP="000C25B3">
      <w:pPr>
        <w:jc w:val="both"/>
        <w:rPr>
          <w:b/>
          <w:bCs/>
        </w:rPr>
      </w:pPr>
    </w:p>
    <w:p w:rsidR="000C25B3" w:rsidRPr="00EB6E3F" w:rsidRDefault="000C25B3" w:rsidP="000C25B3">
      <w:pPr>
        <w:spacing w:line="480" w:lineRule="auto"/>
        <w:jc w:val="center"/>
      </w:pPr>
      <w:r>
        <w:rPr>
          <w:b/>
          <w:bCs/>
        </w:rPr>
        <w:t xml:space="preserve">Panel A: Descriptive Statistics </w:t>
      </w:r>
      <w:r w:rsidRPr="00EB6E3F">
        <w:rPr>
          <w:b/>
          <w:bCs/>
        </w:rPr>
        <w:t xml:space="preserve">of </w:t>
      </w:r>
      <w:r>
        <w:rPr>
          <w:b/>
          <w:bCs/>
        </w:rPr>
        <w:t>Daily</w:t>
      </w:r>
      <w:r w:rsidRPr="00EB6E3F">
        <w:rPr>
          <w:b/>
          <w:bCs/>
        </w:rPr>
        <w:t xml:space="preserve"> Portfolio Returns</w:t>
      </w:r>
    </w:p>
    <w:tbl>
      <w:tblPr>
        <w:tblW w:w="9115" w:type="dxa"/>
        <w:tblCellMar>
          <w:left w:w="0" w:type="dxa"/>
          <w:right w:w="0" w:type="dxa"/>
        </w:tblCellMar>
        <w:tblLook w:val="0000" w:firstRow="0" w:lastRow="0" w:firstColumn="0" w:lastColumn="0" w:noHBand="0" w:noVBand="0"/>
      </w:tblPr>
      <w:tblGrid>
        <w:gridCol w:w="1480"/>
        <w:gridCol w:w="788"/>
        <w:gridCol w:w="174"/>
        <w:gridCol w:w="677"/>
        <w:gridCol w:w="610"/>
        <w:gridCol w:w="807"/>
        <w:gridCol w:w="327"/>
        <w:gridCol w:w="949"/>
        <w:gridCol w:w="468"/>
        <w:gridCol w:w="524"/>
        <w:gridCol w:w="894"/>
        <w:gridCol w:w="1417"/>
      </w:tblGrid>
      <w:tr w:rsidR="000C25B3" w:rsidRPr="00EB6E3F" w:rsidTr="000372C1">
        <w:trPr>
          <w:trHeight w:val="270"/>
        </w:trPr>
        <w:tc>
          <w:tcPr>
            <w:tcW w:w="1480" w:type="dxa"/>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both"/>
              <w:rPr>
                <w:b/>
                <w:bCs/>
              </w:rPr>
            </w:pPr>
            <w:r w:rsidRPr="00EB6E3F">
              <w:rPr>
                <w:b/>
                <w:bCs/>
              </w:rPr>
              <w:t>Variable</w:t>
            </w:r>
          </w:p>
        </w:tc>
        <w:tc>
          <w:tcPr>
            <w:tcW w:w="962" w:type="dxa"/>
            <w:gridSpan w:val="2"/>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center"/>
              <w:rPr>
                <w:b/>
                <w:bCs/>
              </w:rPr>
            </w:pPr>
            <w:r w:rsidRPr="00EB6E3F">
              <w:rPr>
                <w:b/>
                <w:bCs/>
              </w:rPr>
              <w:t>Mean</w:t>
            </w:r>
          </w:p>
        </w:tc>
        <w:tc>
          <w:tcPr>
            <w:tcW w:w="1287" w:type="dxa"/>
            <w:gridSpan w:val="2"/>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center"/>
              <w:rPr>
                <w:b/>
                <w:bCs/>
              </w:rPr>
            </w:pPr>
            <w:r>
              <w:rPr>
                <w:b/>
                <w:bCs/>
              </w:rPr>
              <w:t>Maximum</w:t>
            </w:r>
          </w:p>
        </w:tc>
        <w:tc>
          <w:tcPr>
            <w:tcW w:w="1134" w:type="dxa"/>
            <w:gridSpan w:val="2"/>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center"/>
              <w:rPr>
                <w:b/>
                <w:bCs/>
              </w:rPr>
            </w:pPr>
            <w:r>
              <w:rPr>
                <w:b/>
                <w:bCs/>
              </w:rPr>
              <w:t>Minimum</w:t>
            </w:r>
          </w:p>
        </w:tc>
        <w:tc>
          <w:tcPr>
            <w:tcW w:w="1417" w:type="dxa"/>
            <w:gridSpan w:val="2"/>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center"/>
              <w:rPr>
                <w:b/>
                <w:bCs/>
              </w:rPr>
            </w:pPr>
            <w:r w:rsidRPr="00EB6E3F">
              <w:rPr>
                <w:b/>
                <w:bCs/>
              </w:rPr>
              <w:t>Variance</w:t>
            </w:r>
          </w:p>
        </w:tc>
        <w:tc>
          <w:tcPr>
            <w:tcW w:w="1418" w:type="dxa"/>
            <w:gridSpan w:val="2"/>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center"/>
              <w:rPr>
                <w:b/>
                <w:bCs/>
              </w:rPr>
            </w:pPr>
            <w:r w:rsidRPr="00EB6E3F">
              <w:rPr>
                <w:b/>
                <w:bCs/>
              </w:rPr>
              <w:t>Skewness</w:t>
            </w:r>
          </w:p>
        </w:tc>
        <w:tc>
          <w:tcPr>
            <w:tcW w:w="1417" w:type="dxa"/>
            <w:tcBorders>
              <w:top w:val="single" w:sz="4" w:space="0" w:color="auto"/>
              <w:left w:val="nil"/>
              <w:bottom w:val="double" w:sz="6" w:space="0" w:color="auto"/>
              <w:right w:val="nil"/>
            </w:tcBorders>
            <w:noWrap/>
            <w:tcMar>
              <w:top w:w="15" w:type="dxa"/>
              <w:left w:w="15" w:type="dxa"/>
              <w:bottom w:w="0" w:type="dxa"/>
              <w:right w:w="15" w:type="dxa"/>
            </w:tcMar>
            <w:vAlign w:val="bottom"/>
          </w:tcPr>
          <w:p w:rsidR="000C25B3" w:rsidRPr="00EB6E3F" w:rsidRDefault="000C25B3" w:rsidP="000372C1">
            <w:pPr>
              <w:jc w:val="center"/>
              <w:rPr>
                <w:b/>
                <w:bCs/>
              </w:rPr>
            </w:pPr>
            <w:r w:rsidRPr="00EB6E3F">
              <w:rPr>
                <w:b/>
                <w:bCs/>
              </w:rPr>
              <w:t>Kurtosis</w:t>
            </w:r>
          </w:p>
        </w:tc>
      </w:tr>
      <w:tr w:rsidR="000C25B3" w:rsidRPr="00EB6E3F" w:rsidTr="000372C1">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r>
      <w:tr w:rsidR="000C25B3" w:rsidRPr="00EB6E3F" w:rsidTr="000372C1">
        <w:trPr>
          <w:trHeight w:val="285"/>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r w:rsidRPr="00EB6E3F">
              <w:rPr>
                <w:b/>
                <w:bCs/>
              </w:rPr>
              <w:t>EWRA</w:t>
            </w:r>
            <w:r>
              <w:rPr>
                <w:b/>
                <w:bCs/>
              </w:rPr>
              <w:t>-</w:t>
            </w:r>
            <w:proofErr w:type="spellStart"/>
            <w:r>
              <w:rPr>
                <w:b/>
                <w:bCs/>
              </w:rPr>
              <w:t>Rf</w:t>
            </w:r>
            <w:proofErr w:type="spellEnd"/>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rsidRPr="00EB6E3F">
              <w:t>0.</w:t>
            </w:r>
            <w:r>
              <w:t>002</w:t>
            </w: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0.489</w:t>
            </w: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-0.136</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0.07</w:t>
            </w: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6.508</w:t>
            </w: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107.4</w:t>
            </w:r>
          </w:p>
        </w:tc>
      </w:tr>
      <w:tr w:rsidR="000C25B3" w:rsidRPr="00EB6E3F" w:rsidTr="000372C1">
        <w:trPr>
          <w:trHeight w:val="255"/>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r>
      <w:tr w:rsidR="000C25B3" w:rsidRPr="00EB6E3F" w:rsidTr="000372C1">
        <w:trPr>
          <w:trHeight w:val="285"/>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r w:rsidRPr="00EB6E3F">
              <w:rPr>
                <w:b/>
                <w:bCs/>
              </w:rPr>
              <w:t>VWRA</w:t>
            </w:r>
            <w:r>
              <w:rPr>
                <w:b/>
                <w:bCs/>
              </w:rPr>
              <w:t>-</w:t>
            </w:r>
            <w:proofErr w:type="spellStart"/>
            <w:r>
              <w:rPr>
                <w:b/>
                <w:bCs/>
              </w:rPr>
              <w:t>Rf</w:t>
            </w:r>
            <w:proofErr w:type="spellEnd"/>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0.001</w:t>
            </w: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0.156</w:t>
            </w: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-0.101</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rsidRPr="00EB6E3F">
              <w:t>0.0</w:t>
            </w:r>
            <w:r>
              <w:t>3</w:t>
            </w: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1.221</w:t>
            </w: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17.72</w:t>
            </w:r>
          </w:p>
        </w:tc>
      </w:tr>
      <w:tr w:rsidR="000C25B3" w:rsidRPr="00EB6E3F" w:rsidTr="000372C1">
        <w:trPr>
          <w:trHeight w:val="285"/>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r>
      <w:tr w:rsidR="000C25B3" w:rsidRPr="00EB6E3F" w:rsidTr="000372C1">
        <w:trPr>
          <w:trHeight w:val="285"/>
        </w:trPr>
        <w:tc>
          <w:tcPr>
            <w:tcW w:w="0" w:type="auto"/>
            <w:tcBorders>
              <w:top w:val="nil"/>
              <w:left w:val="nil"/>
              <w:right w:val="nil"/>
            </w:tcBorders>
            <w:noWrap/>
            <w:tcMar>
              <w:top w:w="15" w:type="dxa"/>
              <w:left w:w="15" w:type="dxa"/>
              <w:bottom w:w="0" w:type="dxa"/>
              <w:right w:w="15" w:type="dxa"/>
            </w:tcMar>
            <w:vAlign w:val="bottom"/>
          </w:tcPr>
          <w:p w:rsidR="000C25B3" w:rsidRPr="00EB6E3F" w:rsidRDefault="000C25B3" w:rsidP="000372C1">
            <w:pPr>
              <w:jc w:val="both"/>
              <w:rPr>
                <w:b/>
                <w:bCs/>
              </w:rPr>
            </w:pPr>
            <w:r w:rsidRPr="00EB6E3F">
              <w:rPr>
                <w:b/>
                <w:bCs/>
              </w:rPr>
              <w:t>RAIM</w:t>
            </w:r>
            <w:r>
              <w:rPr>
                <w:b/>
                <w:bCs/>
              </w:rPr>
              <w:t>-</w:t>
            </w:r>
            <w:proofErr w:type="spellStart"/>
            <w:r>
              <w:rPr>
                <w:b/>
                <w:bCs/>
              </w:rPr>
              <w:t>Rf</w:t>
            </w:r>
            <w:proofErr w:type="spellEnd"/>
          </w:p>
        </w:tc>
        <w:tc>
          <w:tcPr>
            <w:tcW w:w="0" w:type="auto"/>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0.000</w:t>
            </w:r>
          </w:p>
        </w:tc>
        <w:tc>
          <w:tcPr>
            <w:tcW w:w="1287"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0.209</w:t>
            </w:r>
          </w:p>
        </w:tc>
        <w:tc>
          <w:tcPr>
            <w:tcW w:w="1134"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rsidRPr="00EB6E3F">
              <w:t>-</w:t>
            </w:r>
            <w:r>
              <w:t>0.091</w:t>
            </w:r>
          </w:p>
        </w:tc>
        <w:tc>
          <w:tcPr>
            <w:tcW w:w="1417"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0.01</w:t>
            </w:r>
          </w:p>
        </w:tc>
        <w:tc>
          <w:tcPr>
            <w:tcW w:w="1418"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7.029</w:t>
            </w:r>
          </w:p>
        </w:tc>
        <w:tc>
          <w:tcPr>
            <w:tcW w:w="1417" w:type="dxa"/>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165.5</w:t>
            </w:r>
          </w:p>
        </w:tc>
      </w:tr>
      <w:tr w:rsidR="000C25B3" w:rsidRPr="00EB6E3F" w:rsidTr="000372C1">
        <w:trPr>
          <w:trHeight w:val="27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c>
          <w:tcPr>
            <w:tcW w:w="1287"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c>
          <w:tcPr>
            <w:tcW w:w="1134"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c>
          <w:tcPr>
            <w:tcW w:w="1417"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c>
          <w:tcPr>
            <w:tcW w:w="1418"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c>
          <w:tcPr>
            <w:tcW w:w="1417" w:type="dxa"/>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r w:rsidRPr="00EB6E3F">
              <w:t> </w:t>
            </w:r>
          </w:p>
        </w:tc>
      </w:tr>
      <w:tr w:rsidR="000C25B3" w:rsidRPr="00EB6E3F" w:rsidTr="000372C1">
        <w:trPr>
          <w:trHeight w:val="270"/>
        </w:trPr>
        <w:tc>
          <w:tcPr>
            <w:tcW w:w="0" w:type="auto"/>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287" w:type="dxa"/>
            <w:gridSpan w:val="2"/>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134" w:type="dxa"/>
            <w:gridSpan w:val="2"/>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gridSpan w:val="2"/>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8" w:type="dxa"/>
            <w:gridSpan w:val="2"/>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single" w:sz="4" w:space="0" w:color="auto"/>
              <w:left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9115" w:type="dxa"/>
            <w:gridSpan w:val="12"/>
            <w:tcBorders>
              <w:left w:val="nil"/>
              <w:right w:val="nil"/>
            </w:tcBorders>
            <w:noWrap/>
            <w:tcMar>
              <w:top w:w="15" w:type="dxa"/>
              <w:left w:w="15" w:type="dxa"/>
              <w:bottom w:w="0" w:type="dxa"/>
              <w:right w:w="15" w:type="dxa"/>
            </w:tcMar>
            <w:vAlign w:val="bottom"/>
          </w:tcPr>
          <w:p w:rsidR="000C25B3" w:rsidRPr="00EB6E3F" w:rsidRDefault="000C25B3" w:rsidP="000372C1">
            <w:pPr>
              <w:spacing w:line="480" w:lineRule="auto"/>
              <w:jc w:val="center"/>
            </w:pPr>
            <w:r>
              <w:rPr>
                <w:b/>
                <w:bCs/>
              </w:rPr>
              <w:t xml:space="preserve">Panel B: Descriptive Statistics </w:t>
            </w:r>
            <w:r w:rsidRPr="00EB6E3F">
              <w:rPr>
                <w:b/>
                <w:bCs/>
              </w:rPr>
              <w:t xml:space="preserve">of </w:t>
            </w:r>
            <w:r>
              <w:rPr>
                <w:b/>
                <w:bCs/>
              </w:rPr>
              <w:t>Explanatory Factors</w:t>
            </w:r>
          </w:p>
        </w:tc>
      </w:tr>
      <w:tr w:rsidR="000C25B3" w:rsidRPr="00EB6E3F" w:rsidTr="000372C1">
        <w:trPr>
          <w:trHeight w:val="270"/>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287"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134"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8"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r>
              <w:rPr>
                <w:b/>
                <w:bCs/>
              </w:rPr>
              <w:t>MSCI-</w:t>
            </w:r>
            <w:proofErr w:type="spellStart"/>
            <w:r>
              <w:rPr>
                <w:b/>
                <w:bCs/>
              </w:rPr>
              <w:t>Rf</w:t>
            </w:r>
            <w:proofErr w:type="spellEnd"/>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rsidRPr="00EB6E3F">
              <w:t>0.</w:t>
            </w:r>
            <w:r>
              <w:t>001</w:t>
            </w: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0.072</w:t>
            </w: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-0.059</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0.00</w:t>
            </w: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0.038</w:t>
            </w: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4.141</w:t>
            </w:r>
          </w:p>
        </w:tc>
      </w:tr>
      <w:tr w:rsidR="000C25B3" w:rsidRPr="00EB6E3F" w:rsidTr="000372C1">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r>
      <w:tr w:rsidR="000C25B3" w:rsidRPr="00EB6E3F" w:rsidTr="000372C1">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r>
              <w:rPr>
                <w:b/>
                <w:bCs/>
              </w:rPr>
              <w:t>SMB</w:t>
            </w: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0.000</w:t>
            </w: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0.039</w:t>
            </w: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-0.050</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rsidRPr="00EB6E3F">
              <w:t>0.0</w:t>
            </w:r>
            <w:r>
              <w:t>0</w:t>
            </w: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-0.122</w:t>
            </w: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4.082</w:t>
            </w:r>
          </w:p>
        </w:tc>
      </w:tr>
      <w:tr w:rsidR="000C25B3" w:rsidRPr="00EB6E3F" w:rsidTr="000372C1">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r>
      <w:tr w:rsidR="000C25B3" w:rsidRPr="00EB6E3F" w:rsidTr="000372C1">
        <w:trPr>
          <w:trHeight w:val="270"/>
        </w:trPr>
        <w:tc>
          <w:tcPr>
            <w:tcW w:w="0" w:type="auto"/>
            <w:tcBorders>
              <w:top w:val="nil"/>
              <w:left w:val="nil"/>
              <w:right w:val="nil"/>
            </w:tcBorders>
            <w:noWrap/>
            <w:tcMar>
              <w:top w:w="15" w:type="dxa"/>
              <w:left w:w="15" w:type="dxa"/>
              <w:bottom w:w="0" w:type="dxa"/>
              <w:right w:w="15" w:type="dxa"/>
            </w:tcMar>
            <w:vAlign w:val="bottom"/>
          </w:tcPr>
          <w:p w:rsidR="000C25B3" w:rsidRPr="00EB6E3F" w:rsidRDefault="000C25B3" w:rsidP="000372C1">
            <w:pPr>
              <w:jc w:val="both"/>
              <w:rPr>
                <w:b/>
                <w:bCs/>
              </w:rPr>
            </w:pPr>
            <w:r>
              <w:rPr>
                <w:b/>
                <w:bCs/>
              </w:rPr>
              <w:t>HML</w:t>
            </w:r>
          </w:p>
        </w:tc>
        <w:tc>
          <w:tcPr>
            <w:tcW w:w="0" w:type="auto"/>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0.000</w:t>
            </w:r>
          </w:p>
        </w:tc>
        <w:tc>
          <w:tcPr>
            <w:tcW w:w="1287"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0.026</w:t>
            </w:r>
          </w:p>
        </w:tc>
        <w:tc>
          <w:tcPr>
            <w:tcW w:w="1134"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rsidRPr="00EB6E3F">
              <w:t>-</w:t>
            </w:r>
            <w:r>
              <w:t>0.029</w:t>
            </w:r>
          </w:p>
        </w:tc>
        <w:tc>
          <w:tcPr>
            <w:tcW w:w="1417"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0.00</w:t>
            </w:r>
          </w:p>
        </w:tc>
        <w:tc>
          <w:tcPr>
            <w:tcW w:w="1418" w:type="dxa"/>
            <w:gridSpan w:val="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-0.188</w:t>
            </w:r>
          </w:p>
        </w:tc>
        <w:tc>
          <w:tcPr>
            <w:tcW w:w="1417" w:type="dxa"/>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t>3.743</w:t>
            </w:r>
          </w:p>
        </w:tc>
      </w:tr>
      <w:tr w:rsidR="000C25B3" w:rsidRPr="00EB6E3F" w:rsidTr="000372C1">
        <w:trPr>
          <w:trHeight w:val="270"/>
        </w:trPr>
        <w:tc>
          <w:tcPr>
            <w:tcW w:w="0" w:type="auto"/>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0" w:type="auto"/>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center"/>
            </w:pPr>
          </w:p>
        </w:tc>
        <w:tc>
          <w:tcPr>
            <w:tcW w:w="1287"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center"/>
            </w:pPr>
          </w:p>
        </w:tc>
        <w:tc>
          <w:tcPr>
            <w:tcW w:w="1134"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center"/>
            </w:pPr>
          </w:p>
        </w:tc>
        <w:tc>
          <w:tcPr>
            <w:tcW w:w="1418"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center"/>
            </w:pPr>
          </w:p>
        </w:tc>
        <w:tc>
          <w:tcPr>
            <w:tcW w:w="1417" w:type="dxa"/>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center"/>
            </w:pPr>
          </w:p>
        </w:tc>
      </w:tr>
      <w:tr w:rsidR="000C25B3" w:rsidRPr="00EB6E3F" w:rsidTr="000372C1">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28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134"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9115" w:type="dxa"/>
            <w:gridSpan w:val="12"/>
            <w:tcBorders>
              <w:top w:val="nil"/>
              <w:left w:val="nil"/>
              <w:right w:val="nil"/>
            </w:tcBorders>
            <w:noWrap/>
            <w:tcMar>
              <w:top w:w="15" w:type="dxa"/>
              <w:left w:w="15" w:type="dxa"/>
              <w:bottom w:w="0" w:type="dxa"/>
              <w:right w:w="15" w:type="dxa"/>
            </w:tcMar>
            <w:vAlign w:val="bottom"/>
          </w:tcPr>
          <w:p w:rsidR="000C25B3" w:rsidRPr="00EB6E3F" w:rsidRDefault="000C25B3" w:rsidP="000372C1">
            <w:pPr>
              <w:jc w:val="center"/>
            </w:pPr>
            <w:r>
              <w:rPr>
                <w:rFonts w:eastAsiaTheme="minorHAnsi"/>
                <w:b/>
                <w:bCs/>
                <w:sz w:val="23"/>
                <w:szCs w:val="23"/>
                <w:lang w:eastAsia="en-US"/>
              </w:rPr>
              <w:t>Panel C: Cross Correlations Explanatory Factors</w:t>
            </w:r>
          </w:p>
        </w:tc>
      </w:tr>
      <w:tr w:rsidR="000C25B3" w:rsidRPr="00EB6E3F" w:rsidTr="000372C1">
        <w:trPr>
          <w:trHeight w:val="27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287"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134"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418" w:type="dxa"/>
            <w:gridSpan w:val="2"/>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nil"/>
              <w:left w:val="nil"/>
              <w:bottom w:val="single" w:sz="4" w:space="0" w:color="auto"/>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287"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134"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8" w:type="dxa"/>
            <w:gridSpan w:val="2"/>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single" w:sz="4" w:space="0" w:color="auto"/>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226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851"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rPr>
                <w:b/>
                <w:bCs/>
              </w:rPr>
            </w:pPr>
            <w:r>
              <w:rPr>
                <w:b/>
                <w:bCs/>
              </w:rPr>
              <w:t>R</w:t>
            </w:r>
            <w:r w:rsidRPr="00976E6D">
              <w:rPr>
                <w:b/>
                <w:bCs/>
                <w:vertAlign w:val="subscript"/>
              </w:rPr>
              <w:t>M</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1.00</w:t>
            </w:r>
          </w:p>
        </w:tc>
        <w:tc>
          <w:tcPr>
            <w:tcW w:w="1276"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992"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894"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226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851"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76"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992"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894"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226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851"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rPr>
                <w:b/>
                <w:bCs/>
              </w:rPr>
            </w:pPr>
            <w:r>
              <w:rPr>
                <w:b/>
                <w:bCs/>
              </w:rPr>
              <w:t>SMB</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w:t>
            </w:r>
            <w:r w:rsidRPr="00EB6E3F">
              <w:t>0.</w:t>
            </w:r>
            <w:r>
              <w:t>65)</w:t>
            </w:r>
          </w:p>
        </w:tc>
        <w:tc>
          <w:tcPr>
            <w:tcW w:w="1276"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1.00</w:t>
            </w:r>
          </w:p>
        </w:tc>
        <w:tc>
          <w:tcPr>
            <w:tcW w:w="992"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894"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226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851"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1276"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992"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p>
        </w:tc>
        <w:tc>
          <w:tcPr>
            <w:tcW w:w="894"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2268"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c>
          <w:tcPr>
            <w:tcW w:w="851"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rPr>
                <w:b/>
                <w:bCs/>
              </w:rPr>
            </w:pPr>
            <w:r>
              <w:rPr>
                <w:b/>
                <w:bCs/>
              </w:rPr>
              <w:t>HML</w:t>
            </w:r>
          </w:p>
        </w:tc>
        <w:tc>
          <w:tcPr>
            <w:tcW w:w="1417"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0.29</w:t>
            </w:r>
          </w:p>
        </w:tc>
        <w:tc>
          <w:tcPr>
            <w:tcW w:w="1276"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(0.28)</w:t>
            </w:r>
          </w:p>
        </w:tc>
        <w:tc>
          <w:tcPr>
            <w:tcW w:w="992" w:type="dxa"/>
            <w:gridSpan w:val="2"/>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center"/>
            </w:pPr>
            <w:r>
              <w:t>1.00</w:t>
            </w:r>
          </w:p>
        </w:tc>
        <w:tc>
          <w:tcPr>
            <w:tcW w:w="894"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rPr>
                <w:b/>
                <w:bCs/>
              </w:rPr>
            </w:pPr>
          </w:p>
        </w:tc>
        <w:tc>
          <w:tcPr>
            <w:tcW w:w="1417" w:type="dxa"/>
            <w:tcBorders>
              <w:top w:val="nil"/>
              <w:left w:val="nil"/>
              <w:bottom w:val="nil"/>
              <w:right w:val="nil"/>
            </w:tcBorders>
            <w:noWrap/>
            <w:tcMar>
              <w:top w:w="15" w:type="dxa"/>
              <w:left w:w="15" w:type="dxa"/>
              <w:bottom w:w="0" w:type="dxa"/>
              <w:right w:w="15" w:type="dxa"/>
            </w:tcMar>
            <w:vAlign w:val="bottom"/>
          </w:tcPr>
          <w:p w:rsidR="000C25B3" w:rsidRPr="00EB6E3F" w:rsidRDefault="000C25B3" w:rsidP="000372C1">
            <w:pPr>
              <w:jc w:val="both"/>
            </w:pPr>
          </w:p>
        </w:tc>
      </w:tr>
      <w:tr w:rsidR="000C25B3" w:rsidRPr="00EB6E3F" w:rsidTr="000372C1">
        <w:trPr>
          <w:trHeight w:val="270"/>
        </w:trPr>
        <w:tc>
          <w:tcPr>
            <w:tcW w:w="0" w:type="auto"/>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0" w:type="auto"/>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287"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134"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418" w:type="dxa"/>
            <w:gridSpan w:val="2"/>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c>
          <w:tcPr>
            <w:tcW w:w="1417" w:type="dxa"/>
            <w:tcBorders>
              <w:top w:val="nil"/>
              <w:left w:val="nil"/>
              <w:bottom w:val="single" w:sz="8" w:space="0" w:color="auto"/>
              <w:right w:val="nil"/>
            </w:tcBorders>
            <w:noWrap/>
            <w:tcMar>
              <w:top w:w="15" w:type="dxa"/>
              <w:left w:w="15" w:type="dxa"/>
              <w:bottom w:w="0" w:type="dxa"/>
              <w:right w:w="15" w:type="dxa"/>
            </w:tcMar>
            <w:vAlign w:val="bottom"/>
          </w:tcPr>
          <w:p w:rsidR="000C25B3" w:rsidRPr="00EB6E3F" w:rsidRDefault="000C25B3" w:rsidP="000372C1">
            <w:pPr>
              <w:jc w:val="both"/>
            </w:pPr>
          </w:p>
        </w:tc>
      </w:tr>
    </w:tbl>
    <w:p w:rsidR="000C25B3" w:rsidRPr="00EB6E3F" w:rsidRDefault="000C25B3" w:rsidP="000C25B3">
      <w:pPr>
        <w:jc w:val="both"/>
      </w:pPr>
      <w:r w:rsidRPr="00EB6E3F">
        <w:rPr>
          <w:sz w:val="20"/>
          <w:szCs w:val="20"/>
        </w:rPr>
        <w:t xml:space="preserve">  </w:t>
      </w:r>
    </w:p>
    <w:p w:rsidR="00C915A1" w:rsidRPr="00EB6E3F" w:rsidRDefault="00C915A1" w:rsidP="002777FF">
      <w:pPr>
        <w:spacing w:line="480" w:lineRule="auto"/>
        <w:jc w:val="both"/>
      </w:pPr>
    </w:p>
    <w:p w:rsidR="00F81F90" w:rsidRDefault="00404D96" w:rsidP="00660819">
      <w:pPr>
        <w:autoSpaceDE w:val="0"/>
        <w:autoSpaceDN w:val="0"/>
        <w:adjustRightInd w:val="0"/>
        <w:spacing w:line="480" w:lineRule="auto"/>
        <w:jc w:val="both"/>
      </w:pPr>
      <w:r>
        <w:rPr>
          <w:rFonts w:ascii="TimesNewRoman" w:eastAsiaTheme="minorHAnsi" w:hAnsi="TimesNewRoman" w:cs="TimesNewRoman"/>
          <w:lang w:eastAsia="en-US"/>
        </w:rPr>
        <w:t xml:space="preserve">What is immediately evident is that, as predicted, the risk (as measured by variance) of the merger arbitrage strategy in Germany is significantly lower than that observed in other studies in alternative settings. That said, however, the returns are also significantly lower.  </w:t>
      </w:r>
      <w:r w:rsidR="00EC76E4" w:rsidRPr="00E83405">
        <w:rPr>
          <w:rFonts w:ascii="TimesNewRoman" w:eastAsiaTheme="minorHAnsi" w:hAnsi="TimesNewRoman" w:cs="TimesNewRoman"/>
          <w:lang w:eastAsia="en-US"/>
        </w:rPr>
        <w:t>The R</w:t>
      </w:r>
      <w:r w:rsidR="00E83405" w:rsidRPr="00E83405">
        <w:rPr>
          <w:rFonts w:ascii="TimesNewRoman" w:eastAsiaTheme="minorHAnsi" w:hAnsi="TimesNewRoman" w:cs="TimesNewRoman"/>
          <w:lang w:eastAsia="en-US"/>
        </w:rPr>
        <w:t>AIM</w:t>
      </w:r>
      <w:r w:rsidR="00EC76E4" w:rsidRPr="00E83405">
        <w:rPr>
          <w:rFonts w:ascii="TimesNewRoman" w:eastAsiaTheme="minorHAnsi" w:hAnsi="TimesNewRoman" w:cs="TimesNewRoman"/>
          <w:lang w:eastAsia="en-US"/>
        </w:rPr>
        <w:t xml:space="preserve"> </w:t>
      </w:r>
      <w:r w:rsidR="00EC76E4" w:rsidRPr="00E83405">
        <w:rPr>
          <w:rFonts w:ascii="TimesNewRoman" w:eastAsiaTheme="minorHAnsi" w:hAnsi="TimesNewRoman" w:cs="TimesNewRoman"/>
          <w:lang w:eastAsia="en-US"/>
        </w:rPr>
        <w:lastRenderedPageBreak/>
        <w:t>portfolio generates a positive daily excess return of 0.00</w:t>
      </w:r>
      <w:r w:rsidR="00E83405" w:rsidRPr="00E83405">
        <w:rPr>
          <w:rFonts w:ascii="TimesNewRoman" w:eastAsiaTheme="minorHAnsi" w:hAnsi="TimesNewRoman" w:cs="TimesNewRoman"/>
          <w:lang w:eastAsia="en-US"/>
        </w:rPr>
        <w:t>0</w:t>
      </w:r>
      <w:r w:rsidR="00EC76E4" w:rsidRPr="00E83405">
        <w:rPr>
          <w:rFonts w:ascii="TimesNewRoman" w:eastAsiaTheme="minorHAnsi" w:hAnsi="TimesNewRoman" w:cs="TimesNewRoman"/>
          <w:lang w:eastAsia="en-US"/>
        </w:rPr>
        <w:t>% for the</w:t>
      </w:r>
      <w:r w:rsidR="00E83405" w:rsidRPr="00E83405">
        <w:rPr>
          <w:rFonts w:ascii="TimesNewRoman" w:eastAsiaTheme="minorHAnsi" w:hAnsi="TimesNewRoman" w:cs="TimesNewRoman"/>
          <w:lang w:eastAsia="en-US"/>
        </w:rPr>
        <w:t xml:space="preserve"> </w:t>
      </w:r>
      <w:r w:rsidR="00EC76E4" w:rsidRPr="00E83405">
        <w:rPr>
          <w:rFonts w:ascii="TimesNewRoman" w:eastAsiaTheme="minorHAnsi" w:hAnsi="TimesNewRoman" w:cs="TimesNewRoman"/>
          <w:lang w:eastAsia="en-US"/>
        </w:rPr>
        <w:t xml:space="preserve">sample period. </w:t>
      </w:r>
      <w:r w:rsidR="007747DC" w:rsidRPr="007747DC">
        <w:rPr>
          <w:rFonts w:ascii="TimesNewRoman" w:eastAsiaTheme="minorHAnsi" w:hAnsi="TimesNewRoman" w:cs="TimesNewRoman"/>
          <w:lang w:eastAsia="en-US"/>
        </w:rPr>
        <w:t>The V</w:t>
      </w:r>
      <w:r w:rsidR="00EC76E4" w:rsidRPr="007747DC">
        <w:rPr>
          <w:rFonts w:ascii="TimesNewRoman" w:eastAsiaTheme="minorHAnsi" w:hAnsi="TimesNewRoman" w:cs="TimesNewRoman"/>
          <w:lang w:eastAsia="en-US"/>
        </w:rPr>
        <w:t>WRA portfolio performs better, earning an excess daily return</w:t>
      </w:r>
      <w:r w:rsidR="00E83405" w:rsidRPr="007747DC">
        <w:rPr>
          <w:rFonts w:ascii="TimesNewRoman" w:eastAsiaTheme="minorHAnsi" w:hAnsi="TimesNewRoman" w:cs="TimesNewRoman"/>
          <w:lang w:eastAsia="en-US"/>
        </w:rPr>
        <w:t xml:space="preserve"> </w:t>
      </w:r>
      <w:r w:rsidR="00EC76E4" w:rsidRPr="007747DC">
        <w:rPr>
          <w:rFonts w:ascii="TimesNewRoman" w:eastAsiaTheme="minorHAnsi" w:hAnsi="TimesNewRoman" w:cs="TimesNewRoman"/>
          <w:lang w:eastAsia="en-US"/>
        </w:rPr>
        <w:t>of 0.0</w:t>
      </w:r>
      <w:r w:rsidR="00E83405" w:rsidRPr="007747DC">
        <w:rPr>
          <w:rFonts w:ascii="TimesNewRoman" w:eastAsiaTheme="minorHAnsi" w:hAnsi="TimesNewRoman" w:cs="TimesNewRoman"/>
          <w:lang w:eastAsia="en-US"/>
        </w:rPr>
        <w:t>01</w:t>
      </w:r>
      <w:r w:rsidR="00EC76E4" w:rsidRPr="007747DC">
        <w:rPr>
          <w:rFonts w:ascii="TimesNewRoman" w:eastAsiaTheme="minorHAnsi" w:hAnsi="TimesNewRoman" w:cs="TimesNewRoman"/>
          <w:lang w:eastAsia="en-US"/>
        </w:rPr>
        <w:t xml:space="preserve">%. The </w:t>
      </w:r>
      <w:r w:rsidR="007747DC" w:rsidRPr="007747DC">
        <w:rPr>
          <w:rFonts w:ascii="TimesNewRoman" w:eastAsiaTheme="minorHAnsi" w:hAnsi="TimesNewRoman" w:cs="TimesNewRoman"/>
          <w:lang w:eastAsia="en-US"/>
        </w:rPr>
        <w:t>E</w:t>
      </w:r>
      <w:r w:rsidR="00EC76E4" w:rsidRPr="007747DC">
        <w:rPr>
          <w:rFonts w:ascii="TimesNewRoman" w:eastAsiaTheme="minorHAnsi" w:hAnsi="TimesNewRoman" w:cs="TimesNewRoman"/>
          <w:lang w:eastAsia="en-US"/>
        </w:rPr>
        <w:t xml:space="preserve">WRA portfolio </w:t>
      </w:r>
      <w:r w:rsidR="00E83405" w:rsidRPr="00404D96">
        <w:rPr>
          <w:rFonts w:ascii="TimesNewRoman" w:eastAsiaTheme="minorHAnsi" w:hAnsi="TimesNewRoman" w:cs="TimesNewRoman"/>
          <w:lang w:eastAsia="en-US"/>
        </w:rPr>
        <w:t xml:space="preserve">performs best </w:t>
      </w:r>
      <w:r w:rsidR="00EC76E4" w:rsidRPr="00404D96">
        <w:rPr>
          <w:rFonts w:ascii="TimesNewRoman" w:eastAsiaTheme="minorHAnsi" w:hAnsi="TimesNewRoman" w:cs="TimesNewRoman"/>
          <w:lang w:eastAsia="en-US"/>
        </w:rPr>
        <w:t>generat</w:t>
      </w:r>
      <w:r w:rsidR="00E83405" w:rsidRPr="00404D96">
        <w:rPr>
          <w:rFonts w:ascii="TimesNewRoman" w:eastAsiaTheme="minorHAnsi" w:hAnsi="TimesNewRoman" w:cs="TimesNewRoman"/>
          <w:lang w:eastAsia="en-US"/>
        </w:rPr>
        <w:t>ing</w:t>
      </w:r>
      <w:r w:rsidR="00EC76E4" w:rsidRPr="00404D96">
        <w:rPr>
          <w:rFonts w:ascii="TimesNewRoman" w:eastAsiaTheme="minorHAnsi" w:hAnsi="TimesNewRoman" w:cs="TimesNewRoman"/>
          <w:lang w:eastAsia="en-US"/>
        </w:rPr>
        <w:t xml:space="preserve"> an excess return of just 0.002%, despite</w:t>
      </w:r>
      <w:r w:rsidR="00E83405" w:rsidRPr="00404D96">
        <w:rPr>
          <w:rFonts w:ascii="TimesNewRoman" w:eastAsiaTheme="minorHAnsi" w:hAnsi="TimesNewRoman" w:cs="TimesNewRoman"/>
          <w:lang w:eastAsia="en-US"/>
        </w:rPr>
        <w:t xml:space="preserve"> </w:t>
      </w:r>
      <w:r w:rsidR="00EC76E4" w:rsidRPr="00404D96">
        <w:rPr>
          <w:rFonts w:ascii="TimesNewRoman" w:eastAsiaTheme="minorHAnsi" w:hAnsi="TimesNewRoman" w:cs="TimesNewRoman"/>
          <w:lang w:eastAsia="en-US"/>
        </w:rPr>
        <w:t xml:space="preserve">ignoring many of the practical limitations encountered by risk arbitrageurs. The positive skew observed </w:t>
      </w:r>
      <w:r w:rsidR="00E83405" w:rsidRPr="00404D96">
        <w:rPr>
          <w:rFonts w:ascii="TimesNewRoman" w:eastAsiaTheme="minorHAnsi" w:hAnsi="TimesNewRoman" w:cs="TimesNewRoman"/>
          <w:lang w:eastAsia="en-US"/>
        </w:rPr>
        <w:t>for all</w:t>
      </w:r>
      <w:r w:rsidR="00EC76E4" w:rsidRPr="00404D96">
        <w:rPr>
          <w:rFonts w:ascii="TimesNewRoman" w:eastAsiaTheme="minorHAnsi" w:hAnsi="TimesNewRoman" w:cs="TimesNewRoman"/>
          <w:lang w:eastAsia="en-US"/>
        </w:rPr>
        <w:t xml:space="preserve"> return distribution</w:t>
      </w:r>
      <w:r w:rsidR="00E83405" w:rsidRPr="00404D96">
        <w:rPr>
          <w:rFonts w:ascii="TimesNewRoman" w:eastAsiaTheme="minorHAnsi" w:hAnsi="TimesNewRoman" w:cs="TimesNewRoman"/>
          <w:lang w:eastAsia="en-US"/>
        </w:rPr>
        <w:t xml:space="preserve">s </w:t>
      </w:r>
      <w:r w:rsidR="00EC76E4" w:rsidRPr="00404D96">
        <w:rPr>
          <w:rFonts w:ascii="TimesNewRoman" w:eastAsiaTheme="minorHAnsi" w:hAnsi="TimesNewRoman" w:cs="TimesNewRoman"/>
          <w:lang w:eastAsia="en-US"/>
        </w:rPr>
        <w:t>combined with the large kurtosis figure indicate</w:t>
      </w:r>
      <w:r w:rsidR="00EC76E4" w:rsidRPr="00E83405">
        <w:rPr>
          <w:rFonts w:ascii="TimesNewRoman" w:eastAsiaTheme="minorHAnsi" w:hAnsi="TimesNewRoman" w:cs="TimesNewRoman"/>
          <w:lang w:eastAsia="en-US"/>
        </w:rPr>
        <w:t xml:space="preserve"> a portfolio exhibiting a number of</w:t>
      </w:r>
      <w:r w:rsidR="00E83405" w:rsidRPr="00E83405">
        <w:rPr>
          <w:rFonts w:ascii="TimesNewRoman" w:eastAsiaTheme="minorHAnsi" w:hAnsi="TimesNewRoman" w:cs="TimesNewRoman"/>
          <w:lang w:eastAsia="en-US"/>
        </w:rPr>
        <w:t xml:space="preserve"> </w:t>
      </w:r>
      <w:r w:rsidR="00EC76E4" w:rsidRPr="00E83405">
        <w:rPr>
          <w:rFonts w:ascii="TimesNewRoman" w:eastAsiaTheme="minorHAnsi" w:hAnsi="TimesNewRoman" w:cs="TimesNewRoman"/>
          <w:lang w:eastAsia="en-US"/>
        </w:rPr>
        <w:t xml:space="preserve">extreme excess returns generally observed on profit making days. </w:t>
      </w:r>
      <w:r w:rsidR="00F81F90" w:rsidRPr="00E83405">
        <w:t>Overall t</w:t>
      </w:r>
      <w:r w:rsidR="00E20A6D" w:rsidRPr="00E83405">
        <w:t xml:space="preserve">he results indicate that </w:t>
      </w:r>
      <w:r w:rsidR="00F81F90" w:rsidRPr="00E83405">
        <w:t xml:space="preserve">ignoring </w:t>
      </w:r>
      <w:r w:rsidR="00E20A6D" w:rsidRPr="00E83405">
        <w:t xml:space="preserve">transaction costs and </w:t>
      </w:r>
      <w:r w:rsidR="00F81F90" w:rsidRPr="00E83405">
        <w:t xml:space="preserve">other real world limiting factors </w:t>
      </w:r>
      <w:r w:rsidR="00E20A6D" w:rsidRPr="00E83405">
        <w:t>play a major role in earning excess returns from employing a risk arbitrage trading strategy</w:t>
      </w:r>
      <w:r w:rsidR="00F81F90" w:rsidRPr="00E83405">
        <w:t xml:space="preserve"> (i.e. help explain wh</w:t>
      </w:r>
      <w:r w:rsidR="00660819">
        <w:t>y</w:t>
      </w:r>
      <w:r w:rsidR="00F81F90" w:rsidRPr="00E83405">
        <w:t xml:space="preserve"> the equal- and value-weighted portfolios outperform the risk arbitrage index manager portfolio) such that ignoring them is entirely unrealistic.</w:t>
      </w:r>
      <w:r w:rsidR="00F81F90" w:rsidRPr="00EB6E3F">
        <w:t xml:space="preserve">  </w:t>
      </w:r>
    </w:p>
    <w:p w:rsidR="00F92129" w:rsidRDefault="00F92129" w:rsidP="007B141D">
      <w:pPr>
        <w:spacing w:line="480" w:lineRule="auto"/>
        <w:jc w:val="both"/>
      </w:pPr>
    </w:p>
    <w:p w:rsidR="006A1508" w:rsidRPr="00EB6E3F" w:rsidRDefault="00F92129" w:rsidP="007B141D">
      <w:pPr>
        <w:spacing w:line="480" w:lineRule="auto"/>
        <w:jc w:val="both"/>
        <w:rPr>
          <w:bCs/>
        </w:rPr>
      </w:pPr>
      <w:r>
        <w:t>Descriptive statistics of the three risk factors are reported in Table 3</w:t>
      </w:r>
      <w:r w:rsidR="000D57C0">
        <w:t>, Panel B</w:t>
      </w:r>
      <w:r>
        <w:t>. The risk factors have mean returns which are zero over the sample period. It is also notable that the variance of the risk factors is considerably lower than the variance of the risk arbitrage portfolios. These factors also exhibit negative skewness and positive excess kurtosis.</w:t>
      </w:r>
      <w:r w:rsidR="000D57C0">
        <w:t xml:space="preserve"> </w:t>
      </w:r>
      <w:r w:rsidR="00E531DA" w:rsidRPr="00EB6E3F">
        <w:t xml:space="preserve">This study also employs a correlation analysis </w:t>
      </w:r>
      <w:r w:rsidR="00E20A6D" w:rsidRPr="00EB6E3F">
        <w:t xml:space="preserve">to detect any relationship that may exist between the individual return series and the </w:t>
      </w:r>
      <w:proofErr w:type="spellStart"/>
      <w:r w:rsidR="00E531DA" w:rsidRPr="00EB6E3F">
        <w:t>Fama</w:t>
      </w:r>
      <w:proofErr w:type="spellEnd"/>
      <w:r w:rsidR="00E531DA" w:rsidRPr="00EB6E3F">
        <w:t xml:space="preserve"> and French </w:t>
      </w:r>
      <w:r w:rsidR="00E20A6D" w:rsidRPr="00EB6E3F">
        <w:t>risk factors</w:t>
      </w:r>
      <w:r w:rsidR="000D57C0">
        <w:t xml:space="preserve"> (see Table 3, Panel C</w:t>
      </w:r>
      <w:r w:rsidR="000014DA" w:rsidRPr="00EB6E3F">
        <w:t>)</w:t>
      </w:r>
      <w:r w:rsidR="00E20A6D" w:rsidRPr="00EB6E3F">
        <w:t>.</w:t>
      </w:r>
      <w:r w:rsidR="00E531DA" w:rsidRPr="00EB6E3F">
        <w:t xml:space="preserve">  </w:t>
      </w:r>
      <w:r w:rsidR="00E20A6D" w:rsidRPr="00EB6E3F">
        <w:t>The correlation coefficients observed fro</w:t>
      </w:r>
      <w:r w:rsidR="000D57C0">
        <w:t xml:space="preserve">m this analysis are as expected. Of note </w:t>
      </w:r>
      <w:r w:rsidR="00180FE6">
        <w:t xml:space="preserve">is </w:t>
      </w:r>
      <w:r w:rsidR="000D57C0">
        <w:t xml:space="preserve">the </w:t>
      </w:r>
      <w:r w:rsidR="00180FE6">
        <w:t>high negative correlation between SMB and R</w:t>
      </w:r>
      <w:r w:rsidR="00180FE6" w:rsidRPr="00976E6D">
        <w:rPr>
          <w:vertAlign w:val="subscript"/>
        </w:rPr>
        <w:t>M</w:t>
      </w:r>
      <w:r w:rsidR="000D57C0">
        <w:t xml:space="preserve"> which</w:t>
      </w:r>
      <w:r w:rsidR="00180FE6" w:rsidRPr="00CD1BD5">
        <w:t xml:space="preserve"> is due to the </w:t>
      </w:r>
      <w:r w:rsidR="004E51D4" w:rsidRPr="00CD1BD5">
        <w:t>large cap stock</w:t>
      </w:r>
      <w:r w:rsidR="00853E13">
        <w:t>s</w:t>
      </w:r>
      <w:r w:rsidR="004E51D4" w:rsidRPr="00CD1BD5">
        <w:t xml:space="preserve"> </w:t>
      </w:r>
      <w:r w:rsidR="00180FE6" w:rsidRPr="00CD1BD5">
        <w:t xml:space="preserve">representing a large proportion of the market capitalisation of the </w:t>
      </w:r>
      <w:r w:rsidR="004E51D4" w:rsidRPr="00CD1BD5">
        <w:t>MSCI</w:t>
      </w:r>
      <w:r w:rsidR="00180FE6" w:rsidRPr="00CD1BD5">
        <w:t xml:space="preserve"> index.</w:t>
      </w:r>
      <w:r w:rsidR="00CD1BD5">
        <w:t xml:space="preserve"> </w:t>
      </w:r>
    </w:p>
    <w:p w:rsidR="006A1508" w:rsidRDefault="006A1508" w:rsidP="007B141D">
      <w:pPr>
        <w:spacing w:line="480" w:lineRule="auto"/>
        <w:jc w:val="both"/>
        <w:rPr>
          <w:bCs/>
        </w:rPr>
      </w:pPr>
    </w:p>
    <w:p w:rsidR="006A1508" w:rsidRPr="00EB6E3F" w:rsidRDefault="004F5224" w:rsidP="007B141D">
      <w:pPr>
        <w:spacing w:line="480" w:lineRule="auto"/>
        <w:jc w:val="both"/>
      </w:pPr>
      <w:r>
        <w:rPr>
          <w:b/>
          <w:bCs/>
        </w:rPr>
        <w:t>4.2</w:t>
      </w:r>
      <w:r>
        <w:rPr>
          <w:b/>
          <w:bCs/>
        </w:rPr>
        <w:tab/>
      </w:r>
      <w:r w:rsidR="007A0F4C" w:rsidRPr="00EB6E3F">
        <w:rPr>
          <w:b/>
          <w:bCs/>
        </w:rPr>
        <w:t>Regression Analysis</w:t>
      </w:r>
    </w:p>
    <w:p w:rsidR="00A91C5C" w:rsidRDefault="0078123E" w:rsidP="007B141D">
      <w:pPr>
        <w:spacing w:line="480" w:lineRule="auto"/>
        <w:jc w:val="both"/>
      </w:pPr>
      <w:r>
        <w:t xml:space="preserve">In order to account for the lower risk and return of the merger arbitrage strategy in the German setting, this section </w:t>
      </w:r>
      <w:r w:rsidR="00A91C5C" w:rsidRPr="00EB6E3F">
        <w:t>of the paper test</w:t>
      </w:r>
      <w:r>
        <w:t>s the risk-adjusted returns for each of</w:t>
      </w:r>
      <w:r w:rsidR="00A91C5C" w:rsidRPr="00EB6E3F">
        <w:t xml:space="preserve"> the three return series </w:t>
      </w:r>
      <w:r w:rsidR="00A91C5C" w:rsidRPr="00EB6E3F">
        <w:lastRenderedPageBreak/>
        <w:t xml:space="preserve">over the test period January 2003 to June 2007. The </w:t>
      </w:r>
      <w:r w:rsidR="000D57C0">
        <w:t xml:space="preserve">regression </w:t>
      </w:r>
      <w:r w:rsidR="00A91C5C" w:rsidRPr="00EB6E3F">
        <w:t xml:space="preserve">results for both </w:t>
      </w:r>
      <w:r w:rsidR="000D57C0">
        <w:t xml:space="preserve">pricing models for each portfolio </w:t>
      </w:r>
      <w:r w:rsidR="00A91C5C" w:rsidRPr="00EB6E3F">
        <w:t xml:space="preserve">are included in Table </w:t>
      </w:r>
      <w:r w:rsidR="00D974EF">
        <w:t>4</w:t>
      </w:r>
      <w:r w:rsidR="00A91C5C" w:rsidRPr="00EB6E3F">
        <w:t xml:space="preserve">.  </w:t>
      </w:r>
    </w:p>
    <w:p w:rsidR="00082776" w:rsidRDefault="00082776" w:rsidP="007B141D">
      <w:pPr>
        <w:spacing w:line="480" w:lineRule="auto"/>
        <w:jc w:val="both"/>
      </w:pPr>
    </w:p>
    <w:p w:rsidR="000C25B3" w:rsidRPr="00EB6E3F" w:rsidRDefault="000C25B3" w:rsidP="000C25B3">
      <w:pPr>
        <w:spacing w:line="480" w:lineRule="auto"/>
        <w:rPr>
          <w:b/>
        </w:rPr>
      </w:pPr>
      <w:r w:rsidRPr="00EB6E3F">
        <w:rPr>
          <w:b/>
        </w:rPr>
        <w:t xml:space="preserve">Table </w:t>
      </w:r>
      <w:r>
        <w:rPr>
          <w:b/>
        </w:rPr>
        <w:t>4</w:t>
      </w:r>
      <w:r>
        <w:rPr>
          <w:b/>
        </w:rPr>
        <w:tab/>
      </w:r>
      <w:r>
        <w:rPr>
          <w:b/>
        </w:rPr>
        <w:tab/>
      </w:r>
      <w:r w:rsidRPr="00EB6E3F">
        <w:rPr>
          <w:b/>
        </w:rPr>
        <w:t>Time series Regression of Risk Arbitrage Returns</w:t>
      </w:r>
    </w:p>
    <w:p w:rsidR="000C25B3" w:rsidRPr="00EB6E3F" w:rsidRDefault="000C25B3" w:rsidP="000C25B3">
      <w:pPr>
        <w:rPr>
          <w:sz w:val="20"/>
        </w:rPr>
      </w:pPr>
    </w:p>
    <w:p w:rsidR="000C25B3" w:rsidRPr="00EB6E3F" w:rsidRDefault="005F05FC" w:rsidP="000C25B3">
      <w:pPr>
        <w:spacing w:line="480" w:lineRule="auto"/>
        <w:jc w:val="both"/>
        <w:rPr>
          <w:i/>
          <w:sz w:val="22"/>
          <w:szCs w:val="22"/>
          <w:lang w:eastAsia="en-US"/>
        </w:rPr>
      </w:pPr>
      <m:oMathPara>
        <m:oMath>
          <m:sSub>
            <m:sSubPr>
              <m:ctrlPr>
                <w:rPr>
                  <w:rFonts w:ascii="Cambria Math" w:hAnsi="Cambria Math"/>
                  <w:i/>
                  <w:sz w:val="22"/>
                  <w:szCs w:val="22"/>
                  <w:lang w:eastAsia="en-US"/>
                </w:rPr>
              </m:ctrlPr>
            </m:sSubPr>
            <m:e>
              <m:r>
                <w:rPr>
                  <w:rFonts w:ascii="Cambria Math" w:hAnsi="Cambria Math"/>
                  <w:sz w:val="22"/>
                  <w:szCs w:val="22"/>
                  <w:lang w:eastAsia="en-US"/>
                </w:rPr>
                <m:t>y</m:t>
              </m:r>
            </m:e>
            <m:sub>
              <m:r>
                <w:rPr>
                  <w:rFonts w:ascii="Cambria Math" w:hAnsi="Cambria Math"/>
                  <w:sz w:val="22"/>
                  <w:szCs w:val="22"/>
                  <w:lang w:eastAsia="en-US"/>
                </w:rPr>
                <m:t>t</m:t>
              </m:r>
            </m:sub>
          </m:sSub>
          <m:r>
            <w:rPr>
              <w:rFonts w:ascii="Cambria Math" w:hAnsi="Cambria Math"/>
              <w:sz w:val="22"/>
              <w:szCs w:val="22"/>
              <w:lang w:eastAsia="en-US"/>
            </w:rPr>
            <m:t>=α+</m:t>
          </m:r>
          <m:sSub>
            <m:sSubPr>
              <m:ctrlPr>
                <w:rPr>
                  <w:rFonts w:ascii="Cambria Math" w:hAnsi="Cambria Math"/>
                  <w:i/>
                  <w:sz w:val="22"/>
                  <w:szCs w:val="22"/>
                  <w:lang w:eastAsia="en-US"/>
                </w:rPr>
              </m:ctrlPr>
            </m:sSubPr>
            <m:e>
              <m:r>
                <w:rPr>
                  <w:rFonts w:ascii="Cambria Math" w:hAnsi="Cambria Math"/>
                  <w:sz w:val="22"/>
                  <w:szCs w:val="22"/>
                  <w:lang w:eastAsia="en-US"/>
                </w:rPr>
                <m:t>β</m:t>
              </m:r>
            </m:e>
            <m:sub>
              <m:r>
                <w:rPr>
                  <w:rFonts w:ascii="Cambria Math" w:hAnsi="Cambria Math"/>
                  <w:sz w:val="22"/>
                  <w:szCs w:val="22"/>
                  <w:lang w:eastAsia="en-US"/>
                </w:rPr>
                <m:t>1</m:t>
              </m:r>
            </m:sub>
          </m:sSub>
          <m:sSub>
            <m:sSubPr>
              <m:ctrlPr>
                <w:rPr>
                  <w:rFonts w:ascii="Cambria Math" w:hAnsi="Cambria Math"/>
                  <w:i/>
                  <w:sz w:val="22"/>
                  <w:szCs w:val="22"/>
                  <w:lang w:eastAsia="en-US"/>
                </w:rPr>
              </m:ctrlPr>
            </m:sSubPr>
            <m:e>
              <m:r>
                <w:rPr>
                  <w:rFonts w:ascii="Cambria Math" w:hAnsi="Cambria Math"/>
                  <w:sz w:val="22"/>
                  <w:szCs w:val="22"/>
                  <w:lang w:eastAsia="en-US"/>
                </w:rPr>
                <m:t>R</m:t>
              </m:r>
            </m:e>
            <m:sub>
              <m:r>
                <w:rPr>
                  <w:rFonts w:ascii="Cambria Math" w:hAnsi="Cambria Math"/>
                  <w:sz w:val="22"/>
                  <w:szCs w:val="22"/>
                  <w:lang w:eastAsia="en-US"/>
                </w:rPr>
                <m:t>M</m:t>
              </m:r>
            </m:sub>
          </m:sSub>
          <m:r>
            <w:rPr>
              <w:rFonts w:ascii="Cambria Math" w:hAnsi="Cambria Math"/>
              <w:sz w:val="22"/>
              <w:szCs w:val="22"/>
              <w:lang w:eastAsia="en-US"/>
            </w:rPr>
            <m:t>+</m:t>
          </m:r>
          <m:sSub>
            <m:sSubPr>
              <m:ctrlPr>
                <w:rPr>
                  <w:rFonts w:ascii="Cambria Math" w:hAnsi="Cambria Math"/>
                  <w:i/>
                  <w:sz w:val="22"/>
                  <w:szCs w:val="22"/>
                  <w:lang w:eastAsia="en-US"/>
                </w:rPr>
              </m:ctrlPr>
            </m:sSubPr>
            <m:e>
              <m:r>
                <w:rPr>
                  <w:rFonts w:ascii="Cambria Math" w:hAnsi="Cambria Math"/>
                  <w:sz w:val="22"/>
                  <w:szCs w:val="22"/>
                  <w:lang w:eastAsia="en-US"/>
                </w:rPr>
                <m:t>β</m:t>
              </m:r>
            </m:e>
            <m:sub>
              <m:r>
                <w:rPr>
                  <w:rFonts w:ascii="Cambria Math" w:hAnsi="Cambria Math"/>
                  <w:sz w:val="22"/>
                  <w:szCs w:val="22"/>
                  <w:lang w:eastAsia="en-US"/>
                </w:rPr>
                <m:t>2</m:t>
              </m:r>
            </m:sub>
          </m:sSub>
          <m:r>
            <w:rPr>
              <w:rFonts w:ascii="Cambria Math" w:hAnsi="Cambria Math"/>
              <w:sz w:val="22"/>
              <w:szCs w:val="22"/>
              <w:lang w:eastAsia="en-US"/>
            </w:rPr>
            <m:t>SMB+</m:t>
          </m:r>
          <m:sSub>
            <m:sSubPr>
              <m:ctrlPr>
                <w:rPr>
                  <w:rFonts w:ascii="Cambria Math" w:hAnsi="Cambria Math"/>
                  <w:i/>
                  <w:sz w:val="22"/>
                  <w:szCs w:val="22"/>
                  <w:lang w:eastAsia="en-US"/>
                </w:rPr>
              </m:ctrlPr>
            </m:sSubPr>
            <m:e>
              <m:r>
                <w:rPr>
                  <w:rFonts w:ascii="Cambria Math" w:hAnsi="Cambria Math"/>
                  <w:sz w:val="22"/>
                  <w:szCs w:val="22"/>
                  <w:lang w:eastAsia="en-US"/>
                </w:rPr>
                <m:t>β</m:t>
              </m:r>
            </m:e>
            <m:sub>
              <m:r>
                <w:rPr>
                  <w:rFonts w:ascii="Cambria Math" w:hAnsi="Cambria Math"/>
                  <w:sz w:val="22"/>
                  <w:szCs w:val="22"/>
                  <w:lang w:eastAsia="en-US"/>
                </w:rPr>
                <m:t>3</m:t>
              </m:r>
            </m:sub>
          </m:sSub>
          <m:r>
            <w:rPr>
              <w:rFonts w:ascii="Cambria Math" w:hAnsi="Cambria Math"/>
              <w:sz w:val="22"/>
              <w:szCs w:val="22"/>
              <w:lang w:eastAsia="en-US"/>
            </w:rPr>
            <m:t>HML+</m:t>
          </m:r>
          <m:sSub>
            <m:sSubPr>
              <m:ctrlPr>
                <w:rPr>
                  <w:rFonts w:ascii="Cambria Math" w:hAnsi="Cambria Math"/>
                  <w:i/>
                  <w:sz w:val="22"/>
                  <w:szCs w:val="22"/>
                  <w:lang w:eastAsia="en-US"/>
                </w:rPr>
              </m:ctrlPr>
            </m:sSubPr>
            <m:e>
              <m:r>
                <w:rPr>
                  <w:rFonts w:ascii="Cambria Math" w:hAnsi="Cambria Math"/>
                  <w:sz w:val="22"/>
                  <w:szCs w:val="22"/>
                  <w:lang w:eastAsia="en-US"/>
                </w:rPr>
                <m:t>ε</m:t>
              </m:r>
            </m:e>
            <m:sub>
              <m:r>
                <w:rPr>
                  <w:rFonts w:ascii="Cambria Math" w:hAnsi="Cambria Math"/>
                  <w:sz w:val="22"/>
                  <w:szCs w:val="22"/>
                  <w:lang w:eastAsia="en-US"/>
                </w:rPr>
                <m:t>t</m:t>
              </m:r>
            </m:sub>
          </m:sSub>
        </m:oMath>
      </m:oMathPara>
    </w:p>
    <w:tbl>
      <w:tblPr>
        <w:tblW w:w="8002" w:type="dxa"/>
        <w:jc w:val="center"/>
        <w:tblLayout w:type="fixed"/>
        <w:tblCellMar>
          <w:left w:w="0" w:type="dxa"/>
          <w:right w:w="0" w:type="dxa"/>
        </w:tblCellMar>
        <w:tblLook w:val="04A0" w:firstRow="1" w:lastRow="0" w:firstColumn="1" w:lastColumn="0" w:noHBand="0" w:noVBand="1"/>
      </w:tblPr>
      <w:tblGrid>
        <w:gridCol w:w="1620"/>
        <w:gridCol w:w="960"/>
        <w:gridCol w:w="1560"/>
        <w:gridCol w:w="1452"/>
        <w:gridCol w:w="1134"/>
        <w:gridCol w:w="1276"/>
      </w:tblGrid>
      <w:tr w:rsidR="000C25B3" w:rsidRPr="00EB6E3F" w:rsidTr="000372C1">
        <w:trPr>
          <w:trHeight w:val="429"/>
          <w:jc w:val="center"/>
        </w:trPr>
        <w:tc>
          <w:tcPr>
            <w:tcW w:w="1620" w:type="dxa"/>
            <w:tcBorders>
              <w:top w:val="single" w:sz="4" w:space="0" w:color="auto"/>
              <w:left w:val="nil"/>
              <w:bottom w:val="double" w:sz="6" w:space="0" w:color="auto"/>
              <w:right w:val="nil"/>
            </w:tcBorders>
            <w:noWrap/>
            <w:tcMar>
              <w:top w:w="13" w:type="dxa"/>
              <w:left w:w="13" w:type="dxa"/>
              <w:bottom w:w="0" w:type="dxa"/>
              <w:right w:w="13" w:type="dxa"/>
            </w:tcMar>
            <w:vAlign w:val="bottom"/>
            <w:hideMark/>
          </w:tcPr>
          <w:p w:rsidR="000C25B3" w:rsidRPr="0098656A" w:rsidRDefault="000C25B3" w:rsidP="000372C1">
            <w:pPr>
              <w:jc w:val="center"/>
              <w:rPr>
                <w:b/>
                <w:bCs/>
                <w:i/>
                <w:sz w:val="20"/>
                <w:szCs w:val="20"/>
                <w:lang w:eastAsia="en-US"/>
              </w:rPr>
            </w:pPr>
            <w:r>
              <w:rPr>
                <w:b/>
                <w:bCs/>
                <w:i/>
                <w:sz w:val="20"/>
                <w:szCs w:val="20"/>
              </w:rPr>
              <w:t>y</w:t>
            </w:r>
          </w:p>
        </w:tc>
        <w:tc>
          <w:tcPr>
            <w:tcW w:w="960" w:type="dxa"/>
            <w:tcBorders>
              <w:top w:val="single" w:sz="4" w:space="0" w:color="auto"/>
              <w:left w:val="nil"/>
              <w:bottom w:val="double" w:sz="6" w:space="0" w:color="auto"/>
              <w:right w:val="nil"/>
            </w:tcBorders>
            <w:noWrap/>
            <w:tcMar>
              <w:top w:w="13" w:type="dxa"/>
              <w:left w:w="13" w:type="dxa"/>
              <w:bottom w:w="0" w:type="dxa"/>
              <w:right w:w="13" w:type="dxa"/>
            </w:tcMar>
            <w:vAlign w:val="bottom"/>
            <w:hideMark/>
          </w:tcPr>
          <w:p w:rsidR="000C25B3" w:rsidRPr="00EB6E3F" w:rsidRDefault="000C25B3" w:rsidP="000372C1">
            <w:pPr>
              <w:jc w:val="center"/>
              <w:rPr>
                <w:b/>
                <w:bCs/>
                <w:sz w:val="20"/>
                <w:szCs w:val="20"/>
                <w:lang w:eastAsia="en-US"/>
              </w:rPr>
            </w:pPr>
            <w:r w:rsidRPr="00EB6E3F">
              <w:rPr>
                <w:b/>
                <w:bCs/>
                <w:sz w:val="20"/>
                <w:szCs w:val="20"/>
              </w:rPr>
              <w:sym w:font="Symbol" w:char="F061"/>
            </w:r>
          </w:p>
        </w:tc>
        <w:tc>
          <w:tcPr>
            <w:tcW w:w="1560" w:type="dxa"/>
            <w:tcBorders>
              <w:top w:val="single" w:sz="4" w:space="0" w:color="auto"/>
              <w:left w:val="nil"/>
              <w:bottom w:val="double" w:sz="6" w:space="0" w:color="auto"/>
              <w:right w:val="nil"/>
            </w:tcBorders>
            <w:noWrap/>
            <w:tcMar>
              <w:top w:w="13" w:type="dxa"/>
              <w:left w:w="13" w:type="dxa"/>
              <w:bottom w:w="0" w:type="dxa"/>
              <w:right w:w="13" w:type="dxa"/>
            </w:tcMar>
            <w:vAlign w:val="bottom"/>
            <w:hideMark/>
          </w:tcPr>
          <w:p w:rsidR="000C25B3" w:rsidRPr="00EB6E3F" w:rsidRDefault="005F05FC" w:rsidP="000372C1">
            <w:pPr>
              <w:jc w:val="center"/>
              <w:rPr>
                <w:b/>
                <w:bCs/>
                <w:sz w:val="20"/>
                <w:szCs w:val="20"/>
                <w:lang w:eastAsia="en-US"/>
              </w:rPr>
            </w:pPr>
            <m:oMathPara>
              <m:oMath>
                <m:sSub>
                  <m:sSubPr>
                    <m:ctrlPr>
                      <w:rPr>
                        <w:rFonts w:ascii="Cambria Math" w:hAnsi="Cambria Math"/>
                        <w:i/>
                        <w:sz w:val="22"/>
                        <w:szCs w:val="22"/>
                        <w:lang w:eastAsia="en-US"/>
                      </w:rPr>
                    </m:ctrlPr>
                  </m:sSubPr>
                  <m:e>
                    <m:r>
                      <w:rPr>
                        <w:rFonts w:ascii="Cambria Math" w:hAnsi="Cambria Math"/>
                        <w:sz w:val="22"/>
                        <w:szCs w:val="22"/>
                        <w:lang w:eastAsia="en-US"/>
                      </w:rPr>
                      <m:t>R</m:t>
                    </m:r>
                  </m:e>
                  <m:sub>
                    <m:r>
                      <w:rPr>
                        <w:rFonts w:ascii="Cambria Math" w:hAnsi="Cambria Math"/>
                        <w:sz w:val="22"/>
                        <w:szCs w:val="22"/>
                        <w:lang w:eastAsia="en-US"/>
                      </w:rPr>
                      <m:t>M</m:t>
                    </m:r>
                  </m:sub>
                </m:sSub>
              </m:oMath>
            </m:oMathPara>
          </w:p>
        </w:tc>
        <w:tc>
          <w:tcPr>
            <w:tcW w:w="1452" w:type="dxa"/>
            <w:tcBorders>
              <w:top w:val="single" w:sz="4" w:space="0" w:color="auto"/>
              <w:left w:val="nil"/>
              <w:bottom w:val="double" w:sz="6" w:space="0" w:color="auto"/>
              <w:right w:val="nil"/>
            </w:tcBorders>
            <w:noWrap/>
            <w:tcMar>
              <w:top w:w="13" w:type="dxa"/>
              <w:left w:w="13" w:type="dxa"/>
              <w:bottom w:w="0" w:type="dxa"/>
              <w:right w:w="13" w:type="dxa"/>
            </w:tcMar>
            <w:vAlign w:val="bottom"/>
            <w:hideMark/>
          </w:tcPr>
          <w:p w:rsidR="000C25B3" w:rsidRPr="00EB6E3F" w:rsidRDefault="000C25B3" w:rsidP="000372C1">
            <w:pPr>
              <w:pStyle w:val="font5"/>
              <w:spacing w:before="0" w:beforeAutospacing="0" w:after="0" w:afterAutospacing="0"/>
              <w:jc w:val="center"/>
              <w:rPr>
                <w:lang w:eastAsia="en-GB"/>
              </w:rPr>
            </w:pPr>
            <w:r w:rsidRPr="00EB6E3F">
              <w:rPr>
                <w:lang w:eastAsia="en-GB"/>
              </w:rPr>
              <w:t>SMB</w:t>
            </w:r>
          </w:p>
        </w:tc>
        <w:tc>
          <w:tcPr>
            <w:tcW w:w="1134" w:type="dxa"/>
            <w:tcBorders>
              <w:top w:val="single" w:sz="4" w:space="0" w:color="auto"/>
              <w:left w:val="nil"/>
              <w:bottom w:val="double" w:sz="6" w:space="0" w:color="auto"/>
              <w:right w:val="nil"/>
            </w:tcBorders>
            <w:noWrap/>
            <w:tcMar>
              <w:top w:w="13" w:type="dxa"/>
              <w:left w:w="13" w:type="dxa"/>
              <w:bottom w:w="0" w:type="dxa"/>
              <w:right w:w="13" w:type="dxa"/>
            </w:tcMar>
            <w:vAlign w:val="bottom"/>
            <w:hideMark/>
          </w:tcPr>
          <w:p w:rsidR="000C25B3" w:rsidRPr="00EB6E3F" w:rsidRDefault="000C25B3" w:rsidP="000372C1">
            <w:pPr>
              <w:jc w:val="center"/>
              <w:rPr>
                <w:b/>
                <w:bCs/>
                <w:sz w:val="20"/>
                <w:szCs w:val="20"/>
                <w:lang w:eastAsia="en-US"/>
              </w:rPr>
            </w:pPr>
            <w:r w:rsidRPr="00EB6E3F">
              <w:rPr>
                <w:b/>
                <w:bCs/>
                <w:sz w:val="20"/>
                <w:szCs w:val="20"/>
                <w:lang w:eastAsia="en-US"/>
              </w:rPr>
              <w:t>HML</w:t>
            </w:r>
          </w:p>
        </w:tc>
        <w:tc>
          <w:tcPr>
            <w:tcW w:w="1276" w:type="dxa"/>
            <w:tcBorders>
              <w:top w:val="single" w:sz="4" w:space="0" w:color="auto"/>
              <w:left w:val="nil"/>
              <w:bottom w:val="double" w:sz="6" w:space="0" w:color="auto"/>
              <w:right w:val="nil"/>
            </w:tcBorders>
            <w:noWrap/>
            <w:tcMar>
              <w:top w:w="13" w:type="dxa"/>
              <w:left w:w="13" w:type="dxa"/>
              <w:bottom w:w="0" w:type="dxa"/>
              <w:right w:w="13" w:type="dxa"/>
            </w:tcMar>
            <w:vAlign w:val="bottom"/>
            <w:hideMark/>
          </w:tcPr>
          <w:p w:rsidR="000C25B3" w:rsidRPr="00EB6E3F" w:rsidRDefault="000C25B3" w:rsidP="000372C1">
            <w:pPr>
              <w:jc w:val="center"/>
              <w:rPr>
                <w:b/>
                <w:bCs/>
                <w:sz w:val="20"/>
                <w:szCs w:val="20"/>
                <w:lang w:eastAsia="en-US"/>
              </w:rPr>
            </w:pPr>
            <w:proofErr w:type="spellStart"/>
            <w:r w:rsidRPr="00EB6E3F">
              <w:rPr>
                <w:b/>
                <w:bCs/>
                <w:sz w:val="20"/>
                <w:szCs w:val="20"/>
              </w:rPr>
              <w:t>Adj</w:t>
            </w:r>
            <w:proofErr w:type="spellEnd"/>
            <w:r w:rsidRPr="00EB6E3F">
              <w:rPr>
                <w:b/>
                <w:bCs/>
                <w:sz w:val="20"/>
                <w:szCs w:val="20"/>
              </w:rPr>
              <w:t xml:space="preserve"> R</w:t>
            </w:r>
            <w:r w:rsidRPr="00EB6E3F">
              <w:rPr>
                <w:b/>
                <w:bCs/>
                <w:sz w:val="20"/>
                <w:szCs w:val="20"/>
                <w:vertAlign w:val="superscript"/>
              </w:rPr>
              <w:t>2</w:t>
            </w:r>
          </w:p>
        </w:tc>
      </w:tr>
      <w:tr w:rsidR="000C25B3" w:rsidRPr="00EB6E3F" w:rsidTr="000372C1">
        <w:trPr>
          <w:trHeight w:val="270"/>
          <w:jc w:val="center"/>
        </w:trPr>
        <w:tc>
          <w:tcPr>
            <w:tcW w:w="162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85"/>
          <w:jc w:val="center"/>
        </w:trPr>
        <w:tc>
          <w:tcPr>
            <w:tcW w:w="1620" w:type="dxa"/>
            <w:noWrap/>
            <w:tcMar>
              <w:top w:w="13" w:type="dxa"/>
              <w:left w:w="13" w:type="dxa"/>
              <w:bottom w:w="0" w:type="dxa"/>
              <w:right w:w="13" w:type="dxa"/>
            </w:tcMar>
            <w:vAlign w:val="bottom"/>
            <w:hideMark/>
          </w:tcPr>
          <w:p w:rsidR="000C25B3" w:rsidRPr="00EB6E3F" w:rsidRDefault="000C25B3" w:rsidP="000372C1">
            <w:pPr>
              <w:ind w:hanging="13"/>
              <w:jc w:val="center"/>
              <w:rPr>
                <w:b/>
                <w:bCs/>
                <w:sz w:val="20"/>
                <w:szCs w:val="20"/>
                <w:lang w:eastAsia="en-US"/>
              </w:rPr>
            </w:pPr>
            <m:oMathPara>
              <m:oMath>
                <m:r>
                  <m:rPr>
                    <m:sty m:val="b"/>
                  </m:rPr>
                  <w:rPr>
                    <w:rFonts w:ascii="Cambria Math" w:hAnsi="Cambria Math"/>
                    <w:sz w:val="20"/>
                    <w:szCs w:val="20"/>
                  </w:rPr>
                  <m:t>EWRA</m:t>
                </m:r>
                <m:r>
                  <m:rPr>
                    <m:sty m:val="p"/>
                  </m:rPr>
                  <w:rPr>
                    <w:rFonts w:ascii="Cambria Math" w:hAnsi="Cambria Math"/>
                    <w:sz w:val="20"/>
                    <w:szCs w:val="20"/>
                    <w:lang w:eastAsia="en-US"/>
                  </w:rPr>
                  <m:t>-</m:t>
                </m:r>
                <m:sSub>
                  <m:sSubPr>
                    <m:ctrlPr>
                      <w:rPr>
                        <w:rFonts w:ascii="Cambria Math" w:hAnsi="Cambria Math"/>
                        <w:sz w:val="20"/>
                        <w:szCs w:val="20"/>
                        <w:lang w:eastAsia="en-US"/>
                      </w:rPr>
                    </m:ctrlPr>
                  </m:sSubPr>
                  <m:e>
                    <m:r>
                      <m:rPr>
                        <m:sty m:val="p"/>
                      </m:rPr>
                      <w:rPr>
                        <w:rFonts w:ascii="Cambria Math" w:hAnsi="Cambria Math"/>
                        <w:sz w:val="20"/>
                        <w:szCs w:val="20"/>
                        <w:lang w:eastAsia="en-US"/>
                      </w:rPr>
                      <m:t>R</m:t>
                    </m:r>
                  </m:e>
                  <m:sub>
                    <m:r>
                      <m:rPr>
                        <m:sty m:val="p"/>
                      </m:rPr>
                      <w:rPr>
                        <w:rFonts w:ascii="Cambria Math" w:hAnsi="Cambria Math"/>
                        <w:sz w:val="20"/>
                        <w:szCs w:val="20"/>
                        <w:lang w:eastAsia="en-US"/>
                      </w:rPr>
                      <m:t>f</m:t>
                    </m:r>
                  </m:sub>
                </m:sSub>
              </m:oMath>
            </m:oMathPara>
          </w:p>
        </w:tc>
        <w:tc>
          <w:tcPr>
            <w:tcW w:w="9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002</w:t>
            </w:r>
          </w:p>
        </w:tc>
        <w:tc>
          <w:tcPr>
            <w:tcW w:w="15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578</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hideMark/>
          </w:tcPr>
          <w:p w:rsidR="000C25B3" w:rsidRPr="00EB6E3F" w:rsidRDefault="000C25B3" w:rsidP="000372C1">
            <w:pPr>
              <w:jc w:val="center"/>
              <w:rPr>
                <w:sz w:val="20"/>
                <w:szCs w:val="20"/>
                <w:lang w:eastAsia="en-US"/>
              </w:rPr>
            </w:pPr>
            <w:r>
              <w:rPr>
                <w:sz w:val="20"/>
                <w:szCs w:val="20"/>
              </w:rPr>
              <w:t>6.7</w:t>
            </w:r>
            <w:r w:rsidRPr="00EB6E3F">
              <w:rPr>
                <w:sz w:val="20"/>
                <w:szCs w:val="20"/>
              </w:rPr>
              <w:t>%</w:t>
            </w: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(0.0</w:t>
            </w:r>
            <w:r>
              <w:rPr>
                <w:sz w:val="20"/>
                <w:szCs w:val="20"/>
              </w:rPr>
              <w:t>3)</w:t>
            </w:r>
          </w:p>
        </w:tc>
        <w:tc>
          <w:tcPr>
            <w:tcW w:w="15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00</w:t>
            </w:r>
            <w:r w:rsidRPr="00EB6E3F">
              <w:rPr>
                <w:sz w:val="20"/>
                <w:szCs w:val="20"/>
              </w:rPr>
              <w:t>)</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ind w:hanging="13"/>
              <w:jc w:val="center"/>
              <w:rPr>
                <w:b/>
                <w:bCs/>
                <w:sz w:val="20"/>
                <w:szCs w:val="20"/>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rPr>
            </w:pP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ind w:hanging="13"/>
              <w:jc w:val="center"/>
              <w:rPr>
                <w:b/>
                <w:bCs/>
                <w:sz w:val="20"/>
                <w:szCs w:val="20"/>
                <w:lang w:eastAsia="en-US"/>
              </w:rPr>
            </w:pPr>
            <m:oMathPara>
              <m:oMath>
                <m:r>
                  <m:rPr>
                    <m:sty m:val="b"/>
                  </m:rPr>
                  <w:rPr>
                    <w:rFonts w:ascii="Cambria Math" w:hAnsi="Cambria Math"/>
                    <w:sz w:val="20"/>
                    <w:szCs w:val="20"/>
                  </w:rPr>
                  <m:t>EWRA</m:t>
                </m:r>
                <m:r>
                  <m:rPr>
                    <m:sty m:val="p"/>
                  </m:rPr>
                  <w:rPr>
                    <w:rFonts w:ascii="Cambria Math" w:hAnsi="Cambria Math"/>
                    <w:sz w:val="20"/>
                    <w:szCs w:val="20"/>
                    <w:lang w:eastAsia="en-US"/>
                  </w:rPr>
                  <m:t>-</m:t>
                </m:r>
                <m:sSub>
                  <m:sSubPr>
                    <m:ctrlPr>
                      <w:rPr>
                        <w:rFonts w:ascii="Cambria Math" w:hAnsi="Cambria Math"/>
                        <w:sz w:val="20"/>
                        <w:szCs w:val="20"/>
                        <w:lang w:eastAsia="en-US"/>
                      </w:rPr>
                    </m:ctrlPr>
                  </m:sSubPr>
                  <m:e>
                    <m:r>
                      <m:rPr>
                        <m:sty m:val="p"/>
                      </m:rPr>
                      <w:rPr>
                        <w:rFonts w:ascii="Cambria Math" w:hAnsi="Cambria Math"/>
                        <w:sz w:val="20"/>
                        <w:szCs w:val="20"/>
                        <w:lang w:eastAsia="en-US"/>
                      </w:rPr>
                      <m:t>R</m:t>
                    </m:r>
                  </m:e>
                  <m:sub>
                    <m:r>
                      <m:rPr>
                        <m:sty m:val="p"/>
                      </m:rPr>
                      <w:rPr>
                        <w:rFonts w:ascii="Cambria Math" w:hAnsi="Cambria Math"/>
                        <w:sz w:val="20"/>
                        <w:szCs w:val="20"/>
                        <w:lang w:eastAsia="en-US"/>
                      </w:rPr>
                      <m:t>f</m:t>
                    </m:r>
                  </m:sub>
                </m:sSub>
              </m:oMath>
            </m:oMathPara>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001</w:t>
            </w: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0.667</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0.196</w:t>
            </w: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0.027</w:t>
            </w: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6.8</w:t>
            </w:r>
            <w:r w:rsidRPr="00EB6E3F">
              <w:rPr>
                <w:sz w:val="20"/>
                <w:szCs w:val="20"/>
              </w:rPr>
              <w:t>%</w:t>
            </w: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(0.0</w:t>
            </w:r>
            <w:r>
              <w:rPr>
                <w:sz w:val="20"/>
                <w:szCs w:val="20"/>
              </w:rPr>
              <w:t>5</w:t>
            </w:r>
            <w:r w:rsidRPr="00EB6E3F">
              <w:rPr>
                <w:sz w:val="20"/>
                <w:szCs w:val="20"/>
              </w:rPr>
              <w:t>)</w:t>
            </w: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00</w:t>
            </w:r>
            <w:r w:rsidRPr="00EB6E3F">
              <w:rPr>
                <w:sz w:val="20"/>
                <w:szCs w:val="20"/>
              </w:rPr>
              <w:t>)</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(0.09</w:t>
            </w:r>
            <w:r w:rsidRPr="00EB6E3F">
              <w:rPr>
                <w:sz w:val="20"/>
                <w:szCs w:val="20"/>
              </w:rPr>
              <w:t>)</w:t>
            </w: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87</w:t>
            </w:r>
            <w:r w:rsidRPr="00EB6E3F">
              <w:rPr>
                <w:sz w:val="20"/>
                <w:szCs w:val="20"/>
              </w:rPr>
              <w:t>)</w:t>
            </w: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85"/>
          <w:jc w:val="center"/>
        </w:trPr>
        <w:tc>
          <w:tcPr>
            <w:tcW w:w="1620" w:type="dxa"/>
            <w:noWrap/>
            <w:tcMar>
              <w:top w:w="13" w:type="dxa"/>
              <w:left w:w="13" w:type="dxa"/>
              <w:bottom w:w="0" w:type="dxa"/>
              <w:right w:w="13" w:type="dxa"/>
            </w:tcMar>
            <w:vAlign w:val="bottom"/>
            <w:hideMark/>
          </w:tcPr>
          <w:p w:rsidR="000C25B3" w:rsidRPr="00EB6E3F" w:rsidRDefault="000C25B3" w:rsidP="000372C1">
            <w:pPr>
              <w:jc w:val="center"/>
              <w:rPr>
                <w:b/>
                <w:bCs/>
                <w:sz w:val="20"/>
                <w:szCs w:val="20"/>
                <w:lang w:eastAsia="en-US"/>
              </w:rPr>
            </w:pPr>
            <m:oMathPara>
              <m:oMath>
                <m:r>
                  <m:rPr>
                    <m:sty m:val="b"/>
                  </m:rPr>
                  <w:rPr>
                    <w:rFonts w:ascii="Cambria Math" w:hAnsi="Cambria Math"/>
                    <w:sz w:val="20"/>
                    <w:szCs w:val="20"/>
                  </w:rPr>
                  <m:t>VWRA</m:t>
                </m:r>
                <m:r>
                  <m:rPr>
                    <m:sty m:val="p"/>
                  </m:rPr>
                  <w:rPr>
                    <w:rFonts w:ascii="Cambria Math" w:hAnsi="Cambria Math"/>
                    <w:sz w:val="20"/>
                    <w:szCs w:val="20"/>
                    <w:lang w:eastAsia="en-US"/>
                  </w:rPr>
                  <m:t>-</m:t>
                </m:r>
                <m:sSub>
                  <m:sSubPr>
                    <m:ctrlPr>
                      <w:rPr>
                        <w:rFonts w:ascii="Cambria Math" w:hAnsi="Cambria Math"/>
                        <w:sz w:val="20"/>
                        <w:szCs w:val="20"/>
                        <w:lang w:eastAsia="en-US"/>
                      </w:rPr>
                    </m:ctrlPr>
                  </m:sSubPr>
                  <m:e>
                    <m:r>
                      <m:rPr>
                        <m:sty m:val="p"/>
                      </m:rPr>
                      <w:rPr>
                        <w:rFonts w:ascii="Cambria Math" w:hAnsi="Cambria Math"/>
                        <w:sz w:val="20"/>
                        <w:szCs w:val="20"/>
                        <w:lang w:eastAsia="en-US"/>
                      </w:rPr>
                      <m:t>R</m:t>
                    </m:r>
                  </m:e>
                  <m:sub>
                    <m:r>
                      <m:rPr>
                        <m:sty m:val="p"/>
                      </m:rPr>
                      <w:rPr>
                        <w:rFonts w:ascii="Cambria Math" w:hAnsi="Cambria Math"/>
                        <w:sz w:val="20"/>
                        <w:szCs w:val="20"/>
                        <w:lang w:eastAsia="en-US"/>
                      </w:rPr>
                      <m:t>f</m:t>
                    </m:r>
                  </m:sub>
                </m:sSub>
              </m:oMath>
            </m:oMathPara>
          </w:p>
        </w:tc>
        <w:tc>
          <w:tcPr>
            <w:tcW w:w="9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0.0</w:t>
            </w:r>
            <w:r>
              <w:rPr>
                <w:sz w:val="20"/>
                <w:szCs w:val="20"/>
              </w:rPr>
              <w:t>0</w:t>
            </w:r>
            <w:r w:rsidRPr="00EB6E3F">
              <w:rPr>
                <w:sz w:val="20"/>
                <w:szCs w:val="20"/>
              </w:rPr>
              <w:t>1</w:t>
            </w:r>
          </w:p>
        </w:tc>
        <w:tc>
          <w:tcPr>
            <w:tcW w:w="15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594</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hideMark/>
          </w:tcPr>
          <w:p w:rsidR="000C25B3" w:rsidRPr="00EB6E3F" w:rsidRDefault="000C25B3" w:rsidP="000372C1">
            <w:pPr>
              <w:jc w:val="center"/>
              <w:rPr>
                <w:sz w:val="20"/>
                <w:szCs w:val="20"/>
                <w:lang w:eastAsia="en-US"/>
              </w:rPr>
            </w:pPr>
            <w:r>
              <w:rPr>
                <w:sz w:val="20"/>
                <w:szCs w:val="20"/>
              </w:rPr>
              <w:t>19.4</w:t>
            </w:r>
            <w:r w:rsidRPr="00EB6E3F">
              <w:rPr>
                <w:sz w:val="20"/>
                <w:szCs w:val="20"/>
              </w:rPr>
              <w:t>%</w:t>
            </w: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21</w:t>
            </w:r>
            <w:r w:rsidRPr="00EB6E3F">
              <w:rPr>
                <w:sz w:val="20"/>
                <w:szCs w:val="20"/>
              </w:rPr>
              <w:t>)</w:t>
            </w:r>
          </w:p>
        </w:tc>
        <w:tc>
          <w:tcPr>
            <w:tcW w:w="15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00</w:t>
            </w:r>
            <w:r w:rsidRPr="00EB6E3F">
              <w:rPr>
                <w:sz w:val="20"/>
                <w:szCs w:val="20"/>
              </w:rPr>
              <w:t>)</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m:oMathPara>
              <m:oMath>
                <m:r>
                  <m:rPr>
                    <m:sty m:val="b"/>
                  </m:rPr>
                  <w:rPr>
                    <w:rFonts w:ascii="Cambria Math" w:hAnsi="Cambria Math"/>
                    <w:sz w:val="20"/>
                    <w:szCs w:val="20"/>
                  </w:rPr>
                  <m:t>VWRA</m:t>
                </m:r>
                <m:r>
                  <m:rPr>
                    <m:sty m:val="p"/>
                  </m:rPr>
                  <w:rPr>
                    <w:rFonts w:ascii="Cambria Math" w:hAnsi="Cambria Math"/>
                    <w:sz w:val="20"/>
                    <w:szCs w:val="20"/>
                    <w:lang w:eastAsia="en-US"/>
                  </w:rPr>
                  <m:t>-</m:t>
                </m:r>
                <m:sSub>
                  <m:sSubPr>
                    <m:ctrlPr>
                      <w:rPr>
                        <w:rFonts w:ascii="Cambria Math" w:hAnsi="Cambria Math"/>
                        <w:sz w:val="20"/>
                        <w:szCs w:val="20"/>
                        <w:lang w:eastAsia="en-US"/>
                      </w:rPr>
                    </m:ctrlPr>
                  </m:sSubPr>
                  <m:e>
                    <m:r>
                      <m:rPr>
                        <m:sty m:val="p"/>
                      </m:rPr>
                      <w:rPr>
                        <w:rFonts w:ascii="Cambria Math" w:hAnsi="Cambria Math"/>
                        <w:sz w:val="20"/>
                        <w:szCs w:val="20"/>
                        <w:lang w:eastAsia="en-US"/>
                      </w:rPr>
                      <m:t>R</m:t>
                    </m:r>
                  </m:e>
                  <m:sub>
                    <m:r>
                      <m:rPr>
                        <m:sty m:val="p"/>
                      </m:rPr>
                      <w:rPr>
                        <w:rFonts w:ascii="Cambria Math" w:hAnsi="Cambria Math"/>
                        <w:sz w:val="20"/>
                        <w:szCs w:val="20"/>
                        <w:lang w:eastAsia="en-US"/>
                      </w:rPr>
                      <m:t>f</m:t>
                    </m:r>
                  </m:sub>
                </m:sSub>
              </m:oMath>
            </m:oMathPara>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0.0</w:t>
            </w:r>
            <w:r>
              <w:rPr>
                <w:sz w:val="20"/>
                <w:szCs w:val="20"/>
              </w:rPr>
              <w:t>00</w:t>
            </w: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0.652</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0.117</w:t>
            </w: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025</w:t>
            </w: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19.5</w:t>
            </w:r>
            <w:r w:rsidRPr="00EB6E3F">
              <w:rPr>
                <w:sz w:val="20"/>
                <w:szCs w:val="20"/>
              </w:rPr>
              <w:t>%</w:t>
            </w: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27</w:t>
            </w:r>
            <w:r w:rsidRPr="00EB6E3F">
              <w:rPr>
                <w:sz w:val="20"/>
                <w:szCs w:val="20"/>
              </w:rPr>
              <w:t>)</w:t>
            </w: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00</w:t>
            </w:r>
            <w:r w:rsidRPr="00EB6E3F">
              <w:rPr>
                <w:sz w:val="20"/>
                <w:szCs w:val="20"/>
              </w:rPr>
              <w:t>)</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08</w:t>
            </w:r>
            <w:r w:rsidRPr="00EB6E3F">
              <w:rPr>
                <w:sz w:val="20"/>
                <w:szCs w:val="20"/>
              </w:rPr>
              <w:t>)</w:t>
            </w: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78</w:t>
            </w:r>
            <w:r w:rsidRPr="00EB6E3F">
              <w:rPr>
                <w:sz w:val="20"/>
                <w:szCs w:val="20"/>
              </w:rPr>
              <w:t>)</w:t>
            </w: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8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rPr>
            </w:pPr>
          </w:p>
        </w:tc>
        <w:tc>
          <w:tcPr>
            <w:tcW w:w="960"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560"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rPr>
            </w:pPr>
          </w:p>
        </w:tc>
      </w:tr>
      <w:tr w:rsidR="000C25B3" w:rsidRPr="00EB6E3F" w:rsidTr="000372C1">
        <w:trPr>
          <w:trHeight w:val="285"/>
          <w:jc w:val="center"/>
        </w:trPr>
        <w:tc>
          <w:tcPr>
            <w:tcW w:w="1620" w:type="dxa"/>
            <w:noWrap/>
            <w:tcMar>
              <w:top w:w="13" w:type="dxa"/>
              <w:left w:w="13" w:type="dxa"/>
              <w:bottom w:w="0" w:type="dxa"/>
              <w:right w:w="13" w:type="dxa"/>
            </w:tcMar>
            <w:vAlign w:val="bottom"/>
            <w:hideMark/>
          </w:tcPr>
          <w:p w:rsidR="000C25B3" w:rsidRPr="00EB6E3F" w:rsidRDefault="000C25B3" w:rsidP="000372C1">
            <w:pPr>
              <w:jc w:val="center"/>
              <w:rPr>
                <w:b/>
                <w:bCs/>
                <w:sz w:val="20"/>
                <w:szCs w:val="20"/>
                <w:lang w:eastAsia="en-US"/>
              </w:rPr>
            </w:pPr>
            <m:oMathPara>
              <m:oMath>
                <m:r>
                  <m:rPr>
                    <m:sty m:val="b"/>
                  </m:rPr>
                  <w:rPr>
                    <w:rFonts w:ascii="Cambria Math" w:hAnsi="Cambria Math"/>
                    <w:sz w:val="20"/>
                    <w:szCs w:val="20"/>
                  </w:rPr>
                  <m:t>RAIM</m:t>
                </m:r>
                <m:r>
                  <m:rPr>
                    <m:sty m:val="p"/>
                  </m:rPr>
                  <w:rPr>
                    <w:rFonts w:ascii="Cambria Math" w:hAnsi="Cambria Math"/>
                    <w:sz w:val="20"/>
                    <w:szCs w:val="20"/>
                    <w:lang w:eastAsia="en-US"/>
                  </w:rPr>
                  <m:t>-</m:t>
                </m:r>
                <m:sSub>
                  <m:sSubPr>
                    <m:ctrlPr>
                      <w:rPr>
                        <w:rFonts w:ascii="Cambria Math" w:hAnsi="Cambria Math"/>
                        <w:sz w:val="20"/>
                        <w:szCs w:val="20"/>
                        <w:lang w:eastAsia="en-US"/>
                      </w:rPr>
                    </m:ctrlPr>
                  </m:sSubPr>
                  <m:e>
                    <m:r>
                      <m:rPr>
                        <m:sty m:val="p"/>
                      </m:rPr>
                      <w:rPr>
                        <w:rFonts w:ascii="Cambria Math" w:hAnsi="Cambria Math"/>
                        <w:sz w:val="20"/>
                        <w:szCs w:val="20"/>
                        <w:lang w:eastAsia="en-US"/>
                      </w:rPr>
                      <m:t>R</m:t>
                    </m:r>
                  </m:e>
                  <m:sub>
                    <m:r>
                      <m:rPr>
                        <m:sty m:val="p"/>
                      </m:rPr>
                      <w:rPr>
                        <w:rFonts w:ascii="Cambria Math" w:hAnsi="Cambria Math"/>
                        <w:sz w:val="20"/>
                        <w:szCs w:val="20"/>
                        <w:lang w:eastAsia="en-US"/>
                      </w:rPr>
                      <m:t>f</m:t>
                    </m:r>
                  </m:sub>
                </m:sSub>
              </m:oMath>
            </m:oMathPara>
          </w:p>
        </w:tc>
        <w:tc>
          <w:tcPr>
            <w:tcW w:w="9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0.0</w:t>
            </w:r>
            <w:r>
              <w:rPr>
                <w:sz w:val="20"/>
                <w:szCs w:val="20"/>
              </w:rPr>
              <w:t>00</w:t>
            </w:r>
          </w:p>
        </w:tc>
        <w:tc>
          <w:tcPr>
            <w:tcW w:w="15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Pr>
                <w:sz w:val="20"/>
                <w:szCs w:val="20"/>
              </w:rPr>
              <w:t>0.120</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hideMark/>
          </w:tcPr>
          <w:p w:rsidR="000C25B3" w:rsidRPr="00EB6E3F" w:rsidRDefault="000C25B3" w:rsidP="000372C1">
            <w:pPr>
              <w:jc w:val="center"/>
              <w:rPr>
                <w:sz w:val="20"/>
                <w:szCs w:val="20"/>
                <w:lang w:eastAsia="en-US"/>
              </w:rPr>
            </w:pPr>
            <w:r>
              <w:rPr>
                <w:sz w:val="20"/>
                <w:szCs w:val="20"/>
              </w:rPr>
              <w:t xml:space="preserve"> 1.9</w:t>
            </w:r>
            <w:r w:rsidRPr="00EB6E3F">
              <w:rPr>
                <w:sz w:val="20"/>
                <w:szCs w:val="20"/>
              </w:rPr>
              <w:t>%</w:t>
            </w:r>
          </w:p>
        </w:tc>
      </w:tr>
      <w:tr w:rsidR="000C25B3" w:rsidRPr="00EB6E3F" w:rsidTr="000372C1">
        <w:trPr>
          <w:trHeight w:val="255"/>
          <w:jc w:val="center"/>
        </w:trPr>
        <w:tc>
          <w:tcPr>
            <w:tcW w:w="1620" w:type="dxa"/>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w:t>
            </w:r>
            <w:r>
              <w:rPr>
                <w:sz w:val="20"/>
                <w:szCs w:val="20"/>
              </w:rPr>
              <w:t>18</w:t>
            </w:r>
            <w:r w:rsidRPr="00EB6E3F">
              <w:rPr>
                <w:sz w:val="20"/>
                <w:szCs w:val="20"/>
              </w:rPr>
              <w:t>)</w:t>
            </w:r>
          </w:p>
        </w:tc>
        <w:tc>
          <w:tcPr>
            <w:tcW w:w="1560" w:type="dxa"/>
            <w:noWrap/>
            <w:tcMar>
              <w:top w:w="13" w:type="dxa"/>
              <w:left w:w="13" w:type="dxa"/>
              <w:bottom w:w="0" w:type="dxa"/>
              <w:right w:w="13" w:type="dxa"/>
            </w:tcMar>
            <w:vAlign w:val="bottom"/>
            <w:hideMark/>
          </w:tcPr>
          <w:p w:rsidR="000C25B3" w:rsidRPr="00EB6E3F" w:rsidRDefault="000C25B3" w:rsidP="000372C1">
            <w:pPr>
              <w:jc w:val="center"/>
              <w:rPr>
                <w:sz w:val="20"/>
                <w:szCs w:val="20"/>
              </w:rPr>
            </w:pPr>
            <w:r w:rsidRPr="00EB6E3F">
              <w:rPr>
                <w:sz w:val="20"/>
                <w:szCs w:val="20"/>
              </w:rPr>
              <w:t>(0.00)</w:t>
            </w:r>
          </w:p>
        </w:tc>
        <w:tc>
          <w:tcPr>
            <w:tcW w:w="1452"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134"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c>
          <w:tcPr>
            <w:tcW w:w="1276" w:type="dxa"/>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70"/>
          <w:jc w:val="center"/>
        </w:trPr>
        <w:tc>
          <w:tcPr>
            <w:tcW w:w="1620" w:type="dxa"/>
            <w:tcBorders>
              <w:top w:val="nil"/>
              <w:left w:val="nil"/>
              <w:bottom w:val="nil"/>
              <w:right w:val="nil"/>
            </w:tcBorders>
            <w:noWrap/>
            <w:tcMar>
              <w:top w:w="13" w:type="dxa"/>
              <w:left w:w="13" w:type="dxa"/>
              <w:bottom w:w="0" w:type="dxa"/>
              <w:right w:w="13" w:type="dxa"/>
            </w:tcMar>
            <w:vAlign w:val="bottom"/>
            <w:hideMark/>
          </w:tcPr>
          <w:p w:rsidR="000C25B3" w:rsidRPr="00EB6E3F" w:rsidRDefault="000C25B3" w:rsidP="000372C1">
            <w:pPr>
              <w:rPr>
                <w:sz w:val="20"/>
                <w:szCs w:val="20"/>
                <w:lang w:eastAsia="en-US"/>
              </w:rPr>
            </w:pPr>
            <w:r w:rsidRPr="00EB6E3F">
              <w:rPr>
                <w:sz w:val="20"/>
                <w:szCs w:val="20"/>
              </w:rPr>
              <w:t> </w:t>
            </w:r>
          </w:p>
        </w:tc>
        <w:tc>
          <w:tcPr>
            <w:tcW w:w="960" w:type="dxa"/>
            <w:tcBorders>
              <w:top w:val="nil"/>
              <w:left w:val="nil"/>
              <w:bottom w:val="nil"/>
              <w:right w:val="nil"/>
            </w:tcBorders>
            <w:noWrap/>
            <w:tcMar>
              <w:top w:w="13" w:type="dxa"/>
              <w:left w:w="13" w:type="dxa"/>
              <w:bottom w:w="0" w:type="dxa"/>
              <w:right w:w="13" w:type="dxa"/>
            </w:tcMar>
            <w:vAlign w:val="bottom"/>
            <w:hideMark/>
          </w:tcPr>
          <w:p w:rsidR="000C25B3" w:rsidRPr="00EB6E3F" w:rsidRDefault="000C25B3" w:rsidP="000372C1">
            <w:pPr>
              <w:rPr>
                <w:sz w:val="20"/>
                <w:szCs w:val="20"/>
                <w:lang w:eastAsia="en-US"/>
              </w:rPr>
            </w:pPr>
            <w:r w:rsidRPr="00EB6E3F">
              <w:rPr>
                <w:sz w:val="20"/>
                <w:szCs w:val="20"/>
              </w:rPr>
              <w:t> </w:t>
            </w:r>
          </w:p>
        </w:tc>
        <w:tc>
          <w:tcPr>
            <w:tcW w:w="1560" w:type="dxa"/>
            <w:tcBorders>
              <w:top w:val="nil"/>
              <w:left w:val="nil"/>
              <w:bottom w:val="nil"/>
              <w:right w:val="nil"/>
            </w:tcBorders>
            <w:noWrap/>
            <w:tcMar>
              <w:top w:w="13" w:type="dxa"/>
              <w:left w:w="13" w:type="dxa"/>
              <w:bottom w:w="0" w:type="dxa"/>
              <w:right w:w="13" w:type="dxa"/>
            </w:tcMar>
            <w:vAlign w:val="bottom"/>
            <w:hideMark/>
          </w:tcPr>
          <w:p w:rsidR="000C25B3" w:rsidRPr="00EB6E3F" w:rsidRDefault="000C25B3" w:rsidP="000372C1">
            <w:pPr>
              <w:rPr>
                <w:sz w:val="20"/>
                <w:szCs w:val="20"/>
                <w:lang w:eastAsia="en-US"/>
              </w:rPr>
            </w:pPr>
            <w:r w:rsidRPr="00EB6E3F">
              <w:rPr>
                <w:sz w:val="20"/>
                <w:szCs w:val="20"/>
              </w:rPr>
              <w:t> </w:t>
            </w:r>
          </w:p>
        </w:tc>
        <w:tc>
          <w:tcPr>
            <w:tcW w:w="1452" w:type="dxa"/>
            <w:tcBorders>
              <w:top w:val="nil"/>
              <w:left w:val="nil"/>
              <w:bottom w:val="nil"/>
              <w:right w:val="nil"/>
            </w:tcBorders>
            <w:noWrap/>
            <w:tcMar>
              <w:top w:w="13" w:type="dxa"/>
              <w:left w:w="13" w:type="dxa"/>
              <w:bottom w:w="0" w:type="dxa"/>
              <w:right w:w="13" w:type="dxa"/>
            </w:tcMar>
            <w:vAlign w:val="bottom"/>
            <w:hideMark/>
          </w:tcPr>
          <w:p w:rsidR="000C25B3" w:rsidRPr="00EB6E3F" w:rsidRDefault="000C25B3" w:rsidP="000372C1">
            <w:pPr>
              <w:rPr>
                <w:sz w:val="20"/>
                <w:szCs w:val="20"/>
                <w:lang w:eastAsia="en-US"/>
              </w:rPr>
            </w:pPr>
            <w:r w:rsidRPr="00EB6E3F">
              <w:rPr>
                <w:sz w:val="20"/>
                <w:szCs w:val="20"/>
              </w:rPr>
              <w:t> </w:t>
            </w:r>
          </w:p>
        </w:tc>
        <w:tc>
          <w:tcPr>
            <w:tcW w:w="1134" w:type="dxa"/>
            <w:tcBorders>
              <w:top w:val="nil"/>
              <w:left w:val="nil"/>
              <w:bottom w:val="nil"/>
              <w:right w:val="nil"/>
            </w:tcBorders>
            <w:noWrap/>
            <w:tcMar>
              <w:top w:w="13" w:type="dxa"/>
              <w:left w:w="13" w:type="dxa"/>
              <w:bottom w:w="0" w:type="dxa"/>
              <w:right w:w="13" w:type="dxa"/>
            </w:tcMar>
            <w:vAlign w:val="bottom"/>
            <w:hideMark/>
          </w:tcPr>
          <w:p w:rsidR="000C25B3" w:rsidRPr="00EB6E3F" w:rsidRDefault="000C25B3" w:rsidP="000372C1">
            <w:pPr>
              <w:rPr>
                <w:sz w:val="20"/>
                <w:szCs w:val="20"/>
                <w:lang w:eastAsia="en-US"/>
              </w:rPr>
            </w:pPr>
            <w:r w:rsidRPr="00EB6E3F">
              <w:rPr>
                <w:sz w:val="20"/>
                <w:szCs w:val="20"/>
              </w:rPr>
              <w:t> </w:t>
            </w:r>
          </w:p>
        </w:tc>
        <w:tc>
          <w:tcPr>
            <w:tcW w:w="1276" w:type="dxa"/>
            <w:tcBorders>
              <w:top w:val="nil"/>
              <w:left w:val="nil"/>
              <w:bottom w:val="nil"/>
              <w:right w:val="nil"/>
            </w:tcBorders>
            <w:noWrap/>
            <w:tcMar>
              <w:top w:w="13" w:type="dxa"/>
              <w:left w:w="13" w:type="dxa"/>
              <w:bottom w:w="0" w:type="dxa"/>
              <w:right w:w="13" w:type="dxa"/>
            </w:tcMar>
            <w:vAlign w:val="bottom"/>
            <w:hideMark/>
          </w:tcPr>
          <w:p w:rsidR="000C25B3" w:rsidRPr="00EB6E3F" w:rsidRDefault="000C25B3" w:rsidP="000372C1">
            <w:pPr>
              <w:rPr>
                <w:sz w:val="20"/>
                <w:szCs w:val="20"/>
                <w:lang w:eastAsia="en-US"/>
              </w:rPr>
            </w:pPr>
            <w:r w:rsidRPr="00EB6E3F">
              <w:rPr>
                <w:sz w:val="20"/>
                <w:szCs w:val="20"/>
              </w:rPr>
              <w:t> </w:t>
            </w:r>
          </w:p>
        </w:tc>
      </w:tr>
      <w:tr w:rsidR="000C25B3" w:rsidRPr="00EB6E3F" w:rsidTr="000372C1">
        <w:trPr>
          <w:trHeight w:val="270"/>
          <w:jc w:val="center"/>
        </w:trPr>
        <w:tc>
          <w:tcPr>
            <w:tcW w:w="1620"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m:oMathPara>
              <m:oMath>
                <m:r>
                  <m:rPr>
                    <m:sty m:val="b"/>
                  </m:rPr>
                  <w:rPr>
                    <w:rFonts w:ascii="Cambria Math" w:hAnsi="Cambria Math"/>
                    <w:sz w:val="20"/>
                    <w:szCs w:val="20"/>
                  </w:rPr>
                  <m:t>RAIM</m:t>
                </m:r>
                <m:r>
                  <m:rPr>
                    <m:sty m:val="p"/>
                  </m:rPr>
                  <w:rPr>
                    <w:rFonts w:ascii="Cambria Math" w:hAnsi="Cambria Math"/>
                    <w:sz w:val="20"/>
                    <w:szCs w:val="20"/>
                    <w:lang w:eastAsia="en-US"/>
                  </w:rPr>
                  <m:t>-</m:t>
                </m:r>
                <m:sSub>
                  <m:sSubPr>
                    <m:ctrlPr>
                      <w:rPr>
                        <w:rFonts w:ascii="Cambria Math" w:hAnsi="Cambria Math"/>
                        <w:sz w:val="20"/>
                        <w:szCs w:val="20"/>
                        <w:lang w:eastAsia="en-US"/>
                      </w:rPr>
                    </m:ctrlPr>
                  </m:sSubPr>
                  <m:e>
                    <m:r>
                      <m:rPr>
                        <m:sty m:val="p"/>
                      </m:rPr>
                      <w:rPr>
                        <w:rFonts w:ascii="Cambria Math" w:hAnsi="Cambria Math"/>
                        <w:sz w:val="20"/>
                        <w:szCs w:val="20"/>
                        <w:lang w:eastAsia="en-US"/>
                      </w:rPr>
                      <m:t>R</m:t>
                    </m:r>
                  </m:e>
                  <m:sub>
                    <m:r>
                      <m:rPr>
                        <m:sty m:val="p"/>
                      </m:rPr>
                      <w:rPr>
                        <w:rFonts w:ascii="Cambria Math" w:hAnsi="Cambria Math"/>
                        <w:sz w:val="20"/>
                        <w:szCs w:val="20"/>
                        <w:lang w:eastAsia="en-US"/>
                      </w:rPr>
                      <m:t>f</m:t>
                    </m:r>
                  </m:sub>
                </m:sSub>
              </m:oMath>
            </m:oMathPara>
          </w:p>
        </w:tc>
        <w:tc>
          <w:tcPr>
            <w:tcW w:w="960"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0.000</w:t>
            </w:r>
          </w:p>
        </w:tc>
        <w:tc>
          <w:tcPr>
            <w:tcW w:w="1560"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0.142</w:t>
            </w:r>
          </w:p>
        </w:tc>
        <w:tc>
          <w:tcPr>
            <w:tcW w:w="1452"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0.046</w:t>
            </w:r>
          </w:p>
        </w:tc>
        <w:tc>
          <w:tcPr>
            <w:tcW w:w="1134"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0</w:t>
            </w:r>
            <w:r w:rsidRPr="00EB6E3F">
              <w:rPr>
                <w:sz w:val="20"/>
                <w:szCs w:val="20"/>
              </w:rPr>
              <w:t>0</w:t>
            </w:r>
            <w:r>
              <w:rPr>
                <w:sz w:val="20"/>
                <w:szCs w:val="20"/>
              </w:rPr>
              <w:t>6</w:t>
            </w:r>
          </w:p>
        </w:tc>
        <w:tc>
          <w:tcPr>
            <w:tcW w:w="1276"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Pr>
                <w:sz w:val="20"/>
                <w:szCs w:val="20"/>
              </w:rPr>
              <w:t>1.8</w:t>
            </w:r>
            <w:r w:rsidRPr="00EB6E3F">
              <w:rPr>
                <w:sz w:val="20"/>
                <w:szCs w:val="20"/>
              </w:rPr>
              <w:t>%</w:t>
            </w:r>
          </w:p>
        </w:tc>
      </w:tr>
      <w:tr w:rsidR="000C25B3" w:rsidRPr="00EB6E3F" w:rsidTr="000372C1">
        <w:trPr>
          <w:trHeight w:val="270"/>
          <w:jc w:val="center"/>
        </w:trPr>
        <w:tc>
          <w:tcPr>
            <w:tcW w:w="1620"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21</w:t>
            </w:r>
            <w:r w:rsidRPr="00EB6E3F">
              <w:rPr>
                <w:sz w:val="20"/>
                <w:szCs w:val="20"/>
              </w:rPr>
              <w:t>)</w:t>
            </w:r>
          </w:p>
        </w:tc>
        <w:tc>
          <w:tcPr>
            <w:tcW w:w="1560"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ind w:left="-73" w:firstLine="73"/>
              <w:jc w:val="center"/>
              <w:rPr>
                <w:sz w:val="20"/>
                <w:szCs w:val="20"/>
                <w:lang w:eastAsia="en-US"/>
              </w:rPr>
            </w:pPr>
            <w:r w:rsidRPr="00EB6E3F">
              <w:rPr>
                <w:sz w:val="20"/>
                <w:szCs w:val="20"/>
              </w:rPr>
              <w:t>(0.00)</w:t>
            </w:r>
          </w:p>
        </w:tc>
        <w:tc>
          <w:tcPr>
            <w:tcW w:w="1452"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w:t>
            </w:r>
            <w:r>
              <w:rPr>
                <w:sz w:val="20"/>
                <w:szCs w:val="20"/>
              </w:rPr>
              <w:t>33</w:t>
            </w:r>
            <w:r w:rsidRPr="00EB6E3F">
              <w:rPr>
                <w:sz w:val="20"/>
                <w:szCs w:val="20"/>
              </w:rPr>
              <w:t>)</w:t>
            </w:r>
          </w:p>
        </w:tc>
        <w:tc>
          <w:tcPr>
            <w:tcW w:w="1134"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r w:rsidRPr="00EB6E3F">
              <w:rPr>
                <w:sz w:val="20"/>
                <w:szCs w:val="20"/>
              </w:rPr>
              <w:t>(0.9</w:t>
            </w:r>
            <w:r>
              <w:rPr>
                <w:sz w:val="20"/>
                <w:szCs w:val="20"/>
              </w:rPr>
              <w:t>3</w:t>
            </w:r>
            <w:r w:rsidRPr="00EB6E3F">
              <w:rPr>
                <w:sz w:val="20"/>
                <w:szCs w:val="20"/>
              </w:rPr>
              <w:t>)</w:t>
            </w:r>
          </w:p>
        </w:tc>
        <w:tc>
          <w:tcPr>
            <w:tcW w:w="1276" w:type="dxa"/>
            <w:tcBorders>
              <w:top w:val="nil"/>
              <w:left w:val="nil"/>
              <w:bottom w:val="nil"/>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r w:rsidR="000C25B3" w:rsidRPr="00EB6E3F" w:rsidTr="000372C1">
        <w:trPr>
          <w:trHeight w:val="270"/>
          <w:jc w:val="center"/>
        </w:trPr>
        <w:tc>
          <w:tcPr>
            <w:tcW w:w="1620" w:type="dxa"/>
            <w:tcBorders>
              <w:top w:val="nil"/>
              <w:left w:val="nil"/>
              <w:bottom w:val="single" w:sz="8" w:space="0" w:color="auto"/>
              <w:right w:val="nil"/>
            </w:tcBorders>
            <w:noWrap/>
            <w:tcMar>
              <w:top w:w="13" w:type="dxa"/>
              <w:left w:w="13" w:type="dxa"/>
              <w:bottom w:w="0" w:type="dxa"/>
              <w:right w:w="13" w:type="dxa"/>
            </w:tcMar>
            <w:vAlign w:val="bottom"/>
          </w:tcPr>
          <w:p w:rsidR="000C25B3" w:rsidRPr="00EB6E3F" w:rsidRDefault="000C25B3" w:rsidP="000372C1">
            <w:pPr>
              <w:jc w:val="center"/>
              <w:rPr>
                <w:b/>
                <w:bCs/>
                <w:sz w:val="20"/>
                <w:szCs w:val="20"/>
                <w:lang w:eastAsia="en-US"/>
              </w:rPr>
            </w:pPr>
          </w:p>
        </w:tc>
        <w:tc>
          <w:tcPr>
            <w:tcW w:w="960" w:type="dxa"/>
            <w:tcBorders>
              <w:top w:val="nil"/>
              <w:left w:val="nil"/>
              <w:bottom w:val="single" w:sz="8" w:space="0" w:color="auto"/>
              <w:right w:val="nil"/>
            </w:tcBorders>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560" w:type="dxa"/>
            <w:tcBorders>
              <w:top w:val="nil"/>
              <w:left w:val="nil"/>
              <w:bottom w:val="single" w:sz="8" w:space="0" w:color="auto"/>
              <w:right w:val="nil"/>
            </w:tcBorders>
            <w:noWrap/>
            <w:tcMar>
              <w:top w:w="13" w:type="dxa"/>
              <w:left w:w="13" w:type="dxa"/>
              <w:bottom w:w="0" w:type="dxa"/>
              <w:right w:w="13" w:type="dxa"/>
            </w:tcMar>
            <w:vAlign w:val="bottom"/>
          </w:tcPr>
          <w:p w:rsidR="000C25B3" w:rsidRPr="00EB6E3F" w:rsidRDefault="000C25B3" w:rsidP="000372C1">
            <w:pPr>
              <w:ind w:left="-73" w:firstLine="73"/>
              <w:jc w:val="center"/>
              <w:rPr>
                <w:sz w:val="20"/>
                <w:szCs w:val="20"/>
              </w:rPr>
            </w:pPr>
          </w:p>
        </w:tc>
        <w:tc>
          <w:tcPr>
            <w:tcW w:w="1452" w:type="dxa"/>
            <w:tcBorders>
              <w:top w:val="nil"/>
              <w:left w:val="nil"/>
              <w:bottom w:val="single" w:sz="8" w:space="0" w:color="auto"/>
              <w:right w:val="nil"/>
            </w:tcBorders>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134" w:type="dxa"/>
            <w:tcBorders>
              <w:top w:val="nil"/>
              <w:left w:val="nil"/>
              <w:bottom w:val="single" w:sz="8" w:space="0" w:color="auto"/>
              <w:right w:val="nil"/>
            </w:tcBorders>
            <w:noWrap/>
            <w:tcMar>
              <w:top w:w="13" w:type="dxa"/>
              <w:left w:w="13" w:type="dxa"/>
              <w:bottom w:w="0" w:type="dxa"/>
              <w:right w:w="13" w:type="dxa"/>
            </w:tcMar>
            <w:vAlign w:val="bottom"/>
          </w:tcPr>
          <w:p w:rsidR="000C25B3" w:rsidRPr="00EB6E3F" w:rsidRDefault="000C25B3" w:rsidP="000372C1">
            <w:pPr>
              <w:jc w:val="center"/>
              <w:rPr>
                <w:sz w:val="20"/>
                <w:szCs w:val="20"/>
              </w:rPr>
            </w:pPr>
          </w:p>
        </w:tc>
        <w:tc>
          <w:tcPr>
            <w:tcW w:w="1276" w:type="dxa"/>
            <w:tcBorders>
              <w:top w:val="nil"/>
              <w:left w:val="nil"/>
              <w:bottom w:val="single" w:sz="8" w:space="0" w:color="auto"/>
              <w:right w:val="nil"/>
            </w:tcBorders>
            <w:noWrap/>
            <w:tcMar>
              <w:top w:w="13" w:type="dxa"/>
              <w:left w:w="13" w:type="dxa"/>
              <w:bottom w:w="0" w:type="dxa"/>
              <w:right w:w="13" w:type="dxa"/>
            </w:tcMar>
            <w:vAlign w:val="bottom"/>
          </w:tcPr>
          <w:p w:rsidR="000C25B3" w:rsidRPr="00EB6E3F" w:rsidRDefault="000C25B3" w:rsidP="000372C1">
            <w:pPr>
              <w:jc w:val="center"/>
              <w:rPr>
                <w:sz w:val="20"/>
                <w:szCs w:val="20"/>
                <w:lang w:eastAsia="en-US"/>
              </w:rPr>
            </w:pPr>
          </w:p>
        </w:tc>
      </w:tr>
    </w:tbl>
    <w:p w:rsidR="000C25B3" w:rsidRPr="008876C6" w:rsidRDefault="000C25B3" w:rsidP="000C25B3">
      <w:pPr>
        <w:ind w:left="567" w:right="521"/>
        <w:jc w:val="both"/>
        <w:rPr>
          <w:sz w:val="20"/>
          <w:szCs w:val="20"/>
          <w:lang w:eastAsia="en-US"/>
        </w:rPr>
      </w:pPr>
      <w:r w:rsidRPr="00EB6E3F">
        <w:rPr>
          <w:sz w:val="20"/>
          <w:szCs w:val="20"/>
        </w:rPr>
        <w:t>This table presents the results from regressions run using a</w:t>
      </w:r>
      <w:r>
        <w:rPr>
          <w:sz w:val="20"/>
          <w:szCs w:val="20"/>
        </w:rPr>
        <w:t xml:space="preserve"> market model and a</w:t>
      </w:r>
      <w:r w:rsidRPr="00EB6E3F">
        <w:rPr>
          <w:sz w:val="20"/>
          <w:szCs w:val="20"/>
        </w:rPr>
        <w:t xml:space="preserve"> </w:t>
      </w:r>
      <w:proofErr w:type="spellStart"/>
      <w:r w:rsidRPr="00EB6E3F">
        <w:rPr>
          <w:sz w:val="20"/>
          <w:szCs w:val="20"/>
        </w:rPr>
        <w:t>Fama</w:t>
      </w:r>
      <w:proofErr w:type="spellEnd"/>
      <w:r w:rsidRPr="00EB6E3F">
        <w:rPr>
          <w:sz w:val="20"/>
          <w:szCs w:val="20"/>
        </w:rPr>
        <w:t xml:space="preserve"> and French (1993) three-factor model on each of the risk arbitrage return series on the market returns and two additional risk factors, SMB and HML.  </w:t>
      </w:r>
      <w:r w:rsidRPr="008876C6">
        <w:rPr>
          <w:sz w:val="20"/>
          <w:szCs w:val="20"/>
          <w:lang w:eastAsia="en-US"/>
        </w:rPr>
        <w:t xml:space="preserve">Where </w:t>
      </w:r>
      <w:proofErr w:type="spellStart"/>
      <w:r w:rsidRPr="008876C6">
        <w:rPr>
          <w:sz w:val="20"/>
          <w:szCs w:val="20"/>
          <w:lang w:eastAsia="en-US"/>
        </w:rPr>
        <w:t>y</w:t>
      </w:r>
      <w:r w:rsidRPr="00B516D2">
        <w:rPr>
          <w:sz w:val="20"/>
          <w:szCs w:val="20"/>
          <w:vertAlign w:val="subscript"/>
          <w:lang w:eastAsia="en-US"/>
        </w:rPr>
        <w:t>t</w:t>
      </w:r>
      <w:proofErr w:type="spellEnd"/>
      <w:r w:rsidRPr="008876C6">
        <w:rPr>
          <w:sz w:val="20"/>
          <w:szCs w:val="20"/>
          <w:lang w:eastAsia="en-US"/>
        </w:rPr>
        <w:t xml:space="preserve"> is the excess return on the portfolio at time t, R</w:t>
      </w:r>
      <w:r w:rsidRPr="00B516D2">
        <w:rPr>
          <w:sz w:val="20"/>
          <w:szCs w:val="20"/>
          <w:vertAlign w:val="subscript"/>
          <w:lang w:eastAsia="en-US"/>
        </w:rPr>
        <w:t>M</w:t>
      </w:r>
      <w:r w:rsidRPr="008876C6">
        <w:rPr>
          <w:sz w:val="20"/>
          <w:szCs w:val="20"/>
          <w:lang w:eastAsia="en-US"/>
        </w:rPr>
        <w:t xml:space="preserve"> is the excess return on the </w:t>
      </w:r>
      <w:r>
        <w:rPr>
          <w:sz w:val="20"/>
          <w:szCs w:val="20"/>
          <w:lang w:eastAsia="en-US"/>
        </w:rPr>
        <w:t>MSCI</w:t>
      </w:r>
      <w:r w:rsidRPr="008876C6">
        <w:rPr>
          <w:sz w:val="20"/>
          <w:szCs w:val="20"/>
          <w:lang w:eastAsia="en-US"/>
        </w:rPr>
        <w:t xml:space="preserve"> index at time t</w:t>
      </w:r>
      <w:r w:rsidRPr="00EB6E3F">
        <w:rPr>
          <w:sz w:val="20"/>
          <w:szCs w:val="20"/>
        </w:rPr>
        <w:t>, SMB represents small cap stocks minus large cap stocks</w:t>
      </w:r>
      <w:r>
        <w:rPr>
          <w:sz w:val="20"/>
          <w:szCs w:val="20"/>
        </w:rPr>
        <w:t>,</w:t>
      </w:r>
      <w:r w:rsidRPr="00EB6E3F">
        <w:rPr>
          <w:sz w:val="20"/>
          <w:szCs w:val="20"/>
        </w:rPr>
        <w:t xml:space="preserve"> HML represents value stocks minus growth stocks</w:t>
      </w:r>
      <w:r>
        <w:rPr>
          <w:sz w:val="20"/>
          <w:szCs w:val="20"/>
        </w:rPr>
        <w:t xml:space="preserve">, and </w:t>
      </w:r>
      <w:proofErr w:type="spellStart"/>
      <w:r w:rsidRPr="00EB6E3F">
        <w:rPr>
          <w:sz w:val="20"/>
          <w:szCs w:val="20"/>
        </w:rPr>
        <w:t>R</w:t>
      </w:r>
      <w:r w:rsidRPr="00EB6E3F">
        <w:rPr>
          <w:sz w:val="20"/>
          <w:szCs w:val="20"/>
          <w:vertAlign w:val="subscript"/>
        </w:rPr>
        <w:t>f</w:t>
      </w:r>
      <w:proofErr w:type="spellEnd"/>
      <w:r w:rsidRPr="00EB6E3F">
        <w:rPr>
          <w:sz w:val="20"/>
          <w:szCs w:val="20"/>
        </w:rPr>
        <w:t xml:space="preserve"> represen</w:t>
      </w:r>
      <w:r>
        <w:rPr>
          <w:sz w:val="20"/>
          <w:szCs w:val="20"/>
        </w:rPr>
        <w:t>ts the risk free rate of return</w:t>
      </w:r>
      <w:r w:rsidRPr="00EB6E3F">
        <w:rPr>
          <w:sz w:val="20"/>
          <w:szCs w:val="20"/>
        </w:rPr>
        <w:t xml:space="preserve">. </w:t>
      </w:r>
      <w:r w:rsidRPr="00EB6E3F">
        <w:rPr>
          <w:i/>
          <w:sz w:val="20"/>
          <w:szCs w:val="20"/>
        </w:rPr>
        <w:t>p</w:t>
      </w:r>
      <w:r w:rsidRPr="00EB6E3F">
        <w:rPr>
          <w:sz w:val="20"/>
          <w:szCs w:val="20"/>
        </w:rPr>
        <w:t xml:space="preserve">-values </w:t>
      </w:r>
      <w:r w:rsidRPr="008876C6">
        <w:rPr>
          <w:sz w:val="20"/>
          <w:szCs w:val="20"/>
          <w:lang w:eastAsia="en-US"/>
        </w:rPr>
        <w:t>from the test of α = 0</w:t>
      </w:r>
      <w:r>
        <w:rPr>
          <w:sz w:val="20"/>
          <w:szCs w:val="20"/>
          <w:lang w:eastAsia="en-US"/>
        </w:rPr>
        <w:t>,</w:t>
      </w:r>
      <w:r w:rsidRPr="008876C6">
        <w:rPr>
          <w:sz w:val="20"/>
          <w:szCs w:val="20"/>
          <w:lang w:eastAsia="en-US"/>
        </w:rPr>
        <w:t xml:space="preserve"> and β = 0 </w:t>
      </w:r>
      <w:r>
        <w:rPr>
          <w:sz w:val="20"/>
          <w:szCs w:val="20"/>
          <w:lang w:eastAsia="en-US"/>
        </w:rPr>
        <w:t>(for R</w:t>
      </w:r>
      <w:r w:rsidRPr="00B516D2">
        <w:rPr>
          <w:sz w:val="20"/>
          <w:szCs w:val="20"/>
          <w:vertAlign w:val="subscript"/>
          <w:lang w:eastAsia="en-US"/>
        </w:rPr>
        <w:t>M</w:t>
      </w:r>
      <w:r>
        <w:rPr>
          <w:sz w:val="20"/>
          <w:szCs w:val="20"/>
          <w:lang w:eastAsia="en-US"/>
        </w:rPr>
        <w:t xml:space="preserve">, </w:t>
      </w:r>
      <w:r w:rsidRPr="00B516D2">
        <w:rPr>
          <w:rFonts w:eastAsiaTheme="minorHAnsi"/>
          <w:iCs/>
          <w:sz w:val="21"/>
          <w:szCs w:val="21"/>
          <w:lang w:eastAsia="en-US"/>
        </w:rPr>
        <w:t xml:space="preserve">SMB </w:t>
      </w:r>
      <w:r w:rsidRPr="00B516D2">
        <w:rPr>
          <w:rFonts w:ascii="TimesNewRoman" w:eastAsiaTheme="minorHAnsi" w:hAnsi="TimesNewRoman" w:cs="TimesNewRoman"/>
          <w:sz w:val="21"/>
          <w:szCs w:val="21"/>
          <w:lang w:eastAsia="en-US"/>
        </w:rPr>
        <w:t xml:space="preserve">and </w:t>
      </w:r>
      <w:r w:rsidRPr="00B516D2">
        <w:rPr>
          <w:rFonts w:eastAsiaTheme="minorHAnsi"/>
          <w:iCs/>
          <w:sz w:val="21"/>
          <w:szCs w:val="21"/>
          <w:lang w:eastAsia="en-US"/>
        </w:rPr>
        <w:t>HML</w:t>
      </w:r>
      <w:r>
        <w:rPr>
          <w:rFonts w:eastAsiaTheme="minorHAnsi"/>
          <w:iCs/>
          <w:sz w:val="21"/>
          <w:szCs w:val="21"/>
          <w:lang w:eastAsia="en-US"/>
        </w:rPr>
        <w:t>)</w:t>
      </w:r>
      <w:r w:rsidRPr="00B516D2">
        <w:rPr>
          <w:rFonts w:eastAsiaTheme="minorHAnsi"/>
          <w:iCs/>
          <w:sz w:val="21"/>
          <w:szCs w:val="21"/>
          <w:lang w:eastAsia="en-US"/>
        </w:rPr>
        <w:t xml:space="preserve"> </w:t>
      </w:r>
      <w:r w:rsidRPr="00EB6E3F">
        <w:rPr>
          <w:sz w:val="20"/>
          <w:szCs w:val="20"/>
        </w:rPr>
        <w:t>are in parentheses.</w:t>
      </w:r>
      <w:r>
        <w:rPr>
          <w:sz w:val="20"/>
          <w:szCs w:val="20"/>
        </w:rPr>
        <w:t xml:space="preserve"> </w:t>
      </w:r>
    </w:p>
    <w:p w:rsidR="000C25B3" w:rsidRPr="008876C6" w:rsidRDefault="000C25B3" w:rsidP="000C25B3">
      <w:pPr>
        <w:rPr>
          <w:sz w:val="20"/>
          <w:szCs w:val="20"/>
        </w:rPr>
      </w:pPr>
    </w:p>
    <w:p w:rsidR="000C25B3" w:rsidRPr="008876C6" w:rsidRDefault="000C25B3" w:rsidP="000C25B3">
      <w:pPr>
        <w:spacing w:line="480" w:lineRule="auto"/>
        <w:jc w:val="both"/>
        <w:rPr>
          <w:sz w:val="20"/>
          <w:szCs w:val="20"/>
        </w:rPr>
      </w:pPr>
    </w:p>
    <w:p w:rsidR="00BA3D77" w:rsidRPr="00EB6E3F" w:rsidRDefault="00740D50" w:rsidP="007B141D">
      <w:pPr>
        <w:spacing w:line="480" w:lineRule="auto"/>
        <w:jc w:val="both"/>
      </w:pPr>
      <w:r w:rsidRPr="00DF5234">
        <w:t xml:space="preserve">The results show that alpha is only significant for the </w:t>
      </w:r>
      <w:r w:rsidR="00B10163" w:rsidRPr="00DF5234">
        <w:t>equal-</w:t>
      </w:r>
      <w:r w:rsidR="00771B17" w:rsidRPr="00DF5234">
        <w:t>weighted regression</w:t>
      </w:r>
      <w:r w:rsidRPr="00DF5234">
        <w:t>.</w:t>
      </w:r>
      <w:r>
        <w:t xml:space="preserve">  Although positive, none of the alphas are statistically different from zero in both the value-weighted regression and the RAIM portfolio. </w:t>
      </w:r>
      <w:r w:rsidR="00D57F50" w:rsidRPr="00EB6E3F">
        <w:t>Also of interest is that i</w:t>
      </w:r>
      <w:r w:rsidR="008246E4" w:rsidRPr="00EB6E3F">
        <w:t xml:space="preserve">n all regression specifications of all three portfolios none of the </w:t>
      </w:r>
      <w:r w:rsidR="00BA3D77" w:rsidRPr="00EB6E3F">
        <w:t xml:space="preserve">additional factors used in this analysis </w:t>
      </w:r>
      <w:r w:rsidR="008246E4" w:rsidRPr="00EB6E3F">
        <w:t>are significant</w:t>
      </w:r>
      <w:r w:rsidR="00BA3D77" w:rsidRPr="00EB6E3F">
        <w:t xml:space="preserve">. </w:t>
      </w:r>
    </w:p>
    <w:p w:rsidR="009E0D0E" w:rsidRDefault="009E0D0E" w:rsidP="007B141D">
      <w:pPr>
        <w:spacing w:line="480" w:lineRule="auto"/>
        <w:jc w:val="both"/>
      </w:pPr>
    </w:p>
    <w:p w:rsidR="000C25B3" w:rsidRPr="00EB6E3F" w:rsidRDefault="000C25B3" w:rsidP="007B141D">
      <w:pPr>
        <w:spacing w:line="480" w:lineRule="auto"/>
        <w:jc w:val="both"/>
      </w:pPr>
    </w:p>
    <w:p w:rsidR="009E0D0E" w:rsidRPr="00D14943" w:rsidRDefault="00792767" w:rsidP="00D14943">
      <w:pPr>
        <w:pStyle w:val="ListParagraph"/>
        <w:numPr>
          <w:ilvl w:val="0"/>
          <w:numId w:val="7"/>
        </w:numPr>
        <w:spacing w:line="480" w:lineRule="auto"/>
        <w:ind w:left="567" w:hanging="567"/>
        <w:rPr>
          <w:b/>
          <w:sz w:val="28"/>
          <w:szCs w:val="28"/>
        </w:rPr>
      </w:pPr>
      <w:r w:rsidRPr="00D14943">
        <w:rPr>
          <w:b/>
          <w:sz w:val="28"/>
          <w:szCs w:val="28"/>
        </w:rPr>
        <w:lastRenderedPageBreak/>
        <w:t>Conclusion</w:t>
      </w:r>
    </w:p>
    <w:p w:rsidR="00BB7B09" w:rsidRDefault="009E0D0E" w:rsidP="007B141D">
      <w:pPr>
        <w:spacing w:line="480" w:lineRule="auto"/>
        <w:jc w:val="both"/>
      </w:pPr>
      <w:r w:rsidRPr="00EB6E3F">
        <w:t xml:space="preserve">This </w:t>
      </w:r>
      <w:r w:rsidR="00DB032E" w:rsidRPr="00EB6E3F">
        <w:t>paper</w:t>
      </w:r>
      <w:r w:rsidRPr="00EB6E3F">
        <w:t xml:space="preserve"> researches </w:t>
      </w:r>
      <w:r w:rsidR="0043004B">
        <w:t>the returns to a merger arbitrage setting in the German setting</w:t>
      </w:r>
      <w:r w:rsidRPr="00EB6E3F">
        <w:t>.</w:t>
      </w:r>
      <w:r w:rsidR="0043004B">
        <w:t xml:space="preserve"> </w:t>
      </w:r>
      <w:r w:rsidR="00BB7B09" w:rsidRPr="00BB7B09">
        <w:t xml:space="preserve">The </w:t>
      </w:r>
      <w:r w:rsidR="00BB7B09">
        <w:t xml:space="preserve">German market represents an interesting setting for this research because the </w:t>
      </w:r>
      <w:r w:rsidR="00BB7B09" w:rsidRPr="00BB7B09">
        <w:t xml:space="preserve">extant literature </w:t>
      </w:r>
      <w:r w:rsidR="00BB7B09">
        <w:t xml:space="preserve">to date </w:t>
      </w:r>
      <w:r w:rsidR="00BB7B09" w:rsidRPr="00BB7B09">
        <w:t xml:space="preserve">has focused on data sets from Anglo-American based jurisdictions with mixed results.  We argue that because in Germany </w:t>
      </w:r>
      <w:proofErr w:type="spellStart"/>
      <w:r w:rsidR="00BB7B09" w:rsidRPr="00BB7B09">
        <w:t>i</w:t>
      </w:r>
      <w:proofErr w:type="spellEnd"/>
      <w:r w:rsidR="00BB7B09" w:rsidRPr="00BB7B09">
        <w:t xml:space="preserve">) acquisition laws bias consideration toward cash bids thereby decreasing the uncertainty (versus share offers) of announced transactions and ii) the </w:t>
      </w:r>
      <w:proofErr w:type="spellStart"/>
      <w:r w:rsidR="00BB7B09" w:rsidRPr="00BB7B09">
        <w:t>Aufsichstrat</w:t>
      </w:r>
      <w:proofErr w:type="spellEnd"/>
      <w:r w:rsidR="00BB7B09" w:rsidRPr="00BB7B09">
        <w:t xml:space="preserve"> (supervisory board with employee participation) has corporate governance oversight over any proposed merger such that only bids tacitly approved by it are likely to be announced in the first instance, a merger arbitrage trading strategy designed to profit from the successful completion of announced  bids is likely to be</w:t>
      </w:r>
      <w:r w:rsidR="0043004B">
        <w:t xml:space="preserve"> less risky</w:t>
      </w:r>
      <w:r w:rsidR="00BB7B09" w:rsidRPr="00BB7B09">
        <w:t xml:space="preserve">.  </w:t>
      </w:r>
      <w:r w:rsidR="00BB7B09">
        <w:t>As such, this study is the first to provide robust empirical evidence about the risk-return characteristic</w:t>
      </w:r>
      <w:r w:rsidR="0043004B">
        <w:t>s</w:t>
      </w:r>
      <w:r w:rsidR="00BB7B09">
        <w:t xml:space="preserve"> of the merger arbitrage strategy in a non-Anglo American context. </w:t>
      </w:r>
    </w:p>
    <w:p w:rsidR="00F80DA7" w:rsidRDefault="00F80DA7" w:rsidP="007B141D">
      <w:pPr>
        <w:spacing w:line="480" w:lineRule="auto"/>
        <w:jc w:val="both"/>
      </w:pPr>
    </w:p>
    <w:p w:rsidR="00D203F9" w:rsidRDefault="00D203F9" w:rsidP="007B141D">
      <w:pPr>
        <w:spacing w:line="480" w:lineRule="auto"/>
        <w:jc w:val="both"/>
      </w:pPr>
      <w:r>
        <w:t>To perform the analysis in this study we construct t</w:t>
      </w:r>
      <w:r w:rsidRPr="00EB6E3F">
        <w:t>h</w:t>
      </w:r>
      <w:r>
        <w:t xml:space="preserve">ree portfolios (an equally weighted, value weighted and a real world). </w:t>
      </w:r>
      <w:r w:rsidR="00C24EA4">
        <w:t xml:space="preserve">What is immediately evident is the, as predicted, the risk of the merger arbitrage strategy in Germany is lower than those reported in Anglo/American settings (Kearney et al., 2007).  In addition, all three portfolios outperform the market generating annualised returns of </w:t>
      </w:r>
      <w:r w:rsidR="00F80DA7">
        <w:t>57.9%</w:t>
      </w:r>
      <w:r w:rsidR="00C24EA4">
        <w:t>,</w:t>
      </w:r>
      <w:r w:rsidR="00F80DA7">
        <w:t xml:space="preserve"> </w:t>
      </w:r>
      <w:r w:rsidR="00C24EA4">
        <w:t>2</w:t>
      </w:r>
      <w:r w:rsidR="00F80DA7">
        <w:t>6.7</w:t>
      </w:r>
      <w:r w:rsidR="00F80DA7" w:rsidRPr="00EB6E3F">
        <w:t>%</w:t>
      </w:r>
      <w:r w:rsidR="00F80DA7">
        <w:t xml:space="preserve">, </w:t>
      </w:r>
      <w:r w:rsidR="00C24EA4">
        <w:t xml:space="preserve">and </w:t>
      </w:r>
      <w:r w:rsidR="00F80DA7" w:rsidRPr="00D203F9">
        <w:t>14.9%</w:t>
      </w:r>
      <w:r w:rsidR="00C24EA4">
        <w:t xml:space="preserve">, respectively. The relative </w:t>
      </w:r>
      <w:r w:rsidR="00F80DA7" w:rsidRPr="00D203F9">
        <w:t xml:space="preserve">underperformance under real world conditions indicates that </w:t>
      </w:r>
      <w:r w:rsidRPr="00D203F9">
        <w:t xml:space="preserve">practical limiting </w:t>
      </w:r>
      <w:r w:rsidRPr="00E83405">
        <w:t>factors play a major role in earning excess returns from employing a risk arbitrage trading strategy (i.e. help explain which the equal- and value-weighted portfolios outperform the risk arbitrage index manager portfolio) such that ignoring them is entirely unrealistic.</w:t>
      </w:r>
      <w:r w:rsidRPr="00EB6E3F">
        <w:t xml:space="preserve">  </w:t>
      </w:r>
      <w:r w:rsidR="00A47998" w:rsidRPr="00A47998">
        <w:t xml:space="preserve">By its very nature, merger arbitrage as a trading strategy has significant downside risk and this is reflected in the large skew and kurtosis figures observed for each of the risk arbitrage portfolios.  </w:t>
      </w:r>
      <w:r w:rsidR="00A47998">
        <w:t xml:space="preserve"> </w:t>
      </w:r>
    </w:p>
    <w:p w:rsidR="00F80DA7" w:rsidRDefault="00F80DA7" w:rsidP="007B141D">
      <w:pPr>
        <w:spacing w:line="480" w:lineRule="auto"/>
        <w:jc w:val="both"/>
      </w:pPr>
    </w:p>
    <w:p w:rsidR="00F80DA7" w:rsidRDefault="00C24EA4" w:rsidP="007B141D">
      <w:pPr>
        <w:spacing w:line="480" w:lineRule="auto"/>
        <w:jc w:val="both"/>
      </w:pPr>
      <w:r>
        <w:lastRenderedPageBreak/>
        <w:t xml:space="preserve">To analyse the risk-adjusted </w:t>
      </w:r>
      <w:r w:rsidR="009462EC">
        <w:t>returns of</w:t>
      </w:r>
      <w:r w:rsidR="00BB7B09">
        <w:t xml:space="preserve"> the</w:t>
      </w:r>
      <w:r w:rsidR="00D203F9">
        <w:t xml:space="preserve"> three</w:t>
      </w:r>
      <w:r w:rsidR="00BB7B09">
        <w:t xml:space="preserve"> portfolios we specify two asset pricing models, the market model and a </w:t>
      </w:r>
      <w:proofErr w:type="spellStart"/>
      <w:r w:rsidR="00D203F9">
        <w:t>Fama</w:t>
      </w:r>
      <w:proofErr w:type="spellEnd"/>
      <w:r w:rsidR="00D203F9">
        <w:t xml:space="preserve"> and French</w:t>
      </w:r>
      <w:r w:rsidR="00BB7B09">
        <w:t xml:space="preserve"> three factor model, incorporating size and value risk factors.  </w:t>
      </w:r>
      <w:r w:rsidR="002521CC">
        <w:t>The results show that</w:t>
      </w:r>
      <w:r w:rsidR="00BB7B09">
        <w:t xml:space="preserve"> </w:t>
      </w:r>
      <w:r w:rsidR="002521CC">
        <w:t>only the equal-weighted portfolio generates significant abnormal returns indicating that (versus the value weighted index) larger deals may be more efficiently priced and that (versus the RAIM portfolio)</w:t>
      </w:r>
      <w:r w:rsidR="00D203F9">
        <w:t>, once again,</w:t>
      </w:r>
      <w:r w:rsidR="002521CC">
        <w:t xml:space="preserve"> transactions costs and real world restrictions significantly limit the ability of risk arbitrageurs to generate abnormal returns.</w:t>
      </w:r>
      <w:r w:rsidR="00540307">
        <w:t xml:space="preserve">  In other words, the market </w:t>
      </w:r>
      <w:r w:rsidR="00BB7B09">
        <w:t>more favourable</w:t>
      </w:r>
      <w:r w:rsidR="00540307">
        <w:t xml:space="preserve"> risk</w:t>
      </w:r>
      <w:r w:rsidR="00BB7B09">
        <w:t xml:space="preserve"> setting for merger arbitrage</w:t>
      </w:r>
      <w:r w:rsidR="00D203F9">
        <w:t xml:space="preserve"> in Germany </w:t>
      </w:r>
      <w:r w:rsidR="00540307">
        <w:t xml:space="preserve">is effectively priced by the market such that when real world conditions are also applied, </w:t>
      </w:r>
      <w:r w:rsidR="00BB7B09">
        <w:t xml:space="preserve">arbitrageurs </w:t>
      </w:r>
      <w:r w:rsidR="00540307">
        <w:t>cannot generate</w:t>
      </w:r>
      <w:r w:rsidR="00BB7B09">
        <w:t xml:space="preserve"> abnormal </w:t>
      </w:r>
      <w:r w:rsidR="00D203F9">
        <w:t xml:space="preserve">risk-adjusted </w:t>
      </w:r>
      <w:r w:rsidR="00BB7B09">
        <w:t>returns.</w:t>
      </w:r>
      <w:r w:rsidR="00F80DA7" w:rsidRPr="00F80DA7">
        <w:t xml:space="preserve"> </w:t>
      </w:r>
    </w:p>
    <w:p w:rsidR="00A47998" w:rsidRDefault="00A47998" w:rsidP="007B141D">
      <w:pPr>
        <w:spacing w:line="480" w:lineRule="auto"/>
        <w:jc w:val="both"/>
      </w:pPr>
    </w:p>
    <w:p w:rsidR="00A47998" w:rsidRPr="00EB6E3F" w:rsidRDefault="00F80DA7" w:rsidP="007B141D">
      <w:pPr>
        <w:spacing w:line="480" w:lineRule="auto"/>
        <w:jc w:val="both"/>
      </w:pPr>
      <w:r>
        <w:t xml:space="preserve">The evidence presented in this paper on merger arbitrage performance has important implications for researchers and practitioners. </w:t>
      </w:r>
      <w:r w:rsidR="00A47998" w:rsidRPr="00EB6E3F">
        <w:t>The inclusion of transaction costs as well as considering other practical limitations (capital) is fundamental to the risk arbitrage index manager portfolio in order for its results to be realistic. With the growth in online trading platforms, transaction costs and their impact have significantly reduced allowing greater possibility for merger arbitrage opportunities to be exploited. As a result, further research regarding this topic should factor in the impact of these trading platforms and the competition for business between them.</w:t>
      </w:r>
    </w:p>
    <w:p w:rsidR="00BB7B09" w:rsidRDefault="00BB7B09" w:rsidP="007B141D">
      <w:pPr>
        <w:spacing w:line="480" w:lineRule="auto"/>
        <w:jc w:val="both"/>
      </w:pPr>
    </w:p>
    <w:p w:rsidR="00BB7B09" w:rsidRDefault="00BB7B09" w:rsidP="007B141D">
      <w:pPr>
        <w:spacing w:line="480" w:lineRule="auto"/>
        <w:jc w:val="both"/>
      </w:pPr>
    </w:p>
    <w:p w:rsidR="009E0D0E" w:rsidRPr="00EB6E3F" w:rsidRDefault="009E0D0E" w:rsidP="007B141D">
      <w:pPr>
        <w:spacing w:line="480" w:lineRule="auto"/>
      </w:pPr>
    </w:p>
    <w:p w:rsidR="009E0D0E" w:rsidRPr="00EB6E3F" w:rsidRDefault="009E0D0E" w:rsidP="007B141D">
      <w:pPr>
        <w:spacing w:line="480" w:lineRule="auto"/>
      </w:pPr>
    </w:p>
    <w:p w:rsidR="009E0D0E" w:rsidRPr="00EB6E3F" w:rsidRDefault="009E0D0E" w:rsidP="007B141D">
      <w:pPr>
        <w:spacing w:line="480" w:lineRule="auto"/>
      </w:pPr>
    </w:p>
    <w:p w:rsidR="009E0D0E" w:rsidRPr="00EB6E3F" w:rsidRDefault="009E0D0E" w:rsidP="007B141D">
      <w:pPr>
        <w:spacing w:line="480" w:lineRule="auto"/>
      </w:pPr>
    </w:p>
    <w:p w:rsidR="009E0D0E" w:rsidRPr="00EB6E3F" w:rsidRDefault="009E0D0E" w:rsidP="007B141D">
      <w:pPr>
        <w:spacing w:line="480" w:lineRule="auto"/>
      </w:pPr>
    </w:p>
    <w:p w:rsidR="00D14943" w:rsidRPr="00D14943" w:rsidRDefault="00D14943" w:rsidP="00D14943">
      <w:pPr>
        <w:spacing w:line="480" w:lineRule="auto"/>
        <w:rPr>
          <w:b/>
          <w:sz w:val="28"/>
          <w:szCs w:val="28"/>
        </w:rPr>
      </w:pPr>
      <w:r w:rsidRPr="00D14943">
        <w:rPr>
          <w:b/>
          <w:sz w:val="28"/>
          <w:szCs w:val="28"/>
        </w:rPr>
        <w:lastRenderedPageBreak/>
        <w:t>References</w:t>
      </w:r>
    </w:p>
    <w:p w:rsidR="00D14943" w:rsidRPr="0067116C" w:rsidRDefault="00D14943" w:rsidP="00D14943">
      <w:pPr>
        <w:spacing w:line="480" w:lineRule="auto"/>
        <w:ind w:left="567" w:hanging="567"/>
        <w:jc w:val="both"/>
      </w:pPr>
      <w:r>
        <w:t>[1]</w:t>
      </w:r>
      <w:r>
        <w:tab/>
        <w:t>Branch, B. and</w:t>
      </w:r>
      <w:r w:rsidR="00E92E40">
        <w:t xml:space="preserve"> Yang, T. (2003),</w:t>
      </w:r>
      <w:r w:rsidRPr="0067116C">
        <w:t xml:space="preserve"> </w:t>
      </w:r>
      <w:r w:rsidR="00E92E40">
        <w:t>“</w:t>
      </w:r>
      <w:r w:rsidRPr="0067116C">
        <w:t>Predicting successful takeovers and risk arbitrage</w:t>
      </w:r>
      <w:r w:rsidR="00E92E40">
        <w:t>”,</w:t>
      </w:r>
      <w:r w:rsidRPr="0067116C">
        <w:t xml:space="preserve"> Quarterly Journal of Business and Economics, </w:t>
      </w:r>
      <w:r w:rsidR="00E92E40">
        <w:t xml:space="preserve">vol. </w:t>
      </w:r>
      <w:r w:rsidRPr="0067116C">
        <w:t>42</w:t>
      </w:r>
      <w:r w:rsidR="00E92E40">
        <w:t xml:space="preserve">, no. </w:t>
      </w:r>
      <w:r w:rsidRPr="0067116C">
        <w:t>1/2</w:t>
      </w:r>
      <w:bookmarkStart w:id="2" w:name="_GoBack"/>
      <w:bookmarkEnd w:id="2"/>
      <w:r w:rsidRPr="0067116C">
        <w:t xml:space="preserve">, </w:t>
      </w:r>
      <w:r>
        <w:t xml:space="preserve">pp. </w:t>
      </w:r>
      <w:r w:rsidRPr="0067116C">
        <w:t xml:space="preserve">3-18. </w:t>
      </w:r>
    </w:p>
    <w:p w:rsidR="00D14943" w:rsidRPr="0067116C" w:rsidRDefault="00D14943" w:rsidP="00D14943">
      <w:pPr>
        <w:spacing w:line="480" w:lineRule="auto"/>
        <w:ind w:left="567" w:hanging="567"/>
        <w:jc w:val="both"/>
      </w:pPr>
      <w:r>
        <w:t>[2]</w:t>
      </w:r>
      <w:r>
        <w:tab/>
      </w:r>
      <w:r w:rsidRPr="0067116C">
        <w:t xml:space="preserve">Dukes, W., </w:t>
      </w:r>
      <w:proofErr w:type="spellStart"/>
      <w:r w:rsidRPr="0067116C">
        <w:t>Frohlich</w:t>
      </w:r>
      <w:proofErr w:type="spellEnd"/>
      <w:r w:rsidRPr="0067116C">
        <w:t xml:space="preserve">, C. </w:t>
      </w:r>
      <w:r>
        <w:t>and</w:t>
      </w:r>
      <w:r w:rsidR="00E92E40">
        <w:t xml:space="preserve"> Ma, C. (1992),</w:t>
      </w:r>
      <w:r w:rsidRPr="0067116C">
        <w:t xml:space="preserve"> </w:t>
      </w:r>
      <w:r w:rsidR="00E92E40">
        <w:t>“</w:t>
      </w:r>
      <w:r w:rsidRPr="0067116C">
        <w:t>Risk arbitrage in tender offers: handsome rewards — and not for insiders only</w:t>
      </w:r>
      <w:r w:rsidR="00E92E40">
        <w:t>”,</w:t>
      </w:r>
      <w:r w:rsidRPr="0067116C">
        <w:t xml:space="preserve"> Journal of Portfolio Management, </w:t>
      </w:r>
      <w:r w:rsidR="00E92E40">
        <w:t>vol.</w:t>
      </w:r>
      <w:r w:rsidRPr="0067116C">
        <w:t>18</w:t>
      </w:r>
      <w:r w:rsidR="00E92E40">
        <w:t xml:space="preserve">, no. </w:t>
      </w:r>
      <w:r w:rsidRPr="0067116C">
        <w:t xml:space="preserve">4, </w:t>
      </w:r>
      <w:r>
        <w:t xml:space="preserve">pp. </w:t>
      </w:r>
      <w:r w:rsidRPr="0067116C">
        <w:t>47-55.</w:t>
      </w:r>
    </w:p>
    <w:p w:rsidR="00D14943" w:rsidRPr="0067116C" w:rsidRDefault="00D14943" w:rsidP="00D14943">
      <w:pPr>
        <w:spacing w:line="480" w:lineRule="auto"/>
        <w:ind w:left="567" w:hanging="567"/>
        <w:jc w:val="both"/>
      </w:pPr>
      <w:r>
        <w:t>[3]</w:t>
      </w:r>
      <w:r>
        <w:tab/>
      </w:r>
      <w:proofErr w:type="spellStart"/>
      <w:r w:rsidRPr="0067116C">
        <w:t>Jindra</w:t>
      </w:r>
      <w:proofErr w:type="spellEnd"/>
      <w:r w:rsidRPr="0067116C">
        <w:t xml:space="preserve">, J. </w:t>
      </w:r>
      <w:r>
        <w:t>and</w:t>
      </w:r>
      <w:r w:rsidRPr="0067116C">
        <w:t xml:space="preserve"> </w:t>
      </w:r>
      <w:proofErr w:type="spellStart"/>
      <w:r w:rsidRPr="0067116C">
        <w:t>Walkling</w:t>
      </w:r>
      <w:proofErr w:type="spellEnd"/>
      <w:r w:rsidRPr="0067116C">
        <w:t>, R. (1999)</w:t>
      </w:r>
      <w:r w:rsidR="00E92E40">
        <w:t>,</w:t>
      </w:r>
      <w:r w:rsidRPr="0067116C">
        <w:t xml:space="preserve"> </w:t>
      </w:r>
      <w:r w:rsidR="00E92E40">
        <w:t>“</w:t>
      </w:r>
      <w:r w:rsidRPr="0067116C">
        <w:t>Speculation spreads and the market pricing of proposed acquisitions</w:t>
      </w:r>
      <w:r w:rsidR="00E92E40">
        <w:t>”,</w:t>
      </w:r>
      <w:r w:rsidRPr="0067116C">
        <w:t xml:space="preserve"> Journal of Corporate Finance, </w:t>
      </w:r>
      <w:r w:rsidR="00E92E40">
        <w:t xml:space="preserve">vol. </w:t>
      </w:r>
      <w:r w:rsidRPr="0067116C">
        <w:t xml:space="preserve">10, </w:t>
      </w:r>
      <w:r>
        <w:t xml:space="preserve">pp. </w:t>
      </w:r>
      <w:r w:rsidRPr="0067116C">
        <w:t>495-526.</w:t>
      </w:r>
    </w:p>
    <w:p w:rsidR="00D14943" w:rsidRDefault="00D14943" w:rsidP="00D14943">
      <w:pPr>
        <w:spacing w:line="480" w:lineRule="auto"/>
        <w:ind w:left="567" w:hanging="567"/>
        <w:jc w:val="both"/>
      </w:pPr>
      <w:r>
        <w:t>[4]</w:t>
      </w:r>
      <w:r>
        <w:tab/>
      </w:r>
      <w:proofErr w:type="spellStart"/>
      <w:r w:rsidRPr="0067116C">
        <w:t>Karolyi</w:t>
      </w:r>
      <w:proofErr w:type="spellEnd"/>
      <w:r w:rsidRPr="0067116C">
        <w:t xml:space="preserve">, G.A. </w:t>
      </w:r>
      <w:r>
        <w:t>and</w:t>
      </w:r>
      <w:r w:rsidRPr="0067116C">
        <w:t xml:space="preserve"> Shannon, J. (1999)</w:t>
      </w:r>
      <w:r w:rsidR="00E92E40">
        <w:t>,</w:t>
      </w:r>
      <w:r w:rsidRPr="0067116C">
        <w:t xml:space="preserve"> </w:t>
      </w:r>
      <w:r w:rsidR="00E92E40">
        <w:t>“</w:t>
      </w:r>
      <w:r w:rsidRPr="0067116C">
        <w:t>Where’s the risk in risk arbitrage?</w:t>
      </w:r>
      <w:r w:rsidR="00E92E40">
        <w:t>”,</w:t>
      </w:r>
      <w:r w:rsidRPr="0067116C">
        <w:t xml:space="preserve"> Canadian Investment Review, </w:t>
      </w:r>
      <w:r w:rsidR="00E92E40">
        <w:t xml:space="preserve">vol. </w:t>
      </w:r>
      <w:r w:rsidRPr="0067116C">
        <w:t xml:space="preserve">12, </w:t>
      </w:r>
      <w:r>
        <w:t xml:space="preserve">pp. </w:t>
      </w:r>
      <w:r w:rsidRPr="0067116C">
        <w:t>12-18.</w:t>
      </w:r>
    </w:p>
    <w:p w:rsidR="00D14943" w:rsidRPr="0067116C" w:rsidRDefault="00D14943" w:rsidP="00D14943">
      <w:pPr>
        <w:spacing w:line="480" w:lineRule="auto"/>
        <w:ind w:left="567" w:hanging="567"/>
        <w:jc w:val="both"/>
      </w:pPr>
      <w:r>
        <w:t>[5]</w:t>
      </w:r>
      <w:r>
        <w:tab/>
        <w:t xml:space="preserve">Kearney, P., Hutchinson, M. and </w:t>
      </w:r>
      <w:r w:rsidRPr="00781909">
        <w:t>Cotter, D.</w:t>
      </w:r>
      <w:r>
        <w:t xml:space="preserve"> (2007)</w:t>
      </w:r>
      <w:r w:rsidR="00E92E40">
        <w:t>,</w:t>
      </w:r>
      <w:r>
        <w:t xml:space="preserve"> </w:t>
      </w:r>
      <w:r w:rsidR="00E92E40">
        <w:t>“</w:t>
      </w:r>
      <w:r w:rsidRPr="00781909">
        <w:t>R</w:t>
      </w:r>
      <w:r>
        <w:t>isk</w:t>
      </w:r>
      <w:r w:rsidRPr="00781909">
        <w:t xml:space="preserve"> </w:t>
      </w:r>
      <w:r>
        <w:t>and</w:t>
      </w:r>
      <w:r w:rsidRPr="00781909">
        <w:t xml:space="preserve"> </w:t>
      </w:r>
      <w:r>
        <w:t>return of merger arbitrage in the UK 2001 to 2004</w:t>
      </w:r>
      <w:r w:rsidR="00E92E40">
        <w:t>”,</w:t>
      </w:r>
      <w:r>
        <w:t xml:space="preserve"> </w:t>
      </w:r>
      <w:r w:rsidRPr="00781909">
        <w:t>The Irish Accounting Review</w:t>
      </w:r>
      <w:r>
        <w:t xml:space="preserve">, </w:t>
      </w:r>
      <w:r w:rsidR="00E92E40">
        <w:t>vo</w:t>
      </w:r>
      <w:r>
        <w:t>1</w:t>
      </w:r>
      <w:r w:rsidR="00E92E40">
        <w:t xml:space="preserve">. </w:t>
      </w:r>
      <w:r>
        <w:t>4</w:t>
      </w:r>
      <w:r w:rsidR="00E92E40">
        <w:t xml:space="preserve">, no. </w:t>
      </w:r>
      <w:r>
        <w:t>2, pp. 17-36.</w:t>
      </w:r>
    </w:p>
    <w:p w:rsidR="00D14943" w:rsidRPr="0067116C" w:rsidRDefault="00D14943" w:rsidP="00D14943">
      <w:pPr>
        <w:spacing w:line="480" w:lineRule="auto"/>
        <w:ind w:left="567" w:hanging="567"/>
        <w:jc w:val="both"/>
      </w:pPr>
      <w:r>
        <w:t>[6]</w:t>
      </w:r>
      <w:r>
        <w:tab/>
      </w:r>
      <w:proofErr w:type="spellStart"/>
      <w:r w:rsidRPr="0067116C">
        <w:t>Maheswaran</w:t>
      </w:r>
      <w:proofErr w:type="spellEnd"/>
      <w:r w:rsidRPr="0067116C">
        <w:t xml:space="preserve">, K. </w:t>
      </w:r>
      <w:r>
        <w:t>and</w:t>
      </w:r>
      <w:r w:rsidRPr="0067116C">
        <w:t xml:space="preserve"> Chin </w:t>
      </w:r>
      <w:proofErr w:type="spellStart"/>
      <w:r w:rsidRPr="0067116C">
        <w:t>Yeoh</w:t>
      </w:r>
      <w:proofErr w:type="spellEnd"/>
      <w:r w:rsidRPr="0067116C">
        <w:t>, S. (2005)</w:t>
      </w:r>
      <w:r w:rsidR="00E92E40">
        <w:t>,</w:t>
      </w:r>
      <w:r w:rsidRPr="0067116C">
        <w:t xml:space="preserve"> </w:t>
      </w:r>
      <w:r w:rsidR="00E92E40">
        <w:t>“</w:t>
      </w:r>
      <w:r w:rsidRPr="0067116C">
        <w:t>The profitability of the merger arbitrage: some Australian evidence</w:t>
      </w:r>
      <w:r w:rsidR="00E92E40">
        <w:t>”,</w:t>
      </w:r>
      <w:r w:rsidRPr="0067116C">
        <w:t xml:space="preserve"> The Australian Journal of Management, </w:t>
      </w:r>
      <w:r w:rsidR="00E92E40">
        <w:t xml:space="preserve">vol. </w:t>
      </w:r>
      <w:r w:rsidRPr="0067116C">
        <w:t>30</w:t>
      </w:r>
      <w:r w:rsidR="00E92E40">
        <w:t xml:space="preserve">, no. </w:t>
      </w:r>
      <w:r w:rsidRPr="0067116C">
        <w:t xml:space="preserve">1, </w:t>
      </w:r>
      <w:r>
        <w:t xml:space="preserve">pp. </w:t>
      </w:r>
      <w:r w:rsidRPr="0067116C">
        <w:t>111-126.</w:t>
      </w:r>
    </w:p>
    <w:p w:rsidR="00D14943" w:rsidRPr="0067116C" w:rsidRDefault="00D14943" w:rsidP="00D14943">
      <w:pPr>
        <w:spacing w:line="480" w:lineRule="auto"/>
        <w:ind w:left="567" w:hanging="567"/>
        <w:jc w:val="both"/>
      </w:pPr>
      <w:r>
        <w:t>[7]</w:t>
      </w:r>
      <w:r>
        <w:tab/>
      </w:r>
      <w:proofErr w:type="spellStart"/>
      <w:r w:rsidRPr="0067116C">
        <w:t>Chirinko</w:t>
      </w:r>
      <w:proofErr w:type="spellEnd"/>
      <w:r w:rsidRPr="0067116C">
        <w:t xml:space="preserve">, R. </w:t>
      </w:r>
      <w:r>
        <w:t>and</w:t>
      </w:r>
      <w:r w:rsidRPr="0067116C">
        <w:t xml:space="preserve"> </w:t>
      </w:r>
      <w:proofErr w:type="spellStart"/>
      <w:r w:rsidRPr="0067116C">
        <w:t>Elston</w:t>
      </w:r>
      <w:proofErr w:type="spellEnd"/>
      <w:r w:rsidRPr="0067116C">
        <w:t>, J. (2006)</w:t>
      </w:r>
      <w:r w:rsidR="00E92E40">
        <w:t>,</w:t>
      </w:r>
      <w:r w:rsidRPr="0067116C">
        <w:t xml:space="preserve"> </w:t>
      </w:r>
      <w:r w:rsidR="00E92E40">
        <w:t>“</w:t>
      </w:r>
      <w:r w:rsidRPr="0067116C">
        <w:t>Finance, control and profitability: the influence of German Banks</w:t>
      </w:r>
      <w:r w:rsidR="00E92E40">
        <w:t>”,</w:t>
      </w:r>
      <w:r w:rsidRPr="0067116C">
        <w:t xml:space="preserve"> Journal of Economic Behaviour and Organisation, </w:t>
      </w:r>
      <w:r w:rsidR="00E92E40">
        <w:t xml:space="preserve">vol. </w:t>
      </w:r>
      <w:r w:rsidRPr="0067116C">
        <w:t xml:space="preserve">59, </w:t>
      </w:r>
      <w:r>
        <w:t xml:space="preserve">pp. </w:t>
      </w:r>
      <w:r w:rsidRPr="0067116C">
        <w:t>69-88.</w:t>
      </w:r>
    </w:p>
    <w:p w:rsidR="00D14943" w:rsidRPr="0067116C" w:rsidRDefault="00D14943" w:rsidP="00D14943">
      <w:pPr>
        <w:spacing w:line="480" w:lineRule="auto"/>
        <w:ind w:left="567" w:hanging="567"/>
        <w:jc w:val="both"/>
      </w:pPr>
      <w:r>
        <w:t>[8]</w:t>
      </w:r>
      <w:r>
        <w:tab/>
      </w:r>
      <w:proofErr w:type="spellStart"/>
      <w:r w:rsidRPr="0067116C">
        <w:t>Hackethal</w:t>
      </w:r>
      <w:proofErr w:type="spellEnd"/>
      <w:r w:rsidRPr="0067116C">
        <w:t xml:space="preserve">, A., Schmidt, R. </w:t>
      </w:r>
      <w:r>
        <w:t>and</w:t>
      </w:r>
      <w:r w:rsidRPr="0067116C">
        <w:t xml:space="preserve"> Tyrell, M. (2005)</w:t>
      </w:r>
      <w:r w:rsidR="00E92E40">
        <w:t>,</w:t>
      </w:r>
      <w:r w:rsidRPr="0067116C">
        <w:t xml:space="preserve"> </w:t>
      </w:r>
      <w:r w:rsidR="00E92E40">
        <w:t>“</w:t>
      </w:r>
      <w:r w:rsidRPr="0067116C">
        <w:t>Banks and German corporate governance: on the way to a capital market-based system</w:t>
      </w:r>
      <w:r w:rsidR="00E92E40">
        <w:t>”,</w:t>
      </w:r>
      <w:r w:rsidRPr="0067116C">
        <w:t xml:space="preserve"> Corporate Governance: An International Review, </w:t>
      </w:r>
      <w:r w:rsidR="00E92E40">
        <w:t xml:space="preserve">vol. </w:t>
      </w:r>
      <w:r w:rsidRPr="0067116C">
        <w:t>13</w:t>
      </w:r>
      <w:r w:rsidR="00E92E40">
        <w:t xml:space="preserve">, no. </w:t>
      </w:r>
      <w:r w:rsidRPr="0067116C">
        <w:t xml:space="preserve">3, </w:t>
      </w:r>
      <w:r>
        <w:t xml:space="preserve">pp. </w:t>
      </w:r>
      <w:r w:rsidRPr="0067116C">
        <w:t>397-407.</w:t>
      </w:r>
    </w:p>
    <w:p w:rsidR="00D14943" w:rsidRDefault="00D14943" w:rsidP="00D14943">
      <w:pPr>
        <w:spacing w:line="480" w:lineRule="auto"/>
        <w:ind w:left="567" w:hanging="567"/>
        <w:jc w:val="both"/>
      </w:pPr>
      <w:r>
        <w:t>[9]</w:t>
      </w:r>
      <w:r>
        <w:tab/>
      </w:r>
      <w:proofErr w:type="spellStart"/>
      <w:r w:rsidR="00E92E40">
        <w:t>Köke</w:t>
      </w:r>
      <w:proofErr w:type="spellEnd"/>
      <w:r w:rsidR="00E92E40">
        <w:t>, J., (2002),</w:t>
      </w:r>
      <w:r w:rsidRPr="0067116C">
        <w:t xml:space="preserve"> </w:t>
      </w:r>
      <w:r w:rsidR="00E92E40">
        <w:t>“</w:t>
      </w:r>
      <w:r w:rsidRPr="0067116C">
        <w:t>Determinants of acquisition and failure: evidence from corporate Germany</w:t>
      </w:r>
      <w:r w:rsidR="00E92E40">
        <w:t>”,</w:t>
      </w:r>
      <w:r w:rsidRPr="0067116C">
        <w:t xml:space="preserve"> Journal of Structural Change and Economic Dynamics, </w:t>
      </w:r>
      <w:r w:rsidR="00E92E40">
        <w:t xml:space="preserve">vol. </w:t>
      </w:r>
      <w:r w:rsidRPr="0067116C">
        <w:t xml:space="preserve">15, </w:t>
      </w:r>
      <w:r w:rsidR="00E92E40">
        <w:t xml:space="preserve">pp. </w:t>
      </w:r>
      <w:r w:rsidRPr="0067116C">
        <w:t>457-484.</w:t>
      </w:r>
    </w:p>
    <w:p w:rsidR="00D14943" w:rsidRPr="0067116C" w:rsidRDefault="00D14943" w:rsidP="00D14943">
      <w:pPr>
        <w:spacing w:line="480" w:lineRule="auto"/>
        <w:ind w:left="567" w:hanging="567"/>
        <w:jc w:val="both"/>
      </w:pPr>
      <w:r>
        <w:t>[10]</w:t>
      </w:r>
      <w:r>
        <w:tab/>
      </w:r>
      <w:proofErr w:type="spellStart"/>
      <w:r w:rsidRPr="0067116C">
        <w:t>Cornelli</w:t>
      </w:r>
      <w:proofErr w:type="spellEnd"/>
      <w:r w:rsidRPr="0067116C">
        <w:t xml:space="preserve">, F. </w:t>
      </w:r>
      <w:r>
        <w:t>and</w:t>
      </w:r>
      <w:r w:rsidR="00E92E40">
        <w:t xml:space="preserve"> Li, D.D. (2002),</w:t>
      </w:r>
      <w:r w:rsidRPr="0067116C">
        <w:t xml:space="preserve"> </w:t>
      </w:r>
      <w:r w:rsidR="00E92E40">
        <w:t>“</w:t>
      </w:r>
      <w:r w:rsidRPr="0067116C">
        <w:t>Risk arbitrage in takeovers</w:t>
      </w:r>
      <w:r w:rsidR="00E92E40">
        <w:t>”,</w:t>
      </w:r>
      <w:r w:rsidRPr="0067116C">
        <w:t xml:space="preserve"> The Review of Financial Studies, </w:t>
      </w:r>
      <w:r w:rsidR="00E92E40">
        <w:t xml:space="preserve">vol. </w:t>
      </w:r>
      <w:r w:rsidRPr="0067116C">
        <w:t>15</w:t>
      </w:r>
      <w:r w:rsidR="00E92E40">
        <w:t xml:space="preserve">, no. </w:t>
      </w:r>
      <w:r w:rsidRPr="0067116C">
        <w:t xml:space="preserve">3, </w:t>
      </w:r>
      <w:r>
        <w:t xml:space="preserve">pp. </w:t>
      </w:r>
      <w:r w:rsidRPr="0067116C">
        <w:t>837-868.</w:t>
      </w:r>
    </w:p>
    <w:p w:rsidR="00D14943" w:rsidRDefault="00D14943" w:rsidP="00D14943">
      <w:pPr>
        <w:spacing w:line="480" w:lineRule="auto"/>
        <w:ind w:left="567" w:hanging="567"/>
        <w:jc w:val="both"/>
      </w:pPr>
      <w:r>
        <w:lastRenderedPageBreak/>
        <w:t>[11]</w:t>
      </w:r>
      <w:r>
        <w:tab/>
      </w:r>
      <w:r w:rsidRPr="0067116C">
        <w:t xml:space="preserve">Mitchell, M. </w:t>
      </w:r>
      <w:r>
        <w:t>and</w:t>
      </w:r>
      <w:r w:rsidR="00E92E40">
        <w:t xml:space="preserve"> </w:t>
      </w:r>
      <w:proofErr w:type="spellStart"/>
      <w:r w:rsidR="00E92E40">
        <w:t>Pulvino</w:t>
      </w:r>
      <w:proofErr w:type="spellEnd"/>
      <w:r w:rsidR="00E92E40">
        <w:t>, T. (2001),</w:t>
      </w:r>
      <w:r w:rsidRPr="0067116C">
        <w:t xml:space="preserve"> </w:t>
      </w:r>
      <w:r w:rsidR="00E92E40">
        <w:t>“</w:t>
      </w:r>
      <w:r w:rsidRPr="0067116C">
        <w:t>Characteristics of risk and return in risk arbitrage</w:t>
      </w:r>
      <w:r w:rsidR="00E92E40">
        <w:t>”,</w:t>
      </w:r>
      <w:r w:rsidRPr="0067116C">
        <w:t xml:space="preserve"> The Journal of Finance, </w:t>
      </w:r>
      <w:r w:rsidR="00E92E40">
        <w:t xml:space="preserve">vol. </w:t>
      </w:r>
      <w:r w:rsidRPr="0067116C">
        <w:t>56</w:t>
      </w:r>
      <w:r w:rsidR="00E92E40">
        <w:t xml:space="preserve">, no. </w:t>
      </w:r>
      <w:r w:rsidRPr="0067116C">
        <w:t xml:space="preserve">6, </w:t>
      </w:r>
      <w:r>
        <w:t xml:space="preserve">pp. </w:t>
      </w:r>
      <w:r w:rsidRPr="0067116C">
        <w:t>2135-2175.</w:t>
      </w:r>
    </w:p>
    <w:p w:rsidR="00D14943" w:rsidRPr="0067116C" w:rsidRDefault="00D14943" w:rsidP="00D14943">
      <w:pPr>
        <w:spacing w:line="480" w:lineRule="auto"/>
        <w:ind w:left="567" w:hanging="567"/>
        <w:jc w:val="both"/>
      </w:pPr>
      <w:r>
        <w:t>[12]</w:t>
      </w:r>
      <w:r>
        <w:tab/>
      </w:r>
      <w:r w:rsidRPr="0067116C">
        <w:t xml:space="preserve">Shleifer, A. </w:t>
      </w:r>
      <w:r>
        <w:t>and</w:t>
      </w:r>
      <w:r w:rsidR="00E92E40">
        <w:t xml:space="preserve"> </w:t>
      </w:r>
      <w:proofErr w:type="spellStart"/>
      <w:r w:rsidR="00E92E40">
        <w:t>Vishny</w:t>
      </w:r>
      <w:proofErr w:type="spellEnd"/>
      <w:r w:rsidR="00E92E40">
        <w:t>, R., (1997),</w:t>
      </w:r>
      <w:r w:rsidRPr="0067116C">
        <w:t xml:space="preserve"> </w:t>
      </w:r>
      <w:r w:rsidR="00E92E40">
        <w:t>“The limits of a</w:t>
      </w:r>
      <w:r w:rsidRPr="0067116C">
        <w:t>rbitrage</w:t>
      </w:r>
      <w:r w:rsidR="00E92E40">
        <w:t>”,</w:t>
      </w:r>
      <w:r w:rsidRPr="0067116C">
        <w:t xml:space="preserve"> The Journal of Finance, 52(1), </w:t>
      </w:r>
      <w:r>
        <w:t xml:space="preserve">pp. </w:t>
      </w:r>
      <w:r w:rsidRPr="0067116C">
        <w:t>35-55.</w:t>
      </w:r>
    </w:p>
    <w:p w:rsidR="00D14943" w:rsidRPr="0067116C" w:rsidRDefault="00D14943" w:rsidP="00D14943">
      <w:pPr>
        <w:spacing w:line="480" w:lineRule="auto"/>
        <w:ind w:left="567" w:hanging="567"/>
        <w:jc w:val="both"/>
      </w:pPr>
      <w:r>
        <w:t>[13]</w:t>
      </w:r>
      <w:r>
        <w:tab/>
      </w:r>
      <w:r w:rsidRPr="0067116C">
        <w:t xml:space="preserve">Baker, M. </w:t>
      </w:r>
      <w:r>
        <w:t>and</w:t>
      </w:r>
      <w:r w:rsidRPr="0067116C">
        <w:t xml:space="preserve"> </w:t>
      </w:r>
      <w:proofErr w:type="spellStart"/>
      <w:r w:rsidRPr="0067116C">
        <w:t>Savasoglu</w:t>
      </w:r>
      <w:proofErr w:type="spellEnd"/>
      <w:r w:rsidRPr="0067116C">
        <w:t>, S., (2002)</w:t>
      </w:r>
      <w:r w:rsidR="00E92E40">
        <w:t>,</w:t>
      </w:r>
      <w:r w:rsidRPr="0067116C">
        <w:t xml:space="preserve"> </w:t>
      </w:r>
      <w:r w:rsidR="00E92E40">
        <w:t>“Limited a</w:t>
      </w:r>
      <w:r w:rsidRPr="0067116C">
        <w:t xml:space="preserve">rbitrage in </w:t>
      </w:r>
      <w:r w:rsidR="00E92E40">
        <w:t>m</w:t>
      </w:r>
      <w:r w:rsidRPr="0067116C">
        <w:t xml:space="preserve">ergers and </w:t>
      </w:r>
      <w:r w:rsidR="00E92E40">
        <w:t>a</w:t>
      </w:r>
      <w:r w:rsidRPr="0067116C">
        <w:t>cquisitions</w:t>
      </w:r>
      <w:r w:rsidR="00E92E40">
        <w:t>”,</w:t>
      </w:r>
      <w:r w:rsidRPr="0067116C">
        <w:t xml:space="preserve"> The Journal of Financial Economics, </w:t>
      </w:r>
      <w:r w:rsidR="00E92E40">
        <w:t xml:space="preserve">vol. </w:t>
      </w:r>
      <w:r w:rsidRPr="0067116C">
        <w:t xml:space="preserve">64, </w:t>
      </w:r>
      <w:r>
        <w:t xml:space="preserve">pp. </w:t>
      </w:r>
      <w:r w:rsidRPr="0067116C">
        <w:t>91-115.</w:t>
      </w:r>
    </w:p>
    <w:p w:rsidR="00D14943" w:rsidRPr="0067116C" w:rsidRDefault="00D14943" w:rsidP="00D14943">
      <w:pPr>
        <w:spacing w:line="480" w:lineRule="auto"/>
        <w:ind w:left="567" w:hanging="567"/>
        <w:jc w:val="both"/>
      </w:pPr>
      <w:r>
        <w:t>[14]</w:t>
      </w:r>
      <w:r>
        <w:tab/>
      </w:r>
      <w:r w:rsidR="00E92E40">
        <w:t>Pontiff, J. (2006),</w:t>
      </w:r>
      <w:r w:rsidRPr="0067116C">
        <w:t xml:space="preserve"> </w:t>
      </w:r>
      <w:r w:rsidR="00E92E40">
        <w:t>“</w:t>
      </w:r>
      <w:r w:rsidRPr="0067116C">
        <w:t>Costly arbitrage and the myth of idiosyncratic risk</w:t>
      </w:r>
      <w:r w:rsidR="00E92E40">
        <w:t xml:space="preserve">”, </w:t>
      </w:r>
      <w:r w:rsidRPr="0067116C">
        <w:t xml:space="preserve">Journal of Accounting and Economics, </w:t>
      </w:r>
      <w:r w:rsidR="00E92E40">
        <w:t xml:space="preserve">vol. </w:t>
      </w:r>
      <w:r w:rsidRPr="0067116C">
        <w:t>42</w:t>
      </w:r>
      <w:r w:rsidR="00E92E40">
        <w:t xml:space="preserve">, no. </w:t>
      </w:r>
      <w:r w:rsidRPr="0067116C">
        <w:t xml:space="preserve">1/2, </w:t>
      </w:r>
      <w:r>
        <w:t xml:space="preserve">pp. </w:t>
      </w:r>
      <w:r w:rsidRPr="0067116C">
        <w:t>35-52.</w:t>
      </w:r>
    </w:p>
    <w:p w:rsidR="00D14943" w:rsidRDefault="00D14943" w:rsidP="00D14943">
      <w:pPr>
        <w:spacing w:line="480" w:lineRule="auto"/>
        <w:ind w:left="567" w:hanging="567"/>
        <w:jc w:val="both"/>
      </w:pPr>
      <w:r>
        <w:t>[15]</w:t>
      </w:r>
      <w:r>
        <w:tab/>
      </w:r>
      <w:proofErr w:type="spellStart"/>
      <w:r w:rsidRPr="00DD69AC">
        <w:t>Fama</w:t>
      </w:r>
      <w:proofErr w:type="spellEnd"/>
      <w:r w:rsidRPr="00DD69AC">
        <w:t>, E. F.</w:t>
      </w:r>
      <w:r>
        <w:t xml:space="preserve"> and</w:t>
      </w:r>
      <w:r w:rsidRPr="00DD69AC">
        <w:t xml:space="preserve"> French, K. R. (1993)</w:t>
      </w:r>
      <w:r w:rsidR="00E92E40">
        <w:t>,</w:t>
      </w:r>
      <w:r>
        <w:t xml:space="preserve"> </w:t>
      </w:r>
      <w:r w:rsidR="00E92E40">
        <w:t>“</w:t>
      </w:r>
      <w:r w:rsidRPr="00DD69AC">
        <w:t>Common risk factors in the returns on stocks and bonds. Journal of Financial Economics</w:t>
      </w:r>
      <w:r w:rsidR="00E92E40">
        <w:t>”,</w:t>
      </w:r>
      <w:r w:rsidRPr="00DD69AC">
        <w:t xml:space="preserve"> </w:t>
      </w:r>
      <w:r w:rsidR="00E92E40">
        <w:t xml:space="preserve">vol. </w:t>
      </w:r>
      <w:r w:rsidRPr="00DD69AC">
        <w:t>33</w:t>
      </w:r>
      <w:r>
        <w:t>,</w:t>
      </w:r>
      <w:r w:rsidRPr="00DD69AC">
        <w:t xml:space="preserve"> </w:t>
      </w:r>
      <w:r>
        <w:t xml:space="preserve">pp. </w:t>
      </w:r>
      <w:r w:rsidRPr="00DD69AC">
        <w:t>3</w:t>
      </w:r>
      <w:r>
        <w:t>-56</w:t>
      </w:r>
    </w:p>
    <w:p w:rsidR="00D14943" w:rsidRPr="0067116C" w:rsidRDefault="00D14943" w:rsidP="00D14943">
      <w:pPr>
        <w:spacing w:line="480" w:lineRule="auto"/>
        <w:ind w:left="567" w:hanging="567"/>
        <w:jc w:val="both"/>
      </w:pPr>
      <w:r>
        <w:t>[16]</w:t>
      </w:r>
      <w:r>
        <w:tab/>
      </w:r>
      <w:r w:rsidRPr="0067116C">
        <w:t xml:space="preserve">Branch, B. </w:t>
      </w:r>
      <w:r>
        <w:t>and</w:t>
      </w:r>
      <w:r w:rsidRPr="0067116C">
        <w:t xml:space="preserve"> Yang, T. (2006)</w:t>
      </w:r>
      <w:r w:rsidR="00E92E40">
        <w:t>,</w:t>
      </w:r>
      <w:r w:rsidRPr="0067116C">
        <w:t xml:space="preserve"> </w:t>
      </w:r>
      <w:r w:rsidR="00E92E40">
        <w:t>“</w:t>
      </w:r>
      <w:r w:rsidRPr="0067116C">
        <w:t>The risk of arbitrage performance: failed acquisition attempts</w:t>
      </w:r>
      <w:r w:rsidR="00E92E40">
        <w:t>”,</w:t>
      </w:r>
      <w:r w:rsidRPr="0067116C">
        <w:t xml:space="preserve"> Quarterly Journal of Business and Economics, </w:t>
      </w:r>
      <w:r w:rsidR="00E92E40">
        <w:t xml:space="preserve">vol. </w:t>
      </w:r>
      <w:r w:rsidRPr="0067116C">
        <w:t>45</w:t>
      </w:r>
      <w:r w:rsidR="00E92E40">
        <w:t>, no.</w:t>
      </w:r>
      <w:r w:rsidRPr="0067116C">
        <w:t xml:space="preserve">1/2, </w:t>
      </w:r>
      <w:r>
        <w:t xml:space="preserve">pp. </w:t>
      </w:r>
      <w:r w:rsidRPr="0067116C">
        <w:t>53-68.</w:t>
      </w:r>
    </w:p>
    <w:p w:rsidR="00D14943" w:rsidRDefault="00D14943" w:rsidP="00D14943">
      <w:pPr>
        <w:spacing w:after="200" w:line="276" w:lineRule="auto"/>
        <w:rPr>
          <w:b/>
          <w:lang w:eastAsia="en-US"/>
        </w:rPr>
      </w:pPr>
      <w:r>
        <w:rPr>
          <w:b/>
          <w:lang w:eastAsia="en-US"/>
        </w:rPr>
        <w:br w:type="page"/>
      </w:r>
    </w:p>
    <w:p w:rsidR="00D14943" w:rsidRDefault="00D14943" w:rsidP="00D14943"/>
    <w:p w:rsidR="007A64CC" w:rsidRPr="00EB6E3F" w:rsidRDefault="007A64CC" w:rsidP="007A64CC">
      <w:pPr>
        <w:spacing w:line="480" w:lineRule="auto"/>
        <w:jc w:val="both"/>
        <w:rPr>
          <w:lang w:eastAsia="en-US"/>
        </w:rPr>
      </w:pPr>
    </w:p>
    <w:p w:rsidR="007A64CC" w:rsidRPr="00EB6E3F" w:rsidRDefault="007A64CC" w:rsidP="007A64CC">
      <w:pPr>
        <w:spacing w:line="480" w:lineRule="auto"/>
        <w:jc w:val="both"/>
        <w:rPr>
          <w:lang w:eastAsia="en-US"/>
        </w:rPr>
      </w:pPr>
    </w:p>
    <w:p w:rsidR="007A64CC" w:rsidRPr="00EB6E3F" w:rsidRDefault="007A64CC" w:rsidP="007A64CC">
      <w:pPr>
        <w:spacing w:line="360" w:lineRule="auto"/>
        <w:jc w:val="both"/>
        <w:rPr>
          <w:lang w:eastAsia="en-US"/>
        </w:rPr>
      </w:pPr>
    </w:p>
    <w:p w:rsidR="00E20A6D" w:rsidRDefault="00E20A6D" w:rsidP="005220C2">
      <w:pPr>
        <w:spacing w:line="480" w:lineRule="auto"/>
        <w:ind w:left="567" w:hanging="567"/>
        <w:jc w:val="both"/>
      </w:pPr>
    </w:p>
    <w:p w:rsidR="00AD0D12" w:rsidRDefault="00AD0D12" w:rsidP="005220C2">
      <w:pPr>
        <w:spacing w:line="480" w:lineRule="auto"/>
        <w:ind w:left="567" w:hanging="567"/>
        <w:jc w:val="both"/>
      </w:pPr>
    </w:p>
    <w:p w:rsidR="00AD0D12" w:rsidRDefault="00AD0D12" w:rsidP="005220C2">
      <w:pPr>
        <w:spacing w:line="480" w:lineRule="auto"/>
        <w:ind w:left="567" w:hanging="567"/>
        <w:jc w:val="both"/>
      </w:pPr>
    </w:p>
    <w:p w:rsidR="00D974EF" w:rsidRDefault="00D974EF" w:rsidP="00D974EF">
      <w:pPr>
        <w:spacing w:line="480" w:lineRule="auto"/>
        <w:jc w:val="both"/>
      </w:pPr>
    </w:p>
    <w:sectPr w:rsidR="00D974EF" w:rsidSect="00DC1528">
      <w:footerReference w:type="default" r:id="rId14"/>
      <w:pgSz w:w="11906" w:h="16838"/>
      <w:pgMar w:top="1440" w:right="1440" w:bottom="1440" w:left="1440"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FC" w:rsidRDefault="005F05FC">
      <w:r>
        <w:separator/>
      </w:r>
    </w:p>
  </w:endnote>
  <w:endnote w:type="continuationSeparator" w:id="0">
    <w:p w:rsidR="005F05FC" w:rsidRDefault="005F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2F" w:rsidRDefault="005C4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E40">
      <w:rPr>
        <w:rStyle w:val="PageNumber"/>
        <w:noProof/>
      </w:rPr>
      <w:t>23</w:t>
    </w:r>
    <w:r>
      <w:rPr>
        <w:rStyle w:val="PageNumber"/>
      </w:rPr>
      <w:fldChar w:fldCharType="end"/>
    </w:r>
  </w:p>
  <w:p w:rsidR="005C412F" w:rsidRDefault="005C4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FC" w:rsidRDefault="005F05FC">
      <w:r>
        <w:separator/>
      </w:r>
    </w:p>
  </w:footnote>
  <w:footnote w:type="continuationSeparator" w:id="0">
    <w:p w:rsidR="005F05FC" w:rsidRDefault="005F0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2F9"/>
    <w:multiLevelType w:val="hybridMultilevel"/>
    <w:tmpl w:val="1DF48EC4"/>
    <w:lvl w:ilvl="0" w:tplc="4F0E28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A4C8B"/>
    <w:multiLevelType w:val="hybridMultilevel"/>
    <w:tmpl w:val="8D66F4D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A7F74"/>
    <w:multiLevelType w:val="hybridMultilevel"/>
    <w:tmpl w:val="92CE789A"/>
    <w:lvl w:ilvl="0" w:tplc="7D827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C15C2"/>
    <w:multiLevelType w:val="hybridMultilevel"/>
    <w:tmpl w:val="DF44B82A"/>
    <w:lvl w:ilvl="0" w:tplc="7876CEF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C2B8D"/>
    <w:multiLevelType w:val="hybridMultilevel"/>
    <w:tmpl w:val="03F89688"/>
    <w:lvl w:ilvl="0" w:tplc="7B4A328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229ED"/>
    <w:multiLevelType w:val="hybridMultilevel"/>
    <w:tmpl w:val="609CA8AC"/>
    <w:lvl w:ilvl="0" w:tplc="0409000B">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5B051E45"/>
    <w:multiLevelType w:val="hybridMultilevel"/>
    <w:tmpl w:val="CC741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E6D12"/>
    <w:multiLevelType w:val="hybridMultilevel"/>
    <w:tmpl w:val="92D6C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516094"/>
    <w:multiLevelType w:val="hybridMultilevel"/>
    <w:tmpl w:val="AA20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F6FCF"/>
    <w:multiLevelType w:val="hybridMultilevel"/>
    <w:tmpl w:val="ECD4478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8516E"/>
    <w:multiLevelType w:val="hybridMultilevel"/>
    <w:tmpl w:val="0818DF52"/>
    <w:lvl w:ilvl="0" w:tplc="7FBE34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8"/>
  </w:num>
  <w:num w:numId="6">
    <w:abstractNumId w:val="7"/>
  </w:num>
  <w:num w:numId="7">
    <w:abstractNumId w:val="3"/>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6D"/>
    <w:rsid w:val="000014DA"/>
    <w:rsid w:val="00005A7E"/>
    <w:rsid w:val="00012025"/>
    <w:rsid w:val="00015E40"/>
    <w:rsid w:val="00025396"/>
    <w:rsid w:val="00030CF7"/>
    <w:rsid w:val="00053D65"/>
    <w:rsid w:val="000579F3"/>
    <w:rsid w:val="0006556D"/>
    <w:rsid w:val="000674C8"/>
    <w:rsid w:val="00075738"/>
    <w:rsid w:val="00082776"/>
    <w:rsid w:val="000844EE"/>
    <w:rsid w:val="00087C04"/>
    <w:rsid w:val="000A0C5B"/>
    <w:rsid w:val="000C25B3"/>
    <w:rsid w:val="000C4874"/>
    <w:rsid w:val="000C6B1E"/>
    <w:rsid w:val="000D3453"/>
    <w:rsid w:val="000D57C0"/>
    <w:rsid w:val="000D66B7"/>
    <w:rsid w:val="000E0B4C"/>
    <w:rsid w:val="000E0C9E"/>
    <w:rsid w:val="000F5765"/>
    <w:rsid w:val="00100F03"/>
    <w:rsid w:val="0010164B"/>
    <w:rsid w:val="00101F4C"/>
    <w:rsid w:val="00137EF4"/>
    <w:rsid w:val="00140E49"/>
    <w:rsid w:val="0014101B"/>
    <w:rsid w:val="00144F8A"/>
    <w:rsid w:val="00147003"/>
    <w:rsid w:val="001550A6"/>
    <w:rsid w:val="00161791"/>
    <w:rsid w:val="001651E9"/>
    <w:rsid w:val="00167C12"/>
    <w:rsid w:val="00177B37"/>
    <w:rsid w:val="00180FE6"/>
    <w:rsid w:val="00193403"/>
    <w:rsid w:val="001B68C3"/>
    <w:rsid w:val="001C06AB"/>
    <w:rsid w:val="001C540E"/>
    <w:rsid w:val="001D0A56"/>
    <w:rsid w:val="001D687F"/>
    <w:rsid w:val="001F026C"/>
    <w:rsid w:val="001F365F"/>
    <w:rsid w:val="001F4549"/>
    <w:rsid w:val="001F46ED"/>
    <w:rsid w:val="00204382"/>
    <w:rsid w:val="002124C4"/>
    <w:rsid w:val="002143D5"/>
    <w:rsid w:val="00225AB4"/>
    <w:rsid w:val="002276CC"/>
    <w:rsid w:val="00241D4B"/>
    <w:rsid w:val="00243717"/>
    <w:rsid w:val="00245D45"/>
    <w:rsid w:val="00247790"/>
    <w:rsid w:val="00250315"/>
    <w:rsid w:val="002521CC"/>
    <w:rsid w:val="00253396"/>
    <w:rsid w:val="002627EB"/>
    <w:rsid w:val="00263FB1"/>
    <w:rsid w:val="00264D3A"/>
    <w:rsid w:val="0026579D"/>
    <w:rsid w:val="00275C99"/>
    <w:rsid w:val="002777FF"/>
    <w:rsid w:val="00280DBA"/>
    <w:rsid w:val="00284C77"/>
    <w:rsid w:val="002871B6"/>
    <w:rsid w:val="00287AFD"/>
    <w:rsid w:val="00295CA8"/>
    <w:rsid w:val="002B218F"/>
    <w:rsid w:val="002C0D56"/>
    <w:rsid w:val="002C212F"/>
    <w:rsid w:val="002D0BF3"/>
    <w:rsid w:val="002E04A9"/>
    <w:rsid w:val="002E419D"/>
    <w:rsid w:val="002E76C2"/>
    <w:rsid w:val="0030187E"/>
    <w:rsid w:val="0031073A"/>
    <w:rsid w:val="0032339A"/>
    <w:rsid w:val="00327B84"/>
    <w:rsid w:val="00336936"/>
    <w:rsid w:val="00343D80"/>
    <w:rsid w:val="0035020D"/>
    <w:rsid w:val="00354835"/>
    <w:rsid w:val="00361209"/>
    <w:rsid w:val="00365DFD"/>
    <w:rsid w:val="003674FC"/>
    <w:rsid w:val="003705A0"/>
    <w:rsid w:val="003712A2"/>
    <w:rsid w:val="003930E4"/>
    <w:rsid w:val="003C5186"/>
    <w:rsid w:val="003C7D51"/>
    <w:rsid w:val="003D1F77"/>
    <w:rsid w:val="003D26A5"/>
    <w:rsid w:val="003D6DA3"/>
    <w:rsid w:val="003E341C"/>
    <w:rsid w:val="003F1949"/>
    <w:rsid w:val="003F6F68"/>
    <w:rsid w:val="00404D96"/>
    <w:rsid w:val="00405553"/>
    <w:rsid w:val="00407052"/>
    <w:rsid w:val="00414F5F"/>
    <w:rsid w:val="00415F0A"/>
    <w:rsid w:val="0042717F"/>
    <w:rsid w:val="0043004B"/>
    <w:rsid w:val="004344DF"/>
    <w:rsid w:val="00445A32"/>
    <w:rsid w:val="00453E36"/>
    <w:rsid w:val="00456F73"/>
    <w:rsid w:val="004928B0"/>
    <w:rsid w:val="004B02DC"/>
    <w:rsid w:val="004C0D7C"/>
    <w:rsid w:val="004D54C1"/>
    <w:rsid w:val="004D79B0"/>
    <w:rsid w:val="004E1E4D"/>
    <w:rsid w:val="004E51D4"/>
    <w:rsid w:val="004E7D8C"/>
    <w:rsid w:val="004F4521"/>
    <w:rsid w:val="004F5224"/>
    <w:rsid w:val="005044C1"/>
    <w:rsid w:val="00506D0F"/>
    <w:rsid w:val="005130F7"/>
    <w:rsid w:val="005214BD"/>
    <w:rsid w:val="0052185E"/>
    <w:rsid w:val="005220C2"/>
    <w:rsid w:val="00522570"/>
    <w:rsid w:val="005261F3"/>
    <w:rsid w:val="00527A89"/>
    <w:rsid w:val="00540307"/>
    <w:rsid w:val="00540ED9"/>
    <w:rsid w:val="0054776C"/>
    <w:rsid w:val="005654D1"/>
    <w:rsid w:val="0057126A"/>
    <w:rsid w:val="00571672"/>
    <w:rsid w:val="00582503"/>
    <w:rsid w:val="00582A01"/>
    <w:rsid w:val="0058755D"/>
    <w:rsid w:val="005914B5"/>
    <w:rsid w:val="00595189"/>
    <w:rsid w:val="005A1300"/>
    <w:rsid w:val="005A71F4"/>
    <w:rsid w:val="005B232E"/>
    <w:rsid w:val="005C1266"/>
    <w:rsid w:val="005C15BE"/>
    <w:rsid w:val="005C412F"/>
    <w:rsid w:val="005D3E0C"/>
    <w:rsid w:val="005D4573"/>
    <w:rsid w:val="005E26A4"/>
    <w:rsid w:val="005E5891"/>
    <w:rsid w:val="005E65D6"/>
    <w:rsid w:val="005F05FC"/>
    <w:rsid w:val="005F17C1"/>
    <w:rsid w:val="00622669"/>
    <w:rsid w:val="006315B9"/>
    <w:rsid w:val="00640134"/>
    <w:rsid w:val="00640213"/>
    <w:rsid w:val="00656851"/>
    <w:rsid w:val="00660653"/>
    <w:rsid w:val="00660819"/>
    <w:rsid w:val="00663219"/>
    <w:rsid w:val="0067116C"/>
    <w:rsid w:val="00671B2E"/>
    <w:rsid w:val="00694450"/>
    <w:rsid w:val="00695DB8"/>
    <w:rsid w:val="006966FF"/>
    <w:rsid w:val="006A0CB6"/>
    <w:rsid w:val="006A1508"/>
    <w:rsid w:val="006A3A1E"/>
    <w:rsid w:val="006C7A75"/>
    <w:rsid w:val="006F1B6D"/>
    <w:rsid w:val="00726443"/>
    <w:rsid w:val="0073661B"/>
    <w:rsid w:val="00740D50"/>
    <w:rsid w:val="0074457A"/>
    <w:rsid w:val="00751E02"/>
    <w:rsid w:val="00771B17"/>
    <w:rsid w:val="00772BC6"/>
    <w:rsid w:val="00774221"/>
    <w:rsid w:val="007742C8"/>
    <w:rsid w:val="007747DC"/>
    <w:rsid w:val="007810D3"/>
    <w:rsid w:val="0078123E"/>
    <w:rsid w:val="00781909"/>
    <w:rsid w:val="0078206F"/>
    <w:rsid w:val="00782103"/>
    <w:rsid w:val="0078741A"/>
    <w:rsid w:val="007905C7"/>
    <w:rsid w:val="00792767"/>
    <w:rsid w:val="007967CF"/>
    <w:rsid w:val="00796DB2"/>
    <w:rsid w:val="0079717E"/>
    <w:rsid w:val="007A0800"/>
    <w:rsid w:val="007A0F4C"/>
    <w:rsid w:val="007A64CC"/>
    <w:rsid w:val="007B141D"/>
    <w:rsid w:val="007B20B5"/>
    <w:rsid w:val="007B5821"/>
    <w:rsid w:val="007D0279"/>
    <w:rsid w:val="007D20FD"/>
    <w:rsid w:val="007D3AE5"/>
    <w:rsid w:val="007D4E11"/>
    <w:rsid w:val="007F0B9D"/>
    <w:rsid w:val="00806243"/>
    <w:rsid w:val="008236C8"/>
    <w:rsid w:val="008246E4"/>
    <w:rsid w:val="00831457"/>
    <w:rsid w:val="00833456"/>
    <w:rsid w:val="00843E32"/>
    <w:rsid w:val="00846FAC"/>
    <w:rsid w:val="00853E13"/>
    <w:rsid w:val="008623A2"/>
    <w:rsid w:val="008642E8"/>
    <w:rsid w:val="008746E4"/>
    <w:rsid w:val="00881FCE"/>
    <w:rsid w:val="008876C6"/>
    <w:rsid w:val="00890875"/>
    <w:rsid w:val="00896859"/>
    <w:rsid w:val="008A7984"/>
    <w:rsid w:val="008B6A24"/>
    <w:rsid w:val="008B7502"/>
    <w:rsid w:val="008C2C08"/>
    <w:rsid w:val="008D4589"/>
    <w:rsid w:val="008D6F18"/>
    <w:rsid w:val="00911E46"/>
    <w:rsid w:val="00922C18"/>
    <w:rsid w:val="0093039B"/>
    <w:rsid w:val="00935208"/>
    <w:rsid w:val="00935954"/>
    <w:rsid w:val="009462EC"/>
    <w:rsid w:val="00952C57"/>
    <w:rsid w:val="00954C50"/>
    <w:rsid w:val="00954C90"/>
    <w:rsid w:val="00955A5D"/>
    <w:rsid w:val="0095733F"/>
    <w:rsid w:val="009643AA"/>
    <w:rsid w:val="009764D4"/>
    <w:rsid w:val="00976E6D"/>
    <w:rsid w:val="0098656A"/>
    <w:rsid w:val="0099182C"/>
    <w:rsid w:val="009B2CDF"/>
    <w:rsid w:val="009C76FE"/>
    <w:rsid w:val="009D60C8"/>
    <w:rsid w:val="009E0D0E"/>
    <w:rsid w:val="009E4776"/>
    <w:rsid w:val="009F074E"/>
    <w:rsid w:val="009F5AA8"/>
    <w:rsid w:val="009F5C97"/>
    <w:rsid w:val="00A0712E"/>
    <w:rsid w:val="00A11E5C"/>
    <w:rsid w:val="00A16E1E"/>
    <w:rsid w:val="00A22441"/>
    <w:rsid w:val="00A24353"/>
    <w:rsid w:val="00A47998"/>
    <w:rsid w:val="00A56852"/>
    <w:rsid w:val="00A81479"/>
    <w:rsid w:val="00A91C5C"/>
    <w:rsid w:val="00A96A3B"/>
    <w:rsid w:val="00AA3DCD"/>
    <w:rsid w:val="00AA7616"/>
    <w:rsid w:val="00AB4FD5"/>
    <w:rsid w:val="00AD0D12"/>
    <w:rsid w:val="00AD2D80"/>
    <w:rsid w:val="00AE1DEB"/>
    <w:rsid w:val="00AE2454"/>
    <w:rsid w:val="00AE2FD3"/>
    <w:rsid w:val="00AE7332"/>
    <w:rsid w:val="00AF6A70"/>
    <w:rsid w:val="00B03537"/>
    <w:rsid w:val="00B10163"/>
    <w:rsid w:val="00B10268"/>
    <w:rsid w:val="00B1681B"/>
    <w:rsid w:val="00B21BDE"/>
    <w:rsid w:val="00B23D88"/>
    <w:rsid w:val="00B27423"/>
    <w:rsid w:val="00B438CF"/>
    <w:rsid w:val="00B50FF7"/>
    <w:rsid w:val="00B516D2"/>
    <w:rsid w:val="00B538FC"/>
    <w:rsid w:val="00B56FD8"/>
    <w:rsid w:val="00B6045A"/>
    <w:rsid w:val="00B70C68"/>
    <w:rsid w:val="00B93AC4"/>
    <w:rsid w:val="00B94D09"/>
    <w:rsid w:val="00B9746E"/>
    <w:rsid w:val="00BA3D77"/>
    <w:rsid w:val="00BA4465"/>
    <w:rsid w:val="00BB05FC"/>
    <w:rsid w:val="00BB7B09"/>
    <w:rsid w:val="00BC6C00"/>
    <w:rsid w:val="00BD215F"/>
    <w:rsid w:val="00BE7214"/>
    <w:rsid w:val="00BF18EC"/>
    <w:rsid w:val="00BF3D91"/>
    <w:rsid w:val="00BF7C3B"/>
    <w:rsid w:val="00C06392"/>
    <w:rsid w:val="00C12BC1"/>
    <w:rsid w:val="00C132CD"/>
    <w:rsid w:val="00C14E57"/>
    <w:rsid w:val="00C15751"/>
    <w:rsid w:val="00C24EA4"/>
    <w:rsid w:val="00C447D3"/>
    <w:rsid w:val="00C70B2E"/>
    <w:rsid w:val="00C70D09"/>
    <w:rsid w:val="00C915A1"/>
    <w:rsid w:val="00C95E5E"/>
    <w:rsid w:val="00C97463"/>
    <w:rsid w:val="00CA18B2"/>
    <w:rsid w:val="00CA5148"/>
    <w:rsid w:val="00CB19B5"/>
    <w:rsid w:val="00CB220F"/>
    <w:rsid w:val="00CB25B7"/>
    <w:rsid w:val="00CB7D63"/>
    <w:rsid w:val="00CC101D"/>
    <w:rsid w:val="00CD1BD5"/>
    <w:rsid w:val="00CE4B8F"/>
    <w:rsid w:val="00CF58F1"/>
    <w:rsid w:val="00D034A6"/>
    <w:rsid w:val="00D12C8F"/>
    <w:rsid w:val="00D14943"/>
    <w:rsid w:val="00D158A8"/>
    <w:rsid w:val="00D15DC4"/>
    <w:rsid w:val="00D20107"/>
    <w:rsid w:val="00D203F9"/>
    <w:rsid w:val="00D34FA0"/>
    <w:rsid w:val="00D41FD3"/>
    <w:rsid w:val="00D425A7"/>
    <w:rsid w:val="00D43C97"/>
    <w:rsid w:val="00D52E48"/>
    <w:rsid w:val="00D57F50"/>
    <w:rsid w:val="00D6213A"/>
    <w:rsid w:val="00D654F8"/>
    <w:rsid w:val="00D67BE4"/>
    <w:rsid w:val="00D7619B"/>
    <w:rsid w:val="00D90776"/>
    <w:rsid w:val="00D935ED"/>
    <w:rsid w:val="00D9447F"/>
    <w:rsid w:val="00D960D1"/>
    <w:rsid w:val="00D974EF"/>
    <w:rsid w:val="00DA37C9"/>
    <w:rsid w:val="00DA59D0"/>
    <w:rsid w:val="00DA59D6"/>
    <w:rsid w:val="00DB032E"/>
    <w:rsid w:val="00DB3B41"/>
    <w:rsid w:val="00DC1528"/>
    <w:rsid w:val="00DC646B"/>
    <w:rsid w:val="00DC7FDD"/>
    <w:rsid w:val="00DD181B"/>
    <w:rsid w:val="00DD3365"/>
    <w:rsid w:val="00DE2817"/>
    <w:rsid w:val="00DE512C"/>
    <w:rsid w:val="00DE5D05"/>
    <w:rsid w:val="00DF5234"/>
    <w:rsid w:val="00E05823"/>
    <w:rsid w:val="00E05B85"/>
    <w:rsid w:val="00E06001"/>
    <w:rsid w:val="00E15ED5"/>
    <w:rsid w:val="00E20A6D"/>
    <w:rsid w:val="00E31CED"/>
    <w:rsid w:val="00E338FD"/>
    <w:rsid w:val="00E370C2"/>
    <w:rsid w:val="00E51A4A"/>
    <w:rsid w:val="00E531DA"/>
    <w:rsid w:val="00E66FEA"/>
    <w:rsid w:val="00E83405"/>
    <w:rsid w:val="00E8431E"/>
    <w:rsid w:val="00E92E40"/>
    <w:rsid w:val="00E97001"/>
    <w:rsid w:val="00EA25F1"/>
    <w:rsid w:val="00EB6E3F"/>
    <w:rsid w:val="00EB75AB"/>
    <w:rsid w:val="00EC76E4"/>
    <w:rsid w:val="00EF3566"/>
    <w:rsid w:val="00EF6D24"/>
    <w:rsid w:val="00F023B2"/>
    <w:rsid w:val="00F131BA"/>
    <w:rsid w:val="00F13FEE"/>
    <w:rsid w:val="00F364B2"/>
    <w:rsid w:val="00F47A19"/>
    <w:rsid w:val="00F70DE8"/>
    <w:rsid w:val="00F72FCA"/>
    <w:rsid w:val="00F76E8D"/>
    <w:rsid w:val="00F80DA7"/>
    <w:rsid w:val="00F81F90"/>
    <w:rsid w:val="00F83534"/>
    <w:rsid w:val="00F852C8"/>
    <w:rsid w:val="00F85B27"/>
    <w:rsid w:val="00F92129"/>
    <w:rsid w:val="00F92E4D"/>
    <w:rsid w:val="00FA2B95"/>
    <w:rsid w:val="00FB5690"/>
    <w:rsid w:val="00FC17E1"/>
    <w:rsid w:val="00FC7C98"/>
    <w:rsid w:val="00FD54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98BD"/>
  <w15:docId w15:val="{F0DDC12C-8B92-430C-8485-B3527B3F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20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0A6D"/>
    <w:pPr>
      <w:keepNext/>
      <w:jc w:val="center"/>
      <w:outlineLvl w:val="1"/>
    </w:pPr>
    <w:rPr>
      <w:b/>
      <w:bCs/>
      <w:lang w:val="en-IE"/>
    </w:rPr>
  </w:style>
  <w:style w:type="paragraph" w:styleId="Heading3">
    <w:name w:val="heading 3"/>
    <w:basedOn w:val="Normal"/>
    <w:next w:val="Normal"/>
    <w:link w:val="Heading3Char"/>
    <w:qFormat/>
    <w:rsid w:val="00E20A6D"/>
    <w:pPr>
      <w:keepNext/>
      <w:outlineLvl w:val="2"/>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A6D"/>
    <w:rPr>
      <w:rFonts w:ascii="Times New Roman" w:eastAsia="Times New Roman" w:hAnsi="Times New Roman" w:cs="Times New Roman"/>
      <w:b/>
      <w:bCs/>
      <w:sz w:val="24"/>
      <w:szCs w:val="24"/>
      <w:lang w:eastAsia="en-GB"/>
    </w:rPr>
  </w:style>
  <w:style w:type="paragraph" w:styleId="Title">
    <w:name w:val="Title"/>
    <w:basedOn w:val="Normal"/>
    <w:link w:val="TitleChar"/>
    <w:qFormat/>
    <w:rsid w:val="00E20A6D"/>
    <w:pPr>
      <w:jc w:val="center"/>
    </w:pPr>
    <w:rPr>
      <w:b/>
      <w:bCs/>
      <w:sz w:val="28"/>
      <w:lang w:val="en-IE" w:eastAsia="en-US"/>
    </w:rPr>
  </w:style>
  <w:style w:type="character" w:customStyle="1" w:styleId="TitleChar">
    <w:name w:val="Title Char"/>
    <w:basedOn w:val="DefaultParagraphFont"/>
    <w:link w:val="Title"/>
    <w:rsid w:val="00E20A6D"/>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E20A6D"/>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E20A6D"/>
    <w:rPr>
      <w:rFonts w:ascii="Times New Roman" w:eastAsia="Times New Roman" w:hAnsi="Times New Roman" w:cs="Times New Roman"/>
      <w:b/>
      <w:bCs/>
      <w:sz w:val="24"/>
      <w:szCs w:val="24"/>
      <w:u w:val="single"/>
      <w:lang w:eastAsia="en-GB"/>
    </w:rPr>
  </w:style>
  <w:style w:type="numbering" w:customStyle="1" w:styleId="NoList1">
    <w:name w:val="No List1"/>
    <w:next w:val="NoList"/>
    <w:semiHidden/>
    <w:rsid w:val="00E20A6D"/>
  </w:style>
  <w:style w:type="paragraph" w:styleId="Header">
    <w:name w:val="header"/>
    <w:basedOn w:val="Normal"/>
    <w:link w:val="HeaderChar"/>
    <w:rsid w:val="00E20A6D"/>
    <w:pPr>
      <w:tabs>
        <w:tab w:val="center" w:pos="4153"/>
        <w:tab w:val="right" w:pos="8306"/>
      </w:tabs>
    </w:pPr>
  </w:style>
  <w:style w:type="character" w:customStyle="1" w:styleId="HeaderChar">
    <w:name w:val="Header Char"/>
    <w:basedOn w:val="DefaultParagraphFont"/>
    <w:link w:val="Header"/>
    <w:rsid w:val="00E20A6D"/>
    <w:rPr>
      <w:rFonts w:ascii="Times New Roman" w:eastAsia="Times New Roman" w:hAnsi="Times New Roman" w:cs="Times New Roman"/>
      <w:sz w:val="24"/>
      <w:szCs w:val="24"/>
      <w:lang w:val="en-GB" w:eastAsia="en-GB"/>
    </w:rPr>
  </w:style>
  <w:style w:type="paragraph" w:styleId="Footer">
    <w:name w:val="footer"/>
    <w:basedOn w:val="Normal"/>
    <w:link w:val="FooterChar"/>
    <w:rsid w:val="00E20A6D"/>
    <w:pPr>
      <w:tabs>
        <w:tab w:val="center" w:pos="4153"/>
        <w:tab w:val="right" w:pos="8306"/>
      </w:tabs>
    </w:pPr>
  </w:style>
  <w:style w:type="character" w:customStyle="1" w:styleId="FooterChar">
    <w:name w:val="Footer Char"/>
    <w:basedOn w:val="DefaultParagraphFont"/>
    <w:link w:val="Footer"/>
    <w:rsid w:val="00E20A6D"/>
    <w:rPr>
      <w:rFonts w:ascii="Times New Roman" w:eastAsia="Times New Roman" w:hAnsi="Times New Roman" w:cs="Times New Roman"/>
      <w:sz w:val="24"/>
      <w:szCs w:val="24"/>
      <w:lang w:val="en-GB" w:eastAsia="en-GB"/>
    </w:rPr>
  </w:style>
  <w:style w:type="character" w:styleId="PageNumber">
    <w:name w:val="page number"/>
    <w:basedOn w:val="DefaultParagraphFont"/>
    <w:rsid w:val="00E20A6D"/>
  </w:style>
  <w:style w:type="paragraph" w:customStyle="1" w:styleId="font5">
    <w:name w:val="font5"/>
    <w:basedOn w:val="Normal"/>
    <w:rsid w:val="00E20A6D"/>
    <w:pPr>
      <w:spacing w:before="100" w:beforeAutospacing="1" w:after="100" w:afterAutospacing="1"/>
    </w:pPr>
    <w:rPr>
      <w:b/>
      <w:bCs/>
      <w:sz w:val="20"/>
      <w:szCs w:val="20"/>
      <w:lang w:eastAsia="en-US"/>
    </w:rPr>
  </w:style>
  <w:style w:type="paragraph" w:customStyle="1" w:styleId="font6">
    <w:name w:val="font6"/>
    <w:basedOn w:val="Normal"/>
    <w:rsid w:val="00E20A6D"/>
    <w:pPr>
      <w:spacing w:before="100" w:beforeAutospacing="1" w:after="100" w:afterAutospacing="1"/>
    </w:pPr>
    <w:rPr>
      <w:b/>
      <w:bCs/>
      <w:sz w:val="20"/>
      <w:szCs w:val="20"/>
      <w:lang w:eastAsia="en-US"/>
    </w:rPr>
  </w:style>
  <w:style w:type="paragraph" w:customStyle="1" w:styleId="xl24">
    <w:name w:val="xl24"/>
    <w:basedOn w:val="Normal"/>
    <w:rsid w:val="00E20A6D"/>
    <w:pPr>
      <w:spacing w:before="100" w:beforeAutospacing="1" w:after="100" w:afterAutospacing="1"/>
    </w:pPr>
    <w:rPr>
      <w:lang w:eastAsia="en-US"/>
    </w:rPr>
  </w:style>
  <w:style w:type="paragraph" w:customStyle="1" w:styleId="xl25">
    <w:name w:val="xl25"/>
    <w:basedOn w:val="Normal"/>
    <w:rsid w:val="00E20A6D"/>
    <w:pPr>
      <w:spacing w:before="100" w:beforeAutospacing="1" w:after="100" w:afterAutospacing="1"/>
    </w:pPr>
    <w:rPr>
      <w:b/>
      <w:bCs/>
      <w:lang w:eastAsia="en-US"/>
    </w:rPr>
  </w:style>
  <w:style w:type="paragraph" w:customStyle="1" w:styleId="xl26">
    <w:name w:val="xl26"/>
    <w:basedOn w:val="Normal"/>
    <w:rsid w:val="00E20A6D"/>
    <w:pPr>
      <w:pBdr>
        <w:top w:val="single" w:sz="4" w:space="0" w:color="auto"/>
        <w:bottom w:val="double" w:sz="6" w:space="0" w:color="auto"/>
      </w:pBdr>
      <w:spacing w:before="100" w:beforeAutospacing="1" w:after="100" w:afterAutospacing="1"/>
    </w:pPr>
    <w:rPr>
      <w:b/>
      <w:bCs/>
      <w:lang w:eastAsia="en-US"/>
    </w:rPr>
  </w:style>
  <w:style w:type="paragraph" w:customStyle="1" w:styleId="xl27">
    <w:name w:val="xl27"/>
    <w:basedOn w:val="Normal"/>
    <w:rsid w:val="00E20A6D"/>
    <w:pPr>
      <w:pBdr>
        <w:bottom w:val="single" w:sz="8" w:space="0" w:color="auto"/>
      </w:pBdr>
      <w:spacing w:before="100" w:beforeAutospacing="1" w:after="100" w:afterAutospacing="1"/>
    </w:pPr>
    <w:rPr>
      <w:lang w:eastAsia="en-US"/>
    </w:rPr>
  </w:style>
  <w:style w:type="paragraph" w:customStyle="1" w:styleId="xl28">
    <w:name w:val="xl28"/>
    <w:basedOn w:val="Normal"/>
    <w:rsid w:val="00E20A6D"/>
    <w:pPr>
      <w:pBdr>
        <w:top w:val="single" w:sz="4" w:space="0" w:color="auto"/>
        <w:bottom w:val="double" w:sz="6" w:space="0" w:color="auto"/>
      </w:pBdr>
      <w:spacing w:before="100" w:beforeAutospacing="1" w:after="100" w:afterAutospacing="1"/>
    </w:pPr>
    <w:rPr>
      <w:lang w:eastAsia="en-US"/>
    </w:rPr>
  </w:style>
  <w:style w:type="paragraph" w:customStyle="1" w:styleId="xl29">
    <w:name w:val="xl29"/>
    <w:basedOn w:val="Normal"/>
    <w:rsid w:val="00E20A6D"/>
    <w:pPr>
      <w:pBdr>
        <w:top w:val="single" w:sz="4" w:space="0" w:color="auto"/>
        <w:bottom w:val="double" w:sz="6" w:space="0" w:color="auto"/>
      </w:pBdr>
      <w:shd w:val="clear" w:color="auto" w:fill="FFFFFF"/>
      <w:spacing w:before="100" w:beforeAutospacing="1" w:after="100" w:afterAutospacing="1"/>
    </w:pPr>
    <w:rPr>
      <w:b/>
      <w:bCs/>
      <w:lang w:eastAsia="en-US"/>
    </w:rPr>
  </w:style>
  <w:style w:type="paragraph" w:styleId="BodyText">
    <w:name w:val="Body Text"/>
    <w:basedOn w:val="Normal"/>
    <w:link w:val="BodyTextChar"/>
    <w:rsid w:val="00E20A6D"/>
    <w:pPr>
      <w:spacing w:line="360" w:lineRule="auto"/>
    </w:pPr>
    <w:rPr>
      <w:sz w:val="20"/>
      <w:lang w:val="en-IE"/>
    </w:rPr>
  </w:style>
  <w:style w:type="character" w:customStyle="1" w:styleId="BodyTextChar">
    <w:name w:val="Body Text Char"/>
    <w:basedOn w:val="DefaultParagraphFont"/>
    <w:link w:val="BodyText"/>
    <w:rsid w:val="00E20A6D"/>
    <w:rPr>
      <w:rFonts w:ascii="Times New Roman" w:eastAsia="Times New Roman" w:hAnsi="Times New Roman" w:cs="Times New Roman"/>
      <w:sz w:val="20"/>
      <w:szCs w:val="24"/>
      <w:lang w:eastAsia="en-GB"/>
    </w:rPr>
  </w:style>
  <w:style w:type="paragraph" w:styleId="BodyTextIndent">
    <w:name w:val="Body Text Indent"/>
    <w:basedOn w:val="Normal"/>
    <w:link w:val="BodyTextIndentChar"/>
    <w:rsid w:val="00E20A6D"/>
    <w:pPr>
      <w:ind w:left="-900"/>
      <w:jc w:val="center"/>
    </w:pPr>
    <w:rPr>
      <w:sz w:val="20"/>
      <w:lang w:val="en-IE"/>
    </w:rPr>
  </w:style>
  <w:style w:type="character" w:customStyle="1" w:styleId="BodyTextIndentChar">
    <w:name w:val="Body Text Indent Char"/>
    <w:basedOn w:val="DefaultParagraphFont"/>
    <w:link w:val="BodyTextIndent"/>
    <w:rsid w:val="00E20A6D"/>
    <w:rPr>
      <w:rFonts w:ascii="Times New Roman" w:eastAsia="Times New Roman" w:hAnsi="Times New Roman" w:cs="Times New Roman"/>
      <w:sz w:val="20"/>
      <w:szCs w:val="24"/>
      <w:lang w:eastAsia="en-GB"/>
    </w:rPr>
  </w:style>
  <w:style w:type="character" w:styleId="Hyperlink">
    <w:name w:val="Hyperlink"/>
    <w:basedOn w:val="DefaultParagraphFont"/>
    <w:rsid w:val="00E20A6D"/>
    <w:rPr>
      <w:color w:val="0000FF"/>
      <w:u w:val="single"/>
    </w:rPr>
  </w:style>
  <w:style w:type="paragraph" w:customStyle="1" w:styleId="Normal12pt">
    <w:name w:val="Normal + 12 pt"/>
    <w:basedOn w:val="Normal"/>
    <w:rsid w:val="00E20A6D"/>
    <w:rPr>
      <w:sz w:val="20"/>
      <w:lang w:val="en-IE"/>
    </w:rPr>
  </w:style>
  <w:style w:type="paragraph" w:styleId="NormalWeb">
    <w:name w:val="Normal (Web)"/>
    <w:basedOn w:val="Normal"/>
    <w:uiPriority w:val="99"/>
    <w:semiHidden/>
    <w:unhideWhenUsed/>
    <w:rsid w:val="00A0712E"/>
  </w:style>
  <w:style w:type="paragraph" w:styleId="ListParagraph">
    <w:name w:val="List Paragraph"/>
    <w:basedOn w:val="Normal"/>
    <w:uiPriority w:val="34"/>
    <w:qFormat/>
    <w:rsid w:val="004344DF"/>
    <w:pPr>
      <w:ind w:left="720"/>
      <w:contextualSpacing/>
    </w:pPr>
  </w:style>
  <w:style w:type="paragraph" w:styleId="BalloonText">
    <w:name w:val="Balloon Text"/>
    <w:basedOn w:val="Normal"/>
    <w:link w:val="BalloonTextChar"/>
    <w:uiPriority w:val="99"/>
    <w:semiHidden/>
    <w:unhideWhenUsed/>
    <w:rsid w:val="00843E32"/>
    <w:rPr>
      <w:rFonts w:ascii="Tahoma" w:hAnsi="Tahoma" w:cs="Tahoma"/>
      <w:sz w:val="16"/>
      <w:szCs w:val="16"/>
    </w:rPr>
  </w:style>
  <w:style w:type="character" w:customStyle="1" w:styleId="BalloonTextChar">
    <w:name w:val="Balloon Text Char"/>
    <w:basedOn w:val="DefaultParagraphFont"/>
    <w:link w:val="BalloonText"/>
    <w:uiPriority w:val="99"/>
    <w:semiHidden/>
    <w:rsid w:val="00843E32"/>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595189"/>
    <w:rPr>
      <w:color w:val="808080"/>
    </w:rPr>
  </w:style>
  <w:style w:type="character" w:customStyle="1" w:styleId="apple-converted-space">
    <w:name w:val="apple-converted-space"/>
    <w:basedOn w:val="DefaultParagraphFont"/>
    <w:rsid w:val="00245D45"/>
  </w:style>
  <w:style w:type="character" w:styleId="FollowedHyperlink">
    <w:name w:val="FollowedHyperlink"/>
    <w:basedOn w:val="DefaultParagraphFont"/>
    <w:uiPriority w:val="99"/>
    <w:semiHidden/>
    <w:unhideWhenUsed/>
    <w:rsid w:val="00245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1510">
      <w:bodyDiv w:val="1"/>
      <w:marLeft w:val="0"/>
      <w:marRight w:val="0"/>
      <w:marTop w:val="0"/>
      <w:marBottom w:val="0"/>
      <w:divBdr>
        <w:top w:val="none" w:sz="0" w:space="0" w:color="auto"/>
        <w:left w:val="none" w:sz="0" w:space="0" w:color="auto"/>
        <w:bottom w:val="none" w:sz="0" w:space="0" w:color="auto"/>
        <w:right w:val="none" w:sz="0" w:space="0" w:color="auto"/>
      </w:divBdr>
    </w:div>
    <w:div w:id="16165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en.wikipedia.org/wiki/Financial_mark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n.wikipedia.org/wiki/Volat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ortfolio_%28finance%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5759</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Mulcahy, Mark</dc:creator>
  <cp:lastModifiedBy>lecturer</cp:lastModifiedBy>
  <cp:revision>3</cp:revision>
  <cp:lastPrinted>2016-09-13T12:57:00Z</cp:lastPrinted>
  <dcterms:created xsi:type="dcterms:W3CDTF">2017-03-08T09:35:00Z</dcterms:created>
  <dcterms:modified xsi:type="dcterms:W3CDTF">2017-03-08T09:42:00Z</dcterms:modified>
</cp:coreProperties>
</file>