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B170D" w14:textId="77777777" w:rsidR="00A76D0D" w:rsidRPr="00A76D0D" w:rsidRDefault="00A76D0D" w:rsidP="00A76D0D">
      <w:pPr>
        <w:pStyle w:val="aff2"/>
        <w:autoSpaceDE w:val="0"/>
        <w:autoSpaceDN w:val="0"/>
        <w:adjustRightInd w:val="0"/>
        <w:spacing w:after="0" w:line="240" w:lineRule="auto"/>
        <w:jc w:val="center"/>
        <w:textAlignment w:val="bottom"/>
        <w:rPr>
          <w:rFonts w:eastAsia="新細明體"/>
          <w:caps/>
          <w:color w:val="000000"/>
          <w:sz w:val="36"/>
          <w:szCs w:val="36"/>
          <w:lang w:val="en-US" w:eastAsia="zh-TW"/>
        </w:rPr>
      </w:pPr>
    </w:p>
    <w:p w14:paraId="3F68F4BD" w14:textId="77777777" w:rsidR="00A76D0D" w:rsidRPr="00A76D0D" w:rsidRDefault="00A76D0D" w:rsidP="00A76D0D">
      <w:pPr>
        <w:pStyle w:val="aff2"/>
        <w:autoSpaceDE w:val="0"/>
        <w:autoSpaceDN w:val="0"/>
        <w:adjustRightInd w:val="0"/>
        <w:spacing w:after="0" w:line="240" w:lineRule="auto"/>
        <w:jc w:val="center"/>
        <w:textAlignment w:val="bottom"/>
        <w:rPr>
          <w:rFonts w:eastAsia="新細明體"/>
          <w:caps/>
          <w:color w:val="000000"/>
          <w:sz w:val="36"/>
          <w:szCs w:val="36"/>
          <w:lang w:val="en-US" w:eastAsia="zh-TW"/>
        </w:rPr>
      </w:pPr>
    </w:p>
    <w:p w14:paraId="77AC52BF" w14:textId="05607974" w:rsidR="009245B6" w:rsidRPr="002C567F" w:rsidRDefault="009245B6" w:rsidP="00EE2043">
      <w:pPr>
        <w:pStyle w:val="Titleofpaper-line1"/>
        <w:jc w:val="left"/>
        <w:rPr>
          <w:lang w:val="en-AU"/>
        </w:rPr>
      </w:pPr>
      <w:r w:rsidRPr="002C567F">
        <w:rPr>
          <w:lang w:val="en-AU"/>
        </w:rPr>
        <w:t>Studies on the Determinants of Efficiency in Taiwanese Life Insurance Industry</w:t>
      </w:r>
      <w:proofErr w:type="gramStart"/>
      <w:r w:rsidRPr="002C567F">
        <w:rPr>
          <w:lang w:val="en-AU"/>
        </w:rPr>
        <w:t>﹣</w:t>
      </w:r>
      <w:proofErr w:type="gramEnd"/>
      <w:r w:rsidRPr="002C567F">
        <w:rPr>
          <w:lang w:val="en-AU"/>
        </w:rPr>
        <w:t>Application of Bootstrapped Truncated Model</w:t>
      </w:r>
    </w:p>
    <w:p w14:paraId="4F90E90F" w14:textId="75EDD9A3" w:rsidR="00EE2043" w:rsidRDefault="00EE2043" w:rsidP="00EE2043">
      <w:pPr>
        <w:autoSpaceDE w:val="0"/>
        <w:autoSpaceDN w:val="0"/>
        <w:adjustRightInd w:val="0"/>
        <w:spacing w:line="240" w:lineRule="auto"/>
        <w:jc w:val="both"/>
        <w:textAlignment w:val="bottom"/>
      </w:pPr>
    </w:p>
    <w:p w14:paraId="40C342A4" w14:textId="77777777" w:rsidR="00EE2043" w:rsidRDefault="00EE2043" w:rsidP="00EE2043">
      <w:pPr>
        <w:autoSpaceDE w:val="0"/>
        <w:autoSpaceDN w:val="0"/>
        <w:adjustRightInd w:val="0"/>
        <w:spacing w:line="240" w:lineRule="auto"/>
        <w:jc w:val="both"/>
        <w:textAlignment w:val="bottom"/>
      </w:pPr>
    </w:p>
    <w:p w14:paraId="2AA6BE09" w14:textId="5DD1AAC3" w:rsidR="009245B6" w:rsidRPr="00E218B7" w:rsidRDefault="009245B6" w:rsidP="00EE2043">
      <w:pPr>
        <w:pStyle w:val="Authors"/>
      </w:pPr>
      <w:proofErr w:type="spellStart"/>
      <w:r>
        <w:t>Kuan</w:t>
      </w:r>
      <w:proofErr w:type="spellEnd"/>
      <w:r>
        <w:t>-Chen Chen</w:t>
      </w:r>
      <w:r w:rsidRPr="00EE2043">
        <w:rPr>
          <w:vertAlign w:val="superscript"/>
        </w:rPr>
        <w:footnoteReference w:id="1"/>
      </w:r>
      <w:r w:rsidRPr="00EE2043">
        <w:rPr>
          <w:vertAlign w:val="superscript"/>
        </w:rPr>
        <w:t xml:space="preserve"> </w:t>
      </w:r>
      <w:r>
        <w:t xml:space="preserve">and </w:t>
      </w:r>
      <w:r w:rsidRPr="00E218B7">
        <w:t>Chung-I Lin</w:t>
      </w:r>
      <w:r w:rsidRPr="00EE2043">
        <w:rPr>
          <w:vertAlign w:val="superscript"/>
        </w:rPr>
        <w:footnoteReference w:id="2"/>
      </w:r>
      <w:r w:rsidRPr="00EE2043">
        <w:t xml:space="preserve"> </w:t>
      </w:r>
      <w:r w:rsidR="00A44BCA" w:rsidRPr="0061392D">
        <w:rPr>
          <w:vertAlign w:val="superscript"/>
        </w:rPr>
        <w:t>*</w:t>
      </w:r>
    </w:p>
    <w:p w14:paraId="09AC54CA" w14:textId="2696857A" w:rsidR="009245B6" w:rsidRPr="00EE2043" w:rsidRDefault="009245B6" w:rsidP="00EE2043">
      <w:pPr>
        <w:autoSpaceDE w:val="0"/>
        <w:autoSpaceDN w:val="0"/>
        <w:adjustRightInd w:val="0"/>
        <w:spacing w:line="240" w:lineRule="auto"/>
        <w:jc w:val="center"/>
        <w:textAlignment w:val="bottom"/>
        <w:rPr>
          <w:rFonts w:eastAsia="新細明體"/>
          <w:b/>
          <w:color w:val="000000"/>
          <w:lang w:val="en-US" w:eastAsia="zh-TW"/>
        </w:rPr>
      </w:pPr>
    </w:p>
    <w:p w14:paraId="778B6645" w14:textId="77777777" w:rsidR="00EE2043" w:rsidRPr="00EE2043" w:rsidRDefault="00EE2043" w:rsidP="00EE2043">
      <w:pPr>
        <w:autoSpaceDE w:val="0"/>
        <w:autoSpaceDN w:val="0"/>
        <w:adjustRightInd w:val="0"/>
        <w:spacing w:line="240" w:lineRule="auto"/>
        <w:jc w:val="center"/>
        <w:textAlignment w:val="bottom"/>
        <w:rPr>
          <w:rFonts w:eastAsia="新細明體"/>
          <w:b/>
          <w:color w:val="000000"/>
          <w:lang w:val="en-US" w:eastAsia="zh-TW"/>
        </w:rPr>
      </w:pPr>
    </w:p>
    <w:p w14:paraId="333D9044" w14:textId="77777777" w:rsidR="009245B6" w:rsidRPr="00D70C13" w:rsidRDefault="009245B6" w:rsidP="00D70C13">
      <w:pPr>
        <w:pStyle w:val="Abstract"/>
        <w:autoSpaceDE w:val="0"/>
        <w:autoSpaceDN w:val="0"/>
        <w:adjustRightInd w:val="0"/>
        <w:spacing w:before="0" w:after="0" w:line="240" w:lineRule="auto"/>
        <w:ind w:left="0" w:right="0"/>
        <w:jc w:val="center"/>
        <w:textAlignment w:val="bottom"/>
        <w:rPr>
          <w:rFonts w:eastAsia="新細明體"/>
          <w:b/>
          <w:color w:val="000000"/>
          <w:sz w:val="26"/>
          <w:szCs w:val="26"/>
          <w:lang w:val="en-US" w:eastAsia="zh-TW"/>
        </w:rPr>
      </w:pPr>
      <w:r w:rsidRPr="00D70C13">
        <w:rPr>
          <w:rFonts w:eastAsia="新細明體"/>
          <w:b/>
          <w:color w:val="000000"/>
          <w:sz w:val="26"/>
          <w:szCs w:val="26"/>
          <w:lang w:val="en-US" w:eastAsia="zh-TW"/>
        </w:rPr>
        <w:t>Abstract</w:t>
      </w:r>
    </w:p>
    <w:p w14:paraId="5AAB0C41" w14:textId="77777777" w:rsidR="00D70C13" w:rsidRDefault="00D70C13" w:rsidP="0000220B">
      <w:pPr>
        <w:autoSpaceDE w:val="0"/>
        <w:autoSpaceDN w:val="0"/>
        <w:adjustRightInd w:val="0"/>
        <w:spacing w:line="240" w:lineRule="auto"/>
        <w:jc w:val="center"/>
        <w:textAlignment w:val="bottom"/>
      </w:pPr>
      <w:bookmarkStart w:id="1" w:name="OLE_LINK2"/>
    </w:p>
    <w:p w14:paraId="281BB8B3" w14:textId="060DCE2B" w:rsidR="009245B6" w:rsidRPr="009263BB" w:rsidRDefault="009245B6" w:rsidP="0000220B">
      <w:pPr>
        <w:pStyle w:val="Abstracttext"/>
        <w:ind w:firstLine="720"/>
      </w:pPr>
      <w:r w:rsidRPr="00490EF2">
        <w:t>Using 2009–2017 Taiwanese insurance company data</w:t>
      </w:r>
      <w:r>
        <w:rPr>
          <w:rFonts w:hint="eastAsia"/>
        </w:rPr>
        <w:t xml:space="preserve"> </w:t>
      </w:r>
      <w:r>
        <w:t xml:space="preserve">from the database of Taiwan Economic Journal, we employ </w:t>
      </w:r>
      <w:proofErr w:type="spellStart"/>
      <w:r>
        <w:t>Simar</w:t>
      </w:r>
      <w:proofErr w:type="spellEnd"/>
      <w:r>
        <w:t>–</w:t>
      </w:r>
      <w:proofErr w:type="gramStart"/>
      <w:r>
        <w:t xml:space="preserve">Wilson </w:t>
      </w:r>
      <w:r w:rsidRPr="00490EF2">
        <w:t xml:space="preserve"> bootstrapping</w:t>
      </w:r>
      <w:proofErr w:type="gramEnd"/>
      <w:r w:rsidRPr="00490EF2">
        <w:t xml:space="preserve"> to prevent efficiency overestimation in data envelopment analysis (DEA) and then regress the factors on these efficiency scores by using a truncated rather than traditional Tobit model. </w:t>
      </w:r>
      <w:r>
        <w:t>Evidence shows that the companies’ modified</w:t>
      </w:r>
      <w:r w:rsidRPr="00490EF2">
        <w:t xml:space="preserve"> average efficiency score is 0.8784 (0.9068 using DEA). </w:t>
      </w:r>
      <w:r>
        <w:t>Meanwhile, d</w:t>
      </w:r>
      <w:r w:rsidRPr="00490EF2">
        <w:t xml:space="preserve">omestic insurers outperform foreign insurers, and larger companies perform more poorly. Market share positively affects operational performance; performance improves over time. </w:t>
      </w:r>
      <w:r>
        <w:t>However, i</w:t>
      </w:r>
      <w:r w:rsidRPr="00490EF2">
        <w:t xml:space="preserve">rrespective of whether </w:t>
      </w:r>
      <w:r>
        <w:t xml:space="preserve">insurer is </w:t>
      </w:r>
      <w:r w:rsidRPr="00490EF2">
        <w:t xml:space="preserve">a subsidiary </w:t>
      </w:r>
      <w:r>
        <w:t xml:space="preserve">of </w:t>
      </w:r>
      <w:r w:rsidRPr="00490EF2">
        <w:t>financial holding company or domestic company</w:t>
      </w:r>
      <w:r>
        <w:rPr>
          <w:rFonts w:hint="eastAsia"/>
        </w:rPr>
        <w:t xml:space="preserve"> i</w:t>
      </w:r>
      <w:r>
        <w:t>n Taiwan</w:t>
      </w:r>
      <w:r w:rsidRPr="00490EF2">
        <w:t xml:space="preserve">, operational performance is not statistically different. </w:t>
      </w:r>
      <w:r>
        <w:t xml:space="preserve">Finally, we find that traditional </w:t>
      </w:r>
      <w:r w:rsidRPr="00490EF2">
        <w:t>Tobit regression underestimates the marginal effects of explanatory variables.</w:t>
      </w:r>
    </w:p>
    <w:p w14:paraId="5BD45419" w14:textId="25181649" w:rsidR="009245B6" w:rsidRPr="009245B6" w:rsidRDefault="009245B6" w:rsidP="0000220B">
      <w:pPr>
        <w:widowControl w:val="0"/>
        <w:adjustRightInd w:val="0"/>
        <w:spacing w:line="240" w:lineRule="auto"/>
        <w:jc w:val="both"/>
        <w:textAlignment w:val="baseline"/>
        <w:rPr>
          <w:color w:val="000000" w:themeColor="text1"/>
        </w:rPr>
      </w:pPr>
    </w:p>
    <w:p w14:paraId="7076BF42" w14:textId="77777777" w:rsidR="0000220B" w:rsidRPr="009245B6" w:rsidRDefault="0000220B" w:rsidP="0000220B">
      <w:pPr>
        <w:widowControl w:val="0"/>
        <w:adjustRightInd w:val="0"/>
        <w:spacing w:line="240" w:lineRule="auto"/>
        <w:ind w:left="1" w:hanging="1"/>
        <w:jc w:val="both"/>
        <w:textAlignment w:val="baseline"/>
        <w:rPr>
          <w:color w:val="000000" w:themeColor="text1"/>
          <w:lang w:val="fr-FR"/>
        </w:rPr>
      </w:pPr>
      <w:r w:rsidRPr="0000220B">
        <w:rPr>
          <w:rFonts w:eastAsia="新細明體"/>
          <w:b/>
          <w:color w:val="000000"/>
          <w:lang w:val="en-US" w:eastAsia="zh-TW"/>
        </w:rPr>
        <w:t>JEL</w:t>
      </w:r>
      <w:r>
        <w:rPr>
          <w:b/>
          <w:color w:val="000000" w:themeColor="text1"/>
          <w:lang w:val="fr-FR"/>
        </w:rPr>
        <w:t xml:space="preserve"> </w:t>
      </w:r>
      <w:r>
        <w:rPr>
          <w:rFonts w:hint="eastAsia"/>
          <w:b/>
          <w:color w:val="000000" w:themeColor="text1"/>
          <w:lang w:val="fr-FR" w:eastAsia="zh-TW"/>
        </w:rPr>
        <w:t>c</w:t>
      </w:r>
      <w:r w:rsidRPr="0000220B">
        <w:rPr>
          <w:b/>
          <w:color w:val="000000" w:themeColor="text1"/>
          <w:lang w:val="fr-FR"/>
        </w:rPr>
        <w:t xml:space="preserve">lassification </w:t>
      </w:r>
      <w:r>
        <w:rPr>
          <w:b/>
          <w:color w:val="000000" w:themeColor="text1"/>
          <w:lang w:val="fr-FR"/>
        </w:rPr>
        <w:t>numbers</w:t>
      </w:r>
      <w:r w:rsidRPr="0000220B">
        <w:rPr>
          <w:b/>
          <w:color w:val="000000" w:themeColor="text1"/>
          <w:lang w:val="fr-FR"/>
        </w:rPr>
        <w:t>:</w:t>
      </w:r>
      <w:r w:rsidRPr="009245B6">
        <w:rPr>
          <w:color w:val="000000" w:themeColor="text1"/>
          <w:lang w:val="fr-FR"/>
        </w:rPr>
        <w:t xml:space="preserve"> </w:t>
      </w:r>
      <w:r w:rsidRPr="001E7DBE">
        <w:t>C34, D24, G22</w:t>
      </w:r>
    </w:p>
    <w:p w14:paraId="333E5918" w14:textId="3FBA9A4B" w:rsidR="0000220B" w:rsidRPr="009245B6" w:rsidRDefault="00762166" w:rsidP="00762166">
      <w:pPr>
        <w:widowControl w:val="0"/>
        <w:adjustRightInd w:val="0"/>
        <w:spacing w:line="360" w:lineRule="auto"/>
        <w:ind w:left="1" w:hanging="1"/>
        <w:jc w:val="both"/>
        <w:textAlignment w:val="baseline"/>
        <w:rPr>
          <w:color w:val="000000" w:themeColor="text1"/>
          <w:lang w:val="fr-FR"/>
        </w:rPr>
      </w:pPr>
      <w:r w:rsidRPr="00A31F3C">
        <w:rPr>
          <w:b/>
          <w:color w:val="000000"/>
        </w:rPr>
        <w:t>Keywords:</w:t>
      </w:r>
      <w:r w:rsidR="0000220B" w:rsidRPr="009245B6">
        <w:rPr>
          <w:color w:val="000000" w:themeColor="text1"/>
        </w:rPr>
        <w:t xml:space="preserve">  </w:t>
      </w:r>
      <w:r w:rsidR="0000220B">
        <w:t>data envelopment analysis; bootstrap procedure; truncated regression model;</w:t>
      </w:r>
      <w:r w:rsidR="0000220B" w:rsidRPr="00E218B7">
        <w:t xml:space="preserve"> technical efficiency</w:t>
      </w:r>
    </w:p>
    <w:bookmarkEnd w:id="1"/>
    <w:p w14:paraId="23647F1B" w14:textId="79646852" w:rsidR="00025BA4" w:rsidRDefault="009245B6" w:rsidP="009245B6">
      <w:pPr>
        <w:spacing w:line="240" w:lineRule="auto"/>
      </w:pPr>
      <w:r>
        <w:br w:type="page"/>
      </w:r>
    </w:p>
    <w:p w14:paraId="696FE3FA" w14:textId="77777777" w:rsidR="009263BB" w:rsidRPr="009263BB" w:rsidRDefault="009263BB" w:rsidP="009263BB">
      <w:pPr>
        <w:pStyle w:val="Newparagraph"/>
        <w:ind w:firstLine="0"/>
      </w:pPr>
    </w:p>
    <w:p w14:paraId="1B9B3CB6" w14:textId="77777777" w:rsidR="007F7689" w:rsidRPr="003F3ED0" w:rsidRDefault="007F7689" w:rsidP="007F7689">
      <w:pPr>
        <w:pStyle w:val="HeadingNumbering1"/>
      </w:pPr>
      <w:r w:rsidRPr="003F3ED0">
        <w:t xml:space="preserve">Introduction </w:t>
      </w:r>
    </w:p>
    <w:p w14:paraId="2C0FDB7B" w14:textId="77777777" w:rsidR="004404A4" w:rsidRDefault="004404A4" w:rsidP="004404A4">
      <w:pPr>
        <w:widowControl w:val="0"/>
        <w:adjustRightInd w:val="0"/>
        <w:spacing w:line="240" w:lineRule="auto"/>
        <w:ind w:firstLine="360"/>
        <w:jc w:val="both"/>
        <w:textAlignment w:val="baseline"/>
        <w:rPr>
          <w:rFonts w:eastAsia="新細明體"/>
          <w:szCs w:val="20"/>
          <w:lang w:val="en-US" w:eastAsia="zh-TW"/>
        </w:rPr>
      </w:pPr>
    </w:p>
    <w:p w14:paraId="09A4FEF9" w14:textId="209916E4" w:rsidR="004F74F0" w:rsidRPr="004F74F0" w:rsidRDefault="004F74F0" w:rsidP="004404A4">
      <w:pPr>
        <w:widowControl w:val="0"/>
        <w:adjustRightInd w:val="0"/>
        <w:spacing w:line="240" w:lineRule="auto"/>
        <w:ind w:firstLine="360"/>
        <w:jc w:val="both"/>
        <w:textAlignment w:val="baseline"/>
        <w:rPr>
          <w:rFonts w:eastAsia="標楷體"/>
        </w:rPr>
      </w:pPr>
      <w:r w:rsidRPr="004404A4">
        <w:rPr>
          <w:rFonts w:eastAsia="新細明體"/>
          <w:szCs w:val="20"/>
          <w:lang w:val="en-US" w:eastAsia="zh-TW"/>
        </w:rPr>
        <w:t>According</w:t>
      </w:r>
      <w:r w:rsidRPr="00FD5442">
        <w:rPr>
          <w:rFonts w:eastAsia="標楷體"/>
        </w:rPr>
        <w:t xml:space="preserve"> to </w:t>
      </w:r>
      <w:r>
        <w:rPr>
          <w:rFonts w:eastAsia="標楷體"/>
        </w:rPr>
        <w:t>the most recent</w:t>
      </w:r>
      <w:r w:rsidRPr="00FD5442">
        <w:rPr>
          <w:rFonts w:eastAsia="標楷體"/>
        </w:rPr>
        <w:t xml:space="preserve"> insurance market index </w:t>
      </w:r>
      <w:r>
        <w:rPr>
          <w:rFonts w:eastAsia="標楷體"/>
        </w:rPr>
        <w:t xml:space="preserve">of Taiwan, </w:t>
      </w:r>
      <w:r w:rsidRPr="00FD5442">
        <w:rPr>
          <w:rFonts w:eastAsia="標楷體"/>
        </w:rPr>
        <w:t>published by the Insurance Bureau of the Financial Supervisory Commission in October 2018, the total asset</w:t>
      </w:r>
      <w:r>
        <w:rPr>
          <w:rFonts w:eastAsia="標楷體"/>
        </w:rPr>
        <w:t>s</w:t>
      </w:r>
      <w:r w:rsidRPr="00FD5442">
        <w:rPr>
          <w:rFonts w:eastAsia="標楷體"/>
        </w:rPr>
        <w:t xml:space="preserve"> of </w:t>
      </w:r>
      <w:r>
        <w:rPr>
          <w:rFonts w:eastAsia="標楷體"/>
        </w:rPr>
        <w:t xml:space="preserve">the </w:t>
      </w:r>
      <w:r w:rsidRPr="00FD5442">
        <w:rPr>
          <w:rFonts w:eastAsia="標楷體"/>
        </w:rPr>
        <w:t xml:space="preserve">Taiwanese life insurance industry soared after the global financial crisis, from approximately </w:t>
      </w:r>
      <w:r w:rsidRPr="00E634AE">
        <w:rPr>
          <w:rFonts w:eastAsia="標楷體"/>
        </w:rPr>
        <w:t xml:space="preserve">NT$ </w:t>
      </w:r>
      <w:r w:rsidRPr="00211217">
        <w:rPr>
          <w:rFonts w:eastAsia="標楷體"/>
        </w:rPr>
        <w:t xml:space="preserve">10 trillion </w:t>
      </w:r>
      <w:r w:rsidRPr="00E634AE">
        <w:rPr>
          <w:rFonts w:eastAsia="標楷體"/>
        </w:rPr>
        <w:t>in</w:t>
      </w:r>
      <w:r w:rsidRPr="00FD5442">
        <w:rPr>
          <w:rFonts w:eastAsia="標楷體"/>
        </w:rPr>
        <w:t xml:space="preserve"> 2009 to NT$ 24 trillion in 2017. The life insurance industry </w:t>
      </w:r>
      <w:r>
        <w:rPr>
          <w:rFonts w:eastAsia="標楷體"/>
        </w:rPr>
        <w:t>now</w:t>
      </w:r>
      <w:r w:rsidRPr="00FD5442">
        <w:rPr>
          <w:rFonts w:eastAsia="標楷體"/>
        </w:rPr>
        <w:t xml:space="preserve"> contribute</w:t>
      </w:r>
      <w:r>
        <w:rPr>
          <w:rFonts w:eastAsia="標楷體"/>
        </w:rPr>
        <w:t>s</w:t>
      </w:r>
      <w:r w:rsidRPr="00FD5442">
        <w:rPr>
          <w:rFonts w:eastAsia="標楷體"/>
        </w:rPr>
        <w:t xml:space="preserve"> </w:t>
      </w:r>
      <w:r>
        <w:rPr>
          <w:rFonts w:eastAsia="標楷體"/>
        </w:rPr>
        <w:t>more to</w:t>
      </w:r>
      <w:r w:rsidRPr="00FD5442">
        <w:rPr>
          <w:rFonts w:eastAsia="標楷體"/>
        </w:rPr>
        <w:t xml:space="preserve"> the total asset</w:t>
      </w:r>
      <w:r>
        <w:rPr>
          <w:rFonts w:eastAsia="標楷體"/>
        </w:rPr>
        <w:t>s</w:t>
      </w:r>
      <w:r w:rsidRPr="00FD5442">
        <w:rPr>
          <w:rFonts w:eastAsia="標楷體"/>
        </w:rPr>
        <w:t xml:space="preserve"> of all financial institutions, </w:t>
      </w:r>
      <w:r>
        <w:rPr>
          <w:rFonts w:eastAsia="標楷體"/>
        </w:rPr>
        <w:t xml:space="preserve">increasing </w:t>
      </w:r>
      <w:r w:rsidRPr="00FD5442">
        <w:rPr>
          <w:rFonts w:eastAsia="標楷體"/>
        </w:rPr>
        <w:t xml:space="preserve">from 23.99% </w:t>
      </w:r>
      <w:r>
        <w:rPr>
          <w:rFonts w:eastAsia="標楷體"/>
        </w:rPr>
        <w:t xml:space="preserve">of all assets </w:t>
      </w:r>
      <w:r w:rsidRPr="00FD5442">
        <w:rPr>
          <w:rFonts w:eastAsia="標楷體"/>
        </w:rPr>
        <w:t xml:space="preserve">in 2009 to 33.11% in 2017. Moreover, the insurance penetration rate (the total insurance premium as a percentage of the gross domestic product) greatly increased from 15.48% in 2009 to 19.62% in 2017, which </w:t>
      </w:r>
      <w:r>
        <w:rPr>
          <w:rFonts w:eastAsia="標楷體"/>
        </w:rPr>
        <w:t>is the highest of</w:t>
      </w:r>
      <w:r w:rsidRPr="00FD5442">
        <w:rPr>
          <w:rFonts w:eastAsia="標楷體"/>
        </w:rPr>
        <w:t xml:space="preserve"> all countries and much higher than </w:t>
      </w:r>
      <w:r>
        <w:rPr>
          <w:rFonts w:eastAsia="標楷體"/>
        </w:rPr>
        <w:t xml:space="preserve">that of the countries with </w:t>
      </w:r>
      <w:r w:rsidRPr="00FD5442">
        <w:rPr>
          <w:rFonts w:eastAsia="標楷體"/>
        </w:rPr>
        <w:t xml:space="preserve">the second and third highest </w:t>
      </w:r>
      <w:r>
        <w:rPr>
          <w:rFonts w:eastAsia="標楷體"/>
        </w:rPr>
        <w:t>rates—</w:t>
      </w:r>
      <w:r w:rsidRPr="00FD5442">
        <w:rPr>
          <w:rFonts w:eastAsia="標楷體"/>
        </w:rPr>
        <w:t>Hong Kong (14.58%) and South Africa (11.02%). Furthermore, the insurance density (insurance premium per capita) has increased from NT$86</w:t>
      </w:r>
      <w:r>
        <w:rPr>
          <w:rFonts w:eastAsia="標楷體"/>
        </w:rPr>
        <w:t>,</w:t>
      </w:r>
      <w:r w:rsidRPr="00FD5442">
        <w:rPr>
          <w:rFonts w:eastAsia="標楷體"/>
        </w:rPr>
        <w:t>790 in 2009 to NT$145</w:t>
      </w:r>
      <w:r>
        <w:rPr>
          <w:rFonts w:eastAsia="標楷體"/>
        </w:rPr>
        <w:t>,</w:t>
      </w:r>
      <w:r w:rsidRPr="00FD5442">
        <w:rPr>
          <w:rFonts w:eastAsia="標楷體"/>
        </w:rPr>
        <w:t xml:space="preserve">105 in 2017, the third highest density worldwide. </w:t>
      </w:r>
      <w:r>
        <w:rPr>
          <w:rFonts w:eastAsia="標楷體"/>
        </w:rPr>
        <w:t>Global i</w:t>
      </w:r>
      <w:r w:rsidRPr="00FD5442">
        <w:rPr>
          <w:rFonts w:eastAsia="標楷體"/>
        </w:rPr>
        <w:t xml:space="preserve">nterest rate declines and </w:t>
      </w:r>
      <w:r>
        <w:rPr>
          <w:rFonts w:eastAsia="標楷體"/>
        </w:rPr>
        <w:t xml:space="preserve">an </w:t>
      </w:r>
      <w:r w:rsidRPr="00FD5442">
        <w:rPr>
          <w:rFonts w:eastAsia="標楷體"/>
        </w:rPr>
        <w:t xml:space="preserve">aging </w:t>
      </w:r>
      <w:r>
        <w:rPr>
          <w:rFonts w:eastAsia="標楷體"/>
        </w:rPr>
        <w:t>population</w:t>
      </w:r>
      <w:r w:rsidRPr="00FD5442">
        <w:rPr>
          <w:rFonts w:eastAsia="標楷體"/>
        </w:rPr>
        <w:t xml:space="preserve"> have </w:t>
      </w:r>
      <w:r>
        <w:rPr>
          <w:rFonts w:eastAsia="標楷體"/>
        </w:rPr>
        <w:t xml:space="preserve">caused the most common </w:t>
      </w:r>
      <w:r w:rsidRPr="00FD5442">
        <w:rPr>
          <w:rFonts w:eastAsia="標楷體"/>
        </w:rPr>
        <w:t xml:space="preserve">life insurance products </w:t>
      </w:r>
      <w:r>
        <w:rPr>
          <w:rFonts w:eastAsia="標楷體"/>
        </w:rPr>
        <w:t xml:space="preserve">in Taiwan to change </w:t>
      </w:r>
      <w:r w:rsidRPr="00FD5442">
        <w:rPr>
          <w:rFonts w:eastAsia="標楷體"/>
        </w:rPr>
        <w:t>from high-return policies to investment-linked and various annuity policies</w:t>
      </w:r>
      <w:r>
        <w:rPr>
          <w:rFonts w:eastAsia="標楷體" w:hint="eastAsia"/>
        </w:rPr>
        <w:t xml:space="preserve"> (</w:t>
      </w:r>
      <w:r w:rsidRPr="00521A0B">
        <w:rPr>
          <w:rFonts w:eastAsia="標楷體"/>
        </w:rPr>
        <w:t>Lee</w:t>
      </w:r>
      <w:r w:rsidR="00B923AF">
        <w:rPr>
          <w:rFonts w:eastAsia="標楷體"/>
        </w:rPr>
        <w:t>,</w:t>
      </w:r>
      <w:r w:rsidRPr="00521A0B">
        <w:rPr>
          <w:rFonts w:eastAsia="標楷體"/>
        </w:rPr>
        <w:t xml:space="preserve"> </w:t>
      </w:r>
      <w:proofErr w:type="spellStart"/>
      <w:r w:rsidR="00B923AF" w:rsidRPr="00B923AF">
        <w:rPr>
          <w:rFonts w:eastAsia="標楷體"/>
        </w:rPr>
        <w:t>Shyu</w:t>
      </w:r>
      <w:proofErr w:type="spellEnd"/>
      <w:r w:rsidR="00B923AF" w:rsidRPr="00B923AF">
        <w:rPr>
          <w:rFonts w:eastAsia="標楷體"/>
        </w:rPr>
        <w:t xml:space="preserve">, and Chiu </w:t>
      </w:r>
      <w:r w:rsidRPr="00521A0B">
        <w:rPr>
          <w:rFonts w:eastAsia="標楷體"/>
        </w:rPr>
        <w:t>2017</w:t>
      </w:r>
      <w:r>
        <w:rPr>
          <w:rFonts w:eastAsia="標楷體" w:hint="eastAsia"/>
        </w:rPr>
        <w:t>)</w:t>
      </w:r>
      <w:r w:rsidRPr="00FD5442">
        <w:rPr>
          <w:rFonts w:eastAsia="標楷體"/>
        </w:rPr>
        <w:t>. The insurance industry is different from other financial service industries</w:t>
      </w:r>
      <w:r w:rsidRPr="00FD5442">
        <w:rPr>
          <w:rStyle w:val="a6"/>
          <w:rFonts w:eastAsia="標楷體"/>
          <w:color w:val="000000" w:themeColor="text1"/>
        </w:rPr>
        <w:footnoteReference w:id="3"/>
      </w:r>
      <w:r w:rsidRPr="00FD5442">
        <w:rPr>
          <w:rFonts w:eastAsia="標楷體"/>
        </w:rPr>
        <w:t xml:space="preserve"> </w:t>
      </w:r>
      <w:r>
        <w:rPr>
          <w:rFonts w:eastAsia="標楷體"/>
        </w:rPr>
        <w:t>in that its</w:t>
      </w:r>
      <w:r w:rsidRPr="00FD5442">
        <w:rPr>
          <w:rFonts w:eastAsia="標楷體"/>
        </w:rPr>
        <w:t xml:space="preserve"> risk </w:t>
      </w:r>
      <w:r>
        <w:rPr>
          <w:rFonts w:eastAsia="標楷體"/>
        </w:rPr>
        <w:t xml:space="preserve">is shared </w:t>
      </w:r>
      <w:r w:rsidRPr="00FD5442">
        <w:rPr>
          <w:rFonts w:eastAsia="標楷體"/>
        </w:rPr>
        <w:t xml:space="preserve">with policyholders and </w:t>
      </w:r>
      <w:r>
        <w:rPr>
          <w:rFonts w:eastAsia="標楷體"/>
        </w:rPr>
        <w:t xml:space="preserve">that it </w:t>
      </w:r>
      <w:r w:rsidRPr="00FD5442">
        <w:rPr>
          <w:rFonts w:eastAsia="標楷體"/>
        </w:rPr>
        <w:t xml:space="preserve">enhances </w:t>
      </w:r>
      <w:r>
        <w:rPr>
          <w:rFonts w:eastAsia="標楷體"/>
        </w:rPr>
        <w:t xml:space="preserve">the </w:t>
      </w:r>
      <w:r w:rsidRPr="00FD5442">
        <w:rPr>
          <w:rFonts w:eastAsia="標楷體"/>
        </w:rPr>
        <w:t xml:space="preserve">social safety net. The economic growth of Taiwan has made </w:t>
      </w:r>
      <w:r>
        <w:rPr>
          <w:rFonts w:eastAsia="標楷體"/>
        </w:rPr>
        <w:t>its</w:t>
      </w:r>
      <w:r w:rsidRPr="00FD5442">
        <w:rPr>
          <w:rFonts w:eastAsia="標楷體"/>
        </w:rPr>
        <w:t xml:space="preserve"> </w:t>
      </w:r>
      <w:r>
        <w:rPr>
          <w:rFonts w:eastAsia="標楷體"/>
        </w:rPr>
        <w:t>citizens</w:t>
      </w:r>
      <w:r w:rsidRPr="00FD5442">
        <w:rPr>
          <w:rFonts w:eastAsia="標楷體"/>
        </w:rPr>
        <w:t xml:space="preserve"> more aware of the importance of </w:t>
      </w:r>
      <w:r>
        <w:rPr>
          <w:rFonts w:eastAsia="標楷體"/>
        </w:rPr>
        <w:t xml:space="preserve">having </w:t>
      </w:r>
      <w:r w:rsidRPr="00FD5442">
        <w:rPr>
          <w:rFonts w:eastAsia="標楷體"/>
        </w:rPr>
        <w:t xml:space="preserve">a comprehensive insurance plan tailoring to </w:t>
      </w:r>
      <w:r>
        <w:rPr>
          <w:rFonts w:eastAsia="標楷體"/>
        </w:rPr>
        <w:t>their</w:t>
      </w:r>
      <w:r w:rsidRPr="00FD5442">
        <w:rPr>
          <w:rFonts w:eastAsia="標楷體"/>
        </w:rPr>
        <w:t xml:space="preserve"> individual needs</w:t>
      </w:r>
      <w:r w:rsidRPr="0052127A">
        <w:rPr>
          <w:rFonts w:eastAsia="標楷體"/>
        </w:rPr>
        <w:t xml:space="preserve"> </w:t>
      </w:r>
      <w:r>
        <w:rPr>
          <w:rFonts w:eastAsia="標楷體"/>
        </w:rPr>
        <w:t xml:space="preserve">on top of having </w:t>
      </w:r>
      <w:r w:rsidRPr="00FD5442">
        <w:rPr>
          <w:rFonts w:eastAsia="標楷體"/>
        </w:rPr>
        <w:t xml:space="preserve">a basic insurance plan. </w:t>
      </w:r>
      <w:r>
        <w:rPr>
          <w:rFonts w:eastAsia="標楷體"/>
        </w:rPr>
        <w:t>Because of</w:t>
      </w:r>
      <w:r w:rsidRPr="00FD5442">
        <w:rPr>
          <w:rFonts w:eastAsia="標楷體"/>
        </w:rPr>
        <w:t xml:space="preserve"> the uniqueness of the life insurance industry in Taiwan</w:t>
      </w:r>
      <w:r>
        <w:rPr>
          <w:rFonts w:eastAsia="標楷體"/>
        </w:rPr>
        <w:t>,</w:t>
      </w:r>
      <w:r w:rsidRPr="00FD5442">
        <w:rPr>
          <w:rFonts w:eastAsia="標楷體"/>
        </w:rPr>
        <w:t xml:space="preserve"> the</w:t>
      </w:r>
      <w:r>
        <w:rPr>
          <w:rFonts w:eastAsia="標楷體"/>
        </w:rPr>
        <w:t>re is</w:t>
      </w:r>
      <w:r w:rsidRPr="00FD5442">
        <w:rPr>
          <w:rFonts w:eastAsia="標楷體"/>
        </w:rPr>
        <w:t xml:space="preserve"> value </w:t>
      </w:r>
      <w:r>
        <w:rPr>
          <w:rFonts w:eastAsia="標楷體"/>
        </w:rPr>
        <w:t>in</w:t>
      </w:r>
      <w:r w:rsidRPr="00FD5442">
        <w:rPr>
          <w:rFonts w:eastAsia="標楷體"/>
        </w:rPr>
        <w:t xml:space="preserve"> investigating its operational performance and determinants </w:t>
      </w:r>
      <w:r>
        <w:rPr>
          <w:rFonts w:eastAsia="標楷體"/>
        </w:rPr>
        <w:t xml:space="preserve">for the benefit </w:t>
      </w:r>
      <w:r w:rsidRPr="00FD5442">
        <w:rPr>
          <w:rFonts w:eastAsia="標楷體"/>
        </w:rPr>
        <w:t>of concerned</w:t>
      </w:r>
      <w:r w:rsidRPr="007D18AE">
        <w:rPr>
          <w:rFonts w:eastAsia="標楷體"/>
        </w:rPr>
        <w:t xml:space="preserve"> </w:t>
      </w:r>
      <w:r w:rsidRPr="00FD5442">
        <w:rPr>
          <w:rFonts w:eastAsia="標楷體"/>
        </w:rPr>
        <w:t>authorities, industries, and academia worldwide. Such investigation</w:t>
      </w:r>
      <w:r>
        <w:rPr>
          <w:rFonts w:eastAsia="標楷體"/>
        </w:rPr>
        <w:t>s</w:t>
      </w:r>
      <w:r w:rsidRPr="00FD5442">
        <w:rPr>
          <w:rFonts w:eastAsia="標楷體"/>
        </w:rPr>
        <w:t xml:space="preserve"> might </w:t>
      </w:r>
      <w:r>
        <w:rPr>
          <w:rFonts w:eastAsia="標楷體"/>
        </w:rPr>
        <w:t>aid</w:t>
      </w:r>
      <w:r w:rsidRPr="00FD5442">
        <w:rPr>
          <w:rFonts w:eastAsia="標楷體"/>
        </w:rPr>
        <w:t xml:space="preserve"> decision making in institutions and enable governments to establish more comprehensive regulations and more friendly environments for relevant industries.</w:t>
      </w:r>
    </w:p>
    <w:p w14:paraId="19D657A6" w14:textId="09AC3D9D" w:rsidR="004F74F0" w:rsidRPr="00FD5442" w:rsidRDefault="004F74F0" w:rsidP="004404A4">
      <w:pPr>
        <w:widowControl w:val="0"/>
        <w:adjustRightInd w:val="0"/>
        <w:spacing w:line="240" w:lineRule="auto"/>
        <w:ind w:firstLine="360"/>
        <w:jc w:val="both"/>
        <w:textAlignment w:val="baseline"/>
        <w:rPr>
          <w:rFonts w:eastAsia="標楷體"/>
        </w:rPr>
      </w:pPr>
      <w:r w:rsidRPr="00FD5442">
        <w:rPr>
          <w:rFonts w:eastAsia="標楷體"/>
        </w:rPr>
        <w:t xml:space="preserve">The diversity of financial products has changed how </w:t>
      </w:r>
      <w:r>
        <w:rPr>
          <w:rFonts w:eastAsia="標楷體"/>
        </w:rPr>
        <w:t xml:space="preserve">scholars </w:t>
      </w:r>
      <w:proofErr w:type="spellStart"/>
      <w:r w:rsidRPr="00FD5442">
        <w:rPr>
          <w:rFonts w:eastAsia="標楷體"/>
        </w:rPr>
        <w:t>analyze</w:t>
      </w:r>
      <w:proofErr w:type="spellEnd"/>
      <w:r w:rsidRPr="00FD5442">
        <w:rPr>
          <w:rFonts w:eastAsia="標楷體"/>
        </w:rPr>
        <w:t xml:space="preserve"> the efficiency and productivity of financial institutions; specifically, traditional methods, which involve a single </w:t>
      </w:r>
      <w:r>
        <w:rPr>
          <w:rFonts w:eastAsia="標楷體"/>
        </w:rPr>
        <w:t>type</w:t>
      </w:r>
      <w:r w:rsidRPr="00FD5442">
        <w:rPr>
          <w:rFonts w:eastAsia="標楷體"/>
        </w:rPr>
        <w:t xml:space="preserve"> of financial ratio analys</w:t>
      </w:r>
      <w:r>
        <w:rPr>
          <w:rFonts w:eastAsia="標楷體"/>
        </w:rPr>
        <w:t>i</w:t>
      </w:r>
      <w:r w:rsidRPr="00FD5442">
        <w:rPr>
          <w:rFonts w:eastAsia="標楷體"/>
        </w:rPr>
        <w:t>s, have been replaced by frontier analyses, which incorporat</w:t>
      </w:r>
      <w:r>
        <w:rPr>
          <w:rFonts w:eastAsia="標楷體"/>
        </w:rPr>
        <w:t>e</w:t>
      </w:r>
      <w:r w:rsidRPr="00FD5442">
        <w:rPr>
          <w:rFonts w:eastAsia="標楷體"/>
        </w:rPr>
        <w:t xml:space="preserve"> multiple outputs and inputs. </w:t>
      </w:r>
      <w:r>
        <w:rPr>
          <w:rFonts w:eastAsia="標楷體"/>
        </w:rPr>
        <w:t>A</w:t>
      </w:r>
      <w:r w:rsidRPr="00FD5442">
        <w:rPr>
          <w:rFonts w:eastAsia="標楷體"/>
        </w:rPr>
        <w:t xml:space="preserve">n efficient frontier is </w:t>
      </w:r>
      <w:r>
        <w:rPr>
          <w:rFonts w:eastAsia="標楷體"/>
        </w:rPr>
        <w:t>determined</w:t>
      </w:r>
      <w:r w:rsidRPr="00FD5442">
        <w:rPr>
          <w:rFonts w:eastAsia="標楷體"/>
        </w:rPr>
        <w:t xml:space="preserve"> using the operational performance of all sample companies and indicates the highest </w:t>
      </w:r>
      <w:r>
        <w:rPr>
          <w:rFonts w:eastAsia="標楷體"/>
        </w:rPr>
        <w:t xml:space="preserve">achieved </w:t>
      </w:r>
      <w:r w:rsidRPr="00FD5442">
        <w:rPr>
          <w:rFonts w:eastAsia="標楷體"/>
        </w:rPr>
        <w:t>efficiency</w:t>
      </w:r>
      <w:r>
        <w:rPr>
          <w:rFonts w:eastAsia="標楷體"/>
        </w:rPr>
        <w:t>.</w:t>
      </w:r>
      <w:r w:rsidRPr="00FD5442">
        <w:rPr>
          <w:rFonts w:eastAsia="標楷體"/>
        </w:rPr>
        <w:t xml:space="preserve"> </w:t>
      </w:r>
      <w:r>
        <w:rPr>
          <w:rFonts w:eastAsia="標楷體"/>
        </w:rPr>
        <w:t xml:space="preserve">This frontier can be employed </w:t>
      </w:r>
      <w:r w:rsidRPr="00FD5442">
        <w:rPr>
          <w:rFonts w:eastAsia="標楷體"/>
        </w:rPr>
        <w:t xml:space="preserve">to assess the efficiency of companies that </w:t>
      </w:r>
      <w:r>
        <w:rPr>
          <w:rFonts w:eastAsia="標楷體"/>
        </w:rPr>
        <w:t>are behind</w:t>
      </w:r>
      <w:r w:rsidRPr="00FD5442">
        <w:rPr>
          <w:rFonts w:eastAsia="標楷體"/>
        </w:rPr>
        <w:t xml:space="preserve"> the frontier</w:t>
      </w:r>
      <w:r>
        <w:rPr>
          <w:rFonts w:eastAsia="標楷體"/>
        </w:rPr>
        <w:t>,</w:t>
      </w:r>
      <w:r w:rsidRPr="00FD5442">
        <w:rPr>
          <w:rFonts w:eastAsia="標楷體"/>
        </w:rPr>
        <w:t xml:space="preserve"> </w:t>
      </w:r>
      <w:r>
        <w:rPr>
          <w:rFonts w:eastAsia="標楷體"/>
        </w:rPr>
        <w:t xml:space="preserve">and </w:t>
      </w:r>
      <w:r w:rsidRPr="00FD5442">
        <w:rPr>
          <w:rFonts w:eastAsia="標楷體"/>
        </w:rPr>
        <w:t xml:space="preserve">the assessment may serve as a reference for improving future production decisions. </w:t>
      </w:r>
      <w:r>
        <w:rPr>
          <w:rFonts w:eastAsia="標楷體"/>
        </w:rPr>
        <w:t>T</w:t>
      </w:r>
      <w:r w:rsidRPr="00FD5442">
        <w:rPr>
          <w:rFonts w:eastAsia="標楷體"/>
        </w:rPr>
        <w:t xml:space="preserve">he </w:t>
      </w:r>
      <w:r w:rsidRPr="00436F2B">
        <w:rPr>
          <w:rFonts w:eastAsia="標楷體"/>
        </w:rPr>
        <w:t xml:space="preserve">most widely used analyses in relevant studies are the nonparametric (linear programming) </w:t>
      </w:r>
      <w:r w:rsidRPr="00211217">
        <w:rPr>
          <w:rFonts w:eastAsia="標楷體"/>
        </w:rPr>
        <w:t>data envelopment analysis (DEA)</w:t>
      </w:r>
      <w:r w:rsidRPr="00436F2B">
        <w:rPr>
          <w:rFonts w:eastAsia="標楷體"/>
        </w:rPr>
        <w:t xml:space="preserve"> and parametric (statistical computing) </w:t>
      </w:r>
      <w:r w:rsidRPr="00211217">
        <w:rPr>
          <w:rFonts w:eastAsia="標楷體"/>
        </w:rPr>
        <w:t>stochastic frontier analysis (SFA</w:t>
      </w:r>
      <w:r w:rsidRPr="00436F2B">
        <w:rPr>
          <w:rFonts w:eastAsia="標楷體"/>
        </w:rPr>
        <w:t>).</w:t>
      </w:r>
      <w:r w:rsidRPr="00FD5442">
        <w:rPr>
          <w:rFonts w:eastAsia="標楷體"/>
        </w:rPr>
        <w:t xml:space="preserve"> Because </w:t>
      </w:r>
      <w:r>
        <w:rPr>
          <w:rFonts w:eastAsia="標楷體"/>
        </w:rPr>
        <w:t>DEA</w:t>
      </w:r>
      <w:r w:rsidRPr="00FD5442">
        <w:rPr>
          <w:rFonts w:eastAsia="標楷體"/>
        </w:rPr>
        <w:t xml:space="preserve"> </w:t>
      </w:r>
      <w:r>
        <w:rPr>
          <w:rFonts w:eastAsia="標楷體"/>
        </w:rPr>
        <w:t xml:space="preserve">does </w:t>
      </w:r>
      <w:r w:rsidRPr="00FD5442">
        <w:rPr>
          <w:rFonts w:eastAsia="標楷體"/>
        </w:rPr>
        <w:t>not requir</w:t>
      </w:r>
      <w:r>
        <w:rPr>
          <w:rFonts w:eastAsia="標楷體"/>
        </w:rPr>
        <w:t>e</w:t>
      </w:r>
      <w:r w:rsidRPr="00FD5442">
        <w:rPr>
          <w:rFonts w:eastAsia="標楷體"/>
        </w:rPr>
        <w:t xml:space="preserve"> the assumption of production functions or calculation of combined errors, </w:t>
      </w:r>
      <w:r>
        <w:rPr>
          <w:rFonts w:eastAsia="標楷體"/>
        </w:rPr>
        <w:t>it</w:t>
      </w:r>
      <w:r w:rsidRPr="00FD5442">
        <w:rPr>
          <w:rFonts w:eastAsia="標楷體"/>
        </w:rPr>
        <w:t xml:space="preserve"> is more frequently used. </w:t>
      </w:r>
      <w:r>
        <w:rPr>
          <w:rFonts w:eastAsia="標楷體"/>
        </w:rPr>
        <w:t xml:space="preserve">However, for subsequent </w:t>
      </w:r>
      <w:r w:rsidRPr="00436F2B">
        <w:rPr>
          <w:rFonts w:eastAsia="標楷體"/>
        </w:rPr>
        <w:t xml:space="preserve">studies on </w:t>
      </w:r>
      <w:r w:rsidRPr="00211217">
        <w:rPr>
          <w:rFonts w:eastAsia="標楷體"/>
        </w:rPr>
        <w:t xml:space="preserve">efficiency </w:t>
      </w:r>
      <w:r w:rsidRPr="00436F2B">
        <w:rPr>
          <w:rFonts w:eastAsia="標楷體"/>
        </w:rPr>
        <w:t xml:space="preserve">scores and their </w:t>
      </w:r>
      <w:r w:rsidRPr="00436F2B">
        <w:rPr>
          <w:rFonts w:eastAsia="標楷體"/>
        </w:rPr>
        <w:lastRenderedPageBreak/>
        <w:t xml:space="preserve">determinants, </w:t>
      </w:r>
      <w:proofErr w:type="spellStart"/>
      <w:r w:rsidRPr="00436F2B">
        <w:rPr>
          <w:rFonts w:eastAsia="標楷體"/>
        </w:rPr>
        <w:t>Simar</w:t>
      </w:r>
      <w:proofErr w:type="spellEnd"/>
      <w:r w:rsidRPr="00436F2B">
        <w:rPr>
          <w:rFonts w:eastAsia="標楷體"/>
        </w:rPr>
        <w:t xml:space="preserve"> and Wilson (2007) asserted that the use of a </w:t>
      </w:r>
      <w:r w:rsidRPr="00211217">
        <w:rPr>
          <w:rFonts w:eastAsia="標楷體"/>
        </w:rPr>
        <w:t>Tobit</w:t>
      </w:r>
      <w:r w:rsidRPr="00436F2B">
        <w:rPr>
          <w:rFonts w:eastAsia="標楷體"/>
        </w:rPr>
        <w:t xml:space="preserve"> regression model can lead to biased estimates of operational efficiency because the efficiency scores generated using DEA do not have characteristics of the </w:t>
      </w:r>
      <w:r w:rsidRPr="00211217">
        <w:rPr>
          <w:rFonts w:eastAsia="標楷體"/>
        </w:rPr>
        <w:t>latent</w:t>
      </w:r>
      <w:r w:rsidRPr="00436F2B">
        <w:rPr>
          <w:rFonts w:eastAsia="標楷體"/>
        </w:rPr>
        <w:t xml:space="preserve"> variables and because the values are </w:t>
      </w:r>
      <w:proofErr w:type="spellStart"/>
      <w:r w:rsidRPr="00436F2B">
        <w:rPr>
          <w:rFonts w:eastAsia="標楷體"/>
        </w:rPr>
        <w:t>autocorrelated</w:t>
      </w:r>
      <w:proofErr w:type="spellEnd"/>
      <w:r w:rsidRPr="00436F2B">
        <w:rPr>
          <w:rFonts w:eastAsia="標楷體"/>
        </w:rPr>
        <w:t xml:space="preserve">. Therefore, </w:t>
      </w:r>
      <w:proofErr w:type="spellStart"/>
      <w:r w:rsidRPr="00436F2B">
        <w:rPr>
          <w:rFonts w:eastAsia="標楷體"/>
        </w:rPr>
        <w:t>Simar</w:t>
      </w:r>
      <w:proofErr w:type="spellEnd"/>
      <w:r w:rsidRPr="00436F2B">
        <w:rPr>
          <w:rFonts w:eastAsia="標楷體"/>
        </w:rPr>
        <w:t xml:space="preserve"> and Wilson recommend that the </w:t>
      </w:r>
      <w:r w:rsidRPr="00211217">
        <w:rPr>
          <w:rFonts w:eastAsia="標楷體"/>
        </w:rPr>
        <w:t>bootstrap</w:t>
      </w:r>
      <w:r w:rsidRPr="00436F2B">
        <w:rPr>
          <w:rFonts w:eastAsia="標楷體"/>
        </w:rPr>
        <w:t xml:space="preserve"> approach</w:t>
      </w:r>
      <w:r>
        <w:rPr>
          <w:rFonts w:eastAsia="標楷體"/>
        </w:rPr>
        <w:t>, called SW bootstrap,</w:t>
      </w:r>
      <w:r w:rsidRPr="00436F2B">
        <w:rPr>
          <w:rFonts w:eastAsia="標楷體"/>
        </w:rPr>
        <w:t xml:space="preserve"> is first used to generate bias-corrected efficiency scores, after which a </w:t>
      </w:r>
      <w:r w:rsidRPr="00211217">
        <w:rPr>
          <w:rFonts w:eastAsia="標楷體"/>
        </w:rPr>
        <w:t>truncated regression model</w:t>
      </w:r>
      <w:r w:rsidRPr="00FD5442">
        <w:rPr>
          <w:rFonts w:eastAsia="標楷體"/>
        </w:rPr>
        <w:t xml:space="preserve"> </w:t>
      </w:r>
      <w:r>
        <w:rPr>
          <w:rFonts w:eastAsia="標楷體"/>
        </w:rPr>
        <w:t xml:space="preserve">is employed </w:t>
      </w:r>
      <w:r w:rsidRPr="00FD5442">
        <w:rPr>
          <w:rFonts w:eastAsia="標楷體"/>
        </w:rPr>
        <w:t xml:space="preserve">to identify possible determinants. Efficiency </w:t>
      </w:r>
      <w:r w:rsidRPr="00436F2B">
        <w:rPr>
          <w:rFonts w:eastAsia="標楷體"/>
        </w:rPr>
        <w:t xml:space="preserve">scores generated using the combination of a </w:t>
      </w:r>
      <w:proofErr w:type="spellStart"/>
      <w:r>
        <w:rPr>
          <w:rFonts w:eastAsia="標楷體"/>
        </w:rPr>
        <w:t>Simar</w:t>
      </w:r>
      <w:proofErr w:type="spellEnd"/>
      <w:r>
        <w:rPr>
          <w:rFonts w:eastAsia="標楷體"/>
        </w:rPr>
        <w:t xml:space="preserve"> and </w:t>
      </w:r>
      <w:proofErr w:type="gramStart"/>
      <w:r>
        <w:rPr>
          <w:rFonts w:eastAsia="標楷體"/>
        </w:rPr>
        <w:t>Wilson</w:t>
      </w:r>
      <w:r w:rsidRPr="00436F2B">
        <w:rPr>
          <w:rFonts w:eastAsia="標楷體"/>
        </w:rPr>
        <w:t xml:space="preserve">  </w:t>
      </w:r>
      <w:r w:rsidRPr="00211217">
        <w:rPr>
          <w:rFonts w:eastAsia="標楷體"/>
        </w:rPr>
        <w:t>bootstrap</w:t>
      </w:r>
      <w:proofErr w:type="gramEnd"/>
      <w:r w:rsidRPr="00436F2B">
        <w:rPr>
          <w:rFonts w:eastAsia="標楷體"/>
        </w:rPr>
        <w:t xml:space="preserve"> method and truncated models have been applied mostly in studies discussing the banking industry but</w:t>
      </w:r>
      <w:r w:rsidRPr="00FD5442">
        <w:rPr>
          <w:rFonts w:eastAsia="標楷體"/>
        </w:rPr>
        <w:t xml:space="preserve"> </w:t>
      </w:r>
      <w:r w:rsidRPr="00ED05FA">
        <w:rPr>
          <w:rFonts w:eastAsia="標楷體"/>
        </w:rPr>
        <w:t>rarely in studies related to the insurance industry. To fill this research gap, the present study uses an SW bootstrap</w:t>
      </w:r>
      <w:r w:rsidR="00612792">
        <w:rPr>
          <w:rFonts w:eastAsia="標楷體"/>
        </w:rPr>
        <w:t xml:space="preserve"> approach to calculate modified</w:t>
      </w:r>
      <w:r w:rsidRPr="00ED05FA">
        <w:rPr>
          <w:rFonts w:eastAsia="標楷體"/>
        </w:rPr>
        <w:t xml:space="preserve"> DEA efficiency scores and employs a truncated regression model to identify the determinants of operational efficiency</w:t>
      </w:r>
      <w:r w:rsidRPr="00436F2B">
        <w:rPr>
          <w:rFonts w:eastAsia="標楷體"/>
        </w:rPr>
        <w:t>.</w:t>
      </w:r>
      <w:r w:rsidRPr="00FD5442">
        <w:rPr>
          <w:rFonts w:eastAsia="標楷體"/>
        </w:rPr>
        <w:tab/>
      </w:r>
    </w:p>
    <w:p w14:paraId="4EED2FD4" w14:textId="763C15CB" w:rsidR="004F74F0" w:rsidRDefault="004F74F0" w:rsidP="004404A4">
      <w:pPr>
        <w:widowControl w:val="0"/>
        <w:adjustRightInd w:val="0"/>
        <w:spacing w:line="240" w:lineRule="auto"/>
        <w:ind w:firstLine="360"/>
        <w:jc w:val="both"/>
        <w:textAlignment w:val="baseline"/>
        <w:rPr>
          <w:rFonts w:eastAsia="標楷體"/>
        </w:rPr>
      </w:pPr>
      <w:r w:rsidRPr="00FD5442">
        <w:rPr>
          <w:rFonts w:eastAsia="標楷體"/>
        </w:rPr>
        <w:t>Th</w:t>
      </w:r>
      <w:r>
        <w:rPr>
          <w:rFonts w:eastAsia="標楷體"/>
        </w:rPr>
        <w:t>is</w:t>
      </w:r>
      <w:r w:rsidRPr="00FD5442">
        <w:rPr>
          <w:rFonts w:eastAsia="標楷體"/>
        </w:rPr>
        <w:t xml:space="preserve"> </w:t>
      </w:r>
      <w:r>
        <w:rPr>
          <w:rFonts w:eastAsia="標楷體"/>
        </w:rPr>
        <w:t>paper is organized</w:t>
      </w:r>
      <w:r w:rsidRPr="00FD5442">
        <w:rPr>
          <w:rFonts w:eastAsia="標楷體"/>
        </w:rPr>
        <w:t xml:space="preserve"> as follows</w:t>
      </w:r>
      <w:r>
        <w:rPr>
          <w:rFonts w:eastAsia="標楷體"/>
        </w:rPr>
        <w:t>.</w:t>
      </w:r>
      <w:r w:rsidRPr="00FD5442">
        <w:rPr>
          <w:rFonts w:eastAsia="標楷體"/>
        </w:rPr>
        <w:t xml:space="preserve"> </w:t>
      </w:r>
      <w:r>
        <w:rPr>
          <w:rFonts w:eastAsia="標楷體"/>
        </w:rPr>
        <w:t>Section</w:t>
      </w:r>
      <w:r w:rsidRPr="00FD5442">
        <w:rPr>
          <w:rFonts w:eastAsia="標楷體"/>
        </w:rPr>
        <w:t xml:space="preserve"> 1 explains the research background and motives; </w:t>
      </w:r>
      <w:r>
        <w:rPr>
          <w:rFonts w:eastAsia="標楷體"/>
        </w:rPr>
        <w:t>Section</w:t>
      </w:r>
      <w:r w:rsidRPr="00FD5442">
        <w:rPr>
          <w:rFonts w:eastAsia="標楷體"/>
        </w:rPr>
        <w:t xml:space="preserve"> 2 reviews </w:t>
      </w:r>
      <w:r>
        <w:rPr>
          <w:rFonts w:eastAsia="標楷體"/>
        </w:rPr>
        <w:t xml:space="preserve">the domestic and foreign </w:t>
      </w:r>
      <w:r w:rsidRPr="00FD5442">
        <w:rPr>
          <w:rFonts w:eastAsia="標楷體"/>
        </w:rPr>
        <w:t xml:space="preserve">studies discussing the efficiency of the life insurance industry; </w:t>
      </w:r>
      <w:r>
        <w:rPr>
          <w:rFonts w:eastAsia="標楷體"/>
        </w:rPr>
        <w:t>Section</w:t>
      </w:r>
      <w:r w:rsidRPr="00FD5442">
        <w:rPr>
          <w:rFonts w:eastAsia="標楷體"/>
        </w:rPr>
        <w:t xml:space="preserve"> 3 presents the study’s research methods; </w:t>
      </w:r>
      <w:r>
        <w:rPr>
          <w:rFonts w:eastAsia="標楷體"/>
        </w:rPr>
        <w:t>Section</w:t>
      </w:r>
      <w:r w:rsidRPr="00FD5442">
        <w:rPr>
          <w:rFonts w:eastAsia="標楷體"/>
        </w:rPr>
        <w:t xml:space="preserve"> 4 elaborates </w:t>
      </w:r>
      <w:r>
        <w:rPr>
          <w:rFonts w:eastAsia="標楷體"/>
        </w:rPr>
        <w:t xml:space="preserve">upon </w:t>
      </w:r>
      <w:r w:rsidRPr="00FD5442">
        <w:rPr>
          <w:rFonts w:eastAsia="標楷體"/>
        </w:rPr>
        <w:t>the data and variable selection</w:t>
      </w:r>
      <w:r>
        <w:rPr>
          <w:rFonts w:eastAsia="標楷體"/>
        </w:rPr>
        <w:t>s</w:t>
      </w:r>
      <w:r w:rsidRPr="00FD5442">
        <w:rPr>
          <w:rFonts w:eastAsia="標楷體"/>
        </w:rPr>
        <w:t xml:space="preserve">; </w:t>
      </w:r>
      <w:r>
        <w:rPr>
          <w:rFonts w:eastAsia="標楷體"/>
        </w:rPr>
        <w:t>Section</w:t>
      </w:r>
      <w:r w:rsidRPr="00FD5442">
        <w:rPr>
          <w:rFonts w:eastAsia="標楷體"/>
        </w:rPr>
        <w:t xml:space="preserve"> 5 </w:t>
      </w:r>
      <w:r>
        <w:rPr>
          <w:rFonts w:eastAsia="標楷體"/>
        </w:rPr>
        <w:t>presents</w:t>
      </w:r>
      <w:r w:rsidRPr="00FD5442">
        <w:rPr>
          <w:rFonts w:eastAsia="標楷體"/>
        </w:rPr>
        <w:t xml:space="preserve"> the empirical results and analyses; and </w:t>
      </w:r>
      <w:r>
        <w:rPr>
          <w:rFonts w:eastAsia="標楷體"/>
        </w:rPr>
        <w:t>Section</w:t>
      </w:r>
      <w:r w:rsidRPr="00FD5442">
        <w:rPr>
          <w:rFonts w:eastAsia="標楷體"/>
        </w:rPr>
        <w:t xml:space="preserve"> 6 concludes.</w:t>
      </w:r>
    </w:p>
    <w:p w14:paraId="7A1CFB7D" w14:textId="77777777" w:rsidR="004404A4" w:rsidRPr="004F74F0" w:rsidRDefault="004404A4" w:rsidP="004404A4">
      <w:pPr>
        <w:widowControl w:val="0"/>
        <w:adjustRightInd w:val="0"/>
        <w:spacing w:line="240" w:lineRule="auto"/>
        <w:ind w:firstLine="360"/>
        <w:jc w:val="both"/>
        <w:textAlignment w:val="baseline"/>
        <w:rPr>
          <w:rFonts w:eastAsia="標楷體"/>
        </w:rPr>
      </w:pPr>
    </w:p>
    <w:p w14:paraId="7C50BE84" w14:textId="2ED86AF3" w:rsidR="004F74F0" w:rsidRPr="004F74F0" w:rsidRDefault="004F74F0" w:rsidP="004404A4">
      <w:pPr>
        <w:pStyle w:val="HeadingNumbering1"/>
        <w:ind w:left="360"/>
        <w:rPr>
          <w:rFonts w:eastAsia="標楷體"/>
        </w:rPr>
      </w:pPr>
      <w:r w:rsidRPr="004F74F0">
        <w:rPr>
          <w:rFonts w:eastAsia="標楷體"/>
        </w:rPr>
        <w:t xml:space="preserve">Literature </w:t>
      </w:r>
      <w:r w:rsidR="001E7DBE">
        <w:rPr>
          <w:rFonts w:eastAsia="標楷體"/>
        </w:rPr>
        <w:t>R</w:t>
      </w:r>
      <w:r w:rsidRPr="004F74F0">
        <w:rPr>
          <w:rFonts w:eastAsia="標楷體"/>
        </w:rPr>
        <w:t xml:space="preserve">eview on the </w:t>
      </w:r>
      <w:r w:rsidR="001E7DBE">
        <w:rPr>
          <w:rFonts w:eastAsia="標楷體"/>
        </w:rPr>
        <w:t>E</w:t>
      </w:r>
      <w:r w:rsidRPr="004F74F0">
        <w:rPr>
          <w:rFonts w:eastAsia="標楷體"/>
        </w:rPr>
        <w:t xml:space="preserve">fficiency of </w:t>
      </w:r>
      <w:r w:rsidR="001E7DBE">
        <w:rPr>
          <w:rFonts w:eastAsia="標楷體"/>
        </w:rPr>
        <w:t>L</w:t>
      </w:r>
      <w:r w:rsidRPr="004F74F0">
        <w:rPr>
          <w:rFonts w:eastAsia="標楷體"/>
        </w:rPr>
        <w:t xml:space="preserve">ife </w:t>
      </w:r>
      <w:r w:rsidR="001E7DBE">
        <w:rPr>
          <w:rFonts w:eastAsia="標楷體"/>
        </w:rPr>
        <w:t>I</w:t>
      </w:r>
      <w:r w:rsidRPr="004F74F0">
        <w:rPr>
          <w:rFonts w:eastAsia="標楷體"/>
        </w:rPr>
        <w:t xml:space="preserve">nsurance </w:t>
      </w:r>
      <w:r w:rsidR="001E7DBE">
        <w:rPr>
          <w:rFonts w:eastAsia="標楷體"/>
        </w:rPr>
        <w:t>P</w:t>
      </w:r>
      <w:r w:rsidRPr="004F74F0">
        <w:rPr>
          <w:rFonts w:eastAsia="標楷體"/>
        </w:rPr>
        <w:t xml:space="preserve">roviders </w:t>
      </w:r>
    </w:p>
    <w:p w14:paraId="610258E2" w14:textId="77777777" w:rsidR="004404A4" w:rsidRDefault="004404A4" w:rsidP="004404A4">
      <w:pPr>
        <w:widowControl w:val="0"/>
        <w:adjustRightInd w:val="0"/>
        <w:spacing w:line="240" w:lineRule="auto"/>
        <w:ind w:firstLine="360"/>
        <w:jc w:val="both"/>
        <w:textAlignment w:val="baseline"/>
        <w:rPr>
          <w:rFonts w:eastAsia="標楷體"/>
        </w:rPr>
      </w:pPr>
    </w:p>
    <w:p w14:paraId="40A9BA60" w14:textId="4A92137C" w:rsidR="004F74F0" w:rsidRPr="00662B69" w:rsidRDefault="004F74F0" w:rsidP="004404A4">
      <w:pPr>
        <w:widowControl w:val="0"/>
        <w:adjustRightInd w:val="0"/>
        <w:spacing w:line="240" w:lineRule="auto"/>
        <w:ind w:firstLine="360"/>
        <w:jc w:val="both"/>
        <w:textAlignment w:val="baseline"/>
        <w:rPr>
          <w:rFonts w:eastAsia="標楷體"/>
        </w:rPr>
      </w:pPr>
      <w:r w:rsidRPr="00D8373B">
        <w:rPr>
          <w:rFonts w:eastAsia="標楷體"/>
        </w:rPr>
        <w:t xml:space="preserve">Berger and Humphrey (1997), </w:t>
      </w:r>
      <w:proofErr w:type="spellStart"/>
      <w:r w:rsidRPr="00D8373B">
        <w:rPr>
          <w:rFonts w:eastAsia="標楷體"/>
        </w:rPr>
        <w:t>Eling</w:t>
      </w:r>
      <w:proofErr w:type="spellEnd"/>
      <w:r w:rsidRPr="00D8373B">
        <w:rPr>
          <w:rFonts w:eastAsia="標楷體"/>
        </w:rPr>
        <w:t xml:space="preserve"> and </w:t>
      </w:r>
      <w:proofErr w:type="spellStart"/>
      <w:r w:rsidRPr="00D8373B">
        <w:rPr>
          <w:rFonts w:eastAsia="標楷體"/>
        </w:rPr>
        <w:t>Luhnen</w:t>
      </w:r>
      <w:proofErr w:type="spellEnd"/>
      <w:r w:rsidRPr="00D8373B">
        <w:rPr>
          <w:rFonts w:eastAsia="標楷體"/>
        </w:rPr>
        <w:t xml:space="preserve"> (2010), Cummins and Weiss (2013), and Wise (2017) have provided comprehensive and clear research frameworks in international journal</w:t>
      </w:r>
      <w:r w:rsidRPr="00662B69">
        <w:rPr>
          <w:rFonts w:eastAsia="標楷體"/>
        </w:rPr>
        <w:t xml:space="preserve">s for </w:t>
      </w:r>
      <w:proofErr w:type="spellStart"/>
      <w:r w:rsidRPr="00662B69">
        <w:rPr>
          <w:rFonts w:eastAsia="標楷體"/>
        </w:rPr>
        <w:t>analyzing</w:t>
      </w:r>
      <w:proofErr w:type="spellEnd"/>
      <w:r w:rsidRPr="00662B69">
        <w:rPr>
          <w:rFonts w:eastAsia="標楷體"/>
        </w:rPr>
        <w:t xml:space="preserve"> the insurance industry’s efficiency. </w:t>
      </w:r>
      <w:r w:rsidR="004879B4">
        <w:rPr>
          <w:rFonts w:eastAsia="標楷體"/>
        </w:rPr>
        <w:t xml:space="preserve">Recently, </w:t>
      </w:r>
      <w:proofErr w:type="spellStart"/>
      <w:r w:rsidR="004879B4">
        <w:rPr>
          <w:rFonts w:eastAsia="標楷體"/>
        </w:rPr>
        <w:t>Kaffash</w:t>
      </w:r>
      <w:proofErr w:type="spellEnd"/>
      <w:r w:rsidR="004879B4">
        <w:rPr>
          <w:rFonts w:eastAsia="標楷體"/>
        </w:rPr>
        <w:t xml:space="preserve"> et al.</w:t>
      </w:r>
      <w:r w:rsidR="006C7C7D">
        <w:rPr>
          <w:rFonts w:eastAsia="標楷體"/>
        </w:rPr>
        <w:t xml:space="preserve"> </w:t>
      </w:r>
      <w:r w:rsidR="00FA2C06">
        <w:rPr>
          <w:rFonts w:eastAsia="標楷體"/>
        </w:rPr>
        <w:t>(2019)</w:t>
      </w:r>
      <w:r w:rsidR="00FA2C06">
        <w:rPr>
          <w:rFonts w:eastAsia="標楷體" w:hint="eastAsia"/>
          <w:lang w:eastAsia="zh-TW"/>
        </w:rPr>
        <w:t xml:space="preserve"> </w:t>
      </w:r>
      <w:r w:rsidR="00FA2C06">
        <w:rPr>
          <w:rFonts w:eastAsia="標楷體"/>
        </w:rPr>
        <w:t xml:space="preserve">further </w:t>
      </w:r>
      <w:r w:rsidR="00BE1E45">
        <w:rPr>
          <w:rFonts w:eastAsia="標楷體" w:hint="eastAsia"/>
          <w:lang w:eastAsia="zh-TW"/>
        </w:rPr>
        <w:t>survey</w:t>
      </w:r>
      <w:r w:rsidR="004879B4">
        <w:rPr>
          <w:rFonts w:eastAsia="標楷體"/>
        </w:rPr>
        <w:t xml:space="preserve"> 132 insurance performance related </w:t>
      </w:r>
      <w:r w:rsidR="00903F55">
        <w:rPr>
          <w:rFonts w:eastAsia="標楷體"/>
        </w:rPr>
        <w:t>articles published</w:t>
      </w:r>
      <w:r w:rsidR="004879B4">
        <w:rPr>
          <w:rFonts w:eastAsia="標楷體"/>
        </w:rPr>
        <w:t xml:space="preserve"> in the period spanning from 1993 to 2018 and they classified </w:t>
      </w:r>
      <w:r w:rsidR="004E32E7">
        <w:rPr>
          <w:rFonts w:eastAsia="標楷體"/>
        </w:rPr>
        <w:t xml:space="preserve">them into </w:t>
      </w:r>
      <w:r w:rsidR="004879B4">
        <w:rPr>
          <w:rFonts w:eastAsia="標楷體"/>
        </w:rPr>
        <w:t>18 distinct</w:t>
      </w:r>
      <w:r w:rsidR="004879B4">
        <w:rPr>
          <w:rFonts w:eastAsia="標楷體" w:hint="eastAsia"/>
          <w:lang w:eastAsia="zh-TW"/>
        </w:rPr>
        <w:t xml:space="preserve"> </w:t>
      </w:r>
      <w:r w:rsidR="004E32E7">
        <w:rPr>
          <w:rFonts w:eastAsia="標楷體"/>
          <w:lang w:eastAsia="zh-TW"/>
        </w:rPr>
        <w:t xml:space="preserve">study fields for future studies. </w:t>
      </w:r>
      <w:r w:rsidR="004879B4">
        <w:rPr>
          <w:rFonts w:eastAsia="標楷體"/>
        </w:rPr>
        <w:t xml:space="preserve"> </w:t>
      </w:r>
      <w:r w:rsidRPr="00662B69">
        <w:rPr>
          <w:rFonts w:eastAsia="標楷體"/>
        </w:rPr>
        <w:t xml:space="preserve">Initially, foreign studies predominantly focused on the efficiency of insurance industry in developed Western countries. In studies on American insurance providers, Cummins and </w:t>
      </w:r>
      <w:proofErr w:type="spellStart"/>
      <w:r w:rsidRPr="00662B69">
        <w:rPr>
          <w:rFonts w:eastAsia="標楷體"/>
        </w:rPr>
        <w:t>Zi</w:t>
      </w:r>
      <w:proofErr w:type="spellEnd"/>
      <w:r w:rsidRPr="00662B69">
        <w:rPr>
          <w:rFonts w:eastAsia="標楷體"/>
        </w:rPr>
        <w:t xml:space="preserve"> (1998) use SFA and DEA to determine the efficiency of 445 American life insurance companies from 1988 to 1992 and discover that the efficiency rankings obtained using the two analysis approaches are not substantially different. Cummins</w:t>
      </w:r>
      <w:r w:rsidR="00D8373B">
        <w:rPr>
          <w:rFonts w:eastAsia="標楷體"/>
        </w:rPr>
        <w:t xml:space="preserve">, Tennyson, and </w:t>
      </w:r>
      <w:r w:rsidR="00D8373B" w:rsidRPr="00D8373B">
        <w:rPr>
          <w:rFonts w:eastAsia="標楷體"/>
        </w:rPr>
        <w:t>Weiss</w:t>
      </w:r>
      <w:r w:rsidRPr="00662B69">
        <w:rPr>
          <w:rFonts w:eastAsia="標楷體"/>
        </w:rPr>
        <w:t xml:space="preserve"> (1999) employ DEA to discuss changes in the relationship between the efficiency and size of American life insurance companies after mergers and acquisitions from 1988 to 1995, and they use the Malmquist index to determine the productivity change of these companies over the research period. Greene and Segal (2004) adopt SFA to simulate the management performance of 136 American life insurance companies from 1995 to 1998 and reveal that cost inefficiency is negatively correlated with indicators of profitability (e.g., retur</w:t>
      </w:r>
      <w:r w:rsidRPr="001E7DBE">
        <w:rPr>
          <w:rFonts w:eastAsia="標楷體"/>
        </w:rPr>
        <w:t xml:space="preserve">n on assets). Regarding studies on European insurance companies, Hardwick (1997) use SFA to investigate the cost efficiency performance of 54 British life insurance companies under a competitive industrial environment from 1992 to 1996. </w:t>
      </w:r>
      <w:proofErr w:type="spellStart"/>
      <w:r w:rsidRPr="001E7DBE">
        <w:rPr>
          <w:rFonts w:eastAsia="標楷體"/>
        </w:rPr>
        <w:t>Fenn</w:t>
      </w:r>
      <w:proofErr w:type="spellEnd"/>
      <w:r w:rsidRPr="001E7DBE">
        <w:rPr>
          <w:rFonts w:eastAsia="標楷體"/>
        </w:rPr>
        <w:t xml:space="preserve"> et al. (2008) employ the Fourier flexible cost function, which uses few constraints, in SFA to simulate the cost efficiency of 14 European life insurance and asset insurance companies from 1995 to 2001; the returns to scale increased for most of the European insurance companies, and increases in an insurance company’s size and domestic market share significantly increased its cost inefficiency. Barros</w:t>
      </w:r>
      <w:r w:rsidR="00D8373B">
        <w:rPr>
          <w:rFonts w:eastAsia="標楷體"/>
        </w:rPr>
        <w:t>,</w:t>
      </w:r>
      <w:r w:rsidRPr="00662B69">
        <w:rPr>
          <w:rFonts w:eastAsia="標楷體"/>
        </w:rPr>
        <w:t xml:space="preserve"> </w:t>
      </w:r>
      <w:proofErr w:type="spellStart"/>
      <w:r w:rsidR="00D8373B" w:rsidRPr="00D8373B">
        <w:rPr>
          <w:rFonts w:eastAsia="標楷體"/>
        </w:rPr>
        <w:t>Nektarios</w:t>
      </w:r>
      <w:proofErr w:type="spellEnd"/>
      <w:r w:rsidR="00D8373B" w:rsidRPr="00D8373B">
        <w:rPr>
          <w:rFonts w:eastAsia="標楷體"/>
        </w:rPr>
        <w:t xml:space="preserve">, and </w:t>
      </w:r>
      <w:proofErr w:type="spellStart"/>
      <w:r w:rsidR="00D8373B" w:rsidRPr="00D8373B">
        <w:rPr>
          <w:rFonts w:eastAsia="標楷體"/>
        </w:rPr>
        <w:t>Assaf</w:t>
      </w:r>
      <w:proofErr w:type="spellEnd"/>
      <w:r w:rsidR="00D8373B" w:rsidRPr="00D8373B">
        <w:rPr>
          <w:rFonts w:eastAsia="標楷體"/>
        </w:rPr>
        <w:t xml:space="preserve"> </w:t>
      </w:r>
      <w:r w:rsidRPr="00D8373B">
        <w:rPr>
          <w:rFonts w:eastAsia="標楷體"/>
        </w:rPr>
        <w:t xml:space="preserve">(2010) integrate two-stage DEA with a modified approach proposed by </w:t>
      </w:r>
      <w:proofErr w:type="spellStart"/>
      <w:r w:rsidRPr="00D8373B">
        <w:rPr>
          <w:rFonts w:eastAsia="標楷體"/>
        </w:rPr>
        <w:t>Simar</w:t>
      </w:r>
      <w:proofErr w:type="spellEnd"/>
      <w:r w:rsidRPr="00D8373B">
        <w:rPr>
          <w:rFonts w:eastAsia="標楷體"/>
        </w:rPr>
        <w:t xml:space="preserve"> and Wilson (2007) to investigate the effect of liberalization</w:t>
      </w:r>
      <w:r w:rsidRPr="00662B69">
        <w:rPr>
          <w:rFonts w:eastAsia="標楷體"/>
        </w:rPr>
        <w:t xml:space="preserve"> on the efficiency of Greek insurance companies in 1994–2003; increasing company size and market share through mergers was the main determinant of efficiency improvement, and life insurance companies which were large, listed on the stock exchange, and had undergone </w:t>
      </w:r>
      <w:proofErr w:type="gramStart"/>
      <w:r w:rsidRPr="00662B69">
        <w:rPr>
          <w:rFonts w:eastAsia="標楷體"/>
        </w:rPr>
        <w:t>a  merger</w:t>
      </w:r>
      <w:proofErr w:type="gramEnd"/>
      <w:r w:rsidRPr="00662B69">
        <w:rPr>
          <w:rFonts w:eastAsia="標楷體"/>
        </w:rPr>
        <w:t xml:space="preserve"> did demonstrate higher management efficiency. </w:t>
      </w:r>
    </w:p>
    <w:p w14:paraId="4A5FC86B" w14:textId="3362FECD" w:rsidR="004F74F0" w:rsidRPr="004F74F0" w:rsidRDefault="004F74F0" w:rsidP="00342B55">
      <w:pPr>
        <w:widowControl w:val="0"/>
        <w:adjustRightInd w:val="0"/>
        <w:spacing w:line="240" w:lineRule="auto"/>
        <w:ind w:firstLine="360"/>
        <w:jc w:val="both"/>
        <w:textAlignment w:val="baseline"/>
        <w:rPr>
          <w:rFonts w:eastAsia="標楷體"/>
        </w:rPr>
      </w:pPr>
      <w:r>
        <w:rPr>
          <w:rFonts w:eastAsia="標楷體"/>
        </w:rPr>
        <w:lastRenderedPageBreak/>
        <w:t>In research</w:t>
      </w:r>
      <w:r w:rsidRPr="00FD5442">
        <w:rPr>
          <w:rFonts w:eastAsia="標楷體"/>
        </w:rPr>
        <w:t xml:space="preserve"> related to the efficiency of insurance companies</w:t>
      </w:r>
      <w:r>
        <w:rPr>
          <w:rFonts w:eastAsia="標楷體"/>
        </w:rPr>
        <w:t xml:space="preserve"> and conducted over</w:t>
      </w:r>
      <w:r w:rsidRPr="00FD5442">
        <w:rPr>
          <w:rFonts w:eastAsia="標楷體"/>
        </w:rPr>
        <w:t xml:space="preserve"> the last decade</w:t>
      </w:r>
      <w:r>
        <w:rPr>
          <w:rFonts w:eastAsia="標楷體"/>
        </w:rPr>
        <w:t>, scholars</w:t>
      </w:r>
      <w:r w:rsidRPr="00FD5442">
        <w:rPr>
          <w:rFonts w:eastAsia="標楷體"/>
        </w:rPr>
        <w:t xml:space="preserve"> have </w:t>
      </w:r>
      <w:r>
        <w:rPr>
          <w:rFonts w:eastAsia="標楷體"/>
        </w:rPr>
        <w:t>begun</w:t>
      </w:r>
      <w:r w:rsidRPr="00FD5442">
        <w:rPr>
          <w:rFonts w:eastAsia="標楷體"/>
        </w:rPr>
        <w:t xml:space="preserve"> to assess </w:t>
      </w:r>
      <w:r>
        <w:rPr>
          <w:rFonts w:eastAsia="標楷體"/>
        </w:rPr>
        <w:t xml:space="preserve">the </w:t>
      </w:r>
      <w:r w:rsidRPr="00FD5442">
        <w:rPr>
          <w:rFonts w:eastAsia="標楷體"/>
        </w:rPr>
        <w:t>performance of insurance industr</w:t>
      </w:r>
      <w:r>
        <w:rPr>
          <w:rFonts w:eastAsia="標楷體"/>
        </w:rPr>
        <w:t>ies</w:t>
      </w:r>
      <w:r w:rsidRPr="00FD5442">
        <w:rPr>
          <w:rFonts w:eastAsia="標楷體"/>
        </w:rPr>
        <w:t xml:space="preserve"> in developing countries. For example, </w:t>
      </w:r>
      <w:proofErr w:type="spellStart"/>
      <w:r w:rsidRPr="00FD5442">
        <w:rPr>
          <w:rFonts w:eastAsia="標楷體"/>
        </w:rPr>
        <w:t>Gaganis</w:t>
      </w:r>
      <w:proofErr w:type="spellEnd"/>
      <w:r w:rsidR="00D8373B">
        <w:rPr>
          <w:rFonts w:eastAsia="標楷體"/>
        </w:rPr>
        <w:t>,</w:t>
      </w:r>
      <w:r w:rsidRPr="00FD5442">
        <w:rPr>
          <w:rFonts w:eastAsia="標楷體"/>
        </w:rPr>
        <w:t xml:space="preserve"> </w:t>
      </w:r>
      <w:r w:rsidR="00D8373B">
        <w:rPr>
          <w:rFonts w:eastAsia="標楷體"/>
        </w:rPr>
        <w:t xml:space="preserve">Hasan, and </w:t>
      </w:r>
      <w:proofErr w:type="spellStart"/>
      <w:r w:rsidR="00D8373B" w:rsidRPr="00D8373B">
        <w:rPr>
          <w:rFonts w:eastAsia="標楷體"/>
        </w:rPr>
        <w:t>Pasiouras</w:t>
      </w:r>
      <w:proofErr w:type="spellEnd"/>
      <w:r w:rsidR="00D8373B" w:rsidRPr="00D8373B">
        <w:rPr>
          <w:rFonts w:eastAsia="標楷體"/>
        </w:rPr>
        <w:t xml:space="preserve"> </w:t>
      </w:r>
      <w:r w:rsidRPr="00FD5442">
        <w:rPr>
          <w:rFonts w:eastAsia="標楷體"/>
        </w:rPr>
        <w:t xml:space="preserve">(2013) use SFA to discuss the effect of efficiency on stock returns in 399 insurance companies listed on </w:t>
      </w:r>
      <w:r>
        <w:rPr>
          <w:rFonts w:eastAsia="標楷體"/>
        </w:rPr>
        <w:t xml:space="preserve">the </w:t>
      </w:r>
      <w:r w:rsidRPr="00FD5442">
        <w:rPr>
          <w:rFonts w:eastAsia="標楷體"/>
        </w:rPr>
        <w:t xml:space="preserve">stock exchange or traded over-the-counter in 52 countries between 2002 and 2008. </w:t>
      </w:r>
      <w:r>
        <w:rPr>
          <w:rFonts w:eastAsia="標楷體"/>
        </w:rPr>
        <w:t>S</w:t>
      </w:r>
      <w:r w:rsidRPr="00FD5442">
        <w:rPr>
          <w:rFonts w:eastAsia="標楷體"/>
        </w:rPr>
        <w:t xml:space="preserve">tock returns </w:t>
      </w:r>
      <w:r>
        <w:rPr>
          <w:rFonts w:eastAsia="標楷體"/>
        </w:rPr>
        <w:t xml:space="preserve">were </w:t>
      </w:r>
      <w:r w:rsidRPr="00FD5442">
        <w:rPr>
          <w:rFonts w:eastAsia="標楷體"/>
        </w:rPr>
        <w:t xml:space="preserve">positively correlated with company profitability but not with stock returns. Huang and </w:t>
      </w:r>
      <w:proofErr w:type="spellStart"/>
      <w:r w:rsidRPr="00FD5442">
        <w:rPr>
          <w:rFonts w:eastAsia="標楷體"/>
        </w:rPr>
        <w:t>Eling</w:t>
      </w:r>
      <w:proofErr w:type="spellEnd"/>
      <w:r w:rsidRPr="00FD5442">
        <w:rPr>
          <w:rFonts w:eastAsia="標楷體"/>
        </w:rPr>
        <w:t xml:space="preserve"> (2013) </w:t>
      </w:r>
      <w:r>
        <w:rPr>
          <w:rFonts w:eastAsia="標楷體"/>
        </w:rPr>
        <w:t>employ</w:t>
      </w:r>
      <w:r w:rsidRPr="00FD5442">
        <w:rPr>
          <w:rFonts w:eastAsia="標楷體"/>
        </w:rPr>
        <w:t xml:space="preserve"> bootstrap DEA to examine the management performance of asset insurance companies in the BRIC</w:t>
      </w:r>
      <w:r>
        <w:rPr>
          <w:rFonts w:eastAsia="標楷體"/>
        </w:rPr>
        <w:t xml:space="preserve"> countrie</w:t>
      </w:r>
      <w:r w:rsidRPr="00FD5442">
        <w:rPr>
          <w:rFonts w:eastAsia="標楷體"/>
        </w:rPr>
        <w:t xml:space="preserve">s (namely Brazil, Russia, India, and China) </w:t>
      </w:r>
      <w:r>
        <w:rPr>
          <w:rFonts w:eastAsia="標楷體"/>
        </w:rPr>
        <w:t>from</w:t>
      </w:r>
      <w:r w:rsidRPr="00FD5442">
        <w:rPr>
          <w:rFonts w:eastAsia="標楷體"/>
        </w:rPr>
        <w:t xml:space="preserve"> 2000 to 2008; asset insurance companies in Brazil had the highest technical efficiency, pure technical efficiency, and scale efficiency. Lu</w:t>
      </w:r>
      <w:r w:rsidR="00B923AF">
        <w:rPr>
          <w:rFonts w:eastAsia="標楷體"/>
        </w:rPr>
        <w:t>,</w:t>
      </w:r>
      <w:r w:rsidR="00B923AF">
        <w:t xml:space="preserve"> </w:t>
      </w:r>
      <w:r w:rsidR="00B923AF">
        <w:rPr>
          <w:rFonts w:eastAsia="標楷體"/>
        </w:rPr>
        <w:t xml:space="preserve">Wang, and </w:t>
      </w:r>
      <w:proofErr w:type="spellStart"/>
      <w:r w:rsidR="00B923AF" w:rsidRPr="00B923AF">
        <w:rPr>
          <w:rFonts w:eastAsia="標楷體"/>
        </w:rPr>
        <w:t>Kweh</w:t>
      </w:r>
      <w:proofErr w:type="spellEnd"/>
      <w:r w:rsidRPr="00FD5442">
        <w:rPr>
          <w:rFonts w:eastAsia="標楷體"/>
        </w:rPr>
        <w:t xml:space="preserve"> (2014) </w:t>
      </w:r>
      <w:r>
        <w:rPr>
          <w:rFonts w:eastAsia="標楷體"/>
        </w:rPr>
        <w:t>apply</w:t>
      </w:r>
      <w:r w:rsidRPr="00FD5442">
        <w:rPr>
          <w:rFonts w:eastAsia="標楷體"/>
        </w:rPr>
        <w:t xml:space="preserve"> </w:t>
      </w:r>
      <w:r>
        <w:rPr>
          <w:rFonts w:eastAsia="標楷體"/>
        </w:rPr>
        <w:t>a slack-based measure (</w:t>
      </w:r>
      <w:r w:rsidRPr="00FD5442">
        <w:rPr>
          <w:rFonts w:eastAsia="標楷體"/>
        </w:rPr>
        <w:t>SBM</w:t>
      </w:r>
      <w:r>
        <w:rPr>
          <w:rFonts w:eastAsia="標楷體"/>
        </w:rPr>
        <w:t>)</w:t>
      </w:r>
      <w:r w:rsidRPr="00FD5442">
        <w:rPr>
          <w:rFonts w:eastAsia="標楷體"/>
        </w:rPr>
        <w:t xml:space="preserve"> to discuss the operational performance of 34 Chinese life insurance companies in 2006–2010; their empirical results suggest that investments in intellectual capital (comprising human, structural, and financial capital) </w:t>
      </w:r>
      <w:r>
        <w:rPr>
          <w:rFonts w:eastAsia="標楷體"/>
        </w:rPr>
        <w:t>improved</w:t>
      </w:r>
      <w:r w:rsidRPr="00FD5442">
        <w:rPr>
          <w:rFonts w:eastAsia="標楷體"/>
        </w:rPr>
        <w:t xml:space="preserve"> the overall operational performance of </w:t>
      </w:r>
      <w:r>
        <w:rPr>
          <w:rFonts w:eastAsia="標楷體"/>
        </w:rPr>
        <w:t xml:space="preserve">the </w:t>
      </w:r>
      <w:r w:rsidRPr="00FD5442">
        <w:rPr>
          <w:rFonts w:eastAsia="標楷體"/>
        </w:rPr>
        <w:t>asset insurance companies.</w:t>
      </w:r>
    </w:p>
    <w:p w14:paraId="57989F04" w14:textId="63175861" w:rsidR="004F74F0" w:rsidRPr="004F74F0" w:rsidRDefault="004F74F0" w:rsidP="00342B55">
      <w:pPr>
        <w:widowControl w:val="0"/>
        <w:adjustRightInd w:val="0"/>
        <w:spacing w:line="240" w:lineRule="auto"/>
        <w:ind w:firstLine="360"/>
        <w:jc w:val="both"/>
        <w:textAlignment w:val="baseline"/>
        <w:rPr>
          <w:rFonts w:eastAsia="標楷體"/>
        </w:rPr>
      </w:pPr>
      <w:r w:rsidRPr="004F74F0">
        <w:rPr>
          <w:rFonts w:eastAsia="標楷體"/>
        </w:rPr>
        <w:t>The operational performance of the life insurance industry in Taiwan, which is also a developing country, has been discussed predominantly in domestic journals</w:t>
      </w:r>
      <w:r w:rsidRPr="004F74F0">
        <w:rPr>
          <w:rFonts w:eastAsia="標楷體"/>
        </w:rPr>
        <w:footnoteReference w:id="4"/>
      </w:r>
      <w:r w:rsidRPr="004F74F0">
        <w:rPr>
          <w:rFonts w:eastAsia="標楷體"/>
        </w:rPr>
        <w:t xml:space="preserve"> but rarely in international journals. Hwang and Kao (2006) and Kao and Hwang (2008) employ two-stage DEA to investigate the management efficiency of Taiwanese life insurance companies</w:t>
      </w:r>
      <w:r w:rsidRPr="004F74F0">
        <w:rPr>
          <w:rFonts w:eastAsia="標楷體" w:hint="eastAsia"/>
        </w:rPr>
        <w:t>.</w:t>
      </w:r>
      <w:r w:rsidRPr="004F74F0">
        <w:rPr>
          <w:rFonts w:eastAsia="標楷體"/>
        </w:rPr>
        <w:t xml:space="preserve"> </w:t>
      </w:r>
      <w:r w:rsidRPr="004F74F0">
        <w:rPr>
          <w:rFonts w:eastAsia="標楷體" w:hint="eastAsia"/>
        </w:rPr>
        <w:t>O</w:t>
      </w:r>
      <w:r w:rsidRPr="004F74F0">
        <w:rPr>
          <w:rFonts w:eastAsia="標楷體"/>
        </w:rPr>
        <w:t xml:space="preserve">ther studies assessing the performance of the Taiwanese life insurance industry are as follows. </w:t>
      </w:r>
      <w:proofErr w:type="spellStart"/>
      <w:r w:rsidRPr="004F74F0">
        <w:rPr>
          <w:rFonts w:eastAsia="標楷體"/>
        </w:rPr>
        <w:t>Hao</w:t>
      </w:r>
      <w:proofErr w:type="spellEnd"/>
      <w:r w:rsidRPr="004F74F0">
        <w:rPr>
          <w:rFonts w:eastAsia="標楷體"/>
        </w:rPr>
        <w:t xml:space="preserve"> and Chou (2005) investigate the average cost efficiency of Taiwanese life insurance companies in 1977–1999. The following findings are obtained: the companies had an average cost efficiency of 0.66; an increase in company market share resulted in an increase in profits; and product diversity was unconducive to improving cost efficiency. Huang</w:t>
      </w:r>
      <w:r w:rsidR="00B923AF">
        <w:rPr>
          <w:rFonts w:eastAsia="標楷體"/>
        </w:rPr>
        <w:t>,</w:t>
      </w:r>
      <w:r w:rsidR="00B923AF" w:rsidRPr="00B923AF">
        <w:t xml:space="preserve"> </w:t>
      </w:r>
      <w:r w:rsidR="00B923AF">
        <w:rPr>
          <w:rFonts w:eastAsia="標楷體"/>
        </w:rPr>
        <w:t xml:space="preserve">Hsiao, and Lai </w:t>
      </w:r>
      <w:r w:rsidRPr="004F74F0">
        <w:rPr>
          <w:rFonts w:eastAsia="標楷體"/>
        </w:rPr>
        <w:t>(2007), Wang</w:t>
      </w:r>
      <w:r w:rsidR="00B923AF">
        <w:rPr>
          <w:rFonts w:eastAsia="標楷體"/>
        </w:rPr>
        <w:t xml:space="preserve">, </w:t>
      </w:r>
      <w:proofErr w:type="spellStart"/>
      <w:r w:rsidR="00B923AF">
        <w:rPr>
          <w:rFonts w:eastAsia="標楷體"/>
        </w:rPr>
        <w:t>Jeng</w:t>
      </w:r>
      <w:proofErr w:type="spellEnd"/>
      <w:r w:rsidR="00B923AF">
        <w:rPr>
          <w:rFonts w:eastAsia="標楷體"/>
        </w:rPr>
        <w:t xml:space="preserve">, and Peng </w:t>
      </w:r>
      <w:r w:rsidRPr="004F74F0">
        <w:rPr>
          <w:rFonts w:eastAsia="標楷體"/>
        </w:rPr>
        <w:t xml:space="preserve">(2007), and </w:t>
      </w:r>
      <w:proofErr w:type="spellStart"/>
      <w:r w:rsidRPr="004F74F0">
        <w:rPr>
          <w:rFonts w:eastAsia="標楷體"/>
        </w:rPr>
        <w:t>Jeng</w:t>
      </w:r>
      <w:proofErr w:type="spellEnd"/>
      <w:r w:rsidRPr="004F74F0">
        <w:rPr>
          <w:rFonts w:eastAsia="標楷體"/>
        </w:rPr>
        <w:t xml:space="preserve"> and Lai (2008) explore the effects of liberalization and company operation on the operational performance of Taiwanese insurance companies. The findings reveal that the old and family-owned insurance companies had higher operational efficiency; moreover, higher ownership centralization was associated with lower performance, and company size was not related to performance. Studies related to liberalization have revealed that new insurance companies initially have high efficiency, but their cost efficiency and profitability do not improve significantly in the following years. These studies recommend that future market entry strategies in the Taiwanese insurance industry focus on the merging and acquisition of existing companies rather than the establishment of new companies.</w:t>
      </w:r>
    </w:p>
    <w:p w14:paraId="151936BF" w14:textId="0087DDCC" w:rsidR="004F74F0" w:rsidRDefault="004F74F0" w:rsidP="00342B55">
      <w:pPr>
        <w:widowControl w:val="0"/>
        <w:adjustRightInd w:val="0"/>
        <w:spacing w:line="240" w:lineRule="auto"/>
        <w:ind w:firstLine="360"/>
        <w:jc w:val="both"/>
        <w:textAlignment w:val="baseline"/>
        <w:rPr>
          <w:rFonts w:eastAsia="標楷體"/>
        </w:rPr>
      </w:pPr>
      <w:r w:rsidRPr="004F74F0">
        <w:rPr>
          <w:rFonts w:eastAsia="標楷體"/>
        </w:rPr>
        <w:t xml:space="preserve">Studies reinvestigating the efficiency of Taiwanese insurance companies have begun to be published in international journals, in particular, discussions of market structure, risk management, and management performance. Chuang and Tang (2015) use data on life insurance companies in Taiwan for 1976–2010 as their research data set and identify a nonlinear relationship between the market share and efficiency of these companies, arguing that increases in market share did not improve company performance. Chuang </w:t>
      </w:r>
      <w:r w:rsidRPr="004F74F0">
        <w:rPr>
          <w:rFonts w:eastAsia="標楷體"/>
        </w:rPr>
        <w:lastRenderedPageBreak/>
        <w:t>and Tang</w:t>
      </w:r>
      <w:r w:rsidRPr="004F74F0" w:rsidDel="00124202">
        <w:rPr>
          <w:rFonts w:eastAsia="標楷體"/>
        </w:rPr>
        <w:t xml:space="preserve"> </w:t>
      </w:r>
      <w:r w:rsidRPr="004F74F0">
        <w:rPr>
          <w:rFonts w:eastAsia="標楷體"/>
        </w:rPr>
        <w:t>also find that the domestic life insurance companies with large market share had higher efficiency than the foreign life insurance companies with small market share. Hu and Yu (2015) employ the data of 27 Taiwanese life insurance companies in 2004–2009 and stochastic cost frontier analysis to determine the relationships between asset risk, product risk, capital, and management performance. The following findings are obtained by Hu and Yu: Taiwanese life insurance companies had an average cost efficiency of 0.67; companies with lower efficiency were more likely to invest in products with high risk; companies with higher efficiency were more likely to maintain a high capital level as capital buffers; and asset risk had negative effects on capital and management inefficiency. Lee</w:t>
      </w:r>
      <w:r w:rsidR="00B923AF">
        <w:rPr>
          <w:rFonts w:eastAsia="標楷體"/>
        </w:rPr>
        <w:t>,</w:t>
      </w:r>
      <w:r w:rsidRPr="004F74F0">
        <w:rPr>
          <w:rFonts w:eastAsia="標楷體"/>
        </w:rPr>
        <w:t xml:space="preserve"> </w:t>
      </w:r>
      <w:proofErr w:type="spellStart"/>
      <w:r w:rsidR="00B923AF" w:rsidRPr="00B923AF">
        <w:rPr>
          <w:rFonts w:eastAsia="標楷體"/>
        </w:rPr>
        <w:t>Shyu</w:t>
      </w:r>
      <w:proofErr w:type="spellEnd"/>
      <w:r w:rsidR="00B923AF" w:rsidRPr="00B923AF">
        <w:rPr>
          <w:rFonts w:eastAsia="標楷體"/>
        </w:rPr>
        <w:t xml:space="preserve">, and Chiu </w:t>
      </w:r>
      <w:r w:rsidRPr="004F74F0">
        <w:rPr>
          <w:rFonts w:eastAsia="標楷體"/>
        </w:rPr>
        <w:t>(2017) emphasize the importance of an insurance company’s solvency and use a dynamic network SBM to discuss the efficiency of Taiwanese insurance companies from 2006 to 2013. Insurance claims are used as inputs, investments are categorized as high or low risk, and return on assets is employed as a carryover variable. The empirical results of Lee</w:t>
      </w:r>
      <w:r w:rsidR="00B923AF">
        <w:rPr>
          <w:rFonts w:eastAsia="標楷體"/>
        </w:rPr>
        <w:t>,</w:t>
      </w:r>
      <w:r w:rsidRPr="004F74F0">
        <w:rPr>
          <w:rFonts w:eastAsia="標楷體"/>
        </w:rPr>
        <w:t xml:space="preserve"> </w:t>
      </w:r>
      <w:proofErr w:type="spellStart"/>
      <w:r w:rsidR="00B923AF" w:rsidRPr="00B923AF">
        <w:rPr>
          <w:rFonts w:eastAsia="標楷體"/>
        </w:rPr>
        <w:t>Shyu</w:t>
      </w:r>
      <w:proofErr w:type="spellEnd"/>
      <w:r w:rsidR="00B923AF" w:rsidRPr="00B923AF">
        <w:rPr>
          <w:rFonts w:eastAsia="標楷體"/>
        </w:rPr>
        <w:t>, and</w:t>
      </w:r>
      <w:r w:rsidR="00B923AF">
        <w:rPr>
          <w:rFonts w:eastAsia="標楷體"/>
        </w:rPr>
        <w:t xml:space="preserve"> </w:t>
      </w:r>
      <w:r w:rsidR="00B923AF" w:rsidRPr="00B923AF">
        <w:rPr>
          <w:rFonts w:eastAsia="標楷體"/>
        </w:rPr>
        <w:t>Chiu</w:t>
      </w:r>
      <w:r w:rsidR="00442C72">
        <w:rPr>
          <w:rFonts w:eastAsia="標楷體"/>
        </w:rPr>
        <w:t xml:space="preserve"> </w:t>
      </w:r>
      <w:r w:rsidRPr="004F74F0">
        <w:rPr>
          <w:rFonts w:eastAsia="標楷體"/>
        </w:rPr>
        <w:t xml:space="preserve">(2017) show that the overall performance of the Taiwanese insurance companies was higher than that of the foreign insurance companies located in Taiwan, but that these foreign companies had more </w:t>
      </w:r>
      <w:proofErr w:type="spellStart"/>
      <w:r w:rsidRPr="004F74F0">
        <w:rPr>
          <w:rFonts w:eastAsia="標楷體"/>
        </w:rPr>
        <w:t>favorable</w:t>
      </w:r>
      <w:proofErr w:type="spellEnd"/>
      <w:r w:rsidRPr="004F74F0">
        <w:rPr>
          <w:rFonts w:eastAsia="標楷體"/>
        </w:rPr>
        <w:t xml:space="preserve"> performance in insurance underwriting, fund management, and claim management; moreover, the efficiency of the insurance companies was predominantly achieved through merging with financial holding companies (FHCs).</w:t>
      </w:r>
    </w:p>
    <w:p w14:paraId="77547ACD" w14:textId="77777777" w:rsidR="00342B55" w:rsidRPr="004F74F0" w:rsidRDefault="00342B55" w:rsidP="00342B55">
      <w:pPr>
        <w:widowControl w:val="0"/>
        <w:adjustRightInd w:val="0"/>
        <w:spacing w:line="240" w:lineRule="auto"/>
        <w:ind w:firstLine="360"/>
        <w:jc w:val="both"/>
        <w:textAlignment w:val="baseline"/>
        <w:rPr>
          <w:rFonts w:eastAsia="標楷體"/>
        </w:rPr>
      </w:pPr>
    </w:p>
    <w:p w14:paraId="0355EC25" w14:textId="2632CC26" w:rsidR="004F74F0" w:rsidRPr="004F74F0" w:rsidRDefault="004F74F0" w:rsidP="00342B55">
      <w:pPr>
        <w:pStyle w:val="HeadingNumbering1"/>
        <w:ind w:left="360"/>
        <w:rPr>
          <w:rFonts w:eastAsia="標楷體"/>
        </w:rPr>
      </w:pPr>
      <w:r w:rsidRPr="00FD5442">
        <w:rPr>
          <w:rFonts w:eastAsia="標楷體"/>
        </w:rPr>
        <w:t xml:space="preserve">Research </w:t>
      </w:r>
      <w:r w:rsidR="001E7DBE">
        <w:rPr>
          <w:rFonts w:eastAsia="標楷體"/>
        </w:rPr>
        <w:t>M</w:t>
      </w:r>
      <w:r w:rsidRPr="00FD5442">
        <w:rPr>
          <w:rFonts w:eastAsia="標楷體"/>
        </w:rPr>
        <w:t xml:space="preserve">ethods </w:t>
      </w:r>
    </w:p>
    <w:p w14:paraId="081717AD" w14:textId="77777777" w:rsidR="007E5051" w:rsidRDefault="007E5051" w:rsidP="00342B55">
      <w:pPr>
        <w:widowControl w:val="0"/>
        <w:adjustRightInd w:val="0"/>
        <w:spacing w:line="240" w:lineRule="auto"/>
        <w:ind w:firstLine="360"/>
        <w:jc w:val="both"/>
        <w:textAlignment w:val="baseline"/>
        <w:rPr>
          <w:rFonts w:eastAsia="標楷體"/>
        </w:rPr>
      </w:pPr>
    </w:p>
    <w:p w14:paraId="1251081C" w14:textId="4D2E664B" w:rsidR="004F74F0" w:rsidRPr="004F74F0" w:rsidRDefault="004F74F0" w:rsidP="00342B55">
      <w:pPr>
        <w:widowControl w:val="0"/>
        <w:adjustRightInd w:val="0"/>
        <w:spacing w:line="240" w:lineRule="auto"/>
        <w:ind w:firstLine="360"/>
        <w:jc w:val="both"/>
        <w:textAlignment w:val="baseline"/>
        <w:rPr>
          <w:rFonts w:eastAsia="標楷體"/>
        </w:rPr>
      </w:pPr>
      <w:r w:rsidRPr="00FD5442">
        <w:rPr>
          <w:rFonts w:eastAsia="標楷體"/>
        </w:rPr>
        <w:t>DEA does not require assumption</w:t>
      </w:r>
      <w:r>
        <w:rPr>
          <w:rFonts w:eastAsia="標楷體"/>
        </w:rPr>
        <w:t>s</w:t>
      </w:r>
      <w:r w:rsidRPr="00FD5442">
        <w:rPr>
          <w:rFonts w:eastAsia="標楷體"/>
        </w:rPr>
        <w:t xml:space="preserve"> </w:t>
      </w:r>
      <w:r>
        <w:rPr>
          <w:rFonts w:eastAsia="標楷體"/>
        </w:rPr>
        <w:t>regarding</w:t>
      </w:r>
      <w:r w:rsidRPr="00FD5442">
        <w:rPr>
          <w:rFonts w:eastAsia="標楷體"/>
        </w:rPr>
        <w:t xml:space="preserve"> production, cost, or profit functions or calculation of combined errors</w:t>
      </w:r>
      <w:r>
        <w:rPr>
          <w:rFonts w:eastAsia="標楷體"/>
        </w:rPr>
        <w:t>.</w:t>
      </w:r>
      <w:r w:rsidRPr="00FD5442">
        <w:rPr>
          <w:rFonts w:eastAsia="標楷體"/>
        </w:rPr>
        <w:t xml:space="preserve"> </w:t>
      </w:r>
      <w:r>
        <w:rPr>
          <w:rFonts w:eastAsia="標楷體"/>
        </w:rPr>
        <w:t>L</w:t>
      </w:r>
      <w:r w:rsidRPr="00FD5442">
        <w:rPr>
          <w:rFonts w:eastAsia="標楷體"/>
        </w:rPr>
        <w:t xml:space="preserve">inear programming </w:t>
      </w:r>
      <w:r>
        <w:rPr>
          <w:rFonts w:eastAsia="標楷體"/>
        </w:rPr>
        <w:t xml:space="preserve">is employed to </w:t>
      </w:r>
      <w:r w:rsidRPr="00FD5442">
        <w:rPr>
          <w:rFonts w:eastAsia="標楷體"/>
        </w:rPr>
        <w:t>calculat</w:t>
      </w:r>
      <w:r>
        <w:rPr>
          <w:rFonts w:eastAsia="標楷體"/>
        </w:rPr>
        <w:t>e the</w:t>
      </w:r>
      <w:r w:rsidRPr="00FD5442">
        <w:rPr>
          <w:rFonts w:eastAsia="標楷體"/>
        </w:rPr>
        <w:t xml:space="preserve"> optimal solutions and obtain the efficient frontier, against which gap analyses are conducted </w:t>
      </w:r>
      <w:r>
        <w:rPr>
          <w:rFonts w:eastAsia="標楷體"/>
        </w:rPr>
        <w:t>for</w:t>
      </w:r>
      <w:r w:rsidRPr="00FD5442">
        <w:rPr>
          <w:rFonts w:eastAsia="標楷體"/>
        </w:rPr>
        <w:t xml:space="preserve"> assess</w:t>
      </w:r>
      <w:r>
        <w:rPr>
          <w:rFonts w:eastAsia="標楷體"/>
        </w:rPr>
        <w:t>ing</w:t>
      </w:r>
      <w:r w:rsidRPr="00FD5442">
        <w:rPr>
          <w:rFonts w:eastAsia="標楷體"/>
        </w:rPr>
        <w:t xml:space="preserve"> the performance</w:t>
      </w:r>
      <w:r>
        <w:rPr>
          <w:rFonts w:eastAsia="標楷體"/>
        </w:rPr>
        <w:t xml:space="preserve"> of companies</w:t>
      </w:r>
      <w:r w:rsidRPr="00FD5442">
        <w:rPr>
          <w:rFonts w:eastAsia="標楷體"/>
        </w:rPr>
        <w:t>. Therefore, DEA ha</w:t>
      </w:r>
      <w:r>
        <w:rPr>
          <w:rFonts w:eastAsia="標楷體"/>
        </w:rPr>
        <w:t>s</w:t>
      </w:r>
      <w:r w:rsidRPr="00FD5442">
        <w:rPr>
          <w:rFonts w:eastAsia="標楷體"/>
        </w:rPr>
        <w:t xml:space="preserve"> become </w:t>
      </w:r>
      <w:r>
        <w:rPr>
          <w:rFonts w:eastAsia="標楷體"/>
        </w:rPr>
        <w:t>one of</w:t>
      </w:r>
      <w:r w:rsidRPr="00FD5442">
        <w:rPr>
          <w:rFonts w:eastAsia="標楷體"/>
        </w:rPr>
        <w:t xml:space="preserve"> the most </w:t>
      </w:r>
      <w:r>
        <w:rPr>
          <w:rFonts w:eastAsia="標楷體"/>
        </w:rPr>
        <w:t xml:space="preserve">frequently </w:t>
      </w:r>
      <w:r w:rsidRPr="00FD5442">
        <w:rPr>
          <w:rFonts w:eastAsia="標楷體"/>
        </w:rPr>
        <w:t xml:space="preserve">used frontier analysis tools. Farrell (1957) </w:t>
      </w:r>
      <w:r>
        <w:rPr>
          <w:rFonts w:eastAsia="標楷體"/>
        </w:rPr>
        <w:t>proposes</w:t>
      </w:r>
      <w:r w:rsidRPr="00FD5442">
        <w:rPr>
          <w:rFonts w:eastAsia="標楷體"/>
        </w:rPr>
        <w:t xml:space="preserve"> the simplest concept of </w:t>
      </w:r>
      <w:r w:rsidRPr="00FF61AC">
        <w:rPr>
          <w:rFonts w:eastAsia="標楷體"/>
        </w:rPr>
        <w:t xml:space="preserve">technical efficiency, </w:t>
      </w:r>
      <w:r w:rsidRPr="00211217">
        <w:rPr>
          <w:rFonts w:eastAsia="標楷體"/>
        </w:rPr>
        <w:t>which is that for a single input or output</w:t>
      </w:r>
      <w:r w:rsidRPr="00FF61AC">
        <w:rPr>
          <w:rFonts w:eastAsia="標楷體"/>
        </w:rPr>
        <w:t xml:space="preserve">. </w:t>
      </w:r>
      <w:proofErr w:type="spellStart"/>
      <w:r w:rsidRPr="00FF61AC">
        <w:rPr>
          <w:rFonts w:eastAsia="標楷體"/>
        </w:rPr>
        <w:t>Charnes</w:t>
      </w:r>
      <w:proofErr w:type="spellEnd"/>
      <w:r w:rsidRPr="00FF61AC">
        <w:rPr>
          <w:rFonts w:eastAsia="標楷體"/>
        </w:rPr>
        <w:t>, Cooper</w:t>
      </w:r>
      <w:r>
        <w:rPr>
          <w:rFonts w:eastAsia="標楷體"/>
        </w:rPr>
        <w:t>,</w:t>
      </w:r>
      <w:r w:rsidRPr="00FF61AC">
        <w:rPr>
          <w:rFonts w:eastAsia="標楷體"/>
        </w:rPr>
        <w:t xml:space="preserve"> and Rhodes</w:t>
      </w:r>
      <w:r w:rsidRPr="00FD5442">
        <w:rPr>
          <w:rFonts w:eastAsia="標楷體"/>
        </w:rPr>
        <w:t xml:space="preserve"> (1978) and Banker, </w:t>
      </w:r>
      <w:proofErr w:type="spellStart"/>
      <w:r w:rsidRPr="00FD5442">
        <w:rPr>
          <w:rFonts w:eastAsia="標楷體"/>
        </w:rPr>
        <w:t>Charnes</w:t>
      </w:r>
      <w:proofErr w:type="spellEnd"/>
      <w:r>
        <w:rPr>
          <w:rFonts w:eastAsia="標楷體"/>
        </w:rPr>
        <w:t>,</w:t>
      </w:r>
      <w:r w:rsidRPr="00FD5442">
        <w:rPr>
          <w:rFonts w:eastAsia="標楷體"/>
        </w:rPr>
        <w:t xml:space="preserve"> and </w:t>
      </w:r>
      <w:r w:rsidRPr="009605D7">
        <w:rPr>
          <w:rFonts w:eastAsia="標楷體"/>
        </w:rPr>
        <w:t>Cooper (1984) develop multi-input–</w:t>
      </w:r>
      <w:proofErr w:type="spellStart"/>
      <w:r w:rsidRPr="009605D7">
        <w:rPr>
          <w:rFonts w:eastAsia="標楷體"/>
        </w:rPr>
        <w:t>multioutput</w:t>
      </w:r>
      <w:proofErr w:type="spellEnd"/>
      <w:r w:rsidRPr="009605D7">
        <w:rPr>
          <w:rFonts w:eastAsia="標楷體"/>
        </w:rPr>
        <w:t xml:space="preserve"> analysis models assuming constant returns to scale (</w:t>
      </w:r>
      <w:r w:rsidRPr="00211217">
        <w:rPr>
          <w:rFonts w:eastAsia="標楷體"/>
        </w:rPr>
        <w:t>CCR</w:t>
      </w:r>
      <w:r w:rsidRPr="009605D7">
        <w:rPr>
          <w:rFonts w:eastAsia="標楷體"/>
        </w:rPr>
        <w:t xml:space="preserve"> model) and variable returns to scale (</w:t>
      </w:r>
      <w:r w:rsidRPr="00211217">
        <w:rPr>
          <w:rFonts w:eastAsia="標楷體"/>
        </w:rPr>
        <w:t>BCC</w:t>
      </w:r>
      <w:r w:rsidRPr="009605D7">
        <w:rPr>
          <w:rFonts w:eastAsia="標楷體"/>
        </w:rPr>
        <w:t xml:space="preserve"> model), respectively. In particular</w:t>
      </w:r>
      <w:r w:rsidRPr="00FF61AC">
        <w:rPr>
          <w:rFonts w:eastAsia="標楷體"/>
        </w:rPr>
        <w:t xml:space="preserve">, the BBC model loosens the CCR model’s constraints of constant returns to scale (with a convexity constraint added, namely </w:t>
      </w:r>
      <m:oMath>
        <m:nary>
          <m:naryPr>
            <m:chr m:val="∑"/>
            <m:limLoc m:val="undOvr"/>
            <m:subHide m:val="1"/>
            <m:supHide m:val="1"/>
            <m:ctrlPr>
              <w:rPr>
                <w:rFonts w:ascii="Cambria Math" w:eastAsia="標楷體" w:hAnsi="Cambria Math"/>
              </w:rPr>
            </m:ctrlPr>
          </m:naryPr>
          <m:sub/>
          <m:sup/>
          <m:e>
            <m:r>
              <w:rPr>
                <w:rFonts w:ascii="Cambria Math" w:eastAsia="標楷體" w:hAnsi="Cambria Math"/>
                <w:i/>
                <w:position w:val="-6"/>
              </w:rPr>
              <w:object w:dxaOrig="540" w:dyaOrig="279" w14:anchorId="551F5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15pt" o:ole="">
                  <v:imagedata r:id="rId8" o:title=""/>
                </v:shape>
                <o:OLEObject Type="Embed" ProgID="Equation.DSMT4" ShapeID="_x0000_i1026" DrawAspect="Content" ObjectID="_1629831195" r:id="rId9"/>
              </w:object>
            </m:r>
          </m:e>
        </m:nary>
      </m:oMath>
      <w:r w:rsidRPr="00FF61AC">
        <w:rPr>
          <w:rFonts w:eastAsia="標楷體"/>
        </w:rPr>
        <w:t xml:space="preserve">) and separates technical efficiency into </w:t>
      </w:r>
      <w:r w:rsidRPr="00211217">
        <w:rPr>
          <w:rFonts w:eastAsia="標楷體"/>
        </w:rPr>
        <w:t>pure technical efficiency</w:t>
      </w:r>
      <w:r w:rsidRPr="00FF61AC">
        <w:rPr>
          <w:rFonts w:eastAsia="標楷體"/>
        </w:rPr>
        <w:t xml:space="preserve"> and </w:t>
      </w:r>
      <w:r w:rsidRPr="00211217">
        <w:rPr>
          <w:rFonts w:eastAsia="標楷體"/>
        </w:rPr>
        <w:t>scale efficiency</w:t>
      </w:r>
      <w:r w:rsidRPr="00FF61AC">
        <w:rPr>
          <w:rFonts w:eastAsia="標楷體"/>
        </w:rPr>
        <w:t xml:space="preserve">. The BCC model comprises </w:t>
      </w:r>
      <w:r w:rsidRPr="00211217">
        <w:rPr>
          <w:rFonts w:eastAsia="標楷體"/>
        </w:rPr>
        <w:t>output-oriented</w:t>
      </w:r>
      <w:r w:rsidRPr="00FF61AC">
        <w:rPr>
          <w:rFonts w:eastAsia="標楷體"/>
        </w:rPr>
        <w:t xml:space="preserve"> and </w:t>
      </w:r>
      <w:r w:rsidRPr="00211217">
        <w:rPr>
          <w:rFonts w:eastAsia="標楷體"/>
        </w:rPr>
        <w:t>input-oriented</w:t>
      </w:r>
      <w:r w:rsidRPr="00FF61AC">
        <w:rPr>
          <w:rFonts w:eastAsia="標楷體"/>
        </w:rPr>
        <w:t xml:space="preserve"> models, the choice between which is determined by a manager’s power to adjust and control either output or input. When a manager controls or adjusts the level of output for a given level of input, </w:t>
      </w:r>
      <w:r w:rsidRPr="00211217">
        <w:rPr>
          <w:rFonts w:eastAsia="標楷體"/>
        </w:rPr>
        <w:t>an output-oriented model should be used</w:t>
      </w:r>
      <w:r w:rsidRPr="00FF61AC">
        <w:rPr>
          <w:rFonts w:eastAsia="標楷體"/>
        </w:rPr>
        <w:t xml:space="preserve">; by contrast, when a manager controls or adjusts the level of input during the production process, </w:t>
      </w:r>
      <w:r w:rsidRPr="00211217">
        <w:rPr>
          <w:rFonts w:eastAsia="標楷體"/>
        </w:rPr>
        <w:t>an input-oriented model should be used</w:t>
      </w:r>
      <w:r w:rsidRPr="00FF61AC">
        <w:rPr>
          <w:rFonts w:eastAsia="標楷體"/>
        </w:rPr>
        <w:t>.</w:t>
      </w:r>
      <w:r w:rsidRPr="00FD5442">
        <w:rPr>
          <w:rFonts w:eastAsia="標楷體"/>
        </w:rPr>
        <w:t xml:space="preserve"> </w:t>
      </w:r>
    </w:p>
    <w:p w14:paraId="1D66DB25" w14:textId="00603B84" w:rsidR="004F74F0" w:rsidRDefault="004F74F0" w:rsidP="00342B55">
      <w:pPr>
        <w:widowControl w:val="0"/>
        <w:adjustRightInd w:val="0"/>
        <w:spacing w:line="240" w:lineRule="auto"/>
        <w:ind w:firstLine="360"/>
        <w:jc w:val="both"/>
        <w:textAlignment w:val="baseline"/>
        <w:rPr>
          <w:rFonts w:eastAsia="標楷體"/>
        </w:rPr>
      </w:pPr>
      <w:r w:rsidRPr="004F74F0">
        <w:rPr>
          <w:rFonts w:eastAsia="標楷體"/>
        </w:rPr>
        <w:t xml:space="preserve">Because an insurance company’s management has much greater control over input resources than the company’s target output and we are investigating companies without the constraint of constant returns to scale, the conventional BCC model is used in this study to assess the efficiency of Taiwanese life insurance companies. Moreover, to prevent the efficiency overestimation that can occur using the conventional method, an algorithm developed by Simar and Wilson (2007) is employed to correct biased efficiency scores. Subsequently, we construct a bootstrap truncated regression model; maximum likelihood estimation (MLE) is used to estimate parameters, and the bootstrap method is employed to establish a confidence interval for the regression coefficients, thus reducing the estimation errors and obtaining efficiency values closer to the actual values. The </w:t>
      </w:r>
      <w:r w:rsidRPr="004F74F0">
        <w:rPr>
          <w:rFonts w:eastAsia="標楷體"/>
        </w:rPr>
        <w:lastRenderedPageBreak/>
        <w:t>following presents an overview of two-stage DEA:</w:t>
      </w:r>
    </w:p>
    <w:p w14:paraId="06D7DE72" w14:textId="77777777" w:rsidR="00914EBA" w:rsidRPr="00FD5442" w:rsidRDefault="00914EBA" w:rsidP="00342B55">
      <w:pPr>
        <w:widowControl w:val="0"/>
        <w:adjustRightInd w:val="0"/>
        <w:spacing w:line="240" w:lineRule="auto"/>
        <w:ind w:firstLine="360"/>
        <w:jc w:val="both"/>
        <w:textAlignment w:val="baseline"/>
        <w:rPr>
          <w:rFonts w:eastAsia="標楷體"/>
        </w:rPr>
      </w:pPr>
    </w:p>
    <w:p w14:paraId="12D9C680" w14:textId="78739914" w:rsidR="004F74F0" w:rsidRPr="00FD5442" w:rsidRDefault="004F74F0" w:rsidP="00342B55">
      <w:pPr>
        <w:widowControl w:val="0"/>
        <w:adjustRightInd w:val="0"/>
        <w:spacing w:line="240" w:lineRule="auto"/>
        <w:jc w:val="both"/>
        <w:textAlignment w:val="baseline"/>
        <w:rPr>
          <w:rFonts w:eastAsia="標楷體"/>
        </w:rPr>
      </w:pPr>
      <w:r w:rsidRPr="00F36625">
        <w:rPr>
          <w:rFonts w:eastAsia="Times New Roman"/>
        </w:rPr>
        <w:t>Step 1: The linear programming setting of the input-oriented DEA-BCC model</w:t>
      </w:r>
      <w:r w:rsidR="001E7DBE">
        <w:t xml:space="preserve"> </w:t>
      </w:r>
      <w:r w:rsidRPr="00F36625">
        <w:rPr>
          <w:rFonts w:eastAsia="Times New Roman"/>
        </w:rPr>
        <w:t xml:space="preserve">(with a convexity constraint) is used to obtain the uncorrected efficiency scores. </w:t>
      </w:r>
    </w:p>
    <w:p w14:paraId="47A0D419" w14:textId="77777777" w:rsidR="004F74F0" w:rsidRPr="00FD5442" w:rsidRDefault="004F74F0" w:rsidP="005426E7">
      <w:pPr>
        <w:widowControl w:val="0"/>
        <w:adjustRightInd w:val="0"/>
        <w:spacing w:line="240" w:lineRule="auto"/>
        <w:ind w:firstLine="360"/>
        <w:jc w:val="both"/>
        <w:textAlignment w:val="baseline"/>
        <w:rPr>
          <w:rFonts w:eastAsia="標楷體"/>
        </w:rPr>
      </w:pPr>
      <w:r w:rsidRPr="00FD5442">
        <w:rPr>
          <w:rFonts w:eastAsia="標楷體"/>
        </w:rPr>
        <w:object w:dxaOrig="920" w:dyaOrig="380" w14:anchorId="18F4EE1E">
          <v:shape id="_x0000_i1027" type="#_x0000_t75" style="width:45.75pt;height:18.75pt" o:ole="">
            <v:imagedata r:id="rId10" o:title=""/>
          </v:shape>
          <o:OLEObject Type="Embed" ProgID="Equation.DSMT4" ShapeID="_x0000_i1027" DrawAspect="Content" ObjectID="_1629831196" r:id="rId11"/>
        </w:object>
      </w:r>
    </w:p>
    <w:p w14:paraId="7FF59460" w14:textId="78947D20" w:rsidR="004F74F0" w:rsidRPr="00FD5442" w:rsidRDefault="004F74F0" w:rsidP="005426E7">
      <w:pPr>
        <w:widowControl w:val="0"/>
        <w:adjustRightInd w:val="0"/>
        <w:spacing w:line="240" w:lineRule="auto"/>
        <w:ind w:firstLine="360"/>
        <w:jc w:val="both"/>
        <w:textAlignment w:val="baseline"/>
        <w:rPr>
          <w:rFonts w:eastAsia="標楷體"/>
        </w:rPr>
      </w:pPr>
      <w:r w:rsidRPr="00FD5442">
        <w:rPr>
          <w:rFonts w:eastAsia="標楷體"/>
        </w:rPr>
        <w:t>S</w:t>
      </w:r>
      <w:r>
        <w:rPr>
          <w:rFonts w:eastAsia="標楷體"/>
        </w:rPr>
        <w:t>uch tha</w:t>
      </w:r>
      <w:r w:rsidRPr="00FD5442">
        <w:rPr>
          <w:rFonts w:eastAsia="標楷體"/>
        </w:rPr>
        <w:t xml:space="preserve">t  </w:t>
      </w:r>
      <w:r w:rsidR="005426E7">
        <w:rPr>
          <w:rFonts w:eastAsia="標楷體"/>
        </w:rPr>
        <w:t xml:space="preserve">                                   </w:t>
      </w:r>
      <w:r w:rsidRPr="00FD5442">
        <w:rPr>
          <w:rFonts w:eastAsia="標楷體"/>
        </w:rPr>
        <w:object w:dxaOrig="1320" w:dyaOrig="360" w14:anchorId="075FB7D0">
          <v:shape id="_x0000_i1028" type="#_x0000_t75" style="width:66pt;height:18.75pt" o:ole="">
            <v:imagedata r:id="rId12" o:title=""/>
          </v:shape>
          <o:OLEObject Type="Embed" ProgID="Equation.DSMT4" ShapeID="_x0000_i1028" DrawAspect="Content" ObjectID="_1629831197" r:id="rId13"/>
        </w:object>
      </w:r>
    </w:p>
    <w:p w14:paraId="0B4A2A27" w14:textId="7A991FEB" w:rsidR="004F74F0" w:rsidRPr="00FD5442" w:rsidRDefault="004F74F0" w:rsidP="005426E7">
      <w:pPr>
        <w:widowControl w:val="0"/>
        <w:adjustRightInd w:val="0"/>
        <w:spacing w:line="240" w:lineRule="auto"/>
        <w:ind w:firstLineChars="1450" w:firstLine="3480"/>
        <w:jc w:val="both"/>
        <w:textAlignment w:val="baseline"/>
        <w:rPr>
          <w:rFonts w:eastAsia="標楷體"/>
        </w:rPr>
      </w:pPr>
      <w:r w:rsidRPr="00FD5442">
        <w:rPr>
          <w:rFonts w:eastAsia="標楷體"/>
        </w:rPr>
        <w:object w:dxaOrig="1359" w:dyaOrig="360" w14:anchorId="7E1B61E7">
          <v:shape id="_x0000_i1029" type="#_x0000_t75" style="width:68.25pt;height:18.75pt" o:ole="">
            <v:imagedata r:id="rId14" o:title=""/>
          </v:shape>
          <o:OLEObject Type="Embed" ProgID="Equation.DSMT4" ShapeID="_x0000_i1029" DrawAspect="Content" ObjectID="_1629831198" r:id="rId15"/>
        </w:object>
      </w:r>
    </w:p>
    <w:p w14:paraId="373FD6A3" w14:textId="4844AC5D" w:rsidR="004F74F0" w:rsidRPr="00FD5442" w:rsidRDefault="009263BB" w:rsidP="005426E7">
      <w:pPr>
        <w:widowControl w:val="0"/>
        <w:adjustRightInd w:val="0"/>
        <w:spacing w:line="240" w:lineRule="auto"/>
        <w:ind w:firstLine="360"/>
        <w:jc w:val="both"/>
        <w:textAlignment w:val="baseline"/>
        <w:rPr>
          <w:rFonts w:eastAsia="標楷體"/>
        </w:rPr>
      </w:pPr>
      <w:r>
        <w:rPr>
          <w:rFonts w:eastAsia="標楷體"/>
        </w:rPr>
        <w:tab/>
      </w:r>
      <w:r w:rsidR="005426E7">
        <w:rPr>
          <w:rFonts w:eastAsia="標楷體"/>
        </w:rPr>
        <w:t xml:space="preserve">                                                     </w:t>
      </w:r>
      <w:r w:rsidR="004F74F0" w:rsidRPr="00FD5442">
        <w:rPr>
          <w:rFonts w:eastAsia="標楷體"/>
        </w:rPr>
        <w:t xml:space="preserve"> </w:t>
      </w:r>
      <m:oMath>
        <m:nary>
          <m:naryPr>
            <m:chr m:val="∑"/>
            <m:limLoc m:val="undOvr"/>
            <m:subHide m:val="1"/>
            <m:supHide m:val="1"/>
            <m:ctrlPr>
              <w:rPr>
                <w:rFonts w:ascii="Cambria Math" w:eastAsia="標楷體" w:hAnsi="Cambria Math"/>
              </w:rPr>
            </m:ctrlPr>
          </m:naryPr>
          <m:sub/>
          <m:sup/>
          <m:e>
            <m:r>
              <w:rPr>
                <w:rFonts w:ascii="Cambria Math" w:eastAsia="標楷體" w:hAnsi="Cambria Math"/>
                <w:i/>
                <w:position w:val="-6"/>
              </w:rPr>
              <w:object w:dxaOrig="540" w:dyaOrig="279" w14:anchorId="01FE1613">
                <v:shape id="_x0000_i1031" type="#_x0000_t75" style="width:27.75pt;height:15pt" o:ole="">
                  <v:imagedata r:id="rId8" o:title=""/>
                </v:shape>
                <o:OLEObject Type="Embed" ProgID="Equation.DSMT4" ShapeID="_x0000_i1031" DrawAspect="Content" ObjectID="_1629831199" r:id="rId16"/>
              </w:object>
            </m:r>
          </m:e>
        </m:nary>
      </m:oMath>
    </w:p>
    <w:p w14:paraId="29DC774E" w14:textId="21CA44EE" w:rsidR="004F74F0" w:rsidRDefault="009263BB" w:rsidP="005426E7">
      <w:pPr>
        <w:widowControl w:val="0"/>
        <w:adjustRightInd w:val="0"/>
        <w:spacing w:line="240" w:lineRule="auto"/>
        <w:ind w:firstLine="360"/>
        <w:jc w:val="both"/>
        <w:textAlignment w:val="baseline"/>
        <w:rPr>
          <w:rFonts w:eastAsia="標楷體"/>
        </w:rPr>
      </w:pPr>
      <w:r>
        <w:rPr>
          <w:rFonts w:eastAsia="標楷體"/>
        </w:rPr>
        <w:tab/>
      </w:r>
      <w:r w:rsidR="005426E7">
        <w:rPr>
          <w:rFonts w:eastAsia="標楷體"/>
        </w:rPr>
        <w:t xml:space="preserve">                                                          </w:t>
      </w:r>
      <w:r w:rsidR="004F74F0" w:rsidRPr="00FD5442">
        <w:rPr>
          <w:rFonts w:eastAsia="標楷體"/>
        </w:rPr>
        <w:object w:dxaOrig="620" w:dyaOrig="320" w14:anchorId="251F0F52">
          <v:shape id="_x0000_i1032" type="#_x0000_t75" style="width:30pt;height:15.75pt" o:ole="">
            <v:imagedata r:id="rId17" o:title=""/>
          </v:shape>
          <o:OLEObject Type="Embed" ProgID="Equation.DSMT4" ShapeID="_x0000_i1032" DrawAspect="Content" ObjectID="_1629831200" r:id="rId18"/>
        </w:object>
      </w:r>
    </w:p>
    <w:p w14:paraId="67C317B4" w14:textId="77777777" w:rsidR="00914EBA" w:rsidRPr="00FD5442" w:rsidRDefault="00914EBA" w:rsidP="005426E7">
      <w:pPr>
        <w:widowControl w:val="0"/>
        <w:adjustRightInd w:val="0"/>
        <w:spacing w:line="240" w:lineRule="auto"/>
        <w:ind w:firstLine="360"/>
        <w:jc w:val="both"/>
        <w:textAlignment w:val="baseline"/>
        <w:rPr>
          <w:rFonts w:eastAsia="標楷體"/>
        </w:rPr>
      </w:pPr>
    </w:p>
    <w:p w14:paraId="09D9C029" w14:textId="77777777" w:rsidR="004F74F0" w:rsidRPr="00F36625" w:rsidRDefault="004F74F0" w:rsidP="00342B55">
      <w:pPr>
        <w:widowControl w:val="0"/>
        <w:adjustRightInd w:val="0"/>
        <w:spacing w:line="240" w:lineRule="auto"/>
        <w:jc w:val="both"/>
        <w:textAlignment w:val="baseline"/>
        <w:rPr>
          <w:rFonts w:eastAsia="Times New Roman"/>
        </w:rPr>
      </w:pPr>
      <w:r w:rsidRPr="00F36625">
        <w:rPr>
          <w:rFonts w:eastAsia="Times New Roman"/>
        </w:rPr>
        <w:t>Step 2: Bootstrap truncated regression model</w:t>
      </w:r>
    </w:p>
    <w:p w14:paraId="3CC85004" w14:textId="77777777" w:rsidR="00342B55" w:rsidRDefault="00342B55" w:rsidP="00914EBA">
      <w:pPr>
        <w:widowControl w:val="0"/>
        <w:adjustRightInd w:val="0"/>
        <w:spacing w:line="240" w:lineRule="auto"/>
        <w:ind w:firstLine="360"/>
        <w:jc w:val="both"/>
        <w:textAlignment w:val="baseline"/>
        <w:rPr>
          <w:rFonts w:eastAsia="標楷體"/>
        </w:rPr>
      </w:pPr>
    </w:p>
    <w:p w14:paraId="7987DF87" w14:textId="474F0038" w:rsidR="004F74F0" w:rsidRPr="00FD5442" w:rsidRDefault="004F74F0" w:rsidP="00342B55">
      <w:pPr>
        <w:widowControl w:val="0"/>
        <w:adjustRightInd w:val="0"/>
        <w:spacing w:line="240" w:lineRule="auto"/>
        <w:jc w:val="both"/>
        <w:textAlignment w:val="baseline"/>
        <w:rPr>
          <w:rFonts w:eastAsia="標楷體"/>
        </w:rPr>
      </w:pPr>
      <w:r w:rsidRPr="004F74F0">
        <w:rPr>
          <w:rFonts w:eastAsia="標楷體"/>
        </w:rPr>
        <w:t>This study uses a bootstrap truncated regression model to determine how the environmental factors (</w:t>
      </w:r>
      <m:oMath>
        <m:sSub>
          <m:sSubPr>
            <m:ctrlPr>
              <w:rPr>
                <w:rFonts w:ascii="Cambria Math" w:eastAsia="標楷體" w:hAnsi="Cambria Math"/>
              </w:rPr>
            </m:ctrlPr>
          </m:sSubPr>
          <m:e>
            <m:r>
              <w:rPr>
                <w:rFonts w:ascii="Cambria Math" w:eastAsia="標楷體" w:hAnsi="Cambria Math"/>
              </w:rPr>
              <m:t>X</m:t>
            </m:r>
          </m:e>
          <m:sub>
            <m:r>
              <w:rPr>
                <w:rFonts w:ascii="Cambria Math" w:eastAsia="標楷體" w:hAnsi="Cambria Math"/>
              </w:rPr>
              <m:t>i</m:t>
            </m:r>
          </m:sub>
        </m:sSub>
      </m:oMath>
      <w:r w:rsidRPr="004F74F0">
        <w:rPr>
          <w:rFonts w:eastAsia="標楷體"/>
        </w:rPr>
        <w:t xml:space="preserve">) of the second stage affect the efficiency scores. </w:t>
      </w:r>
      <w:r w:rsidRPr="00FD5442">
        <w:rPr>
          <w:rFonts w:eastAsia="標楷體"/>
          <w:color w:val="000000" w:themeColor="text1"/>
        </w:rPr>
        <w:t xml:space="preserve">Let </w:t>
      </w:r>
      <m:oMath>
        <m:sSubSup>
          <m:sSubSupPr>
            <m:ctrlPr>
              <w:rPr>
                <w:rFonts w:ascii="Cambria Math" w:eastAsia="標楷體" w:hAnsi="Cambria Math"/>
              </w:rPr>
            </m:ctrlPr>
          </m:sSubSupPr>
          <m:e>
            <m:r>
              <w:rPr>
                <w:rFonts w:ascii="Cambria Math" w:eastAsia="標楷體" w:hAnsi="Cambria Math"/>
              </w:rPr>
              <m:t>TE</m:t>
            </m:r>
          </m:e>
          <m:sub>
            <m:r>
              <w:rPr>
                <w:rFonts w:ascii="Cambria Math" w:eastAsia="標楷體" w:hAnsi="Cambria Math"/>
              </w:rPr>
              <m:t>i</m:t>
            </m:r>
          </m:sub>
          <m:sup>
            <m:r>
              <w:rPr>
                <w:rFonts w:ascii="Cambria Math" w:eastAsia="標楷體" w:hAnsi="Cambria Math"/>
              </w:rPr>
              <m:t>*</m:t>
            </m:r>
          </m:sup>
        </m:sSubSup>
        <m:r>
          <w:rPr>
            <w:rFonts w:ascii="Cambria Math" w:eastAsia="標楷體" w:hAnsi="Cambria Math"/>
          </w:rPr>
          <m:t>=constant+</m:t>
        </m:r>
        <m:sSub>
          <m:sSubPr>
            <m:ctrlPr>
              <w:rPr>
                <w:rFonts w:ascii="Cambria Math" w:eastAsia="標楷體" w:hAnsi="Cambria Math"/>
                <w:i/>
              </w:rPr>
            </m:ctrlPr>
          </m:sSubPr>
          <m:e>
            <m:r>
              <w:rPr>
                <w:rFonts w:ascii="Cambria Math" w:eastAsia="標楷體" w:hAnsi="Cambria Math"/>
              </w:rPr>
              <m:t>β</m:t>
            </m:r>
          </m:e>
          <m:sub>
            <m:r>
              <w:rPr>
                <w:rFonts w:ascii="Cambria Math" w:eastAsia="標楷體" w:hAnsi="Cambria Math"/>
              </w:rPr>
              <m:t>i</m:t>
            </m:r>
          </m:sub>
        </m:sSub>
        <m:sSub>
          <m:sSubPr>
            <m:ctrlPr>
              <w:rPr>
                <w:rFonts w:ascii="Cambria Math" w:eastAsia="標楷體" w:hAnsi="Cambria Math"/>
                <w:i/>
              </w:rPr>
            </m:ctrlPr>
          </m:sSubPr>
          <m:e>
            <m:r>
              <w:rPr>
                <w:rFonts w:ascii="Cambria Math" w:eastAsia="標楷體" w:hAnsi="Cambria Math"/>
              </w:rPr>
              <m:t>X</m:t>
            </m:r>
          </m:e>
          <m:sub>
            <m:r>
              <w:rPr>
                <w:rFonts w:ascii="Cambria Math" w:eastAsia="標楷體" w:hAnsi="Cambria Math"/>
              </w:rPr>
              <m:t>i</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ϵ</m:t>
            </m:r>
          </m:e>
          <m:sub>
            <m:r>
              <w:rPr>
                <w:rFonts w:ascii="Cambria Math" w:eastAsia="標楷體" w:hAnsi="Cambria Math"/>
              </w:rPr>
              <m:t>i</m:t>
            </m:r>
          </m:sub>
        </m:sSub>
      </m:oMath>
      <w:r w:rsidRPr="00FD5442">
        <w:rPr>
          <w:rFonts w:eastAsia="標楷體"/>
        </w:rPr>
        <w:t>,</w:t>
      </w:r>
      <w:r>
        <w:rPr>
          <w:rFonts w:eastAsia="標楷體"/>
        </w:rPr>
        <w:t xml:space="preserve"> </w:t>
      </w:r>
      <w:r w:rsidRPr="00FD5442">
        <w:rPr>
          <w:rFonts w:eastAsia="標楷體"/>
        </w:rPr>
        <w:t xml:space="preserve">where </w:t>
      </w:r>
      <w:r w:rsidRPr="00FD5442">
        <w:rPr>
          <w:rFonts w:eastAsia="標楷體"/>
          <w:i/>
        </w:rPr>
        <w:t>i</w:t>
      </w:r>
      <w:r w:rsidRPr="00FD5442">
        <w:rPr>
          <w:rFonts w:eastAsia="標楷體"/>
        </w:rPr>
        <w:t xml:space="preserve"> = 1, 2,</w:t>
      </w:r>
      <w:r>
        <w:rPr>
          <w:rFonts w:eastAsia="標楷體"/>
        </w:rPr>
        <w:t xml:space="preserve"> </w:t>
      </w:r>
      <w:r w:rsidRPr="00FD5442">
        <w:rPr>
          <w:rFonts w:eastAsia="標楷體"/>
        </w:rPr>
        <w:t xml:space="preserve">…, </w:t>
      </w:r>
      <w:r w:rsidRPr="00211217">
        <w:rPr>
          <w:rFonts w:eastAsia="標楷體"/>
          <w:i/>
        </w:rPr>
        <w:t>n</w:t>
      </w:r>
      <w:r>
        <w:rPr>
          <w:rFonts w:eastAsia="標楷體"/>
        </w:rPr>
        <w:t xml:space="preserve">; </w:t>
      </w:r>
      <m:oMath>
        <m:sSub>
          <m:sSubPr>
            <m:ctrlPr>
              <w:rPr>
                <w:rFonts w:ascii="Cambria Math" w:eastAsia="標楷體" w:hAnsi="Cambria Math"/>
                <w:i/>
              </w:rPr>
            </m:ctrlPr>
          </m:sSubPr>
          <m:e>
            <m:r>
              <w:rPr>
                <w:rFonts w:ascii="Cambria Math" w:eastAsia="標楷體" w:hAnsi="Cambria Math"/>
              </w:rPr>
              <m:t>ϵ</m:t>
            </m:r>
          </m:e>
          <m:sub>
            <m:r>
              <w:rPr>
                <w:rFonts w:ascii="Cambria Math" w:eastAsia="標楷體" w:hAnsi="Cambria Math"/>
              </w:rPr>
              <m:t>i</m:t>
            </m:r>
          </m:sub>
        </m:sSub>
        <m:r>
          <w:rPr>
            <w:rFonts w:ascii="Cambria Math" w:eastAsia="標楷體" w:hAnsi="Cambria Math"/>
          </w:rPr>
          <m:t>~N(0,</m:t>
        </m:r>
        <m:sSup>
          <m:sSupPr>
            <m:ctrlPr>
              <w:rPr>
                <w:rFonts w:ascii="Cambria Math" w:eastAsia="標楷體" w:hAnsi="Cambria Math"/>
                <w:i/>
              </w:rPr>
            </m:ctrlPr>
          </m:sSupPr>
          <m:e>
            <m:r>
              <w:rPr>
                <w:rFonts w:ascii="Cambria Math" w:eastAsia="標楷體" w:hAnsi="Cambria Math"/>
              </w:rPr>
              <m:t>σ</m:t>
            </m:r>
          </m:e>
          <m:sup>
            <m:r>
              <w:rPr>
                <w:rFonts w:ascii="Cambria Math" w:eastAsia="標楷體" w:hAnsi="Cambria Math"/>
              </w:rPr>
              <m:t>2</m:t>
            </m:r>
          </m:sup>
        </m:sSup>
        <m:r>
          <w:rPr>
            <w:rFonts w:ascii="Cambria Math" w:eastAsia="標楷體" w:hAnsi="Cambria Math"/>
          </w:rPr>
          <m:t>)</m:t>
        </m:r>
      </m:oMath>
      <w:r>
        <w:rPr>
          <w:rFonts w:eastAsia="標楷體"/>
        </w:rPr>
        <w:t>; and</w:t>
      </w:r>
      <m:oMath>
        <m:r>
          <w:rPr>
            <w:rFonts w:ascii="Cambria Math" w:eastAsia="標楷體" w:hAnsi="Cambria Math"/>
          </w:rPr>
          <m:t xml:space="preserve"> </m:t>
        </m:r>
        <m:sSub>
          <m:sSubPr>
            <m:ctrlPr>
              <w:rPr>
                <w:rFonts w:ascii="Cambria Math" w:eastAsia="標楷體" w:hAnsi="Cambria Math"/>
                <w:i/>
              </w:rPr>
            </m:ctrlPr>
          </m:sSubPr>
          <m:e>
            <m:r>
              <w:rPr>
                <w:rFonts w:ascii="Cambria Math" w:eastAsia="標楷體" w:hAnsi="Cambria Math"/>
              </w:rPr>
              <m:t>TE</m:t>
            </m:r>
          </m:e>
          <m:sub>
            <m:r>
              <w:rPr>
                <w:rFonts w:ascii="Cambria Math" w:eastAsia="標楷體" w:hAnsi="Cambria Math"/>
              </w:rPr>
              <m:t>i</m:t>
            </m:r>
          </m:sub>
        </m:sSub>
        <m:sSubSup>
          <m:sSubSupPr>
            <m:ctrlPr>
              <w:rPr>
                <w:rFonts w:ascii="Cambria Math" w:eastAsia="標楷體" w:hAnsi="Cambria Math"/>
              </w:rPr>
            </m:ctrlPr>
          </m:sSubSupPr>
          <m:e>
            <m:r>
              <w:rPr>
                <w:rFonts w:ascii="Cambria Math" w:eastAsia="標楷體" w:hAnsi="Cambria Math"/>
              </w:rPr>
              <m:t>=TE</m:t>
            </m:r>
          </m:e>
          <m:sub>
            <m:r>
              <w:rPr>
                <w:rFonts w:ascii="Cambria Math" w:eastAsia="標楷體" w:hAnsi="Cambria Math"/>
              </w:rPr>
              <m:t>i</m:t>
            </m:r>
          </m:sub>
          <m:sup>
            <m:r>
              <w:rPr>
                <w:rFonts w:ascii="Cambria Math" w:eastAsia="標楷體" w:hAnsi="Cambria Math"/>
              </w:rPr>
              <m:t>*</m:t>
            </m:r>
          </m:sup>
        </m:sSubSup>
      </m:oMath>
      <w:r w:rsidRPr="00FD5442">
        <w:rPr>
          <w:rFonts w:eastAsia="標楷體"/>
        </w:rPr>
        <w:t xml:space="preserve"> for all </w:t>
      </w:r>
      <m:oMath>
        <m:sSubSup>
          <m:sSubSupPr>
            <m:ctrlPr>
              <w:rPr>
                <w:rFonts w:ascii="Cambria Math" w:eastAsia="標楷體" w:hAnsi="Cambria Math"/>
              </w:rPr>
            </m:ctrlPr>
          </m:sSubSupPr>
          <m:e>
            <m:r>
              <w:rPr>
                <w:rFonts w:ascii="Cambria Math" w:eastAsia="標楷體" w:hAnsi="Cambria Math"/>
              </w:rPr>
              <m:t>TE</m:t>
            </m:r>
          </m:e>
          <m:sub>
            <m:r>
              <w:rPr>
                <w:rFonts w:ascii="Cambria Math" w:eastAsia="標楷體" w:hAnsi="Cambria Math"/>
              </w:rPr>
              <m:t>i</m:t>
            </m:r>
          </m:sub>
          <m:sup>
            <m:r>
              <w:rPr>
                <w:rFonts w:ascii="Cambria Math" w:eastAsia="標楷體" w:hAnsi="Cambria Math"/>
              </w:rPr>
              <m:t>*</m:t>
            </m:r>
          </m:sup>
        </m:sSubSup>
      </m:oMath>
      <w:r w:rsidRPr="00FD5442">
        <w:rPr>
          <w:rFonts w:eastAsia="標楷體"/>
        </w:rPr>
        <w:t>.</w:t>
      </w:r>
    </w:p>
    <w:p w14:paraId="6C973FE5" w14:textId="0B8E9A7F" w:rsidR="004F74F0" w:rsidRDefault="004F74F0" w:rsidP="005426E7">
      <w:pPr>
        <w:widowControl w:val="0"/>
        <w:adjustRightInd w:val="0"/>
        <w:spacing w:line="240" w:lineRule="auto"/>
        <w:ind w:firstLine="360"/>
        <w:jc w:val="both"/>
        <w:textAlignment w:val="baseline"/>
        <w:rPr>
          <w:rFonts w:eastAsia="標楷體"/>
        </w:rPr>
      </w:pPr>
      <w:r w:rsidRPr="00FD5442">
        <w:rPr>
          <w:rFonts w:eastAsia="標楷體"/>
        </w:rPr>
        <w:t>The likelihood function is as follows:</w:t>
      </w:r>
    </w:p>
    <w:p w14:paraId="78C9B8EC" w14:textId="77777777" w:rsidR="005426E7" w:rsidRPr="00FD5442" w:rsidRDefault="005426E7" w:rsidP="005426E7">
      <w:pPr>
        <w:widowControl w:val="0"/>
        <w:adjustRightInd w:val="0"/>
        <w:spacing w:line="240" w:lineRule="auto"/>
        <w:ind w:firstLine="360"/>
        <w:jc w:val="both"/>
        <w:textAlignment w:val="baseline"/>
        <w:rPr>
          <w:rFonts w:eastAsia="標楷體"/>
        </w:rPr>
      </w:pPr>
    </w:p>
    <w:p w14:paraId="017B1CB8" w14:textId="77676673" w:rsidR="004F74F0" w:rsidRDefault="004F74F0" w:rsidP="005426E7">
      <w:pPr>
        <w:widowControl w:val="0"/>
        <w:adjustRightInd w:val="0"/>
        <w:spacing w:line="240" w:lineRule="auto"/>
        <w:ind w:firstLine="360"/>
        <w:jc w:val="center"/>
        <w:textAlignment w:val="baseline"/>
        <w:rPr>
          <w:rFonts w:eastAsia="標楷體"/>
        </w:rPr>
      </w:pPr>
      <m:oMath>
        <m:r>
          <w:rPr>
            <w:rFonts w:ascii="Cambria Math" w:eastAsia="標楷體" w:hAnsi="Cambria Math"/>
          </w:rPr>
          <m:t>L</m:t>
        </m:r>
        <m:r>
          <m:rPr>
            <m:sty m:val="p"/>
          </m:rPr>
          <w:rPr>
            <w:rFonts w:ascii="Cambria Math" w:eastAsia="標楷體" w:hAnsi="Cambria Math"/>
          </w:rPr>
          <m:t>=</m:t>
        </m:r>
        <m:nary>
          <m:naryPr>
            <m:chr m:val="∏"/>
            <m:limLoc m:val="undOvr"/>
            <m:ctrlPr>
              <w:rPr>
                <w:rFonts w:ascii="Cambria Math" w:eastAsia="標楷體" w:hAnsi="Cambria Math"/>
              </w:rPr>
            </m:ctrlPr>
          </m:naryPr>
          <m:sub>
            <m:r>
              <w:rPr>
                <w:rFonts w:ascii="Cambria Math" w:eastAsia="標楷體" w:hAnsi="Cambria Math"/>
              </w:rPr>
              <m:t>i</m:t>
            </m:r>
          </m:sub>
          <m:sup>
            <m:r>
              <w:rPr>
                <w:rFonts w:ascii="Cambria Math" w:eastAsia="標楷體" w:hAnsi="Cambria Math"/>
              </w:rPr>
              <m:t>n</m:t>
            </m:r>
          </m:sup>
          <m:e>
            <m:f>
              <m:fPr>
                <m:ctrlPr>
                  <w:rPr>
                    <w:rFonts w:ascii="Cambria Math" w:eastAsia="標楷體" w:hAnsi="Cambria Math"/>
                  </w:rPr>
                </m:ctrlPr>
              </m:fPr>
              <m:num>
                <m:r>
                  <m:rPr>
                    <m:sty m:val="p"/>
                  </m:rPr>
                  <w:rPr>
                    <w:rFonts w:ascii="Cambria Math" w:eastAsia="標楷體" w:hAnsi="Cambria Math"/>
                  </w:rPr>
                  <m:t>1</m:t>
                </m:r>
              </m:num>
              <m:den>
                <m:r>
                  <w:rPr>
                    <w:rFonts w:ascii="Cambria Math" w:eastAsia="標楷體" w:hAnsi="Cambria Math"/>
                  </w:rPr>
                  <m:t>σ</m:t>
                </m:r>
              </m:den>
            </m:f>
          </m:e>
        </m:nary>
        <m:r>
          <m:rPr>
            <m:sty m:val="p"/>
          </m:rPr>
          <w:rPr>
            <w:rFonts w:ascii="Cambria Math" w:eastAsia="標楷體" w:hAnsi="Cambria Math"/>
          </w:rPr>
          <m:t>∅</m:t>
        </m:r>
        <m:d>
          <m:dPr>
            <m:ctrlPr>
              <w:rPr>
                <w:rFonts w:ascii="Cambria Math" w:eastAsia="標楷體" w:hAnsi="Cambria Math"/>
              </w:rPr>
            </m:ctrlPr>
          </m:dPr>
          <m:e>
            <m:f>
              <m:fPr>
                <m:ctrlPr>
                  <w:rPr>
                    <w:rFonts w:ascii="Cambria Math" w:eastAsia="標楷體" w:hAnsi="Cambria Math"/>
                  </w:rPr>
                </m:ctrlPr>
              </m:fPr>
              <m:num>
                <m:sSub>
                  <m:sSubPr>
                    <m:ctrlPr>
                      <w:rPr>
                        <w:rFonts w:ascii="Cambria Math" w:eastAsia="標楷體" w:hAnsi="Cambria Math"/>
                      </w:rPr>
                    </m:ctrlPr>
                  </m:sSubPr>
                  <m:e>
                    <m:r>
                      <w:rPr>
                        <w:rFonts w:ascii="Cambria Math" w:eastAsia="標楷體" w:hAnsi="Cambria Math"/>
                      </w:rPr>
                      <m:t>TE</m:t>
                    </m:r>
                  </m:e>
                  <m:sub>
                    <m:r>
                      <w:rPr>
                        <w:rFonts w:ascii="Cambria Math" w:eastAsia="標楷體" w:hAnsi="Cambria Math"/>
                      </w:rPr>
                      <m:t>i</m:t>
                    </m:r>
                  </m:sub>
                </m:sSub>
                <m:r>
                  <m:rPr>
                    <m:sty m:val="p"/>
                  </m:rPr>
                  <w:rPr>
                    <w:rFonts w:ascii="Cambria Math" w:eastAsia="MS Gothic" w:hAnsi="Cambria Math"/>
                  </w:rPr>
                  <m:t>-</m:t>
                </m:r>
                <m:sSub>
                  <m:sSubPr>
                    <m:ctrlPr>
                      <w:rPr>
                        <w:rFonts w:ascii="Cambria Math" w:eastAsia="標楷體" w:hAnsi="Cambria Math"/>
                      </w:rPr>
                    </m:ctrlPr>
                  </m:sSubPr>
                  <m:e>
                    <m:r>
                      <w:rPr>
                        <w:rFonts w:ascii="Cambria Math" w:eastAsia="標楷體" w:hAnsi="Cambria Math"/>
                      </w:rPr>
                      <m:t>β</m:t>
                    </m:r>
                  </m:e>
                  <m:sub>
                    <m:r>
                      <w:rPr>
                        <w:rFonts w:ascii="Cambria Math" w:eastAsia="標楷體" w:hAnsi="Cambria Math"/>
                      </w:rPr>
                      <m:t>i</m:t>
                    </m:r>
                  </m:sub>
                </m:sSub>
                <m:sSub>
                  <m:sSubPr>
                    <m:ctrlPr>
                      <w:rPr>
                        <w:rFonts w:ascii="Cambria Math" w:eastAsia="標楷體" w:hAnsi="Cambria Math"/>
                      </w:rPr>
                    </m:ctrlPr>
                  </m:sSubPr>
                  <m:e>
                    <m:r>
                      <w:rPr>
                        <w:rFonts w:ascii="Cambria Math" w:eastAsia="標楷體" w:hAnsi="Cambria Math"/>
                      </w:rPr>
                      <m:t>X</m:t>
                    </m:r>
                  </m:e>
                  <m:sub>
                    <m:r>
                      <w:rPr>
                        <w:rFonts w:ascii="Cambria Math" w:eastAsia="標楷體" w:hAnsi="Cambria Math"/>
                      </w:rPr>
                      <m:t>i</m:t>
                    </m:r>
                  </m:sub>
                </m:sSub>
              </m:num>
              <m:den>
                <m:r>
                  <w:rPr>
                    <w:rFonts w:ascii="Cambria Math" w:eastAsia="標楷體" w:hAnsi="Cambria Math"/>
                  </w:rPr>
                  <m:t>σ</m:t>
                </m:r>
              </m:den>
            </m:f>
          </m:e>
        </m:d>
        <m:r>
          <m:rPr>
            <m:sty m:val="p"/>
          </m:rPr>
          <w:rPr>
            <w:rFonts w:ascii="Cambria Math" w:eastAsia="標楷體" w:hAnsi="Cambria Math"/>
          </w:rPr>
          <m:t>[1</m:t>
        </m:r>
        <m:r>
          <m:rPr>
            <m:sty m:val="p"/>
          </m:rPr>
          <w:rPr>
            <w:rFonts w:ascii="Cambria Math" w:eastAsia="MS Gothic" w:hAnsi="Cambria Math"/>
          </w:rPr>
          <m:t>-Φ</m:t>
        </m:r>
        <m:r>
          <m:rPr>
            <m:sty m:val="p"/>
          </m:rPr>
          <w:rPr>
            <w:rFonts w:ascii="Cambria Math" w:hAnsi="Cambria Math"/>
          </w:rPr>
          <m:t>(</m:t>
        </m:r>
        <m:f>
          <m:fPr>
            <m:ctrlPr>
              <w:rPr>
                <w:rFonts w:ascii="Cambria Math" w:eastAsia="標楷體" w:hAnsi="Cambria Math"/>
              </w:rPr>
            </m:ctrlPr>
          </m:fPr>
          <m:num>
            <m:sSub>
              <m:sSubPr>
                <m:ctrlPr>
                  <w:rPr>
                    <w:rFonts w:ascii="Cambria Math" w:eastAsia="標楷體" w:hAnsi="Cambria Math"/>
                  </w:rPr>
                </m:ctrlPr>
              </m:sSubPr>
              <m:e>
                <m:r>
                  <w:rPr>
                    <w:rFonts w:ascii="Cambria Math" w:eastAsia="標楷體" w:hAnsi="Cambria Math"/>
                  </w:rPr>
                  <m:t>TE</m:t>
                </m:r>
              </m:e>
              <m:sub>
                <m:r>
                  <w:rPr>
                    <w:rFonts w:ascii="Cambria Math" w:eastAsia="標楷體" w:hAnsi="Cambria Math"/>
                  </w:rPr>
                  <m:t>i</m:t>
                </m:r>
              </m:sub>
            </m:sSub>
            <m:r>
              <m:rPr>
                <m:sty m:val="p"/>
              </m:rPr>
              <w:rPr>
                <w:rFonts w:ascii="Cambria Math" w:eastAsia="MS Gothic" w:hAnsi="Cambria Math"/>
              </w:rPr>
              <m:t>-</m:t>
            </m:r>
            <m:sSub>
              <m:sSubPr>
                <m:ctrlPr>
                  <w:rPr>
                    <w:rFonts w:ascii="Cambria Math" w:eastAsia="標楷體" w:hAnsi="Cambria Math"/>
                  </w:rPr>
                </m:ctrlPr>
              </m:sSubPr>
              <m:e>
                <m:r>
                  <w:rPr>
                    <w:rFonts w:ascii="Cambria Math" w:eastAsia="標楷體" w:hAnsi="Cambria Math"/>
                  </w:rPr>
                  <m:t>β</m:t>
                </m:r>
              </m:e>
              <m:sub>
                <m:r>
                  <w:rPr>
                    <w:rFonts w:ascii="Cambria Math" w:eastAsia="標楷體" w:hAnsi="Cambria Math"/>
                  </w:rPr>
                  <m:t>i</m:t>
                </m:r>
              </m:sub>
            </m:sSub>
            <m:sSub>
              <m:sSubPr>
                <m:ctrlPr>
                  <w:rPr>
                    <w:rFonts w:ascii="Cambria Math" w:eastAsia="標楷體" w:hAnsi="Cambria Math"/>
                  </w:rPr>
                </m:ctrlPr>
              </m:sSubPr>
              <m:e>
                <m:r>
                  <w:rPr>
                    <w:rFonts w:ascii="Cambria Math" w:eastAsia="標楷體" w:hAnsi="Cambria Math"/>
                  </w:rPr>
                  <m:t>X</m:t>
                </m:r>
              </m:e>
              <m:sub>
                <m:r>
                  <w:rPr>
                    <w:rFonts w:ascii="Cambria Math" w:eastAsia="標楷體" w:hAnsi="Cambria Math"/>
                  </w:rPr>
                  <m:t>i</m:t>
                </m:r>
              </m:sub>
            </m:sSub>
          </m:num>
          <m:den>
            <m:r>
              <w:rPr>
                <w:rFonts w:ascii="Cambria Math" w:eastAsia="標楷體" w:hAnsi="Cambria Math"/>
              </w:rPr>
              <m:t>σ</m:t>
            </m:r>
          </m:den>
        </m:f>
        <m:r>
          <m:rPr>
            <m:sty m:val="p"/>
          </m:rPr>
          <w:rPr>
            <w:rFonts w:ascii="Cambria Math" w:hAnsi="Cambria Math"/>
          </w:rPr>
          <m:t>)</m:t>
        </m:r>
        <m:r>
          <m:rPr>
            <m:sty m:val="p"/>
          </m:rPr>
          <w:rPr>
            <w:rFonts w:ascii="Cambria Math" w:eastAsia="標楷體" w:hAnsi="Cambria Math"/>
          </w:rPr>
          <m:t>]</m:t>
        </m:r>
      </m:oMath>
      <w:r w:rsidRPr="00FD5442">
        <w:rPr>
          <w:rFonts w:eastAsia="標楷體"/>
        </w:rPr>
        <w:t>,</w:t>
      </w:r>
    </w:p>
    <w:p w14:paraId="2D08E920" w14:textId="77777777" w:rsidR="005426E7" w:rsidRPr="00FD5442" w:rsidRDefault="005426E7" w:rsidP="005426E7">
      <w:pPr>
        <w:widowControl w:val="0"/>
        <w:adjustRightInd w:val="0"/>
        <w:spacing w:line="240" w:lineRule="auto"/>
        <w:ind w:firstLine="360"/>
        <w:jc w:val="both"/>
        <w:textAlignment w:val="baseline"/>
        <w:rPr>
          <w:rFonts w:eastAsia="標楷體"/>
        </w:rPr>
      </w:pPr>
    </w:p>
    <w:p w14:paraId="6B09814E" w14:textId="77777777" w:rsidR="004F74F0" w:rsidRPr="00FD5442" w:rsidRDefault="004F74F0" w:rsidP="00342B55">
      <w:pPr>
        <w:widowControl w:val="0"/>
        <w:adjustRightInd w:val="0"/>
        <w:spacing w:line="240" w:lineRule="auto"/>
        <w:jc w:val="both"/>
        <w:textAlignment w:val="baseline"/>
        <w:rPr>
          <w:rFonts w:eastAsia="標楷體"/>
        </w:rPr>
      </w:pPr>
      <w:r w:rsidRPr="00FD5442">
        <w:rPr>
          <w:rFonts w:eastAsia="標楷體"/>
        </w:rPr>
        <w:t xml:space="preserve">where </w:t>
      </w:r>
      <w:r w:rsidRPr="00FD5442">
        <w:rPr>
          <w:rFonts w:eastAsia="標楷體"/>
          <w:i/>
        </w:rPr>
        <w:t>i</w:t>
      </w:r>
      <w:r w:rsidRPr="00FD5442">
        <w:rPr>
          <w:rFonts w:eastAsia="標楷體"/>
        </w:rPr>
        <w:t xml:space="preserve"> = 1, 2,</w:t>
      </w:r>
      <w:r>
        <w:rPr>
          <w:rFonts w:eastAsia="標楷體"/>
        </w:rPr>
        <w:t xml:space="preserve"> </w:t>
      </w:r>
      <w:r w:rsidRPr="00FD5442">
        <w:rPr>
          <w:rFonts w:eastAsia="標楷體"/>
        </w:rPr>
        <w:t xml:space="preserve">…, </w:t>
      </w:r>
      <w:r w:rsidRPr="00211217">
        <w:rPr>
          <w:rFonts w:eastAsia="標楷體"/>
          <w:i/>
        </w:rPr>
        <w:t>n</w:t>
      </w:r>
      <w:r>
        <w:rPr>
          <w:rFonts w:eastAsia="標楷體"/>
        </w:rPr>
        <w:t xml:space="preserve"> and </w:t>
      </w:r>
      <m:oMath>
        <m:r>
          <w:rPr>
            <w:rFonts w:ascii="Cambria Math" w:eastAsia="標楷體" w:hAnsi="Cambria Math"/>
          </w:rPr>
          <m:t>∅</m:t>
        </m:r>
        <m:d>
          <m:dPr>
            <m:ctrlPr>
              <w:rPr>
                <w:rFonts w:ascii="Cambria Math" w:eastAsia="標楷體" w:hAnsi="Cambria Math"/>
                <w:i/>
              </w:rPr>
            </m:ctrlPr>
          </m:dPr>
          <m:e>
            <m:r>
              <w:rPr>
                <w:rFonts w:ascii="Cambria Math" w:eastAsia="標楷體" w:hAnsi="Cambria Math"/>
              </w:rPr>
              <m:t>.</m:t>
            </m:r>
          </m:e>
        </m:d>
      </m:oMath>
      <w:r w:rsidRPr="00FD5442">
        <w:rPr>
          <w:rFonts w:eastAsia="標楷體"/>
        </w:rPr>
        <w:t xml:space="preserve"> </w:t>
      </w:r>
      <w:r>
        <w:rPr>
          <w:rFonts w:eastAsia="標楷體"/>
        </w:rPr>
        <w:t xml:space="preserve">and </w:t>
      </w:r>
      <m:oMath>
        <m:r>
          <m:rPr>
            <m:sty m:val="p"/>
          </m:rPr>
          <w:rPr>
            <w:rFonts w:ascii="Cambria Math" w:eastAsia="MS Gothic" w:hAnsi="Cambria Math"/>
          </w:rPr>
          <m:t>Φ</m:t>
        </m:r>
        <m:r>
          <w:rPr>
            <w:rFonts w:ascii="Cambria Math" w:hAnsi="Cambria Math"/>
          </w:rPr>
          <m:t>(</m:t>
        </m:r>
        <m:r>
          <w:rPr>
            <w:rFonts w:ascii="Cambria Math" w:eastAsia="標楷體" w:hAnsi="Cambria Math"/>
          </w:rPr>
          <m:t>.</m:t>
        </m:r>
        <m:r>
          <w:rPr>
            <w:rFonts w:ascii="Cambria Math" w:hAnsi="Cambria Math"/>
          </w:rPr>
          <m:t>)</m:t>
        </m:r>
      </m:oMath>
      <w:r>
        <w:rPr>
          <w:rFonts w:eastAsia="標楷體" w:hint="eastAsia"/>
        </w:rPr>
        <w:t xml:space="preserve"> </w:t>
      </w:r>
      <w:r>
        <w:rPr>
          <w:rFonts w:eastAsia="標楷體"/>
        </w:rPr>
        <w:t>are the</w:t>
      </w:r>
      <w:r w:rsidRPr="00FD5442">
        <w:rPr>
          <w:rFonts w:eastAsia="標楷體"/>
        </w:rPr>
        <w:t xml:space="preserve"> standard normal </w:t>
      </w:r>
      <w:r>
        <w:rPr>
          <w:rFonts w:eastAsia="標楷體"/>
        </w:rPr>
        <w:t>probability and cumulative distribution functions, respectively.</w:t>
      </w:r>
    </w:p>
    <w:p w14:paraId="66B26B98" w14:textId="56DBFE2F" w:rsidR="004F74F0" w:rsidRDefault="004F74F0" w:rsidP="004F74F0">
      <w:pPr>
        <w:autoSpaceDE w:val="0"/>
        <w:autoSpaceDN w:val="0"/>
        <w:adjustRightInd w:val="0"/>
        <w:spacing w:line="360" w:lineRule="auto"/>
        <w:jc w:val="both"/>
        <w:rPr>
          <w:rFonts w:eastAsia="標楷體"/>
        </w:rPr>
      </w:pPr>
      <w:r>
        <w:rPr>
          <w:rFonts w:eastAsia="標楷體"/>
        </w:rPr>
        <w:t>T</w:t>
      </w:r>
      <w:r w:rsidRPr="00FD5442">
        <w:rPr>
          <w:rFonts w:eastAsia="標楷體"/>
        </w:rPr>
        <w:t xml:space="preserve">he maximum likelihood function is </w:t>
      </w:r>
      <w:r>
        <w:rPr>
          <w:rFonts w:eastAsia="標楷體"/>
        </w:rPr>
        <w:t>used to obtain an estimate</w:t>
      </w:r>
      <w:r w:rsidRPr="00FD5442">
        <w:rPr>
          <w:rFonts w:eastAsia="標楷體"/>
        </w:rPr>
        <w:t>:</w:t>
      </w:r>
    </w:p>
    <w:p w14:paraId="50B33E9E" w14:textId="77777777" w:rsidR="005426E7" w:rsidRPr="00FD5442" w:rsidRDefault="005426E7" w:rsidP="005426E7">
      <w:pPr>
        <w:widowControl w:val="0"/>
        <w:adjustRightInd w:val="0"/>
        <w:spacing w:line="240" w:lineRule="auto"/>
        <w:ind w:firstLine="360"/>
        <w:jc w:val="both"/>
        <w:textAlignment w:val="baseline"/>
        <w:rPr>
          <w:rFonts w:eastAsia="標楷體"/>
        </w:rPr>
      </w:pPr>
    </w:p>
    <w:p w14:paraId="65D69EED" w14:textId="7EFCB3D9" w:rsidR="004F74F0" w:rsidRDefault="000345BB" w:rsidP="005426E7">
      <w:pPr>
        <w:widowControl w:val="0"/>
        <w:adjustRightInd w:val="0"/>
        <w:spacing w:line="240" w:lineRule="auto"/>
        <w:ind w:firstLine="360"/>
        <w:jc w:val="center"/>
        <w:textAlignment w:val="baseline"/>
        <w:rPr>
          <w:rFonts w:eastAsia="標楷體"/>
        </w:rPr>
      </w:pPr>
      <m:oMath>
        <m:acc>
          <m:accPr>
            <m:ctrlPr>
              <w:rPr>
                <w:rFonts w:ascii="Cambria Math" w:eastAsia="標楷體" w:hAnsi="Cambria Math"/>
              </w:rPr>
            </m:ctrlPr>
          </m:accPr>
          <m:e>
            <m:sSub>
              <m:sSubPr>
                <m:ctrlPr>
                  <w:rPr>
                    <w:rFonts w:ascii="Cambria Math" w:eastAsia="標楷體" w:hAnsi="Cambria Math"/>
                  </w:rPr>
                </m:ctrlPr>
              </m:sSubPr>
              <m:e>
                <m:r>
                  <w:rPr>
                    <w:rFonts w:ascii="Cambria Math" w:eastAsia="標楷體" w:hAnsi="Cambria Math"/>
                  </w:rPr>
                  <m:t>TE</m:t>
                </m:r>
              </m:e>
              <m:sub>
                <m:r>
                  <w:rPr>
                    <w:rFonts w:ascii="Cambria Math" w:eastAsia="標楷體" w:hAnsi="Cambria Math"/>
                  </w:rPr>
                  <m:t>i</m:t>
                </m:r>
              </m:sub>
            </m:sSub>
          </m:e>
        </m:acc>
        <m:r>
          <m:rPr>
            <m:sty m:val="p"/>
          </m:rPr>
          <w:rPr>
            <w:rFonts w:ascii="Cambria Math" w:eastAsia="標楷體" w:hAnsi="Cambria Math"/>
          </w:rPr>
          <m:t>=</m:t>
        </m:r>
        <m:r>
          <w:rPr>
            <w:rFonts w:ascii="Cambria Math" w:eastAsia="標楷體" w:hAnsi="Cambria Math"/>
          </w:rPr>
          <m:t>constant</m:t>
        </m:r>
        <m:r>
          <m:rPr>
            <m:sty m:val="p"/>
          </m:rPr>
          <w:rPr>
            <w:rFonts w:ascii="Cambria Math" w:eastAsia="標楷體" w:hAnsi="Cambria Math"/>
          </w:rPr>
          <m:t>+</m:t>
        </m:r>
        <m:acc>
          <m:accPr>
            <m:ctrlPr>
              <w:rPr>
                <w:rFonts w:ascii="Cambria Math" w:eastAsia="標楷體" w:hAnsi="Cambria Math"/>
              </w:rPr>
            </m:ctrlPr>
          </m:accPr>
          <m:e>
            <m:sSub>
              <m:sSubPr>
                <m:ctrlPr>
                  <w:rPr>
                    <w:rFonts w:ascii="Cambria Math" w:eastAsia="標楷體" w:hAnsi="Cambria Math"/>
                  </w:rPr>
                </m:ctrlPr>
              </m:sSubPr>
              <m:e>
                <m:r>
                  <w:rPr>
                    <w:rFonts w:ascii="Cambria Math" w:eastAsia="標楷體" w:hAnsi="Cambria Math"/>
                  </w:rPr>
                  <m:t>β</m:t>
                </m:r>
              </m:e>
              <m:sub>
                <m:r>
                  <w:rPr>
                    <w:rFonts w:ascii="Cambria Math" w:eastAsia="標楷體" w:hAnsi="Cambria Math"/>
                  </w:rPr>
                  <m:t>i</m:t>
                </m:r>
              </m:sub>
            </m:sSub>
          </m:e>
        </m:acc>
        <m:sSub>
          <m:sSubPr>
            <m:ctrlPr>
              <w:rPr>
                <w:rFonts w:ascii="Cambria Math" w:eastAsia="標楷體" w:hAnsi="Cambria Math"/>
              </w:rPr>
            </m:ctrlPr>
          </m:sSubPr>
          <m:e>
            <m:r>
              <w:rPr>
                <w:rFonts w:ascii="Cambria Math" w:eastAsia="標楷體" w:hAnsi="Cambria Math"/>
              </w:rPr>
              <m:t>X</m:t>
            </m:r>
          </m:e>
          <m:sub>
            <m:r>
              <w:rPr>
                <w:rFonts w:ascii="Cambria Math" w:eastAsia="標楷體" w:hAnsi="Cambria Math"/>
              </w:rPr>
              <m:t>i</m:t>
            </m:r>
          </m:sub>
        </m:sSub>
      </m:oMath>
      <w:r w:rsidR="004F74F0" w:rsidRPr="00FD5442">
        <w:rPr>
          <w:rFonts w:eastAsia="標楷體"/>
        </w:rPr>
        <w:t>, where i = 1, 2,</w:t>
      </w:r>
      <w:r w:rsidR="004F74F0">
        <w:rPr>
          <w:rFonts w:eastAsia="標楷體"/>
        </w:rPr>
        <w:t xml:space="preserve"> </w:t>
      </w:r>
      <w:r w:rsidR="004F74F0" w:rsidRPr="00FD5442">
        <w:rPr>
          <w:rFonts w:eastAsia="標楷體"/>
        </w:rPr>
        <w:t xml:space="preserve">…, </w:t>
      </w:r>
      <w:r w:rsidR="004F74F0" w:rsidRPr="00211217">
        <w:rPr>
          <w:rFonts w:eastAsia="標楷體"/>
        </w:rPr>
        <w:t>n</w:t>
      </w:r>
    </w:p>
    <w:p w14:paraId="3F8C7AE0" w14:textId="77777777" w:rsidR="005426E7" w:rsidRPr="00FD5442" w:rsidRDefault="005426E7" w:rsidP="005426E7">
      <w:pPr>
        <w:widowControl w:val="0"/>
        <w:adjustRightInd w:val="0"/>
        <w:spacing w:line="240" w:lineRule="auto"/>
        <w:ind w:firstLine="360"/>
        <w:jc w:val="both"/>
        <w:textAlignment w:val="baseline"/>
        <w:rPr>
          <w:rFonts w:eastAsia="標楷體"/>
        </w:rPr>
      </w:pPr>
    </w:p>
    <w:p w14:paraId="759BDBD6" w14:textId="2F39011B" w:rsidR="004F74F0" w:rsidRDefault="004F74F0" w:rsidP="00342B55">
      <w:pPr>
        <w:widowControl w:val="0"/>
        <w:adjustRightInd w:val="0"/>
        <w:spacing w:line="240" w:lineRule="auto"/>
        <w:ind w:firstLine="720"/>
        <w:jc w:val="both"/>
        <w:textAlignment w:val="baseline"/>
        <w:rPr>
          <w:rFonts w:eastAsia="標楷體"/>
        </w:rPr>
      </w:pPr>
      <w:proofErr w:type="spellStart"/>
      <w:r w:rsidRPr="00FD5442">
        <w:rPr>
          <w:rFonts w:eastAsia="標楷體"/>
        </w:rPr>
        <w:t>Simar</w:t>
      </w:r>
      <w:proofErr w:type="spellEnd"/>
      <w:r w:rsidRPr="00FD5442">
        <w:rPr>
          <w:rFonts w:eastAsia="標楷體"/>
        </w:rPr>
        <w:t xml:space="preserve"> and Wilson (2007) suggest that efficiency scores estimated </w:t>
      </w:r>
      <w:r>
        <w:rPr>
          <w:rFonts w:eastAsia="標楷體"/>
        </w:rPr>
        <w:t>using</w:t>
      </w:r>
      <w:r w:rsidRPr="00FD5442">
        <w:rPr>
          <w:rFonts w:eastAsia="標楷體"/>
        </w:rPr>
        <w:t xml:space="preserve"> conventional DEA to conduct </w:t>
      </w:r>
      <w:r w:rsidRPr="004F74F0">
        <w:rPr>
          <w:rFonts w:eastAsia="標楷體"/>
        </w:rPr>
        <w:t>determinant</w:t>
      </w:r>
      <w:r w:rsidRPr="00FD5442">
        <w:rPr>
          <w:rFonts w:eastAsia="標楷體"/>
        </w:rPr>
        <w:t xml:space="preserve"> analysis in the Tobit regression model </w:t>
      </w:r>
      <w:r>
        <w:rPr>
          <w:rFonts w:eastAsia="標楷體"/>
        </w:rPr>
        <w:t>may</w:t>
      </w:r>
      <w:r w:rsidRPr="00FD5442">
        <w:rPr>
          <w:rFonts w:eastAsia="標楷體"/>
        </w:rPr>
        <w:t xml:space="preserve"> be biased because DEA-</w:t>
      </w:r>
      <w:r>
        <w:rPr>
          <w:rFonts w:eastAsia="標楷體"/>
        </w:rPr>
        <w:t>obtained</w:t>
      </w:r>
      <w:r w:rsidRPr="00FD5442">
        <w:rPr>
          <w:rFonts w:eastAsia="標楷體"/>
        </w:rPr>
        <w:t xml:space="preserve"> efficiency scores do not exhibit </w:t>
      </w:r>
      <w:r>
        <w:rPr>
          <w:rFonts w:eastAsia="標楷體"/>
        </w:rPr>
        <w:t xml:space="preserve">the </w:t>
      </w:r>
      <w:r w:rsidRPr="00FD5442">
        <w:rPr>
          <w:rFonts w:eastAsia="標楷體"/>
        </w:rPr>
        <w:t>characteristics of latent variable</w:t>
      </w:r>
      <w:r w:rsidRPr="0007698C">
        <w:rPr>
          <w:rFonts w:eastAsia="標楷體"/>
        </w:rPr>
        <w:t>s (</w:t>
      </w:r>
      <w:r w:rsidRPr="00CD5B4C">
        <w:rPr>
          <w:rFonts w:eastAsia="標楷體"/>
        </w:rPr>
        <w:t>data-generating process</w:t>
      </w:r>
      <w:r w:rsidRPr="0007698C">
        <w:rPr>
          <w:rFonts w:eastAsia="標楷體"/>
        </w:rPr>
        <w:t xml:space="preserve"> </w:t>
      </w:r>
      <w:r w:rsidRPr="00211217">
        <w:rPr>
          <w:rFonts w:eastAsia="標楷體"/>
        </w:rPr>
        <w:t>excessively concentrated</w:t>
      </w:r>
      <w:r>
        <w:rPr>
          <w:rFonts w:eastAsia="標楷體"/>
        </w:rPr>
        <w:t xml:space="preserve"> at 1</w:t>
      </w:r>
      <w:r w:rsidRPr="0007698C">
        <w:rPr>
          <w:rFonts w:eastAsia="標楷體"/>
        </w:rPr>
        <w:t>)</w:t>
      </w:r>
      <w:r w:rsidRPr="00FD5442">
        <w:rPr>
          <w:rFonts w:eastAsia="標楷體"/>
        </w:rPr>
        <w:t xml:space="preserve"> and the scores are autocorrelated. Therefore, the </w:t>
      </w:r>
      <w:r>
        <w:rPr>
          <w:rFonts w:eastAsia="標楷體"/>
        </w:rPr>
        <w:t>authors</w:t>
      </w:r>
      <w:r w:rsidRPr="00FD5442">
        <w:rPr>
          <w:rFonts w:eastAsia="標楷體"/>
        </w:rPr>
        <w:t xml:space="preserve"> recommend </w:t>
      </w:r>
      <w:r>
        <w:rPr>
          <w:rFonts w:eastAsia="標楷體"/>
        </w:rPr>
        <w:t>the</w:t>
      </w:r>
      <w:r w:rsidRPr="00FD5442">
        <w:rPr>
          <w:rFonts w:eastAsia="標楷體"/>
        </w:rPr>
        <w:t xml:space="preserve"> use </w:t>
      </w:r>
      <w:r>
        <w:rPr>
          <w:rFonts w:eastAsia="標楷體"/>
        </w:rPr>
        <w:t xml:space="preserve">of </w:t>
      </w:r>
      <w:r w:rsidRPr="00FD5442">
        <w:rPr>
          <w:rFonts w:eastAsia="標楷體"/>
        </w:rPr>
        <w:t xml:space="preserve">the bootstrap approach to modify </w:t>
      </w:r>
      <w:r>
        <w:rPr>
          <w:rFonts w:eastAsia="標楷體"/>
        </w:rPr>
        <w:t xml:space="preserve">the estimates </w:t>
      </w:r>
      <w:r w:rsidRPr="00FD5442">
        <w:rPr>
          <w:rFonts w:eastAsia="標楷體"/>
        </w:rPr>
        <w:t xml:space="preserve">and thus </w:t>
      </w:r>
      <w:r>
        <w:rPr>
          <w:rFonts w:eastAsia="標楷體"/>
        </w:rPr>
        <w:t>obtain</w:t>
      </w:r>
      <w:r w:rsidRPr="00FD5442">
        <w:rPr>
          <w:rFonts w:eastAsia="標楷體"/>
        </w:rPr>
        <w:t xml:space="preserve"> unbiased efficiency scores before using the truncated regression model to investigate the various </w:t>
      </w:r>
      <w:r w:rsidRPr="004F74F0">
        <w:rPr>
          <w:rFonts w:eastAsia="標楷體"/>
        </w:rPr>
        <w:t>determinant</w:t>
      </w:r>
      <w:r w:rsidRPr="00FD5442">
        <w:rPr>
          <w:rFonts w:eastAsia="標楷體"/>
        </w:rPr>
        <w:t xml:space="preserve">s of the efficiency. </w:t>
      </w:r>
      <w:r>
        <w:rPr>
          <w:rFonts w:eastAsia="標楷體"/>
        </w:rPr>
        <w:t>W</w:t>
      </w:r>
      <w:r w:rsidRPr="00FD5442">
        <w:rPr>
          <w:rFonts w:eastAsia="標楷體"/>
        </w:rPr>
        <w:t xml:space="preserve">e use the second algorithm developed by Simar and Wilson (2007) to modify </w:t>
      </w:r>
      <w:r>
        <w:rPr>
          <w:rFonts w:eastAsia="標楷體"/>
        </w:rPr>
        <w:t xml:space="preserve">the </w:t>
      </w:r>
      <w:r w:rsidRPr="00FD5442">
        <w:rPr>
          <w:rFonts w:eastAsia="標楷體"/>
        </w:rPr>
        <w:t xml:space="preserve">biased efficiency scores that </w:t>
      </w:r>
      <w:r>
        <w:rPr>
          <w:rFonts w:eastAsia="標楷體"/>
        </w:rPr>
        <w:t>can</w:t>
      </w:r>
      <w:r w:rsidRPr="00FD5442">
        <w:rPr>
          <w:rFonts w:eastAsia="標楷體"/>
        </w:rPr>
        <w:t xml:space="preserve"> </w:t>
      </w:r>
      <w:r>
        <w:rPr>
          <w:rFonts w:eastAsia="標楷體"/>
        </w:rPr>
        <w:t>be obtained</w:t>
      </w:r>
      <w:r w:rsidRPr="00FD5442">
        <w:rPr>
          <w:rFonts w:eastAsia="標楷體"/>
        </w:rPr>
        <w:t xml:space="preserve"> </w:t>
      </w:r>
      <w:r>
        <w:rPr>
          <w:rFonts w:eastAsia="標楷體"/>
        </w:rPr>
        <w:t>using</w:t>
      </w:r>
      <w:r w:rsidRPr="00FD5442">
        <w:rPr>
          <w:rFonts w:eastAsia="標楷體"/>
        </w:rPr>
        <w:t xml:space="preserve"> conventional methods. We then establish a bootstrap truncated regression model;</w:t>
      </w:r>
      <w:r>
        <w:rPr>
          <w:rFonts w:eastAsia="標楷體"/>
        </w:rPr>
        <w:t xml:space="preserve"> </w:t>
      </w:r>
      <w:r w:rsidRPr="00FD5442">
        <w:rPr>
          <w:rFonts w:eastAsia="標楷體"/>
        </w:rPr>
        <w:t xml:space="preserve">parameters </w:t>
      </w:r>
      <w:r>
        <w:rPr>
          <w:rFonts w:eastAsia="標楷體"/>
        </w:rPr>
        <w:t xml:space="preserve">are estimated </w:t>
      </w:r>
      <w:r w:rsidRPr="00FD5442">
        <w:rPr>
          <w:rFonts w:eastAsia="標楷體"/>
        </w:rPr>
        <w:t xml:space="preserve">using MLE and a confidence interval </w:t>
      </w:r>
      <w:r>
        <w:rPr>
          <w:rFonts w:eastAsia="標楷體"/>
        </w:rPr>
        <w:t>is determined for the</w:t>
      </w:r>
      <w:r w:rsidRPr="00FD5442">
        <w:rPr>
          <w:rFonts w:eastAsia="標楷體"/>
        </w:rPr>
        <w:t xml:space="preserve"> regression coefficients by using a bootstrap method.</w:t>
      </w:r>
    </w:p>
    <w:p w14:paraId="38EC2CEB" w14:textId="77777777" w:rsidR="00914EBA" w:rsidRPr="00FD5442" w:rsidRDefault="00914EBA" w:rsidP="00342B55">
      <w:pPr>
        <w:widowControl w:val="0"/>
        <w:adjustRightInd w:val="0"/>
        <w:spacing w:line="240" w:lineRule="auto"/>
        <w:ind w:firstLine="720"/>
        <w:jc w:val="both"/>
        <w:textAlignment w:val="baseline"/>
        <w:rPr>
          <w:rFonts w:eastAsia="標楷體"/>
        </w:rPr>
      </w:pPr>
    </w:p>
    <w:p w14:paraId="211CE114" w14:textId="2073F506" w:rsidR="00914EBA" w:rsidRDefault="004F74F0" w:rsidP="009263BB">
      <w:pPr>
        <w:autoSpaceDE w:val="0"/>
        <w:autoSpaceDN w:val="0"/>
        <w:adjustRightInd w:val="0"/>
        <w:spacing w:line="360" w:lineRule="auto"/>
        <w:jc w:val="both"/>
        <w:rPr>
          <w:rFonts w:eastAsia="標楷體"/>
        </w:rPr>
      </w:pPr>
      <w:r w:rsidRPr="00FD5442">
        <w:rPr>
          <w:rFonts w:eastAsia="標楷體"/>
        </w:rPr>
        <w:t xml:space="preserve">Step 3: Procedure of </w:t>
      </w:r>
      <w:r>
        <w:rPr>
          <w:rFonts w:eastAsia="標楷體"/>
        </w:rPr>
        <w:t xml:space="preserve">the </w:t>
      </w:r>
      <w:r w:rsidRPr="00FD5442">
        <w:rPr>
          <w:rFonts w:eastAsia="標楷體"/>
        </w:rPr>
        <w:t>bootstrap method for efficiency score modification</w:t>
      </w:r>
    </w:p>
    <w:p w14:paraId="1B8B9FAE" w14:textId="77777777" w:rsidR="00914EBA" w:rsidRPr="00FD5442" w:rsidRDefault="00914EBA" w:rsidP="00914EBA">
      <w:pPr>
        <w:widowControl w:val="0"/>
        <w:adjustRightInd w:val="0"/>
        <w:spacing w:line="240" w:lineRule="auto"/>
        <w:ind w:firstLine="720"/>
        <w:jc w:val="both"/>
        <w:textAlignment w:val="baseline"/>
        <w:rPr>
          <w:rFonts w:eastAsia="標楷體"/>
        </w:rPr>
      </w:pPr>
    </w:p>
    <w:p w14:paraId="76978781" w14:textId="77777777" w:rsidR="004F74F0" w:rsidRPr="00342B55" w:rsidRDefault="004F74F0" w:rsidP="00FF6DC7">
      <w:pPr>
        <w:pStyle w:val="af6"/>
        <w:numPr>
          <w:ilvl w:val="0"/>
          <w:numId w:val="5"/>
        </w:numPr>
        <w:adjustRightInd w:val="0"/>
        <w:ind w:leftChars="0" w:left="567" w:hanging="567"/>
        <w:jc w:val="both"/>
        <w:textAlignment w:val="baseline"/>
        <w:rPr>
          <w:rFonts w:eastAsia="標楷體"/>
        </w:rPr>
      </w:pPr>
      <w:r w:rsidRPr="00342B55">
        <w:rPr>
          <w:rFonts w:eastAsia="標楷體"/>
        </w:rPr>
        <w:t xml:space="preserve">The inputs and outputs of all decision-making units (DMUs) are used to estimate </w:t>
      </w:r>
      <m:oMath>
        <m:acc>
          <m:accPr>
            <m:ctrlPr>
              <w:rPr>
                <w:rFonts w:ascii="Cambria Math" w:eastAsia="標楷體" w:hAnsi="Cambria Math"/>
              </w:rPr>
            </m:ctrlPr>
          </m:accPr>
          <m:e>
            <m:sSub>
              <m:sSubPr>
                <m:ctrlPr>
                  <w:rPr>
                    <w:rFonts w:ascii="Cambria Math" w:eastAsia="標楷體" w:hAnsi="Cambria Math"/>
                    <w:i/>
                  </w:rPr>
                </m:ctrlPr>
              </m:sSubPr>
              <m:e>
                <m:r>
                  <w:rPr>
                    <w:rFonts w:ascii="Cambria Math" w:eastAsia="標楷體" w:hAnsi="Cambria Math"/>
                  </w:rPr>
                  <m:t>TE</m:t>
                </m:r>
              </m:e>
              <m:sub>
                <m:r>
                  <w:rPr>
                    <w:rFonts w:ascii="Cambria Math" w:eastAsia="標楷體" w:hAnsi="Cambria Math"/>
                  </w:rPr>
                  <m:t>i</m:t>
                </m:r>
              </m:sub>
            </m:sSub>
          </m:e>
        </m:acc>
      </m:oMath>
      <w:r w:rsidRPr="00342B55">
        <w:rPr>
          <w:rFonts w:eastAsia="標楷體"/>
        </w:rPr>
        <w:t xml:space="preserve"> (</w:t>
      </w:r>
      <w:r w:rsidRPr="00342B55">
        <w:rPr>
          <w:rFonts w:eastAsia="標楷體"/>
          <w:i/>
        </w:rPr>
        <w:t>i</w:t>
      </w:r>
      <w:r w:rsidRPr="00342B55">
        <w:rPr>
          <w:rFonts w:eastAsia="標楷體"/>
        </w:rPr>
        <w:t xml:space="preserve"> = 1, 2, …, </w:t>
      </w:r>
      <w:r w:rsidRPr="00342B55">
        <w:rPr>
          <w:rFonts w:eastAsia="標楷體"/>
          <w:i/>
        </w:rPr>
        <w:t>n</w:t>
      </w:r>
      <w:r w:rsidRPr="00342B55">
        <w:rPr>
          <w:rFonts w:eastAsia="標楷體"/>
        </w:rPr>
        <w:t xml:space="preserve">). </w:t>
      </w:r>
    </w:p>
    <w:p w14:paraId="770A7E2E" w14:textId="5F5E69E9" w:rsidR="004F74F0" w:rsidRPr="00FD5442" w:rsidRDefault="004F74F0" w:rsidP="00FF6DC7">
      <w:pPr>
        <w:pStyle w:val="af6"/>
        <w:numPr>
          <w:ilvl w:val="0"/>
          <w:numId w:val="5"/>
        </w:numPr>
        <w:adjustRightInd w:val="0"/>
        <w:ind w:leftChars="0" w:left="567" w:hanging="567"/>
        <w:jc w:val="both"/>
        <w:textAlignment w:val="baseline"/>
        <w:rPr>
          <w:rFonts w:eastAsia="標楷體"/>
        </w:rPr>
      </w:pPr>
      <w:r>
        <w:rPr>
          <w:rFonts w:eastAsia="標楷體"/>
        </w:rPr>
        <w:t>The</w:t>
      </w:r>
      <w:r w:rsidRPr="00FD5442">
        <w:rPr>
          <w:rFonts w:eastAsia="標楷體"/>
        </w:rPr>
        <w:t xml:space="preserve"> inefficient DMUs </w:t>
      </w:r>
      <w:r>
        <w:rPr>
          <w:rFonts w:eastAsia="標楷體"/>
        </w:rPr>
        <w:t xml:space="preserve">are input </w:t>
      </w:r>
      <w:r w:rsidRPr="00FD5442">
        <w:rPr>
          <w:rFonts w:eastAsia="標楷體"/>
        </w:rPr>
        <w:t xml:space="preserve">to the MLE </w:t>
      </w:r>
      <w:r>
        <w:rPr>
          <w:rFonts w:eastAsia="標楷體"/>
        </w:rPr>
        <w:t xml:space="preserve">function </w:t>
      </w:r>
      <w:r w:rsidRPr="00FD5442">
        <w:rPr>
          <w:rFonts w:eastAsia="標楷體"/>
        </w:rPr>
        <w:t xml:space="preserve">to </w:t>
      </w:r>
      <w:r>
        <w:rPr>
          <w:rFonts w:eastAsia="標楷體"/>
        </w:rPr>
        <w:t>obtain</w:t>
      </w:r>
      <w:r w:rsidRPr="00FD5442">
        <w:rPr>
          <w:rFonts w:eastAsia="標楷體"/>
        </w:rPr>
        <w:t xml:space="preserve"> a regression model </w:t>
      </w:r>
      <m:oMath>
        <m:acc>
          <m:accPr>
            <m:ctrlPr>
              <w:rPr>
                <w:rFonts w:ascii="Cambria Math" w:eastAsia="標楷體" w:hAnsi="Cambria Math"/>
                <w:i/>
              </w:rPr>
            </m:ctrlPr>
          </m:accPr>
          <m:e>
            <m:sSub>
              <m:sSubPr>
                <m:ctrlPr>
                  <w:rPr>
                    <w:rFonts w:ascii="Cambria Math" w:eastAsia="標楷體" w:hAnsi="Cambria Math"/>
                    <w:i/>
                  </w:rPr>
                </m:ctrlPr>
              </m:sSubPr>
              <m:e>
                <m:r>
                  <w:rPr>
                    <w:rFonts w:ascii="Cambria Math" w:eastAsia="標楷體" w:hAnsi="Cambria Math"/>
                  </w:rPr>
                  <m:t>TE</m:t>
                </m:r>
              </m:e>
              <m:sub>
                <m:r>
                  <w:rPr>
                    <w:rFonts w:ascii="Cambria Math" w:eastAsia="標楷體" w:hAnsi="Cambria Math"/>
                  </w:rPr>
                  <m:t>i</m:t>
                </m:r>
              </m:sub>
            </m:sSub>
          </m:e>
        </m:acc>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β'X</m:t>
            </m:r>
          </m:e>
          <m:sub>
            <m:r>
              <w:rPr>
                <w:rFonts w:ascii="Cambria Math" w:eastAsia="標楷體" w:hAnsi="Cambria Math"/>
              </w:rPr>
              <m:t>i</m:t>
            </m:r>
          </m:sub>
        </m:sSub>
        <m:r>
          <m:rPr>
            <m:sty m:val="p"/>
          </m:rPr>
          <w:rPr>
            <w:rFonts w:ascii="Cambria Math" w:eastAsia="標楷體" w:hAnsi="Cambria Math"/>
          </w:rPr>
          <m:t>+</m:t>
        </m:r>
        <m:sSub>
          <m:sSubPr>
            <m:ctrlPr>
              <w:rPr>
                <w:rFonts w:ascii="Cambria Math" w:eastAsia="標楷體" w:hAnsi="Cambria Math"/>
              </w:rPr>
            </m:ctrlPr>
          </m:sSubPr>
          <m:e>
            <m:r>
              <w:rPr>
                <w:rFonts w:ascii="Cambria Math" w:eastAsia="標楷體" w:hAnsi="Cambria Math"/>
              </w:rPr>
              <m:t>ε</m:t>
            </m:r>
          </m:e>
          <m:sub>
            <m:r>
              <w:rPr>
                <w:rFonts w:ascii="Cambria Math" w:eastAsia="標楷體" w:hAnsi="Cambria Math"/>
              </w:rPr>
              <m:t>i</m:t>
            </m:r>
          </m:sub>
        </m:sSub>
      </m:oMath>
      <w:r>
        <w:rPr>
          <w:rFonts w:eastAsia="標楷體"/>
        </w:rPr>
        <w:t>.</w:t>
      </w:r>
      <w:r w:rsidR="008B7613">
        <w:rPr>
          <w:rFonts w:eastAsia="標楷體"/>
        </w:rPr>
        <w:t xml:space="preserve"> </w:t>
      </w:r>
      <w:r>
        <w:rPr>
          <w:rFonts w:eastAsia="標楷體"/>
        </w:rPr>
        <w:t>T</w:t>
      </w:r>
      <w:r w:rsidRPr="00FD5442">
        <w:rPr>
          <w:rFonts w:eastAsia="標楷體"/>
        </w:rPr>
        <w:t xml:space="preserve">he model is left-truncated at </w:t>
      </w:r>
      <m:oMath>
        <m:r>
          <m:rPr>
            <m:sty m:val="p"/>
          </m:rPr>
          <w:rPr>
            <w:rFonts w:ascii="Cambria Math" w:eastAsia="標楷體" w:hAnsi="Cambria Math"/>
          </w:rPr>
          <m:t>(1-β'</m:t>
        </m:r>
        <m:sSub>
          <m:sSubPr>
            <m:ctrlPr>
              <w:rPr>
                <w:rFonts w:ascii="Cambria Math" w:eastAsia="標楷體" w:hAnsi="Cambria Math"/>
              </w:rPr>
            </m:ctrlPr>
          </m:sSubPr>
          <m:e>
            <m:r>
              <w:rPr>
                <w:rFonts w:ascii="Cambria Math" w:eastAsia="標楷體" w:hAnsi="Cambria Math"/>
              </w:rPr>
              <m:t>X</m:t>
            </m:r>
          </m:e>
          <m:sub>
            <m:r>
              <w:rPr>
                <w:rFonts w:ascii="Cambria Math" w:eastAsia="標楷體" w:hAnsi="Cambria Math"/>
              </w:rPr>
              <m:t>i</m:t>
            </m:r>
          </m:sub>
        </m:sSub>
        <m:r>
          <m:rPr>
            <m:sty m:val="p"/>
          </m:rPr>
          <w:rPr>
            <w:rFonts w:ascii="Cambria Math" w:eastAsia="標楷體" w:hAnsi="Cambria Math"/>
          </w:rPr>
          <m:t>)</m:t>
        </m:r>
      </m:oMath>
      <w:r>
        <w:rPr>
          <w:rFonts w:eastAsia="標楷體"/>
        </w:rPr>
        <w:t>;</w:t>
      </w:r>
      <m:oMath>
        <m:r>
          <m:rPr>
            <m:sty m:val="p"/>
          </m:rPr>
          <w:rPr>
            <w:rFonts w:ascii="Cambria Math" w:eastAsia="標楷體" w:hAnsi="Cambria Math"/>
          </w:rPr>
          <m:t xml:space="preserve"> </m:t>
        </m:r>
        <m:acc>
          <m:accPr>
            <m:ctrlPr>
              <w:rPr>
                <w:rFonts w:ascii="Cambria Math" w:eastAsia="標楷體" w:hAnsi="Cambria Math"/>
                <w:i/>
              </w:rPr>
            </m:ctrlPr>
          </m:accPr>
          <m:e>
            <m:r>
              <w:rPr>
                <w:rFonts w:ascii="Cambria Math" w:eastAsia="標楷體" w:hAnsi="Cambria Math"/>
              </w:rPr>
              <m:t>β</m:t>
            </m:r>
          </m:e>
        </m:acc>
      </m:oMath>
      <w:r>
        <w:rPr>
          <w:rFonts w:eastAsia="標楷體"/>
        </w:rPr>
        <w:t xml:space="preserve"> and</w:t>
      </w:r>
      <w:r w:rsidRPr="00FD5442">
        <w:rPr>
          <w:rFonts w:eastAsia="標楷體"/>
        </w:rPr>
        <w:t xml:space="preserve"> </w:t>
      </w:r>
      <m:oMath>
        <m:acc>
          <m:accPr>
            <m:ctrlPr>
              <w:rPr>
                <w:rFonts w:ascii="Cambria Math" w:eastAsia="標楷體" w:hAnsi="Cambria Math"/>
                <w:i/>
              </w:rPr>
            </m:ctrlPr>
          </m:accPr>
          <m:e>
            <m:sSub>
              <m:sSubPr>
                <m:ctrlPr>
                  <w:rPr>
                    <w:rFonts w:ascii="Cambria Math" w:eastAsia="標楷體" w:hAnsi="Cambria Math"/>
                    <w:i/>
                  </w:rPr>
                </m:ctrlPr>
              </m:sSubPr>
              <m:e>
                <m:r>
                  <w:rPr>
                    <w:rFonts w:ascii="Cambria Math" w:eastAsia="標楷體" w:hAnsi="Cambria Math"/>
                  </w:rPr>
                  <m:t>σ</m:t>
                </m:r>
              </m:e>
              <m:sub>
                <m:r>
                  <w:rPr>
                    <w:rFonts w:ascii="Cambria Math" w:eastAsia="標楷體" w:hAnsi="Cambria Math"/>
                  </w:rPr>
                  <m:t>ε</m:t>
                </m:r>
              </m:sub>
            </m:sSub>
          </m:e>
        </m:acc>
      </m:oMath>
      <w:r w:rsidRPr="00FD5442">
        <w:rPr>
          <w:rFonts w:eastAsia="標楷體"/>
        </w:rPr>
        <w:t xml:space="preserve"> </w:t>
      </w:r>
      <w:r>
        <w:rPr>
          <w:rFonts w:eastAsia="標楷體"/>
        </w:rPr>
        <w:t>are</w:t>
      </w:r>
      <w:r w:rsidRPr="00FD5442">
        <w:rPr>
          <w:rFonts w:eastAsia="標楷體"/>
        </w:rPr>
        <w:t xml:space="preserve"> parameters</w:t>
      </w:r>
      <w:r>
        <w:rPr>
          <w:rFonts w:eastAsia="標楷體"/>
        </w:rPr>
        <w:t xml:space="preserve">; and </w:t>
      </w:r>
      <m:oMath>
        <m:sSub>
          <m:sSubPr>
            <m:ctrlPr>
              <w:rPr>
                <w:rFonts w:ascii="Cambria Math" w:eastAsia="標楷體" w:hAnsi="Cambria Math"/>
                <w:i/>
              </w:rPr>
            </m:ctrlPr>
          </m:sSubPr>
          <m:e>
            <m:r>
              <w:rPr>
                <w:rFonts w:ascii="Cambria Math" w:eastAsia="標楷體" w:hAnsi="Cambria Math"/>
              </w:rPr>
              <m:t>ε</m:t>
            </m:r>
          </m:e>
          <m:sub>
            <m:r>
              <w:rPr>
                <w:rFonts w:ascii="Cambria Math" w:eastAsia="標楷體" w:hAnsi="Cambria Math"/>
              </w:rPr>
              <m:t>i</m:t>
            </m:r>
          </m:sub>
        </m:sSub>
      </m:oMath>
      <w:r w:rsidRPr="00FD5442">
        <w:rPr>
          <w:rFonts w:eastAsia="標楷體"/>
        </w:rPr>
        <w:t xml:space="preserve"> </w:t>
      </w:r>
      <w:r>
        <w:rPr>
          <w:rFonts w:eastAsia="標楷體"/>
        </w:rPr>
        <w:t>is a</w:t>
      </w:r>
      <w:r w:rsidRPr="00FD5442">
        <w:rPr>
          <w:rFonts w:eastAsia="標楷體"/>
        </w:rPr>
        <w:t xml:space="preserve"> random residual </w:t>
      </w:r>
      <w:r>
        <w:rPr>
          <w:rFonts w:eastAsia="標楷體"/>
        </w:rPr>
        <w:t>equal to</w:t>
      </w:r>
      <w:r w:rsidRPr="00FD5442">
        <w:rPr>
          <w:rFonts w:eastAsia="標楷體"/>
        </w:rPr>
        <w:t xml:space="preserve"> </w:t>
      </w:r>
      <m:oMath>
        <m:r>
          <m:rPr>
            <m:sty m:val="p"/>
          </m:rPr>
          <w:rPr>
            <w:rFonts w:ascii="Cambria Math" w:eastAsia="標楷體" w:hAnsi="Cambria Math"/>
          </w:rPr>
          <m:t>N(0,</m:t>
        </m:r>
        <m:sSubSup>
          <m:sSubSupPr>
            <m:ctrlPr>
              <w:rPr>
                <w:rFonts w:ascii="Cambria Math" w:eastAsia="標楷體" w:hAnsi="Cambria Math"/>
                <w:i/>
              </w:rPr>
            </m:ctrlPr>
          </m:sSubSupPr>
          <m:e>
            <m:r>
              <w:rPr>
                <w:rFonts w:ascii="Cambria Math" w:eastAsia="標楷體" w:hAnsi="Cambria Math"/>
              </w:rPr>
              <m:t>σ</m:t>
            </m:r>
          </m:e>
          <m:sub>
            <m:r>
              <w:rPr>
                <w:rFonts w:ascii="Cambria Math" w:eastAsia="標楷體" w:hAnsi="Cambria Math"/>
              </w:rPr>
              <m:t>ε</m:t>
            </m:r>
          </m:sub>
          <m:sup>
            <m:r>
              <w:rPr>
                <w:rFonts w:ascii="Cambria Math" w:eastAsia="標楷體" w:hAnsi="Cambria Math"/>
              </w:rPr>
              <m:t>2</m:t>
            </m:r>
          </m:sup>
        </m:sSubSup>
        <m:r>
          <m:rPr>
            <m:sty m:val="p"/>
          </m:rPr>
          <w:rPr>
            <w:rFonts w:ascii="Cambria Math" w:eastAsia="標楷體" w:hAnsi="Cambria Math"/>
          </w:rPr>
          <m:t>)</m:t>
        </m:r>
      </m:oMath>
      <w:r>
        <w:rPr>
          <w:rFonts w:eastAsia="標楷體"/>
        </w:rPr>
        <w:t>.</w:t>
      </w:r>
    </w:p>
    <w:p w14:paraId="6897934F" w14:textId="77777777" w:rsidR="004F74F0" w:rsidRPr="00FD5442" w:rsidRDefault="004F74F0" w:rsidP="00FF6DC7">
      <w:pPr>
        <w:pStyle w:val="af6"/>
        <w:numPr>
          <w:ilvl w:val="0"/>
          <w:numId w:val="5"/>
        </w:numPr>
        <w:adjustRightInd w:val="0"/>
        <w:ind w:leftChars="0" w:left="567" w:hanging="567"/>
        <w:jc w:val="both"/>
        <w:textAlignment w:val="baseline"/>
        <w:rPr>
          <w:rFonts w:eastAsia="標楷體"/>
        </w:rPr>
      </w:pPr>
      <w:r>
        <w:rPr>
          <w:rFonts w:eastAsia="標楷體"/>
        </w:rPr>
        <w:t>T</w:t>
      </w:r>
      <w:r w:rsidRPr="00FD5442">
        <w:rPr>
          <w:rFonts w:eastAsia="標楷體"/>
        </w:rPr>
        <w:t xml:space="preserve">he following four steps (3.1–3.4) </w:t>
      </w:r>
      <w:r>
        <w:rPr>
          <w:rFonts w:eastAsia="標楷體"/>
        </w:rPr>
        <w:t>are performed</w:t>
      </w:r>
      <w:r w:rsidRPr="00FD5442">
        <w:rPr>
          <w:rFonts w:eastAsia="標楷體"/>
        </w:rPr>
        <w:t xml:space="preserve"> L</w:t>
      </w:r>
      <w:r w:rsidRPr="00211217">
        <w:rPr>
          <w:rFonts w:eastAsia="標楷體"/>
          <w:vertAlign w:val="subscript"/>
        </w:rPr>
        <w:t>1</w:t>
      </w:r>
      <w:r w:rsidRPr="00FD5442">
        <w:rPr>
          <w:rFonts w:eastAsia="標楷體"/>
        </w:rPr>
        <w:t xml:space="preserve"> times to obtain </w:t>
      </w:r>
      <w:r w:rsidRPr="00211217">
        <w:rPr>
          <w:rFonts w:eastAsia="標楷體"/>
          <w:i/>
        </w:rPr>
        <w:t>N</w:t>
      </w:r>
      <w:r w:rsidRPr="00FD5442">
        <w:rPr>
          <w:rFonts w:eastAsia="標楷體"/>
        </w:rPr>
        <w:t xml:space="preserve"> bootstrap estimates (</w:t>
      </w:r>
      <m:oMath>
        <m:sSub>
          <m:sSubPr>
            <m:ctrlPr>
              <w:rPr>
                <w:rFonts w:ascii="Cambria Math" w:eastAsia="標楷體" w:hAnsi="Cambria Math"/>
                <w:i/>
              </w:rPr>
            </m:ctrlPr>
          </m:sSubPr>
          <m:e>
            <m:r>
              <w:rPr>
                <w:rFonts w:ascii="Cambria Math" w:eastAsia="標楷體" w:hAnsi="Cambria Math"/>
              </w:rPr>
              <m:t>ξ</m:t>
            </m:r>
          </m:e>
          <m:sub>
            <m:r>
              <w:rPr>
                <w:rFonts w:ascii="Cambria Math" w:eastAsia="標楷體" w:hAnsi="Cambria Math"/>
              </w:rPr>
              <m:t>i</m:t>
            </m:r>
          </m:sub>
        </m:sSub>
        <m:r>
          <w:rPr>
            <w:rFonts w:ascii="Cambria Math" w:eastAsia="標楷體" w:hAnsi="Cambria Math"/>
          </w:rPr>
          <m:t>=</m:t>
        </m:r>
        <m:sSubSup>
          <m:sSubSupPr>
            <m:ctrlPr>
              <w:rPr>
                <w:rFonts w:ascii="Cambria Math" w:eastAsia="標楷體" w:hAnsi="Cambria Math"/>
                <w:i/>
              </w:rPr>
            </m:ctrlPr>
          </m:sSubSupPr>
          <m:e>
            <m:r>
              <w:rPr>
                <w:rFonts w:ascii="Cambria Math" w:eastAsia="標楷體" w:hAnsi="Cambria Math"/>
              </w:rPr>
              <m:t>{</m:t>
            </m:r>
            <m:sSubSup>
              <m:sSubSupPr>
                <m:ctrlPr>
                  <w:rPr>
                    <w:rFonts w:ascii="Cambria Math" w:eastAsia="標楷體" w:hAnsi="Cambria Math"/>
                    <w:i/>
                  </w:rPr>
                </m:ctrlPr>
              </m:sSubSupPr>
              <m:e>
                <m:acc>
                  <m:accPr>
                    <m:ctrlPr>
                      <w:rPr>
                        <w:rFonts w:ascii="Cambria Math" w:eastAsia="標楷體" w:hAnsi="Cambria Math"/>
                        <w:i/>
                      </w:rPr>
                    </m:ctrlPr>
                  </m:accPr>
                  <m:e>
                    <m:r>
                      <w:rPr>
                        <w:rFonts w:ascii="Cambria Math" w:eastAsia="標楷體" w:hAnsi="Cambria Math"/>
                      </w:rPr>
                      <m:t>TE</m:t>
                    </m:r>
                  </m:e>
                </m:acc>
              </m:e>
              <m:sub>
                <m:r>
                  <w:rPr>
                    <w:rFonts w:ascii="Cambria Math" w:eastAsia="標楷體" w:hAnsi="Cambria Math"/>
                  </w:rPr>
                  <m:t>ib</m:t>
                </m:r>
              </m:sub>
              <m:sup>
                <m:r>
                  <w:rPr>
                    <w:rFonts w:ascii="Cambria Math" w:eastAsia="標楷體" w:hAnsi="Cambria Math"/>
                  </w:rPr>
                  <m:t>*</m:t>
                </m:r>
              </m:sup>
            </m:sSubSup>
            <m:r>
              <w:rPr>
                <w:rFonts w:ascii="Cambria Math" w:eastAsia="標楷體" w:hAnsi="Cambria Math"/>
              </w:rPr>
              <m:t>}</m:t>
            </m:r>
          </m:e>
          <m:sub>
            <m:r>
              <w:rPr>
                <w:rFonts w:ascii="Cambria Math" w:eastAsia="標楷體" w:hAnsi="Cambria Math"/>
              </w:rPr>
              <m:t>b=1</m:t>
            </m:r>
          </m:sub>
          <m:sup>
            <m:sSub>
              <m:sSubPr>
                <m:ctrlPr>
                  <w:rPr>
                    <w:rFonts w:ascii="Cambria Math" w:eastAsia="標楷體" w:hAnsi="Cambria Math"/>
                    <w:i/>
                  </w:rPr>
                </m:ctrlPr>
              </m:sSubPr>
              <m:e>
                <m:r>
                  <w:rPr>
                    <w:rFonts w:ascii="Cambria Math" w:eastAsia="標楷體" w:hAnsi="Cambria Math"/>
                  </w:rPr>
                  <m:t>L</m:t>
                </m:r>
              </m:e>
              <m:sub>
                <m:r>
                  <w:rPr>
                    <w:rFonts w:ascii="Cambria Math" w:eastAsia="標楷體" w:hAnsi="Cambria Math"/>
                  </w:rPr>
                  <m:t>1</m:t>
                </m:r>
              </m:sub>
            </m:sSub>
          </m:sup>
        </m:sSubSup>
      </m:oMath>
      <w:r w:rsidRPr="00FD5442">
        <w:rPr>
          <w:rFonts w:eastAsia="標楷體"/>
        </w:rPr>
        <w:t>):</w:t>
      </w:r>
    </w:p>
    <w:p w14:paraId="19FB2D6C" w14:textId="77777777" w:rsidR="004F74F0" w:rsidRPr="00FD5442" w:rsidRDefault="004F74F0" w:rsidP="00FF6DC7">
      <w:pPr>
        <w:pStyle w:val="af6"/>
        <w:numPr>
          <w:ilvl w:val="0"/>
          <w:numId w:val="6"/>
        </w:numPr>
        <w:adjustRightInd w:val="0"/>
        <w:ind w:leftChars="0"/>
        <w:jc w:val="both"/>
        <w:textAlignment w:val="baseline"/>
        <w:rPr>
          <w:rFonts w:eastAsia="標楷體"/>
        </w:rPr>
      </w:pPr>
      <w:r>
        <w:rPr>
          <w:rFonts w:eastAsia="標楷體"/>
        </w:rPr>
        <w:lastRenderedPageBreak/>
        <w:t>An</w:t>
      </w:r>
      <w:r w:rsidRPr="00FD5442">
        <w:rPr>
          <w:rFonts w:eastAsia="標楷體"/>
        </w:rPr>
        <w:t xml:space="preserve"> </w:t>
      </w:r>
      <m:oMath>
        <m:sSubSup>
          <m:sSubSupPr>
            <m:ctrlPr>
              <w:rPr>
                <w:rFonts w:ascii="Cambria Math" w:eastAsia="標楷體" w:hAnsi="Cambria Math"/>
              </w:rPr>
            </m:ctrlPr>
          </m:sSubSupPr>
          <m:e>
            <m:r>
              <w:rPr>
                <w:rFonts w:ascii="Cambria Math" w:eastAsia="標楷體" w:hAnsi="Cambria Math"/>
              </w:rPr>
              <m:t>ε</m:t>
            </m:r>
          </m:e>
          <m:sub>
            <m:r>
              <w:rPr>
                <w:rFonts w:ascii="Cambria Math" w:eastAsia="標楷體" w:hAnsi="Cambria Math"/>
              </w:rPr>
              <m:t>i</m:t>
            </m:r>
          </m:sub>
          <m:sup>
            <m:r>
              <w:rPr>
                <w:rFonts w:ascii="Cambria Math" w:eastAsia="標楷體" w:hAnsi="Cambria Math"/>
              </w:rPr>
              <m:t>*</m:t>
            </m:r>
          </m:sup>
        </m:sSubSup>
      </m:oMath>
      <w:r w:rsidRPr="00FD5442">
        <w:rPr>
          <w:rFonts w:eastAsia="標楷體"/>
        </w:rPr>
        <w:t xml:space="preserve"> </w:t>
      </w:r>
      <w:r>
        <w:rPr>
          <w:rFonts w:eastAsia="標楷體"/>
        </w:rPr>
        <w:t xml:space="preserve">is randomly selected </w:t>
      </w:r>
      <w:r w:rsidRPr="00FD5442">
        <w:rPr>
          <w:rFonts w:eastAsia="標楷體"/>
        </w:rPr>
        <w:t>for each DMU (</w:t>
      </w:r>
      <w:r>
        <w:rPr>
          <w:rFonts w:eastAsia="標楷體"/>
        </w:rPr>
        <w:t xml:space="preserve">represented by </w:t>
      </w:r>
      <w:r w:rsidRPr="00FD5442">
        <w:rPr>
          <w:rFonts w:eastAsia="標楷體"/>
          <w:i/>
        </w:rPr>
        <w:t>i</w:t>
      </w:r>
      <w:r w:rsidRPr="00FD5442">
        <w:rPr>
          <w:rFonts w:eastAsia="標楷體"/>
        </w:rPr>
        <w:t xml:space="preserve">; </w:t>
      </w:r>
      <w:r w:rsidRPr="00FD5442">
        <w:rPr>
          <w:rFonts w:eastAsia="標楷體"/>
          <w:i/>
        </w:rPr>
        <w:t xml:space="preserve">i </w:t>
      </w:r>
      <w:r w:rsidRPr="00FD5442">
        <w:rPr>
          <w:rFonts w:eastAsia="標楷體"/>
        </w:rPr>
        <w:t>= 1, 2,</w:t>
      </w:r>
      <w:r>
        <w:rPr>
          <w:rFonts w:eastAsia="標楷體"/>
        </w:rPr>
        <w:t xml:space="preserve"> </w:t>
      </w:r>
      <w:r w:rsidRPr="00FD5442">
        <w:rPr>
          <w:rFonts w:eastAsia="標楷體"/>
        </w:rPr>
        <w:t xml:space="preserve">…, </w:t>
      </w:r>
      <w:r w:rsidRPr="00211217">
        <w:rPr>
          <w:rFonts w:eastAsia="標楷體"/>
          <w:i/>
        </w:rPr>
        <w:t>n</w:t>
      </w:r>
      <w:r w:rsidRPr="00FD5442">
        <w:rPr>
          <w:rFonts w:eastAsia="標楷體"/>
        </w:rPr>
        <w:t xml:space="preserve">) under a normal distribution </w:t>
      </w:r>
      <m:oMath>
        <m:r>
          <m:rPr>
            <m:sty m:val="p"/>
          </m:rPr>
          <w:rPr>
            <w:rFonts w:ascii="Cambria Math" w:eastAsia="標楷體" w:hAnsi="Cambria Math"/>
          </w:rPr>
          <m:t>N(0,</m:t>
        </m:r>
        <m:sSubSup>
          <m:sSubSupPr>
            <m:ctrlPr>
              <w:rPr>
                <w:rFonts w:ascii="Cambria Math" w:eastAsia="標楷體" w:hAnsi="Cambria Math"/>
                <w:i/>
              </w:rPr>
            </m:ctrlPr>
          </m:sSubSupPr>
          <m:e>
            <m:acc>
              <m:accPr>
                <m:ctrlPr>
                  <w:rPr>
                    <w:rFonts w:ascii="Cambria Math" w:eastAsia="標楷體" w:hAnsi="Cambria Math"/>
                    <w:i/>
                  </w:rPr>
                </m:ctrlPr>
              </m:accPr>
              <m:e>
                <m:r>
                  <w:rPr>
                    <w:rFonts w:ascii="Cambria Math" w:eastAsia="標楷體" w:hAnsi="Cambria Math"/>
                  </w:rPr>
                  <m:t>σ</m:t>
                </m:r>
              </m:e>
            </m:acc>
          </m:e>
          <m:sub>
            <m:r>
              <w:rPr>
                <w:rFonts w:ascii="Cambria Math" w:eastAsia="標楷體" w:hAnsi="Cambria Math"/>
              </w:rPr>
              <m:t>ε</m:t>
            </m:r>
          </m:sub>
          <m:sup>
            <m:r>
              <w:rPr>
                <w:rFonts w:ascii="Cambria Math" w:eastAsia="標楷體" w:hAnsi="Cambria Math"/>
              </w:rPr>
              <m:t>2</m:t>
            </m:r>
          </m:sup>
        </m:sSubSup>
        <m:r>
          <m:rPr>
            <m:sty m:val="p"/>
          </m:rPr>
          <w:rPr>
            <w:rFonts w:ascii="Cambria Math" w:eastAsia="標楷體" w:hAnsi="Cambria Math"/>
          </w:rPr>
          <m:t>)</m:t>
        </m:r>
      </m:oMath>
      <w:r w:rsidRPr="00FD5442">
        <w:rPr>
          <w:rFonts w:eastAsia="標楷體"/>
        </w:rPr>
        <w:t xml:space="preserve">, with left-truncation at </w:t>
      </w:r>
      <m:oMath>
        <m:r>
          <m:rPr>
            <m:sty m:val="p"/>
          </m:rPr>
          <w:rPr>
            <w:rFonts w:ascii="Cambria Math" w:eastAsia="標楷體" w:hAnsi="Cambria Math"/>
          </w:rPr>
          <m:t>(1-</m:t>
        </m:r>
        <m:acc>
          <m:accPr>
            <m:ctrlPr>
              <w:rPr>
                <w:rFonts w:ascii="Cambria Math" w:eastAsia="標楷體" w:hAnsi="Cambria Math"/>
              </w:rPr>
            </m:ctrlPr>
          </m:accPr>
          <m:e>
            <m:r>
              <m:rPr>
                <m:sty m:val="p"/>
              </m:rPr>
              <w:rPr>
                <w:rFonts w:ascii="Cambria Math" w:eastAsia="標楷體" w:hAnsi="Cambria Math"/>
              </w:rPr>
              <m:t>β</m:t>
            </m:r>
          </m:e>
        </m:acc>
        <m:r>
          <m:rPr>
            <m:sty m:val="p"/>
          </m:rPr>
          <w:rPr>
            <w:rFonts w:ascii="Cambria Math" w:eastAsia="標楷體" w:hAnsi="Cambria Math"/>
          </w:rPr>
          <m:t>'</m:t>
        </m:r>
        <m:sSub>
          <m:sSubPr>
            <m:ctrlPr>
              <w:rPr>
                <w:rFonts w:ascii="Cambria Math" w:eastAsia="標楷體" w:hAnsi="Cambria Math"/>
              </w:rPr>
            </m:ctrlPr>
          </m:sSubPr>
          <m:e>
            <m:r>
              <w:rPr>
                <w:rFonts w:ascii="Cambria Math" w:eastAsia="標楷體" w:hAnsi="Cambria Math"/>
              </w:rPr>
              <m:t>X</m:t>
            </m:r>
          </m:e>
          <m:sub>
            <m:r>
              <w:rPr>
                <w:rFonts w:ascii="Cambria Math" w:eastAsia="標楷體" w:hAnsi="Cambria Math"/>
              </w:rPr>
              <m:t>i</m:t>
            </m:r>
          </m:sub>
        </m:sSub>
        <m:r>
          <m:rPr>
            <m:sty m:val="p"/>
          </m:rPr>
          <w:rPr>
            <w:rFonts w:ascii="Cambria Math" w:eastAsia="標楷體" w:hAnsi="Cambria Math"/>
          </w:rPr>
          <m:t>)</m:t>
        </m:r>
      </m:oMath>
      <w:r>
        <w:rPr>
          <w:rFonts w:eastAsia="標楷體"/>
        </w:rPr>
        <w:t>.</w:t>
      </w:r>
    </w:p>
    <w:p w14:paraId="540A350A" w14:textId="77777777" w:rsidR="004F74F0" w:rsidRPr="00FD5442" w:rsidRDefault="000345BB" w:rsidP="00FF6DC7">
      <w:pPr>
        <w:pStyle w:val="af6"/>
        <w:numPr>
          <w:ilvl w:val="0"/>
          <w:numId w:val="6"/>
        </w:numPr>
        <w:adjustRightInd w:val="0"/>
        <w:ind w:leftChars="0"/>
        <w:jc w:val="both"/>
        <w:textAlignment w:val="baseline"/>
        <w:rPr>
          <w:rFonts w:eastAsia="標楷體"/>
        </w:rPr>
      </w:pPr>
      <m:oMath>
        <m:sSubSup>
          <m:sSubSupPr>
            <m:ctrlPr>
              <w:rPr>
                <w:rFonts w:ascii="Cambria Math" w:eastAsia="標楷體" w:hAnsi="Cambria Math"/>
              </w:rPr>
            </m:ctrlPr>
          </m:sSubSupPr>
          <m:e>
            <m:r>
              <w:rPr>
                <w:rFonts w:ascii="Cambria Math" w:eastAsia="標楷體" w:hAnsi="Cambria Math"/>
              </w:rPr>
              <m:t>TE</m:t>
            </m:r>
          </m:e>
          <m:sub>
            <m:r>
              <w:rPr>
                <w:rFonts w:ascii="Cambria Math" w:eastAsia="標楷體" w:hAnsi="Cambria Math"/>
              </w:rPr>
              <m:t>i</m:t>
            </m:r>
          </m:sub>
          <m:sup>
            <m:r>
              <m:rPr>
                <m:sty m:val="p"/>
              </m:rPr>
              <w:rPr>
                <w:rFonts w:ascii="Cambria Math" w:eastAsia="標楷體" w:hAnsi="Cambria Math"/>
              </w:rPr>
              <m:t>*</m:t>
            </m:r>
          </m:sup>
        </m:sSubSup>
        <m:r>
          <m:rPr>
            <m:sty m:val="p"/>
          </m:rPr>
          <w:rPr>
            <w:rFonts w:ascii="Cambria Math" w:eastAsia="標楷體" w:hAnsi="Cambria Math"/>
          </w:rPr>
          <m:t>=</m:t>
        </m:r>
        <m:sSub>
          <m:sSubPr>
            <m:ctrlPr>
              <w:rPr>
                <w:rFonts w:ascii="Cambria Math" w:eastAsia="標楷體" w:hAnsi="Cambria Math"/>
              </w:rPr>
            </m:ctrlPr>
          </m:sSubPr>
          <m:e>
            <m:acc>
              <m:accPr>
                <m:ctrlPr>
                  <w:rPr>
                    <w:rFonts w:ascii="Cambria Math" w:eastAsia="標楷體" w:hAnsi="Cambria Math"/>
                  </w:rPr>
                </m:ctrlPr>
              </m:accPr>
              <m:e>
                <m:r>
                  <w:rPr>
                    <w:rFonts w:ascii="Cambria Math" w:eastAsia="標楷體" w:hAnsi="Cambria Math"/>
                  </w:rPr>
                  <m:t>β</m:t>
                </m:r>
              </m:e>
            </m:acc>
            <m:r>
              <m:rPr>
                <m:sty m:val="p"/>
              </m:rPr>
              <w:rPr>
                <w:rFonts w:ascii="Cambria Math" w:eastAsia="標楷體" w:hAnsi="Cambria Math" w:hint="eastAsia"/>
              </w:rPr>
              <m:t>'</m:t>
            </m:r>
            <m:r>
              <w:rPr>
                <w:rFonts w:ascii="Cambria Math" w:eastAsia="標楷體" w:hAnsi="Cambria Math"/>
              </w:rPr>
              <m:t>X</m:t>
            </m:r>
          </m:e>
          <m:sub>
            <m:r>
              <w:rPr>
                <w:rFonts w:ascii="Cambria Math" w:eastAsia="標楷體" w:hAnsi="Cambria Math"/>
              </w:rPr>
              <m:t>i</m:t>
            </m:r>
          </m:sub>
        </m:sSub>
        <m:r>
          <m:rPr>
            <m:sty m:val="p"/>
          </m:rPr>
          <w:rPr>
            <w:rFonts w:ascii="Cambria Math" w:eastAsia="標楷體" w:hAnsi="Cambria Math"/>
          </w:rPr>
          <m:t>+</m:t>
        </m:r>
        <m:sSubSup>
          <m:sSubSupPr>
            <m:ctrlPr>
              <w:rPr>
                <w:rFonts w:ascii="Cambria Math" w:eastAsia="標楷體" w:hAnsi="Cambria Math"/>
              </w:rPr>
            </m:ctrlPr>
          </m:sSubSupPr>
          <m:e>
            <m:r>
              <w:rPr>
                <w:rFonts w:ascii="Cambria Math" w:eastAsia="標楷體" w:hAnsi="Cambria Math"/>
              </w:rPr>
              <m:t>ε</m:t>
            </m:r>
          </m:e>
          <m:sub>
            <m:r>
              <w:rPr>
                <w:rFonts w:ascii="Cambria Math" w:eastAsia="標楷體" w:hAnsi="Cambria Math"/>
              </w:rPr>
              <m:t>i</m:t>
            </m:r>
          </m:sub>
          <m:sup>
            <m:r>
              <m:rPr>
                <m:sty m:val="p"/>
              </m:rPr>
              <w:rPr>
                <w:rFonts w:ascii="Cambria Math" w:eastAsia="標楷體" w:hAnsi="Cambria Math"/>
              </w:rPr>
              <m:t>*</m:t>
            </m:r>
          </m:sup>
        </m:sSubSup>
      </m:oMath>
      <w:r w:rsidR="004F74F0" w:rsidRPr="00FD5442">
        <w:rPr>
          <w:rFonts w:eastAsia="標楷體"/>
        </w:rPr>
        <w:t xml:space="preserve"> </w:t>
      </w:r>
      <w:r w:rsidR="004F74F0">
        <w:rPr>
          <w:rFonts w:eastAsia="標楷體"/>
        </w:rPr>
        <w:t xml:space="preserve">is calculated </w:t>
      </w:r>
      <w:r w:rsidR="004F74F0" w:rsidRPr="00FD5442">
        <w:rPr>
          <w:rFonts w:eastAsia="標楷體"/>
        </w:rPr>
        <w:t>for each DMU</w:t>
      </w:r>
      <w:r w:rsidR="004F74F0">
        <w:rPr>
          <w:rFonts w:eastAsia="標楷體"/>
        </w:rPr>
        <w:t xml:space="preserve"> </w:t>
      </w:r>
      <w:r w:rsidR="004F74F0" w:rsidRPr="00F36625">
        <w:rPr>
          <w:rFonts w:eastAsia="標楷體"/>
        </w:rPr>
        <w:t>i</w:t>
      </w:r>
      <w:r w:rsidR="004F74F0">
        <w:rPr>
          <w:rFonts w:eastAsia="標楷體"/>
        </w:rPr>
        <w:t>.</w:t>
      </w:r>
    </w:p>
    <w:p w14:paraId="26A1B24D" w14:textId="77777777" w:rsidR="004F74F0" w:rsidRPr="00FD5442" w:rsidRDefault="000345BB" w:rsidP="00FF6DC7">
      <w:pPr>
        <w:pStyle w:val="af6"/>
        <w:numPr>
          <w:ilvl w:val="0"/>
          <w:numId w:val="6"/>
        </w:numPr>
        <w:adjustRightInd w:val="0"/>
        <w:ind w:leftChars="0"/>
        <w:jc w:val="both"/>
        <w:textAlignment w:val="baseline"/>
        <w:rPr>
          <w:rFonts w:eastAsia="標楷體"/>
        </w:rPr>
      </w:pPr>
      <m:oMath>
        <m:sSubSup>
          <m:sSubSupPr>
            <m:ctrlPr>
              <w:rPr>
                <w:rFonts w:ascii="Cambria Math" w:eastAsia="標楷體" w:hAnsi="Cambria Math"/>
              </w:rPr>
            </m:ctrlPr>
          </m:sSubSupPr>
          <m:e>
            <m:r>
              <w:rPr>
                <w:rFonts w:ascii="Cambria Math" w:eastAsia="標楷體" w:hAnsi="Cambria Math"/>
              </w:rPr>
              <m:t>I</m:t>
            </m:r>
          </m:e>
          <m:sub>
            <m:r>
              <w:rPr>
                <w:rFonts w:ascii="Cambria Math" w:eastAsia="標楷體" w:hAnsi="Cambria Math"/>
              </w:rPr>
              <m:t>i</m:t>
            </m:r>
          </m:sub>
          <m:sup>
            <m:r>
              <m:rPr>
                <m:sty m:val="p"/>
              </m:rPr>
              <w:rPr>
                <w:rFonts w:ascii="Cambria Math" w:eastAsia="標楷體" w:hAnsi="Cambria Math"/>
              </w:rPr>
              <m:t>*</m:t>
            </m:r>
          </m:sup>
        </m:sSubSup>
        <m:r>
          <m:rPr>
            <m:sty m:val="p"/>
          </m:rPr>
          <w:rPr>
            <w:rFonts w:ascii="Cambria Math" w:eastAsia="標楷體" w:hAnsi="Cambria Math"/>
          </w:rPr>
          <m:t>=</m:t>
        </m:r>
        <m:sSub>
          <m:sSubPr>
            <m:ctrlPr>
              <w:rPr>
                <w:rFonts w:ascii="Cambria Math" w:eastAsia="標楷體" w:hAnsi="Cambria Math"/>
              </w:rPr>
            </m:ctrlPr>
          </m:sSubPr>
          <m:e>
            <m:r>
              <w:rPr>
                <w:rFonts w:ascii="Cambria Math" w:eastAsia="標楷體" w:hAnsi="Cambria Math"/>
              </w:rPr>
              <m:t>I</m:t>
            </m:r>
          </m:e>
          <m:sub>
            <m:r>
              <w:rPr>
                <w:rFonts w:ascii="Cambria Math" w:eastAsia="標楷體" w:hAnsi="Cambria Math"/>
              </w:rPr>
              <m:t>i</m:t>
            </m:r>
          </m:sub>
        </m:sSub>
        <m:r>
          <m:rPr>
            <m:sty m:val="p"/>
          </m:rPr>
          <w:rPr>
            <w:rFonts w:ascii="Cambria Math" w:eastAsia="標楷體" w:hAnsi="Cambria Math" w:hint="eastAsia"/>
          </w:rPr>
          <m:t>×</m:t>
        </m:r>
        <m:r>
          <m:rPr>
            <m:sty m:val="p"/>
          </m:rPr>
          <w:rPr>
            <w:rFonts w:ascii="Cambria Math" w:eastAsia="標楷體" w:hAnsi="Cambria Math"/>
          </w:rPr>
          <m:t>(</m:t>
        </m:r>
        <m:sSubSup>
          <m:sSubSupPr>
            <m:ctrlPr>
              <w:rPr>
                <w:rFonts w:ascii="Cambria Math" w:eastAsia="標楷體" w:hAnsi="Cambria Math"/>
              </w:rPr>
            </m:ctrlPr>
          </m:sSubSupPr>
          <m:e>
            <m:r>
              <w:rPr>
                <w:rFonts w:ascii="Cambria Math" w:eastAsia="標楷體" w:hAnsi="Cambria Math"/>
              </w:rPr>
              <m:t>TE</m:t>
            </m:r>
          </m:e>
          <m:sub>
            <m:r>
              <w:rPr>
                <w:rFonts w:ascii="Cambria Math" w:eastAsia="標楷體" w:hAnsi="Cambria Math"/>
              </w:rPr>
              <m:t>i</m:t>
            </m:r>
          </m:sub>
          <m:sup>
            <m:r>
              <m:rPr>
                <m:sty m:val="p"/>
              </m:rPr>
              <w:rPr>
                <w:rFonts w:ascii="Cambria Math" w:eastAsia="標楷體" w:hAnsi="Cambria Math"/>
              </w:rPr>
              <m:t>*</m:t>
            </m:r>
          </m:sup>
        </m:sSubSup>
        <m:r>
          <m:rPr>
            <m:sty m:val="p"/>
          </m:rPr>
          <w:rPr>
            <w:rFonts w:ascii="Cambria Math" w:eastAsia="標楷體" w:hAnsi="Cambria Math"/>
          </w:rPr>
          <m:t>/</m:t>
        </m:r>
        <m:acc>
          <m:accPr>
            <m:ctrlPr>
              <w:rPr>
                <w:rFonts w:ascii="Cambria Math" w:eastAsia="標楷體" w:hAnsi="Cambria Math"/>
              </w:rPr>
            </m:ctrlPr>
          </m:accPr>
          <m:e>
            <m:sSub>
              <m:sSubPr>
                <m:ctrlPr>
                  <w:rPr>
                    <w:rFonts w:ascii="Cambria Math" w:eastAsia="標楷體" w:hAnsi="Cambria Math"/>
                  </w:rPr>
                </m:ctrlPr>
              </m:sSubPr>
              <m:e>
                <m:r>
                  <w:rPr>
                    <w:rFonts w:ascii="Cambria Math" w:eastAsia="標楷體" w:hAnsi="Cambria Math"/>
                  </w:rPr>
                  <m:t>TE</m:t>
                </m:r>
              </m:e>
              <m:sub>
                <m:r>
                  <w:rPr>
                    <w:rFonts w:ascii="Cambria Math" w:eastAsia="標楷體" w:hAnsi="Cambria Math"/>
                  </w:rPr>
                  <m:t>i</m:t>
                </m:r>
              </m:sub>
            </m:sSub>
          </m:e>
        </m:acc>
        <m:r>
          <m:rPr>
            <m:sty m:val="p"/>
          </m:rPr>
          <w:rPr>
            <w:rFonts w:ascii="Cambria Math" w:eastAsia="標楷體" w:hAnsi="Cambria Math"/>
          </w:rPr>
          <m:t>)</m:t>
        </m:r>
      </m:oMath>
      <w:r w:rsidR="004F74F0" w:rsidRPr="00FD5442">
        <w:rPr>
          <w:rFonts w:eastAsia="標楷體"/>
        </w:rPr>
        <w:t xml:space="preserve"> and </w:t>
      </w:r>
      <m:oMath>
        <m:sSubSup>
          <m:sSubSupPr>
            <m:ctrlPr>
              <w:rPr>
                <w:rFonts w:ascii="Cambria Math" w:eastAsia="標楷體" w:hAnsi="Cambria Math"/>
              </w:rPr>
            </m:ctrlPr>
          </m:sSubSupPr>
          <m:e>
            <m:r>
              <w:rPr>
                <w:rFonts w:ascii="Cambria Math" w:eastAsia="標楷體" w:hAnsi="Cambria Math"/>
              </w:rPr>
              <m:t>O</m:t>
            </m:r>
          </m:e>
          <m:sub>
            <m:r>
              <w:rPr>
                <w:rFonts w:ascii="Cambria Math" w:eastAsia="標楷體" w:hAnsi="Cambria Math"/>
              </w:rPr>
              <m:t>i</m:t>
            </m:r>
          </m:sub>
          <m:sup>
            <m:r>
              <m:rPr>
                <m:sty m:val="p"/>
              </m:rPr>
              <w:rPr>
                <w:rFonts w:ascii="Cambria Math" w:eastAsia="標楷體" w:hAnsi="Cambria Math"/>
              </w:rPr>
              <m:t>*</m:t>
            </m:r>
          </m:sup>
        </m:sSubSup>
        <m:r>
          <m:rPr>
            <m:sty m:val="p"/>
          </m:rPr>
          <w:rPr>
            <w:rFonts w:ascii="Cambria Math" w:eastAsia="標楷體" w:hAnsi="Cambria Math"/>
          </w:rPr>
          <m:t>=</m:t>
        </m:r>
        <m:sSub>
          <m:sSubPr>
            <m:ctrlPr>
              <w:rPr>
                <w:rFonts w:ascii="Cambria Math" w:eastAsia="標楷體" w:hAnsi="Cambria Math"/>
              </w:rPr>
            </m:ctrlPr>
          </m:sSubPr>
          <m:e>
            <m:r>
              <w:rPr>
                <w:rFonts w:ascii="Cambria Math" w:eastAsia="標楷體" w:hAnsi="Cambria Math"/>
              </w:rPr>
              <m:t>O</m:t>
            </m:r>
          </m:e>
          <m:sub>
            <m:r>
              <w:rPr>
                <w:rFonts w:ascii="Cambria Math" w:eastAsia="標楷體" w:hAnsi="Cambria Math"/>
              </w:rPr>
              <m:t>i</m:t>
            </m:r>
          </m:sub>
        </m:sSub>
      </m:oMath>
      <w:r w:rsidR="004F74F0" w:rsidRPr="00FD5442">
        <w:rPr>
          <w:rFonts w:eastAsia="標楷體"/>
        </w:rPr>
        <w:t xml:space="preserve"> </w:t>
      </w:r>
      <w:r w:rsidR="004F74F0">
        <w:rPr>
          <w:rFonts w:eastAsia="標楷體"/>
        </w:rPr>
        <w:t xml:space="preserve">is constructed </w:t>
      </w:r>
      <w:r w:rsidR="004F74F0" w:rsidRPr="00FD5442">
        <w:rPr>
          <w:rFonts w:eastAsia="標楷體"/>
        </w:rPr>
        <w:t xml:space="preserve">for each DMU </w:t>
      </w:r>
      <w:r w:rsidR="004F74F0" w:rsidRPr="00F36625">
        <w:rPr>
          <w:rFonts w:eastAsia="標楷體"/>
        </w:rPr>
        <w:t>i</w:t>
      </w:r>
      <w:r w:rsidR="004F74F0">
        <w:rPr>
          <w:rFonts w:eastAsia="標楷體"/>
        </w:rPr>
        <w:t>.</w:t>
      </w:r>
    </w:p>
    <w:p w14:paraId="2441FC81" w14:textId="77777777" w:rsidR="004F74F0" w:rsidRPr="00FD5442" w:rsidRDefault="004F74F0" w:rsidP="00FF6DC7">
      <w:pPr>
        <w:pStyle w:val="af6"/>
        <w:numPr>
          <w:ilvl w:val="0"/>
          <w:numId w:val="6"/>
        </w:numPr>
        <w:adjustRightInd w:val="0"/>
        <w:ind w:leftChars="0"/>
        <w:jc w:val="both"/>
        <w:textAlignment w:val="baseline"/>
        <w:rPr>
          <w:rFonts w:eastAsia="標楷體"/>
        </w:rPr>
      </w:pPr>
      <w:r>
        <w:rPr>
          <w:rFonts w:eastAsia="標楷體"/>
        </w:rPr>
        <w:t>T</w:t>
      </w:r>
      <w:r w:rsidRPr="00FD5442">
        <w:rPr>
          <w:rFonts w:eastAsia="標楷體"/>
        </w:rPr>
        <w:t xml:space="preserve">he </w:t>
      </w:r>
      <m:oMath>
        <m:sSubSup>
          <m:sSubSupPr>
            <m:ctrlPr>
              <w:rPr>
                <w:rFonts w:ascii="Cambria Math" w:eastAsia="標楷體" w:hAnsi="Cambria Math"/>
              </w:rPr>
            </m:ctrlPr>
          </m:sSubSupPr>
          <m:e>
            <m:r>
              <w:rPr>
                <w:rFonts w:ascii="Cambria Math" w:eastAsia="標楷體" w:hAnsi="Cambria Math"/>
              </w:rPr>
              <m:t>I</m:t>
            </m:r>
          </m:e>
          <m:sub/>
          <m:sup>
            <m:r>
              <m:rPr>
                <m:sty m:val="p"/>
              </m:rPr>
              <w:rPr>
                <w:rFonts w:ascii="Cambria Math" w:eastAsia="標楷體" w:hAnsi="Cambria Math"/>
              </w:rPr>
              <m:t>*</m:t>
            </m:r>
          </m:sup>
        </m:sSubSup>
        <m:r>
          <m:rPr>
            <m:sty m:val="p"/>
          </m:rPr>
          <w:rPr>
            <w:rFonts w:ascii="Cambria Math" w:eastAsia="標楷體" w:hAnsi="Cambria Math"/>
          </w:rPr>
          <m:t>=(</m:t>
        </m:r>
        <m:sSubSup>
          <m:sSubSupPr>
            <m:ctrlPr>
              <w:rPr>
                <w:rFonts w:ascii="Cambria Math" w:eastAsia="標楷體" w:hAnsi="Cambria Math"/>
              </w:rPr>
            </m:ctrlPr>
          </m:sSubSupPr>
          <m:e>
            <m:r>
              <w:rPr>
                <w:rFonts w:ascii="Cambria Math" w:eastAsia="標楷體" w:hAnsi="Cambria Math"/>
              </w:rPr>
              <m:t>I</m:t>
            </m:r>
          </m:e>
          <m:sub>
            <m:r>
              <m:rPr>
                <m:sty m:val="p"/>
              </m:rPr>
              <w:rPr>
                <w:rFonts w:ascii="Cambria Math" w:eastAsia="標楷體" w:hAnsi="Cambria Math"/>
              </w:rPr>
              <m:t>1</m:t>
            </m:r>
          </m:sub>
          <m:sup>
            <m:r>
              <m:rPr>
                <m:sty m:val="p"/>
              </m:rPr>
              <w:rPr>
                <w:rFonts w:ascii="Cambria Math" w:eastAsia="標楷體" w:hAnsi="Cambria Math"/>
              </w:rPr>
              <m:t>*</m:t>
            </m:r>
          </m:sup>
        </m:sSubSup>
        <m:r>
          <m:rPr>
            <m:sty m:val="p"/>
          </m:rPr>
          <w:rPr>
            <w:rFonts w:ascii="Cambria Math" w:eastAsia="標楷體" w:hAnsi="Cambria Math"/>
          </w:rPr>
          <m:t>,</m:t>
        </m:r>
        <m:r>
          <m:rPr>
            <m:sty m:val="p"/>
          </m:rPr>
          <w:rPr>
            <w:rFonts w:ascii="Cambria Math" w:eastAsia="標楷體" w:hAnsi="Cambria Math" w:hint="eastAsia"/>
          </w:rPr>
          <m:t>…</m:t>
        </m:r>
        <m:r>
          <m:rPr>
            <m:sty m:val="p"/>
          </m:rPr>
          <w:rPr>
            <w:rFonts w:ascii="Cambria Math" w:eastAsia="標楷體" w:hAnsi="Cambria Math"/>
          </w:rPr>
          <m:t>,</m:t>
        </m:r>
        <m:sSubSup>
          <m:sSubSupPr>
            <m:ctrlPr>
              <w:rPr>
                <w:rFonts w:ascii="Cambria Math" w:eastAsia="標楷體" w:hAnsi="Cambria Math"/>
              </w:rPr>
            </m:ctrlPr>
          </m:sSubSupPr>
          <m:e>
            <m:r>
              <w:rPr>
                <w:rFonts w:ascii="Cambria Math" w:eastAsia="標楷體" w:hAnsi="Cambria Math"/>
              </w:rPr>
              <m:t>I</m:t>
            </m:r>
          </m:e>
          <m:sub>
            <m:r>
              <w:rPr>
                <w:rFonts w:ascii="Cambria Math" w:eastAsia="標楷體" w:hAnsi="Cambria Math"/>
              </w:rPr>
              <m:t>n</m:t>
            </m:r>
          </m:sub>
          <m:sup>
            <m:r>
              <m:rPr>
                <m:sty m:val="p"/>
              </m:rPr>
              <w:rPr>
                <w:rFonts w:ascii="Cambria Math" w:eastAsia="標楷體" w:hAnsi="Cambria Math"/>
              </w:rPr>
              <m:t>*</m:t>
            </m:r>
          </m:sup>
        </m:sSubSup>
        <m:r>
          <m:rPr>
            <m:sty m:val="p"/>
          </m:rPr>
          <w:rPr>
            <w:rFonts w:ascii="Cambria Math" w:eastAsia="標楷體" w:hAnsi="Cambria Math"/>
          </w:rPr>
          <m:t>)</m:t>
        </m:r>
      </m:oMath>
      <w:r w:rsidRPr="00FD5442">
        <w:rPr>
          <w:rFonts w:eastAsia="標楷體"/>
        </w:rPr>
        <w:t xml:space="preserve"> and </w:t>
      </w:r>
      <m:oMath>
        <m:sSubSup>
          <m:sSubSupPr>
            <m:ctrlPr>
              <w:rPr>
                <w:rFonts w:ascii="Cambria Math" w:eastAsia="標楷體" w:hAnsi="Cambria Math"/>
              </w:rPr>
            </m:ctrlPr>
          </m:sSubSupPr>
          <m:e>
            <m:r>
              <w:rPr>
                <w:rFonts w:ascii="Cambria Math" w:eastAsia="標楷體" w:hAnsi="Cambria Math"/>
              </w:rPr>
              <m:t>O</m:t>
            </m:r>
          </m:e>
          <m:sub/>
          <m:sup>
            <m:r>
              <m:rPr>
                <m:sty m:val="p"/>
              </m:rPr>
              <w:rPr>
                <w:rFonts w:ascii="Cambria Math" w:eastAsia="標楷體" w:hAnsi="Cambria Math"/>
              </w:rPr>
              <m:t>*</m:t>
            </m:r>
          </m:sup>
        </m:sSubSup>
        <m:r>
          <m:rPr>
            <m:sty m:val="p"/>
          </m:rPr>
          <w:rPr>
            <w:rFonts w:ascii="Cambria Math" w:eastAsia="標楷體" w:hAnsi="Cambria Math"/>
          </w:rPr>
          <m:t>=</m:t>
        </m:r>
        <m:d>
          <m:dPr>
            <m:ctrlPr>
              <w:rPr>
                <w:rFonts w:ascii="Cambria Math" w:eastAsia="標楷體" w:hAnsi="Cambria Math"/>
              </w:rPr>
            </m:ctrlPr>
          </m:dPr>
          <m:e>
            <m:sSubSup>
              <m:sSubSupPr>
                <m:ctrlPr>
                  <w:rPr>
                    <w:rFonts w:ascii="Cambria Math" w:eastAsia="標楷體" w:hAnsi="Cambria Math"/>
                  </w:rPr>
                </m:ctrlPr>
              </m:sSubSupPr>
              <m:e>
                <m:r>
                  <w:rPr>
                    <w:rFonts w:ascii="Cambria Math" w:eastAsia="標楷體" w:hAnsi="Cambria Math"/>
                  </w:rPr>
                  <m:t>O</m:t>
                </m:r>
              </m:e>
              <m:sub>
                <m:r>
                  <m:rPr>
                    <m:sty m:val="p"/>
                  </m:rPr>
                  <w:rPr>
                    <w:rFonts w:ascii="Cambria Math" w:eastAsia="標楷體" w:hAnsi="Cambria Math"/>
                  </w:rPr>
                  <m:t>1</m:t>
                </m:r>
              </m:sub>
              <m:sup>
                <m:r>
                  <m:rPr>
                    <m:sty m:val="p"/>
                  </m:rPr>
                  <w:rPr>
                    <w:rFonts w:ascii="Cambria Math" w:eastAsia="標楷體" w:hAnsi="Cambria Math"/>
                  </w:rPr>
                  <m:t>*</m:t>
                </m:r>
              </m:sup>
            </m:sSubSup>
            <m:r>
              <m:rPr>
                <m:sty m:val="p"/>
              </m:rPr>
              <w:rPr>
                <w:rFonts w:ascii="Cambria Math" w:eastAsia="標楷體" w:hAnsi="Cambria Math"/>
              </w:rPr>
              <m:t>,</m:t>
            </m:r>
            <m:r>
              <m:rPr>
                <m:sty m:val="p"/>
              </m:rPr>
              <w:rPr>
                <w:rFonts w:ascii="Cambria Math" w:eastAsia="標楷體" w:hAnsi="Cambria Math" w:hint="eastAsia"/>
              </w:rPr>
              <m:t>…</m:t>
            </m:r>
            <m:r>
              <m:rPr>
                <m:sty m:val="p"/>
              </m:rPr>
              <w:rPr>
                <w:rFonts w:ascii="Cambria Math" w:eastAsia="標楷體" w:hAnsi="Cambria Math"/>
              </w:rPr>
              <m:t>,</m:t>
            </m:r>
            <m:sSubSup>
              <m:sSubSupPr>
                <m:ctrlPr>
                  <w:rPr>
                    <w:rFonts w:ascii="Cambria Math" w:eastAsia="標楷體" w:hAnsi="Cambria Math"/>
                  </w:rPr>
                </m:ctrlPr>
              </m:sSubSupPr>
              <m:e>
                <m:r>
                  <w:rPr>
                    <w:rFonts w:ascii="Cambria Math" w:eastAsia="標楷體" w:hAnsi="Cambria Math"/>
                  </w:rPr>
                  <m:t>O</m:t>
                </m:r>
              </m:e>
              <m:sub>
                <m:r>
                  <w:rPr>
                    <w:rFonts w:ascii="Cambria Math" w:eastAsia="標楷體" w:hAnsi="Cambria Math"/>
                  </w:rPr>
                  <m:t>n</m:t>
                </m:r>
              </m:sub>
              <m:sup>
                <m:r>
                  <m:rPr>
                    <m:sty m:val="p"/>
                  </m:rPr>
                  <w:rPr>
                    <w:rFonts w:ascii="Cambria Math" w:eastAsia="標楷體" w:hAnsi="Cambria Math"/>
                  </w:rPr>
                  <m:t>*</m:t>
                </m:r>
              </m:sup>
            </m:sSubSup>
          </m:e>
        </m:d>
      </m:oMath>
      <w:r w:rsidRPr="00FD5442">
        <w:rPr>
          <w:rFonts w:eastAsia="標楷體"/>
        </w:rPr>
        <w:t xml:space="preserve"> constructed in (3.3) </w:t>
      </w:r>
      <w:r>
        <w:rPr>
          <w:rFonts w:eastAsia="標楷體"/>
        </w:rPr>
        <w:t xml:space="preserve">is employed </w:t>
      </w:r>
      <w:r w:rsidRPr="00FD5442">
        <w:rPr>
          <w:rFonts w:eastAsia="標楷體"/>
        </w:rPr>
        <w:t xml:space="preserve">to estimate </w:t>
      </w:r>
      <m:oMath>
        <m:sSubSup>
          <m:sSubSupPr>
            <m:ctrlPr>
              <w:rPr>
                <w:rFonts w:ascii="Cambria Math" w:eastAsia="標楷體" w:hAnsi="Cambria Math"/>
              </w:rPr>
            </m:ctrlPr>
          </m:sSubSupPr>
          <m:e>
            <m:acc>
              <m:accPr>
                <m:ctrlPr>
                  <w:rPr>
                    <w:rFonts w:ascii="Cambria Math" w:eastAsia="標楷體" w:hAnsi="Cambria Math"/>
                  </w:rPr>
                </m:ctrlPr>
              </m:accPr>
              <m:e>
                <m:r>
                  <w:rPr>
                    <w:rFonts w:ascii="Cambria Math" w:eastAsia="標楷體" w:hAnsi="Cambria Math"/>
                  </w:rPr>
                  <m:t>TE</m:t>
                </m:r>
              </m:e>
            </m:acc>
          </m:e>
          <m:sub>
            <m:r>
              <w:rPr>
                <w:rFonts w:ascii="Cambria Math" w:eastAsia="標楷體" w:hAnsi="Cambria Math"/>
              </w:rPr>
              <m:t>i</m:t>
            </m:r>
          </m:sub>
          <m:sup>
            <m:r>
              <m:rPr>
                <m:sty m:val="p"/>
              </m:rPr>
              <w:rPr>
                <w:rFonts w:ascii="Cambria Math" w:eastAsia="標楷體" w:hAnsi="Cambria Math"/>
              </w:rPr>
              <m:t>*</m:t>
            </m:r>
          </m:sup>
        </m:sSubSup>
        <m:r>
          <m:rPr>
            <m:sty m:val="p"/>
          </m:rPr>
          <w:rPr>
            <w:rFonts w:ascii="Cambria Math" w:eastAsia="標楷體" w:hAnsi="Cambria Math"/>
          </w:rPr>
          <m:t>(</m:t>
        </m:r>
        <m:sSubSup>
          <m:sSubSupPr>
            <m:ctrlPr>
              <w:rPr>
                <w:rFonts w:ascii="Cambria Math" w:eastAsia="標楷體" w:hAnsi="Cambria Math"/>
              </w:rPr>
            </m:ctrlPr>
          </m:sSubSupPr>
          <m:e>
            <m:sSubSup>
              <m:sSubSupPr>
                <m:ctrlPr>
                  <w:rPr>
                    <w:rFonts w:ascii="Cambria Math" w:eastAsia="標楷體" w:hAnsi="Cambria Math"/>
                  </w:rPr>
                </m:ctrlPr>
              </m:sSubSupPr>
              <m:e>
                <m:r>
                  <w:rPr>
                    <w:rFonts w:ascii="Cambria Math" w:eastAsia="標楷體" w:hAnsi="Cambria Math"/>
                  </w:rPr>
                  <m:t>I</m:t>
                </m:r>
              </m:e>
              <m:sub>
                <m:r>
                  <w:rPr>
                    <w:rFonts w:ascii="Cambria Math" w:eastAsia="標楷體" w:hAnsi="Cambria Math"/>
                  </w:rPr>
                  <m:t>n</m:t>
                </m:r>
              </m:sub>
              <m:sup/>
            </m:sSubSup>
            <m:r>
              <m:rPr>
                <m:sty m:val="p"/>
              </m:rPr>
              <w:rPr>
                <w:rFonts w:ascii="Cambria Math" w:eastAsia="標楷體" w:hAnsi="Cambria Math"/>
              </w:rPr>
              <m:t>,</m:t>
            </m:r>
            <m:r>
              <w:rPr>
                <w:rFonts w:ascii="Cambria Math" w:eastAsia="標楷體" w:hAnsi="Cambria Math"/>
              </w:rPr>
              <m:t>O</m:t>
            </m:r>
          </m:e>
          <m:sub>
            <m:r>
              <w:rPr>
                <w:rFonts w:ascii="Cambria Math" w:eastAsia="標楷體" w:hAnsi="Cambria Math"/>
              </w:rPr>
              <m:t>n</m:t>
            </m:r>
          </m:sub>
          <m:sup/>
        </m:sSubSup>
        <m:r>
          <m:rPr>
            <m:sty m:val="p"/>
          </m:rPr>
          <w:rPr>
            <w:rFonts w:ascii="Cambria Math" w:eastAsia="標楷體" w:hAnsi="Cambria Math"/>
          </w:rPr>
          <m:t>)</m:t>
        </m:r>
      </m:oMath>
      <w:r>
        <w:rPr>
          <w:rFonts w:eastAsia="標楷體"/>
        </w:rPr>
        <w:t>.</w:t>
      </w:r>
    </w:p>
    <w:p w14:paraId="1280B41D" w14:textId="77777777" w:rsidR="004F74F0" w:rsidRPr="00FD5442" w:rsidRDefault="004F74F0" w:rsidP="00FF6DC7">
      <w:pPr>
        <w:pStyle w:val="af6"/>
        <w:numPr>
          <w:ilvl w:val="0"/>
          <w:numId w:val="5"/>
        </w:numPr>
        <w:adjustRightInd w:val="0"/>
        <w:ind w:leftChars="0" w:left="567" w:hanging="567"/>
        <w:jc w:val="both"/>
        <w:textAlignment w:val="baseline"/>
        <w:rPr>
          <w:rFonts w:eastAsia="標楷體"/>
        </w:rPr>
      </w:pPr>
      <w:r w:rsidRPr="00FD5442">
        <w:rPr>
          <w:rFonts w:eastAsia="標楷體"/>
        </w:rPr>
        <w:t xml:space="preserve">For each DMU i, a corrected estimate </w:t>
      </w:r>
      <m:oMath>
        <m:acc>
          <m:accPr>
            <m:ctrlPr>
              <w:rPr>
                <w:rFonts w:ascii="Cambria Math" w:eastAsia="標楷體" w:hAnsi="Cambria Math"/>
              </w:rPr>
            </m:ctrlPr>
          </m:accPr>
          <m:e>
            <m:sSub>
              <m:sSubPr>
                <m:ctrlPr>
                  <w:rPr>
                    <w:rFonts w:ascii="Cambria Math" w:eastAsia="標楷體" w:hAnsi="Cambria Math"/>
                  </w:rPr>
                </m:ctrlPr>
              </m:sSubPr>
              <m:e>
                <m:acc>
                  <m:accPr>
                    <m:ctrlPr>
                      <w:rPr>
                        <w:rFonts w:ascii="Cambria Math" w:eastAsia="標楷體" w:hAnsi="Cambria Math"/>
                      </w:rPr>
                    </m:ctrlPr>
                  </m:accPr>
                  <m:e>
                    <m:r>
                      <w:rPr>
                        <w:rFonts w:ascii="Cambria Math" w:eastAsia="標楷體" w:hAnsi="Cambria Math"/>
                      </w:rPr>
                      <m:t>TE</m:t>
                    </m:r>
                  </m:e>
                </m:acc>
              </m:e>
              <m:sub>
                <m:r>
                  <w:rPr>
                    <w:rFonts w:ascii="Cambria Math" w:eastAsia="標楷體" w:hAnsi="Cambria Math"/>
                  </w:rPr>
                  <m:t>i</m:t>
                </m:r>
              </m:sub>
            </m:sSub>
          </m:e>
        </m:acc>
        <m:r>
          <m:rPr>
            <m:sty m:val="p"/>
          </m:rPr>
          <w:rPr>
            <w:rFonts w:ascii="Cambria Math" w:eastAsia="標楷體" w:hAnsi="Cambria Math"/>
          </w:rPr>
          <m:t>=</m:t>
        </m:r>
        <m:acc>
          <m:accPr>
            <m:ctrlPr>
              <w:rPr>
                <w:rFonts w:ascii="Cambria Math" w:eastAsia="標楷體" w:hAnsi="Cambria Math"/>
              </w:rPr>
            </m:ctrlPr>
          </m:accPr>
          <m:e>
            <m:sSub>
              <m:sSubPr>
                <m:ctrlPr>
                  <w:rPr>
                    <w:rFonts w:ascii="Cambria Math" w:eastAsia="標楷體" w:hAnsi="Cambria Math"/>
                  </w:rPr>
                </m:ctrlPr>
              </m:sSubPr>
              <m:e>
                <m:r>
                  <w:rPr>
                    <w:rFonts w:ascii="Cambria Math" w:eastAsia="標楷體" w:hAnsi="Cambria Math"/>
                  </w:rPr>
                  <m:t>TE</m:t>
                </m:r>
              </m:e>
              <m:sub>
                <m:r>
                  <w:rPr>
                    <w:rFonts w:ascii="Cambria Math" w:eastAsia="標楷體" w:hAnsi="Cambria Math"/>
                  </w:rPr>
                  <m:t>i</m:t>
                </m:r>
              </m:sub>
            </m:sSub>
          </m:e>
        </m:acc>
        <m:r>
          <m:rPr>
            <m:sty m:val="p"/>
          </m:rPr>
          <w:rPr>
            <w:rFonts w:ascii="Cambria Math" w:eastAsia="標楷體" w:hAnsi="Cambria Math"/>
          </w:rPr>
          <m:t>-</m:t>
        </m:r>
        <m:acc>
          <m:accPr>
            <m:ctrlPr>
              <w:rPr>
                <w:rFonts w:ascii="Cambria Math" w:eastAsia="標楷體" w:hAnsi="Cambria Math"/>
              </w:rPr>
            </m:ctrlPr>
          </m:accPr>
          <m:e>
            <m:r>
              <w:rPr>
                <w:rFonts w:ascii="Cambria Math" w:eastAsia="標楷體" w:hAnsi="Cambria Math"/>
              </w:rPr>
              <m:t>BIAS</m:t>
            </m:r>
          </m:e>
        </m:acc>
        <m:r>
          <m:rPr>
            <m:sty m:val="p"/>
          </m:rPr>
          <w:rPr>
            <w:rFonts w:ascii="Cambria Math" w:eastAsia="標楷體" w:hAnsi="Cambria Math"/>
          </w:rPr>
          <m:t>(</m:t>
        </m:r>
        <m:acc>
          <m:accPr>
            <m:ctrlPr>
              <w:rPr>
                <w:rFonts w:ascii="Cambria Math" w:eastAsia="標楷體" w:hAnsi="Cambria Math"/>
              </w:rPr>
            </m:ctrlPr>
          </m:accPr>
          <m:e>
            <m:sSub>
              <m:sSubPr>
                <m:ctrlPr>
                  <w:rPr>
                    <w:rFonts w:ascii="Cambria Math" w:eastAsia="標楷體" w:hAnsi="Cambria Math"/>
                  </w:rPr>
                </m:ctrlPr>
              </m:sSubPr>
              <m:e>
                <m:r>
                  <w:rPr>
                    <w:rFonts w:ascii="Cambria Math" w:eastAsia="標楷體" w:hAnsi="Cambria Math"/>
                  </w:rPr>
                  <m:t>TE</m:t>
                </m:r>
              </m:e>
              <m:sub>
                <m:r>
                  <w:rPr>
                    <w:rFonts w:ascii="Cambria Math" w:eastAsia="標楷體" w:hAnsi="Cambria Math"/>
                  </w:rPr>
                  <m:t>i</m:t>
                </m:r>
              </m:sub>
            </m:sSub>
          </m:e>
        </m:acc>
        <m:r>
          <m:rPr>
            <m:sty m:val="p"/>
          </m:rPr>
          <w:rPr>
            <w:rFonts w:ascii="Cambria Math" w:eastAsia="標楷體" w:hAnsi="Cambria Math"/>
          </w:rPr>
          <m:t>)</m:t>
        </m:r>
      </m:oMath>
      <w:r>
        <w:rPr>
          <w:rFonts w:eastAsia="標楷體"/>
        </w:rPr>
        <w:t xml:space="preserve"> is calculated</w:t>
      </w:r>
      <w:r w:rsidRPr="00FD5442">
        <w:rPr>
          <w:rFonts w:eastAsia="標楷體"/>
        </w:rPr>
        <w:t xml:space="preserve">, </w:t>
      </w:r>
      <w:r w:rsidRPr="0007698C">
        <w:rPr>
          <w:rFonts w:eastAsia="標楷體"/>
        </w:rPr>
        <w:t xml:space="preserve">where </w:t>
      </w:r>
      <m:oMath>
        <m:acc>
          <m:accPr>
            <m:ctrlPr>
              <w:rPr>
                <w:rFonts w:ascii="Cambria Math" w:eastAsia="標楷體" w:hAnsi="Cambria Math"/>
              </w:rPr>
            </m:ctrlPr>
          </m:accPr>
          <m:e>
            <m:r>
              <w:rPr>
                <w:rFonts w:ascii="Cambria Math" w:eastAsia="標楷體" w:hAnsi="Cambria Math"/>
              </w:rPr>
              <m:t>BIAS</m:t>
            </m:r>
          </m:e>
        </m:acc>
        <m:d>
          <m:dPr>
            <m:ctrlPr>
              <w:rPr>
                <w:rFonts w:ascii="Cambria Math" w:eastAsia="標楷體" w:hAnsi="Cambria Math"/>
              </w:rPr>
            </m:ctrlPr>
          </m:dPr>
          <m:e>
            <m:acc>
              <m:accPr>
                <m:ctrlPr>
                  <w:rPr>
                    <w:rFonts w:ascii="Cambria Math" w:eastAsia="標楷體" w:hAnsi="Cambria Math"/>
                  </w:rPr>
                </m:ctrlPr>
              </m:accPr>
              <m:e>
                <m:sSub>
                  <m:sSubPr>
                    <m:ctrlPr>
                      <w:rPr>
                        <w:rFonts w:ascii="Cambria Math" w:eastAsia="標楷體" w:hAnsi="Cambria Math"/>
                      </w:rPr>
                    </m:ctrlPr>
                  </m:sSubPr>
                  <m:e>
                    <m:r>
                      <w:rPr>
                        <w:rFonts w:ascii="Cambria Math" w:eastAsia="標楷體" w:hAnsi="Cambria Math"/>
                      </w:rPr>
                      <m:t>TE</m:t>
                    </m:r>
                  </m:e>
                  <m:sub>
                    <m:r>
                      <w:rPr>
                        <w:rFonts w:ascii="Cambria Math" w:eastAsia="標楷體" w:hAnsi="Cambria Math"/>
                      </w:rPr>
                      <m:t>i</m:t>
                    </m:r>
                  </m:sub>
                </m:sSub>
              </m:e>
            </m:acc>
          </m:e>
        </m:d>
        <m:r>
          <m:rPr>
            <m:sty m:val="p"/>
          </m:rPr>
          <w:rPr>
            <w:rFonts w:ascii="Cambria Math" w:eastAsia="標楷體" w:hAnsi="Cambria Math"/>
          </w:rPr>
          <m:t>-</m:t>
        </m:r>
        <m:r>
          <w:rPr>
            <w:rFonts w:ascii="Cambria Math" w:eastAsia="標楷體" w:hAnsi="Cambria Math"/>
          </w:rPr>
          <m:t>E</m:t>
        </m:r>
        <m:d>
          <m:dPr>
            <m:ctrlPr>
              <w:rPr>
                <w:rFonts w:ascii="Cambria Math" w:eastAsia="標楷體" w:hAnsi="Cambria Math"/>
              </w:rPr>
            </m:ctrlPr>
          </m:dPr>
          <m:e>
            <m:acc>
              <m:accPr>
                <m:ctrlPr>
                  <w:rPr>
                    <w:rFonts w:ascii="Cambria Math" w:eastAsia="標楷體" w:hAnsi="Cambria Math"/>
                  </w:rPr>
                </m:ctrlPr>
              </m:accPr>
              <m:e>
                <m:sSub>
                  <m:sSubPr>
                    <m:ctrlPr>
                      <w:rPr>
                        <w:rFonts w:ascii="Cambria Math" w:eastAsia="標楷體" w:hAnsi="Cambria Math"/>
                      </w:rPr>
                    </m:ctrlPr>
                  </m:sSubPr>
                  <m:e>
                    <m:r>
                      <w:rPr>
                        <w:rFonts w:ascii="Cambria Math" w:eastAsia="標楷體" w:hAnsi="Cambria Math"/>
                      </w:rPr>
                      <m:t>TE</m:t>
                    </m:r>
                  </m:e>
                  <m:sub>
                    <m:r>
                      <w:rPr>
                        <w:rFonts w:ascii="Cambria Math" w:eastAsia="標楷體" w:hAnsi="Cambria Math"/>
                      </w:rPr>
                      <m:t>i</m:t>
                    </m:r>
                  </m:sub>
                </m:sSub>
              </m:e>
            </m:acc>
          </m:e>
        </m:d>
        <m:r>
          <m:rPr>
            <m:sty m:val="p"/>
          </m:rPr>
          <w:rPr>
            <w:rFonts w:ascii="Cambria Math" w:eastAsia="標楷體" w:hAnsi="Cambria Math"/>
          </w:rPr>
          <m:t>-</m:t>
        </m:r>
        <m:sSub>
          <m:sSubPr>
            <m:ctrlPr>
              <w:rPr>
                <w:rFonts w:ascii="Cambria Math" w:eastAsia="標楷體" w:hAnsi="Cambria Math"/>
              </w:rPr>
            </m:ctrlPr>
          </m:sSubPr>
          <m:e>
            <m:r>
              <w:rPr>
                <w:rFonts w:ascii="Cambria Math" w:eastAsia="標楷體" w:hAnsi="Cambria Math"/>
              </w:rPr>
              <m:t>TE</m:t>
            </m:r>
          </m:e>
          <m:sub>
            <m:r>
              <w:rPr>
                <w:rFonts w:ascii="Cambria Math" w:eastAsia="標楷體" w:hAnsi="Cambria Math"/>
              </w:rPr>
              <m:t>i</m:t>
            </m:r>
          </m:sub>
        </m:sSub>
      </m:oMath>
      <w:r w:rsidRPr="0007698C">
        <w:rPr>
          <w:rFonts w:eastAsia="標楷體"/>
        </w:rPr>
        <w:t xml:space="preserve"> is the</w:t>
      </w:r>
      <w:r w:rsidRPr="00FD5442">
        <w:rPr>
          <w:rFonts w:eastAsia="標楷體"/>
        </w:rPr>
        <w:t xml:space="preserve"> bootstrap estimate (</w:t>
      </w:r>
      <m:oMath>
        <m:sSubSup>
          <m:sSubSupPr>
            <m:ctrlPr>
              <w:rPr>
                <w:rFonts w:ascii="Cambria Math" w:eastAsia="標楷體" w:hAnsi="Cambria Math"/>
              </w:rPr>
            </m:ctrlPr>
          </m:sSubSupPr>
          <m:e>
            <m:r>
              <m:rPr>
                <m:sty m:val="p"/>
              </m:rPr>
              <w:rPr>
                <w:rFonts w:ascii="Cambria Math" w:eastAsia="標楷體" w:hAnsi="Cambria Math"/>
              </w:rPr>
              <m:t>{</m:t>
            </m:r>
            <m:sSubSup>
              <m:sSubSupPr>
                <m:ctrlPr>
                  <w:rPr>
                    <w:rFonts w:ascii="Cambria Math" w:eastAsia="標楷體" w:hAnsi="Cambria Math"/>
                  </w:rPr>
                </m:ctrlPr>
              </m:sSubSupPr>
              <m:e>
                <m:acc>
                  <m:accPr>
                    <m:ctrlPr>
                      <w:rPr>
                        <w:rFonts w:ascii="Cambria Math" w:eastAsia="標楷體" w:hAnsi="Cambria Math"/>
                      </w:rPr>
                    </m:ctrlPr>
                  </m:accPr>
                  <m:e>
                    <m:r>
                      <w:rPr>
                        <w:rFonts w:ascii="Cambria Math" w:eastAsia="標楷體" w:hAnsi="Cambria Math"/>
                      </w:rPr>
                      <m:t>TE</m:t>
                    </m:r>
                  </m:e>
                </m:acc>
              </m:e>
              <m:sub>
                <m:r>
                  <w:rPr>
                    <w:rFonts w:ascii="Cambria Math" w:eastAsia="標楷體" w:hAnsi="Cambria Math"/>
                  </w:rPr>
                  <m:t>ib</m:t>
                </m:r>
              </m:sub>
              <m:sup>
                <m:r>
                  <m:rPr>
                    <m:sty m:val="p"/>
                  </m:rPr>
                  <w:rPr>
                    <w:rFonts w:ascii="Cambria Math" w:eastAsia="標楷體" w:hAnsi="Cambria Math"/>
                  </w:rPr>
                  <m:t>*</m:t>
                </m:r>
              </m:sup>
            </m:sSubSup>
            <m:r>
              <m:rPr>
                <m:sty m:val="p"/>
              </m:rPr>
              <w:rPr>
                <w:rFonts w:ascii="Cambria Math" w:eastAsia="標楷體" w:hAnsi="Cambria Math"/>
              </w:rPr>
              <m:t>}</m:t>
            </m:r>
          </m:e>
          <m:sub>
            <m:r>
              <w:rPr>
                <w:rFonts w:ascii="Cambria Math" w:eastAsia="標楷體" w:hAnsi="Cambria Math"/>
              </w:rPr>
              <m:t>b</m:t>
            </m:r>
            <m:r>
              <m:rPr>
                <m:sty m:val="p"/>
              </m:rPr>
              <w:rPr>
                <w:rFonts w:ascii="Cambria Math" w:eastAsia="標楷體" w:hAnsi="Cambria Math"/>
              </w:rPr>
              <m:t>=1</m:t>
            </m:r>
          </m:sub>
          <m:sup>
            <m:sSub>
              <m:sSubPr>
                <m:ctrlPr>
                  <w:rPr>
                    <w:rFonts w:ascii="Cambria Math" w:eastAsia="標楷體" w:hAnsi="Cambria Math"/>
                  </w:rPr>
                </m:ctrlPr>
              </m:sSubPr>
              <m:e>
                <m:r>
                  <w:rPr>
                    <w:rFonts w:ascii="Cambria Math" w:eastAsia="標楷體" w:hAnsi="Cambria Math"/>
                  </w:rPr>
                  <m:t>L</m:t>
                </m:r>
              </m:e>
              <m:sub>
                <m:r>
                  <m:rPr>
                    <m:sty m:val="p"/>
                  </m:rPr>
                  <w:rPr>
                    <w:rFonts w:ascii="Cambria Math" w:eastAsia="標楷體" w:hAnsi="Cambria Math"/>
                  </w:rPr>
                  <m:t>1</m:t>
                </m:r>
              </m:sub>
            </m:sSub>
          </m:sup>
        </m:sSubSup>
      </m:oMath>
      <w:r w:rsidRPr="00FD5442">
        <w:rPr>
          <w:rFonts w:eastAsia="標楷體"/>
        </w:rPr>
        <w:t xml:space="preserve">) obtained in (3.4) and </w:t>
      </w:r>
      <m:oMath>
        <m:acc>
          <m:accPr>
            <m:ctrlPr>
              <w:rPr>
                <w:rFonts w:ascii="Cambria Math" w:eastAsia="標楷體" w:hAnsi="Cambria Math"/>
              </w:rPr>
            </m:ctrlPr>
          </m:accPr>
          <m:e>
            <m:sSub>
              <m:sSubPr>
                <m:ctrlPr>
                  <w:rPr>
                    <w:rFonts w:ascii="Cambria Math" w:eastAsia="標楷體" w:hAnsi="Cambria Math"/>
                  </w:rPr>
                </m:ctrlPr>
              </m:sSubPr>
              <m:e>
                <m:r>
                  <w:rPr>
                    <w:rFonts w:ascii="Cambria Math" w:eastAsia="標楷體" w:hAnsi="Cambria Math"/>
                  </w:rPr>
                  <m:t>TE</m:t>
                </m:r>
              </m:e>
              <m:sub>
                <m:r>
                  <w:rPr>
                    <w:rFonts w:ascii="Cambria Math" w:eastAsia="標楷體" w:hAnsi="Cambria Math"/>
                  </w:rPr>
                  <m:t>i</m:t>
                </m:r>
              </m:sub>
            </m:sSub>
          </m:e>
        </m:acc>
      </m:oMath>
      <w:r w:rsidRPr="00FD5442">
        <w:rPr>
          <w:rFonts w:eastAsia="標楷體"/>
        </w:rPr>
        <w:t xml:space="preserve"> is the initial estimate</w:t>
      </w:r>
      <w:r>
        <w:rPr>
          <w:rFonts w:eastAsia="標楷體"/>
        </w:rPr>
        <w:t>.</w:t>
      </w:r>
    </w:p>
    <w:p w14:paraId="6E8A6871" w14:textId="77777777" w:rsidR="004F74F0" w:rsidRPr="00FD5442" w:rsidRDefault="004F74F0" w:rsidP="00FF6DC7">
      <w:pPr>
        <w:pStyle w:val="af6"/>
        <w:numPr>
          <w:ilvl w:val="0"/>
          <w:numId w:val="5"/>
        </w:numPr>
        <w:adjustRightInd w:val="0"/>
        <w:ind w:leftChars="0" w:left="567" w:hanging="567"/>
        <w:jc w:val="both"/>
        <w:textAlignment w:val="baseline"/>
        <w:rPr>
          <w:rFonts w:eastAsia="標楷體"/>
        </w:rPr>
      </w:pPr>
      <w:r w:rsidRPr="00FD5442">
        <w:rPr>
          <w:rFonts w:eastAsia="標楷體"/>
        </w:rPr>
        <w:t xml:space="preserve">MLE </w:t>
      </w:r>
      <w:r>
        <w:rPr>
          <w:rFonts w:eastAsia="標楷體"/>
        </w:rPr>
        <w:t xml:space="preserve">is employed </w:t>
      </w:r>
      <w:r w:rsidRPr="00FD5442">
        <w:rPr>
          <w:rFonts w:eastAsia="標楷體"/>
        </w:rPr>
        <w:t xml:space="preserve">to estimate </w:t>
      </w:r>
      <w:r>
        <w:rPr>
          <w:rFonts w:eastAsia="標楷體"/>
        </w:rPr>
        <w:t xml:space="preserve">the </w:t>
      </w:r>
      <w:r w:rsidRPr="00FD5442">
        <w:rPr>
          <w:rFonts w:eastAsia="標楷體"/>
        </w:rPr>
        <w:t xml:space="preserve">parameters </w:t>
      </w:r>
      <m:oMath>
        <m:acc>
          <m:accPr>
            <m:ctrlPr>
              <w:rPr>
                <w:rFonts w:ascii="Cambria Math" w:eastAsia="標楷體" w:hAnsi="Cambria Math"/>
                <w:i/>
              </w:rPr>
            </m:ctrlPr>
          </m:accPr>
          <m:e>
            <m:acc>
              <m:accPr>
                <m:ctrlPr>
                  <w:rPr>
                    <w:rFonts w:ascii="Cambria Math" w:eastAsia="標楷體" w:hAnsi="Cambria Math"/>
                    <w:i/>
                  </w:rPr>
                </m:ctrlPr>
              </m:accPr>
              <m:e>
                <m:r>
                  <w:rPr>
                    <w:rFonts w:ascii="Cambria Math" w:eastAsia="標楷體" w:hAnsi="Cambria Math"/>
                  </w:rPr>
                  <m:t>β'</m:t>
                </m:r>
              </m:e>
            </m:acc>
          </m:e>
        </m:acc>
      </m:oMath>
      <w:r>
        <w:rPr>
          <w:rFonts w:eastAsia="標楷體"/>
        </w:rPr>
        <w:t xml:space="preserve"> and</w:t>
      </w:r>
      <w:r w:rsidRPr="00FD5442">
        <w:rPr>
          <w:rFonts w:eastAsia="標楷體"/>
        </w:rPr>
        <w:t xml:space="preserve"> </w:t>
      </w:r>
      <m:oMath>
        <m:sSubSup>
          <m:sSubSupPr>
            <m:ctrlPr>
              <w:rPr>
                <w:rFonts w:ascii="Cambria Math" w:eastAsia="標楷體" w:hAnsi="Cambria Math"/>
                <w:i/>
              </w:rPr>
            </m:ctrlPr>
          </m:sSubSupPr>
          <m:e>
            <m:acc>
              <m:accPr>
                <m:ctrlPr>
                  <w:rPr>
                    <w:rFonts w:ascii="Cambria Math" w:eastAsia="標楷體" w:hAnsi="Cambria Math"/>
                    <w:i/>
                  </w:rPr>
                </m:ctrlPr>
              </m:accPr>
              <m:e>
                <m:acc>
                  <m:accPr>
                    <m:ctrlPr>
                      <w:rPr>
                        <w:rFonts w:ascii="Cambria Math" w:eastAsia="標楷體" w:hAnsi="Cambria Math"/>
                        <w:i/>
                      </w:rPr>
                    </m:ctrlPr>
                  </m:accPr>
                  <m:e>
                    <m:r>
                      <w:rPr>
                        <w:rFonts w:ascii="Cambria Math" w:eastAsia="標楷體" w:hAnsi="Cambria Math"/>
                      </w:rPr>
                      <m:t>σ</m:t>
                    </m:r>
                  </m:e>
                </m:acc>
              </m:e>
            </m:acc>
          </m:e>
          <m:sub>
            <m:r>
              <w:rPr>
                <w:rFonts w:ascii="Cambria Math" w:eastAsia="標楷體" w:hAnsi="Cambria Math"/>
              </w:rPr>
              <m:t>ε</m:t>
            </m:r>
          </m:sub>
          <m:sup>
            <m:r>
              <w:rPr>
                <w:rFonts w:ascii="Cambria Math" w:eastAsia="標楷體" w:hAnsi="Cambria Math"/>
              </w:rPr>
              <m:t>*</m:t>
            </m:r>
          </m:sup>
        </m:sSubSup>
      </m:oMath>
      <w:r w:rsidRPr="00FD5442">
        <w:rPr>
          <w:rFonts w:eastAsia="標楷體"/>
        </w:rPr>
        <w:t xml:space="preserve"> of the left-truncated regression model </w:t>
      </w:r>
      <m:oMath>
        <m:acc>
          <m:accPr>
            <m:ctrlPr>
              <w:rPr>
                <w:rFonts w:ascii="Cambria Math" w:eastAsia="標楷體" w:hAnsi="Cambria Math"/>
                <w:i/>
              </w:rPr>
            </m:ctrlPr>
          </m:accPr>
          <m:e>
            <m:sSub>
              <m:sSubPr>
                <m:ctrlPr>
                  <w:rPr>
                    <w:rFonts w:ascii="Cambria Math" w:eastAsia="標楷體" w:hAnsi="Cambria Math"/>
                    <w:i/>
                  </w:rPr>
                </m:ctrlPr>
              </m:sSubPr>
              <m:e>
                <m:acc>
                  <m:accPr>
                    <m:ctrlPr>
                      <w:rPr>
                        <w:rFonts w:ascii="Cambria Math" w:eastAsia="標楷體" w:hAnsi="Cambria Math"/>
                        <w:i/>
                      </w:rPr>
                    </m:ctrlPr>
                  </m:accPr>
                  <m:e>
                    <m:r>
                      <w:rPr>
                        <w:rFonts w:ascii="Cambria Math" w:eastAsia="標楷體" w:hAnsi="Cambria Math"/>
                      </w:rPr>
                      <m:t>TE</m:t>
                    </m:r>
                  </m:e>
                </m:acc>
              </m:e>
              <m:sub>
                <m:r>
                  <w:rPr>
                    <w:rFonts w:ascii="Cambria Math" w:eastAsia="標楷體" w:hAnsi="Cambria Math"/>
                  </w:rPr>
                  <m:t>i</m:t>
                </m:r>
              </m:sub>
            </m:sSub>
          </m:e>
        </m:acc>
        <m:r>
          <w:rPr>
            <w:rFonts w:ascii="Cambria Math" w:eastAsia="標楷體" w:hAnsi="Cambria Math"/>
          </w:rPr>
          <m:t>=</m:t>
        </m:r>
        <m:acc>
          <m:accPr>
            <m:ctrlPr>
              <w:rPr>
                <w:rFonts w:ascii="Cambria Math" w:eastAsia="標楷體" w:hAnsi="Cambria Math"/>
                <w:i/>
              </w:rPr>
            </m:ctrlPr>
          </m:accPr>
          <m:e>
            <m:acc>
              <m:accPr>
                <m:ctrlPr>
                  <w:rPr>
                    <w:rFonts w:ascii="Cambria Math" w:eastAsia="標楷體" w:hAnsi="Cambria Math"/>
                    <w:i/>
                  </w:rPr>
                </m:ctrlPr>
              </m:accPr>
              <m:e>
                <m:r>
                  <w:rPr>
                    <w:rFonts w:ascii="Cambria Math" w:eastAsia="標楷體" w:hAnsi="Cambria Math"/>
                  </w:rPr>
                  <m:t>β'</m:t>
                </m:r>
              </m:e>
            </m:acc>
          </m:e>
        </m:acc>
        <m:sSub>
          <m:sSubPr>
            <m:ctrlPr>
              <w:rPr>
                <w:rFonts w:ascii="Cambria Math" w:eastAsia="標楷體" w:hAnsi="Cambria Math"/>
                <w:i/>
              </w:rPr>
            </m:ctrlPr>
          </m:sSubPr>
          <m:e>
            <m:r>
              <w:rPr>
                <w:rFonts w:ascii="Cambria Math" w:eastAsia="標楷體" w:hAnsi="Cambria Math"/>
              </w:rPr>
              <m:t>X</m:t>
            </m:r>
          </m:e>
          <m:sub>
            <m:r>
              <w:rPr>
                <w:rFonts w:ascii="Cambria Math" w:eastAsia="標楷體" w:hAnsi="Cambria Math"/>
              </w:rPr>
              <m:t>i</m:t>
            </m:r>
          </m:sub>
        </m:sSub>
        <m:r>
          <w:rPr>
            <w:rFonts w:ascii="Cambria Math" w:eastAsia="標楷體" w:hAnsi="Cambria Math"/>
          </w:rPr>
          <m:t>+</m:t>
        </m:r>
        <m:sSub>
          <m:sSubPr>
            <m:ctrlPr>
              <w:rPr>
                <w:rFonts w:ascii="Cambria Math" w:eastAsia="標楷體" w:hAnsi="Cambria Math"/>
                <w:i/>
              </w:rPr>
            </m:ctrlPr>
          </m:sSubPr>
          <m:e>
            <m:r>
              <w:rPr>
                <w:rFonts w:ascii="Cambria Math" w:eastAsia="標楷體" w:hAnsi="Cambria Math"/>
              </w:rPr>
              <m:t>ω</m:t>
            </m:r>
          </m:e>
          <m:sub>
            <m:r>
              <w:rPr>
                <w:rFonts w:ascii="Cambria Math" w:eastAsia="標楷體" w:hAnsi="Cambria Math"/>
              </w:rPr>
              <m:t>i</m:t>
            </m:r>
          </m:sub>
        </m:sSub>
      </m:oMath>
      <w:r>
        <w:rPr>
          <w:rFonts w:eastAsia="標楷體"/>
        </w:rPr>
        <w:t>.</w:t>
      </w:r>
      <w:r w:rsidRPr="00FD5442">
        <w:rPr>
          <w:rFonts w:eastAsia="標楷體"/>
        </w:rPr>
        <w:t xml:space="preserve"> </w:t>
      </w:r>
    </w:p>
    <w:p w14:paraId="4ED5A1D3" w14:textId="77777777" w:rsidR="004F74F0" w:rsidRPr="00FD5442" w:rsidRDefault="004F74F0" w:rsidP="00FF6DC7">
      <w:pPr>
        <w:pStyle w:val="af6"/>
        <w:numPr>
          <w:ilvl w:val="0"/>
          <w:numId w:val="5"/>
        </w:numPr>
        <w:adjustRightInd w:val="0"/>
        <w:ind w:leftChars="0" w:left="567" w:hanging="567"/>
        <w:jc w:val="both"/>
        <w:textAlignment w:val="baseline"/>
        <w:rPr>
          <w:rFonts w:eastAsia="標楷體"/>
        </w:rPr>
      </w:pPr>
      <w:r>
        <w:rPr>
          <w:rFonts w:eastAsia="標楷體"/>
        </w:rPr>
        <w:t>T</w:t>
      </w:r>
      <w:r w:rsidRPr="00FD5442">
        <w:rPr>
          <w:rFonts w:eastAsia="標楷體"/>
        </w:rPr>
        <w:t xml:space="preserve">he following three steps (6.1–6.3) </w:t>
      </w:r>
      <w:r>
        <w:rPr>
          <w:rFonts w:eastAsia="標楷體"/>
        </w:rPr>
        <w:t>are performed</w:t>
      </w:r>
      <w:r w:rsidRPr="00FD5442">
        <w:rPr>
          <w:rFonts w:eastAsia="標楷體"/>
        </w:rPr>
        <w:t xml:space="preserve"> L</w:t>
      </w:r>
      <w:r w:rsidRPr="00211217">
        <w:rPr>
          <w:rFonts w:eastAsia="標楷體"/>
          <w:vertAlign w:val="subscript"/>
        </w:rPr>
        <w:t>2</w:t>
      </w:r>
      <w:r w:rsidRPr="00FD5442">
        <w:rPr>
          <w:rFonts w:eastAsia="標楷體"/>
        </w:rPr>
        <w:t xml:space="preserve"> times to generate a set of bootstrap estimates </w:t>
      </w:r>
      <m:oMath>
        <m:sSubSup>
          <m:sSubSupPr>
            <m:ctrlPr>
              <w:rPr>
                <w:rFonts w:ascii="Cambria Math" w:eastAsia="標楷體" w:hAnsi="Cambria Math"/>
                <w:i/>
              </w:rPr>
            </m:ctrlPr>
          </m:sSubSupPr>
          <m:e>
            <m:r>
              <m:rPr>
                <m:sty m:val="p"/>
              </m:rPr>
              <w:rPr>
                <w:rFonts w:ascii="Cambria Math" w:eastAsia="標楷體" w:hAnsi="Cambria Math"/>
              </w:rPr>
              <m:t>Λ</m:t>
            </m:r>
            <m:r>
              <w:rPr>
                <w:rFonts w:ascii="Cambria Math" w:eastAsia="標楷體" w:hAnsi="Cambria Math"/>
              </w:rPr>
              <m:t>={</m:t>
            </m:r>
            <m:sSub>
              <m:sSubPr>
                <m:ctrlPr>
                  <w:rPr>
                    <w:rFonts w:ascii="Cambria Math" w:eastAsia="標楷體" w:hAnsi="Cambria Math"/>
                    <w:i/>
                  </w:rPr>
                </m:ctrlPr>
              </m:sSubPr>
              <m:e>
                <m:sSubSup>
                  <m:sSubSupPr>
                    <m:ctrlPr>
                      <w:rPr>
                        <w:rFonts w:ascii="Cambria Math" w:eastAsia="標楷體" w:hAnsi="Cambria Math"/>
                        <w:i/>
                      </w:rPr>
                    </m:ctrlPr>
                  </m:sSubSupPr>
                  <m:e>
                    <m:r>
                      <w:rPr>
                        <w:rFonts w:ascii="Cambria Math" w:eastAsia="標楷體" w:hAnsi="Cambria Math"/>
                      </w:rPr>
                      <m:t>(</m:t>
                    </m:r>
                    <m:acc>
                      <m:accPr>
                        <m:ctrlPr>
                          <w:rPr>
                            <w:rFonts w:ascii="Cambria Math" w:eastAsia="標楷體" w:hAnsi="Cambria Math"/>
                            <w:i/>
                          </w:rPr>
                        </m:ctrlPr>
                      </m:accPr>
                      <m:e>
                        <m:acc>
                          <m:accPr>
                            <m:ctrlPr>
                              <w:rPr>
                                <w:rFonts w:ascii="Cambria Math" w:eastAsia="標楷體" w:hAnsi="Cambria Math"/>
                                <w:i/>
                              </w:rPr>
                            </m:ctrlPr>
                          </m:accPr>
                          <m:e>
                            <m:r>
                              <w:rPr>
                                <w:rFonts w:ascii="Cambria Math" w:eastAsia="標楷體" w:hAnsi="Cambria Math"/>
                              </w:rPr>
                              <m:t>β</m:t>
                            </m:r>
                          </m:e>
                        </m:acc>
                      </m:e>
                    </m:acc>
                  </m:e>
                  <m:sub/>
                  <m:sup>
                    <m:r>
                      <w:rPr>
                        <w:rFonts w:ascii="Cambria Math" w:eastAsia="標楷體" w:hAnsi="Cambria Math"/>
                      </w:rPr>
                      <m:t>*</m:t>
                    </m:r>
                  </m:sup>
                </m:sSubSup>
                <m:r>
                  <w:rPr>
                    <w:rFonts w:ascii="Cambria Math" w:eastAsia="標楷體" w:hAnsi="Cambria Math"/>
                  </w:rPr>
                  <m:t>,</m:t>
                </m:r>
                <m:sSubSup>
                  <m:sSubSupPr>
                    <m:ctrlPr>
                      <w:rPr>
                        <w:rFonts w:ascii="Cambria Math" w:eastAsia="標楷體" w:hAnsi="Cambria Math"/>
                        <w:i/>
                      </w:rPr>
                    </m:ctrlPr>
                  </m:sSubSupPr>
                  <m:e>
                    <m:acc>
                      <m:accPr>
                        <m:ctrlPr>
                          <w:rPr>
                            <w:rFonts w:ascii="Cambria Math" w:eastAsia="標楷體" w:hAnsi="Cambria Math"/>
                            <w:i/>
                          </w:rPr>
                        </m:ctrlPr>
                      </m:accPr>
                      <m:e>
                        <m:acc>
                          <m:accPr>
                            <m:ctrlPr>
                              <w:rPr>
                                <w:rFonts w:ascii="Cambria Math" w:eastAsia="標楷體" w:hAnsi="Cambria Math"/>
                                <w:i/>
                              </w:rPr>
                            </m:ctrlPr>
                          </m:accPr>
                          <m:e>
                            <m:r>
                              <w:rPr>
                                <w:rFonts w:ascii="Cambria Math" w:eastAsia="標楷體" w:hAnsi="Cambria Math"/>
                              </w:rPr>
                              <m:t>σ</m:t>
                            </m:r>
                          </m:e>
                        </m:acc>
                      </m:e>
                    </m:acc>
                  </m:e>
                  <m:sub>
                    <m:r>
                      <w:rPr>
                        <w:rFonts w:ascii="Cambria Math" w:eastAsia="標楷體" w:hAnsi="Cambria Math"/>
                      </w:rPr>
                      <m:t>ε</m:t>
                    </m:r>
                  </m:sub>
                  <m:sup>
                    <m:r>
                      <w:rPr>
                        <w:rFonts w:ascii="Cambria Math" w:eastAsia="標楷體" w:hAnsi="Cambria Math"/>
                      </w:rPr>
                      <m:t>*</m:t>
                    </m:r>
                  </m:sup>
                </m:sSubSup>
                <m:r>
                  <w:rPr>
                    <w:rFonts w:ascii="Cambria Math" w:eastAsia="標楷體" w:hAnsi="Cambria Math"/>
                  </w:rPr>
                  <m:t>)</m:t>
                </m:r>
              </m:e>
              <m:sub>
                <m:r>
                  <w:rPr>
                    <w:rFonts w:ascii="Cambria Math" w:eastAsia="標楷體" w:hAnsi="Cambria Math"/>
                  </w:rPr>
                  <m:t>b</m:t>
                </m:r>
              </m:sub>
            </m:sSub>
            <m:r>
              <w:rPr>
                <w:rFonts w:ascii="Cambria Math" w:eastAsia="標楷體" w:hAnsi="Cambria Math"/>
              </w:rPr>
              <m:t>}</m:t>
            </m:r>
          </m:e>
          <m:sub>
            <m:r>
              <w:rPr>
                <w:rFonts w:ascii="Cambria Math" w:eastAsia="標楷體" w:hAnsi="Cambria Math"/>
              </w:rPr>
              <m:t>b=1</m:t>
            </m:r>
          </m:sub>
          <m:sup>
            <m:sSub>
              <m:sSubPr>
                <m:ctrlPr>
                  <w:rPr>
                    <w:rFonts w:ascii="Cambria Math" w:eastAsia="標楷體" w:hAnsi="Cambria Math"/>
                    <w:i/>
                  </w:rPr>
                </m:ctrlPr>
              </m:sSubPr>
              <m:e>
                <m:r>
                  <w:rPr>
                    <w:rFonts w:ascii="Cambria Math" w:eastAsia="標楷體" w:hAnsi="Cambria Math"/>
                  </w:rPr>
                  <m:t>L</m:t>
                </m:r>
              </m:e>
              <m:sub>
                <m:r>
                  <w:rPr>
                    <w:rFonts w:ascii="Cambria Math" w:eastAsia="標楷體" w:hAnsi="Cambria Math"/>
                  </w:rPr>
                  <m:t>2</m:t>
                </m:r>
              </m:sub>
            </m:sSub>
          </m:sup>
        </m:sSubSup>
      </m:oMath>
      <w:r>
        <w:rPr>
          <w:rFonts w:eastAsia="標楷體"/>
        </w:rPr>
        <w:t>.</w:t>
      </w:r>
    </w:p>
    <w:p w14:paraId="74ADEF58" w14:textId="519ABB28" w:rsidR="004F74F0" w:rsidRPr="00F36625" w:rsidRDefault="004F74F0" w:rsidP="00FF6DC7">
      <w:pPr>
        <w:pStyle w:val="af6"/>
        <w:numPr>
          <w:ilvl w:val="0"/>
          <w:numId w:val="7"/>
        </w:numPr>
        <w:adjustRightInd w:val="0"/>
        <w:ind w:leftChars="0"/>
        <w:jc w:val="both"/>
        <w:textAlignment w:val="baseline"/>
        <w:rPr>
          <w:rFonts w:ascii="Cambria Math" w:eastAsia="標楷體" w:hAnsi="Cambria Math"/>
        </w:rPr>
      </w:pPr>
      <w:r w:rsidRPr="00F36625">
        <w:rPr>
          <w:rFonts w:ascii="Cambria Math" w:eastAsia="標楷體" w:hAnsi="Cambria Math"/>
        </w:rPr>
        <w:t xml:space="preserve">An </w:t>
      </w:r>
      <m:oMath>
        <m:sSubSup>
          <m:sSubSupPr>
            <m:ctrlPr>
              <w:rPr>
                <w:rFonts w:ascii="Cambria Math" w:eastAsia="標楷體" w:hAnsi="Cambria Math"/>
              </w:rPr>
            </m:ctrlPr>
          </m:sSubSupPr>
          <m:e>
            <m:r>
              <w:rPr>
                <w:rFonts w:ascii="Cambria Math" w:eastAsia="標楷體" w:hAnsi="Cambria Math"/>
              </w:rPr>
              <m:t>ε</m:t>
            </m:r>
          </m:e>
          <m:sub>
            <m:r>
              <w:rPr>
                <w:rFonts w:ascii="Cambria Math" w:eastAsia="標楷體" w:hAnsi="Cambria Math"/>
              </w:rPr>
              <m:t>i</m:t>
            </m:r>
          </m:sub>
          <m:sup>
            <m:r>
              <m:rPr>
                <m:sty m:val="p"/>
              </m:rPr>
              <w:rPr>
                <w:rFonts w:ascii="Cambria Math" w:eastAsia="標楷體" w:hAnsi="Cambria Math"/>
              </w:rPr>
              <m:t>**</m:t>
            </m:r>
          </m:sup>
        </m:sSubSup>
      </m:oMath>
      <w:r w:rsidRPr="00F36625">
        <w:rPr>
          <w:rFonts w:ascii="Cambria Math" w:eastAsia="標楷體" w:hAnsi="Cambria Math"/>
        </w:rPr>
        <w:t xml:space="preserve"> is randomly selected for each DMU i under a normal distribution </w:t>
      </w:r>
      <m:oMath>
        <m:r>
          <m:rPr>
            <m:sty m:val="p"/>
          </m:rPr>
          <w:rPr>
            <w:rFonts w:ascii="Cambria Math" w:eastAsia="標楷體" w:hAnsi="Cambria Math"/>
          </w:rPr>
          <m:t>N(0,</m:t>
        </m:r>
        <m:sSubSup>
          <m:sSubSupPr>
            <m:ctrlPr>
              <w:rPr>
                <w:rFonts w:ascii="Cambria Math" w:eastAsia="標楷體" w:hAnsi="Cambria Math"/>
              </w:rPr>
            </m:ctrlPr>
          </m:sSubSupPr>
          <m:e>
            <m:acc>
              <m:accPr>
                <m:ctrlPr>
                  <w:rPr>
                    <w:rFonts w:ascii="Cambria Math" w:eastAsia="標楷體" w:hAnsi="Cambria Math"/>
                  </w:rPr>
                </m:ctrlPr>
              </m:accPr>
              <m:e>
                <m:acc>
                  <m:accPr>
                    <m:ctrlPr>
                      <w:rPr>
                        <w:rFonts w:ascii="Cambria Math" w:eastAsia="標楷體" w:hAnsi="Cambria Math"/>
                      </w:rPr>
                    </m:ctrlPr>
                  </m:accPr>
                  <m:e>
                    <m:r>
                      <w:rPr>
                        <w:rFonts w:ascii="Cambria Math" w:eastAsia="標楷體" w:hAnsi="Cambria Math"/>
                      </w:rPr>
                      <m:t>σ</m:t>
                    </m:r>
                  </m:e>
                </m:acc>
              </m:e>
            </m:acc>
          </m:e>
          <m:sub>
            <m:r>
              <w:rPr>
                <w:rFonts w:ascii="Cambria Math" w:eastAsia="標楷體" w:hAnsi="Cambria Math"/>
              </w:rPr>
              <m:t>ε</m:t>
            </m:r>
          </m:sub>
          <m:sup>
            <m:r>
              <m:rPr>
                <m:sty m:val="p"/>
              </m:rPr>
              <w:rPr>
                <w:rFonts w:ascii="Cambria Math" w:eastAsia="標楷體" w:hAnsi="Cambria Math"/>
              </w:rPr>
              <m:t>2</m:t>
            </m:r>
          </m:sup>
        </m:sSubSup>
        <m:r>
          <m:rPr>
            <m:sty m:val="p"/>
          </m:rPr>
          <w:rPr>
            <w:rFonts w:ascii="Cambria Math" w:eastAsia="標楷體" w:hAnsi="Cambria Math"/>
          </w:rPr>
          <m:t>)</m:t>
        </m:r>
      </m:oMath>
      <w:r w:rsidRPr="00F36625">
        <w:rPr>
          <w:rFonts w:ascii="Cambria Math" w:eastAsia="標楷體" w:hAnsi="Cambria Math"/>
        </w:rPr>
        <w:t xml:space="preserve">, with left-truncation at </w:t>
      </w:r>
      <m:oMath>
        <m:r>
          <m:rPr>
            <m:sty m:val="p"/>
          </m:rPr>
          <w:rPr>
            <w:rFonts w:ascii="Cambria Math" w:eastAsia="標楷體" w:hAnsi="Cambria Math"/>
          </w:rPr>
          <m:t>(1-</m:t>
        </m:r>
        <m:sSubSup>
          <m:sSubSupPr>
            <m:ctrlPr>
              <w:rPr>
                <w:rFonts w:ascii="Cambria Math" w:eastAsia="標楷體" w:hAnsi="Cambria Math"/>
              </w:rPr>
            </m:ctrlPr>
          </m:sSubSupPr>
          <m:e>
            <m:acc>
              <m:accPr>
                <m:ctrlPr>
                  <w:rPr>
                    <w:rFonts w:ascii="Cambria Math" w:eastAsia="標楷體" w:hAnsi="Cambria Math"/>
                  </w:rPr>
                </m:ctrlPr>
              </m:accPr>
              <m:e>
                <m:acc>
                  <m:accPr>
                    <m:ctrlPr>
                      <w:rPr>
                        <w:rFonts w:ascii="Cambria Math" w:eastAsia="標楷體" w:hAnsi="Cambria Math"/>
                      </w:rPr>
                    </m:ctrlPr>
                  </m:accPr>
                  <m:e>
                    <m:r>
                      <w:rPr>
                        <w:rFonts w:ascii="Cambria Math" w:eastAsia="標楷體" w:hAnsi="Cambria Math"/>
                      </w:rPr>
                      <m:t>β</m:t>
                    </m:r>
                  </m:e>
                </m:acc>
              </m:e>
            </m:acc>
          </m:e>
          <m:sub/>
          <m:sup>
            <m:r>
              <m:rPr>
                <m:sty m:val="p"/>
              </m:rPr>
              <w:rPr>
                <w:rFonts w:ascii="Cambria Math" w:eastAsia="標楷體" w:hAnsi="Cambria Math" w:hint="eastAsia"/>
              </w:rPr>
              <m:t>'</m:t>
            </m:r>
          </m:sup>
        </m:sSubSup>
        <m:sSub>
          <m:sSubPr>
            <m:ctrlPr>
              <w:rPr>
                <w:rFonts w:ascii="Cambria Math" w:eastAsia="標楷體" w:hAnsi="Cambria Math"/>
              </w:rPr>
            </m:ctrlPr>
          </m:sSubPr>
          <m:e>
            <m:r>
              <w:rPr>
                <w:rFonts w:ascii="Cambria Math" w:eastAsia="標楷體" w:hAnsi="Cambria Math"/>
              </w:rPr>
              <m:t>X</m:t>
            </m:r>
          </m:e>
          <m:sub>
            <m:r>
              <w:rPr>
                <w:rFonts w:ascii="Cambria Math" w:eastAsia="標楷體" w:hAnsi="Cambria Math"/>
              </w:rPr>
              <m:t>i</m:t>
            </m:r>
          </m:sub>
        </m:sSub>
        <m:r>
          <m:rPr>
            <m:sty m:val="p"/>
          </m:rPr>
          <w:rPr>
            <w:rFonts w:ascii="Cambria Math" w:eastAsia="標楷體" w:hAnsi="Cambria Math"/>
          </w:rPr>
          <m:t>)</m:t>
        </m:r>
      </m:oMath>
      <w:r w:rsidRPr="00F36625">
        <w:rPr>
          <w:rFonts w:ascii="Cambria Math" w:eastAsia="標楷體" w:hAnsi="Cambria Math"/>
        </w:rPr>
        <w:t>.</w:t>
      </w:r>
    </w:p>
    <w:p w14:paraId="4FC3FF0D" w14:textId="5285CEB4" w:rsidR="004F74F0" w:rsidRPr="00F36625" w:rsidRDefault="000345BB" w:rsidP="00FF6DC7">
      <w:pPr>
        <w:pStyle w:val="af6"/>
        <w:numPr>
          <w:ilvl w:val="0"/>
          <w:numId w:val="7"/>
        </w:numPr>
        <w:adjustRightInd w:val="0"/>
        <w:ind w:leftChars="0"/>
        <w:jc w:val="both"/>
        <w:textAlignment w:val="baseline"/>
        <w:rPr>
          <w:rFonts w:ascii="Cambria Math" w:eastAsia="標楷體" w:hAnsi="Cambria Math"/>
        </w:rPr>
      </w:pPr>
      <m:oMath>
        <m:sSubSup>
          <m:sSubSupPr>
            <m:ctrlPr>
              <w:rPr>
                <w:rFonts w:ascii="Cambria Math" w:eastAsia="標楷體" w:hAnsi="Cambria Math"/>
              </w:rPr>
            </m:ctrlPr>
          </m:sSubSupPr>
          <m:e>
            <m:r>
              <w:rPr>
                <w:rFonts w:ascii="Cambria Math" w:eastAsia="標楷體" w:hAnsi="Cambria Math"/>
              </w:rPr>
              <m:t>TE</m:t>
            </m:r>
          </m:e>
          <m:sub>
            <m:r>
              <w:rPr>
                <w:rFonts w:ascii="Cambria Math" w:eastAsia="標楷體" w:hAnsi="Cambria Math"/>
              </w:rPr>
              <m:t>i</m:t>
            </m:r>
          </m:sub>
          <m:sup>
            <m:r>
              <m:rPr>
                <m:sty m:val="p"/>
              </m:rPr>
              <w:rPr>
                <w:rFonts w:ascii="Cambria Math" w:eastAsia="標楷體" w:hAnsi="Cambria Math"/>
              </w:rPr>
              <m:t>**</m:t>
            </m:r>
          </m:sup>
        </m:sSubSup>
        <m:r>
          <m:rPr>
            <m:sty m:val="p"/>
          </m:rPr>
          <w:rPr>
            <w:rFonts w:ascii="Cambria Math" w:eastAsia="標楷體" w:hAnsi="Cambria Math"/>
          </w:rPr>
          <m:t>=</m:t>
        </m:r>
        <m:sSubSup>
          <m:sSubSupPr>
            <m:ctrlPr>
              <w:rPr>
                <w:rFonts w:ascii="Cambria Math" w:eastAsia="標楷體" w:hAnsi="Cambria Math"/>
              </w:rPr>
            </m:ctrlPr>
          </m:sSubSupPr>
          <m:e>
            <m:acc>
              <m:accPr>
                <m:ctrlPr>
                  <w:rPr>
                    <w:rFonts w:ascii="Cambria Math" w:eastAsia="標楷體" w:hAnsi="Cambria Math"/>
                  </w:rPr>
                </m:ctrlPr>
              </m:accPr>
              <m:e>
                <m:acc>
                  <m:accPr>
                    <m:ctrlPr>
                      <w:rPr>
                        <w:rFonts w:ascii="Cambria Math" w:eastAsia="標楷體" w:hAnsi="Cambria Math"/>
                      </w:rPr>
                    </m:ctrlPr>
                  </m:accPr>
                  <m:e>
                    <m:r>
                      <w:rPr>
                        <w:rFonts w:ascii="Cambria Math" w:eastAsia="標楷體" w:hAnsi="Cambria Math"/>
                      </w:rPr>
                      <m:t>β</m:t>
                    </m:r>
                  </m:e>
                </m:acc>
              </m:e>
            </m:acc>
          </m:e>
          <m:sub/>
          <m:sup>
            <m:r>
              <m:rPr>
                <m:sty m:val="p"/>
              </m:rPr>
              <w:rPr>
                <w:rFonts w:ascii="Cambria Math" w:eastAsia="標楷體" w:hAnsi="Cambria Math" w:hint="eastAsia"/>
              </w:rPr>
              <m:t>'</m:t>
            </m:r>
          </m:sup>
        </m:sSubSup>
        <m:sSub>
          <m:sSubPr>
            <m:ctrlPr>
              <w:rPr>
                <w:rFonts w:ascii="Cambria Math" w:eastAsia="標楷體" w:hAnsi="Cambria Math"/>
              </w:rPr>
            </m:ctrlPr>
          </m:sSubPr>
          <m:e>
            <m:r>
              <w:rPr>
                <w:rFonts w:ascii="Cambria Math" w:eastAsia="標楷體" w:hAnsi="Cambria Math"/>
              </w:rPr>
              <m:t>X</m:t>
            </m:r>
          </m:e>
          <m:sub>
            <m:r>
              <w:rPr>
                <w:rFonts w:ascii="Cambria Math" w:eastAsia="標楷體" w:hAnsi="Cambria Math"/>
              </w:rPr>
              <m:t>i</m:t>
            </m:r>
          </m:sub>
        </m:sSub>
        <m:r>
          <m:rPr>
            <m:sty m:val="p"/>
          </m:rPr>
          <w:rPr>
            <w:rFonts w:ascii="Cambria Math" w:eastAsia="標楷體" w:hAnsi="Cambria Math"/>
          </w:rPr>
          <m:t>+</m:t>
        </m:r>
        <m:sSubSup>
          <m:sSubSupPr>
            <m:ctrlPr>
              <w:rPr>
                <w:rFonts w:ascii="Cambria Math" w:eastAsia="標楷體" w:hAnsi="Cambria Math"/>
              </w:rPr>
            </m:ctrlPr>
          </m:sSubSupPr>
          <m:e>
            <m:r>
              <w:rPr>
                <w:rFonts w:ascii="Cambria Math" w:eastAsia="標楷體" w:hAnsi="Cambria Math"/>
              </w:rPr>
              <m:t>ε</m:t>
            </m:r>
          </m:e>
          <m:sub>
            <m:r>
              <w:rPr>
                <w:rFonts w:ascii="Cambria Math" w:eastAsia="標楷體" w:hAnsi="Cambria Math"/>
              </w:rPr>
              <m:t>i</m:t>
            </m:r>
          </m:sub>
          <m:sup>
            <m:r>
              <m:rPr>
                <m:sty m:val="p"/>
              </m:rPr>
              <w:rPr>
                <w:rFonts w:ascii="Cambria Math" w:eastAsia="標楷體" w:hAnsi="Cambria Math"/>
              </w:rPr>
              <m:t>**</m:t>
            </m:r>
          </m:sup>
        </m:sSubSup>
      </m:oMath>
      <w:r w:rsidR="004F74F0" w:rsidRPr="00F36625">
        <w:rPr>
          <w:rFonts w:ascii="Cambria Math" w:eastAsia="標楷體" w:hAnsi="Cambria Math"/>
        </w:rPr>
        <w:t xml:space="preserve"> is calculated for each DMU i.</w:t>
      </w:r>
    </w:p>
    <w:p w14:paraId="2D1C67C5" w14:textId="58F1FB8B" w:rsidR="004F74F0" w:rsidRPr="00F36625" w:rsidRDefault="004F74F0" w:rsidP="00FF6DC7">
      <w:pPr>
        <w:pStyle w:val="af6"/>
        <w:numPr>
          <w:ilvl w:val="0"/>
          <w:numId w:val="7"/>
        </w:numPr>
        <w:adjustRightInd w:val="0"/>
        <w:ind w:leftChars="0"/>
        <w:jc w:val="both"/>
        <w:textAlignment w:val="baseline"/>
        <w:rPr>
          <w:rFonts w:ascii="Cambria Math" w:eastAsia="標楷體" w:hAnsi="Cambria Math"/>
        </w:rPr>
      </w:pPr>
      <w:r w:rsidRPr="00F36625">
        <w:rPr>
          <w:rFonts w:ascii="Cambria Math" w:eastAsia="標楷體" w:hAnsi="Cambria Math"/>
        </w:rPr>
        <w:t xml:space="preserve">MLE is employed to estimate the parameters </w:t>
      </w:r>
      <m:oMath>
        <m:sSubSup>
          <m:sSubSupPr>
            <m:ctrlPr>
              <w:rPr>
                <w:rFonts w:ascii="Cambria Math" w:eastAsia="標楷體" w:hAnsi="Cambria Math"/>
              </w:rPr>
            </m:ctrlPr>
          </m:sSubSupPr>
          <m:e>
            <m:acc>
              <m:accPr>
                <m:ctrlPr>
                  <w:rPr>
                    <w:rFonts w:ascii="Cambria Math" w:eastAsia="標楷體" w:hAnsi="Cambria Math"/>
                  </w:rPr>
                </m:ctrlPr>
              </m:accPr>
              <m:e>
                <m:acc>
                  <m:accPr>
                    <m:ctrlPr>
                      <w:rPr>
                        <w:rFonts w:ascii="Cambria Math" w:eastAsia="標楷體" w:hAnsi="Cambria Math"/>
                      </w:rPr>
                    </m:ctrlPr>
                  </m:accPr>
                  <m:e>
                    <m:r>
                      <w:rPr>
                        <w:rFonts w:ascii="Cambria Math" w:eastAsia="標楷體" w:hAnsi="Cambria Math"/>
                      </w:rPr>
                      <m:t>β</m:t>
                    </m:r>
                  </m:e>
                </m:acc>
              </m:e>
            </m:acc>
          </m:e>
          <m:sub/>
          <m:sup>
            <m:r>
              <m:rPr>
                <m:sty m:val="p"/>
              </m:rPr>
              <w:rPr>
                <w:rFonts w:ascii="Cambria Math" w:eastAsia="標楷體" w:hAnsi="Cambria Math"/>
              </w:rPr>
              <m:t>*</m:t>
            </m:r>
          </m:sup>
        </m:sSubSup>
      </m:oMath>
      <w:r w:rsidRPr="00F36625">
        <w:rPr>
          <w:rFonts w:ascii="Cambria Math" w:eastAsia="標楷體" w:hAnsi="Cambria Math"/>
        </w:rPr>
        <w:t xml:space="preserve"> and </w:t>
      </w:r>
      <m:oMath>
        <m:sSubSup>
          <m:sSubSupPr>
            <m:ctrlPr>
              <w:rPr>
                <w:rFonts w:ascii="Cambria Math" w:eastAsia="標楷體" w:hAnsi="Cambria Math"/>
              </w:rPr>
            </m:ctrlPr>
          </m:sSubSupPr>
          <m:e>
            <m:acc>
              <m:accPr>
                <m:ctrlPr>
                  <w:rPr>
                    <w:rFonts w:ascii="Cambria Math" w:eastAsia="標楷體" w:hAnsi="Cambria Math"/>
                  </w:rPr>
                </m:ctrlPr>
              </m:accPr>
              <m:e>
                <m:acc>
                  <m:accPr>
                    <m:ctrlPr>
                      <w:rPr>
                        <w:rFonts w:ascii="Cambria Math" w:eastAsia="標楷體" w:hAnsi="Cambria Math"/>
                      </w:rPr>
                    </m:ctrlPr>
                  </m:accPr>
                  <m:e>
                    <m:r>
                      <w:rPr>
                        <w:rFonts w:ascii="Cambria Math" w:eastAsia="標楷體" w:hAnsi="Cambria Math"/>
                      </w:rPr>
                      <m:t>σ</m:t>
                    </m:r>
                  </m:e>
                </m:acc>
              </m:e>
            </m:acc>
          </m:e>
          <m:sub>
            <m:r>
              <w:rPr>
                <w:rFonts w:ascii="Cambria Math" w:eastAsia="標楷體" w:hAnsi="Cambria Math"/>
              </w:rPr>
              <m:t>ε</m:t>
            </m:r>
          </m:sub>
          <m:sup>
            <m:r>
              <m:rPr>
                <m:sty m:val="p"/>
              </m:rPr>
              <w:rPr>
                <w:rFonts w:ascii="Cambria Math" w:eastAsia="標楷體" w:hAnsi="Cambria Math"/>
              </w:rPr>
              <m:t>**</m:t>
            </m:r>
          </m:sup>
        </m:sSubSup>
      </m:oMath>
      <w:r w:rsidRPr="00F36625">
        <w:rPr>
          <w:rFonts w:ascii="Cambria Math" w:eastAsia="標楷體" w:hAnsi="Cambria Math"/>
        </w:rPr>
        <w:t xml:space="preserve"> of the left-truncated regression model </w:t>
      </w:r>
      <m:oMath>
        <m:sSubSup>
          <m:sSubSupPr>
            <m:ctrlPr>
              <w:rPr>
                <w:rFonts w:ascii="Cambria Math" w:eastAsia="標楷體" w:hAnsi="Cambria Math"/>
              </w:rPr>
            </m:ctrlPr>
          </m:sSubSupPr>
          <m:e>
            <m:r>
              <w:rPr>
                <w:rFonts w:ascii="Cambria Math" w:eastAsia="標楷體" w:hAnsi="Cambria Math"/>
              </w:rPr>
              <m:t>TE</m:t>
            </m:r>
          </m:e>
          <m:sub>
            <m:r>
              <w:rPr>
                <w:rFonts w:ascii="Cambria Math" w:eastAsia="標楷體" w:hAnsi="Cambria Math"/>
              </w:rPr>
              <m:t>i</m:t>
            </m:r>
          </m:sub>
          <m:sup>
            <m:r>
              <m:rPr>
                <m:sty m:val="p"/>
              </m:rPr>
              <w:rPr>
                <w:rFonts w:ascii="Cambria Math" w:eastAsia="標楷體" w:hAnsi="Cambria Math"/>
              </w:rPr>
              <m:t>**</m:t>
            </m:r>
          </m:sup>
        </m:sSubSup>
        <m:r>
          <m:rPr>
            <m:sty m:val="p"/>
          </m:rPr>
          <w:rPr>
            <w:rFonts w:ascii="Cambria Math" w:eastAsia="標楷體" w:hAnsi="Cambria Math"/>
          </w:rPr>
          <m:t>=</m:t>
        </m:r>
        <m:sSubSup>
          <m:sSubSupPr>
            <m:ctrlPr>
              <w:rPr>
                <w:rFonts w:ascii="Cambria Math" w:eastAsia="標楷體" w:hAnsi="Cambria Math"/>
              </w:rPr>
            </m:ctrlPr>
          </m:sSubSupPr>
          <m:e>
            <m:acc>
              <m:accPr>
                <m:ctrlPr>
                  <w:rPr>
                    <w:rFonts w:ascii="Cambria Math" w:eastAsia="標楷體" w:hAnsi="Cambria Math"/>
                  </w:rPr>
                </m:ctrlPr>
              </m:accPr>
              <m:e>
                <m:acc>
                  <m:accPr>
                    <m:ctrlPr>
                      <w:rPr>
                        <w:rFonts w:ascii="Cambria Math" w:eastAsia="標楷體" w:hAnsi="Cambria Math"/>
                      </w:rPr>
                    </m:ctrlPr>
                  </m:accPr>
                  <m:e>
                    <m:r>
                      <w:rPr>
                        <w:rFonts w:ascii="Cambria Math" w:eastAsia="標楷體" w:hAnsi="Cambria Math"/>
                      </w:rPr>
                      <m:t>β</m:t>
                    </m:r>
                  </m:e>
                </m:acc>
              </m:e>
            </m:acc>
          </m:e>
          <m:sub/>
          <m:sup>
            <m:r>
              <m:rPr>
                <m:sty m:val="p"/>
              </m:rPr>
              <w:rPr>
                <w:rFonts w:ascii="Cambria Math" w:eastAsia="標楷體" w:hAnsi="Cambria Math" w:hint="eastAsia"/>
              </w:rPr>
              <m:t>'</m:t>
            </m:r>
          </m:sup>
        </m:sSubSup>
        <m:sSub>
          <m:sSubPr>
            <m:ctrlPr>
              <w:rPr>
                <w:rFonts w:ascii="Cambria Math" w:eastAsia="標楷體" w:hAnsi="Cambria Math"/>
              </w:rPr>
            </m:ctrlPr>
          </m:sSubPr>
          <m:e>
            <m:r>
              <w:rPr>
                <w:rFonts w:ascii="Cambria Math" w:eastAsia="標楷體" w:hAnsi="Cambria Math"/>
              </w:rPr>
              <m:t>X</m:t>
            </m:r>
          </m:e>
          <m:sub>
            <m:r>
              <w:rPr>
                <w:rFonts w:ascii="Cambria Math" w:eastAsia="標楷體" w:hAnsi="Cambria Math"/>
              </w:rPr>
              <m:t>i</m:t>
            </m:r>
          </m:sub>
        </m:sSub>
        <m:r>
          <m:rPr>
            <m:sty m:val="p"/>
          </m:rPr>
          <w:rPr>
            <w:rFonts w:ascii="Cambria Math" w:eastAsia="標楷體" w:hAnsi="Cambria Math"/>
          </w:rPr>
          <m:t>+</m:t>
        </m:r>
        <m:sSubSup>
          <m:sSubSupPr>
            <m:ctrlPr>
              <w:rPr>
                <w:rFonts w:ascii="Cambria Math" w:eastAsia="標楷體" w:hAnsi="Cambria Math"/>
              </w:rPr>
            </m:ctrlPr>
          </m:sSubSupPr>
          <m:e>
            <m:r>
              <w:rPr>
                <w:rFonts w:ascii="Cambria Math" w:eastAsia="標楷體" w:hAnsi="Cambria Math"/>
              </w:rPr>
              <m:t>ω</m:t>
            </m:r>
          </m:e>
          <m:sub>
            <m:r>
              <w:rPr>
                <w:rFonts w:ascii="Cambria Math" w:eastAsia="標楷體" w:hAnsi="Cambria Math"/>
              </w:rPr>
              <m:t>i</m:t>
            </m:r>
          </m:sub>
          <m:sup/>
        </m:sSubSup>
      </m:oMath>
      <w:r w:rsidRPr="00F36625">
        <w:rPr>
          <w:rFonts w:ascii="Cambria Math" w:eastAsia="標楷體" w:hAnsi="Cambria Math"/>
        </w:rPr>
        <w:t>.</w:t>
      </w:r>
    </w:p>
    <w:p w14:paraId="35C5C66F" w14:textId="5BF98C68" w:rsidR="004F74F0" w:rsidRDefault="004F74F0" w:rsidP="00FF6DC7">
      <w:pPr>
        <w:pStyle w:val="af6"/>
        <w:numPr>
          <w:ilvl w:val="0"/>
          <w:numId w:val="5"/>
        </w:numPr>
        <w:adjustRightInd w:val="0"/>
        <w:ind w:leftChars="0" w:left="567" w:hanging="567"/>
        <w:jc w:val="both"/>
        <w:textAlignment w:val="baseline"/>
        <w:rPr>
          <w:rFonts w:eastAsia="標楷體"/>
        </w:rPr>
      </w:pPr>
      <w:r>
        <w:rPr>
          <w:rFonts w:eastAsia="標楷體"/>
        </w:rPr>
        <w:t>A</w:t>
      </w:r>
      <w:r w:rsidRPr="00FD5442">
        <w:rPr>
          <w:rFonts w:eastAsia="標楷體"/>
        </w:rPr>
        <w:t xml:space="preserve"> confidence internal </w:t>
      </w:r>
      <w:r>
        <w:rPr>
          <w:rFonts w:eastAsia="標楷體"/>
        </w:rPr>
        <w:t>is constructed for the</w:t>
      </w:r>
      <w:r w:rsidRPr="00FD5442">
        <w:rPr>
          <w:rFonts w:eastAsia="標楷體"/>
        </w:rPr>
        <w:t xml:space="preserve"> parameters with the set of bootstrap estimates </w:t>
      </w:r>
      <m:oMath>
        <m:sSubSup>
          <m:sSubSupPr>
            <m:ctrlPr>
              <w:rPr>
                <w:rFonts w:ascii="Cambria Math" w:eastAsia="標楷體" w:hAnsi="Cambria Math"/>
                <w:i/>
              </w:rPr>
            </m:ctrlPr>
          </m:sSubSupPr>
          <m:e>
            <m:r>
              <w:rPr>
                <w:rFonts w:ascii="Cambria Math" w:eastAsia="標楷體" w:hAnsi="Cambria Math"/>
              </w:rPr>
              <m:t>{</m:t>
            </m:r>
            <m:sSub>
              <m:sSubPr>
                <m:ctrlPr>
                  <w:rPr>
                    <w:rFonts w:ascii="Cambria Math" w:eastAsia="標楷體" w:hAnsi="Cambria Math"/>
                    <w:i/>
                  </w:rPr>
                </m:ctrlPr>
              </m:sSubPr>
              <m:e>
                <m:sSubSup>
                  <m:sSubSupPr>
                    <m:ctrlPr>
                      <w:rPr>
                        <w:rFonts w:ascii="Cambria Math" w:eastAsia="標楷體" w:hAnsi="Cambria Math"/>
                        <w:i/>
                      </w:rPr>
                    </m:ctrlPr>
                  </m:sSubSupPr>
                  <m:e>
                    <m:r>
                      <w:rPr>
                        <w:rFonts w:ascii="Cambria Math" w:eastAsia="標楷體" w:hAnsi="Cambria Math"/>
                      </w:rPr>
                      <m:t>(</m:t>
                    </m:r>
                    <m:acc>
                      <m:accPr>
                        <m:ctrlPr>
                          <w:rPr>
                            <w:rFonts w:ascii="Cambria Math" w:eastAsia="標楷體" w:hAnsi="Cambria Math"/>
                            <w:i/>
                          </w:rPr>
                        </m:ctrlPr>
                      </m:accPr>
                      <m:e>
                        <m:acc>
                          <m:accPr>
                            <m:ctrlPr>
                              <w:rPr>
                                <w:rFonts w:ascii="Cambria Math" w:eastAsia="標楷體" w:hAnsi="Cambria Math"/>
                                <w:i/>
                              </w:rPr>
                            </m:ctrlPr>
                          </m:accPr>
                          <m:e>
                            <m:r>
                              <w:rPr>
                                <w:rFonts w:ascii="Cambria Math" w:eastAsia="標楷體" w:hAnsi="Cambria Math"/>
                              </w:rPr>
                              <m:t>β</m:t>
                            </m:r>
                          </m:e>
                        </m:acc>
                      </m:e>
                    </m:acc>
                  </m:e>
                  <m:sub/>
                  <m:sup>
                    <m:r>
                      <w:rPr>
                        <w:rFonts w:ascii="Cambria Math" w:eastAsia="標楷體" w:hAnsi="Cambria Math"/>
                      </w:rPr>
                      <m:t>*</m:t>
                    </m:r>
                  </m:sup>
                </m:sSubSup>
                <m:r>
                  <w:rPr>
                    <w:rFonts w:ascii="Cambria Math" w:eastAsia="標楷體" w:hAnsi="Cambria Math"/>
                  </w:rPr>
                  <m:t>,</m:t>
                </m:r>
                <m:sSubSup>
                  <m:sSubSupPr>
                    <m:ctrlPr>
                      <w:rPr>
                        <w:rFonts w:ascii="Cambria Math" w:eastAsia="標楷體" w:hAnsi="Cambria Math"/>
                        <w:i/>
                      </w:rPr>
                    </m:ctrlPr>
                  </m:sSubSupPr>
                  <m:e>
                    <m:acc>
                      <m:accPr>
                        <m:ctrlPr>
                          <w:rPr>
                            <w:rFonts w:ascii="Cambria Math" w:eastAsia="標楷體" w:hAnsi="Cambria Math"/>
                            <w:i/>
                          </w:rPr>
                        </m:ctrlPr>
                      </m:accPr>
                      <m:e>
                        <m:acc>
                          <m:accPr>
                            <m:ctrlPr>
                              <w:rPr>
                                <w:rFonts w:ascii="Cambria Math" w:eastAsia="標楷體" w:hAnsi="Cambria Math"/>
                                <w:i/>
                              </w:rPr>
                            </m:ctrlPr>
                          </m:accPr>
                          <m:e>
                            <m:r>
                              <w:rPr>
                                <w:rFonts w:ascii="Cambria Math" w:eastAsia="標楷體" w:hAnsi="Cambria Math"/>
                              </w:rPr>
                              <m:t>σ</m:t>
                            </m:r>
                          </m:e>
                        </m:acc>
                      </m:e>
                    </m:acc>
                  </m:e>
                  <m:sub>
                    <m:r>
                      <w:rPr>
                        <w:rFonts w:ascii="Cambria Math" w:eastAsia="標楷體" w:hAnsi="Cambria Math"/>
                      </w:rPr>
                      <m:t>ε</m:t>
                    </m:r>
                  </m:sub>
                  <m:sup>
                    <m:r>
                      <w:rPr>
                        <w:rFonts w:ascii="Cambria Math" w:eastAsia="標楷體" w:hAnsi="Cambria Math"/>
                      </w:rPr>
                      <m:t>*</m:t>
                    </m:r>
                  </m:sup>
                </m:sSubSup>
                <m:r>
                  <w:rPr>
                    <w:rFonts w:ascii="Cambria Math" w:eastAsia="標楷體" w:hAnsi="Cambria Math"/>
                  </w:rPr>
                  <m:t>)</m:t>
                </m:r>
              </m:e>
              <m:sub>
                <m:r>
                  <w:rPr>
                    <w:rFonts w:ascii="Cambria Math" w:eastAsia="標楷體" w:hAnsi="Cambria Math"/>
                  </w:rPr>
                  <m:t>b</m:t>
                </m:r>
              </m:sub>
            </m:sSub>
            <m:r>
              <w:rPr>
                <w:rFonts w:ascii="Cambria Math" w:eastAsia="標楷體" w:hAnsi="Cambria Math"/>
              </w:rPr>
              <m:t>}</m:t>
            </m:r>
          </m:e>
          <m:sub>
            <m:r>
              <w:rPr>
                <w:rFonts w:ascii="Cambria Math" w:eastAsia="標楷體" w:hAnsi="Cambria Math"/>
              </w:rPr>
              <m:t>b=1</m:t>
            </m:r>
          </m:sub>
          <m:sup>
            <m:sSub>
              <m:sSubPr>
                <m:ctrlPr>
                  <w:rPr>
                    <w:rFonts w:ascii="Cambria Math" w:eastAsia="標楷體" w:hAnsi="Cambria Math"/>
                    <w:i/>
                  </w:rPr>
                </m:ctrlPr>
              </m:sSubPr>
              <m:e>
                <m:r>
                  <w:rPr>
                    <w:rFonts w:ascii="Cambria Math" w:eastAsia="標楷體" w:hAnsi="Cambria Math"/>
                  </w:rPr>
                  <m:t>L</m:t>
                </m:r>
              </m:e>
              <m:sub>
                <m:r>
                  <w:rPr>
                    <w:rFonts w:ascii="Cambria Math" w:eastAsia="標楷體" w:hAnsi="Cambria Math"/>
                  </w:rPr>
                  <m:t>2</m:t>
                </m:r>
              </m:sub>
            </m:sSub>
          </m:sup>
        </m:sSubSup>
      </m:oMath>
      <w:r w:rsidRPr="00FD5442">
        <w:rPr>
          <w:rFonts w:eastAsia="標楷體"/>
        </w:rPr>
        <w:t xml:space="preserve"> obtained in Step 6 and the initial estimates </w:t>
      </w:r>
      <m:oMath>
        <m:r>
          <m:rPr>
            <m:sty m:val="p"/>
          </m:rPr>
          <w:rPr>
            <w:rFonts w:ascii="Cambria Math" w:eastAsia="標楷體" w:hAnsi="Cambria Math"/>
          </w:rPr>
          <m:t>(</m:t>
        </m:r>
        <m:acc>
          <m:accPr>
            <m:ctrlPr>
              <w:rPr>
                <w:rFonts w:ascii="Cambria Math" w:eastAsia="標楷體" w:hAnsi="Cambria Math"/>
                <w:i/>
              </w:rPr>
            </m:ctrlPr>
          </m:accPr>
          <m:e>
            <m:acc>
              <m:accPr>
                <m:ctrlPr>
                  <w:rPr>
                    <w:rFonts w:ascii="Cambria Math" w:eastAsia="標楷體" w:hAnsi="Cambria Math"/>
                    <w:i/>
                  </w:rPr>
                </m:ctrlPr>
              </m:accPr>
              <m:e>
                <m:r>
                  <w:rPr>
                    <w:rFonts w:ascii="Cambria Math" w:eastAsia="標楷體" w:hAnsi="Cambria Math"/>
                  </w:rPr>
                  <m:t>β</m:t>
                </m:r>
              </m:e>
            </m:acc>
          </m:e>
        </m:acc>
        <m:r>
          <w:rPr>
            <w:rFonts w:ascii="Cambria Math" w:eastAsia="標楷體" w:hAnsi="Cambria Math"/>
          </w:rPr>
          <m:t>,</m:t>
        </m:r>
        <m:sSubSup>
          <m:sSubSupPr>
            <m:ctrlPr>
              <w:rPr>
                <w:rFonts w:ascii="Cambria Math" w:eastAsia="標楷體" w:hAnsi="Cambria Math"/>
                <w:i/>
              </w:rPr>
            </m:ctrlPr>
          </m:sSubSupPr>
          <m:e>
            <m:acc>
              <m:accPr>
                <m:ctrlPr>
                  <w:rPr>
                    <w:rFonts w:ascii="Cambria Math" w:eastAsia="標楷體" w:hAnsi="Cambria Math"/>
                    <w:i/>
                  </w:rPr>
                </m:ctrlPr>
              </m:accPr>
              <m:e>
                <m:acc>
                  <m:accPr>
                    <m:ctrlPr>
                      <w:rPr>
                        <w:rFonts w:ascii="Cambria Math" w:eastAsia="標楷體" w:hAnsi="Cambria Math"/>
                        <w:i/>
                      </w:rPr>
                    </m:ctrlPr>
                  </m:accPr>
                  <m:e>
                    <m:r>
                      <w:rPr>
                        <w:rFonts w:ascii="Cambria Math" w:eastAsia="標楷體" w:hAnsi="Cambria Math"/>
                      </w:rPr>
                      <m:t>σ</m:t>
                    </m:r>
                  </m:e>
                </m:acc>
              </m:e>
            </m:acc>
          </m:e>
          <m:sub>
            <m:r>
              <w:rPr>
                <w:rFonts w:ascii="Cambria Math" w:eastAsia="標楷體" w:hAnsi="Cambria Math"/>
              </w:rPr>
              <m:t>ε</m:t>
            </m:r>
          </m:sub>
          <m:sup/>
        </m:sSubSup>
      </m:oMath>
      <w:r w:rsidRPr="00FD5442">
        <w:rPr>
          <w:rFonts w:eastAsia="標楷體"/>
        </w:rPr>
        <w:t>)</w:t>
      </w:r>
      <w:r>
        <w:rPr>
          <w:rFonts w:eastAsia="標楷體"/>
        </w:rPr>
        <w:t>.</w:t>
      </w:r>
    </w:p>
    <w:p w14:paraId="0F8C61E1" w14:textId="77777777" w:rsidR="00914EBA" w:rsidRPr="004F74F0" w:rsidRDefault="00914EBA" w:rsidP="00914EBA">
      <w:pPr>
        <w:pStyle w:val="af6"/>
        <w:adjustRightInd w:val="0"/>
        <w:ind w:leftChars="0" w:left="567"/>
        <w:jc w:val="both"/>
        <w:textAlignment w:val="baseline"/>
        <w:rPr>
          <w:rFonts w:eastAsia="標楷體"/>
        </w:rPr>
      </w:pPr>
    </w:p>
    <w:p w14:paraId="7F5A704E" w14:textId="2A58D63A" w:rsidR="004F74F0" w:rsidRPr="004F74F0" w:rsidRDefault="004F74F0" w:rsidP="00914EBA">
      <w:pPr>
        <w:pStyle w:val="HeadingNumbering1"/>
        <w:ind w:left="360"/>
        <w:rPr>
          <w:rFonts w:eastAsia="標楷體"/>
        </w:rPr>
      </w:pPr>
      <w:r w:rsidRPr="00FD5442">
        <w:rPr>
          <w:rFonts w:eastAsia="標楷體"/>
        </w:rPr>
        <w:t xml:space="preserve">Selection of </w:t>
      </w:r>
      <w:r w:rsidR="008B7613">
        <w:rPr>
          <w:rFonts w:eastAsia="標楷體"/>
        </w:rPr>
        <w:t>D</w:t>
      </w:r>
      <w:r w:rsidRPr="00FD5442">
        <w:rPr>
          <w:rFonts w:eastAsia="標楷體"/>
        </w:rPr>
        <w:t xml:space="preserve">ata and </w:t>
      </w:r>
      <w:r w:rsidR="008B7613">
        <w:rPr>
          <w:rFonts w:eastAsia="標楷體"/>
        </w:rPr>
        <w:t>V</w:t>
      </w:r>
      <w:r w:rsidRPr="00FD5442">
        <w:rPr>
          <w:rFonts w:eastAsia="標楷體"/>
        </w:rPr>
        <w:t>ariables</w:t>
      </w:r>
    </w:p>
    <w:p w14:paraId="2FBC4AFC" w14:textId="77777777" w:rsidR="00914EBA" w:rsidRDefault="00914EBA" w:rsidP="00914EBA">
      <w:pPr>
        <w:widowControl w:val="0"/>
        <w:adjustRightInd w:val="0"/>
        <w:spacing w:line="240" w:lineRule="auto"/>
        <w:ind w:firstLine="360"/>
        <w:jc w:val="both"/>
        <w:textAlignment w:val="baseline"/>
        <w:rPr>
          <w:rFonts w:eastAsia="標楷體"/>
        </w:rPr>
      </w:pPr>
    </w:p>
    <w:p w14:paraId="4B935453" w14:textId="43730CBB" w:rsidR="004F74F0" w:rsidRPr="00FD5442" w:rsidRDefault="004F74F0" w:rsidP="00914EBA">
      <w:pPr>
        <w:widowControl w:val="0"/>
        <w:adjustRightInd w:val="0"/>
        <w:spacing w:line="240" w:lineRule="auto"/>
        <w:ind w:firstLine="360"/>
        <w:jc w:val="both"/>
        <w:textAlignment w:val="baseline"/>
        <w:rPr>
          <w:rFonts w:eastAsia="標楷體"/>
        </w:rPr>
      </w:pPr>
      <w:r w:rsidRPr="00FD5442">
        <w:rPr>
          <w:rFonts w:eastAsia="標楷體"/>
        </w:rPr>
        <w:t xml:space="preserve">This study </w:t>
      </w:r>
      <w:r>
        <w:rPr>
          <w:rFonts w:eastAsia="標楷體"/>
        </w:rPr>
        <w:t xml:space="preserve">employs data covering the </w:t>
      </w:r>
      <w:r w:rsidRPr="00FD5442">
        <w:rPr>
          <w:rFonts w:eastAsia="標楷體"/>
        </w:rPr>
        <w:t>period 2009–2017</w:t>
      </w:r>
      <w:r>
        <w:rPr>
          <w:rFonts w:eastAsia="標楷體"/>
        </w:rPr>
        <w:t xml:space="preserve"> and </w:t>
      </w:r>
      <w:r w:rsidRPr="00FD5442">
        <w:rPr>
          <w:rFonts w:eastAsia="標楷體"/>
        </w:rPr>
        <w:t>extract</w:t>
      </w:r>
      <w:r>
        <w:rPr>
          <w:rFonts w:eastAsia="標楷體"/>
        </w:rPr>
        <w:t>ed</w:t>
      </w:r>
      <w:r w:rsidRPr="00FD5442">
        <w:rPr>
          <w:rFonts w:eastAsia="標楷體"/>
        </w:rPr>
        <w:t xml:space="preserve"> from the Taiwan Economic Journal database and Annual Report of Life Insurance published by the Life Insurance Association of the Republic of China. After excluding life insurance companies that provide limited information, we select 29 insurance companies and obtain a total of 189 observation values for empirical analysis. The </w:t>
      </w:r>
      <w:r>
        <w:rPr>
          <w:rFonts w:eastAsia="標楷體"/>
        </w:rPr>
        <w:t>most suitable</w:t>
      </w:r>
      <w:r w:rsidRPr="00FD5442">
        <w:rPr>
          <w:rFonts w:eastAsia="標楷體"/>
        </w:rPr>
        <w:t xml:space="preserve"> inputs and outputs for </w:t>
      </w:r>
      <w:r>
        <w:rPr>
          <w:rFonts w:eastAsia="標楷體"/>
        </w:rPr>
        <w:t xml:space="preserve">use in </w:t>
      </w:r>
      <w:r w:rsidRPr="00FD5442">
        <w:rPr>
          <w:rFonts w:eastAsia="標楷體"/>
        </w:rPr>
        <w:t>institutional efficiency assessment ha</w:t>
      </w:r>
      <w:r>
        <w:rPr>
          <w:rFonts w:eastAsia="標楷體"/>
        </w:rPr>
        <w:t>ve</w:t>
      </w:r>
      <w:r w:rsidRPr="00FD5442">
        <w:rPr>
          <w:rFonts w:eastAsia="標楷體"/>
        </w:rPr>
        <w:t xml:space="preserve"> been highly debated and </w:t>
      </w:r>
      <w:r>
        <w:rPr>
          <w:rFonts w:eastAsia="標楷體"/>
        </w:rPr>
        <w:t>strongly</w:t>
      </w:r>
      <w:r w:rsidRPr="00FD5442">
        <w:rPr>
          <w:rFonts w:eastAsia="標楷體"/>
        </w:rPr>
        <w:t xml:space="preserve"> affect the results of </w:t>
      </w:r>
      <w:r>
        <w:rPr>
          <w:rFonts w:eastAsia="標楷體"/>
        </w:rPr>
        <w:t>such</w:t>
      </w:r>
      <w:r w:rsidRPr="00FD5442">
        <w:rPr>
          <w:rFonts w:eastAsia="標楷體"/>
        </w:rPr>
        <w:t xml:space="preserve"> assessment</w:t>
      </w:r>
      <w:r>
        <w:rPr>
          <w:rFonts w:eastAsia="標楷體"/>
        </w:rPr>
        <w:t>s</w:t>
      </w:r>
      <w:r w:rsidRPr="00FD5442">
        <w:rPr>
          <w:rFonts w:eastAsia="標楷體"/>
        </w:rPr>
        <w:t xml:space="preserve">. </w:t>
      </w:r>
      <w:r>
        <w:rPr>
          <w:rFonts w:eastAsia="標楷體"/>
        </w:rPr>
        <w:t>T</w:t>
      </w:r>
      <w:r w:rsidRPr="00FD5442">
        <w:rPr>
          <w:rFonts w:eastAsia="標楷體"/>
        </w:rPr>
        <w:t xml:space="preserve">he most widely used methods </w:t>
      </w:r>
      <w:r>
        <w:rPr>
          <w:rFonts w:eastAsia="標楷體"/>
        </w:rPr>
        <w:t>of</w:t>
      </w:r>
      <w:r w:rsidRPr="00FD5442">
        <w:rPr>
          <w:rFonts w:eastAsia="標楷體"/>
        </w:rPr>
        <w:t xml:space="preserve"> variable selection are </w:t>
      </w:r>
      <w:r>
        <w:rPr>
          <w:rFonts w:eastAsia="標楷體"/>
        </w:rPr>
        <w:t xml:space="preserve">the </w:t>
      </w:r>
      <w:r w:rsidRPr="00FD5442">
        <w:rPr>
          <w:rFonts w:eastAsia="標楷體"/>
        </w:rPr>
        <w:t>asset (or intermediation), production (or value-added), and user</w:t>
      </w:r>
      <w:r>
        <w:rPr>
          <w:rFonts w:eastAsia="標楷體"/>
        </w:rPr>
        <w:t>–</w:t>
      </w:r>
      <w:r w:rsidRPr="00FD5442">
        <w:rPr>
          <w:rFonts w:eastAsia="標楷體"/>
        </w:rPr>
        <w:t>cost approaches. Cummins and Weiss (2013) argue that the production (value-added) approach is the most recognized and accepted approach in studies related to the efficiency of insurance companies. Accordingly, we select the produc</w:t>
      </w:r>
      <w:r w:rsidR="002E1A91">
        <w:rPr>
          <w:rFonts w:eastAsia="標楷體"/>
        </w:rPr>
        <w:t>tion approach for our analysis.</w:t>
      </w:r>
    </w:p>
    <w:p w14:paraId="6E16D4E2" w14:textId="153A401A" w:rsidR="004F74F0" w:rsidRPr="002E1A91" w:rsidRDefault="004F74F0" w:rsidP="00914EBA">
      <w:pPr>
        <w:widowControl w:val="0"/>
        <w:adjustRightInd w:val="0"/>
        <w:spacing w:line="240" w:lineRule="auto"/>
        <w:ind w:firstLine="360"/>
        <w:jc w:val="both"/>
        <w:textAlignment w:val="baseline"/>
        <w:rPr>
          <w:rFonts w:eastAsia="標楷體"/>
        </w:rPr>
      </w:pPr>
      <w:r w:rsidRPr="002E1A91">
        <w:rPr>
          <w:rFonts w:eastAsia="標楷體"/>
        </w:rPr>
        <w:t>Human resources are among the most crucial inputs in life insurance companies because such companies depend on their back-office staff to design insurance policies and on their salespeople to sell policies; therefore, this study uses number of staff as an input variable. In accordance with Cummins</w:t>
      </w:r>
      <w:r w:rsidR="00D8373B">
        <w:rPr>
          <w:rFonts w:eastAsia="標楷體"/>
        </w:rPr>
        <w:t>,</w:t>
      </w:r>
      <w:r w:rsidRPr="002E1A91">
        <w:rPr>
          <w:rFonts w:eastAsia="標楷體"/>
        </w:rPr>
        <w:t xml:space="preserve"> </w:t>
      </w:r>
      <w:r w:rsidR="00D8373B">
        <w:rPr>
          <w:rFonts w:eastAsia="標楷體"/>
        </w:rPr>
        <w:t xml:space="preserve">Tennyson, and </w:t>
      </w:r>
      <w:r w:rsidR="00D8373B" w:rsidRPr="00D8373B">
        <w:rPr>
          <w:rFonts w:eastAsia="標楷體"/>
        </w:rPr>
        <w:t xml:space="preserve">Weiss </w:t>
      </w:r>
      <w:r w:rsidRPr="002E1A91">
        <w:rPr>
          <w:rFonts w:eastAsia="標楷體"/>
        </w:rPr>
        <w:t xml:space="preserve">(1999), we also employ debts and owner’s equity as input variables, because the life insurance industry is underpinned by debt-oriented business models and a company owner’s equity can offset insurance claims that exceed the expected amount. In summary, this study adopts three input variables: number of employees, debt, and owner’s equity. Regarding output variables, Cummins and Weiss (2013) recommend replacing income from premiums with incurred benefits and addition to reserves as output variables. The addition to reserves is negative when the reserves in the present year are lower than those in the preceding year, </w:t>
      </w:r>
      <w:r w:rsidRPr="002E1A91">
        <w:rPr>
          <w:rFonts w:eastAsia="標楷體"/>
        </w:rPr>
        <w:lastRenderedPageBreak/>
        <w:t>and negative values should be disregarded to proceed with estimation. However, to prevent any useful information being overlooked when disregarding values, we follow Fukuyama (1997) and combine incurred benefits and addition to reserves into one single output. Moreover, insurance companies boost their assets by investing their premium income in domestic or foreign investment products, profiting from the difference between the assumed interest rate and market interest rate; investments are thus also an essential output of insurance companies (Cummins and Xie 2008; Leverty and Grace 2010). Accordingly, the present study adopts two output variables: insurance benefits and addition to reserves (Y1) and total investment value (Y2)</w:t>
      </w:r>
      <w:r w:rsidR="002E1A91">
        <w:rPr>
          <w:rFonts w:eastAsia="標楷體"/>
        </w:rPr>
        <w:t>.</w:t>
      </w:r>
    </w:p>
    <w:p w14:paraId="7CF1CF0B" w14:textId="7CC9A58D" w:rsidR="004F74F0" w:rsidRDefault="004F74F0" w:rsidP="00914EBA">
      <w:pPr>
        <w:widowControl w:val="0"/>
        <w:adjustRightInd w:val="0"/>
        <w:spacing w:line="240" w:lineRule="auto"/>
        <w:ind w:firstLine="360"/>
        <w:jc w:val="both"/>
        <w:textAlignment w:val="baseline"/>
        <w:rPr>
          <w:rFonts w:eastAsia="標楷體"/>
        </w:rPr>
      </w:pPr>
      <w:r w:rsidRPr="002E1A91">
        <w:rPr>
          <w:rFonts w:eastAsia="標楷體"/>
        </w:rPr>
        <w:t xml:space="preserve">This study incorporates the aforementioned input and output variables into the two-stage DEA approach proposed by Simar and Wilson (2007); we correct biased DEA estimates and use a two-stage bootstrap truncated regression model to further assess the determinants of the operational performance of our sample companies. The determinants are whether a company is a subsidiary under an FHC or an independent company </w:t>
      </w:r>
      <w:r w:rsidRPr="002E1A91">
        <w:rPr>
          <w:rFonts w:eastAsia="標楷體" w:hint="eastAsia"/>
        </w:rPr>
        <w:t>(Z1)</w:t>
      </w:r>
      <w:r w:rsidRPr="002E1A91">
        <w:rPr>
          <w:rFonts w:eastAsia="標楷體"/>
        </w:rPr>
        <w:t xml:space="preserve">, whether it is a domestic or foreign company </w:t>
      </w:r>
      <w:r w:rsidRPr="002E1A91">
        <w:rPr>
          <w:rFonts w:eastAsia="標楷體" w:hint="eastAsia"/>
        </w:rPr>
        <w:t>(Z2)</w:t>
      </w:r>
      <w:r w:rsidRPr="002E1A91">
        <w:rPr>
          <w:rFonts w:eastAsia="標楷體"/>
        </w:rPr>
        <w:t xml:space="preserve">, its market share </w:t>
      </w:r>
      <w:r w:rsidRPr="002E1A91">
        <w:rPr>
          <w:rFonts w:eastAsia="標楷體" w:hint="eastAsia"/>
        </w:rPr>
        <w:t>(Z3)</w:t>
      </w:r>
      <w:r w:rsidRPr="002E1A91">
        <w:rPr>
          <w:rFonts w:eastAsia="標楷體"/>
        </w:rPr>
        <w:t xml:space="preserve">, and its total assets </w:t>
      </w:r>
      <w:r w:rsidRPr="002E1A91">
        <w:rPr>
          <w:rFonts w:eastAsia="標楷體" w:hint="eastAsia"/>
        </w:rPr>
        <w:t>(Z4)</w:t>
      </w:r>
      <w:r w:rsidRPr="002E1A91">
        <w:rPr>
          <w:rFonts w:eastAsia="標楷體"/>
        </w:rPr>
        <w:t>. Market share refers to the percentage of a company’s premium income to the total premium income of the market in a given year.</w:t>
      </w:r>
    </w:p>
    <w:p w14:paraId="5EE0FCC5" w14:textId="77777777" w:rsidR="00914EBA" w:rsidRPr="002E1A91" w:rsidRDefault="00914EBA" w:rsidP="00914EBA">
      <w:pPr>
        <w:widowControl w:val="0"/>
        <w:adjustRightInd w:val="0"/>
        <w:spacing w:line="240" w:lineRule="auto"/>
        <w:ind w:firstLine="360"/>
        <w:jc w:val="both"/>
        <w:textAlignment w:val="baseline"/>
        <w:rPr>
          <w:rFonts w:eastAsia="標楷體"/>
        </w:rPr>
      </w:pPr>
    </w:p>
    <w:p w14:paraId="63A0DD64" w14:textId="24D9D30F" w:rsidR="004F74F0" w:rsidRPr="002E1A91" w:rsidRDefault="004F74F0" w:rsidP="00914EBA">
      <w:pPr>
        <w:pStyle w:val="HeadingNumbering1"/>
        <w:ind w:left="360"/>
        <w:rPr>
          <w:rFonts w:eastAsia="標楷體"/>
        </w:rPr>
      </w:pPr>
      <w:r w:rsidRPr="00FD5442">
        <w:rPr>
          <w:rFonts w:eastAsia="標楷體"/>
        </w:rPr>
        <w:t xml:space="preserve">Empirical </w:t>
      </w:r>
      <w:r w:rsidR="008B7613">
        <w:rPr>
          <w:rFonts w:eastAsia="標楷體"/>
        </w:rPr>
        <w:t>R</w:t>
      </w:r>
      <w:r w:rsidRPr="00FD5442">
        <w:rPr>
          <w:rFonts w:eastAsia="標楷體"/>
        </w:rPr>
        <w:t>esults</w:t>
      </w:r>
    </w:p>
    <w:p w14:paraId="5727DAA8" w14:textId="77777777" w:rsidR="00914EBA" w:rsidRDefault="00914EBA" w:rsidP="00914EBA">
      <w:pPr>
        <w:widowControl w:val="0"/>
        <w:adjustRightInd w:val="0"/>
        <w:spacing w:line="240" w:lineRule="auto"/>
        <w:ind w:firstLine="360"/>
        <w:jc w:val="both"/>
        <w:textAlignment w:val="baseline"/>
        <w:rPr>
          <w:rFonts w:eastAsia="標楷體"/>
        </w:rPr>
      </w:pPr>
    </w:p>
    <w:p w14:paraId="2D5A4409" w14:textId="2FC9434E" w:rsidR="004F74F0" w:rsidRDefault="004F74F0" w:rsidP="00914EBA">
      <w:pPr>
        <w:widowControl w:val="0"/>
        <w:adjustRightInd w:val="0"/>
        <w:spacing w:line="240" w:lineRule="auto"/>
        <w:ind w:firstLine="360"/>
        <w:jc w:val="both"/>
        <w:textAlignment w:val="baseline"/>
        <w:rPr>
          <w:rFonts w:eastAsia="標楷體"/>
        </w:rPr>
      </w:pPr>
      <w:r w:rsidRPr="00FD5442">
        <w:rPr>
          <w:rFonts w:eastAsia="標楷體"/>
        </w:rPr>
        <w:t xml:space="preserve">Table 1 presents the inputs, outputs, and </w:t>
      </w:r>
      <w:r w:rsidRPr="00211217">
        <w:rPr>
          <w:rFonts w:eastAsia="標楷體"/>
        </w:rPr>
        <w:t xml:space="preserve">basic </w:t>
      </w:r>
      <w:r>
        <w:rPr>
          <w:rFonts w:eastAsia="標楷體"/>
        </w:rPr>
        <w:t xml:space="preserve">statistics of </w:t>
      </w:r>
      <w:r w:rsidRPr="00211217">
        <w:rPr>
          <w:rFonts w:eastAsia="標楷體"/>
        </w:rPr>
        <w:t>regression outputs</w:t>
      </w:r>
      <w:r w:rsidRPr="000C5BDE">
        <w:rPr>
          <w:rFonts w:eastAsia="標楷體"/>
        </w:rPr>
        <w:t xml:space="preserve"> of the sample companies. The nominal inputs and outputs are deflated</w:t>
      </w:r>
      <w:r w:rsidRPr="00FD5442">
        <w:rPr>
          <w:rFonts w:eastAsia="標楷體"/>
        </w:rPr>
        <w:t xml:space="preserve"> by the consumer price index</w:t>
      </w:r>
      <w:r>
        <w:rPr>
          <w:rFonts w:eastAsia="標楷體"/>
        </w:rPr>
        <w:t>,</w:t>
      </w:r>
      <w:r w:rsidRPr="00FD5442">
        <w:rPr>
          <w:rFonts w:eastAsia="標楷體"/>
        </w:rPr>
        <w:t xml:space="preserve"> using 2016 as </w:t>
      </w:r>
      <w:r w:rsidRPr="00ED4003">
        <w:rPr>
          <w:rFonts w:eastAsia="標楷體"/>
        </w:rPr>
        <w:t xml:space="preserve">the base year, to eliminate the effects of price fluctuations on the </w:t>
      </w:r>
      <w:r w:rsidRPr="00211217">
        <w:rPr>
          <w:rFonts w:eastAsia="標楷體"/>
        </w:rPr>
        <w:t>price-related variables</w:t>
      </w:r>
      <w:r w:rsidRPr="00ED4003">
        <w:rPr>
          <w:rFonts w:eastAsia="標楷體"/>
        </w:rPr>
        <w:t>.</w:t>
      </w:r>
      <w:r w:rsidRPr="00FD5442">
        <w:rPr>
          <w:rFonts w:eastAsia="標楷體"/>
        </w:rPr>
        <w:t xml:space="preserve"> We categorized our sample companies into life insurance companies that are </w:t>
      </w:r>
      <w:r>
        <w:rPr>
          <w:rFonts w:eastAsia="標楷體"/>
        </w:rPr>
        <w:t>an FHC subsidiary</w:t>
      </w:r>
      <w:r w:rsidRPr="00FD5442">
        <w:rPr>
          <w:rFonts w:eastAsia="標楷體"/>
        </w:rPr>
        <w:t xml:space="preserve"> or </w:t>
      </w:r>
      <w:r>
        <w:rPr>
          <w:rFonts w:eastAsia="標楷體"/>
        </w:rPr>
        <w:t>not</w:t>
      </w:r>
      <w:r w:rsidRPr="00FD5442">
        <w:rPr>
          <w:rFonts w:eastAsia="標楷體"/>
        </w:rPr>
        <w:t xml:space="preserve"> and domestic or foreign</w:t>
      </w:r>
      <w:r>
        <w:rPr>
          <w:rFonts w:eastAsia="標楷體"/>
        </w:rPr>
        <w:t>.</w:t>
      </w:r>
      <w:r w:rsidRPr="00FD5442">
        <w:rPr>
          <w:rFonts w:eastAsia="標楷體"/>
        </w:rPr>
        <w:t xml:space="preserve"> </w:t>
      </w:r>
      <w:r>
        <w:rPr>
          <w:rFonts w:eastAsia="標楷體"/>
        </w:rPr>
        <w:t>T</w:t>
      </w:r>
      <w:r w:rsidRPr="00FD5442">
        <w:rPr>
          <w:rFonts w:eastAsia="標楷體"/>
        </w:rPr>
        <w:t xml:space="preserve">he descriptive statistics of the </w:t>
      </w:r>
      <w:r w:rsidRPr="00ED4003">
        <w:rPr>
          <w:rFonts w:eastAsia="標楷體"/>
        </w:rPr>
        <w:t xml:space="preserve">sample companies are displayed in Tables 2 and 3. For the data </w:t>
      </w:r>
      <w:r w:rsidRPr="00211217">
        <w:rPr>
          <w:rFonts w:eastAsia="標楷體"/>
        </w:rPr>
        <w:t>spanning 2009</w:t>
      </w:r>
      <w:r>
        <w:rPr>
          <w:rFonts w:eastAsia="標楷體"/>
        </w:rPr>
        <w:t>–</w:t>
      </w:r>
      <w:r w:rsidRPr="00211217">
        <w:rPr>
          <w:rFonts w:eastAsia="標楷體"/>
        </w:rPr>
        <w:t>2017</w:t>
      </w:r>
      <w:r w:rsidRPr="00ED4003">
        <w:rPr>
          <w:rFonts w:eastAsia="標楷體"/>
        </w:rPr>
        <w:t>, 61</w:t>
      </w:r>
      <w:r w:rsidRPr="00FD5442">
        <w:rPr>
          <w:rFonts w:eastAsia="標楷體"/>
        </w:rPr>
        <w:t xml:space="preserve"> observatio</w:t>
      </w:r>
      <w:r w:rsidRPr="00ED4003">
        <w:rPr>
          <w:rFonts w:eastAsia="標楷體"/>
        </w:rPr>
        <w:t xml:space="preserve">n values come from </w:t>
      </w:r>
      <w:r w:rsidRPr="00211217">
        <w:rPr>
          <w:rFonts w:eastAsia="標楷體"/>
        </w:rPr>
        <w:t>subsidiaries of FHCs</w:t>
      </w:r>
      <w:r w:rsidRPr="00ED4003">
        <w:rPr>
          <w:rFonts w:eastAsia="標楷體"/>
        </w:rPr>
        <w:t xml:space="preserve"> and 128 from subsidiaries of non-FHCs; 136 observation</w:t>
      </w:r>
      <w:r w:rsidRPr="00FD5442">
        <w:rPr>
          <w:rFonts w:eastAsia="標楷體"/>
        </w:rPr>
        <w:t xml:space="preserve"> values </w:t>
      </w:r>
      <w:r>
        <w:rPr>
          <w:rFonts w:eastAsia="標楷體"/>
        </w:rPr>
        <w:t>are obtained for</w:t>
      </w:r>
      <w:r w:rsidRPr="00FD5442">
        <w:rPr>
          <w:rFonts w:eastAsia="標楷體"/>
        </w:rPr>
        <w:t xml:space="preserve"> domestic and 53 </w:t>
      </w:r>
      <w:r>
        <w:rPr>
          <w:rFonts w:eastAsia="標楷體"/>
        </w:rPr>
        <w:t>for</w:t>
      </w:r>
      <w:r w:rsidRPr="00FD5442">
        <w:rPr>
          <w:rFonts w:eastAsia="標楷體"/>
        </w:rPr>
        <w:t xml:space="preserve"> foreign life insurance companies. The Taiwanese life insurance subsidiaries under FHCs </w:t>
      </w:r>
      <w:r>
        <w:rPr>
          <w:rFonts w:eastAsia="標楷體"/>
        </w:rPr>
        <w:t>are</w:t>
      </w:r>
      <w:r w:rsidRPr="00FD5442">
        <w:rPr>
          <w:rFonts w:eastAsia="標楷體"/>
        </w:rPr>
        <w:t xml:space="preserve"> larger than those under non</w:t>
      </w:r>
      <w:r>
        <w:rPr>
          <w:rFonts w:eastAsia="標楷體"/>
        </w:rPr>
        <w:t>-</w:t>
      </w:r>
      <w:r w:rsidRPr="00FD5442">
        <w:rPr>
          <w:rFonts w:eastAsia="標楷體"/>
        </w:rPr>
        <w:t xml:space="preserve">FHCs or independent life insurance companies. Moreover, </w:t>
      </w:r>
      <w:r>
        <w:rPr>
          <w:rFonts w:eastAsia="標楷體"/>
        </w:rPr>
        <w:t xml:space="preserve">the </w:t>
      </w:r>
      <w:r w:rsidRPr="00FD5442">
        <w:rPr>
          <w:rFonts w:eastAsia="標楷體"/>
        </w:rPr>
        <w:t xml:space="preserve">domestic life insurance companies </w:t>
      </w:r>
      <w:r>
        <w:rPr>
          <w:rFonts w:eastAsia="標楷體"/>
        </w:rPr>
        <w:t>are</w:t>
      </w:r>
      <w:r w:rsidRPr="00FD5442">
        <w:rPr>
          <w:rFonts w:eastAsia="標楷體"/>
        </w:rPr>
        <w:t xml:space="preserve"> </w:t>
      </w:r>
      <w:r>
        <w:rPr>
          <w:rFonts w:eastAsia="標楷體"/>
        </w:rPr>
        <w:t xml:space="preserve">far </w:t>
      </w:r>
      <w:r w:rsidRPr="00FD5442">
        <w:rPr>
          <w:rFonts w:eastAsia="標楷體"/>
        </w:rPr>
        <w:t xml:space="preserve">larger than </w:t>
      </w:r>
      <w:r>
        <w:rPr>
          <w:rFonts w:eastAsia="標楷體"/>
        </w:rPr>
        <w:t xml:space="preserve">the </w:t>
      </w:r>
      <w:r w:rsidRPr="00FD5442">
        <w:rPr>
          <w:rFonts w:eastAsia="標楷體"/>
        </w:rPr>
        <w:t xml:space="preserve">foreign life insurance companies. Regarding the regression coefficients, </w:t>
      </w:r>
      <w:r>
        <w:rPr>
          <w:rFonts w:eastAsia="標楷體"/>
        </w:rPr>
        <w:t xml:space="preserve">the </w:t>
      </w:r>
      <w:r w:rsidRPr="00FD5442">
        <w:rPr>
          <w:rFonts w:eastAsia="標楷體"/>
        </w:rPr>
        <w:t>life insurance subsidiarie</w:t>
      </w:r>
      <w:r w:rsidRPr="00ED4003">
        <w:rPr>
          <w:rFonts w:eastAsia="標楷體"/>
        </w:rPr>
        <w:t>s of FHCs have higher average market share (20.99%) than those</w:t>
      </w:r>
      <w:r w:rsidRPr="00211217">
        <w:rPr>
          <w:rFonts w:eastAsia="標楷體"/>
        </w:rPr>
        <w:t xml:space="preserve"> of non-FHCs</w:t>
      </w:r>
      <w:r w:rsidRPr="00ED4003">
        <w:rPr>
          <w:rFonts w:eastAsia="標楷體"/>
        </w:rPr>
        <w:t xml:space="preserve"> (5.7%); the</w:t>
      </w:r>
      <w:r>
        <w:rPr>
          <w:rFonts w:eastAsia="標楷體"/>
        </w:rPr>
        <w:t xml:space="preserve"> </w:t>
      </w:r>
      <w:r w:rsidRPr="00FD5442">
        <w:rPr>
          <w:rFonts w:eastAsia="標楷體"/>
        </w:rPr>
        <w:t xml:space="preserve">domestic life insurance companies have higher market share (14.25%) than </w:t>
      </w:r>
      <w:r>
        <w:rPr>
          <w:rFonts w:eastAsia="標楷體"/>
        </w:rPr>
        <w:t xml:space="preserve">the </w:t>
      </w:r>
      <w:r w:rsidRPr="00FD5442">
        <w:rPr>
          <w:rFonts w:eastAsia="標楷體"/>
        </w:rPr>
        <w:t xml:space="preserve">foreign life insurance companies (1.53%). </w:t>
      </w:r>
      <w:r>
        <w:rPr>
          <w:rFonts w:eastAsia="標楷體"/>
        </w:rPr>
        <w:t>Additionally</w:t>
      </w:r>
      <w:r w:rsidRPr="00FD5442">
        <w:rPr>
          <w:rFonts w:eastAsia="標楷體"/>
        </w:rPr>
        <w:t xml:space="preserve">, the insurance subsidiaries of FHCs have much </w:t>
      </w:r>
      <w:r>
        <w:rPr>
          <w:rFonts w:eastAsia="標楷體"/>
        </w:rPr>
        <w:t>greater</w:t>
      </w:r>
      <w:r w:rsidRPr="00FD5442">
        <w:rPr>
          <w:rFonts w:eastAsia="標楷體"/>
        </w:rPr>
        <w:t xml:space="preserve"> total assets than </w:t>
      </w:r>
      <w:r>
        <w:rPr>
          <w:rFonts w:eastAsia="標楷體"/>
        </w:rPr>
        <w:t xml:space="preserve">the </w:t>
      </w:r>
      <w:r w:rsidRPr="00FD5442">
        <w:rPr>
          <w:rFonts w:eastAsia="標楷體"/>
        </w:rPr>
        <w:t xml:space="preserve">independent life insurance companies, and </w:t>
      </w:r>
      <w:r>
        <w:rPr>
          <w:rFonts w:eastAsia="標楷體"/>
        </w:rPr>
        <w:t xml:space="preserve">the </w:t>
      </w:r>
      <w:r w:rsidRPr="00FD5442">
        <w:rPr>
          <w:rFonts w:eastAsia="標楷體"/>
        </w:rPr>
        <w:t xml:space="preserve">domestic life insurance companies have substantially </w:t>
      </w:r>
      <w:r>
        <w:rPr>
          <w:rFonts w:eastAsia="標楷體"/>
        </w:rPr>
        <w:t>greater</w:t>
      </w:r>
      <w:r w:rsidRPr="00FD5442">
        <w:rPr>
          <w:rFonts w:eastAsia="標楷體"/>
        </w:rPr>
        <w:t xml:space="preserve"> total assets than </w:t>
      </w:r>
      <w:r>
        <w:rPr>
          <w:rFonts w:eastAsia="標楷體"/>
        </w:rPr>
        <w:t xml:space="preserve">the </w:t>
      </w:r>
      <w:r w:rsidRPr="00FD5442">
        <w:rPr>
          <w:rFonts w:eastAsia="標楷體"/>
        </w:rPr>
        <w:t>foreign life insurance companies.</w:t>
      </w:r>
    </w:p>
    <w:p w14:paraId="59E20124" w14:textId="77777777" w:rsidR="00A100BE" w:rsidRPr="00A100BE" w:rsidRDefault="00A100BE" w:rsidP="00914EBA">
      <w:pPr>
        <w:widowControl w:val="0"/>
        <w:adjustRightInd w:val="0"/>
        <w:spacing w:line="240" w:lineRule="auto"/>
        <w:ind w:firstLine="360"/>
        <w:jc w:val="both"/>
        <w:textAlignment w:val="baseline"/>
      </w:pPr>
    </w:p>
    <w:p w14:paraId="4A26AC4D" w14:textId="198A40D6" w:rsidR="00A100BE" w:rsidRPr="00770B35" w:rsidRDefault="00A100BE" w:rsidP="00A100BE">
      <w:pPr>
        <w:autoSpaceDE w:val="0"/>
        <w:autoSpaceDN w:val="0"/>
        <w:adjustRightInd w:val="0"/>
        <w:jc w:val="center"/>
      </w:pPr>
      <w:r w:rsidRPr="00770B35">
        <w:t>[Insert Table 1</w:t>
      </w:r>
      <w:r>
        <w:t>,2 and 3</w:t>
      </w:r>
      <w:r w:rsidRPr="00770B35">
        <w:t xml:space="preserve"> Here]</w:t>
      </w:r>
    </w:p>
    <w:p w14:paraId="678601B0" w14:textId="77777777" w:rsidR="00A100BE" w:rsidRPr="00A100BE" w:rsidRDefault="00A100BE" w:rsidP="00914EBA">
      <w:pPr>
        <w:widowControl w:val="0"/>
        <w:adjustRightInd w:val="0"/>
        <w:spacing w:line="240" w:lineRule="auto"/>
        <w:ind w:firstLine="360"/>
        <w:jc w:val="both"/>
        <w:textAlignment w:val="baseline"/>
      </w:pPr>
    </w:p>
    <w:p w14:paraId="7AF0C6A9" w14:textId="55654B55" w:rsidR="004F74F0" w:rsidRDefault="004F74F0" w:rsidP="00A2438C">
      <w:pPr>
        <w:widowControl w:val="0"/>
        <w:adjustRightInd w:val="0"/>
        <w:spacing w:line="240" w:lineRule="auto"/>
        <w:ind w:firstLine="360"/>
        <w:jc w:val="both"/>
        <w:textAlignment w:val="baseline"/>
        <w:rPr>
          <w:rFonts w:eastAsia="標楷體"/>
        </w:rPr>
      </w:pPr>
      <w:r w:rsidRPr="002E1A91">
        <w:rPr>
          <w:rFonts w:eastAsia="標楷體"/>
        </w:rPr>
        <w:t xml:space="preserve">This study uses the specified input and output variables to assess the performance of insurance institutions, and the findings are presented in Table 4. Panel A of Table 4 details the efficiency scores obtained using the two-stage DEA proposed by Simar and Wilson (2007). The average efficiency score is 0.8784. For a given level of output, the management in Taiwanese life insurance companies should aim to reduce their production inputs by 12.16% to obtain a production portfolio on the efficient frontier. Allianz has the lowest efficiency score (0.4482), whereas Yuanta Financial has the highest (0.9825). The average efficiency score of the life insurance subsidiaries of FHCs </w:t>
      </w:r>
      <w:r w:rsidRPr="002E1A91">
        <w:rPr>
          <w:rFonts w:eastAsia="標楷體"/>
        </w:rPr>
        <w:lastRenderedPageBreak/>
        <w:t>(0.8820) is slightly higher than that of the life insurance subsidiaries of non-FHCs (0.8766). The domestic life insurance companies have a higher average efficiency score (0.8857) than the foreign life insurance companies (0.8596). Accordingly, the operational performance of Taiwanese life insurance subsidiaries under FHCs is overall more favorable than that of subsidiaries of non-FHCs, and that of domestic life insurance companies is more favorable than that of foreign life insurance companies. For comparison, Panel B in Table 4 presents the efficiency scores obtained using conventional DEA. The results indicate that not correcting the efficiency scores results in overestimation of performance, though the observations are consistent with those in previous studies. All of the uncorrected efficiency scores, obtained using conventional D</w:t>
      </w:r>
      <w:r w:rsidR="00612792">
        <w:rPr>
          <w:rFonts w:eastAsia="標楷體"/>
        </w:rPr>
        <w:t>EA are higher than the modified</w:t>
      </w:r>
      <w:r w:rsidRPr="002E1A91">
        <w:rPr>
          <w:rFonts w:eastAsia="標楷體"/>
        </w:rPr>
        <w:t xml:space="preserve"> efficiency scores. The present study uses the Mann–Whitney U test to determine the difference between the efficiency scores obtained using the two models. The result indicates significant differences (p &lt; 0.0001) when all samples are considered, and the differences for the various sample groups are also significant (p &lt; 0.05). Accordingly, the two-stage DEA developed by Simar and Wilson (2007) is found to reduce the bias in efficiency estimations obtained using </w:t>
      </w:r>
      <w:r w:rsidR="002E1A91">
        <w:rPr>
          <w:rFonts w:eastAsia="標楷體"/>
        </w:rPr>
        <w:t>conventional DEA.</w:t>
      </w:r>
    </w:p>
    <w:p w14:paraId="4E7F6548" w14:textId="5082447F" w:rsidR="00A100BE" w:rsidRDefault="00A100BE" w:rsidP="00A2438C">
      <w:pPr>
        <w:widowControl w:val="0"/>
        <w:adjustRightInd w:val="0"/>
        <w:spacing w:line="240" w:lineRule="auto"/>
        <w:ind w:firstLine="360"/>
        <w:jc w:val="both"/>
        <w:textAlignment w:val="baseline"/>
        <w:rPr>
          <w:rFonts w:eastAsia="標楷體"/>
        </w:rPr>
      </w:pPr>
    </w:p>
    <w:p w14:paraId="2AA248F0" w14:textId="02B2BFA6" w:rsidR="00A100BE" w:rsidRPr="00770B35" w:rsidRDefault="00A100BE" w:rsidP="00A100BE">
      <w:pPr>
        <w:autoSpaceDE w:val="0"/>
        <w:autoSpaceDN w:val="0"/>
        <w:adjustRightInd w:val="0"/>
        <w:jc w:val="center"/>
      </w:pPr>
      <w:r w:rsidRPr="00770B35">
        <w:t xml:space="preserve">[Insert Table </w:t>
      </w:r>
      <w:r>
        <w:t>4</w:t>
      </w:r>
      <w:r w:rsidRPr="00770B35">
        <w:t xml:space="preserve"> Here]</w:t>
      </w:r>
    </w:p>
    <w:p w14:paraId="308AA4E3" w14:textId="77777777" w:rsidR="00A100BE" w:rsidRPr="002E1A91" w:rsidRDefault="00A100BE" w:rsidP="00A2438C">
      <w:pPr>
        <w:widowControl w:val="0"/>
        <w:adjustRightInd w:val="0"/>
        <w:spacing w:line="240" w:lineRule="auto"/>
        <w:ind w:firstLine="360"/>
        <w:jc w:val="both"/>
        <w:textAlignment w:val="baseline"/>
        <w:rPr>
          <w:rFonts w:eastAsia="標楷體"/>
        </w:rPr>
      </w:pPr>
    </w:p>
    <w:p w14:paraId="020246D9" w14:textId="28FC13D9" w:rsidR="004F74F0" w:rsidRDefault="004F74F0" w:rsidP="00A2438C">
      <w:pPr>
        <w:widowControl w:val="0"/>
        <w:adjustRightInd w:val="0"/>
        <w:spacing w:line="240" w:lineRule="auto"/>
        <w:ind w:firstLine="360"/>
        <w:jc w:val="both"/>
        <w:textAlignment w:val="baseline"/>
        <w:rPr>
          <w:rFonts w:eastAsia="標楷體"/>
        </w:rPr>
      </w:pPr>
      <w:r w:rsidRPr="002E1A91">
        <w:rPr>
          <w:rFonts w:eastAsia="標楷體"/>
        </w:rPr>
        <w:t>Figure 1 illustrates the average DEA efficiency score of the sample companies and reveals that the average efficiency score obtained using conventional DEA has the same trend but higher values than that obtained using two-stage DEA (Simar and Wilson 2007). This indicates that obtained uncorrected efficiency scores leads to overestimation of performance. The average bias-corrected efficiency scores slightly increase between 2009 and 2011, after which they begin to decrease, perhaps because of the European debt crisis in 2010–2012. The scores then increase from 2013 until 2016, after which they slightly decline. Figure 2 compares the average efficiency scores of the life insurance subsidiaries of FHCs and non-FHCs. The average efficiency score of the subsidiaries under non-FHCs decreases after 2011 but fluctuates little overall. By contrast, the average score of the life insurance subsidiaries under FHCs increases over the entire period, indicating that these companies were not directly affected by the European debt crisis. The data for Fubon Insurance (a subsidiary of Fubon Financial) show that they had an investment of 0.27 million Euros (approximately NT$10.8 million) in Spanish government debt in 2011, explaining why they were the first Taiwanese insurance company to be directly affected by the crisis. Other medium and large insurance companies, such as Cathay Life Insurance, Shin Kong Life, China Life, and Taiwan Life Insurance, did not invest in European government debt and were thus not directly affected by the crisis. The comparison between the average efficiency scores of the domestic and foreign life insurance companies, illustrated in Figure 3, shows that the efficiency of the domestic companies increases relatively stably, whereas that of the foreign companies decreases from 2010 until 2013, after which it is stable. This result suggests that the European debt crisis had a greater effect on foreign than domestic life insurance companies. Figures 2 and 3 show that subsidiaries under non-FHCs initially had higher performance than those under FHCs and that foreign life insurance companies initially performed better than domestic life insurance companies. After 2012, the subsidiaries under FHCs and domestic life insurance companies began to exhibit higher performance than their counterparts and have become more efficient since. Overall, the European debt crisis had stronger negative effects on foreign life insurance companies and subsidiaries under non-</w:t>
      </w:r>
      <w:r w:rsidR="002E1A91">
        <w:rPr>
          <w:rFonts w:eastAsia="標楷體"/>
        </w:rPr>
        <w:t>FHCs.</w:t>
      </w:r>
    </w:p>
    <w:p w14:paraId="699240CC" w14:textId="1ABDC075" w:rsidR="00A100BE" w:rsidRDefault="00A100BE" w:rsidP="00A2438C">
      <w:pPr>
        <w:widowControl w:val="0"/>
        <w:adjustRightInd w:val="0"/>
        <w:spacing w:line="240" w:lineRule="auto"/>
        <w:ind w:firstLine="360"/>
        <w:jc w:val="both"/>
        <w:textAlignment w:val="baseline"/>
        <w:rPr>
          <w:rFonts w:eastAsia="標楷體"/>
        </w:rPr>
      </w:pPr>
    </w:p>
    <w:p w14:paraId="409583D1" w14:textId="2C6C806B" w:rsidR="00A100BE" w:rsidRPr="00770B35" w:rsidRDefault="00A100BE" w:rsidP="00A100BE">
      <w:pPr>
        <w:autoSpaceDE w:val="0"/>
        <w:autoSpaceDN w:val="0"/>
        <w:adjustRightInd w:val="0"/>
        <w:jc w:val="center"/>
      </w:pPr>
      <w:r w:rsidRPr="00770B35">
        <w:t xml:space="preserve">[Insert </w:t>
      </w:r>
      <w:r>
        <w:t>Figure</w:t>
      </w:r>
      <w:r w:rsidRPr="00770B35">
        <w:t xml:space="preserve"> 1</w:t>
      </w:r>
      <w:r>
        <w:t>,2, and 3</w:t>
      </w:r>
      <w:r w:rsidRPr="00770B35">
        <w:t xml:space="preserve"> Here]</w:t>
      </w:r>
    </w:p>
    <w:p w14:paraId="7C8CFED3" w14:textId="77777777" w:rsidR="00A100BE" w:rsidRPr="002E1A91" w:rsidRDefault="00A100BE" w:rsidP="00A2438C">
      <w:pPr>
        <w:widowControl w:val="0"/>
        <w:adjustRightInd w:val="0"/>
        <w:spacing w:line="240" w:lineRule="auto"/>
        <w:ind w:firstLine="360"/>
        <w:jc w:val="both"/>
        <w:textAlignment w:val="baseline"/>
        <w:rPr>
          <w:rFonts w:eastAsia="標楷體"/>
        </w:rPr>
      </w:pPr>
    </w:p>
    <w:p w14:paraId="2C649347" w14:textId="1CADA0EB" w:rsidR="004F74F0" w:rsidRDefault="004F74F0" w:rsidP="00A2438C">
      <w:pPr>
        <w:widowControl w:val="0"/>
        <w:adjustRightInd w:val="0"/>
        <w:spacing w:line="240" w:lineRule="auto"/>
        <w:ind w:firstLine="360"/>
        <w:jc w:val="both"/>
        <w:textAlignment w:val="baseline"/>
        <w:rPr>
          <w:rFonts w:eastAsia="標楷體"/>
        </w:rPr>
      </w:pPr>
      <w:r w:rsidRPr="002E1A91">
        <w:rPr>
          <w:rFonts w:eastAsia="標楷體"/>
        </w:rPr>
        <w:t>This study further identifies the determinants of the efficiency of life insurance companies, with estimates of the bootstrap truncated regression model presented in Table 5. The results in Panel A are obtained under the consideration of only one variable, namely whether a company is a subsidiary of an FHC; the results in Panel B are obtained under the consideration of only whether a company is domestic; the results in Panel C are obtained under the consideration of both these variables in the regression model; and the results in Panel D included a time trend in the model.</w:t>
      </w:r>
      <w:r w:rsidRPr="002E1A91">
        <w:rPr>
          <w:rFonts w:eastAsia="標楷體" w:hint="eastAsia"/>
        </w:rPr>
        <w:t xml:space="preserve"> </w:t>
      </w:r>
      <w:r w:rsidRPr="002E1A91">
        <w:rPr>
          <w:rFonts w:eastAsia="標楷體"/>
        </w:rPr>
        <w:t>According to Table 5, the model considering subsidiary status has a positive regression coefficient but nonsignificance (Panel A); that considering whether a company is domestic has a positive coefficient and significance (Panel B); and the model with both variables has a positive coefficient and significance (Panel C). These results imply that domestic life insurance companies have superior operational performance to their foreign counterparts. Total assets have a negative regression coefficient and significance, indicating that larger companies are less technically efficient. This might be explained by the more departments, employees, equipment, and resources in large life insurance companies (Table 2); inefficient resource utilization can easily occur under poor management. Market share has a positive regression coefficient and significance, meaning that a larger market share results in higher operational performance, which is in agreement with market power theory (Berger 1995). This theory proposes that a higher market share indicates greater control over market price, greater earnings power, and higher operational performance. In panel D results, a positive significant coefficient was found for the time trend variable suggesting an increase in efficiency over time. To sum up, the results for coefficient of FHC or Domestic firms do not change regardless of whether market share, total assets or time trend is considered.</w:t>
      </w:r>
    </w:p>
    <w:p w14:paraId="4C0313C3" w14:textId="77777777" w:rsidR="00A2438C" w:rsidRDefault="00A2438C" w:rsidP="00A2438C">
      <w:pPr>
        <w:widowControl w:val="0"/>
        <w:adjustRightInd w:val="0"/>
        <w:spacing w:line="240" w:lineRule="auto"/>
        <w:ind w:firstLine="360"/>
        <w:jc w:val="both"/>
        <w:textAlignment w:val="baseline"/>
        <w:rPr>
          <w:rFonts w:eastAsia="標楷體"/>
        </w:rPr>
      </w:pPr>
    </w:p>
    <w:p w14:paraId="0E640E00" w14:textId="08C7075F" w:rsidR="00A100BE" w:rsidRPr="00770B35" w:rsidRDefault="00A100BE" w:rsidP="00A100BE">
      <w:pPr>
        <w:autoSpaceDE w:val="0"/>
        <w:autoSpaceDN w:val="0"/>
        <w:adjustRightInd w:val="0"/>
        <w:jc w:val="center"/>
      </w:pPr>
      <w:r w:rsidRPr="00770B35">
        <w:t xml:space="preserve">[Insert Table </w:t>
      </w:r>
      <w:r>
        <w:t>5</w:t>
      </w:r>
      <w:r w:rsidRPr="00770B35">
        <w:t xml:space="preserve"> Here]</w:t>
      </w:r>
    </w:p>
    <w:p w14:paraId="0C546152" w14:textId="77777777" w:rsidR="00F17565" w:rsidRDefault="00F17565" w:rsidP="00A2438C">
      <w:pPr>
        <w:widowControl w:val="0"/>
        <w:adjustRightInd w:val="0"/>
        <w:spacing w:line="240" w:lineRule="auto"/>
        <w:ind w:firstLine="360"/>
        <w:jc w:val="both"/>
        <w:textAlignment w:val="baseline"/>
        <w:rPr>
          <w:rFonts w:eastAsia="標楷體"/>
        </w:rPr>
      </w:pPr>
    </w:p>
    <w:p w14:paraId="2972D739" w14:textId="561C0764" w:rsidR="004F74F0" w:rsidRDefault="004F74F0" w:rsidP="00A2438C">
      <w:pPr>
        <w:widowControl w:val="0"/>
        <w:adjustRightInd w:val="0"/>
        <w:spacing w:line="240" w:lineRule="auto"/>
        <w:ind w:firstLine="360"/>
        <w:jc w:val="both"/>
        <w:textAlignment w:val="baseline"/>
        <w:rPr>
          <w:rFonts w:eastAsia="標楷體"/>
        </w:rPr>
      </w:pPr>
      <w:r w:rsidRPr="002E1A91">
        <w:rPr>
          <w:rFonts w:eastAsia="標楷體"/>
        </w:rPr>
        <w:t>The results obtained using the SW two-stage bootstrap truncated regression model (Table 5) and conventionally employed Tobit regression model (Table 6) are compared. We discover that the two models have similar regression coefficients and significance, but the coefficients in the Tobit model are smaller than those in the bootstrap model. In summary, domestic life insurance companies have higher operational performance than foreign life insurance companies; larger life insurance companies are less efficient; high market share is correlated with higher operational performance in domestic life insurance companies; and life insurance subsidiaries of FHCs and non-FHCs do not exhibit significantly different</w:t>
      </w:r>
      <w:r w:rsidR="002E1A91">
        <w:rPr>
          <w:rFonts w:eastAsia="標楷體"/>
        </w:rPr>
        <w:t xml:space="preserve"> performance.</w:t>
      </w:r>
    </w:p>
    <w:p w14:paraId="414ABDE1" w14:textId="6BCACC20" w:rsidR="00A100BE" w:rsidRDefault="00A100BE" w:rsidP="00A2438C">
      <w:pPr>
        <w:widowControl w:val="0"/>
        <w:adjustRightInd w:val="0"/>
        <w:spacing w:line="240" w:lineRule="auto"/>
        <w:ind w:firstLine="360"/>
        <w:jc w:val="both"/>
        <w:textAlignment w:val="baseline"/>
        <w:rPr>
          <w:rFonts w:eastAsia="標楷體"/>
        </w:rPr>
      </w:pPr>
    </w:p>
    <w:p w14:paraId="459433D9" w14:textId="0B9B7394" w:rsidR="00A100BE" w:rsidRDefault="00A100BE" w:rsidP="00A100BE">
      <w:pPr>
        <w:autoSpaceDE w:val="0"/>
        <w:autoSpaceDN w:val="0"/>
        <w:adjustRightInd w:val="0"/>
        <w:jc w:val="center"/>
      </w:pPr>
      <w:r w:rsidRPr="00770B35">
        <w:t xml:space="preserve">[Insert Table </w:t>
      </w:r>
      <w:r>
        <w:t>6</w:t>
      </w:r>
      <w:r w:rsidRPr="00770B35">
        <w:t xml:space="preserve"> Here]</w:t>
      </w:r>
    </w:p>
    <w:p w14:paraId="65ADBB59" w14:textId="77777777" w:rsidR="00F17565" w:rsidRDefault="00F17565" w:rsidP="00A100BE">
      <w:pPr>
        <w:autoSpaceDE w:val="0"/>
        <w:autoSpaceDN w:val="0"/>
        <w:adjustRightInd w:val="0"/>
        <w:jc w:val="center"/>
      </w:pPr>
    </w:p>
    <w:p w14:paraId="35B77AAD" w14:textId="73D0BD86" w:rsidR="004F74F0" w:rsidRPr="00FD5442" w:rsidRDefault="004F74F0" w:rsidP="00A2438C">
      <w:pPr>
        <w:pStyle w:val="HeadingNumbering1"/>
        <w:ind w:left="360"/>
        <w:rPr>
          <w:rFonts w:eastAsia="標楷體"/>
        </w:rPr>
      </w:pPr>
      <w:r w:rsidRPr="00FD5442">
        <w:rPr>
          <w:rFonts w:eastAsia="標楷體"/>
        </w:rPr>
        <w:t>Co</w:t>
      </w:r>
      <w:r w:rsidR="00E861C5">
        <w:rPr>
          <w:rFonts w:eastAsia="標楷體"/>
        </w:rPr>
        <w:t>nclusion</w:t>
      </w:r>
    </w:p>
    <w:p w14:paraId="4956CA0D" w14:textId="77777777" w:rsidR="00A2438C" w:rsidRDefault="00A2438C" w:rsidP="00A2438C">
      <w:pPr>
        <w:widowControl w:val="0"/>
        <w:adjustRightInd w:val="0"/>
        <w:spacing w:line="240" w:lineRule="auto"/>
        <w:ind w:firstLine="360"/>
        <w:jc w:val="both"/>
        <w:textAlignment w:val="baseline"/>
        <w:rPr>
          <w:rFonts w:eastAsia="標楷體"/>
        </w:rPr>
      </w:pPr>
    </w:p>
    <w:p w14:paraId="5AEA17F0" w14:textId="0BD018DF" w:rsidR="004F74F0" w:rsidRPr="002E1A91" w:rsidRDefault="004F74F0" w:rsidP="00A2438C">
      <w:pPr>
        <w:widowControl w:val="0"/>
        <w:adjustRightInd w:val="0"/>
        <w:spacing w:line="240" w:lineRule="auto"/>
        <w:ind w:firstLine="360"/>
        <w:jc w:val="both"/>
        <w:textAlignment w:val="baseline"/>
        <w:rPr>
          <w:rFonts w:eastAsia="標楷體"/>
        </w:rPr>
      </w:pPr>
      <w:r w:rsidRPr="002E1A91">
        <w:rPr>
          <w:rFonts w:eastAsia="標楷體"/>
        </w:rPr>
        <w:t xml:space="preserve">Conventionally, DEA efficiency scores are used in the Tobit regression model to determine to what extent each determinant affects the efficiency score. However, Simar </w:t>
      </w:r>
      <w:r w:rsidRPr="002E1A91">
        <w:rPr>
          <w:rFonts w:eastAsia="標楷體"/>
        </w:rPr>
        <w:lastRenderedPageBreak/>
        <w:t xml:space="preserve">and Wilson (2007) maintain that the variables selected during the first stage are usually strongly correlated with the determinants of efficiency used in the second stage, often leading to invalid statistical inferences. Simar and Wilson (2007) propose the use of bootstrap estimation to obtain consistent and unbiased statistics. Therefore, the present study uses the two-stage bootstrap truncated regression model developed by Simar and Wilson (2007) to explore the performance of 29 Taiwanese life insurance companies according to data spanning 2009–2017. A total of 189 observation values are collected from the Taiwan Economic Journal database and Annual Report of Life Insurance of Taiwan. The empirical results reveal an average efficiency score of 0.8784 for all sample companies, indicating that the optimal efficiency can be achieved by reducing the inputs by 12.16%. The conventional DEA approach yields an average efficiency of </w:t>
      </w:r>
      <w:r w:rsidRPr="002E1A91">
        <w:t xml:space="preserve">0.9068, which is a clear overestimation. According to the </w:t>
      </w:r>
      <w:r w:rsidRPr="002E1A91">
        <w:rPr>
          <w:rFonts w:eastAsia="標楷體"/>
        </w:rPr>
        <w:t>Mann–Whitney U test, the efficiency scores obtained using the two approaches are significantly different.</w:t>
      </w:r>
    </w:p>
    <w:p w14:paraId="186BBC28" w14:textId="63FFF965" w:rsidR="004F74F0" w:rsidRPr="002E1A91" w:rsidRDefault="004F74F0" w:rsidP="00E861C5">
      <w:pPr>
        <w:widowControl w:val="0"/>
        <w:adjustRightInd w:val="0"/>
        <w:spacing w:line="240" w:lineRule="auto"/>
        <w:ind w:firstLine="360"/>
        <w:jc w:val="both"/>
        <w:textAlignment w:val="baseline"/>
        <w:rPr>
          <w:rFonts w:eastAsia="標楷體"/>
        </w:rPr>
      </w:pPr>
      <w:r w:rsidRPr="002E1A91">
        <w:rPr>
          <w:rFonts w:eastAsia="標楷體"/>
        </w:rPr>
        <w:t>DEA reveals that domestic life insurance companies have higher performance than their foreign counterparts; additionally, larger life insurance companies exhibit lower management efficiency, implying that large institutions should improve their management to reduce waste and improve efficiency. Moreover, Taiwanese life insurance companies with larger market share have higher operational efficiency, which is consistent with market power theory (Berger 1995). The Taiwanese life insurance companies improved their efficiency during the period investigated. The results also indicate a nonsignificant difference between Taiwanese life insurance subsidiaries of FHCs and those of non-FHCs regarding performance. The present study also reveals that the Tobit model obtains underestimated marginal effects of determinants on efficiency.</w:t>
      </w:r>
    </w:p>
    <w:p w14:paraId="781E1502" w14:textId="4E6CA52C" w:rsidR="004F74F0" w:rsidRDefault="004F74F0" w:rsidP="00E861C5">
      <w:pPr>
        <w:widowControl w:val="0"/>
        <w:adjustRightInd w:val="0"/>
        <w:spacing w:line="240" w:lineRule="auto"/>
        <w:ind w:firstLine="360"/>
        <w:jc w:val="both"/>
        <w:textAlignment w:val="baseline"/>
        <w:rPr>
          <w:rFonts w:eastAsia="標楷體"/>
        </w:rPr>
      </w:pPr>
      <w:r w:rsidRPr="002E1A91">
        <w:rPr>
          <w:rFonts w:eastAsia="標楷體"/>
        </w:rPr>
        <w:t>We employ the two-stage bootstrap truncated regression model proposed by Simar and Wilson (2007) to prevent biases in efficiency estimates and then discuss the determinants of operational performance in the insurance industry to fill the research in previous studies investigating the efficiency of Taiwanese life insurance companies. Our empirical results provide deeper insight into the insurance industry’s production activities and contribute to the understanding of the determinants of operational efficiency in Taiwanese life insurance companies. This study may also serve as a reference for managers in the industry to improve their management and for authorities concerned to establish appropriate policies.</w:t>
      </w:r>
    </w:p>
    <w:p w14:paraId="39095E54" w14:textId="77777777" w:rsidR="003C4F33" w:rsidRDefault="003C4F33" w:rsidP="00E861C5">
      <w:pPr>
        <w:widowControl w:val="0"/>
        <w:adjustRightInd w:val="0"/>
        <w:spacing w:line="240" w:lineRule="auto"/>
        <w:ind w:firstLine="360"/>
        <w:jc w:val="both"/>
        <w:textAlignment w:val="baseline"/>
        <w:rPr>
          <w:rFonts w:eastAsia="標楷體"/>
        </w:rPr>
      </w:pPr>
    </w:p>
    <w:p w14:paraId="03010202" w14:textId="77777777" w:rsidR="003C4F33" w:rsidRDefault="003C4F33" w:rsidP="003C4F33">
      <w:pPr>
        <w:widowControl w:val="0"/>
        <w:adjustRightInd w:val="0"/>
        <w:spacing w:line="240" w:lineRule="auto"/>
        <w:jc w:val="both"/>
        <w:textAlignment w:val="baseline"/>
        <w:rPr>
          <w:b/>
          <w:sz w:val="26"/>
          <w:szCs w:val="26"/>
        </w:rPr>
      </w:pPr>
      <w:r w:rsidRPr="00050501">
        <w:rPr>
          <w:b/>
          <w:sz w:val="26"/>
          <w:szCs w:val="26"/>
        </w:rPr>
        <w:t>ACKNOWLEDGEMENTS.</w:t>
      </w:r>
    </w:p>
    <w:p w14:paraId="22F983D9" w14:textId="77777777" w:rsidR="003C4F33" w:rsidRDefault="003C4F33" w:rsidP="003C4F33">
      <w:pPr>
        <w:widowControl w:val="0"/>
        <w:adjustRightInd w:val="0"/>
        <w:spacing w:line="240" w:lineRule="auto"/>
        <w:jc w:val="both"/>
        <w:textAlignment w:val="baseline"/>
      </w:pPr>
    </w:p>
    <w:p w14:paraId="2FFF0F15" w14:textId="59E78C2D" w:rsidR="009263BB" w:rsidRDefault="003C4F33" w:rsidP="003C4F33">
      <w:pPr>
        <w:widowControl w:val="0"/>
        <w:adjustRightInd w:val="0"/>
        <w:spacing w:line="240" w:lineRule="auto"/>
        <w:jc w:val="both"/>
        <w:textAlignment w:val="baseline"/>
      </w:pPr>
      <w:r w:rsidRPr="003C4F33">
        <w:t>Financial support from Ministry of Science and Technology (MOST) of Taiwan is gratefully acknowledged (MOST 106-2410-H-126-002).</w:t>
      </w:r>
    </w:p>
    <w:p w14:paraId="4DC90737" w14:textId="77777777" w:rsidR="003C4F33" w:rsidRDefault="003C4F33" w:rsidP="003C4F33">
      <w:pPr>
        <w:widowControl w:val="0"/>
        <w:adjustRightInd w:val="0"/>
        <w:spacing w:line="240" w:lineRule="auto"/>
        <w:jc w:val="both"/>
        <w:textAlignment w:val="baseline"/>
      </w:pPr>
    </w:p>
    <w:p w14:paraId="2152EE05" w14:textId="77777777" w:rsidR="003F0543" w:rsidRPr="007F7431" w:rsidRDefault="003F0543" w:rsidP="003F0543">
      <w:pPr>
        <w:pStyle w:val="Referencestitle"/>
        <w:spacing w:after="120"/>
      </w:pPr>
      <w:r w:rsidRPr="007F7431">
        <w:t>References</w:t>
      </w:r>
    </w:p>
    <w:p w14:paraId="60F00502" w14:textId="673C7CC9" w:rsidR="002E1A91" w:rsidRDefault="002E1A91" w:rsidP="00FF6DC7">
      <w:pPr>
        <w:pStyle w:val="ReferencesText"/>
        <w:numPr>
          <w:ilvl w:val="0"/>
          <w:numId w:val="3"/>
        </w:numPr>
        <w:tabs>
          <w:tab w:val="num" w:pos="480"/>
        </w:tabs>
      </w:pPr>
      <w:r w:rsidRPr="004064EB">
        <w:t>Banker, R.</w:t>
      </w:r>
      <w:r w:rsidR="009040E8" w:rsidRPr="004064EB">
        <w:t xml:space="preserve"> </w:t>
      </w:r>
      <w:r w:rsidRPr="004064EB">
        <w:t>D., A. Charnes</w:t>
      </w:r>
      <w:r w:rsidR="009040E8" w:rsidRPr="004064EB">
        <w:t>,</w:t>
      </w:r>
      <w:r w:rsidRPr="004064EB">
        <w:t xml:space="preserve"> and W.</w:t>
      </w:r>
      <w:r w:rsidR="009040E8" w:rsidRPr="004064EB">
        <w:t xml:space="preserve"> </w:t>
      </w:r>
      <w:r w:rsidRPr="004064EB">
        <w:t>W. Cooper</w:t>
      </w:r>
      <w:r w:rsidR="005F6629">
        <w:t>,</w:t>
      </w:r>
      <w:r w:rsidRPr="004064EB">
        <w:t xml:space="preserve"> </w:t>
      </w:r>
      <w:proofErr w:type="gramStart"/>
      <w:r w:rsidRPr="004064EB">
        <w:t>Some</w:t>
      </w:r>
      <w:proofErr w:type="gramEnd"/>
      <w:r w:rsidRPr="004064EB">
        <w:t xml:space="preserve"> models for estimating technical and scale inefficiencies in data envelopment analysis</w:t>
      </w:r>
      <w:r w:rsidR="007C66E6">
        <w:t>,</w:t>
      </w:r>
      <w:r w:rsidRPr="004064EB">
        <w:t xml:space="preserve"> </w:t>
      </w:r>
      <w:r w:rsidRPr="004064EB">
        <w:rPr>
          <w:i/>
        </w:rPr>
        <w:t>Management Science</w:t>
      </w:r>
      <w:r w:rsidR="007C66E6">
        <w:rPr>
          <w:i/>
        </w:rPr>
        <w:t>,</w:t>
      </w:r>
      <w:r w:rsidRPr="003D099F">
        <w:rPr>
          <w:b/>
        </w:rPr>
        <w:t>30</w:t>
      </w:r>
      <w:r w:rsidR="007C66E6">
        <w:t>,</w:t>
      </w:r>
      <w:r w:rsidR="009040E8" w:rsidRPr="004064EB">
        <w:t xml:space="preserve"> </w:t>
      </w:r>
      <w:r w:rsidR="003D099F">
        <w:rPr>
          <w:rFonts w:hint="eastAsia"/>
        </w:rPr>
        <w:t>(</w:t>
      </w:r>
      <w:r w:rsidR="00D705CF" w:rsidRPr="004064EB">
        <w:t>1984</w:t>
      </w:r>
      <w:r w:rsidR="003D099F">
        <w:rPr>
          <w:rFonts w:hint="eastAsia"/>
        </w:rPr>
        <w:t>)</w:t>
      </w:r>
      <w:r w:rsidR="007C66E6">
        <w:t xml:space="preserve">, </w:t>
      </w:r>
      <w:r w:rsidRPr="004064EB">
        <w:t>1078</w:t>
      </w:r>
      <w:r w:rsidR="009040E8" w:rsidRPr="004064EB">
        <w:t>–</w:t>
      </w:r>
      <w:r w:rsidRPr="004064EB">
        <w:t>1092.</w:t>
      </w:r>
    </w:p>
    <w:p w14:paraId="4F52F9B5" w14:textId="6526200E" w:rsidR="00DB243A" w:rsidRDefault="00DB243A" w:rsidP="00FF6DC7">
      <w:pPr>
        <w:pStyle w:val="ReferencesText"/>
        <w:numPr>
          <w:ilvl w:val="0"/>
          <w:numId w:val="3"/>
        </w:numPr>
        <w:tabs>
          <w:tab w:val="num" w:pos="480"/>
        </w:tabs>
      </w:pPr>
      <w:r w:rsidRPr="004064EB">
        <w:t>Barros, C.P., M. Nektarios, and A. Assaf</w:t>
      </w:r>
      <w:r>
        <w:t>,</w:t>
      </w:r>
      <w:r w:rsidRPr="004064EB">
        <w:t xml:space="preserve"> Efficiency in the Greek insurance industry</w:t>
      </w:r>
      <w:r>
        <w:t>,</w:t>
      </w:r>
      <w:r w:rsidRPr="004064EB">
        <w:t xml:space="preserve"> </w:t>
      </w:r>
      <w:r w:rsidRPr="004064EB">
        <w:rPr>
          <w:i/>
        </w:rPr>
        <w:t>European Journal of Operational Research</w:t>
      </w:r>
      <w:r>
        <w:t xml:space="preserve">, </w:t>
      </w:r>
      <w:r w:rsidRPr="003D099F">
        <w:rPr>
          <w:b/>
        </w:rPr>
        <w:t>205</w:t>
      </w:r>
      <w:r>
        <w:t>,</w:t>
      </w:r>
      <w:r w:rsidRPr="004064EB">
        <w:t xml:space="preserve"> </w:t>
      </w:r>
      <w:r w:rsidR="003D099F">
        <w:rPr>
          <w:rFonts w:hint="eastAsia"/>
        </w:rPr>
        <w:t>(</w:t>
      </w:r>
      <w:r w:rsidRPr="004064EB">
        <w:t>2010</w:t>
      </w:r>
      <w:r w:rsidR="003D099F">
        <w:rPr>
          <w:rFonts w:hint="eastAsia"/>
        </w:rPr>
        <w:t>)</w:t>
      </w:r>
      <w:r>
        <w:t xml:space="preserve">, </w:t>
      </w:r>
      <w:r w:rsidRPr="004064EB">
        <w:t>431-436.</w:t>
      </w:r>
    </w:p>
    <w:p w14:paraId="52A1B1C4" w14:textId="44C2CEF9" w:rsidR="00DB243A" w:rsidRDefault="00DB243A" w:rsidP="00FF6DC7">
      <w:pPr>
        <w:pStyle w:val="ReferencesText"/>
        <w:numPr>
          <w:ilvl w:val="0"/>
          <w:numId w:val="3"/>
        </w:numPr>
        <w:tabs>
          <w:tab w:val="num" w:pos="480"/>
        </w:tabs>
      </w:pPr>
      <w:r w:rsidRPr="004064EB">
        <w:t>Berger, A. N.</w:t>
      </w:r>
      <w:r>
        <w:rPr>
          <w:rFonts w:hint="eastAsia"/>
        </w:rPr>
        <w:t>,</w:t>
      </w:r>
      <w:r w:rsidRPr="004064EB">
        <w:t xml:space="preserve"> The profit-structure relationship in banking-tests of market-power and efficient-structure hypothesis</w:t>
      </w:r>
      <w:r>
        <w:t>,</w:t>
      </w:r>
      <w:r w:rsidRPr="004064EB">
        <w:t xml:space="preserve"> </w:t>
      </w:r>
      <w:r w:rsidRPr="004064EB">
        <w:rPr>
          <w:i/>
        </w:rPr>
        <w:t>Journal of Money, Credit, and Banking</w:t>
      </w:r>
      <w:r w:rsidR="003D099F">
        <w:t xml:space="preserve">. </w:t>
      </w:r>
      <w:r w:rsidRPr="003D099F">
        <w:rPr>
          <w:b/>
        </w:rPr>
        <w:t>27</w:t>
      </w:r>
      <w:r>
        <w:t>,</w:t>
      </w:r>
      <w:r w:rsidRPr="00D55923">
        <w:t xml:space="preserve"> </w:t>
      </w:r>
      <w:r w:rsidR="003D099F">
        <w:rPr>
          <w:rFonts w:hint="eastAsia"/>
        </w:rPr>
        <w:t>(</w:t>
      </w:r>
      <w:r w:rsidRPr="004064EB">
        <w:t>1995</w:t>
      </w:r>
      <w:r w:rsidR="003D099F">
        <w:rPr>
          <w:rFonts w:hint="eastAsia"/>
        </w:rPr>
        <w:t>)</w:t>
      </w:r>
      <w:r>
        <w:t>,</w:t>
      </w:r>
      <w:r w:rsidRPr="004064EB">
        <w:t xml:space="preserve"> 404–431.</w:t>
      </w:r>
    </w:p>
    <w:p w14:paraId="33192485" w14:textId="25BF0E1E" w:rsidR="00DB243A" w:rsidRDefault="00DB243A" w:rsidP="00FF6DC7">
      <w:pPr>
        <w:pStyle w:val="ReferencesText"/>
        <w:numPr>
          <w:ilvl w:val="0"/>
          <w:numId w:val="3"/>
        </w:numPr>
        <w:tabs>
          <w:tab w:val="num" w:pos="480"/>
        </w:tabs>
      </w:pPr>
      <w:r w:rsidRPr="004064EB">
        <w:lastRenderedPageBreak/>
        <w:t>Berger, A. N., and D. B. Humphrey</w:t>
      </w:r>
      <w:r>
        <w:t>,</w:t>
      </w:r>
      <w:r w:rsidRPr="004064EB">
        <w:t xml:space="preserve"> Efficiency of financial institutions: International survey and directions for future research</w:t>
      </w:r>
      <w:r>
        <w:t>,</w:t>
      </w:r>
      <w:r w:rsidRPr="004064EB">
        <w:t xml:space="preserve"> </w:t>
      </w:r>
      <w:r w:rsidRPr="004064EB">
        <w:rPr>
          <w:i/>
        </w:rPr>
        <w:t>European Journal of Operational Research</w:t>
      </w:r>
      <w:r>
        <w:t xml:space="preserve">, </w:t>
      </w:r>
      <w:r w:rsidRPr="00AE1C7D">
        <w:rPr>
          <w:b/>
        </w:rPr>
        <w:t>98</w:t>
      </w:r>
      <w:r>
        <w:t>,</w:t>
      </w:r>
      <w:r w:rsidRPr="00D55923">
        <w:t xml:space="preserve"> </w:t>
      </w:r>
      <w:r w:rsidR="00AE1C7D">
        <w:rPr>
          <w:rFonts w:hint="eastAsia"/>
        </w:rPr>
        <w:t>(</w:t>
      </w:r>
      <w:r w:rsidRPr="004064EB">
        <w:t>1997</w:t>
      </w:r>
      <w:r w:rsidR="00AE1C7D">
        <w:rPr>
          <w:rFonts w:hint="eastAsia"/>
        </w:rPr>
        <w:t>)</w:t>
      </w:r>
      <w:r>
        <w:t>,</w:t>
      </w:r>
      <w:r w:rsidRPr="004064EB">
        <w:t xml:space="preserve"> 175–212.</w:t>
      </w:r>
    </w:p>
    <w:p w14:paraId="4AA31F87" w14:textId="464B77D9" w:rsidR="00DB243A" w:rsidRDefault="00DB243A" w:rsidP="00FF6DC7">
      <w:pPr>
        <w:pStyle w:val="ReferencesText"/>
        <w:numPr>
          <w:ilvl w:val="0"/>
          <w:numId w:val="3"/>
        </w:numPr>
        <w:tabs>
          <w:tab w:val="num" w:pos="480"/>
        </w:tabs>
      </w:pPr>
      <w:r w:rsidRPr="004064EB">
        <w:t>Chang, W. W.</w:t>
      </w:r>
      <w:r>
        <w:t>,</w:t>
      </w:r>
      <w:r w:rsidRPr="004064EB">
        <w:t xml:space="preserve"> Assessment methods for the </w:t>
      </w:r>
      <w:r>
        <w:t>insurance industry’s efficiency,</w:t>
      </w:r>
      <w:r w:rsidRPr="004064EB">
        <w:t xml:space="preserve"> </w:t>
      </w:r>
      <w:r w:rsidRPr="004064EB">
        <w:rPr>
          <w:i/>
        </w:rPr>
        <w:t>Insurance Monograph</w:t>
      </w:r>
      <w:r>
        <w:rPr>
          <w:b/>
          <w:i/>
        </w:rPr>
        <w:t xml:space="preserve">, </w:t>
      </w:r>
      <w:r w:rsidRPr="00EC461D">
        <w:rPr>
          <w:b/>
        </w:rPr>
        <w:t>56</w:t>
      </w:r>
      <w:r>
        <w:t>,</w:t>
      </w:r>
      <w:r w:rsidRPr="00D55923">
        <w:t xml:space="preserve"> </w:t>
      </w:r>
      <w:r w:rsidR="00EC461D">
        <w:rPr>
          <w:rFonts w:hint="eastAsia"/>
        </w:rPr>
        <w:t>(</w:t>
      </w:r>
      <w:r w:rsidRPr="004064EB">
        <w:t>1999</w:t>
      </w:r>
      <w:r w:rsidR="00EC461D">
        <w:rPr>
          <w:rFonts w:hint="eastAsia"/>
        </w:rPr>
        <w:t>)</w:t>
      </w:r>
      <w:r>
        <w:t xml:space="preserve">, </w:t>
      </w:r>
      <w:r w:rsidRPr="004064EB">
        <w:t>75–102.</w:t>
      </w:r>
    </w:p>
    <w:p w14:paraId="7EECDA71" w14:textId="6A2BAAFE" w:rsidR="00DB243A" w:rsidRDefault="00DB243A" w:rsidP="00FF6DC7">
      <w:pPr>
        <w:pStyle w:val="ReferencesText"/>
        <w:numPr>
          <w:ilvl w:val="0"/>
          <w:numId w:val="3"/>
        </w:numPr>
        <w:tabs>
          <w:tab w:val="num" w:pos="480"/>
        </w:tabs>
      </w:pPr>
      <w:r w:rsidRPr="004064EB">
        <w:t xml:space="preserve">Charnes, </w:t>
      </w:r>
      <w:r w:rsidR="00AB1522">
        <w:t>A., W. W. Cooper, and E. Rhodes,</w:t>
      </w:r>
      <w:r w:rsidRPr="004064EB">
        <w:t xml:space="preserve"> Measuring the effi</w:t>
      </w:r>
      <w:r w:rsidR="00AB1522">
        <w:t>ciency of decision making units,</w:t>
      </w:r>
      <w:r w:rsidRPr="004064EB">
        <w:t xml:space="preserve"> </w:t>
      </w:r>
      <w:r w:rsidRPr="004064EB">
        <w:rPr>
          <w:i/>
        </w:rPr>
        <w:t>Journal of Operational Research</w:t>
      </w:r>
      <w:r w:rsidR="00805A03">
        <w:t xml:space="preserve">, </w:t>
      </w:r>
      <w:r w:rsidR="00AB1522" w:rsidRPr="00CC0BAD">
        <w:rPr>
          <w:b/>
        </w:rPr>
        <w:t>2</w:t>
      </w:r>
      <w:r w:rsidR="00AB1522">
        <w:t xml:space="preserve">, </w:t>
      </w:r>
      <w:r w:rsidR="00CC0BAD">
        <w:rPr>
          <w:rFonts w:hint="eastAsia"/>
        </w:rPr>
        <w:t>(</w:t>
      </w:r>
      <w:r w:rsidR="00AB1522" w:rsidRPr="004064EB">
        <w:t>1978</w:t>
      </w:r>
      <w:r w:rsidR="00CC0BAD">
        <w:rPr>
          <w:rFonts w:hint="eastAsia"/>
        </w:rPr>
        <w:t>)</w:t>
      </w:r>
      <w:r w:rsidR="00AB1522">
        <w:t>,</w:t>
      </w:r>
      <w:r w:rsidRPr="004064EB">
        <w:t xml:space="preserve"> 429–444.</w:t>
      </w:r>
    </w:p>
    <w:p w14:paraId="3CE6BC9B" w14:textId="622B3DF4" w:rsidR="00DB243A" w:rsidRDefault="00DB243A" w:rsidP="00FF6DC7">
      <w:pPr>
        <w:pStyle w:val="ReferencesText"/>
        <w:numPr>
          <w:ilvl w:val="0"/>
          <w:numId w:val="3"/>
        </w:numPr>
        <w:tabs>
          <w:tab w:val="num" w:pos="480"/>
        </w:tabs>
      </w:pPr>
      <w:r w:rsidRPr="004064EB">
        <w:t>Chuang, C.C., and Y.C. Tang.</w:t>
      </w:r>
      <w:r w:rsidR="00AB1522">
        <w:t xml:space="preserve">, </w:t>
      </w:r>
      <w:r w:rsidRPr="004064EB">
        <w:t>Asymmetric dependence between efficiency and market power in the Ta</w:t>
      </w:r>
      <w:r w:rsidR="00AB1522">
        <w:t>iwanese life insurance industry,</w:t>
      </w:r>
      <w:r w:rsidRPr="004064EB">
        <w:t xml:space="preserve"> </w:t>
      </w:r>
      <w:proofErr w:type="spellStart"/>
      <w:r w:rsidRPr="004064EB">
        <w:rPr>
          <w:i/>
        </w:rPr>
        <w:t>Panoeconomicus</w:t>
      </w:r>
      <w:proofErr w:type="spellEnd"/>
      <w:r w:rsidR="00805A03">
        <w:t xml:space="preserve">, </w:t>
      </w:r>
      <w:r w:rsidR="00AB1522" w:rsidRPr="00CC0BAD">
        <w:rPr>
          <w:b/>
        </w:rPr>
        <w:t>62</w:t>
      </w:r>
      <w:r w:rsidR="00AB1522">
        <w:t xml:space="preserve">, </w:t>
      </w:r>
      <w:r w:rsidR="00CC0BAD">
        <w:rPr>
          <w:rFonts w:hint="eastAsia"/>
        </w:rPr>
        <w:t>(</w:t>
      </w:r>
      <w:r w:rsidR="00AB1522" w:rsidRPr="004064EB">
        <w:t>2015</w:t>
      </w:r>
      <w:r w:rsidR="00CC0BAD">
        <w:rPr>
          <w:rFonts w:hint="eastAsia"/>
        </w:rPr>
        <w:t>)</w:t>
      </w:r>
      <w:r w:rsidR="00AB1522">
        <w:t>,</w:t>
      </w:r>
      <w:r w:rsidRPr="004064EB">
        <w:t xml:space="preserve"> 511–525.</w:t>
      </w:r>
    </w:p>
    <w:p w14:paraId="218C0A31" w14:textId="0884B139" w:rsidR="00DB243A" w:rsidRDefault="00AB1522" w:rsidP="00FF6DC7">
      <w:pPr>
        <w:pStyle w:val="ReferencesText"/>
        <w:numPr>
          <w:ilvl w:val="0"/>
          <w:numId w:val="3"/>
        </w:numPr>
        <w:tabs>
          <w:tab w:val="num" w:pos="480"/>
        </w:tabs>
      </w:pPr>
      <w:r>
        <w:t>Cummins, J. D., and H. Zi,</w:t>
      </w:r>
      <w:r w:rsidR="00DB243A" w:rsidRPr="004064EB">
        <w:t xml:space="preserve"> Comparison of frontier efficiency methods: An application to the U.S. life insurance in</w:t>
      </w:r>
      <w:r>
        <w:t>dustry,</w:t>
      </w:r>
      <w:r w:rsidR="00DB243A" w:rsidRPr="004064EB">
        <w:t xml:space="preserve"> </w:t>
      </w:r>
      <w:r w:rsidR="00DB243A" w:rsidRPr="004064EB">
        <w:rPr>
          <w:i/>
        </w:rPr>
        <w:t>Journal of Productivity Analysis</w:t>
      </w:r>
      <w:r w:rsidR="00805A03">
        <w:t>,</w:t>
      </w:r>
      <w:r w:rsidR="00CC0BAD">
        <w:rPr>
          <w:rFonts w:hint="eastAsia"/>
        </w:rPr>
        <w:t xml:space="preserve"> </w:t>
      </w:r>
      <w:r w:rsidRPr="00CC0BAD">
        <w:rPr>
          <w:b/>
        </w:rPr>
        <w:t>10</w:t>
      </w:r>
      <w:r>
        <w:t xml:space="preserve">, </w:t>
      </w:r>
      <w:r w:rsidR="00CC0BAD">
        <w:rPr>
          <w:rFonts w:hint="eastAsia"/>
        </w:rPr>
        <w:t>(</w:t>
      </w:r>
      <w:r w:rsidRPr="004064EB">
        <w:t>1998</w:t>
      </w:r>
      <w:r w:rsidR="00CC0BAD">
        <w:rPr>
          <w:rFonts w:hint="eastAsia"/>
        </w:rPr>
        <w:t>)</w:t>
      </w:r>
      <w:r>
        <w:t>,</w:t>
      </w:r>
      <w:r w:rsidR="00DB243A" w:rsidRPr="004064EB">
        <w:t xml:space="preserve"> 131–152.</w:t>
      </w:r>
    </w:p>
    <w:p w14:paraId="082ED73E" w14:textId="19C51E00" w:rsidR="00DB243A" w:rsidRDefault="00DB243A" w:rsidP="00FF6DC7">
      <w:pPr>
        <w:pStyle w:val="ReferencesText"/>
        <w:numPr>
          <w:ilvl w:val="0"/>
          <w:numId w:val="3"/>
        </w:numPr>
        <w:tabs>
          <w:tab w:val="num" w:pos="480"/>
        </w:tabs>
      </w:pPr>
      <w:r w:rsidRPr="004064EB">
        <w:t>Cummins, J. D</w:t>
      </w:r>
      <w:r w:rsidR="00AB1522">
        <w:t>., S. Tennyson, and M. A. Weiss,</w:t>
      </w:r>
      <w:r w:rsidRPr="004064EB">
        <w:t xml:space="preserve"> Consolidation and efficiency in</w:t>
      </w:r>
      <w:r w:rsidR="00AB1522">
        <w:t xml:space="preserve"> the US life insurance industry, </w:t>
      </w:r>
      <w:r w:rsidRPr="004064EB">
        <w:rPr>
          <w:i/>
        </w:rPr>
        <w:t>Journal of Banking and Finance</w:t>
      </w:r>
      <w:r w:rsidR="00805A03">
        <w:t xml:space="preserve">, </w:t>
      </w:r>
      <w:r w:rsidR="00AB1522" w:rsidRPr="00CC0BAD">
        <w:rPr>
          <w:b/>
        </w:rPr>
        <w:t>23</w:t>
      </w:r>
      <w:r w:rsidR="00AB1522">
        <w:t xml:space="preserve">, </w:t>
      </w:r>
      <w:r w:rsidR="00CC0BAD">
        <w:rPr>
          <w:rFonts w:hint="eastAsia"/>
        </w:rPr>
        <w:t>(</w:t>
      </w:r>
      <w:r w:rsidR="00AB1522" w:rsidRPr="004064EB">
        <w:t>1999</w:t>
      </w:r>
      <w:r w:rsidR="00CC0BAD">
        <w:rPr>
          <w:rFonts w:hint="eastAsia"/>
        </w:rPr>
        <w:t>)</w:t>
      </w:r>
      <w:r w:rsidR="00AB1522">
        <w:t>,</w:t>
      </w:r>
      <w:r w:rsidRPr="004064EB">
        <w:t xml:space="preserve"> 325–357.</w:t>
      </w:r>
    </w:p>
    <w:p w14:paraId="7221AB6E" w14:textId="31528F71" w:rsidR="00DB243A" w:rsidRDefault="00AB1522" w:rsidP="00FF6DC7">
      <w:pPr>
        <w:pStyle w:val="ReferencesText"/>
        <w:numPr>
          <w:ilvl w:val="0"/>
          <w:numId w:val="3"/>
        </w:numPr>
        <w:tabs>
          <w:tab w:val="num" w:pos="480"/>
        </w:tabs>
      </w:pPr>
      <w:r>
        <w:t>Cummins, J. D., and X. Xie,</w:t>
      </w:r>
      <w:r w:rsidR="00DB243A" w:rsidRPr="004064EB">
        <w:t xml:space="preserve"> Mergers and acquisitions in the U.S. property-liability insurance industry: Prod</w:t>
      </w:r>
      <w:r>
        <w:t>uctivity and efficiency effects,</w:t>
      </w:r>
      <w:r w:rsidR="00DB243A" w:rsidRPr="004064EB">
        <w:t xml:space="preserve"> </w:t>
      </w:r>
      <w:r w:rsidR="00DB243A" w:rsidRPr="004064EB">
        <w:rPr>
          <w:i/>
        </w:rPr>
        <w:t>Journal of Banking and Finance</w:t>
      </w:r>
      <w:r w:rsidR="003E2502">
        <w:t xml:space="preserve">, </w:t>
      </w:r>
      <w:r w:rsidRPr="003E2502">
        <w:rPr>
          <w:b/>
        </w:rPr>
        <w:t>32</w:t>
      </w:r>
      <w:r>
        <w:t xml:space="preserve">, </w:t>
      </w:r>
      <w:r w:rsidR="003E2502">
        <w:rPr>
          <w:rFonts w:hint="eastAsia"/>
        </w:rPr>
        <w:t>(</w:t>
      </w:r>
      <w:r w:rsidRPr="004064EB">
        <w:t>2008</w:t>
      </w:r>
      <w:r w:rsidR="003E2502">
        <w:rPr>
          <w:rFonts w:hint="eastAsia"/>
        </w:rPr>
        <w:t>)</w:t>
      </w:r>
      <w:r>
        <w:t>,</w:t>
      </w:r>
      <w:r w:rsidR="00DB243A" w:rsidRPr="004064EB">
        <w:t xml:space="preserve"> 30–55.</w:t>
      </w:r>
    </w:p>
    <w:p w14:paraId="3271647C" w14:textId="187B3568" w:rsidR="00DB243A" w:rsidRDefault="00AB1522" w:rsidP="00FF6DC7">
      <w:pPr>
        <w:pStyle w:val="ReferencesText"/>
        <w:numPr>
          <w:ilvl w:val="0"/>
          <w:numId w:val="3"/>
        </w:numPr>
        <w:tabs>
          <w:tab w:val="num" w:pos="480"/>
        </w:tabs>
      </w:pPr>
      <w:r>
        <w:t>Cummins, J. D., and M. A. Weiss,</w:t>
      </w:r>
      <w:r w:rsidR="00DB243A" w:rsidRPr="004064EB">
        <w:t xml:space="preserve"> Analyzing firm performance in the insurance industry using frontier ef</w:t>
      </w:r>
      <w:r>
        <w:t>ficiency methods,</w:t>
      </w:r>
      <w:r w:rsidR="00DB243A" w:rsidRPr="004064EB">
        <w:t xml:space="preserve"> In </w:t>
      </w:r>
      <w:r w:rsidR="00DB243A" w:rsidRPr="004064EB">
        <w:rPr>
          <w:i/>
        </w:rPr>
        <w:t>Handbook of Insurance</w:t>
      </w:r>
      <w:r w:rsidR="00DB243A" w:rsidRPr="004064EB">
        <w:t>, ed. G. Dionne, Boston, MA: Springer.</w:t>
      </w:r>
      <w:r w:rsidRPr="00AB1522">
        <w:t xml:space="preserve"> </w:t>
      </w:r>
      <w:r w:rsidRPr="004064EB">
        <w:t>2013</w:t>
      </w:r>
      <w:r>
        <w:t>.</w:t>
      </w:r>
    </w:p>
    <w:p w14:paraId="7AFA4570" w14:textId="5E8757F2" w:rsidR="00DB243A" w:rsidRDefault="00A67CC8" w:rsidP="00FF6DC7">
      <w:pPr>
        <w:pStyle w:val="ReferencesText"/>
        <w:numPr>
          <w:ilvl w:val="0"/>
          <w:numId w:val="3"/>
        </w:numPr>
        <w:tabs>
          <w:tab w:val="num" w:pos="480"/>
        </w:tabs>
      </w:pPr>
      <w:r>
        <w:t>Eling, M., and M. Luhnen,</w:t>
      </w:r>
      <w:r w:rsidR="00DB243A" w:rsidRPr="004064EB">
        <w:t xml:space="preserve"> Frontier efficiency methodologies to measure performance in the insurance industry: Overview, systemati</w:t>
      </w:r>
      <w:r>
        <w:t>zation, and recent developments,</w:t>
      </w:r>
      <w:r w:rsidR="00DB243A" w:rsidRPr="004064EB">
        <w:t xml:space="preserve"> </w:t>
      </w:r>
      <w:r w:rsidR="00DB243A" w:rsidRPr="004064EB">
        <w:rPr>
          <w:i/>
        </w:rPr>
        <w:t>The Geneva Papers on Risk and Insurance-Issues and Practice</w:t>
      </w:r>
      <w:r w:rsidR="00805A03">
        <w:t xml:space="preserve">, </w:t>
      </w:r>
      <w:r w:rsidRPr="003C32BC">
        <w:rPr>
          <w:b/>
        </w:rPr>
        <w:t>35</w:t>
      </w:r>
      <w:r>
        <w:t xml:space="preserve">, </w:t>
      </w:r>
      <w:r w:rsidR="003C32BC">
        <w:rPr>
          <w:rFonts w:hint="eastAsia"/>
        </w:rPr>
        <w:t>(</w:t>
      </w:r>
      <w:r w:rsidRPr="004064EB">
        <w:t>2010</w:t>
      </w:r>
      <w:r w:rsidR="003C32BC">
        <w:rPr>
          <w:rFonts w:hint="eastAsia"/>
        </w:rPr>
        <w:t>)</w:t>
      </w:r>
      <w:r>
        <w:t>,</w:t>
      </w:r>
      <w:r w:rsidR="00DB243A" w:rsidRPr="004064EB">
        <w:t xml:space="preserve"> 217–265.</w:t>
      </w:r>
    </w:p>
    <w:p w14:paraId="31CFCA27" w14:textId="72859623" w:rsidR="00DB243A" w:rsidRDefault="00A67CC8" w:rsidP="00FF6DC7">
      <w:pPr>
        <w:pStyle w:val="ReferencesText"/>
        <w:numPr>
          <w:ilvl w:val="0"/>
          <w:numId w:val="3"/>
        </w:numPr>
        <w:tabs>
          <w:tab w:val="num" w:pos="480"/>
        </w:tabs>
      </w:pPr>
      <w:r>
        <w:t>Farrel, M. J,</w:t>
      </w:r>
      <w:r w:rsidR="00DB243A" w:rsidRPr="004064EB">
        <w:t xml:space="preserve"> The measu</w:t>
      </w:r>
      <w:r>
        <w:t>rement of productive efficiency,</w:t>
      </w:r>
      <w:r w:rsidR="00DB243A" w:rsidRPr="004064EB">
        <w:t xml:space="preserve"> </w:t>
      </w:r>
      <w:r w:rsidR="00DB243A" w:rsidRPr="004064EB">
        <w:rPr>
          <w:i/>
        </w:rPr>
        <w:t xml:space="preserve">Journal of the Royal Statistical Society </w:t>
      </w:r>
      <w:proofErr w:type="gramStart"/>
      <w:r w:rsidR="00DB243A" w:rsidRPr="004064EB">
        <w:rPr>
          <w:i/>
        </w:rPr>
        <w:t>Series</w:t>
      </w:r>
      <w:r w:rsidR="00DB243A" w:rsidRPr="004064EB">
        <w:rPr>
          <w:rFonts w:eastAsia="MS Gothic"/>
          <w:i/>
        </w:rPr>
        <w:t>(</w:t>
      </w:r>
      <w:proofErr w:type="gramEnd"/>
      <w:r w:rsidR="00DB243A" w:rsidRPr="004064EB">
        <w:rPr>
          <w:i/>
        </w:rPr>
        <w:t>Part 3)</w:t>
      </w:r>
      <w:r w:rsidR="00805A03" w:rsidRPr="00805A03">
        <w:t xml:space="preserve"> </w:t>
      </w:r>
      <w:r w:rsidR="003C32BC">
        <w:t xml:space="preserve">, </w:t>
      </w:r>
      <w:r w:rsidRPr="003C32BC">
        <w:rPr>
          <w:b/>
        </w:rPr>
        <w:t>120</w:t>
      </w:r>
      <w:r>
        <w:t xml:space="preserve">(3), </w:t>
      </w:r>
      <w:r w:rsidR="003C32BC">
        <w:rPr>
          <w:rFonts w:hint="eastAsia"/>
        </w:rPr>
        <w:t>(</w:t>
      </w:r>
      <w:r w:rsidRPr="004064EB">
        <w:t>1957</w:t>
      </w:r>
      <w:r w:rsidR="003C32BC">
        <w:rPr>
          <w:rFonts w:hint="eastAsia"/>
        </w:rPr>
        <w:t>)</w:t>
      </w:r>
      <w:r>
        <w:t>,</w:t>
      </w:r>
      <w:r w:rsidR="00DB243A" w:rsidRPr="004064EB">
        <w:t xml:space="preserve"> 253–281.</w:t>
      </w:r>
    </w:p>
    <w:p w14:paraId="367E7546" w14:textId="7D536185" w:rsidR="00DB243A" w:rsidRDefault="00DB243A" w:rsidP="00FF6DC7">
      <w:pPr>
        <w:pStyle w:val="ReferencesText"/>
        <w:numPr>
          <w:ilvl w:val="0"/>
          <w:numId w:val="3"/>
        </w:numPr>
        <w:tabs>
          <w:tab w:val="num" w:pos="480"/>
        </w:tabs>
      </w:pPr>
      <w:r w:rsidRPr="004064EB">
        <w:t>Fenn, P., D. Vencappa, S. Diacon, P. Klumpes, and C. O’</w:t>
      </w:r>
      <w:r w:rsidR="00A67CC8">
        <w:t>Brien,</w:t>
      </w:r>
      <w:r w:rsidRPr="004064EB">
        <w:t xml:space="preserve"> Market structure and the efficiency of European insurance companies:</w:t>
      </w:r>
      <w:r w:rsidR="00A67CC8">
        <w:t xml:space="preserve"> A stochastic frontier analysis,</w:t>
      </w:r>
      <w:r w:rsidRPr="004064EB">
        <w:t xml:space="preserve"> </w:t>
      </w:r>
      <w:r w:rsidRPr="004064EB">
        <w:rPr>
          <w:i/>
        </w:rPr>
        <w:t>Journal of Banking and Finance</w:t>
      </w:r>
      <w:r w:rsidR="00805A03">
        <w:t xml:space="preserve">, </w:t>
      </w:r>
      <w:r w:rsidR="00A67CC8" w:rsidRPr="003C32BC">
        <w:rPr>
          <w:b/>
        </w:rPr>
        <w:t>32</w:t>
      </w:r>
      <w:r w:rsidR="00A67CC8">
        <w:t xml:space="preserve">, </w:t>
      </w:r>
      <w:r w:rsidR="003C32BC">
        <w:rPr>
          <w:rFonts w:hint="eastAsia"/>
        </w:rPr>
        <w:t>(</w:t>
      </w:r>
      <w:r w:rsidR="00A67CC8" w:rsidRPr="004064EB">
        <w:t>2008</w:t>
      </w:r>
      <w:r w:rsidR="003C32BC">
        <w:rPr>
          <w:rFonts w:hint="eastAsia"/>
        </w:rPr>
        <w:t>)</w:t>
      </w:r>
      <w:r w:rsidR="00A67CC8">
        <w:t xml:space="preserve">, </w:t>
      </w:r>
      <w:r w:rsidRPr="004064EB">
        <w:t>86–100.</w:t>
      </w:r>
    </w:p>
    <w:p w14:paraId="25F30C81" w14:textId="6F57516F" w:rsidR="00DB243A" w:rsidRDefault="00A67CC8" w:rsidP="00FF6DC7">
      <w:pPr>
        <w:pStyle w:val="ReferencesText"/>
        <w:numPr>
          <w:ilvl w:val="0"/>
          <w:numId w:val="3"/>
        </w:numPr>
        <w:tabs>
          <w:tab w:val="num" w:pos="480"/>
        </w:tabs>
      </w:pPr>
      <w:r>
        <w:t>Fukuyama, H,</w:t>
      </w:r>
      <w:r w:rsidR="00DB243A" w:rsidRPr="004064EB">
        <w:t xml:space="preserve"> Investing productive efficiency and productivity changes of Japanese life insura</w:t>
      </w:r>
      <w:r>
        <w:t>nce companies,</w:t>
      </w:r>
      <w:r w:rsidR="00DB243A" w:rsidRPr="004064EB">
        <w:t xml:space="preserve"> </w:t>
      </w:r>
      <w:r w:rsidR="00DB243A" w:rsidRPr="004064EB">
        <w:rPr>
          <w:i/>
        </w:rPr>
        <w:t>Pacific-Basin Finance Journa</w:t>
      </w:r>
      <w:r w:rsidR="00805A03">
        <w:rPr>
          <w:i/>
        </w:rPr>
        <w:t>l</w:t>
      </w:r>
      <w:r w:rsidR="00805A03">
        <w:t xml:space="preserve">, </w:t>
      </w:r>
      <w:r w:rsidR="00805A03" w:rsidRPr="00035659">
        <w:rPr>
          <w:rFonts w:hint="eastAsia"/>
          <w:b/>
        </w:rPr>
        <w:t>1</w:t>
      </w:r>
      <w:r w:rsidRPr="00035659">
        <w:rPr>
          <w:b/>
        </w:rPr>
        <w:t>5</w:t>
      </w:r>
      <w:r>
        <w:t xml:space="preserve">, </w:t>
      </w:r>
      <w:r w:rsidR="00035659">
        <w:rPr>
          <w:rFonts w:hint="eastAsia"/>
        </w:rPr>
        <w:t>(</w:t>
      </w:r>
      <w:r w:rsidRPr="004064EB">
        <w:t>1997</w:t>
      </w:r>
      <w:r w:rsidR="00035659">
        <w:rPr>
          <w:rFonts w:hint="eastAsia"/>
        </w:rPr>
        <w:t>)</w:t>
      </w:r>
      <w:r>
        <w:t>,</w:t>
      </w:r>
      <w:r w:rsidR="00DB243A" w:rsidRPr="004064EB">
        <w:t xml:space="preserve"> 481–509.</w:t>
      </w:r>
    </w:p>
    <w:p w14:paraId="18BBCC97" w14:textId="718D6015" w:rsidR="00DB243A" w:rsidRDefault="00DB243A" w:rsidP="00FF6DC7">
      <w:pPr>
        <w:pStyle w:val="ReferencesText"/>
        <w:numPr>
          <w:ilvl w:val="0"/>
          <w:numId w:val="3"/>
        </w:numPr>
        <w:tabs>
          <w:tab w:val="num" w:pos="480"/>
        </w:tabs>
      </w:pPr>
      <w:r w:rsidRPr="004064EB">
        <w:t>Gaganis,</w:t>
      </w:r>
      <w:r w:rsidR="00A67CC8">
        <w:t xml:space="preserve"> C., I. Hasan, and F. Pasiouras,</w:t>
      </w:r>
      <w:r w:rsidRPr="004064EB">
        <w:t xml:space="preserve"> Efficiency and stock returns: Evide</w:t>
      </w:r>
      <w:r w:rsidR="00A67CC8">
        <w:t>nce from the insurance industry,</w:t>
      </w:r>
      <w:r w:rsidRPr="004064EB">
        <w:t xml:space="preserve"> </w:t>
      </w:r>
      <w:r w:rsidRPr="004064EB">
        <w:rPr>
          <w:i/>
        </w:rPr>
        <w:t>Journal of Productivity Analysis</w:t>
      </w:r>
      <w:r w:rsidR="00805A03">
        <w:t>,.</w:t>
      </w:r>
      <w:r w:rsidR="00A67CC8" w:rsidRPr="00035659">
        <w:rPr>
          <w:b/>
        </w:rPr>
        <w:t>40</w:t>
      </w:r>
      <w:r w:rsidR="00A67CC8">
        <w:t xml:space="preserve">, </w:t>
      </w:r>
      <w:r w:rsidR="00035659">
        <w:rPr>
          <w:rFonts w:hint="eastAsia"/>
        </w:rPr>
        <w:t>(</w:t>
      </w:r>
      <w:r w:rsidR="00A67CC8" w:rsidRPr="004064EB">
        <w:t>2013</w:t>
      </w:r>
      <w:r w:rsidR="00035659">
        <w:rPr>
          <w:rFonts w:hint="eastAsia"/>
        </w:rPr>
        <w:t>)</w:t>
      </w:r>
      <w:r w:rsidR="00A67CC8">
        <w:t>,</w:t>
      </w:r>
      <w:r w:rsidRPr="004064EB">
        <w:t xml:space="preserve"> 429–442.</w:t>
      </w:r>
    </w:p>
    <w:p w14:paraId="44ECAE62" w14:textId="1472F5D5" w:rsidR="00DB243A" w:rsidRDefault="00A67CC8" w:rsidP="00FF6DC7">
      <w:pPr>
        <w:pStyle w:val="ReferencesText"/>
        <w:numPr>
          <w:ilvl w:val="0"/>
          <w:numId w:val="3"/>
        </w:numPr>
        <w:tabs>
          <w:tab w:val="num" w:pos="480"/>
        </w:tabs>
      </w:pPr>
      <w:r>
        <w:t>Genetay, N., and P. Molyneux,</w:t>
      </w:r>
      <w:r w:rsidR="00DB243A" w:rsidRPr="004064EB">
        <w:t xml:space="preserve"> </w:t>
      </w:r>
      <w:r w:rsidR="00DB243A" w:rsidRPr="004064EB">
        <w:rPr>
          <w:i/>
        </w:rPr>
        <w:t>Bancassurance</w:t>
      </w:r>
      <w:r>
        <w:t xml:space="preserve">, New York: St. Martin’s Press, </w:t>
      </w:r>
      <w:r w:rsidRPr="004064EB">
        <w:t>1998</w:t>
      </w:r>
      <w:r>
        <w:t>.</w:t>
      </w:r>
    </w:p>
    <w:p w14:paraId="7CB2091B" w14:textId="0336E1C1" w:rsidR="00DB243A" w:rsidRDefault="00A67CC8" w:rsidP="00FF6DC7">
      <w:pPr>
        <w:pStyle w:val="ReferencesText"/>
        <w:numPr>
          <w:ilvl w:val="0"/>
          <w:numId w:val="3"/>
        </w:numPr>
        <w:tabs>
          <w:tab w:val="num" w:pos="480"/>
        </w:tabs>
      </w:pPr>
      <w:r>
        <w:t>Greene, W. H., and D. Segal,</w:t>
      </w:r>
      <w:r w:rsidR="00DB243A" w:rsidRPr="004064EB">
        <w:t xml:space="preserve"> Profitability and efficiency in t</w:t>
      </w:r>
      <w:r>
        <w:t>he U.S. life insurance industry,</w:t>
      </w:r>
      <w:r w:rsidR="00DB243A" w:rsidRPr="004064EB">
        <w:t xml:space="preserve"> </w:t>
      </w:r>
      <w:r w:rsidR="00DB243A" w:rsidRPr="004064EB">
        <w:rPr>
          <w:i/>
        </w:rPr>
        <w:t>Journal of Productivity Analysis</w:t>
      </w:r>
      <w:r w:rsidR="00805A03">
        <w:t xml:space="preserve">, </w:t>
      </w:r>
      <w:r w:rsidRPr="00396EB8">
        <w:rPr>
          <w:b/>
        </w:rPr>
        <w:t>21</w:t>
      </w:r>
      <w:r>
        <w:t xml:space="preserve">, </w:t>
      </w:r>
      <w:r w:rsidR="00396EB8">
        <w:rPr>
          <w:rFonts w:hint="eastAsia"/>
        </w:rPr>
        <w:t>(</w:t>
      </w:r>
      <w:r w:rsidRPr="004064EB">
        <w:t>2004</w:t>
      </w:r>
      <w:r w:rsidR="00396EB8">
        <w:rPr>
          <w:rFonts w:hint="eastAsia"/>
        </w:rPr>
        <w:t>)</w:t>
      </w:r>
      <w:r>
        <w:t>,</w:t>
      </w:r>
      <w:r w:rsidR="00DB243A" w:rsidRPr="004064EB">
        <w:t xml:space="preserve"> 229–247.</w:t>
      </w:r>
    </w:p>
    <w:p w14:paraId="4F5FBDED" w14:textId="11335E9A" w:rsidR="00DB243A" w:rsidRDefault="00A67CC8" w:rsidP="00FF6DC7">
      <w:pPr>
        <w:pStyle w:val="ReferencesText"/>
        <w:numPr>
          <w:ilvl w:val="0"/>
          <w:numId w:val="3"/>
        </w:numPr>
        <w:tabs>
          <w:tab w:val="num" w:pos="480"/>
        </w:tabs>
      </w:pPr>
      <w:r>
        <w:t>Hao, C. J., and L. Y. Chou,</w:t>
      </w:r>
      <w:r w:rsidR="00DB243A" w:rsidRPr="004064EB">
        <w:t xml:space="preserve"> A factor analysis of the operating efficiency of lif</w:t>
      </w:r>
      <w:r>
        <w:t>e insurance companies in Taiwan,</w:t>
      </w:r>
      <w:r w:rsidR="00DB243A" w:rsidRPr="004064EB">
        <w:t xml:space="preserve"> </w:t>
      </w:r>
      <w:r w:rsidR="00DB243A" w:rsidRPr="004064EB">
        <w:rPr>
          <w:i/>
        </w:rPr>
        <w:t>Insurance Monograph</w:t>
      </w:r>
      <w:r w:rsidR="00805A03">
        <w:t xml:space="preserve">, </w:t>
      </w:r>
      <w:r w:rsidRPr="00396EB8">
        <w:rPr>
          <w:b/>
        </w:rPr>
        <w:t>19</w:t>
      </w:r>
      <w:r>
        <w:t xml:space="preserve">(1), </w:t>
      </w:r>
      <w:r w:rsidR="00396EB8">
        <w:rPr>
          <w:rFonts w:hint="eastAsia"/>
        </w:rPr>
        <w:t>(</w:t>
      </w:r>
      <w:r w:rsidRPr="004064EB">
        <w:t>2003</w:t>
      </w:r>
      <w:r w:rsidR="00396EB8">
        <w:rPr>
          <w:rFonts w:hint="eastAsia"/>
        </w:rPr>
        <w:t>)</w:t>
      </w:r>
      <w:r>
        <w:t>,</w:t>
      </w:r>
      <w:r w:rsidR="00DB243A" w:rsidRPr="004064EB">
        <w:t xml:space="preserve"> 75–105.</w:t>
      </w:r>
    </w:p>
    <w:p w14:paraId="3A430AE8" w14:textId="5590E0D2" w:rsidR="00DB243A" w:rsidRDefault="00A67CC8" w:rsidP="00FF6DC7">
      <w:pPr>
        <w:pStyle w:val="ReferencesText"/>
        <w:numPr>
          <w:ilvl w:val="0"/>
          <w:numId w:val="3"/>
        </w:numPr>
        <w:tabs>
          <w:tab w:val="num" w:pos="480"/>
        </w:tabs>
      </w:pPr>
      <w:r>
        <w:t>Hao, J. C. J., and L. Y. Chou,</w:t>
      </w:r>
      <w:r w:rsidR="00DB243A" w:rsidRPr="004064EB">
        <w:t xml:space="preserve"> The estimation of efficiency for life insuran</w:t>
      </w:r>
      <w:r>
        <w:t>ce industry: The case in Taiwan,</w:t>
      </w:r>
      <w:r w:rsidR="00DB243A" w:rsidRPr="004064EB">
        <w:t xml:space="preserve"> </w:t>
      </w:r>
      <w:r w:rsidR="00DB243A" w:rsidRPr="004064EB">
        <w:rPr>
          <w:i/>
        </w:rPr>
        <w:t>Journal of Asian Economics</w:t>
      </w:r>
      <w:r w:rsidR="00805A03">
        <w:t xml:space="preserve">, </w:t>
      </w:r>
      <w:r w:rsidRPr="00396EB8">
        <w:rPr>
          <w:b/>
        </w:rPr>
        <w:t>16</w:t>
      </w:r>
      <w:r>
        <w:t xml:space="preserve">, </w:t>
      </w:r>
      <w:r w:rsidR="00396EB8">
        <w:rPr>
          <w:rFonts w:hint="eastAsia"/>
        </w:rPr>
        <w:t>(</w:t>
      </w:r>
      <w:r w:rsidRPr="004064EB">
        <w:t>2005</w:t>
      </w:r>
      <w:r w:rsidR="00396EB8">
        <w:rPr>
          <w:rFonts w:hint="eastAsia"/>
        </w:rPr>
        <w:t>)</w:t>
      </w:r>
      <w:r>
        <w:t>,</w:t>
      </w:r>
      <w:r w:rsidR="00DB243A" w:rsidRPr="004064EB">
        <w:t xml:space="preserve"> 847–860.</w:t>
      </w:r>
    </w:p>
    <w:p w14:paraId="499846AA" w14:textId="760F9D02" w:rsidR="00DB243A" w:rsidRDefault="008B4E83" w:rsidP="00FF6DC7">
      <w:pPr>
        <w:pStyle w:val="ReferencesText"/>
        <w:numPr>
          <w:ilvl w:val="0"/>
          <w:numId w:val="3"/>
        </w:numPr>
        <w:tabs>
          <w:tab w:val="num" w:pos="480"/>
        </w:tabs>
      </w:pPr>
      <w:r>
        <w:t>Hardwick, P,</w:t>
      </w:r>
      <w:r w:rsidR="00DB243A" w:rsidRPr="004064EB">
        <w:t xml:space="preserve"> Measuring cost inefficiency in</w:t>
      </w:r>
      <w:r>
        <w:t xml:space="preserve"> the UK life insurance </w:t>
      </w:r>
      <w:proofErr w:type="gramStart"/>
      <w:r>
        <w:t xml:space="preserve">industry, </w:t>
      </w:r>
      <w:r w:rsidR="00DB243A" w:rsidRPr="004064EB">
        <w:t xml:space="preserve"> </w:t>
      </w:r>
      <w:r w:rsidR="00DB243A" w:rsidRPr="004064EB">
        <w:rPr>
          <w:i/>
        </w:rPr>
        <w:t>Applied</w:t>
      </w:r>
      <w:proofErr w:type="gramEnd"/>
      <w:r w:rsidR="00DB243A" w:rsidRPr="004064EB">
        <w:rPr>
          <w:i/>
        </w:rPr>
        <w:t xml:space="preserve"> Financial Economics</w:t>
      </w:r>
      <w:r w:rsidR="00396EB8">
        <w:t xml:space="preserve">, </w:t>
      </w:r>
      <w:r w:rsidRPr="00396EB8">
        <w:rPr>
          <w:b/>
        </w:rPr>
        <w:t>7</w:t>
      </w:r>
      <w:r>
        <w:t xml:space="preserve">, </w:t>
      </w:r>
      <w:r w:rsidR="00396EB8">
        <w:rPr>
          <w:rFonts w:hint="eastAsia"/>
        </w:rPr>
        <w:t>(</w:t>
      </w:r>
      <w:r w:rsidRPr="004064EB">
        <w:t>1997</w:t>
      </w:r>
      <w:r w:rsidR="00396EB8">
        <w:rPr>
          <w:rFonts w:hint="eastAsia"/>
        </w:rPr>
        <w:t>)</w:t>
      </w:r>
      <w:r>
        <w:t>,</w:t>
      </w:r>
      <w:r w:rsidR="00DB243A" w:rsidRPr="004064EB">
        <w:t xml:space="preserve"> 37–44.</w:t>
      </w:r>
    </w:p>
    <w:p w14:paraId="3DC12BE7" w14:textId="481242DF" w:rsidR="00DB243A" w:rsidRDefault="00DB243A" w:rsidP="00FF6DC7">
      <w:pPr>
        <w:pStyle w:val="ReferencesText"/>
        <w:numPr>
          <w:ilvl w:val="0"/>
          <w:numId w:val="3"/>
        </w:numPr>
        <w:tabs>
          <w:tab w:val="num" w:pos="480"/>
        </w:tabs>
      </w:pPr>
      <w:r w:rsidRPr="004064EB">
        <w:t>Hu,</w:t>
      </w:r>
      <w:r w:rsidR="00C84BD0">
        <w:t xml:space="preserve"> J. L., S. E. Yu, and F. L. Lin,</w:t>
      </w:r>
      <w:r w:rsidRPr="004064EB">
        <w:t xml:space="preserve"> Efficiency analysis of life insurance companies in Taiwan: A two-</w:t>
      </w:r>
      <w:r w:rsidR="00C84BD0">
        <w:t>stage data envelopment analysis,</w:t>
      </w:r>
      <w:r w:rsidRPr="004064EB">
        <w:t xml:space="preserve"> </w:t>
      </w:r>
      <w:r w:rsidRPr="004064EB">
        <w:rPr>
          <w:i/>
        </w:rPr>
        <w:t>Insurance Issues and Practices</w:t>
      </w:r>
      <w:r w:rsidR="00805A03">
        <w:t xml:space="preserve">, </w:t>
      </w:r>
      <w:r w:rsidR="00C84BD0" w:rsidRPr="00396EB8">
        <w:rPr>
          <w:b/>
        </w:rPr>
        <w:t>11</w:t>
      </w:r>
      <w:r w:rsidR="00C84BD0">
        <w:t xml:space="preserve">(1), </w:t>
      </w:r>
      <w:r w:rsidR="00396EB8">
        <w:rPr>
          <w:rFonts w:hint="eastAsia"/>
        </w:rPr>
        <w:t>(</w:t>
      </w:r>
      <w:r w:rsidR="00C84BD0" w:rsidRPr="004064EB">
        <w:t>2012</w:t>
      </w:r>
      <w:r w:rsidR="00396EB8">
        <w:rPr>
          <w:rFonts w:hint="eastAsia"/>
        </w:rPr>
        <w:t>)</w:t>
      </w:r>
      <w:r w:rsidR="00C84BD0">
        <w:t>,</w:t>
      </w:r>
      <w:r w:rsidRPr="004064EB">
        <w:t xml:space="preserve"> 21–42.</w:t>
      </w:r>
    </w:p>
    <w:p w14:paraId="62E1CC21" w14:textId="3B50EAC7" w:rsidR="00DB243A" w:rsidRDefault="00C84BD0" w:rsidP="00FF6DC7">
      <w:pPr>
        <w:pStyle w:val="ReferencesText"/>
        <w:numPr>
          <w:ilvl w:val="0"/>
          <w:numId w:val="3"/>
        </w:numPr>
        <w:tabs>
          <w:tab w:val="num" w:pos="480"/>
        </w:tabs>
      </w:pPr>
      <w:r>
        <w:t>Hu, J. L., and H. E. Yu,</w:t>
      </w:r>
      <w:r w:rsidR="00DB243A" w:rsidRPr="004064EB">
        <w:t xml:space="preserve"> Risk, capital, and operating efficiency: Evidence from</w:t>
      </w:r>
      <w:r>
        <w:t xml:space="preserve"> Taiwan’s life insurance market,</w:t>
      </w:r>
      <w:r w:rsidR="00DB243A" w:rsidRPr="004064EB">
        <w:t xml:space="preserve"> </w:t>
      </w:r>
      <w:r w:rsidR="00DB243A" w:rsidRPr="004064EB">
        <w:rPr>
          <w:i/>
        </w:rPr>
        <w:t>Emerging Markets Finance and Trade</w:t>
      </w:r>
      <w:r w:rsidR="00805A03">
        <w:t xml:space="preserve">, </w:t>
      </w:r>
      <w:r w:rsidRPr="00396EB8">
        <w:rPr>
          <w:b/>
        </w:rPr>
        <w:t>51</w:t>
      </w:r>
      <w:r>
        <w:t xml:space="preserve">, </w:t>
      </w:r>
      <w:r w:rsidR="00396EB8">
        <w:rPr>
          <w:rFonts w:hint="eastAsia"/>
        </w:rPr>
        <w:t>(</w:t>
      </w:r>
      <w:r w:rsidRPr="004064EB">
        <w:t>2015</w:t>
      </w:r>
      <w:r w:rsidR="00396EB8">
        <w:rPr>
          <w:rFonts w:hint="eastAsia"/>
        </w:rPr>
        <w:t>)</w:t>
      </w:r>
      <w:r>
        <w:t>,</w:t>
      </w:r>
      <w:r w:rsidR="00DB243A" w:rsidRPr="004064EB">
        <w:t xml:space="preserve"> 121–132.</w:t>
      </w:r>
    </w:p>
    <w:p w14:paraId="1F55F006" w14:textId="128BE2A0" w:rsidR="00DB243A" w:rsidRDefault="00DB243A" w:rsidP="00FF6DC7">
      <w:pPr>
        <w:pStyle w:val="ReferencesText"/>
        <w:numPr>
          <w:ilvl w:val="0"/>
          <w:numId w:val="3"/>
        </w:numPr>
        <w:tabs>
          <w:tab w:val="num" w:pos="480"/>
        </w:tabs>
      </w:pPr>
      <w:r w:rsidRPr="004064EB">
        <w:lastRenderedPageBreak/>
        <w:t>Huang, L.</w:t>
      </w:r>
      <w:r w:rsidR="00C84BD0">
        <w:t xml:space="preserve"> Y., T. Y. Hsiao, and G. C. Lai,</w:t>
      </w:r>
      <w:r w:rsidRPr="004064EB">
        <w:t xml:space="preserve"> Does corporate governance and ownership structure influence performance? Evidence from T</w:t>
      </w:r>
      <w:r w:rsidR="00C84BD0">
        <w:t xml:space="preserve">aiwan life insurance companies., </w:t>
      </w:r>
      <w:r w:rsidRPr="004064EB">
        <w:rPr>
          <w:i/>
        </w:rPr>
        <w:t>Journal of Insurance Issues</w:t>
      </w:r>
      <w:r w:rsidR="00396EB8">
        <w:t xml:space="preserve">, </w:t>
      </w:r>
      <w:r w:rsidR="00C84BD0" w:rsidRPr="00396EB8">
        <w:rPr>
          <w:b/>
        </w:rPr>
        <w:t>30</w:t>
      </w:r>
      <w:r w:rsidR="00C84BD0">
        <w:t xml:space="preserve">(2), </w:t>
      </w:r>
      <w:r w:rsidR="00396EB8">
        <w:rPr>
          <w:rFonts w:hint="eastAsia"/>
        </w:rPr>
        <w:t>(</w:t>
      </w:r>
      <w:r w:rsidR="00C84BD0" w:rsidRPr="004064EB">
        <w:t>2007</w:t>
      </w:r>
      <w:r w:rsidR="00396EB8">
        <w:rPr>
          <w:rFonts w:hint="eastAsia"/>
        </w:rPr>
        <w:t>)</w:t>
      </w:r>
      <w:r w:rsidR="00C84BD0">
        <w:t>,</w:t>
      </w:r>
      <w:r w:rsidRPr="004064EB">
        <w:t xml:space="preserve"> 123–151.</w:t>
      </w:r>
    </w:p>
    <w:p w14:paraId="0F6D5B4B" w14:textId="18891524" w:rsidR="00DB243A" w:rsidRDefault="00DB243A" w:rsidP="00FF6DC7">
      <w:pPr>
        <w:pStyle w:val="ReferencesText"/>
        <w:numPr>
          <w:ilvl w:val="0"/>
          <w:numId w:val="3"/>
        </w:numPr>
        <w:tabs>
          <w:tab w:val="num" w:pos="480"/>
        </w:tabs>
      </w:pPr>
      <w:r w:rsidRPr="004064EB">
        <w:t>Huang, T. H., T. L. Kao</w:t>
      </w:r>
      <w:r w:rsidR="00836AF3">
        <w:t>, L. C. Chiang, and J. H. Liang,</w:t>
      </w:r>
      <w:r w:rsidRPr="004064EB">
        <w:t xml:space="preserve"> </w:t>
      </w:r>
      <w:proofErr w:type="gramStart"/>
      <w:r w:rsidRPr="004064EB">
        <w:t>A</w:t>
      </w:r>
      <w:proofErr w:type="gramEnd"/>
      <w:r w:rsidRPr="004064EB">
        <w:t xml:space="preserve"> study of technical efficiency and productivity change on Taiwan’s life insurance co</w:t>
      </w:r>
      <w:r w:rsidR="00836AF3">
        <w:t>mpanies with quasi-fixed inputs,</w:t>
      </w:r>
      <w:r w:rsidRPr="004064EB">
        <w:t xml:space="preserve"> </w:t>
      </w:r>
      <w:r w:rsidRPr="004064EB">
        <w:rPr>
          <w:i/>
        </w:rPr>
        <w:t>Soochow Journal of Economics and Business</w:t>
      </w:r>
      <w:r w:rsidR="00396EB8">
        <w:t xml:space="preserve">, </w:t>
      </w:r>
      <w:r w:rsidR="00836AF3" w:rsidRPr="00396EB8">
        <w:rPr>
          <w:b/>
        </w:rPr>
        <w:t>68</w:t>
      </w:r>
      <w:r w:rsidR="00836AF3">
        <w:t xml:space="preserve">, </w:t>
      </w:r>
      <w:r w:rsidR="00396EB8">
        <w:rPr>
          <w:rFonts w:hint="eastAsia"/>
        </w:rPr>
        <w:t>(</w:t>
      </w:r>
      <w:r w:rsidR="00836AF3" w:rsidRPr="004064EB">
        <w:t>2010</w:t>
      </w:r>
      <w:r w:rsidR="00396EB8">
        <w:rPr>
          <w:rFonts w:hint="eastAsia"/>
        </w:rPr>
        <w:t>)</w:t>
      </w:r>
      <w:r w:rsidR="00836AF3">
        <w:t>,</w:t>
      </w:r>
      <w:r w:rsidRPr="004064EB">
        <w:t xml:space="preserve"> 1–38.</w:t>
      </w:r>
    </w:p>
    <w:p w14:paraId="4366811E" w14:textId="147DCEC2" w:rsidR="00DB243A" w:rsidRDefault="00836AF3" w:rsidP="00FF6DC7">
      <w:pPr>
        <w:pStyle w:val="ReferencesText"/>
        <w:numPr>
          <w:ilvl w:val="0"/>
          <w:numId w:val="3"/>
        </w:numPr>
        <w:tabs>
          <w:tab w:val="num" w:pos="480"/>
        </w:tabs>
      </w:pPr>
      <w:r>
        <w:t xml:space="preserve">Huang, W., and M. Eling, </w:t>
      </w:r>
      <w:r w:rsidR="00DB243A" w:rsidRPr="004064EB">
        <w:t>An efficiency comparison of the non-life insurance</w:t>
      </w:r>
      <w:r>
        <w:t xml:space="preserve"> industry in the BRIC countries,</w:t>
      </w:r>
      <w:r w:rsidR="00DB243A" w:rsidRPr="004064EB">
        <w:t xml:space="preserve"> </w:t>
      </w:r>
      <w:r w:rsidR="00DB243A" w:rsidRPr="004064EB">
        <w:rPr>
          <w:i/>
        </w:rPr>
        <w:t>European Journal of Operational Research</w:t>
      </w:r>
      <w:r w:rsidR="00805A03">
        <w:t>,</w:t>
      </w:r>
      <w:r w:rsidR="00396EB8">
        <w:rPr>
          <w:rFonts w:hint="eastAsia"/>
        </w:rPr>
        <w:t xml:space="preserve"> </w:t>
      </w:r>
      <w:r w:rsidRPr="00396EB8">
        <w:rPr>
          <w:b/>
        </w:rPr>
        <w:t>226</w:t>
      </w:r>
      <w:r>
        <w:t xml:space="preserve">, </w:t>
      </w:r>
      <w:r w:rsidR="00396EB8">
        <w:rPr>
          <w:rFonts w:hint="eastAsia"/>
        </w:rPr>
        <w:t>(</w:t>
      </w:r>
      <w:r w:rsidRPr="004064EB">
        <w:t>2013</w:t>
      </w:r>
      <w:r w:rsidR="00396EB8">
        <w:rPr>
          <w:rFonts w:hint="eastAsia"/>
        </w:rPr>
        <w:t>)</w:t>
      </w:r>
      <w:r>
        <w:t xml:space="preserve">, </w:t>
      </w:r>
      <w:r w:rsidR="00DB243A" w:rsidRPr="004064EB">
        <w:t>577–591.</w:t>
      </w:r>
    </w:p>
    <w:p w14:paraId="5834E13B" w14:textId="09AA6E79" w:rsidR="00DB243A" w:rsidRDefault="00836AF3" w:rsidP="00FF6DC7">
      <w:pPr>
        <w:pStyle w:val="ReferencesText"/>
        <w:numPr>
          <w:ilvl w:val="0"/>
          <w:numId w:val="3"/>
        </w:numPr>
        <w:tabs>
          <w:tab w:val="num" w:pos="480"/>
        </w:tabs>
      </w:pPr>
      <w:r>
        <w:t>Hwang, S. N., and K. H. Wu,</w:t>
      </w:r>
      <w:r w:rsidR="00DB243A" w:rsidRPr="004064EB">
        <w:t xml:space="preserve"> Measuring the operational performance of li</w:t>
      </w:r>
      <w:r>
        <w:t>fe insurance industry in Taiwan,</w:t>
      </w:r>
      <w:r w:rsidR="00DB243A" w:rsidRPr="004064EB">
        <w:t xml:space="preserve"> </w:t>
      </w:r>
      <w:r w:rsidR="00DB243A" w:rsidRPr="004064EB">
        <w:rPr>
          <w:i/>
        </w:rPr>
        <w:t>Journal of Management &amp; Systems</w:t>
      </w:r>
      <w:r w:rsidR="00805A03">
        <w:t xml:space="preserve">, </w:t>
      </w:r>
      <w:r w:rsidRPr="00396EB8">
        <w:rPr>
          <w:b/>
        </w:rPr>
        <w:t>4</w:t>
      </w:r>
      <w:r>
        <w:t xml:space="preserve">, </w:t>
      </w:r>
      <w:r w:rsidR="00396EB8">
        <w:rPr>
          <w:rFonts w:hint="eastAsia"/>
        </w:rPr>
        <w:t>(</w:t>
      </w:r>
      <w:r w:rsidRPr="004064EB">
        <w:t>2001</w:t>
      </w:r>
      <w:r w:rsidR="00396EB8">
        <w:rPr>
          <w:rFonts w:hint="eastAsia"/>
        </w:rPr>
        <w:t>)</w:t>
      </w:r>
      <w:r>
        <w:t>,</w:t>
      </w:r>
      <w:r w:rsidR="00DB243A" w:rsidRPr="004064EB">
        <w:t xml:space="preserve"> 401–419.</w:t>
      </w:r>
    </w:p>
    <w:p w14:paraId="680AF3CB" w14:textId="55005303" w:rsidR="00DB243A" w:rsidRDefault="00836AF3" w:rsidP="00FF6DC7">
      <w:pPr>
        <w:pStyle w:val="ReferencesText"/>
        <w:numPr>
          <w:ilvl w:val="0"/>
          <w:numId w:val="3"/>
        </w:numPr>
        <w:tabs>
          <w:tab w:val="num" w:pos="480"/>
        </w:tabs>
      </w:pPr>
      <w:r>
        <w:t xml:space="preserve">Hwang, S. N., and T. L. Kao, </w:t>
      </w:r>
      <w:r w:rsidR="00DB243A" w:rsidRPr="004064EB">
        <w:t>Measuring managerial efficiency in non-life insurance companies: An application of two-</w:t>
      </w:r>
      <w:r>
        <w:t>stage data envelopment analysis,</w:t>
      </w:r>
      <w:r w:rsidR="00DB243A" w:rsidRPr="004064EB">
        <w:t xml:space="preserve"> </w:t>
      </w:r>
      <w:r w:rsidR="00DB243A" w:rsidRPr="004064EB">
        <w:rPr>
          <w:i/>
        </w:rPr>
        <w:t>International Journal of Management</w:t>
      </w:r>
      <w:r w:rsidR="00396EB8">
        <w:t xml:space="preserve">, </w:t>
      </w:r>
      <w:r w:rsidRPr="00396EB8">
        <w:rPr>
          <w:b/>
        </w:rPr>
        <w:t>23</w:t>
      </w:r>
      <w:r>
        <w:t xml:space="preserve">, </w:t>
      </w:r>
      <w:r w:rsidR="00396EB8">
        <w:rPr>
          <w:rFonts w:hint="eastAsia"/>
        </w:rPr>
        <w:t>(</w:t>
      </w:r>
      <w:r w:rsidRPr="004064EB">
        <w:t>2006</w:t>
      </w:r>
      <w:r w:rsidR="00396EB8">
        <w:rPr>
          <w:rFonts w:hint="eastAsia"/>
        </w:rPr>
        <w:t>)</w:t>
      </w:r>
      <w:r>
        <w:t>,</w:t>
      </w:r>
      <w:r w:rsidR="00DB243A" w:rsidRPr="004064EB">
        <w:t xml:space="preserve"> 699–720.</w:t>
      </w:r>
    </w:p>
    <w:p w14:paraId="5C197338" w14:textId="71252B1B" w:rsidR="00DB243A" w:rsidRDefault="00836AF3" w:rsidP="00FF6DC7">
      <w:pPr>
        <w:pStyle w:val="ReferencesText"/>
        <w:numPr>
          <w:ilvl w:val="0"/>
          <w:numId w:val="3"/>
        </w:numPr>
        <w:tabs>
          <w:tab w:val="num" w:pos="480"/>
        </w:tabs>
      </w:pPr>
      <w:r>
        <w:t>Jeng, V., and G. C. Lai,</w:t>
      </w:r>
      <w:r w:rsidR="00DB243A" w:rsidRPr="004064EB">
        <w:t xml:space="preserve"> The impact of deregulation on efficiency: An analysis of life insurance indus</w:t>
      </w:r>
      <w:r>
        <w:t>try in Taiwan from 1981 to 2004,</w:t>
      </w:r>
      <w:r w:rsidR="00DB243A" w:rsidRPr="004064EB">
        <w:t xml:space="preserve"> </w:t>
      </w:r>
      <w:r w:rsidR="00DB243A" w:rsidRPr="004064EB">
        <w:rPr>
          <w:i/>
        </w:rPr>
        <w:t>Risk Management and Insurance Review</w:t>
      </w:r>
      <w:r w:rsidR="00805A03">
        <w:t xml:space="preserve">, </w:t>
      </w:r>
      <w:r w:rsidRPr="00396EB8">
        <w:rPr>
          <w:b/>
        </w:rPr>
        <w:t>11</w:t>
      </w:r>
      <w:r>
        <w:t xml:space="preserve">, </w:t>
      </w:r>
      <w:r w:rsidR="00396EB8">
        <w:rPr>
          <w:rFonts w:hint="eastAsia"/>
        </w:rPr>
        <w:t>(</w:t>
      </w:r>
      <w:r w:rsidRPr="004064EB">
        <w:t>2008</w:t>
      </w:r>
      <w:r w:rsidR="00396EB8">
        <w:rPr>
          <w:rFonts w:hint="eastAsia"/>
        </w:rPr>
        <w:t>)</w:t>
      </w:r>
      <w:r>
        <w:t>,</w:t>
      </w:r>
      <w:r w:rsidR="00DB243A" w:rsidRPr="004064EB">
        <w:t xml:space="preserve"> 349–375.</w:t>
      </w:r>
    </w:p>
    <w:p w14:paraId="55488AEB" w14:textId="4CB34689" w:rsidR="00DB243A" w:rsidRDefault="00DB243A" w:rsidP="00FF6DC7">
      <w:pPr>
        <w:pStyle w:val="ReferencesText"/>
        <w:numPr>
          <w:ilvl w:val="0"/>
          <w:numId w:val="3"/>
        </w:numPr>
        <w:tabs>
          <w:tab w:val="num" w:pos="480"/>
        </w:tabs>
      </w:pPr>
      <w:r>
        <w:rPr>
          <w:rFonts w:hint="eastAsia"/>
        </w:rPr>
        <w:t xml:space="preserve">Kaffash, S., R. Azizi, Y. </w:t>
      </w:r>
      <w:r w:rsidR="00103CA4">
        <w:t>Huang, and J. Zhu,</w:t>
      </w:r>
      <w:r>
        <w:t xml:space="preserve"> A survey of data envelopment analysis applications in the insurance industry 1993-2018, </w:t>
      </w:r>
      <w:r w:rsidRPr="004064EB">
        <w:rPr>
          <w:i/>
        </w:rPr>
        <w:t>European Journal of Operational Research</w:t>
      </w:r>
      <w:r w:rsidR="00103CA4">
        <w:t>, 2019.</w:t>
      </w:r>
    </w:p>
    <w:p w14:paraId="2CB0BD77" w14:textId="7094020C" w:rsidR="00F4443C" w:rsidRDefault="00F4443C" w:rsidP="00FF6DC7">
      <w:pPr>
        <w:pStyle w:val="ReferencesText"/>
        <w:numPr>
          <w:ilvl w:val="0"/>
          <w:numId w:val="3"/>
        </w:numPr>
        <w:tabs>
          <w:tab w:val="num" w:pos="480"/>
        </w:tabs>
      </w:pPr>
      <w:r w:rsidRPr="004064EB">
        <w:t xml:space="preserve">Kao, C., and S. N. </w:t>
      </w:r>
      <w:proofErr w:type="gramStart"/>
      <w:r w:rsidRPr="004064EB">
        <w:t>Hwang</w:t>
      </w:r>
      <w:r w:rsidR="00103CA4">
        <w:t xml:space="preserve">, </w:t>
      </w:r>
      <w:r w:rsidRPr="004064EB">
        <w:t xml:space="preserve"> Efficiency</w:t>
      </w:r>
      <w:proofErr w:type="gramEnd"/>
      <w:r w:rsidRPr="004064EB">
        <w:t xml:space="preserve"> decomposition in two-stage data envelopment analysis: An application to non-life insurance companies in Taiwan</w:t>
      </w:r>
      <w:r w:rsidR="00103CA4">
        <w:t>,</w:t>
      </w:r>
      <w:r w:rsidRPr="004064EB">
        <w:t xml:space="preserve"> </w:t>
      </w:r>
      <w:r w:rsidRPr="004064EB">
        <w:rPr>
          <w:i/>
        </w:rPr>
        <w:t>European Journal of Operational Research</w:t>
      </w:r>
      <w:r w:rsidR="00805A03">
        <w:t xml:space="preserve">, </w:t>
      </w:r>
      <w:r w:rsidRPr="008475E8">
        <w:rPr>
          <w:b/>
        </w:rPr>
        <w:t>185</w:t>
      </w:r>
      <w:r w:rsidR="00103CA4">
        <w:t xml:space="preserve">, </w:t>
      </w:r>
      <w:r w:rsidR="008475E8">
        <w:rPr>
          <w:rFonts w:hint="eastAsia"/>
        </w:rPr>
        <w:t>(</w:t>
      </w:r>
      <w:r w:rsidR="00103CA4" w:rsidRPr="004064EB">
        <w:t>2008</w:t>
      </w:r>
      <w:r w:rsidR="008475E8">
        <w:rPr>
          <w:rFonts w:hint="eastAsia"/>
        </w:rPr>
        <w:t>)</w:t>
      </w:r>
      <w:r w:rsidR="00103CA4">
        <w:t>,</w:t>
      </w:r>
      <w:r w:rsidRPr="004064EB">
        <w:t xml:space="preserve"> 418–429.</w:t>
      </w:r>
    </w:p>
    <w:p w14:paraId="706BC014" w14:textId="29670A92" w:rsidR="00F4443C" w:rsidRDefault="00F4443C" w:rsidP="00FF6DC7">
      <w:pPr>
        <w:pStyle w:val="ReferencesText"/>
        <w:numPr>
          <w:ilvl w:val="0"/>
          <w:numId w:val="3"/>
        </w:numPr>
        <w:tabs>
          <w:tab w:val="num" w:pos="480"/>
        </w:tabs>
      </w:pPr>
      <w:r w:rsidRPr="004064EB">
        <w:t>Lee, C. I., M. K. Shyu, and Y. H. Chiu</w:t>
      </w:r>
      <w:r w:rsidR="00103CA4">
        <w:t>,</w:t>
      </w:r>
      <w:r w:rsidRPr="004064EB">
        <w:t xml:space="preserve"> Evaluating the operational efficiency of life insurance companies in Taiwan-An application of the dynamic network SBM model</w:t>
      </w:r>
      <w:r w:rsidR="00103CA4">
        <w:t>,</w:t>
      </w:r>
      <w:r w:rsidRPr="004064EB">
        <w:t xml:space="preserve"> </w:t>
      </w:r>
      <w:r w:rsidRPr="004064EB">
        <w:rPr>
          <w:i/>
        </w:rPr>
        <w:t>Applied Economics and Finance</w:t>
      </w:r>
      <w:r w:rsidR="00805A03">
        <w:t xml:space="preserve">, </w:t>
      </w:r>
      <w:r w:rsidRPr="008475E8">
        <w:rPr>
          <w:b/>
        </w:rPr>
        <w:t>4</w:t>
      </w:r>
      <w:r w:rsidR="00103CA4">
        <w:t xml:space="preserve">, </w:t>
      </w:r>
      <w:r w:rsidR="008475E8">
        <w:rPr>
          <w:rFonts w:hint="eastAsia"/>
        </w:rPr>
        <w:t>(</w:t>
      </w:r>
      <w:r w:rsidR="00103CA4" w:rsidRPr="004064EB">
        <w:t>2017</w:t>
      </w:r>
      <w:r w:rsidR="008475E8">
        <w:rPr>
          <w:rFonts w:hint="eastAsia"/>
        </w:rPr>
        <w:t>)</w:t>
      </w:r>
      <w:r w:rsidR="00103CA4">
        <w:t>,</w:t>
      </w:r>
      <w:r w:rsidRPr="004064EB">
        <w:t xml:space="preserve"> 18–33.</w:t>
      </w:r>
    </w:p>
    <w:p w14:paraId="12A0F7EF" w14:textId="1E336E3A" w:rsidR="003A607B" w:rsidRDefault="00F4443C" w:rsidP="00FF6DC7">
      <w:pPr>
        <w:pStyle w:val="ReferencesText"/>
        <w:numPr>
          <w:ilvl w:val="0"/>
          <w:numId w:val="3"/>
        </w:numPr>
        <w:tabs>
          <w:tab w:val="num" w:pos="480"/>
        </w:tabs>
      </w:pPr>
      <w:r w:rsidRPr="004064EB">
        <w:t>Leverty, J. T., and M. F. Grace</w:t>
      </w:r>
      <w:r w:rsidR="003A607B">
        <w:t>,</w:t>
      </w:r>
      <w:r w:rsidRPr="004064EB">
        <w:t xml:space="preserve"> The robustness of output measures in property-liability insurance efficiency studies</w:t>
      </w:r>
      <w:r w:rsidR="003A607B">
        <w:t>,</w:t>
      </w:r>
      <w:r w:rsidRPr="004064EB">
        <w:t xml:space="preserve"> </w:t>
      </w:r>
      <w:r w:rsidRPr="004064EB">
        <w:rPr>
          <w:i/>
        </w:rPr>
        <w:t>Journal of Banking and Finance</w:t>
      </w:r>
      <w:r w:rsidR="001B392B">
        <w:t xml:space="preserve">, </w:t>
      </w:r>
      <w:r w:rsidRPr="001B392B">
        <w:rPr>
          <w:b/>
        </w:rPr>
        <w:t>34</w:t>
      </w:r>
      <w:r w:rsidR="003A607B">
        <w:t xml:space="preserve">, </w:t>
      </w:r>
      <w:r w:rsidR="001B392B">
        <w:rPr>
          <w:rFonts w:hint="eastAsia"/>
        </w:rPr>
        <w:t>(</w:t>
      </w:r>
      <w:r w:rsidR="003A607B" w:rsidRPr="004064EB">
        <w:t>2010</w:t>
      </w:r>
      <w:r w:rsidR="001B392B">
        <w:rPr>
          <w:rFonts w:hint="eastAsia"/>
        </w:rPr>
        <w:t>)</w:t>
      </w:r>
      <w:r w:rsidR="003A607B">
        <w:t>,</w:t>
      </w:r>
      <w:r w:rsidRPr="004064EB">
        <w:t xml:space="preserve"> 1510–1524. </w:t>
      </w:r>
    </w:p>
    <w:p w14:paraId="37196387" w14:textId="4E06C827" w:rsidR="00F4443C" w:rsidRDefault="003A607B" w:rsidP="00FF6DC7">
      <w:pPr>
        <w:pStyle w:val="ReferencesText"/>
        <w:numPr>
          <w:ilvl w:val="0"/>
          <w:numId w:val="3"/>
        </w:numPr>
        <w:tabs>
          <w:tab w:val="num" w:pos="480"/>
        </w:tabs>
      </w:pPr>
      <w:r>
        <w:t>Lee, Y. C,</w:t>
      </w:r>
      <w:r w:rsidR="00F4443C" w:rsidRPr="004064EB">
        <w:t xml:space="preserve"> Relationship between profitability, market structure, and efficiency in Taiwan life insurance industry</w:t>
      </w:r>
      <w:r>
        <w:t>,</w:t>
      </w:r>
      <w:r w:rsidR="00F4443C" w:rsidRPr="004064EB">
        <w:t xml:space="preserve"> </w:t>
      </w:r>
      <w:r w:rsidR="00F4443C" w:rsidRPr="004064EB">
        <w:rPr>
          <w:i/>
        </w:rPr>
        <w:t>Insurance Monograph</w:t>
      </w:r>
      <w:r w:rsidR="001B392B">
        <w:t xml:space="preserve">, </w:t>
      </w:r>
      <w:r w:rsidRPr="001B392B">
        <w:rPr>
          <w:b/>
        </w:rPr>
        <w:t>65</w:t>
      </w:r>
      <w:r>
        <w:t xml:space="preserve">, </w:t>
      </w:r>
      <w:r w:rsidR="001B392B">
        <w:rPr>
          <w:rFonts w:hint="eastAsia"/>
        </w:rPr>
        <w:t>(</w:t>
      </w:r>
      <w:r w:rsidRPr="004064EB">
        <w:t>2001</w:t>
      </w:r>
      <w:r w:rsidR="001B392B">
        <w:rPr>
          <w:rFonts w:hint="eastAsia"/>
        </w:rPr>
        <w:t>)</w:t>
      </w:r>
      <w:r>
        <w:t xml:space="preserve">, </w:t>
      </w:r>
      <w:r w:rsidR="00F4443C" w:rsidRPr="004064EB">
        <w:t>30–63.</w:t>
      </w:r>
    </w:p>
    <w:p w14:paraId="38929A15" w14:textId="17C9E606" w:rsidR="00F4443C" w:rsidRDefault="003A607B" w:rsidP="00FF6DC7">
      <w:pPr>
        <w:pStyle w:val="ReferencesText"/>
        <w:numPr>
          <w:ilvl w:val="0"/>
          <w:numId w:val="3"/>
        </w:numPr>
        <w:tabs>
          <w:tab w:val="num" w:pos="480"/>
        </w:tabs>
      </w:pPr>
      <w:r>
        <w:t>Liu, C. C,</w:t>
      </w:r>
      <w:r w:rsidR="00F4443C" w:rsidRPr="004064EB">
        <w:t xml:space="preserve"> Assessment on the operational efficiency of insurance companies: A comparative analysis between</w:t>
      </w:r>
      <w:r>
        <w:t xml:space="preserve"> domestic and foreign companies,</w:t>
      </w:r>
      <w:r w:rsidR="00F4443C" w:rsidRPr="004064EB">
        <w:t xml:space="preserve"> </w:t>
      </w:r>
      <w:r w:rsidR="00F4443C" w:rsidRPr="004064EB">
        <w:rPr>
          <w:i/>
        </w:rPr>
        <w:t>Insurance Monograph</w:t>
      </w:r>
      <w:r w:rsidR="00805A03">
        <w:t xml:space="preserve">, </w:t>
      </w:r>
      <w:r w:rsidRPr="001B392B">
        <w:rPr>
          <w:b/>
        </w:rPr>
        <w:t>37</w:t>
      </w:r>
      <w:r>
        <w:t xml:space="preserve">, </w:t>
      </w:r>
      <w:r w:rsidR="001B392B">
        <w:rPr>
          <w:rFonts w:hint="eastAsia"/>
        </w:rPr>
        <w:t>(</w:t>
      </w:r>
      <w:r w:rsidRPr="004064EB">
        <w:t>1994</w:t>
      </w:r>
      <w:r w:rsidR="001B392B">
        <w:rPr>
          <w:rFonts w:hint="eastAsia"/>
        </w:rPr>
        <w:t>)</w:t>
      </w:r>
      <w:r>
        <w:t>,</w:t>
      </w:r>
      <w:r w:rsidR="00F4443C" w:rsidRPr="004064EB">
        <w:t xml:space="preserve"> 114–126.</w:t>
      </w:r>
    </w:p>
    <w:p w14:paraId="50F76B01" w14:textId="2F1943EA" w:rsidR="00F4443C" w:rsidRDefault="002A4ED9" w:rsidP="00FF6DC7">
      <w:pPr>
        <w:pStyle w:val="ReferencesText"/>
        <w:numPr>
          <w:ilvl w:val="0"/>
          <w:numId w:val="3"/>
        </w:numPr>
        <w:tabs>
          <w:tab w:val="num" w:pos="480"/>
        </w:tabs>
      </w:pPr>
      <w:r>
        <w:t>Liu, C. C., and J. P. Lee,</w:t>
      </w:r>
      <w:r w:rsidR="00F4443C" w:rsidRPr="004064EB">
        <w:t xml:space="preserve"> Economies of scale and the operational efficiency of life insurance companies: A discussion of data envelopment analysis, </w:t>
      </w:r>
      <w:r w:rsidR="00F4443C" w:rsidRPr="004064EB">
        <w:rPr>
          <w:i/>
        </w:rPr>
        <w:t>Life Insurance Quarterly</w:t>
      </w:r>
      <w:r w:rsidR="001B392B">
        <w:t xml:space="preserve">, </w:t>
      </w:r>
      <w:r w:rsidR="003A607B" w:rsidRPr="001B392B">
        <w:rPr>
          <w:b/>
        </w:rPr>
        <w:t>95</w:t>
      </w:r>
      <w:r w:rsidR="003A607B">
        <w:t xml:space="preserve">, </w:t>
      </w:r>
      <w:r w:rsidR="001B392B">
        <w:rPr>
          <w:rFonts w:hint="eastAsia"/>
        </w:rPr>
        <w:t>(</w:t>
      </w:r>
      <w:r w:rsidR="003A607B" w:rsidRPr="004064EB">
        <w:t>1995</w:t>
      </w:r>
      <w:r w:rsidR="001B392B">
        <w:rPr>
          <w:rFonts w:hint="eastAsia"/>
        </w:rPr>
        <w:t>)</w:t>
      </w:r>
      <w:r w:rsidR="003A607B">
        <w:t>,</w:t>
      </w:r>
      <w:r w:rsidR="00F4443C" w:rsidRPr="004064EB">
        <w:t xml:space="preserve"> 19–28.</w:t>
      </w:r>
    </w:p>
    <w:p w14:paraId="21F73C6D" w14:textId="1933C64E" w:rsidR="00F4443C" w:rsidRDefault="00F4443C" w:rsidP="00FF6DC7">
      <w:pPr>
        <w:pStyle w:val="ReferencesText"/>
        <w:numPr>
          <w:ilvl w:val="0"/>
          <w:numId w:val="3"/>
        </w:numPr>
        <w:tabs>
          <w:tab w:val="num" w:pos="480"/>
        </w:tabs>
      </w:pPr>
      <w:r w:rsidRPr="004064EB">
        <w:t>Lu</w:t>
      </w:r>
      <w:r w:rsidR="00B373C1">
        <w:t>, Y. H., C. Wang, and C. H. Lee,</w:t>
      </w:r>
      <w:r w:rsidRPr="004064EB">
        <w:t xml:space="preserve"> The difference in the technology efficiency of Taiwan’s life insurance companies: The applicatio</w:t>
      </w:r>
      <w:r w:rsidR="00B373C1">
        <w:t>n of the metafrontier DEA model,</w:t>
      </w:r>
      <w:r w:rsidRPr="004064EB">
        <w:t xml:space="preserve"> </w:t>
      </w:r>
      <w:r w:rsidRPr="004064EB">
        <w:rPr>
          <w:i/>
        </w:rPr>
        <w:t>Journal of Economics and Management</w:t>
      </w:r>
      <w:r w:rsidR="001B392B">
        <w:t xml:space="preserve">, </w:t>
      </w:r>
      <w:r w:rsidR="00B373C1" w:rsidRPr="001B392B">
        <w:rPr>
          <w:b/>
        </w:rPr>
        <w:t>7</w:t>
      </w:r>
      <w:r w:rsidR="00B373C1">
        <w:t xml:space="preserve">(1), </w:t>
      </w:r>
      <w:r w:rsidR="001B392B">
        <w:rPr>
          <w:rFonts w:hint="eastAsia"/>
        </w:rPr>
        <w:t>(</w:t>
      </w:r>
      <w:r w:rsidR="00B373C1" w:rsidRPr="004064EB">
        <w:t>2011</w:t>
      </w:r>
      <w:r w:rsidR="001B392B">
        <w:rPr>
          <w:rFonts w:hint="eastAsia"/>
        </w:rPr>
        <w:t>)</w:t>
      </w:r>
      <w:r w:rsidR="00B373C1">
        <w:t>,</w:t>
      </w:r>
      <w:r w:rsidRPr="004064EB">
        <w:t xml:space="preserve"> 73–100.</w:t>
      </w:r>
    </w:p>
    <w:p w14:paraId="27D27FEE" w14:textId="781933EE" w:rsidR="00F4443C" w:rsidRDefault="00F4443C" w:rsidP="00FF6DC7">
      <w:pPr>
        <w:pStyle w:val="ReferencesText"/>
        <w:numPr>
          <w:ilvl w:val="0"/>
          <w:numId w:val="3"/>
        </w:numPr>
        <w:tabs>
          <w:tab w:val="num" w:pos="480"/>
        </w:tabs>
      </w:pPr>
      <w:r w:rsidRPr="004064EB">
        <w:t>Lu, W. M., W. K. Wang, and W. L. Kweh</w:t>
      </w:r>
      <w:r w:rsidR="00B373C1">
        <w:t>,</w:t>
      </w:r>
      <w:r w:rsidRPr="004064EB">
        <w:t xml:space="preserve"> Intellectual capital and performance in the Chinese life insurance industry</w:t>
      </w:r>
      <w:r w:rsidR="00B373C1">
        <w:t>,</w:t>
      </w:r>
      <w:r w:rsidRPr="004064EB">
        <w:t xml:space="preserve"> </w:t>
      </w:r>
      <w:r w:rsidRPr="004064EB">
        <w:rPr>
          <w:i/>
        </w:rPr>
        <w:t>Omega</w:t>
      </w:r>
      <w:r w:rsidR="00805A03">
        <w:t xml:space="preserve">, </w:t>
      </w:r>
      <w:r w:rsidRPr="001B392B">
        <w:rPr>
          <w:b/>
        </w:rPr>
        <w:t>42</w:t>
      </w:r>
      <w:r w:rsidR="00B373C1">
        <w:t xml:space="preserve">, </w:t>
      </w:r>
      <w:r w:rsidR="001B392B">
        <w:rPr>
          <w:rFonts w:hint="eastAsia"/>
        </w:rPr>
        <w:t>(</w:t>
      </w:r>
      <w:r w:rsidR="00B373C1" w:rsidRPr="004064EB">
        <w:t>2014</w:t>
      </w:r>
      <w:r w:rsidR="001B392B">
        <w:rPr>
          <w:rFonts w:hint="eastAsia"/>
        </w:rPr>
        <w:t>)</w:t>
      </w:r>
      <w:r w:rsidR="00B373C1">
        <w:t>,</w:t>
      </w:r>
      <w:r w:rsidRPr="004064EB">
        <w:t xml:space="preserve"> 65–74.</w:t>
      </w:r>
    </w:p>
    <w:p w14:paraId="2C7D995F" w14:textId="61D5176D" w:rsidR="00F4443C" w:rsidRDefault="00F4443C" w:rsidP="00FF6DC7">
      <w:pPr>
        <w:pStyle w:val="ReferencesText"/>
        <w:numPr>
          <w:ilvl w:val="0"/>
          <w:numId w:val="3"/>
        </w:numPr>
        <w:tabs>
          <w:tab w:val="num" w:pos="480"/>
        </w:tabs>
      </w:pPr>
      <w:r w:rsidRPr="004064EB">
        <w:t>Peng, J</w:t>
      </w:r>
      <w:r w:rsidR="00B373C1">
        <w:t>. L., L. R. Chen, and W. P. Liu,</w:t>
      </w:r>
      <w:r w:rsidRPr="004064EB">
        <w:t xml:space="preserve"> The bancassurance cooperation strategy and efficie</w:t>
      </w:r>
      <w:r w:rsidR="00B373C1">
        <w:t>ncy of life insurance companies,</w:t>
      </w:r>
      <w:r w:rsidRPr="004064EB">
        <w:t xml:space="preserve"> </w:t>
      </w:r>
      <w:r w:rsidRPr="004064EB">
        <w:rPr>
          <w:i/>
        </w:rPr>
        <w:t>Academia Economic Papers</w:t>
      </w:r>
      <w:r w:rsidR="00805A03">
        <w:t>,</w:t>
      </w:r>
      <w:r w:rsidR="00805A03" w:rsidRPr="001B392B">
        <w:rPr>
          <w:b/>
        </w:rPr>
        <w:t xml:space="preserve"> </w:t>
      </w:r>
      <w:r w:rsidR="00B373C1" w:rsidRPr="001B392B">
        <w:rPr>
          <w:b/>
        </w:rPr>
        <w:t>42</w:t>
      </w:r>
      <w:r w:rsidR="00B373C1">
        <w:t xml:space="preserve">(2), </w:t>
      </w:r>
      <w:r w:rsidR="001B392B">
        <w:rPr>
          <w:rFonts w:hint="eastAsia"/>
        </w:rPr>
        <w:t>(</w:t>
      </w:r>
      <w:r w:rsidR="00B373C1" w:rsidRPr="004064EB">
        <w:t>2014</w:t>
      </w:r>
      <w:r w:rsidR="001B392B">
        <w:rPr>
          <w:rFonts w:hint="eastAsia"/>
        </w:rPr>
        <w:t>)</w:t>
      </w:r>
      <w:r w:rsidR="00B373C1">
        <w:t>,</w:t>
      </w:r>
      <w:r w:rsidRPr="004064EB">
        <w:t xml:space="preserve"> 235–269.</w:t>
      </w:r>
    </w:p>
    <w:p w14:paraId="437BDBBE" w14:textId="0FF199EE" w:rsidR="00F4443C" w:rsidRDefault="00B373C1" w:rsidP="00FF6DC7">
      <w:pPr>
        <w:pStyle w:val="ReferencesText"/>
        <w:numPr>
          <w:ilvl w:val="0"/>
          <w:numId w:val="3"/>
        </w:numPr>
        <w:tabs>
          <w:tab w:val="num" w:pos="480"/>
        </w:tabs>
      </w:pPr>
      <w:r>
        <w:t>Shyu, J., and C. C. Hsu,</w:t>
      </w:r>
      <w:r w:rsidR="00F4443C" w:rsidRPr="004064EB">
        <w:t xml:space="preserve"> Operational efficiency of Taiwanese life insurance industry: Applicati</w:t>
      </w:r>
      <w:r>
        <w:t>on of data envelopment analysis,</w:t>
      </w:r>
      <w:r w:rsidR="00F4443C" w:rsidRPr="004064EB">
        <w:t xml:space="preserve"> </w:t>
      </w:r>
      <w:r w:rsidR="00F4443C" w:rsidRPr="004064EB">
        <w:rPr>
          <w:i/>
        </w:rPr>
        <w:t>Bank of Taiwan Quarterly</w:t>
      </w:r>
      <w:r w:rsidR="00805A03">
        <w:t xml:space="preserve">, </w:t>
      </w:r>
      <w:r w:rsidRPr="001B392B">
        <w:rPr>
          <w:b/>
        </w:rPr>
        <w:t>62</w:t>
      </w:r>
      <w:r>
        <w:t xml:space="preserve">(4), </w:t>
      </w:r>
      <w:r w:rsidR="001B392B">
        <w:rPr>
          <w:rFonts w:hint="eastAsia"/>
        </w:rPr>
        <w:t>(</w:t>
      </w:r>
      <w:r w:rsidRPr="004064EB">
        <w:t>2011</w:t>
      </w:r>
      <w:r w:rsidR="001B392B">
        <w:rPr>
          <w:rFonts w:hint="eastAsia"/>
        </w:rPr>
        <w:t>)</w:t>
      </w:r>
      <w:r>
        <w:t>,</w:t>
      </w:r>
      <w:r w:rsidR="00F4443C" w:rsidRPr="004064EB">
        <w:t xml:space="preserve"> 42–67.</w:t>
      </w:r>
    </w:p>
    <w:p w14:paraId="215DA97A" w14:textId="0071181B" w:rsidR="00F4443C" w:rsidRDefault="00F4443C" w:rsidP="00FF6DC7">
      <w:pPr>
        <w:pStyle w:val="ReferencesText"/>
        <w:numPr>
          <w:ilvl w:val="0"/>
          <w:numId w:val="3"/>
        </w:numPr>
        <w:tabs>
          <w:tab w:val="num" w:pos="480"/>
        </w:tabs>
      </w:pPr>
      <w:r w:rsidRPr="004064EB">
        <w:lastRenderedPageBreak/>
        <w:t>Simar, L., and P. W. Wilson</w:t>
      </w:r>
      <w:r w:rsidR="00B373C1">
        <w:t>,</w:t>
      </w:r>
      <w:r w:rsidRPr="004064EB">
        <w:t xml:space="preserve"> Estimation and inference in two-stage, semi-parametric models of production processes</w:t>
      </w:r>
      <w:r w:rsidR="00B373C1">
        <w:t>,</w:t>
      </w:r>
      <w:r w:rsidRPr="004064EB">
        <w:t xml:space="preserve"> </w:t>
      </w:r>
      <w:r w:rsidRPr="004064EB">
        <w:rPr>
          <w:i/>
        </w:rPr>
        <w:t>Journal of Econometrics</w:t>
      </w:r>
      <w:r w:rsidR="001B392B">
        <w:t xml:space="preserve">, </w:t>
      </w:r>
      <w:r w:rsidRPr="001B392B">
        <w:rPr>
          <w:b/>
        </w:rPr>
        <w:t>136</w:t>
      </w:r>
      <w:r w:rsidR="00B373C1">
        <w:t>,</w:t>
      </w:r>
      <w:r w:rsidR="00B373C1" w:rsidRPr="00B373C1">
        <w:t xml:space="preserve"> </w:t>
      </w:r>
      <w:r w:rsidR="001B392B">
        <w:rPr>
          <w:rFonts w:hint="eastAsia"/>
        </w:rPr>
        <w:t>(</w:t>
      </w:r>
      <w:r w:rsidR="00B373C1" w:rsidRPr="004064EB">
        <w:t>2007</w:t>
      </w:r>
      <w:r w:rsidR="001B392B">
        <w:rPr>
          <w:rFonts w:hint="eastAsia"/>
        </w:rPr>
        <w:t>)</w:t>
      </w:r>
      <w:r w:rsidR="00B373C1">
        <w:t>,</w:t>
      </w:r>
      <w:r w:rsidRPr="004064EB">
        <w:t xml:space="preserve"> 31–64.</w:t>
      </w:r>
    </w:p>
    <w:p w14:paraId="51E0DBAB" w14:textId="2B9F11B9" w:rsidR="00F4443C" w:rsidRDefault="00F4443C" w:rsidP="00FF6DC7">
      <w:pPr>
        <w:pStyle w:val="ReferencesText"/>
        <w:numPr>
          <w:ilvl w:val="0"/>
          <w:numId w:val="3"/>
        </w:numPr>
        <w:tabs>
          <w:tab w:val="num" w:pos="480"/>
        </w:tabs>
      </w:pPr>
      <w:r w:rsidRPr="004064EB">
        <w:t xml:space="preserve">Wang, J. </w:t>
      </w:r>
      <w:r w:rsidR="00B373C1">
        <w:t>L., J. L. Peng, and Y. H. Chang,</w:t>
      </w:r>
      <w:r w:rsidRPr="004064EB">
        <w:t xml:space="preserve"> The impact of bancassurance on the efficiency performance of lif</w:t>
      </w:r>
      <w:r w:rsidR="00B373C1">
        <w:t>e insurance companies in Taiwan,</w:t>
      </w:r>
      <w:r w:rsidRPr="004064EB">
        <w:t xml:space="preserve"> </w:t>
      </w:r>
      <w:r w:rsidRPr="004064EB">
        <w:rPr>
          <w:i/>
        </w:rPr>
        <w:t>NTU Management Review</w:t>
      </w:r>
      <w:r w:rsidR="001B392B">
        <w:t xml:space="preserve">, </w:t>
      </w:r>
      <w:r w:rsidR="00B373C1" w:rsidRPr="001B392B">
        <w:rPr>
          <w:b/>
        </w:rPr>
        <w:t>17</w:t>
      </w:r>
      <w:r w:rsidR="00B373C1">
        <w:t xml:space="preserve">(1), </w:t>
      </w:r>
      <w:r w:rsidR="001B392B">
        <w:rPr>
          <w:rFonts w:hint="eastAsia"/>
        </w:rPr>
        <w:t>(</w:t>
      </w:r>
      <w:r w:rsidR="00B373C1" w:rsidRPr="004064EB">
        <w:t>2006</w:t>
      </w:r>
      <w:r w:rsidR="001B392B">
        <w:rPr>
          <w:rFonts w:hint="eastAsia"/>
        </w:rPr>
        <w:t>)</w:t>
      </w:r>
      <w:r w:rsidR="00B373C1">
        <w:t>,</w:t>
      </w:r>
      <w:r w:rsidRPr="004064EB">
        <w:t xml:space="preserve"> 59–90.</w:t>
      </w:r>
    </w:p>
    <w:p w14:paraId="6A497ACB" w14:textId="115A19EC" w:rsidR="00F4443C" w:rsidRDefault="00F4443C" w:rsidP="00FF6DC7">
      <w:pPr>
        <w:pStyle w:val="ReferencesText"/>
        <w:numPr>
          <w:ilvl w:val="0"/>
          <w:numId w:val="3"/>
        </w:numPr>
        <w:tabs>
          <w:tab w:val="num" w:pos="480"/>
        </w:tabs>
      </w:pPr>
      <w:r w:rsidRPr="004064EB">
        <w:t>Wang, J. L., V. Jeng, and J. L. Peng</w:t>
      </w:r>
      <w:r w:rsidR="00EF568C">
        <w:t>,</w:t>
      </w:r>
      <w:r w:rsidRPr="004064EB">
        <w:t xml:space="preserve"> The impact of corporate governance structure on the efficiency performance of insurance companies in Taiwan</w:t>
      </w:r>
      <w:r w:rsidR="00EF568C">
        <w:t>,</w:t>
      </w:r>
      <w:r w:rsidRPr="004064EB">
        <w:t xml:space="preserve"> </w:t>
      </w:r>
      <w:r w:rsidRPr="004064EB">
        <w:rPr>
          <w:i/>
        </w:rPr>
        <w:t>The Geneva Papers on Risk and Insurance-Issues and Practice</w:t>
      </w:r>
      <w:r w:rsidR="001B392B">
        <w:t xml:space="preserve">, </w:t>
      </w:r>
      <w:r w:rsidRPr="001B392B">
        <w:rPr>
          <w:b/>
        </w:rPr>
        <w:t>32</w:t>
      </w:r>
      <w:r w:rsidR="00EF568C">
        <w:t xml:space="preserve">, </w:t>
      </w:r>
      <w:r w:rsidR="001B392B">
        <w:rPr>
          <w:rFonts w:hint="eastAsia"/>
        </w:rPr>
        <w:t>(</w:t>
      </w:r>
      <w:r w:rsidR="00EF568C" w:rsidRPr="004064EB">
        <w:t>2007</w:t>
      </w:r>
      <w:r w:rsidR="001B392B">
        <w:rPr>
          <w:rFonts w:hint="eastAsia"/>
        </w:rPr>
        <w:t>)</w:t>
      </w:r>
      <w:r w:rsidR="00EF568C">
        <w:t>,</w:t>
      </w:r>
      <w:r w:rsidRPr="004064EB">
        <w:t xml:space="preserve"> 264–282.</w:t>
      </w:r>
    </w:p>
    <w:p w14:paraId="2B5D8B2D" w14:textId="6ADBCC56" w:rsidR="00F4443C" w:rsidRDefault="00EF568C" w:rsidP="00FF6DC7">
      <w:pPr>
        <w:pStyle w:val="ReferencesText"/>
        <w:numPr>
          <w:ilvl w:val="0"/>
          <w:numId w:val="3"/>
        </w:numPr>
        <w:tabs>
          <w:tab w:val="num" w:pos="480"/>
        </w:tabs>
      </w:pPr>
      <w:r>
        <w:t>Wise, W</w:t>
      </w:r>
      <w:r w:rsidR="00F4443C" w:rsidRPr="004064EB">
        <w:t>.</w:t>
      </w:r>
      <w:r>
        <w:t>,</w:t>
      </w:r>
      <w:r w:rsidR="00F4443C" w:rsidRPr="004064EB">
        <w:t xml:space="preserve"> A survey of life insurance efficiency papers: Methods, pros &amp; cons, trends</w:t>
      </w:r>
      <w:r>
        <w:t>,</w:t>
      </w:r>
      <w:r w:rsidR="00F4443C" w:rsidRPr="004064EB">
        <w:t xml:space="preserve"> </w:t>
      </w:r>
      <w:r w:rsidR="00F4443C" w:rsidRPr="004064EB">
        <w:rPr>
          <w:i/>
        </w:rPr>
        <w:t>Accounting</w:t>
      </w:r>
      <w:r w:rsidR="001B392B">
        <w:t>,</w:t>
      </w:r>
      <w:r w:rsidR="001B392B" w:rsidRPr="001B392B">
        <w:rPr>
          <w:b/>
        </w:rPr>
        <w:t xml:space="preserve"> </w:t>
      </w:r>
      <w:r w:rsidR="00F4443C" w:rsidRPr="001B392B">
        <w:rPr>
          <w:b/>
        </w:rPr>
        <w:t>3</w:t>
      </w:r>
      <w:r>
        <w:t xml:space="preserve">, </w:t>
      </w:r>
      <w:r w:rsidR="001B392B">
        <w:rPr>
          <w:rFonts w:hint="eastAsia"/>
        </w:rPr>
        <w:t>(</w:t>
      </w:r>
      <w:r w:rsidRPr="004064EB">
        <w:t>2017</w:t>
      </w:r>
      <w:r w:rsidR="001B392B">
        <w:rPr>
          <w:rFonts w:hint="eastAsia"/>
        </w:rPr>
        <w:t>)</w:t>
      </w:r>
      <w:r>
        <w:t>,</w:t>
      </w:r>
      <w:r w:rsidR="00F4443C" w:rsidRPr="004064EB">
        <w:t xml:space="preserve"> 137–170.</w:t>
      </w:r>
    </w:p>
    <w:p w14:paraId="5695141E" w14:textId="3B8227C1" w:rsidR="00F4443C" w:rsidRPr="004064EB" w:rsidRDefault="00EF568C" w:rsidP="00FF6DC7">
      <w:pPr>
        <w:pStyle w:val="ReferencesText"/>
        <w:numPr>
          <w:ilvl w:val="0"/>
          <w:numId w:val="3"/>
        </w:numPr>
        <w:tabs>
          <w:tab w:val="num" w:pos="480"/>
        </w:tabs>
      </w:pPr>
      <w:r>
        <w:t>Yeh, T. L., and T. Y. Chen,</w:t>
      </w:r>
      <w:r w:rsidR="00F4443C" w:rsidRPr="004064EB">
        <w:t xml:space="preserve"> Measuring life insurance indus</w:t>
      </w:r>
      <w:r>
        <w:t>try’s efficiency of utilization,</w:t>
      </w:r>
      <w:r w:rsidR="00F4443C" w:rsidRPr="004064EB">
        <w:t xml:space="preserve"> </w:t>
      </w:r>
      <w:r w:rsidR="00F4443C" w:rsidRPr="004064EB">
        <w:rPr>
          <w:i/>
        </w:rPr>
        <w:t>Bank of Taiwan Quarterly</w:t>
      </w:r>
      <w:r w:rsidR="001B392B">
        <w:t xml:space="preserve">, </w:t>
      </w:r>
      <w:r w:rsidRPr="001B392B">
        <w:rPr>
          <w:b/>
        </w:rPr>
        <w:t>51</w:t>
      </w:r>
      <w:r>
        <w:t>,</w:t>
      </w:r>
      <w:r w:rsidRPr="00EF568C">
        <w:t xml:space="preserve"> </w:t>
      </w:r>
      <w:r w:rsidR="001B392B">
        <w:rPr>
          <w:rFonts w:hint="eastAsia"/>
        </w:rPr>
        <w:t>(</w:t>
      </w:r>
      <w:r w:rsidRPr="004064EB">
        <w:t>2000</w:t>
      </w:r>
      <w:r w:rsidR="001B392B">
        <w:rPr>
          <w:rFonts w:hint="eastAsia"/>
        </w:rPr>
        <w:t>)</w:t>
      </w:r>
      <w:r>
        <w:t>,</w:t>
      </w:r>
      <w:r w:rsidR="00F4443C" w:rsidRPr="004064EB">
        <w:t xml:space="preserve"> 322–341.</w:t>
      </w:r>
    </w:p>
    <w:p w14:paraId="457A6E3A" w14:textId="0006E0E7" w:rsidR="007C5BBF" w:rsidRPr="004064EB" w:rsidRDefault="00380776" w:rsidP="00F4443C">
      <w:pPr>
        <w:pStyle w:val="References"/>
        <w:jc w:val="both"/>
      </w:pPr>
      <w:r>
        <w:t xml:space="preserve"> </w:t>
      </w:r>
    </w:p>
    <w:p w14:paraId="2942563F" w14:textId="77777777" w:rsidR="002E1A91" w:rsidRDefault="002E1A91" w:rsidP="002E1A91">
      <w:pPr>
        <w:pStyle w:val="References"/>
      </w:pPr>
      <w:r>
        <w:br w:type="page"/>
      </w:r>
    </w:p>
    <w:p w14:paraId="70F37C49" w14:textId="77777777" w:rsidR="002E1A91" w:rsidRPr="00DE2F76" w:rsidRDefault="002E1A91" w:rsidP="00DE2F76">
      <w:pPr>
        <w:pStyle w:val="Tabletitle"/>
        <w:widowControl w:val="0"/>
        <w:adjustRightInd w:val="0"/>
        <w:spacing w:before="0" w:after="120" w:line="240" w:lineRule="auto"/>
        <w:jc w:val="center"/>
        <w:textAlignment w:val="baseline"/>
        <w:rPr>
          <w:rFonts w:eastAsia="新細明體"/>
          <w:b/>
          <w:sz w:val="22"/>
          <w:szCs w:val="20"/>
          <w:lang w:val="en-US" w:eastAsia="zh-TW"/>
        </w:rPr>
      </w:pPr>
      <w:r w:rsidRPr="00DE2F76">
        <w:rPr>
          <w:rFonts w:eastAsia="新細明體"/>
          <w:b/>
          <w:sz w:val="22"/>
          <w:szCs w:val="20"/>
          <w:lang w:val="en-US" w:eastAsia="zh-TW"/>
        </w:rPr>
        <w:lastRenderedPageBreak/>
        <w:t>Table 1</w:t>
      </w:r>
      <w:r w:rsidR="00950CFE" w:rsidRPr="00DE2F76">
        <w:rPr>
          <w:rFonts w:eastAsia="新細明體"/>
          <w:b/>
          <w:sz w:val="22"/>
          <w:szCs w:val="20"/>
          <w:lang w:val="en-US" w:eastAsia="zh-TW"/>
        </w:rPr>
        <w:t>.</w:t>
      </w:r>
      <w:r w:rsidRPr="00DE2F76">
        <w:rPr>
          <w:rFonts w:eastAsia="新細明體"/>
          <w:b/>
          <w:sz w:val="22"/>
          <w:szCs w:val="20"/>
          <w:lang w:val="en-US" w:eastAsia="zh-TW"/>
        </w:rPr>
        <w:t xml:space="preserve"> Statistics of input and output variables for all sample life insurance companies</w:t>
      </w:r>
      <w:r w:rsidR="00950CFE" w:rsidRPr="00DE2F76">
        <w:rPr>
          <w:rFonts w:eastAsia="新細明體"/>
          <w:b/>
          <w:sz w:val="22"/>
          <w:szCs w:val="20"/>
          <w:lang w:val="en-US" w:eastAsia="zh-TW"/>
        </w:rPr>
        <w:t>.</w:t>
      </w:r>
    </w:p>
    <w:tbl>
      <w:tblPr>
        <w:tblStyle w:val="af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1416"/>
        <w:gridCol w:w="1631"/>
        <w:gridCol w:w="1467"/>
        <w:gridCol w:w="1628"/>
      </w:tblGrid>
      <w:tr w:rsidR="002E1A91" w:rsidRPr="004064EB" w14:paraId="4D0E4660" w14:textId="77777777" w:rsidTr="004064EB">
        <w:tc>
          <w:tcPr>
            <w:tcW w:w="2357" w:type="dxa"/>
            <w:tcBorders>
              <w:top w:val="single" w:sz="4" w:space="0" w:color="auto"/>
              <w:bottom w:val="single" w:sz="4" w:space="0" w:color="auto"/>
            </w:tcBorders>
            <w:vAlign w:val="center"/>
          </w:tcPr>
          <w:p w14:paraId="47F3FA36"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Variable</w:t>
            </w:r>
          </w:p>
        </w:tc>
        <w:tc>
          <w:tcPr>
            <w:tcW w:w="1416" w:type="dxa"/>
            <w:tcBorders>
              <w:top w:val="single" w:sz="4" w:space="0" w:color="auto"/>
              <w:bottom w:val="single" w:sz="4" w:space="0" w:color="auto"/>
            </w:tcBorders>
            <w:vAlign w:val="center"/>
          </w:tcPr>
          <w:p w14:paraId="75D2CB3F"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Mean</w:t>
            </w:r>
          </w:p>
        </w:tc>
        <w:tc>
          <w:tcPr>
            <w:tcW w:w="1631" w:type="dxa"/>
            <w:tcBorders>
              <w:top w:val="single" w:sz="4" w:space="0" w:color="auto"/>
              <w:bottom w:val="single" w:sz="4" w:space="0" w:color="auto"/>
            </w:tcBorders>
            <w:vAlign w:val="center"/>
          </w:tcPr>
          <w:p w14:paraId="32CC23BA"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Standard error</w:t>
            </w:r>
          </w:p>
        </w:tc>
        <w:tc>
          <w:tcPr>
            <w:tcW w:w="1467" w:type="dxa"/>
            <w:tcBorders>
              <w:top w:val="single" w:sz="4" w:space="0" w:color="auto"/>
              <w:bottom w:val="single" w:sz="4" w:space="0" w:color="auto"/>
            </w:tcBorders>
            <w:vAlign w:val="center"/>
          </w:tcPr>
          <w:p w14:paraId="5C836984"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Minimum</w:t>
            </w:r>
          </w:p>
        </w:tc>
        <w:tc>
          <w:tcPr>
            <w:tcW w:w="1628" w:type="dxa"/>
            <w:tcBorders>
              <w:top w:val="single" w:sz="4" w:space="0" w:color="auto"/>
              <w:bottom w:val="single" w:sz="4" w:space="0" w:color="auto"/>
            </w:tcBorders>
            <w:vAlign w:val="center"/>
          </w:tcPr>
          <w:p w14:paraId="3873C9B7"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Maximum</w:t>
            </w:r>
          </w:p>
        </w:tc>
      </w:tr>
      <w:tr w:rsidR="002E1A91" w:rsidRPr="004064EB" w14:paraId="0DAB7910" w14:textId="77777777" w:rsidTr="004064EB">
        <w:tc>
          <w:tcPr>
            <w:tcW w:w="2357" w:type="dxa"/>
            <w:tcBorders>
              <w:top w:val="single" w:sz="4" w:space="0" w:color="auto"/>
            </w:tcBorders>
            <w:vAlign w:val="center"/>
          </w:tcPr>
          <w:p w14:paraId="37AEA2FF"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Input variables</w:t>
            </w:r>
          </w:p>
        </w:tc>
        <w:tc>
          <w:tcPr>
            <w:tcW w:w="1416" w:type="dxa"/>
            <w:tcBorders>
              <w:top w:val="single" w:sz="4" w:space="0" w:color="auto"/>
            </w:tcBorders>
            <w:vAlign w:val="center"/>
          </w:tcPr>
          <w:p w14:paraId="41AFED79" w14:textId="77777777" w:rsidR="002E1A91" w:rsidRPr="004064EB" w:rsidRDefault="002E1A91" w:rsidP="004064EB">
            <w:pPr>
              <w:spacing w:line="240" w:lineRule="auto"/>
              <w:rPr>
                <w:rFonts w:ascii="Times New Roman" w:hAnsi="Times New Roman" w:cs="Times New Roman"/>
                <w:color w:val="000000" w:themeColor="text1"/>
              </w:rPr>
            </w:pPr>
          </w:p>
        </w:tc>
        <w:tc>
          <w:tcPr>
            <w:tcW w:w="1631" w:type="dxa"/>
            <w:tcBorders>
              <w:top w:val="single" w:sz="4" w:space="0" w:color="auto"/>
            </w:tcBorders>
            <w:vAlign w:val="center"/>
          </w:tcPr>
          <w:p w14:paraId="153616D2" w14:textId="77777777" w:rsidR="002E1A91" w:rsidRPr="004064EB" w:rsidRDefault="002E1A91" w:rsidP="004064EB">
            <w:pPr>
              <w:spacing w:line="240" w:lineRule="auto"/>
              <w:rPr>
                <w:rFonts w:ascii="Times New Roman" w:hAnsi="Times New Roman" w:cs="Times New Roman"/>
                <w:color w:val="000000" w:themeColor="text1"/>
              </w:rPr>
            </w:pPr>
          </w:p>
        </w:tc>
        <w:tc>
          <w:tcPr>
            <w:tcW w:w="1467" w:type="dxa"/>
            <w:tcBorders>
              <w:top w:val="single" w:sz="4" w:space="0" w:color="auto"/>
            </w:tcBorders>
            <w:vAlign w:val="center"/>
          </w:tcPr>
          <w:p w14:paraId="5716444A" w14:textId="77777777" w:rsidR="002E1A91" w:rsidRPr="004064EB" w:rsidRDefault="002E1A91" w:rsidP="004064EB">
            <w:pPr>
              <w:spacing w:line="240" w:lineRule="auto"/>
              <w:rPr>
                <w:rFonts w:ascii="Times New Roman" w:hAnsi="Times New Roman" w:cs="Times New Roman"/>
                <w:color w:val="000000" w:themeColor="text1"/>
              </w:rPr>
            </w:pPr>
          </w:p>
        </w:tc>
        <w:tc>
          <w:tcPr>
            <w:tcW w:w="1628" w:type="dxa"/>
            <w:tcBorders>
              <w:top w:val="single" w:sz="4" w:space="0" w:color="auto"/>
            </w:tcBorders>
            <w:vAlign w:val="center"/>
          </w:tcPr>
          <w:p w14:paraId="0C46A819" w14:textId="77777777" w:rsidR="002E1A91" w:rsidRPr="004064EB" w:rsidRDefault="002E1A91" w:rsidP="004064EB">
            <w:pPr>
              <w:spacing w:line="240" w:lineRule="auto"/>
              <w:rPr>
                <w:rFonts w:ascii="Times New Roman" w:hAnsi="Times New Roman" w:cs="Times New Roman"/>
                <w:color w:val="000000" w:themeColor="text1"/>
              </w:rPr>
            </w:pPr>
          </w:p>
        </w:tc>
      </w:tr>
      <w:tr w:rsidR="002E1A91" w:rsidRPr="004064EB" w14:paraId="57D22D1F" w14:textId="77777777" w:rsidTr="004064EB">
        <w:tc>
          <w:tcPr>
            <w:tcW w:w="2357" w:type="dxa"/>
            <w:vAlign w:val="center"/>
          </w:tcPr>
          <w:p w14:paraId="06501436" w14:textId="5AEBC076" w:rsidR="002E1A91" w:rsidRPr="004064EB" w:rsidRDefault="004064EB" w:rsidP="00B542E8">
            <w:pPr>
              <w:spacing w:line="240" w:lineRule="auto"/>
              <w:ind w:left="240" w:hangingChars="100" w:hanging="24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 xml:space="preserve">  </w:t>
            </w:r>
            <w:r w:rsidR="00B542E8">
              <w:rPr>
                <w:rFonts w:ascii="Times New Roman" w:eastAsia="標楷體" w:hAnsi="Times New Roman" w:cs="Times New Roman"/>
                <w:color w:val="000000" w:themeColor="text1"/>
              </w:rPr>
              <w:t xml:space="preserve">  </w:t>
            </w:r>
            <w:r w:rsidR="002E1A91" w:rsidRPr="004064EB">
              <w:rPr>
                <w:rFonts w:ascii="Times New Roman" w:eastAsia="標楷體" w:hAnsi="Times New Roman" w:cs="Times New Roman"/>
                <w:color w:val="000000" w:themeColor="text1"/>
              </w:rPr>
              <w:t>Number of employees</w:t>
            </w:r>
          </w:p>
        </w:tc>
        <w:tc>
          <w:tcPr>
            <w:tcW w:w="1416" w:type="dxa"/>
            <w:vAlign w:val="center"/>
          </w:tcPr>
          <w:p w14:paraId="49241456"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5960 </w:t>
            </w:r>
          </w:p>
        </w:tc>
        <w:tc>
          <w:tcPr>
            <w:tcW w:w="1631" w:type="dxa"/>
            <w:vAlign w:val="center"/>
          </w:tcPr>
          <w:p w14:paraId="082D1457"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9304 </w:t>
            </w:r>
          </w:p>
        </w:tc>
        <w:tc>
          <w:tcPr>
            <w:tcW w:w="1467" w:type="dxa"/>
            <w:vAlign w:val="center"/>
          </w:tcPr>
          <w:p w14:paraId="44721310"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44 </w:t>
            </w:r>
          </w:p>
        </w:tc>
        <w:tc>
          <w:tcPr>
            <w:tcW w:w="1628" w:type="dxa"/>
            <w:vAlign w:val="center"/>
          </w:tcPr>
          <w:p w14:paraId="67523543"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39822 </w:t>
            </w:r>
          </w:p>
        </w:tc>
      </w:tr>
      <w:tr w:rsidR="002E1A91" w:rsidRPr="004064EB" w14:paraId="6D0B9A1C" w14:textId="77777777" w:rsidTr="004064EB">
        <w:tc>
          <w:tcPr>
            <w:tcW w:w="2357" w:type="dxa"/>
            <w:vAlign w:val="center"/>
          </w:tcPr>
          <w:p w14:paraId="3519D9AD" w14:textId="5BF06AFE"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 xml:space="preserve"> </w:t>
            </w:r>
            <w:r w:rsidR="00B542E8">
              <w:rPr>
                <w:rFonts w:ascii="Times New Roman" w:eastAsia="標楷體" w:hAnsi="Times New Roman" w:cs="Times New Roman"/>
                <w:color w:val="000000" w:themeColor="text1"/>
              </w:rPr>
              <w:t xml:space="preserve">  </w:t>
            </w:r>
            <w:r w:rsidR="004064EB">
              <w:rPr>
                <w:rFonts w:ascii="Times New Roman" w:eastAsia="標楷體" w:hAnsi="Times New Roman" w:cs="Times New Roman"/>
                <w:color w:val="000000" w:themeColor="text1"/>
              </w:rPr>
              <w:t xml:space="preserve"> </w:t>
            </w:r>
            <w:r w:rsidRPr="004064EB">
              <w:rPr>
                <w:rFonts w:ascii="Times New Roman" w:eastAsia="標楷體" w:hAnsi="Times New Roman" w:cs="Times New Roman"/>
                <w:color w:val="000000" w:themeColor="text1"/>
              </w:rPr>
              <w:t xml:space="preserve">Debt </w:t>
            </w:r>
          </w:p>
        </w:tc>
        <w:tc>
          <w:tcPr>
            <w:tcW w:w="1416" w:type="dxa"/>
            <w:vAlign w:val="center"/>
          </w:tcPr>
          <w:p w14:paraId="3BC08C67"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708,000,000 </w:t>
            </w:r>
          </w:p>
        </w:tc>
        <w:tc>
          <w:tcPr>
            <w:tcW w:w="1631" w:type="dxa"/>
            <w:vAlign w:val="center"/>
          </w:tcPr>
          <w:p w14:paraId="64D71AFD"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1,100,000,000 </w:t>
            </w:r>
          </w:p>
        </w:tc>
        <w:tc>
          <w:tcPr>
            <w:tcW w:w="1467" w:type="dxa"/>
            <w:vAlign w:val="center"/>
          </w:tcPr>
          <w:p w14:paraId="2B33585E"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4,854,673 </w:t>
            </w:r>
          </w:p>
        </w:tc>
        <w:tc>
          <w:tcPr>
            <w:tcW w:w="1628" w:type="dxa"/>
            <w:vAlign w:val="center"/>
          </w:tcPr>
          <w:p w14:paraId="6BD1DCAC"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5,590,000,000 </w:t>
            </w:r>
          </w:p>
        </w:tc>
      </w:tr>
      <w:tr w:rsidR="002E1A91" w:rsidRPr="004064EB" w14:paraId="0853B354" w14:textId="77777777" w:rsidTr="004064EB">
        <w:tc>
          <w:tcPr>
            <w:tcW w:w="2357" w:type="dxa"/>
            <w:vAlign w:val="center"/>
          </w:tcPr>
          <w:p w14:paraId="7124061A" w14:textId="559A2D35" w:rsidR="002E1A91" w:rsidRPr="004064EB" w:rsidRDefault="004064EB" w:rsidP="004064EB">
            <w:pPr>
              <w:spacing w:line="240" w:lineRule="auto"/>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 xml:space="preserve">  </w:t>
            </w:r>
            <w:r w:rsidR="00B542E8">
              <w:rPr>
                <w:rFonts w:ascii="Times New Roman" w:eastAsia="標楷體" w:hAnsi="Times New Roman" w:cs="Times New Roman"/>
                <w:color w:val="000000" w:themeColor="text1"/>
              </w:rPr>
              <w:t xml:space="preserve">  </w:t>
            </w:r>
            <w:r w:rsidR="002E1A91" w:rsidRPr="004064EB">
              <w:rPr>
                <w:rFonts w:ascii="Times New Roman" w:eastAsia="標楷體" w:hAnsi="Times New Roman" w:cs="Times New Roman"/>
                <w:color w:val="000000" w:themeColor="text1"/>
              </w:rPr>
              <w:t>Owner’s equity</w:t>
            </w:r>
          </w:p>
        </w:tc>
        <w:tc>
          <w:tcPr>
            <w:tcW w:w="1416" w:type="dxa"/>
            <w:vAlign w:val="center"/>
          </w:tcPr>
          <w:p w14:paraId="0E0AFCDF"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117,000,000 </w:t>
            </w:r>
          </w:p>
        </w:tc>
        <w:tc>
          <w:tcPr>
            <w:tcW w:w="1631" w:type="dxa"/>
            <w:vAlign w:val="center"/>
          </w:tcPr>
          <w:p w14:paraId="5693C05E"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74,300,000 </w:t>
            </w:r>
          </w:p>
        </w:tc>
        <w:tc>
          <w:tcPr>
            <w:tcW w:w="1467" w:type="dxa"/>
            <w:vAlign w:val="center"/>
          </w:tcPr>
          <w:p w14:paraId="7D47A951"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 </w:t>
            </w:r>
          </w:p>
        </w:tc>
        <w:tc>
          <w:tcPr>
            <w:tcW w:w="1628" w:type="dxa"/>
            <w:vAlign w:val="center"/>
          </w:tcPr>
          <w:p w14:paraId="41377A18"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513,000,000 </w:t>
            </w:r>
          </w:p>
        </w:tc>
      </w:tr>
      <w:tr w:rsidR="002E1A91" w:rsidRPr="004064EB" w14:paraId="095BC6B0" w14:textId="77777777" w:rsidTr="004064EB">
        <w:tc>
          <w:tcPr>
            <w:tcW w:w="2357" w:type="dxa"/>
            <w:vAlign w:val="center"/>
          </w:tcPr>
          <w:p w14:paraId="0E13515F"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Output variables</w:t>
            </w:r>
          </w:p>
        </w:tc>
        <w:tc>
          <w:tcPr>
            <w:tcW w:w="1416" w:type="dxa"/>
            <w:vAlign w:val="center"/>
          </w:tcPr>
          <w:p w14:paraId="1625514D" w14:textId="77777777" w:rsidR="002E1A91" w:rsidRPr="004064EB" w:rsidRDefault="002E1A91" w:rsidP="00B542E8">
            <w:pPr>
              <w:spacing w:line="240" w:lineRule="auto"/>
              <w:jc w:val="right"/>
              <w:rPr>
                <w:rFonts w:ascii="Times New Roman" w:hAnsi="Times New Roman" w:cs="Times New Roman"/>
                <w:color w:val="000000" w:themeColor="text1"/>
              </w:rPr>
            </w:pPr>
          </w:p>
        </w:tc>
        <w:tc>
          <w:tcPr>
            <w:tcW w:w="1631" w:type="dxa"/>
            <w:vAlign w:val="center"/>
          </w:tcPr>
          <w:p w14:paraId="30ACBBC2" w14:textId="77777777" w:rsidR="002E1A91" w:rsidRPr="004064EB" w:rsidRDefault="002E1A91" w:rsidP="00B542E8">
            <w:pPr>
              <w:spacing w:line="240" w:lineRule="auto"/>
              <w:jc w:val="right"/>
              <w:rPr>
                <w:rFonts w:ascii="Times New Roman" w:hAnsi="Times New Roman" w:cs="Times New Roman"/>
                <w:color w:val="000000" w:themeColor="text1"/>
              </w:rPr>
            </w:pPr>
          </w:p>
        </w:tc>
        <w:tc>
          <w:tcPr>
            <w:tcW w:w="1467" w:type="dxa"/>
            <w:vAlign w:val="center"/>
          </w:tcPr>
          <w:p w14:paraId="6DABD193" w14:textId="77777777" w:rsidR="002E1A91" w:rsidRPr="004064EB" w:rsidRDefault="002E1A91" w:rsidP="00B542E8">
            <w:pPr>
              <w:spacing w:line="240" w:lineRule="auto"/>
              <w:jc w:val="right"/>
              <w:rPr>
                <w:rFonts w:ascii="Times New Roman" w:hAnsi="Times New Roman" w:cs="Times New Roman"/>
                <w:color w:val="000000" w:themeColor="text1"/>
              </w:rPr>
            </w:pPr>
          </w:p>
        </w:tc>
        <w:tc>
          <w:tcPr>
            <w:tcW w:w="1628" w:type="dxa"/>
            <w:vAlign w:val="center"/>
          </w:tcPr>
          <w:p w14:paraId="7393D4E8" w14:textId="77777777" w:rsidR="002E1A91" w:rsidRPr="004064EB" w:rsidRDefault="002E1A91" w:rsidP="00B542E8">
            <w:pPr>
              <w:spacing w:line="240" w:lineRule="auto"/>
              <w:jc w:val="right"/>
              <w:rPr>
                <w:rFonts w:ascii="Times New Roman" w:hAnsi="Times New Roman" w:cs="Times New Roman"/>
                <w:color w:val="000000" w:themeColor="text1"/>
              </w:rPr>
            </w:pPr>
          </w:p>
        </w:tc>
      </w:tr>
      <w:tr w:rsidR="002E1A91" w:rsidRPr="004064EB" w14:paraId="5F8E9B8E" w14:textId="77777777" w:rsidTr="004064EB">
        <w:tc>
          <w:tcPr>
            <w:tcW w:w="2357" w:type="dxa"/>
            <w:vAlign w:val="center"/>
          </w:tcPr>
          <w:p w14:paraId="20E211E6" w14:textId="42A5FDC1" w:rsidR="002E1A91" w:rsidRPr="004064EB" w:rsidRDefault="004064EB" w:rsidP="00B542E8">
            <w:pPr>
              <w:spacing w:line="240" w:lineRule="auto"/>
              <w:ind w:leftChars="100" w:left="360" w:hangingChars="50" w:hanging="1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 xml:space="preserve"> </w:t>
            </w:r>
            <w:r w:rsidR="002E1A91" w:rsidRPr="004064EB">
              <w:rPr>
                <w:rFonts w:ascii="Times New Roman" w:eastAsia="標楷體" w:hAnsi="Times New Roman" w:cs="Times New Roman"/>
                <w:color w:val="000000" w:themeColor="text1"/>
              </w:rPr>
              <w:t>Incurred benefits and addition to reserves</w:t>
            </w:r>
          </w:p>
        </w:tc>
        <w:tc>
          <w:tcPr>
            <w:tcW w:w="1416" w:type="dxa"/>
            <w:vAlign w:val="center"/>
          </w:tcPr>
          <w:p w14:paraId="1BD574BB"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111,000,000 </w:t>
            </w:r>
          </w:p>
        </w:tc>
        <w:tc>
          <w:tcPr>
            <w:tcW w:w="1631" w:type="dxa"/>
            <w:vAlign w:val="center"/>
          </w:tcPr>
          <w:p w14:paraId="66EBEB0B"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174,000,000 </w:t>
            </w:r>
          </w:p>
        </w:tc>
        <w:tc>
          <w:tcPr>
            <w:tcW w:w="1467" w:type="dxa"/>
            <w:vAlign w:val="center"/>
          </w:tcPr>
          <w:p w14:paraId="03A4FF48"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66,842 </w:t>
            </w:r>
          </w:p>
        </w:tc>
        <w:tc>
          <w:tcPr>
            <w:tcW w:w="1628" w:type="dxa"/>
            <w:vAlign w:val="center"/>
          </w:tcPr>
          <w:p w14:paraId="6BE2316A"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777,000,000 </w:t>
            </w:r>
          </w:p>
        </w:tc>
      </w:tr>
      <w:tr w:rsidR="002E1A91" w:rsidRPr="004064EB" w14:paraId="71F49786" w14:textId="77777777" w:rsidTr="004064EB">
        <w:tc>
          <w:tcPr>
            <w:tcW w:w="2357" w:type="dxa"/>
            <w:vAlign w:val="center"/>
          </w:tcPr>
          <w:p w14:paraId="7CF26DB9" w14:textId="4AC283AF" w:rsidR="002E1A91" w:rsidRPr="004064EB" w:rsidRDefault="004064EB" w:rsidP="004064EB">
            <w:pPr>
              <w:spacing w:line="240" w:lineRule="auto"/>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 xml:space="preserve">  </w:t>
            </w:r>
            <w:r w:rsidR="00B542E8">
              <w:rPr>
                <w:rFonts w:ascii="Times New Roman" w:eastAsia="標楷體" w:hAnsi="Times New Roman" w:cs="Times New Roman"/>
                <w:color w:val="000000" w:themeColor="text1"/>
              </w:rPr>
              <w:t xml:space="preserve">   </w:t>
            </w:r>
            <w:r w:rsidR="002E1A91" w:rsidRPr="004064EB">
              <w:rPr>
                <w:rFonts w:ascii="Times New Roman" w:eastAsia="標楷體" w:hAnsi="Times New Roman" w:cs="Times New Roman"/>
                <w:color w:val="000000" w:themeColor="text1"/>
              </w:rPr>
              <w:t>Total investments</w:t>
            </w:r>
          </w:p>
        </w:tc>
        <w:tc>
          <w:tcPr>
            <w:tcW w:w="1416" w:type="dxa"/>
            <w:vAlign w:val="center"/>
          </w:tcPr>
          <w:p w14:paraId="7B685BEC"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549,000,000 </w:t>
            </w:r>
          </w:p>
        </w:tc>
        <w:tc>
          <w:tcPr>
            <w:tcW w:w="1631" w:type="dxa"/>
            <w:vAlign w:val="center"/>
          </w:tcPr>
          <w:p w14:paraId="6D9B678A"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886,000,000 </w:t>
            </w:r>
          </w:p>
        </w:tc>
        <w:tc>
          <w:tcPr>
            <w:tcW w:w="1467" w:type="dxa"/>
            <w:vAlign w:val="center"/>
          </w:tcPr>
          <w:p w14:paraId="7DE00E3E"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77,882 </w:t>
            </w:r>
          </w:p>
        </w:tc>
        <w:tc>
          <w:tcPr>
            <w:tcW w:w="1628" w:type="dxa"/>
            <w:vAlign w:val="center"/>
          </w:tcPr>
          <w:p w14:paraId="178F5D22"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4,460,000,000 </w:t>
            </w:r>
          </w:p>
        </w:tc>
      </w:tr>
      <w:tr w:rsidR="002E1A91" w:rsidRPr="004064EB" w14:paraId="23F28540" w14:textId="77777777" w:rsidTr="004064EB">
        <w:tc>
          <w:tcPr>
            <w:tcW w:w="2357" w:type="dxa"/>
            <w:vAlign w:val="center"/>
          </w:tcPr>
          <w:p w14:paraId="4F65D608"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Regression variables</w:t>
            </w:r>
          </w:p>
        </w:tc>
        <w:tc>
          <w:tcPr>
            <w:tcW w:w="1416" w:type="dxa"/>
            <w:vAlign w:val="center"/>
          </w:tcPr>
          <w:p w14:paraId="10D0CF8B" w14:textId="77777777" w:rsidR="002E1A91" w:rsidRPr="004064EB" w:rsidRDefault="002E1A91" w:rsidP="00B542E8">
            <w:pPr>
              <w:spacing w:line="240" w:lineRule="auto"/>
              <w:jc w:val="right"/>
              <w:rPr>
                <w:rFonts w:ascii="Times New Roman" w:hAnsi="Times New Roman" w:cs="Times New Roman"/>
                <w:color w:val="000000" w:themeColor="text1"/>
              </w:rPr>
            </w:pPr>
          </w:p>
        </w:tc>
        <w:tc>
          <w:tcPr>
            <w:tcW w:w="1631" w:type="dxa"/>
            <w:vAlign w:val="center"/>
          </w:tcPr>
          <w:p w14:paraId="35B6CAC8" w14:textId="77777777" w:rsidR="002E1A91" w:rsidRPr="004064EB" w:rsidRDefault="002E1A91" w:rsidP="00B542E8">
            <w:pPr>
              <w:spacing w:line="240" w:lineRule="auto"/>
              <w:jc w:val="right"/>
              <w:rPr>
                <w:rFonts w:ascii="Times New Roman" w:hAnsi="Times New Roman" w:cs="Times New Roman"/>
                <w:color w:val="000000" w:themeColor="text1"/>
              </w:rPr>
            </w:pPr>
          </w:p>
        </w:tc>
        <w:tc>
          <w:tcPr>
            <w:tcW w:w="1467" w:type="dxa"/>
            <w:vAlign w:val="center"/>
          </w:tcPr>
          <w:p w14:paraId="408E38D7" w14:textId="77777777" w:rsidR="002E1A91" w:rsidRPr="004064EB" w:rsidRDefault="002E1A91" w:rsidP="00B542E8">
            <w:pPr>
              <w:spacing w:line="240" w:lineRule="auto"/>
              <w:jc w:val="right"/>
              <w:rPr>
                <w:rFonts w:ascii="Times New Roman" w:hAnsi="Times New Roman" w:cs="Times New Roman"/>
                <w:color w:val="000000" w:themeColor="text1"/>
              </w:rPr>
            </w:pPr>
          </w:p>
        </w:tc>
        <w:tc>
          <w:tcPr>
            <w:tcW w:w="1628" w:type="dxa"/>
            <w:vAlign w:val="center"/>
          </w:tcPr>
          <w:p w14:paraId="2B27764F" w14:textId="77777777" w:rsidR="002E1A91" w:rsidRPr="004064EB" w:rsidRDefault="002E1A91" w:rsidP="00B542E8">
            <w:pPr>
              <w:spacing w:line="240" w:lineRule="auto"/>
              <w:jc w:val="right"/>
              <w:rPr>
                <w:rFonts w:ascii="Times New Roman" w:hAnsi="Times New Roman" w:cs="Times New Roman"/>
                <w:color w:val="000000" w:themeColor="text1"/>
              </w:rPr>
            </w:pPr>
          </w:p>
        </w:tc>
      </w:tr>
      <w:tr w:rsidR="002E1A91" w:rsidRPr="004064EB" w14:paraId="29F80092" w14:textId="77777777" w:rsidTr="004064EB">
        <w:tc>
          <w:tcPr>
            <w:tcW w:w="2357" w:type="dxa"/>
            <w:vAlign w:val="center"/>
          </w:tcPr>
          <w:p w14:paraId="29EEA5D8" w14:textId="57154CDD"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 xml:space="preserve">  </w:t>
            </w:r>
            <w:r w:rsidR="00B542E8">
              <w:rPr>
                <w:rFonts w:ascii="Times New Roman" w:eastAsia="標楷體" w:hAnsi="Times New Roman" w:cs="Times New Roman"/>
                <w:color w:val="000000" w:themeColor="text1"/>
              </w:rPr>
              <w:t xml:space="preserve">   </w:t>
            </w:r>
            <w:r w:rsidRPr="004064EB">
              <w:rPr>
                <w:rFonts w:ascii="Times New Roman" w:eastAsia="標楷體" w:hAnsi="Times New Roman" w:cs="Times New Roman"/>
                <w:color w:val="000000" w:themeColor="text1"/>
              </w:rPr>
              <w:t>Market share</w:t>
            </w:r>
          </w:p>
        </w:tc>
        <w:tc>
          <w:tcPr>
            <w:tcW w:w="1416" w:type="dxa"/>
            <w:vAlign w:val="center"/>
          </w:tcPr>
          <w:p w14:paraId="435D0EC9"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0.1069 </w:t>
            </w:r>
          </w:p>
        </w:tc>
        <w:tc>
          <w:tcPr>
            <w:tcW w:w="1631" w:type="dxa"/>
            <w:vAlign w:val="center"/>
          </w:tcPr>
          <w:p w14:paraId="640CFB27"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0.1652 </w:t>
            </w:r>
          </w:p>
        </w:tc>
        <w:tc>
          <w:tcPr>
            <w:tcW w:w="1467" w:type="dxa"/>
            <w:vAlign w:val="center"/>
          </w:tcPr>
          <w:p w14:paraId="610BE19B"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0.0002 </w:t>
            </w:r>
          </w:p>
        </w:tc>
        <w:tc>
          <w:tcPr>
            <w:tcW w:w="1628" w:type="dxa"/>
            <w:vAlign w:val="center"/>
          </w:tcPr>
          <w:p w14:paraId="1FDADA5E"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0.7864 </w:t>
            </w:r>
          </w:p>
        </w:tc>
      </w:tr>
      <w:tr w:rsidR="002E1A91" w:rsidRPr="004064EB" w14:paraId="36F62511" w14:textId="77777777" w:rsidTr="004064EB">
        <w:tc>
          <w:tcPr>
            <w:tcW w:w="2357" w:type="dxa"/>
            <w:vAlign w:val="center"/>
          </w:tcPr>
          <w:p w14:paraId="2A3AB243" w14:textId="698EC3AE"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 xml:space="preserve"> </w:t>
            </w:r>
            <w:r w:rsidR="00B542E8">
              <w:rPr>
                <w:rFonts w:ascii="Times New Roman" w:eastAsia="標楷體" w:hAnsi="Times New Roman" w:cs="Times New Roman"/>
                <w:color w:val="000000" w:themeColor="text1"/>
              </w:rPr>
              <w:t xml:space="preserve">   </w:t>
            </w:r>
            <w:r w:rsidRPr="004064EB">
              <w:rPr>
                <w:rFonts w:ascii="Times New Roman" w:eastAsia="標楷體" w:hAnsi="Times New Roman" w:cs="Times New Roman"/>
                <w:color w:val="000000" w:themeColor="text1"/>
              </w:rPr>
              <w:t xml:space="preserve"> Total assets</w:t>
            </w:r>
          </w:p>
        </w:tc>
        <w:tc>
          <w:tcPr>
            <w:tcW w:w="1416" w:type="dxa"/>
            <w:vAlign w:val="center"/>
          </w:tcPr>
          <w:p w14:paraId="28D58A49"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745,000,000 </w:t>
            </w:r>
          </w:p>
        </w:tc>
        <w:tc>
          <w:tcPr>
            <w:tcW w:w="1631" w:type="dxa"/>
            <w:vAlign w:val="center"/>
          </w:tcPr>
          <w:p w14:paraId="2326D31C"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1,180,000,000 </w:t>
            </w:r>
          </w:p>
        </w:tc>
        <w:tc>
          <w:tcPr>
            <w:tcW w:w="1467" w:type="dxa"/>
            <w:vAlign w:val="center"/>
          </w:tcPr>
          <w:p w14:paraId="237DA2AE"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5,384,896 </w:t>
            </w:r>
          </w:p>
        </w:tc>
        <w:tc>
          <w:tcPr>
            <w:tcW w:w="1628" w:type="dxa"/>
            <w:vAlign w:val="center"/>
          </w:tcPr>
          <w:p w14:paraId="25D6A7F5"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6,020,000,000 </w:t>
            </w:r>
          </w:p>
        </w:tc>
      </w:tr>
    </w:tbl>
    <w:p w14:paraId="5816B5CF" w14:textId="77777777" w:rsidR="004064EB" w:rsidRDefault="002E1A91" w:rsidP="002E1A91">
      <w:pPr>
        <w:rPr>
          <w:rFonts w:eastAsia="標楷體"/>
          <w:color w:val="000000" w:themeColor="text1"/>
          <w:sz w:val="20"/>
        </w:rPr>
      </w:pPr>
      <w:r w:rsidRPr="004064EB">
        <w:rPr>
          <w:rFonts w:eastAsia="標楷體"/>
          <w:color w:val="000000" w:themeColor="text1"/>
          <w:sz w:val="20"/>
        </w:rPr>
        <w:t xml:space="preserve">Note: A total of 189 observation values are extracted for the sample companies. </w:t>
      </w:r>
    </w:p>
    <w:p w14:paraId="7514B6BC" w14:textId="77777777" w:rsidR="004064EB" w:rsidRDefault="004064EB" w:rsidP="002E1A91">
      <w:pPr>
        <w:rPr>
          <w:rFonts w:eastAsia="標楷體"/>
          <w:color w:val="000000" w:themeColor="text1"/>
          <w:sz w:val="20"/>
        </w:rPr>
      </w:pPr>
    </w:p>
    <w:p w14:paraId="596F51DE" w14:textId="77777777" w:rsidR="002E1A91" w:rsidRPr="00DE2F76" w:rsidRDefault="002E1A91" w:rsidP="00DE2F76">
      <w:pPr>
        <w:pStyle w:val="Tabletitle"/>
        <w:widowControl w:val="0"/>
        <w:adjustRightInd w:val="0"/>
        <w:spacing w:before="0" w:after="120" w:line="240" w:lineRule="auto"/>
        <w:jc w:val="center"/>
        <w:textAlignment w:val="baseline"/>
        <w:rPr>
          <w:rFonts w:eastAsia="新細明體"/>
          <w:b/>
          <w:sz w:val="22"/>
          <w:szCs w:val="20"/>
          <w:lang w:val="en-US" w:eastAsia="zh-TW"/>
        </w:rPr>
      </w:pPr>
      <w:r w:rsidRPr="00DE2F76">
        <w:rPr>
          <w:rFonts w:eastAsia="新細明體"/>
          <w:b/>
          <w:sz w:val="22"/>
          <w:szCs w:val="20"/>
          <w:lang w:val="en-US" w:eastAsia="zh-TW"/>
        </w:rPr>
        <w:t>Table 2</w:t>
      </w:r>
      <w:r w:rsidR="00950CFE" w:rsidRPr="00DE2F76">
        <w:rPr>
          <w:rFonts w:eastAsia="新細明體"/>
          <w:b/>
          <w:sz w:val="22"/>
          <w:szCs w:val="20"/>
          <w:lang w:val="en-US" w:eastAsia="zh-TW"/>
        </w:rPr>
        <w:t>.</w:t>
      </w:r>
      <w:r w:rsidRPr="00DE2F76">
        <w:rPr>
          <w:rFonts w:eastAsia="新細明體"/>
          <w:b/>
          <w:sz w:val="22"/>
          <w:szCs w:val="20"/>
          <w:lang w:val="en-US" w:eastAsia="zh-TW"/>
        </w:rPr>
        <w:t xml:space="preserve"> Statistics of input and output variables for life insurance subsidiaries of FHCs and non-FHCs</w:t>
      </w:r>
      <w:r w:rsidR="00950CFE" w:rsidRPr="00DE2F76">
        <w:rPr>
          <w:rFonts w:eastAsia="新細明體"/>
          <w:b/>
          <w:sz w:val="22"/>
          <w:szCs w:val="20"/>
          <w:lang w:val="en-US" w:eastAsia="zh-TW"/>
        </w:rPr>
        <w:t>.</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1596"/>
        <w:gridCol w:w="1637"/>
        <w:gridCol w:w="1598"/>
        <w:gridCol w:w="1579"/>
      </w:tblGrid>
      <w:tr w:rsidR="002E1A91" w:rsidRPr="004064EB" w14:paraId="492BC4BA" w14:textId="77777777" w:rsidTr="00B542E8">
        <w:tc>
          <w:tcPr>
            <w:tcW w:w="2127" w:type="dxa"/>
            <w:tcBorders>
              <w:top w:val="single" w:sz="4" w:space="0" w:color="auto"/>
            </w:tcBorders>
          </w:tcPr>
          <w:p w14:paraId="1EA4886B" w14:textId="77777777" w:rsidR="002E1A91" w:rsidRPr="004064EB" w:rsidRDefault="002E1A91" w:rsidP="004064EB">
            <w:pPr>
              <w:spacing w:line="240" w:lineRule="auto"/>
              <w:rPr>
                <w:rFonts w:ascii="Times New Roman" w:eastAsia="標楷體" w:hAnsi="Times New Roman" w:cs="Times New Roman"/>
                <w:color w:val="000000" w:themeColor="text1"/>
              </w:rPr>
            </w:pPr>
          </w:p>
        </w:tc>
        <w:tc>
          <w:tcPr>
            <w:tcW w:w="3173" w:type="dxa"/>
            <w:gridSpan w:val="2"/>
            <w:tcBorders>
              <w:top w:val="single" w:sz="4" w:space="0" w:color="auto"/>
              <w:bottom w:val="single" w:sz="4" w:space="0" w:color="auto"/>
            </w:tcBorders>
          </w:tcPr>
          <w:p w14:paraId="29123163" w14:textId="77777777" w:rsidR="002E1A91" w:rsidRPr="004064EB" w:rsidRDefault="002E1A91" w:rsidP="004064EB">
            <w:pPr>
              <w:spacing w:line="240" w:lineRule="auto"/>
              <w:jc w:val="center"/>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FHCs</w:t>
            </w:r>
          </w:p>
        </w:tc>
        <w:tc>
          <w:tcPr>
            <w:tcW w:w="3199" w:type="dxa"/>
            <w:gridSpan w:val="2"/>
            <w:tcBorders>
              <w:top w:val="single" w:sz="4" w:space="0" w:color="auto"/>
              <w:bottom w:val="single" w:sz="4" w:space="0" w:color="auto"/>
            </w:tcBorders>
          </w:tcPr>
          <w:p w14:paraId="39FD6580" w14:textId="77777777" w:rsidR="002E1A91" w:rsidRPr="004064EB" w:rsidRDefault="002E1A91" w:rsidP="004064EB">
            <w:pPr>
              <w:spacing w:line="240" w:lineRule="auto"/>
              <w:jc w:val="center"/>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Non-FHCs</w:t>
            </w:r>
          </w:p>
        </w:tc>
      </w:tr>
      <w:tr w:rsidR="002E1A91" w:rsidRPr="004064EB" w14:paraId="0A33E939" w14:textId="77777777" w:rsidTr="00B542E8">
        <w:tc>
          <w:tcPr>
            <w:tcW w:w="2127" w:type="dxa"/>
            <w:tcBorders>
              <w:bottom w:val="single" w:sz="4" w:space="0" w:color="auto"/>
            </w:tcBorders>
            <w:vAlign w:val="center"/>
          </w:tcPr>
          <w:p w14:paraId="2F26FC9F"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Variable</w:t>
            </w:r>
          </w:p>
        </w:tc>
        <w:tc>
          <w:tcPr>
            <w:tcW w:w="1533" w:type="dxa"/>
            <w:tcBorders>
              <w:top w:val="single" w:sz="4" w:space="0" w:color="auto"/>
              <w:bottom w:val="single" w:sz="4" w:space="0" w:color="auto"/>
            </w:tcBorders>
            <w:vAlign w:val="center"/>
          </w:tcPr>
          <w:p w14:paraId="05B62C91"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Mean</w:t>
            </w:r>
          </w:p>
        </w:tc>
        <w:tc>
          <w:tcPr>
            <w:tcW w:w="1640" w:type="dxa"/>
            <w:tcBorders>
              <w:top w:val="single" w:sz="4" w:space="0" w:color="auto"/>
              <w:bottom w:val="single" w:sz="4" w:space="0" w:color="auto"/>
            </w:tcBorders>
            <w:vAlign w:val="center"/>
          </w:tcPr>
          <w:p w14:paraId="38D8711F"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Standard error</w:t>
            </w:r>
          </w:p>
        </w:tc>
        <w:tc>
          <w:tcPr>
            <w:tcW w:w="1610" w:type="dxa"/>
            <w:tcBorders>
              <w:top w:val="single" w:sz="4" w:space="0" w:color="auto"/>
              <w:bottom w:val="single" w:sz="4" w:space="0" w:color="auto"/>
            </w:tcBorders>
            <w:vAlign w:val="center"/>
          </w:tcPr>
          <w:p w14:paraId="62787FD0"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Mean</w:t>
            </w:r>
          </w:p>
        </w:tc>
        <w:tc>
          <w:tcPr>
            <w:tcW w:w="1589" w:type="dxa"/>
            <w:tcBorders>
              <w:top w:val="single" w:sz="4" w:space="0" w:color="auto"/>
              <w:bottom w:val="single" w:sz="4" w:space="0" w:color="auto"/>
            </w:tcBorders>
            <w:vAlign w:val="center"/>
          </w:tcPr>
          <w:p w14:paraId="43CC2854"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Standard error</w:t>
            </w:r>
          </w:p>
        </w:tc>
      </w:tr>
      <w:tr w:rsidR="002E1A91" w:rsidRPr="004064EB" w14:paraId="5197A7CB" w14:textId="77777777" w:rsidTr="00B542E8">
        <w:tc>
          <w:tcPr>
            <w:tcW w:w="2127" w:type="dxa"/>
            <w:tcBorders>
              <w:top w:val="single" w:sz="4" w:space="0" w:color="auto"/>
            </w:tcBorders>
            <w:vAlign w:val="center"/>
          </w:tcPr>
          <w:p w14:paraId="0486E6DC"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Input variables</w:t>
            </w:r>
          </w:p>
        </w:tc>
        <w:tc>
          <w:tcPr>
            <w:tcW w:w="1533" w:type="dxa"/>
            <w:tcBorders>
              <w:top w:val="single" w:sz="4" w:space="0" w:color="auto"/>
            </w:tcBorders>
            <w:vAlign w:val="center"/>
          </w:tcPr>
          <w:p w14:paraId="46532D69" w14:textId="77777777" w:rsidR="002E1A91" w:rsidRPr="004064EB" w:rsidRDefault="002E1A91" w:rsidP="004064EB">
            <w:pPr>
              <w:spacing w:line="240" w:lineRule="auto"/>
              <w:rPr>
                <w:rFonts w:ascii="Times New Roman" w:hAnsi="Times New Roman" w:cs="Times New Roman"/>
                <w:color w:val="000000" w:themeColor="text1"/>
              </w:rPr>
            </w:pPr>
          </w:p>
        </w:tc>
        <w:tc>
          <w:tcPr>
            <w:tcW w:w="1640" w:type="dxa"/>
            <w:tcBorders>
              <w:top w:val="single" w:sz="4" w:space="0" w:color="auto"/>
            </w:tcBorders>
            <w:vAlign w:val="center"/>
          </w:tcPr>
          <w:p w14:paraId="0001E46C" w14:textId="77777777" w:rsidR="002E1A91" w:rsidRPr="004064EB" w:rsidRDefault="002E1A91" w:rsidP="004064EB">
            <w:pPr>
              <w:spacing w:line="240" w:lineRule="auto"/>
              <w:rPr>
                <w:rFonts w:ascii="Times New Roman" w:hAnsi="Times New Roman" w:cs="Times New Roman"/>
                <w:color w:val="000000" w:themeColor="text1"/>
              </w:rPr>
            </w:pPr>
          </w:p>
        </w:tc>
        <w:tc>
          <w:tcPr>
            <w:tcW w:w="1610" w:type="dxa"/>
            <w:tcBorders>
              <w:top w:val="single" w:sz="4" w:space="0" w:color="auto"/>
            </w:tcBorders>
            <w:vAlign w:val="center"/>
          </w:tcPr>
          <w:p w14:paraId="63A4BD74" w14:textId="77777777" w:rsidR="002E1A91" w:rsidRPr="004064EB" w:rsidRDefault="002E1A91" w:rsidP="004064EB">
            <w:pPr>
              <w:spacing w:line="240" w:lineRule="auto"/>
              <w:rPr>
                <w:rFonts w:ascii="Times New Roman" w:hAnsi="Times New Roman" w:cs="Times New Roman"/>
                <w:color w:val="000000" w:themeColor="text1"/>
              </w:rPr>
            </w:pPr>
          </w:p>
        </w:tc>
        <w:tc>
          <w:tcPr>
            <w:tcW w:w="1589" w:type="dxa"/>
            <w:tcBorders>
              <w:top w:val="single" w:sz="4" w:space="0" w:color="auto"/>
            </w:tcBorders>
            <w:vAlign w:val="center"/>
          </w:tcPr>
          <w:p w14:paraId="4204EA27" w14:textId="77777777" w:rsidR="002E1A91" w:rsidRPr="004064EB" w:rsidRDefault="002E1A91" w:rsidP="004064EB">
            <w:pPr>
              <w:spacing w:line="240" w:lineRule="auto"/>
              <w:rPr>
                <w:rFonts w:ascii="Times New Roman" w:hAnsi="Times New Roman" w:cs="Times New Roman"/>
                <w:color w:val="000000" w:themeColor="text1"/>
              </w:rPr>
            </w:pPr>
          </w:p>
        </w:tc>
      </w:tr>
      <w:tr w:rsidR="002E1A91" w:rsidRPr="004064EB" w14:paraId="24B8E344" w14:textId="77777777" w:rsidTr="00B542E8">
        <w:tc>
          <w:tcPr>
            <w:tcW w:w="2127" w:type="dxa"/>
            <w:vAlign w:val="center"/>
          </w:tcPr>
          <w:p w14:paraId="420CF77B" w14:textId="15A82C6B" w:rsidR="002E1A91" w:rsidRPr="004064EB" w:rsidRDefault="002E1A91" w:rsidP="00B542E8">
            <w:pPr>
              <w:spacing w:line="240" w:lineRule="auto"/>
              <w:ind w:left="240" w:hangingChars="100" w:hanging="240"/>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 xml:space="preserve">  </w:t>
            </w:r>
            <w:r w:rsidR="00B542E8">
              <w:rPr>
                <w:rFonts w:ascii="Times New Roman" w:eastAsia="標楷體" w:hAnsi="Times New Roman" w:cs="Times New Roman"/>
                <w:color w:val="000000" w:themeColor="text1"/>
              </w:rPr>
              <w:t xml:space="preserve">  </w:t>
            </w:r>
            <w:r w:rsidRPr="004064EB">
              <w:rPr>
                <w:rFonts w:ascii="Times New Roman" w:eastAsia="標楷體" w:hAnsi="Times New Roman" w:cs="Times New Roman"/>
                <w:color w:val="000000" w:themeColor="text1"/>
              </w:rPr>
              <w:t>Number of employees</w:t>
            </w:r>
          </w:p>
        </w:tc>
        <w:tc>
          <w:tcPr>
            <w:tcW w:w="1533" w:type="dxa"/>
            <w:vAlign w:val="center"/>
          </w:tcPr>
          <w:p w14:paraId="067EF045"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10728 </w:t>
            </w:r>
          </w:p>
        </w:tc>
        <w:tc>
          <w:tcPr>
            <w:tcW w:w="1640" w:type="dxa"/>
            <w:vAlign w:val="center"/>
          </w:tcPr>
          <w:p w14:paraId="4ED43E96"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13546 </w:t>
            </w:r>
          </w:p>
        </w:tc>
        <w:tc>
          <w:tcPr>
            <w:tcW w:w="1610" w:type="dxa"/>
            <w:vAlign w:val="center"/>
          </w:tcPr>
          <w:p w14:paraId="3F71F12F"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3688 </w:t>
            </w:r>
          </w:p>
        </w:tc>
        <w:tc>
          <w:tcPr>
            <w:tcW w:w="1589" w:type="dxa"/>
            <w:vAlign w:val="center"/>
          </w:tcPr>
          <w:p w14:paraId="113E791C"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5033 </w:t>
            </w:r>
          </w:p>
        </w:tc>
      </w:tr>
      <w:tr w:rsidR="002E1A91" w:rsidRPr="004064EB" w14:paraId="1E1D53F6" w14:textId="77777777" w:rsidTr="00B542E8">
        <w:tc>
          <w:tcPr>
            <w:tcW w:w="2127" w:type="dxa"/>
            <w:vAlign w:val="center"/>
          </w:tcPr>
          <w:p w14:paraId="63F3751A" w14:textId="53C0627A"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 xml:space="preserve">  </w:t>
            </w:r>
            <w:r w:rsidR="00B542E8">
              <w:rPr>
                <w:rFonts w:ascii="Times New Roman" w:eastAsia="標楷體" w:hAnsi="Times New Roman" w:cs="Times New Roman"/>
                <w:color w:val="000000" w:themeColor="text1"/>
              </w:rPr>
              <w:t xml:space="preserve">  </w:t>
            </w:r>
            <w:r w:rsidRPr="004064EB">
              <w:rPr>
                <w:rFonts w:ascii="Times New Roman" w:eastAsia="標楷體" w:hAnsi="Times New Roman" w:cs="Times New Roman"/>
                <w:color w:val="000000" w:themeColor="text1"/>
              </w:rPr>
              <w:t xml:space="preserve">Debt </w:t>
            </w:r>
          </w:p>
        </w:tc>
        <w:tc>
          <w:tcPr>
            <w:tcW w:w="1533" w:type="dxa"/>
            <w:vAlign w:val="center"/>
          </w:tcPr>
          <w:p w14:paraId="0DE058A4"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1,380,000,000 </w:t>
            </w:r>
          </w:p>
        </w:tc>
        <w:tc>
          <w:tcPr>
            <w:tcW w:w="1640" w:type="dxa"/>
            <w:vAlign w:val="center"/>
          </w:tcPr>
          <w:p w14:paraId="72B53828"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1,500,000,000 </w:t>
            </w:r>
          </w:p>
        </w:tc>
        <w:tc>
          <w:tcPr>
            <w:tcW w:w="1610" w:type="dxa"/>
            <w:vAlign w:val="center"/>
          </w:tcPr>
          <w:p w14:paraId="2D3859A8"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389,000,000 </w:t>
            </w:r>
          </w:p>
        </w:tc>
        <w:tc>
          <w:tcPr>
            <w:tcW w:w="1589" w:type="dxa"/>
            <w:vAlign w:val="center"/>
          </w:tcPr>
          <w:p w14:paraId="65D45713"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646,000,000 </w:t>
            </w:r>
          </w:p>
        </w:tc>
      </w:tr>
      <w:tr w:rsidR="002E1A91" w:rsidRPr="004064EB" w14:paraId="1F4A4C9F" w14:textId="77777777" w:rsidTr="00B542E8">
        <w:tc>
          <w:tcPr>
            <w:tcW w:w="2127" w:type="dxa"/>
            <w:vAlign w:val="center"/>
          </w:tcPr>
          <w:p w14:paraId="662AD8F6" w14:textId="0A82902A"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 xml:space="preserve">  </w:t>
            </w:r>
            <w:r w:rsidR="00B542E8">
              <w:rPr>
                <w:rFonts w:ascii="Times New Roman" w:eastAsia="標楷體" w:hAnsi="Times New Roman" w:cs="Times New Roman"/>
                <w:color w:val="000000" w:themeColor="text1"/>
              </w:rPr>
              <w:t xml:space="preserve">  </w:t>
            </w:r>
            <w:r w:rsidRPr="004064EB">
              <w:rPr>
                <w:rFonts w:ascii="Times New Roman" w:eastAsia="標楷體" w:hAnsi="Times New Roman" w:cs="Times New Roman"/>
                <w:color w:val="000000" w:themeColor="text1"/>
              </w:rPr>
              <w:t>Owner’s equity</w:t>
            </w:r>
          </w:p>
        </w:tc>
        <w:tc>
          <w:tcPr>
            <w:tcW w:w="1533" w:type="dxa"/>
            <w:vAlign w:val="center"/>
          </w:tcPr>
          <w:p w14:paraId="14D231FB"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162,000,000 </w:t>
            </w:r>
          </w:p>
        </w:tc>
        <w:tc>
          <w:tcPr>
            <w:tcW w:w="1640" w:type="dxa"/>
            <w:vAlign w:val="center"/>
          </w:tcPr>
          <w:p w14:paraId="5ED43124"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106,000,000 </w:t>
            </w:r>
          </w:p>
        </w:tc>
        <w:tc>
          <w:tcPr>
            <w:tcW w:w="1610" w:type="dxa"/>
            <w:vAlign w:val="center"/>
          </w:tcPr>
          <w:p w14:paraId="0D6E0C72"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95,100,000 </w:t>
            </w:r>
          </w:p>
        </w:tc>
        <w:tc>
          <w:tcPr>
            <w:tcW w:w="1589" w:type="dxa"/>
            <w:vAlign w:val="center"/>
          </w:tcPr>
          <w:p w14:paraId="51E02723"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36,600,000 </w:t>
            </w:r>
          </w:p>
        </w:tc>
      </w:tr>
      <w:tr w:rsidR="002E1A91" w:rsidRPr="004064EB" w14:paraId="1DC2E216" w14:textId="77777777" w:rsidTr="00B542E8">
        <w:tc>
          <w:tcPr>
            <w:tcW w:w="2127" w:type="dxa"/>
            <w:vAlign w:val="center"/>
          </w:tcPr>
          <w:p w14:paraId="006A409D"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Output variables</w:t>
            </w:r>
          </w:p>
        </w:tc>
        <w:tc>
          <w:tcPr>
            <w:tcW w:w="1533" w:type="dxa"/>
            <w:vAlign w:val="center"/>
          </w:tcPr>
          <w:p w14:paraId="073D7A24" w14:textId="77777777" w:rsidR="002E1A91" w:rsidRPr="004064EB" w:rsidRDefault="002E1A91" w:rsidP="00B542E8">
            <w:pPr>
              <w:spacing w:line="240" w:lineRule="auto"/>
              <w:jc w:val="right"/>
              <w:rPr>
                <w:rFonts w:ascii="Times New Roman" w:hAnsi="Times New Roman" w:cs="Times New Roman"/>
                <w:color w:val="000000" w:themeColor="text1"/>
              </w:rPr>
            </w:pPr>
          </w:p>
        </w:tc>
        <w:tc>
          <w:tcPr>
            <w:tcW w:w="1640" w:type="dxa"/>
            <w:vAlign w:val="center"/>
          </w:tcPr>
          <w:p w14:paraId="5C8365E8" w14:textId="77777777" w:rsidR="002E1A91" w:rsidRPr="004064EB" w:rsidRDefault="002E1A91" w:rsidP="00B542E8">
            <w:pPr>
              <w:spacing w:line="240" w:lineRule="auto"/>
              <w:jc w:val="right"/>
              <w:rPr>
                <w:rFonts w:ascii="Times New Roman" w:hAnsi="Times New Roman" w:cs="Times New Roman"/>
                <w:color w:val="000000" w:themeColor="text1"/>
              </w:rPr>
            </w:pPr>
          </w:p>
        </w:tc>
        <w:tc>
          <w:tcPr>
            <w:tcW w:w="1610" w:type="dxa"/>
            <w:vAlign w:val="center"/>
          </w:tcPr>
          <w:p w14:paraId="37E96EC7" w14:textId="77777777" w:rsidR="002E1A91" w:rsidRPr="004064EB" w:rsidRDefault="002E1A91" w:rsidP="00B542E8">
            <w:pPr>
              <w:spacing w:line="240" w:lineRule="auto"/>
              <w:jc w:val="right"/>
              <w:rPr>
                <w:rFonts w:ascii="Times New Roman" w:hAnsi="Times New Roman" w:cs="Times New Roman"/>
                <w:color w:val="000000" w:themeColor="text1"/>
              </w:rPr>
            </w:pPr>
          </w:p>
        </w:tc>
        <w:tc>
          <w:tcPr>
            <w:tcW w:w="1589" w:type="dxa"/>
            <w:vAlign w:val="center"/>
          </w:tcPr>
          <w:p w14:paraId="114BA342" w14:textId="77777777" w:rsidR="002E1A91" w:rsidRPr="004064EB" w:rsidRDefault="002E1A91" w:rsidP="00B542E8">
            <w:pPr>
              <w:spacing w:line="240" w:lineRule="auto"/>
              <w:jc w:val="right"/>
              <w:rPr>
                <w:rFonts w:ascii="Times New Roman" w:hAnsi="Times New Roman" w:cs="Times New Roman"/>
                <w:color w:val="000000" w:themeColor="text1"/>
              </w:rPr>
            </w:pPr>
          </w:p>
        </w:tc>
      </w:tr>
      <w:tr w:rsidR="002E1A91" w:rsidRPr="004064EB" w14:paraId="05181A0C" w14:textId="77777777" w:rsidTr="00B542E8">
        <w:tc>
          <w:tcPr>
            <w:tcW w:w="2127" w:type="dxa"/>
            <w:vAlign w:val="center"/>
          </w:tcPr>
          <w:p w14:paraId="586827EE" w14:textId="366BB611" w:rsidR="002E1A91" w:rsidRPr="004064EB" w:rsidRDefault="002E1A91" w:rsidP="00B542E8">
            <w:pPr>
              <w:spacing w:line="240" w:lineRule="auto"/>
              <w:ind w:left="240" w:hangingChars="100" w:hanging="240"/>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 xml:space="preserve">  </w:t>
            </w:r>
            <w:r w:rsidR="00B542E8">
              <w:rPr>
                <w:rFonts w:ascii="Times New Roman" w:eastAsia="標楷體" w:hAnsi="Times New Roman" w:cs="Times New Roman"/>
                <w:color w:val="000000" w:themeColor="text1"/>
              </w:rPr>
              <w:t xml:space="preserve"> </w:t>
            </w:r>
            <w:r w:rsidRPr="004064EB">
              <w:rPr>
                <w:rFonts w:ascii="Times New Roman" w:eastAsia="標楷體" w:hAnsi="Times New Roman" w:cs="Times New Roman"/>
                <w:color w:val="000000" w:themeColor="text1"/>
              </w:rPr>
              <w:t>Incurred benefits and addition to reserves</w:t>
            </w:r>
          </w:p>
        </w:tc>
        <w:tc>
          <w:tcPr>
            <w:tcW w:w="1533" w:type="dxa"/>
            <w:vAlign w:val="center"/>
          </w:tcPr>
          <w:p w14:paraId="2ED0A94F"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218,000,000 </w:t>
            </w:r>
          </w:p>
        </w:tc>
        <w:tc>
          <w:tcPr>
            <w:tcW w:w="1640" w:type="dxa"/>
            <w:vAlign w:val="center"/>
          </w:tcPr>
          <w:p w14:paraId="15FBF8FE"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228,000,000 </w:t>
            </w:r>
          </w:p>
        </w:tc>
        <w:tc>
          <w:tcPr>
            <w:tcW w:w="1610" w:type="dxa"/>
            <w:vAlign w:val="center"/>
          </w:tcPr>
          <w:p w14:paraId="7E8BF213"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60,200,000 </w:t>
            </w:r>
          </w:p>
        </w:tc>
        <w:tc>
          <w:tcPr>
            <w:tcW w:w="1589" w:type="dxa"/>
            <w:vAlign w:val="center"/>
          </w:tcPr>
          <w:p w14:paraId="59D2BFE2"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110,000,000 </w:t>
            </w:r>
          </w:p>
        </w:tc>
      </w:tr>
      <w:tr w:rsidR="002E1A91" w:rsidRPr="004064EB" w14:paraId="074D77EE" w14:textId="77777777" w:rsidTr="00B542E8">
        <w:tc>
          <w:tcPr>
            <w:tcW w:w="2127" w:type="dxa"/>
            <w:vAlign w:val="center"/>
          </w:tcPr>
          <w:p w14:paraId="08ABE2C7" w14:textId="4AD8BBB1"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 xml:space="preserve">  </w:t>
            </w:r>
            <w:r w:rsidR="00B542E8">
              <w:rPr>
                <w:rFonts w:ascii="Times New Roman" w:eastAsia="標楷體" w:hAnsi="Times New Roman" w:cs="Times New Roman"/>
                <w:color w:val="000000" w:themeColor="text1"/>
              </w:rPr>
              <w:t xml:space="preserve"> </w:t>
            </w:r>
            <w:r w:rsidRPr="004064EB">
              <w:rPr>
                <w:rFonts w:ascii="Times New Roman" w:eastAsia="標楷體" w:hAnsi="Times New Roman" w:cs="Times New Roman"/>
                <w:color w:val="000000" w:themeColor="text1"/>
              </w:rPr>
              <w:t>Total investments</w:t>
            </w:r>
          </w:p>
        </w:tc>
        <w:tc>
          <w:tcPr>
            <w:tcW w:w="1533" w:type="dxa"/>
            <w:vAlign w:val="center"/>
          </w:tcPr>
          <w:p w14:paraId="4527AA69"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1,080,000,000 </w:t>
            </w:r>
          </w:p>
        </w:tc>
        <w:tc>
          <w:tcPr>
            <w:tcW w:w="1640" w:type="dxa"/>
            <w:vAlign w:val="center"/>
          </w:tcPr>
          <w:p w14:paraId="1DC147E0"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1,170,000,000 </w:t>
            </w:r>
          </w:p>
        </w:tc>
        <w:tc>
          <w:tcPr>
            <w:tcW w:w="1610" w:type="dxa"/>
            <w:vAlign w:val="center"/>
          </w:tcPr>
          <w:p w14:paraId="1AEF2C07"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298,000,000 </w:t>
            </w:r>
          </w:p>
        </w:tc>
        <w:tc>
          <w:tcPr>
            <w:tcW w:w="1589" w:type="dxa"/>
            <w:vAlign w:val="center"/>
          </w:tcPr>
          <w:p w14:paraId="6478BF3D"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569,000,000 </w:t>
            </w:r>
          </w:p>
        </w:tc>
      </w:tr>
      <w:tr w:rsidR="002E1A91" w:rsidRPr="004064EB" w14:paraId="44FF3082" w14:textId="77777777" w:rsidTr="00B542E8">
        <w:tc>
          <w:tcPr>
            <w:tcW w:w="2127" w:type="dxa"/>
            <w:vAlign w:val="center"/>
          </w:tcPr>
          <w:p w14:paraId="41FEA719"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Regression variables</w:t>
            </w:r>
          </w:p>
        </w:tc>
        <w:tc>
          <w:tcPr>
            <w:tcW w:w="1533" w:type="dxa"/>
            <w:vAlign w:val="center"/>
          </w:tcPr>
          <w:p w14:paraId="615D486A" w14:textId="77777777" w:rsidR="002E1A91" w:rsidRPr="004064EB" w:rsidRDefault="002E1A91" w:rsidP="00B542E8">
            <w:pPr>
              <w:spacing w:line="240" w:lineRule="auto"/>
              <w:jc w:val="right"/>
              <w:rPr>
                <w:rFonts w:ascii="Times New Roman" w:hAnsi="Times New Roman" w:cs="Times New Roman"/>
                <w:color w:val="000000" w:themeColor="text1"/>
              </w:rPr>
            </w:pPr>
          </w:p>
        </w:tc>
        <w:tc>
          <w:tcPr>
            <w:tcW w:w="1640" w:type="dxa"/>
            <w:vAlign w:val="center"/>
          </w:tcPr>
          <w:p w14:paraId="52AFFEA5" w14:textId="77777777" w:rsidR="002E1A91" w:rsidRPr="004064EB" w:rsidRDefault="002E1A91" w:rsidP="00B542E8">
            <w:pPr>
              <w:spacing w:line="240" w:lineRule="auto"/>
              <w:jc w:val="right"/>
              <w:rPr>
                <w:rFonts w:ascii="Times New Roman" w:hAnsi="Times New Roman" w:cs="Times New Roman"/>
                <w:color w:val="000000" w:themeColor="text1"/>
              </w:rPr>
            </w:pPr>
          </w:p>
        </w:tc>
        <w:tc>
          <w:tcPr>
            <w:tcW w:w="1610" w:type="dxa"/>
            <w:vAlign w:val="center"/>
          </w:tcPr>
          <w:p w14:paraId="44C8EE9C" w14:textId="77777777" w:rsidR="002E1A91" w:rsidRPr="004064EB" w:rsidRDefault="002E1A91" w:rsidP="00B542E8">
            <w:pPr>
              <w:spacing w:line="240" w:lineRule="auto"/>
              <w:jc w:val="right"/>
              <w:rPr>
                <w:rFonts w:ascii="Times New Roman" w:hAnsi="Times New Roman" w:cs="Times New Roman"/>
                <w:color w:val="000000" w:themeColor="text1"/>
              </w:rPr>
            </w:pPr>
          </w:p>
        </w:tc>
        <w:tc>
          <w:tcPr>
            <w:tcW w:w="1589" w:type="dxa"/>
            <w:vAlign w:val="center"/>
          </w:tcPr>
          <w:p w14:paraId="6B76BB60" w14:textId="77777777" w:rsidR="002E1A91" w:rsidRPr="004064EB" w:rsidRDefault="002E1A91" w:rsidP="00B542E8">
            <w:pPr>
              <w:spacing w:line="240" w:lineRule="auto"/>
              <w:jc w:val="right"/>
              <w:rPr>
                <w:rFonts w:ascii="Times New Roman" w:hAnsi="Times New Roman" w:cs="Times New Roman"/>
                <w:color w:val="000000" w:themeColor="text1"/>
              </w:rPr>
            </w:pPr>
          </w:p>
        </w:tc>
      </w:tr>
      <w:tr w:rsidR="002E1A91" w:rsidRPr="004064EB" w14:paraId="53EC49E8" w14:textId="77777777" w:rsidTr="00B542E8">
        <w:tc>
          <w:tcPr>
            <w:tcW w:w="2127" w:type="dxa"/>
            <w:vAlign w:val="center"/>
          </w:tcPr>
          <w:p w14:paraId="0CF4D4F4" w14:textId="7DC1D802"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 xml:space="preserve">  </w:t>
            </w:r>
            <w:r w:rsidR="00B542E8">
              <w:rPr>
                <w:rFonts w:ascii="Times New Roman" w:eastAsia="標楷體" w:hAnsi="Times New Roman" w:cs="Times New Roman"/>
                <w:color w:val="000000" w:themeColor="text1"/>
              </w:rPr>
              <w:t xml:space="preserve">  </w:t>
            </w:r>
            <w:r w:rsidRPr="004064EB">
              <w:rPr>
                <w:rFonts w:ascii="Times New Roman" w:eastAsia="標楷體" w:hAnsi="Times New Roman" w:cs="Times New Roman"/>
                <w:color w:val="000000" w:themeColor="text1"/>
              </w:rPr>
              <w:t>Market share</w:t>
            </w:r>
          </w:p>
        </w:tc>
        <w:tc>
          <w:tcPr>
            <w:tcW w:w="1533" w:type="dxa"/>
            <w:vAlign w:val="center"/>
          </w:tcPr>
          <w:p w14:paraId="279A536F"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0.2099 </w:t>
            </w:r>
          </w:p>
        </w:tc>
        <w:tc>
          <w:tcPr>
            <w:tcW w:w="1640" w:type="dxa"/>
            <w:vAlign w:val="center"/>
          </w:tcPr>
          <w:p w14:paraId="667F850A"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0.2241 </w:t>
            </w:r>
          </w:p>
        </w:tc>
        <w:tc>
          <w:tcPr>
            <w:tcW w:w="1610" w:type="dxa"/>
            <w:vAlign w:val="center"/>
          </w:tcPr>
          <w:p w14:paraId="451FC7EB"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0.0577 </w:t>
            </w:r>
          </w:p>
        </w:tc>
        <w:tc>
          <w:tcPr>
            <w:tcW w:w="1589" w:type="dxa"/>
            <w:vAlign w:val="center"/>
          </w:tcPr>
          <w:p w14:paraId="6F4562CD"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0.0955 </w:t>
            </w:r>
          </w:p>
        </w:tc>
      </w:tr>
      <w:tr w:rsidR="002E1A91" w:rsidRPr="004064EB" w14:paraId="01455EE3" w14:textId="77777777" w:rsidTr="00B542E8">
        <w:tc>
          <w:tcPr>
            <w:tcW w:w="2127" w:type="dxa"/>
            <w:tcBorders>
              <w:bottom w:val="single" w:sz="4" w:space="0" w:color="auto"/>
            </w:tcBorders>
            <w:vAlign w:val="center"/>
          </w:tcPr>
          <w:p w14:paraId="2ADC37CD" w14:textId="03656EC6"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 xml:space="preserve">  </w:t>
            </w:r>
            <w:r w:rsidR="00B542E8">
              <w:rPr>
                <w:rFonts w:ascii="Times New Roman" w:eastAsia="標楷體" w:hAnsi="Times New Roman" w:cs="Times New Roman"/>
                <w:color w:val="000000" w:themeColor="text1"/>
              </w:rPr>
              <w:t xml:space="preserve">  </w:t>
            </w:r>
            <w:r w:rsidRPr="004064EB">
              <w:rPr>
                <w:rFonts w:ascii="Times New Roman" w:eastAsia="標楷體" w:hAnsi="Times New Roman" w:cs="Times New Roman"/>
                <w:color w:val="000000" w:themeColor="text1"/>
              </w:rPr>
              <w:t>Total assets</w:t>
            </w:r>
          </w:p>
        </w:tc>
        <w:tc>
          <w:tcPr>
            <w:tcW w:w="1533" w:type="dxa"/>
            <w:tcBorders>
              <w:bottom w:val="single" w:sz="4" w:space="0" w:color="auto"/>
            </w:tcBorders>
            <w:vAlign w:val="center"/>
          </w:tcPr>
          <w:p w14:paraId="5D558A3D"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1,460,000,000 </w:t>
            </w:r>
          </w:p>
        </w:tc>
        <w:tc>
          <w:tcPr>
            <w:tcW w:w="1640" w:type="dxa"/>
            <w:tcBorders>
              <w:bottom w:val="single" w:sz="4" w:space="0" w:color="auto"/>
            </w:tcBorders>
            <w:vAlign w:val="center"/>
          </w:tcPr>
          <w:p w14:paraId="35A52D0A"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1,610,000,000 </w:t>
            </w:r>
          </w:p>
        </w:tc>
        <w:tc>
          <w:tcPr>
            <w:tcW w:w="1610" w:type="dxa"/>
            <w:tcBorders>
              <w:bottom w:val="single" w:sz="4" w:space="0" w:color="auto"/>
            </w:tcBorders>
            <w:vAlign w:val="center"/>
          </w:tcPr>
          <w:p w14:paraId="1CBD9B2C"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404,000,000 </w:t>
            </w:r>
          </w:p>
        </w:tc>
        <w:tc>
          <w:tcPr>
            <w:tcW w:w="1589" w:type="dxa"/>
            <w:tcBorders>
              <w:bottom w:val="single" w:sz="4" w:space="0" w:color="auto"/>
            </w:tcBorders>
            <w:vAlign w:val="center"/>
          </w:tcPr>
          <w:p w14:paraId="30F6A5DA" w14:textId="77777777" w:rsidR="002E1A91" w:rsidRPr="004064EB" w:rsidRDefault="002E1A91" w:rsidP="00B542E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680,000,000 </w:t>
            </w:r>
          </w:p>
        </w:tc>
      </w:tr>
    </w:tbl>
    <w:p w14:paraId="5D55D0E7" w14:textId="77777777" w:rsidR="002E1A91" w:rsidRPr="004064EB" w:rsidRDefault="002E1A91" w:rsidP="004064EB">
      <w:pPr>
        <w:spacing w:line="240" w:lineRule="auto"/>
        <w:rPr>
          <w:rFonts w:eastAsia="標楷體"/>
          <w:color w:val="000000" w:themeColor="text1"/>
          <w:sz w:val="20"/>
        </w:rPr>
      </w:pPr>
      <w:r w:rsidRPr="004064EB">
        <w:rPr>
          <w:rFonts w:eastAsia="標楷體"/>
          <w:color w:val="000000" w:themeColor="text1"/>
          <w:sz w:val="20"/>
        </w:rPr>
        <w:t>Notes: 1. A total of 61 observation values are collected for life insurance subsidiaries of FHCs</w:t>
      </w:r>
    </w:p>
    <w:p w14:paraId="403C0EBA" w14:textId="77777777" w:rsidR="002E1A91" w:rsidRPr="004064EB" w:rsidRDefault="002E1A91" w:rsidP="004064EB">
      <w:pPr>
        <w:spacing w:line="240" w:lineRule="auto"/>
        <w:rPr>
          <w:color w:val="000000" w:themeColor="text1"/>
        </w:rPr>
      </w:pPr>
      <w:r w:rsidRPr="004064EB">
        <w:rPr>
          <w:rFonts w:eastAsia="標楷體"/>
          <w:color w:val="000000" w:themeColor="text1"/>
          <w:sz w:val="20"/>
        </w:rPr>
        <w:t>2. A total of 61 observation values are collected for life insurance subsidiaries of non-FHCs</w:t>
      </w:r>
    </w:p>
    <w:p w14:paraId="63EEA00C" w14:textId="5F4FABBE" w:rsidR="00DE2F76" w:rsidRDefault="00DE2F76">
      <w:pPr>
        <w:spacing w:line="240" w:lineRule="auto"/>
      </w:pPr>
      <w:r>
        <w:br w:type="page"/>
      </w:r>
    </w:p>
    <w:p w14:paraId="0E7C7A7C" w14:textId="77777777" w:rsidR="004064EB" w:rsidRPr="004064EB" w:rsidRDefault="004064EB" w:rsidP="004064EB">
      <w:pPr>
        <w:spacing w:line="240" w:lineRule="auto"/>
      </w:pPr>
    </w:p>
    <w:p w14:paraId="6C5A57CC" w14:textId="77777777" w:rsidR="002E1A91" w:rsidRPr="00DE2F76" w:rsidRDefault="002E1A91" w:rsidP="00DE2F76">
      <w:pPr>
        <w:pStyle w:val="Tabletitle"/>
        <w:widowControl w:val="0"/>
        <w:adjustRightInd w:val="0"/>
        <w:spacing w:before="0" w:after="120" w:line="240" w:lineRule="auto"/>
        <w:jc w:val="center"/>
        <w:textAlignment w:val="baseline"/>
        <w:rPr>
          <w:rFonts w:eastAsia="新細明體"/>
          <w:b/>
          <w:sz w:val="22"/>
          <w:szCs w:val="20"/>
          <w:lang w:val="en-US" w:eastAsia="zh-TW"/>
        </w:rPr>
      </w:pPr>
      <w:r w:rsidRPr="00DE2F76">
        <w:rPr>
          <w:rFonts w:eastAsia="新細明體"/>
          <w:b/>
          <w:sz w:val="22"/>
          <w:szCs w:val="20"/>
          <w:lang w:val="en-US" w:eastAsia="zh-TW"/>
        </w:rPr>
        <w:t>Table 3</w:t>
      </w:r>
      <w:r w:rsidR="00950CFE" w:rsidRPr="00DE2F76">
        <w:rPr>
          <w:rFonts w:eastAsia="新細明體"/>
          <w:b/>
          <w:sz w:val="22"/>
          <w:szCs w:val="20"/>
          <w:lang w:val="en-US" w:eastAsia="zh-TW"/>
        </w:rPr>
        <w:t>.</w:t>
      </w:r>
      <w:r w:rsidRPr="00DE2F76">
        <w:rPr>
          <w:rFonts w:eastAsia="新細明體"/>
          <w:b/>
          <w:sz w:val="22"/>
          <w:szCs w:val="20"/>
          <w:lang w:val="en-US" w:eastAsia="zh-TW"/>
        </w:rPr>
        <w:t xml:space="preserve"> Statistics of input and output variables of domestic and foreign life insurance companies</w:t>
      </w:r>
    </w:p>
    <w:tbl>
      <w:tblPr>
        <w:tblStyle w:val="af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1416"/>
        <w:gridCol w:w="1648"/>
        <w:gridCol w:w="1645"/>
        <w:gridCol w:w="1621"/>
      </w:tblGrid>
      <w:tr w:rsidR="002E1A91" w:rsidRPr="004064EB" w14:paraId="45979EBA" w14:textId="77777777" w:rsidTr="004064EB">
        <w:tc>
          <w:tcPr>
            <w:tcW w:w="2268" w:type="dxa"/>
            <w:tcBorders>
              <w:top w:val="single" w:sz="4" w:space="0" w:color="auto"/>
              <w:bottom w:val="nil"/>
            </w:tcBorders>
            <w:vAlign w:val="center"/>
          </w:tcPr>
          <w:p w14:paraId="60E729DD" w14:textId="77777777" w:rsidR="002E1A91" w:rsidRPr="004064EB" w:rsidRDefault="002E1A91" w:rsidP="004064EB">
            <w:pPr>
              <w:spacing w:line="240" w:lineRule="auto"/>
              <w:rPr>
                <w:rFonts w:ascii="Times New Roman" w:eastAsia="標楷體" w:hAnsi="Times New Roman" w:cs="Times New Roman"/>
                <w:color w:val="000000" w:themeColor="text1"/>
              </w:rPr>
            </w:pPr>
          </w:p>
        </w:tc>
        <w:tc>
          <w:tcPr>
            <w:tcW w:w="2699" w:type="dxa"/>
            <w:gridSpan w:val="2"/>
            <w:tcBorders>
              <w:top w:val="single" w:sz="4" w:space="0" w:color="auto"/>
              <w:bottom w:val="single" w:sz="4" w:space="0" w:color="auto"/>
            </w:tcBorders>
          </w:tcPr>
          <w:p w14:paraId="1F3DEDC3" w14:textId="77777777" w:rsidR="002E1A91" w:rsidRPr="004064EB" w:rsidRDefault="002E1A91" w:rsidP="004064EB">
            <w:pPr>
              <w:spacing w:line="240" w:lineRule="auto"/>
              <w:jc w:val="center"/>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Domestic</w:t>
            </w:r>
          </w:p>
        </w:tc>
        <w:tc>
          <w:tcPr>
            <w:tcW w:w="3329" w:type="dxa"/>
            <w:gridSpan w:val="2"/>
            <w:tcBorders>
              <w:top w:val="single" w:sz="4" w:space="0" w:color="auto"/>
              <w:bottom w:val="single" w:sz="4" w:space="0" w:color="auto"/>
            </w:tcBorders>
          </w:tcPr>
          <w:p w14:paraId="25D70997" w14:textId="77777777" w:rsidR="002E1A91" w:rsidRPr="004064EB" w:rsidRDefault="002E1A91" w:rsidP="004064EB">
            <w:pPr>
              <w:spacing w:line="240" w:lineRule="auto"/>
              <w:jc w:val="center"/>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Foreign</w:t>
            </w:r>
          </w:p>
        </w:tc>
      </w:tr>
      <w:tr w:rsidR="002E1A91" w:rsidRPr="004064EB" w14:paraId="2737FC8A" w14:textId="77777777" w:rsidTr="004064EB">
        <w:tc>
          <w:tcPr>
            <w:tcW w:w="2268" w:type="dxa"/>
            <w:tcBorders>
              <w:top w:val="nil"/>
              <w:bottom w:val="single" w:sz="4" w:space="0" w:color="auto"/>
            </w:tcBorders>
            <w:vAlign w:val="center"/>
          </w:tcPr>
          <w:p w14:paraId="64B11A3D"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Variable</w:t>
            </w:r>
          </w:p>
        </w:tc>
        <w:tc>
          <w:tcPr>
            <w:tcW w:w="1044" w:type="dxa"/>
            <w:tcBorders>
              <w:top w:val="single" w:sz="4" w:space="0" w:color="auto"/>
              <w:bottom w:val="single" w:sz="4" w:space="0" w:color="auto"/>
            </w:tcBorders>
            <w:vAlign w:val="center"/>
          </w:tcPr>
          <w:p w14:paraId="794879BD"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Mean</w:t>
            </w:r>
          </w:p>
        </w:tc>
        <w:tc>
          <w:tcPr>
            <w:tcW w:w="1655" w:type="dxa"/>
            <w:tcBorders>
              <w:top w:val="single" w:sz="4" w:space="0" w:color="auto"/>
              <w:bottom w:val="single" w:sz="4" w:space="0" w:color="auto"/>
            </w:tcBorders>
            <w:vAlign w:val="center"/>
          </w:tcPr>
          <w:p w14:paraId="6C7330DB"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Standard error</w:t>
            </w:r>
          </w:p>
        </w:tc>
        <w:tc>
          <w:tcPr>
            <w:tcW w:w="1678" w:type="dxa"/>
            <w:tcBorders>
              <w:top w:val="single" w:sz="4" w:space="0" w:color="auto"/>
              <w:bottom w:val="single" w:sz="4" w:space="0" w:color="auto"/>
            </w:tcBorders>
            <w:vAlign w:val="center"/>
          </w:tcPr>
          <w:p w14:paraId="1A2642AA"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Mean</w:t>
            </w:r>
          </w:p>
        </w:tc>
        <w:tc>
          <w:tcPr>
            <w:tcW w:w="1651" w:type="dxa"/>
            <w:tcBorders>
              <w:top w:val="single" w:sz="4" w:space="0" w:color="auto"/>
              <w:bottom w:val="single" w:sz="4" w:space="0" w:color="auto"/>
            </w:tcBorders>
            <w:vAlign w:val="center"/>
          </w:tcPr>
          <w:p w14:paraId="48D82609"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Standard error</w:t>
            </w:r>
          </w:p>
        </w:tc>
      </w:tr>
      <w:tr w:rsidR="002E1A91" w:rsidRPr="004064EB" w14:paraId="10CC1A90" w14:textId="77777777" w:rsidTr="004064EB">
        <w:tc>
          <w:tcPr>
            <w:tcW w:w="2268" w:type="dxa"/>
            <w:tcBorders>
              <w:top w:val="single" w:sz="4" w:space="0" w:color="auto"/>
            </w:tcBorders>
            <w:vAlign w:val="center"/>
          </w:tcPr>
          <w:p w14:paraId="29E008BC"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Input variables</w:t>
            </w:r>
          </w:p>
        </w:tc>
        <w:tc>
          <w:tcPr>
            <w:tcW w:w="1044" w:type="dxa"/>
            <w:tcBorders>
              <w:top w:val="single" w:sz="4" w:space="0" w:color="auto"/>
            </w:tcBorders>
            <w:vAlign w:val="center"/>
          </w:tcPr>
          <w:p w14:paraId="12BBDC88" w14:textId="77777777" w:rsidR="002E1A91" w:rsidRPr="004064EB" w:rsidRDefault="002E1A91" w:rsidP="004064EB">
            <w:pPr>
              <w:spacing w:line="240" w:lineRule="auto"/>
              <w:rPr>
                <w:rFonts w:ascii="Times New Roman" w:hAnsi="Times New Roman" w:cs="Times New Roman"/>
                <w:color w:val="000000" w:themeColor="text1"/>
              </w:rPr>
            </w:pPr>
          </w:p>
        </w:tc>
        <w:tc>
          <w:tcPr>
            <w:tcW w:w="1655" w:type="dxa"/>
            <w:tcBorders>
              <w:top w:val="single" w:sz="4" w:space="0" w:color="auto"/>
            </w:tcBorders>
            <w:vAlign w:val="center"/>
          </w:tcPr>
          <w:p w14:paraId="4C0804C7" w14:textId="77777777" w:rsidR="002E1A91" w:rsidRPr="004064EB" w:rsidRDefault="002E1A91" w:rsidP="004064EB">
            <w:pPr>
              <w:spacing w:line="240" w:lineRule="auto"/>
              <w:rPr>
                <w:rFonts w:ascii="Times New Roman" w:hAnsi="Times New Roman" w:cs="Times New Roman"/>
                <w:color w:val="000000" w:themeColor="text1"/>
              </w:rPr>
            </w:pPr>
          </w:p>
        </w:tc>
        <w:tc>
          <w:tcPr>
            <w:tcW w:w="1678" w:type="dxa"/>
            <w:tcBorders>
              <w:top w:val="single" w:sz="4" w:space="0" w:color="auto"/>
            </w:tcBorders>
            <w:vAlign w:val="center"/>
          </w:tcPr>
          <w:p w14:paraId="6AAC290C" w14:textId="77777777" w:rsidR="002E1A91" w:rsidRPr="004064EB" w:rsidRDefault="002E1A91" w:rsidP="004064EB">
            <w:pPr>
              <w:spacing w:line="240" w:lineRule="auto"/>
              <w:rPr>
                <w:rFonts w:ascii="Times New Roman" w:hAnsi="Times New Roman" w:cs="Times New Roman"/>
                <w:color w:val="000000" w:themeColor="text1"/>
              </w:rPr>
            </w:pPr>
          </w:p>
        </w:tc>
        <w:tc>
          <w:tcPr>
            <w:tcW w:w="1651" w:type="dxa"/>
            <w:tcBorders>
              <w:top w:val="single" w:sz="4" w:space="0" w:color="auto"/>
            </w:tcBorders>
            <w:vAlign w:val="center"/>
          </w:tcPr>
          <w:p w14:paraId="69AF9AA2" w14:textId="77777777" w:rsidR="002E1A91" w:rsidRPr="004064EB" w:rsidRDefault="002E1A91" w:rsidP="004064EB">
            <w:pPr>
              <w:spacing w:line="240" w:lineRule="auto"/>
              <w:rPr>
                <w:rFonts w:ascii="Times New Roman" w:hAnsi="Times New Roman" w:cs="Times New Roman"/>
                <w:color w:val="000000" w:themeColor="text1"/>
              </w:rPr>
            </w:pPr>
          </w:p>
        </w:tc>
      </w:tr>
      <w:tr w:rsidR="002E1A91" w:rsidRPr="004064EB" w14:paraId="447DC505" w14:textId="77777777" w:rsidTr="004064EB">
        <w:tc>
          <w:tcPr>
            <w:tcW w:w="2268" w:type="dxa"/>
            <w:vAlign w:val="center"/>
          </w:tcPr>
          <w:p w14:paraId="0123B466" w14:textId="47ECAF29" w:rsidR="002E1A91" w:rsidRPr="004064EB" w:rsidRDefault="002E1A91" w:rsidP="00A76158">
            <w:pPr>
              <w:spacing w:line="240" w:lineRule="auto"/>
              <w:ind w:left="240" w:hangingChars="100" w:hanging="240"/>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 xml:space="preserve">  </w:t>
            </w:r>
            <w:r w:rsidR="00A76158">
              <w:rPr>
                <w:rFonts w:ascii="Times New Roman" w:eastAsia="標楷體" w:hAnsi="Times New Roman" w:cs="Times New Roman"/>
                <w:color w:val="000000" w:themeColor="text1"/>
              </w:rPr>
              <w:t xml:space="preserve">  </w:t>
            </w:r>
            <w:r w:rsidRPr="004064EB">
              <w:rPr>
                <w:rFonts w:ascii="Times New Roman" w:eastAsia="標楷體" w:hAnsi="Times New Roman" w:cs="Times New Roman"/>
                <w:color w:val="000000" w:themeColor="text1"/>
              </w:rPr>
              <w:t>Number of employees</w:t>
            </w:r>
          </w:p>
        </w:tc>
        <w:tc>
          <w:tcPr>
            <w:tcW w:w="1044" w:type="dxa"/>
            <w:vAlign w:val="center"/>
          </w:tcPr>
          <w:p w14:paraId="51CC555E"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7598 </w:t>
            </w:r>
          </w:p>
        </w:tc>
        <w:tc>
          <w:tcPr>
            <w:tcW w:w="1655" w:type="dxa"/>
            <w:vAlign w:val="center"/>
          </w:tcPr>
          <w:p w14:paraId="26F3C65A"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10458 </w:t>
            </w:r>
          </w:p>
        </w:tc>
        <w:tc>
          <w:tcPr>
            <w:tcW w:w="1678" w:type="dxa"/>
            <w:vAlign w:val="center"/>
          </w:tcPr>
          <w:p w14:paraId="710D2968"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1758 </w:t>
            </w:r>
          </w:p>
        </w:tc>
        <w:tc>
          <w:tcPr>
            <w:tcW w:w="1651" w:type="dxa"/>
            <w:vAlign w:val="center"/>
          </w:tcPr>
          <w:p w14:paraId="20FA7C42"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2009 </w:t>
            </w:r>
          </w:p>
        </w:tc>
      </w:tr>
      <w:tr w:rsidR="002E1A91" w:rsidRPr="004064EB" w14:paraId="307A83C6" w14:textId="77777777" w:rsidTr="004064EB">
        <w:tc>
          <w:tcPr>
            <w:tcW w:w="2268" w:type="dxa"/>
            <w:vAlign w:val="center"/>
          </w:tcPr>
          <w:p w14:paraId="27FC30E0" w14:textId="1403827A"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 xml:space="preserve">  </w:t>
            </w:r>
            <w:r w:rsidR="00A76158">
              <w:rPr>
                <w:rFonts w:ascii="Times New Roman" w:eastAsia="標楷體" w:hAnsi="Times New Roman" w:cs="Times New Roman"/>
                <w:color w:val="000000" w:themeColor="text1"/>
              </w:rPr>
              <w:t xml:space="preserve">  </w:t>
            </w:r>
            <w:r w:rsidRPr="004064EB">
              <w:rPr>
                <w:rFonts w:ascii="Times New Roman" w:eastAsia="標楷體" w:hAnsi="Times New Roman" w:cs="Times New Roman"/>
                <w:color w:val="000000" w:themeColor="text1"/>
              </w:rPr>
              <w:t xml:space="preserve">Debt </w:t>
            </w:r>
          </w:p>
        </w:tc>
        <w:tc>
          <w:tcPr>
            <w:tcW w:w="1044" w:type="dxa"/>
            <w:vAlign w:val="center"/>
          </w:tcPr>
          <w:p w14:paraId="10EBD5F9"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918,000,000 </w:t>
            </w:r>
          </w:p>
        </w:tc>
        <w:tc>
          <w:tcPr>
            <w:tcW w:w="1655" w:type="dxa"/>
            <w:vAlign w:val="center"/>
          </w:tcPr>
          <w:p w14:paraId="427C67B5"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1,230,000,000 </w:t>
            </w:r>
          </w:p>
        </w:tc>
        <w:tc>
          <w:tcPr>
            <w:tcW w:w="1678" w:type="dxa"/>
            <w:vAlign w:val="center"/>
          </w:tcPr>
          <w:p w14:paraId="39A351B6"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171,000,000 </w:t>
            </w:r>
          </w:p>
        </w:tc>
        <w:tc>
          <w:tcPr>
            <w:tcW w:w="1651" w:type="dxa"/>
            <w:vAlign w:val="center"/>
          </w:tcPr>
          <w:p w14:paraId="49828D7B"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232,000,000 </w:t>
            </w:r>
          </w:p>
        </w:tc>
      </w:tr>
      <w:tr w:rsidR="002E1A91" w:rsidRPr="004064EB" w14:paraId="701312F6" w14:textId="77777777" w:rsidTr="004064EB">
        <w:tc>
          <w:tcPr>
            <w:tcW w:w="2268" w:type="dxa"/>
            <w:vAlign w:val="center"/>
          </w:tcPr>
          <w:p w14:paraId="671DFF78" w14:textId="27FE284A"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 xml:space="preserve">  </w:t>
            </w:r>
            <w:r w:rsidR="00A76158">
              <w:rPr>
                <w:rFonts w:ascii="Times New Roman" w:eastAsia="標楷體" w:hAnsi="Times New Roman" w:cs="Times New Roman"/>
                <w:color w:val="000000" w:themeColor="text1"/>
              </w:rPr>
              <w:t xml:space="preserve">  </w:t>
            </w:r>
            <w:r w:rsidRPr="004064EB">
              <w:rPr>
                <w:rFonts w:ascii="Times New Roman" w:eastAsia="標楷體" w:hAnsi="Times New Roman" w:cs="Times New Roman"/>
                <w:color w:val="000000" w:themeColor="text1"/>
              </w:rPr>
              <w:t>Owner’s equity</w:t>
            </w:r>
          </w:p>
        </w:tc>
        <w:tc>
          <w:tcPr>
            <w:tcW w:w="1044" w:type="dxa"/>
            <w:vAlign w:val="center"/>
          </w:tcPr>
          <w:p w14:paraId="04DE95CF"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129,000,000 </w:t>
            </w:r>
          </w:p>
        </w:tc>
        <w:tc>
          <w:tcPr>
            <w:tcW w:w="1655" w:type="dxa"/>
            <w:vAlign w:val="center"/>
          </w:tcPr>
          <w:p w14:paraId="6A25D94C"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84,500,000 </w:t>
            </w:r>
          </w:p>
        </w:tc>
        <w:tc>
          <w:tcPr>
            <w:tcW w:w="1678" w:type="dxa"/>
            <w:vAlign w:val="center"/>
          </w:tcPr>
          <w:p w14:paraId="490E342A"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85,600,000 </w:t>
            </w:r>
          </w:p>
        </w:tc>
        <w:tc>
          <w:tcPr>
            <w:tcW w:w="1651" w:type="dxa"/>
            <w:vAlign w:val="center"/>
          </w:tcPr>
          <w:p w14:paraId="40F41D41"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6,237,504 </w:t>
            </w:r>
          </w:p>
        </w:tc>
      </w:tr>
      <w:tr w:rsidR="002E1A91" w:rsidRPr="004064EB" w14:paraId="76FE0682" w14:textId="77777777" w:rsidTr="004064EB">
        <w:tc>
          <w:tcPr>
            <w:tcW w:w="2268" w:type="dxa"/>
            <w:vAlign w:val="center"/>
          </w:tcPr>
          <w:p w14:paraId="26CB6B18"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Output variables</w:t>
            </w:r>
          </w:p>
        </w:tc>
        <w:tc>
          <w:tcPr>
            <w:tcW w:w="1044" w:type="dxa"/>
            <w:vAlign w:val="center"/>
          </w:tcPr>
          <w:p w14:paraId="64D837C8" w14:textId="77777777" w:rsidR="002E1A91" w:rsidRPr="004064EB" w:rsidRDefault="002E1A91" w:rsidP="00A76158">
            <w:pPr>
              <w:spacing w:line="240" w:lineRule="auto"/>
              <w:jc w:val="right"/>
              <w:rPr>
                <w:rFonts w:ascii="Times New Roman" w:hAnsi="Times New Roman" w:cs="Times New Roman"/>
                <w:color w:val="000000" w:themeColor="text1"/>
              </w:rPr>
            </w:pPr>
          </w:p>
        </w:tc>
        <w:tc>
          <w:tcPr>
            <w:tcW w:w="1655" w:type="dxa"/>
            <w:vAlign w:val="center"/>
          </w:tcPr>
          <w:p w14:paraId="55E0D91C" w14:textId="77777777" w:rsidR="002E1A91" w:rsidRPr="004064EB" w:rsidRDefault="002E1A91" w:rsidP="00A76158">
            <w:pPr>
              <w:spacing w:line="240" w:lineRule="auto"/>
              <w:jc w:val="right"/>
              <w:rPr>
                <w:rFonts w:ascii="Times New Roman" w:hAnsi="Times New Roman" w:cs="Times New Roman"/>
                <w:color w:val="000000" w:themeColor="text1"/>
              </w:rPr>
            </w:pPr>
          </w:p>
        </w:tc>
        <w:tc>
          <w:tcPr>
            <w:tcW w:w="1678" w:type="dxa"/>
            <w:vAlign w:val="center"/>
          </w:tcPr>
          <w:p w14:paraId="2DF5DEC4" w14:textId="77777777" w:rsidR="002E1A91" w:rsidRPr="004064EB" w:rsidRDefault="002E1A91" w:rsidP="00A76158">
            <w:pPr>
              <w:spacing w:line="240" w:lineRule="auto"/>
              <w:jc w:val="right"/>
              <w:rPr>
                <w:rFonts w:ascii="Times New Roman" w:hAnsi="Times New Roman" w:cs="Times New Roman"/>
                <w:color w:val="000000" w:themeColor="text1"/>
              </w:rPr>
            </w:pPr>
          </w:p>
        </w:tc>
        <w:tc>
          <w:tcPr>
            <w:tcW w:w="1651" w:type="dxa"/>
            <w:vAlign w:val="center"/>
          </w:tcPr>
          <w:p w14:paraId="4C6FC5A4" w14:textId="77777777" w:rsidR="002E1A91" w:rsidRPr="004064EB" w:rsidRDefault="002E1A91" w:rsidP="00A76158">
            <w:pPr>
              <w:spacing w:line="240" w:lineRule="auto"/>
              <w:jc w:val="right"/>
              <w:rPr>
                <w:rFonts w:ascii="Times New Roman" w:hAnsi="Times New Roman" w:cs="Times New Roman"/>
                <w:color w:val="000000" w:themeColor="text1"/>
              </w:rPr>
            </w:pPr>
          </w:p>
        </w:tc>
      </w:tr>
      <w:tr w:rsidR="002E1A91" w:rsidRPr="004064EB" w14:paraId="14F1901E" w14:textId="77777777" w:rsidTr="004064EB">
        <w:tc>
          <w:tcPr>
            <w:tcW w:w="2268" w:type="dxa"/>
            <w:vAlign w:val="center"/>
          </w:tcPr>
          <w:p w14:paraId="0A4C9294" w14:textId="70A201F4" w:rsidR="002E1A91" w:rsidRPr="004064EB" w:rsidRDefault="002E1A91" w:rsidP="00A76158">
            <w:pPr>
              <w:spacing w:line="240" w:lineRule="auto"/>
              <w:ind w:left="240" w:hangingChars="100" w:hanging="240"/>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 xml:space="preserve">  </w:t>
            </w:r>
            <w:r w:rsidR="00A76158">
              <w:rPr>
                <w:rFonts w:ascii="Times New Roman" w:eastAsia="標楷體" w:hAnsi="Times New Roman" w:cs="Times New Roman"/>
                <w:color w:val="000000" w:themeColor="text1"/>
              </w:rPr>
              <w:t xml:space="preserve">  </w:t>
            </w:r>
            <w:r w:rsidRPr="004064EB">
              <w:rPr>
                <w:rFonts w:ascii="Times New Roman" w:eastAsia="標楷體" w:hAnsi="Times New Roman" w:cs="Times New Roman"/>
                <w:color w:val="000000" w:themeColor="text1"/>
              </w:rPr>
              <w:t>Incurred benefits and addition to reserves</w:t>
            </w:r>
          </w:p>
        </w:tc>
        <w:tc>
          <w:tcPr>
            <w:tcW w:w="1044" w:type="dxa"/>
            <w:vAlign w:val="center"/>
          </w:tcPr>
          <w:p w14:paraId="369FFA3A"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146,000,000 </w:t>
            </w:r>
          </w:p>
        </w:tc>
        <w:tc>
          <w:tcPr>
            <w:tcW w:w="1655" w:type="dxa"/>
            <w:vAlign w:val="center"/>
          </w:tcPr>
          <w:p w14:paraId="324F6155"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190,000,000 </w:t>
            </w:r>
          </w:p>
        </w:tc>
        <w:tc>
          <w:tcPr>
            <w:tcW w:w="1678" w:type="dxa"/>
            <w:vAlign w:val="center"/>
          </w:tcPr>
          <w:p w14:paraId="2A55C0B0"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21,800,000 </w:t>
            </w:r>
          </w:p>
        </w:tc>
        <w:tc>
          <w:tcPr>
            <w:tcW w:w="1651" w:type="dxa"/>
            <w:vAlign w:val="center"/>
          </w:tcPr>
          <w:p w14:paraId="36CDEC5E"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67,400,000 </w:t>
            </w:r>
          </w:p>
        </w:tc>
      </w:tr>
      <w:tr w:rsidR="002E1A91" w:rsidRPr="004064EB" w14:paraId="2F742A7F" w14:textId="77777777" w:rsidTr="004064EB">
        <w:tc>
          <w:tcPr>
            <w:tcW w:w="2268" w:type="dxa"/>
            <w:vAlign w:val="center"/>
          </w:tcPr>
          <w:p w14:paraId="12328AB2" w14:textId="54A9E70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 xml:space="preserve">  </w:t>
            </w:r>
            <w:r w:rsidR="00A76158">
              <w:rPr>
                <w:rFonts w:ascii="Times New Roman" w:eastAsia="標楷體" w:hAnsi="Times New Roman" w:cs="Times New Roman"/>
                <w:color w:val="000000" w:themeColor="text1"/>
              </w:rPr>
              <w:t xml:space="preserve">  </w:t>
            </w:r>
            <w:r w:rsidRPr="004064EB">
              <w:rPr>
                <w:rFonts w:ascii="Times New Roman" w:eastAsia="標楷體" w:hAnsi="Times New Roman" w:cs="Times New Roman"/>
                <w:color w:val="000000" w:themeColor="text1"/>
              </w:rPr>
              <w:t>Total investments</w:t>
            </w:r>
          </w:p>
        </w:tc>
        <w:tc>
          <w:tcPr>
            <w:tcW w:w="1044" w:type="dxa"/>
            <w:vAlign w:val="center"/>
          </w:tcPr>
          <w:p w14:paraId="37FF8031"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723,000,000 </w:t>
            </w:r>
          </w:p>
        </w:tc>
        <w:tc>
          <w:tcPr>
            <w:tcW w:w="1655" w:type="dxa"/>
            <w:vAlign w:val="center"/>
          </w:tcPr>
          <w:p w14:paraId="5FE5B41C"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984,000,000 </w:t>
            </w:r>
          </w:p>
        </w:tc>
        <w:tc>
          <w:tcPr>
            <w:tcW w:w="1678" w:type="dxa"/>
            <w:vAlign w:val="center"/>
          </w:tcPr>
          <w:p w14:paraId="0A3B8DFC"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102,000,000 </w:t>
            </w:r>
          </w:p>
        </w:tc>
        <w:tc>
          <w:tcPr>
            <w:tcW w:w="1651" w:type="dxa"/>
            <w:vAlign w:val="center"/>
          </w:tcPr>
          <w:p w14:paraId="29C2C108"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205,000,000 </w:t>
            </w:r>
          </w:p>
        </w:tc>
      </w:tr>
      <w:tr w:rsidR="002E1A91" w:rsidRPr="004064EB" w14:paraId="6320D8E8" w14:textId="77777777" w:rsidTr="004064EB">
        <w:tc>
          <w:tcPr>
            <w:tcW w:w="2268" w:type="dxa"/>
            <w:vAlign w:val="center"/>
          </w:tcPr>
          <w:p w14:paraId="168F14C5" w14:textId="7777777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Regression variables</w:t>
            </w:r>
          </w:p>
        </w:tc>
        <w:tc>
          <w:tcPr>
            <w:tcW w:w="1044" w:type="dxa"/>
            <w:vAlign w:val="center"/>
          </w:tcPr>
          <w:p w14:paraId="0A1C79C0" w14:textId="77777777" w:rsidR="002E1A91" w:rsidRPr="004064EB" w:rsidRDefault="002E1A91" w:rsidP="00A76158">
            <w:pPr>
              <w:spacing w:line="240" w:lineRule="auto"/>
              <w:jc w:val="right"/>
              <w:rPr>
                <w:rFonts w:ascii="Times New Roman" w:hAnsi="Times New Roman" w:cs="Times New Roman"/>
                <w:color w:val="000000" w:themeColor="text1"/>
              </w:rPr>
            </w:pPr>
          </w:p>
        </w:tc>
        <w:tc>
          <w:tcPr>
            <w:tcW w:w="1655" w:type="dxa"/>
            <w:vAlign w:val="center"/>
          </w:tcPr>
          <w:p w14:paraId="0177665D" w14:textId="77777777" w:rsidR="002E1A91" w:rsidRPr="004064EB" w:rsidRDefault="002E1A91" w:rsidP="00A76158">
            <w:pPr>
              <w:spacing w:line="240" w:lineRule="auto"/>
              <w:jc w:val="right"/>
              <w:rPr>
                <w:rFonts w:ascii="Times New Roman" w:hAnsi="Times New Roman" w:cs="Times New Roman"/>
                <w:color w:val="000000" w:themeColor="text1"/>
              </w:rPr>
            </w:pPr>
          </w:p>
        </w:tc>
        <w:tc>
          <w:tcPr>
            <w:tcW w:w="1678" w:type="dxa"/>
            <w:vAlign w:val="center"/>
          </w:tcPr>
          <w:p w14:paraId="5C9EA652" w14:textId="77777777" w:rsidR="002E1A91" w:rsidRPr="004064EB" w:rsidRDefault="002E1A91" w:rsidP="00A76158">
            <w:pPr>
              <w:spacing w:line="240" w:lineRule="auto"/>
              <w:jc w:val="right"/>
              <w:rPr>
                <w:rFonts w:ascii="Times New Roman" w:hAnsi="Times New Roman" w:cs="Times New Roman"/>
                <w:color w:val="000000" w:themeColor="text1"/>
              </w:rPr>
            </w:pPr>
          </w:p>
        </w:tc>
        <w:tc>
          <w:tcPr>
            <w:tcW w:w="1651" w:type="dxa"/>
            <w:vAlign w:val="center"/>
          </w:tcPr>
          <w:p w14:paraId="4D5F7BE5" w14:textId="77777777" w:rsidR="002E1A91" w:rsidRPr="004064EB" w:rsidRDefault="002E1A91" w:rsidP="00A76158">
            <w:pPr>
              <w:spacing w:line="240" w:lineRule="auto"/>
              <w:jc w:val="right"/>
              <w:rPr>
                <w:rFonts w:ascii="Times New Roman" w:hAnsi="Times New Roman" w:cs="Times New Roman"/>
                <w:color w:val="000000" w:themeColor="text1"/>
              </w:rPr>
            </w:pPr>
          </w:p>
        </w:tc>
      </w:tr>
      <w:tr w:rsidR="002E1A91" w:rsidRPr="004064EB" w14:paraId="01B8311F" w14:textId="77777777" w:rsidTr="004064EB">
        <w:tc>
          <w:tcPr>
            <w:tcW w:w="2268" w:type="dxa"/>
            <w:vAlign w:val="center"/>
          </w:tcPr>
          <w:p w14:paraId="7E2E1884" w14:textId="70FB1007"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 xml:space="preserve">  </w:t>
            </w:r>
            <w:r w:rsidR="00A76158">
              <w:rPr>
                <w:rFonts w:ascii="Times New Roman" w:eastAsia="標楷體" w:hAnsi="Times New Roman" w:cs="Times New Roman"/>
                <w:color w:val="000000" w:themeColor="text1"/>
              </w:rPr>
              <w:t xml:space="preserve">  </w:t>
            </w:r>
            <w:r w:rsidRPr="004064EB">
              <w:rPr>
                <w:rFonts w:ascii="Times New Roman" w:eastAsia="標楷體" w:hAnsi="Times New Roman" w:cs="Times New Roman"/>
                <w:color w:val="000000" w:themeColor="text1"/>
              </w:rPr>
              <w:t>Market share</w:t>
            </w:r>
          </w:p>
        </w:tc>
        <w:tc>
          <w:tcPr>
            <w:tcW w:w="1044" w:type="dxa"/>
            <w:vAlign w:val="center"/>
          </w:tcPr>
          <w:p w14:paraId="496F70CB"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0.1425 </w:t>
            </w:r>
          </w:p>
        </w:tc>
        <w:tc>
          <w:tcPr>
            <w:tcW w:w="1655" w:type="dxa"/>
            <w:vAlign w:val="center"/>
          </w:tcPr>
          <w:p w14:paraId="53470ADD"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0.1823 </w:t>
            </w:r>
          </w:p>
        </w:tc>
        <w:tc>
          <w:tcPr>
            <w:tcW w:w="1678" w:type="dxa"/>
            <w:vAlign w:val="center"/>
          </w:tcPr>
          <w:p w14:paraId="6778A86F"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0.0153 </w:t>
            </w:r>
          </w:p>
        </w:tc>
        <w:tc>
          <w:tcPr>
            <w:tcW w:w="1651" w:type="dxa"/>
            <w:vAlign w:val="center"/>
          </w:tcPr>
          <w:p w14:paraId="1AE29699"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0.0220 </w:t>
            </w:r>
          </w:p>
        </w:tc>
      </w:tr>
      <w:tr w:rsidR="002E1A91" w:rsidRPr="004064EB" w14:paraId="59E2542F" w14:textId="77777777" w:rsidTr="004064EB">
        <w:tc>
          <w:tcPr>
            <w:tcW w:w="2268" w:type="dxa"/>
            <w:vAlign w:val="center"/>
          </w:tcPr>
          <w:p w14:paraId="124114F5" w14:textId="60B8E7DB" w:rsidR="002E1A91" w:rsidRPr="004064EB" w:rsidRDefault="002E1A91" w:rsidP="004064EB">
            <w:pPr>
              <w:spacing w:line="240" w:lineRule="auto"/>
              <w:rPr>
                <w:rFonts w:ascii="Times New Roman" w:eastAsia="標楷體" w:hAnsi="Times New Roman" w:cs="Times New Roman"/>
                <w:color w:val="000000" w:themeColor="text1"/>
              </w:rPr>
            </w:pPr>
            <w:r w:rsidRPr="004064EB">
              <w:rPr>
                <w:rFonts w:ascii="Times New Roman" w:eastAsia="標楷體" w:hAnsi="Times New Roman" w:cs="Times New Roman"/>
                <w:color w:val="000000" w:themeColor="text1"/>
              </w:rPr>
              <w:t xml:space="preserve">  </w:t>
            </w:r>
            <w:r w:rsidR="00A76158">
              <w:rPr>
                <w:rFonts w:ascii="Times New Roman" w:eastAsia="標楷體" w:hAnsi="Times New Roman" w:cs="Times New Roman"/>
                <w:color w:val="000000" w:themeColor="text1"/>
              </w:rPr>
              <w:t xml:space="preserve">  </w:t>
            </w:r>
            <w:r w:rsidRPr="004064EB">
              <w:rPr>
                <w:rFonts w:ascii="Times New Roman" w:eastAsia="標楷體" w:hAnsi="Times New Roman" w:cs="Times New Roman"/>
                <w:color w:val="000000" w:themeColor="text1"/>
              </w:rPr>
              <w:t>Total assets</w:t>
            </w:r>
          </w:p>
        </w:tc>
        <w:tc>
          <w:tcPr>
            <w:tcW w:w="1044" w:type="dxa"/>
            <w:vAlign w:val="center"/>
          </w:tcPr>
          <w:p w14:paraId="65CDB24D"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967,000,000 </w:t>
            </w:r>
          </w:p>
        </w:tc>
        <w:tc>
          <w:tcPr>
            <w:tcW w:w="1655" w:type="dxa"/>
            <w:vAlign w:val="center"/>
          </w:tcPr>
          <w:p w14:paraId="1F3E26C4"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1,310,000,000 </w:t>
            </w:r>
          </w:p>
        </w:tc>
        <w:tc>
          <w:tcPr>
            <w:tcW w:w="1678" w:type="dxa"/>
            <w:vAlign w:val="center"/>
          </w:tcPr>
          <w:p w14:paraId="2E61EB2C"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177,000,000 </w:t>
            </w:r>
          </w:p>
        </w:tc>
        <w:tc>
          <w:tcPr>
            <w:tcW w:w="1651" w:type="dxa"/>
            <w:vAlign w:val="center"/>
          </w:tcPr>
          <w:p w14:paraId="7D87B2C6" w14:textId="77777777" w:rsidR="002E1A91" w:rsidRPr="004064EB" w:rsidRDefault="002E1A91" w:rsidP="00A76158">
            <w:pPr>
              <w:spacing w:line="240" w:lineRule="auto"/>
              <w:jc w:val="right"/>
              <w:rPr>
                <w:rFonts w:ascii="Times New Roman" w:hAnsi="Times New Roman" w:cs="Times New Roman"/>
                <w:color w:val="000000" w:themeColor="text1"/>
              </w:rPr>
            </w:pPr>
            <w:r w:rsidRPr="004064EB">
              <w:rPr>
                <w:rFonts w:ascii="Times New Roman" w:hAnsi="Times New Roman" w:cs="Times New Roman"/>
                <w:color w:val="000000" w:themeColor="text1"/>
              </w:rPr>
              <w:t xml:space="preserve">238,000,000 </w:t>
            </w:r>
          </w:p>
        </w:tc>
      </w:tr>
    </w:tbl>
    <w:p w14:paraId="5AC46B76" w14:textId="77777777" w:rsidR="002E1A91" w:rsidRPr="004064EB" w:rsidRDefault="002E1A91" w:rsidP="004064EB">
      <w:pPr>
        <w:spacing w:line="240" w:lineRule="auto"/>
        <w:rPr>
          <w:rFonts w:eastAsia="標楷體"/>
          <w:color w:val="000000" w:themeColor="text1"/>
          <w:sz w:val="20"/>
        </w:rPr>
      </w:pPr>
      <w:r w:rsidRPr="004064EB">
        <w:rPr>
          <w:rFonts w:eastAsia="標楷體"/>
          <w:color w:val="000000" w:themeColor="text1"/>
          <w:sz w:val="20"/>
        </w:rPr>
        <w:t xml:space="preserve">Notes: 1. A total of 136 observation values are collected for domestic life insurance companies </w:t>
      </w:r>
    </w:p>
    <w:p w14:paraId="2ED2F83E" w14:textId="43BBDADE" w:rsidR="002E1A91" w:rsidRPr="00CD3128" w:rsidRDefault="002E1A91" w:rsidP="004064EB">
      <w:pPr>
        <w:spacing w:line="240" w:lineRule="auto"/>
        <w:rPr>
          <w:rFonts w:eastAsia="標楷體"/>
          <w:color w:val="000000" w:themeColor="text1"/>
        </w:rPr>
      </w:pPr>
      <w:r w:rsidRPr="004064EB">
        <w:rPr>
          <w:rFonts w:eastAsia="標楷體"/>
          <w:color w:val="000000" w:themeColor="text1"/>
          <w:sz w:val="20"/>
        </w:rPr>
        <w:t>2. A total of 53 observation values are collected for foreign insurance companies</w:t>
      </w:r>
    </w:p>
    <w:p w14:paraId="47D0D8AB" w14:textId="3214FC87" w:rsidR="00C85984" w:rsidRPr="00CD3128" w:rsidRDefault="00C85984" w:rsidP="004064EB">
      <w:pPr>
        <w:spacing w:line="240" w:lineRule="auto"/>
      </w:pPr>
    </w:p>
    <w:p w14:paraId="6A2889CD" w14:textId="77777777" w:rsidR="00C85984" w:rsidRPr="00CD3128" w:rsidRDefault="00C85984" w:rsidP="004064EB">
      <w:pPr>
        <w:spacing w:line="240" w:lineRule="auto"/>
      </w:pPr>
    </w:p>
    <w:p w14:paraId="2480B649" w14:textId="6CE8A6A9" w:rsidR="002E1A91" w:rsidRPr="00DE2F76" w:rsidRDefault="002E1A91" w:rsidP="00DE2F76">
      <w:pPr>
        <w:pStyle w:val="Tabletitle"/>
        <w:widowControl w:val="0"/>
        <w:adjustRightInd w:val="0"/>
        <w:spacing w:before="0" w:after="120" w:line="240" w:lineRule="auto"/>
        <w:jc w:val="center"/>
        <w:textAlignment w:val="baseline"/>
        <w:rPr>
          <w:rFonts w:eastAsia="新細明體"/>
          <w:b/>
          <w:sz w:val="22"/>
          <w:szCs w:val="20"/>
          <w:lang w:val="en-US" w:eastAsia="zh-TW"/>
        </w:rPr>
      </w:pPr>
      <w:r w:rsidRPr="00DE2F76">
        <w:rPr>
          <w:rFonts w:eastAsia="新細明體"/>
          <w:b/>
          <w:sz w:val="22"/>
          <w:szCs w:val="20"/>
          <w:lang w:val="en-US" w:eastAsia="zh-TW"/>
        </w:rPr>
        <w:t>Table 4</w:t>
      </w:r>
      <w:r w:rsidR="00C85984" w:rsidRPr="00DE2F76">
        <w:rPr>
          <w:rFonts w:eastAsia="新細明體"/>
          <w:b/>
          <w:sz w:val="22"/>
          <w:szCs w:val="20"/>
          <w:lang w:val="en-US" w:eastAsia="zh-TW"/>
        </w:rPr>
        <w:t>.</w:t>
      </w:r>
      <w:r w:rsidRPr="00DE2F76">
        <w:rPr>
          <w:rFonts w:eastAsia="新細明體"/>
          <w:b/>
          <w:sz w:val="22"/>
          <w:szCs w:val="20"/>
          <w:lang w:val="en-US" w:eastAsia="zh-TW"/>
        </w:rPr>
        <w:t xml:space="preserve"> DEA efficiency scores</w:t>
      </w:r>
    </w:p>
    <w:tbl>
      <w:tblPr>
        <w:tblStyle w:val="af4"/>
        <w:tblW w:w="8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953"/>
        <w:gridCol w:w="1237"/>
        <w:gridCol w:w="1236"/>
        <w:gridCol w:w="1237"/>
        <w:gridCol w:w="1237"/>
      </w:tblGrid>
      <w:tr w:rsidR="002E1A91" w:rsidRPr="00CD3128" w14:paraId="6D9B1850" w14:textId="77777777" w:rsidTr="004064EB">
        <w:tc>
          <w:tcPr>
            <w:tcW w:w="2268" w:type="dxa"/>
            <w:tcBorders>
              <w:top w:val="single" w:sz="4" w:space="0" w:color="auto"/>
              <w:bottom w:val="single" w:sz="4" w:space="0" w:color="auto"/>
            </w:tcBorders>
            <w:vAlign w:val="center"/>
          </w:tcPr>
          <w:p w14:paraId="78DDD087" w14:textId="77777777" w:rsidR="002E1A91" w:rsidRPr="00CD3128" w:rsidRDefault="002E1A91" w:rsidP="004064EB">
            <w:pPr>
              <w:spacing w:line="240" w:lineRule="auto"/>
              <w:rPr>
                <w:rFonts w:ascii="Times New Roman" w:eastAsia="標楷體" w:hAnsi="Times New Roman" w:cs="Times New Roman"/>
                <w:color w:val="000000" w:themeColor="text1"/>
              </w:rPr>
            </w:pPr>
          </w:p>
        </w:tc>
        <w:tc>
          <w:tcPr>
            <w:tcW w:w="953" w:type="dxa"/>
            <w:tcBorders>
              <w:top w:val="single" w:sz="4" w:space="0" w:color="auto"/>
              <w:bottom w:val="single" w:sz="4" w:space="0" w:color="auto"/>
            </w:tcBorders>
            <w:vAlign w:val="center"/>
          </w:tcPr>
          <w:p w14:paraId="7095CC37" w14:textId="77777777" w:rsidR="002E1A91" w:rsidRPr="00CD3128" w:rsidRDefault="002E1A91" w:rsidP="004064EB">
            <w:pPr>
              <w:spacing w:line="240" w:lineRule="auto"/>
              <w:rPr>
                <w:rFonts w:ascii="Times New Roman" w:eastAsia="標楷體" w:hAnsi="Times New Roman" w:cs="Times New Roman"/>
                <w:color w:val="000000" w:themeColor="text1"/>
              </w:rPr>
            </w:pPr>
            <w:r w:rsidRPr="00CD3128">
              <w:rPr>
                <w:rFonts w:ascii="Times New Roman" w:eastAsia="標楷體" w:hAnsi="Times New Roman" w:cs="Times New Roman"/>
                <w:color w:val="000000" w:themeColor="text1"/>
              </w:rPr>
              <w:t>Mean</w:t>
            </w:r>
          </w:p>
        </w:tc>
        <w:tc>
          <w:tcPr>
            <w:tcW w:w="1237" w:type="dxa"/>
            <w:tcBorders>
              <w:top w:val="single" w:sz="4" w:space="0" w:color="auto"/>
              <w:bottom w:val="single" w:sz="4" w:space="0" w:color="auto"/>
            </w:tcBorders>
            <w:vAlign w:val="center"/>
          </w:tcPr>
          <w:p w14:paraId="3DC85FE1" w14:textId="77777777" w:rsidR="002E1A91" w:rsidRPr="00CD3128" w:rsidRDefault="002E1A91" w:rsidP="004064EB">
            <w:pPr>
              <w:spacing w:line="240" w:lineRule="auto"/>
              <w:rPr>
                <w:rFonts w:ascii="Times New Roman" w:eastAsia="標楷體" w:hAnsi="Times New Roman" w:cs="Times New Roman"/>
                <w:color w:val="000000" w:themeColor="text1"/>
              </w:rPr>
            </w:pPr>
            <w:r w:rsidRPr="00CD3128">
              <w:rPr>
                <w:rFonts w:ascii="Times New Roman" w:eastAsia="標楷體" w:hAnsi="Times New Roman" w:cs="Times New Roman"/>
                <w:color w:val="000000" w:themeColor="text1"/>
              </w:rPr>
              <w:t>Standard error</w:t>
            </w:r>
          </w:p>
        </w:tc>
        <w:tc>
          <w:tcPr>
            <w:tcW w:w="1236" w:type="dxa"/>
            <w:tcBorders>
              <w:top w:val="single" w:sz="4" w:space="0" w:color="auto"/>
              <w:bottom w:val="single" w:sz="4" w:space="0" w:color="auto"/>
            </w:tcBorders>
            <w:vAlign w:val="center"/>
          </w:tcPr>
          <w:p w14:paraId="4B1304FE" w14:textId="77777777" w:rsidR="002E1A91" w:rsidRPr="00CD3128" w:rsidRDefault="002E1A91" w:rsidP="004064EB">
            <w:pPr>
              <w:spacing w:line="240" w:lineRule="auto"/>
              <w:rPr>
                <w:rFonts w:ascii="Times New Roman" w:eastAsia="標楷體" w:hAnsi="Times New Roman" w:cs="Times New Roman"/>
                <w:color w:val="000000" w:themeColor="text1"/>
              </w:rPr>
            </w:pPr>
            <w:r w:rsidRPr="00CD3128">
              <w:rPr>
                <w:rFonts w:ascii="Times New Roman" w:eastAsia="標楷體" w:hAnsi="Times New Roman" w:cs="Times New Roman"/>
                <w:color w:val="000000" w:themeColor="text1"/>
              </w:rPr>
              <w:t>Minimum</w:t>
            </w:r>
          </w:p>
        </w:tc>
        <w:tc>
          <w:tcPr>
            <w:tcW w:w="1237" w:type="dxa"/>
            <w:tcBorders>
              <w:top w:val="single" w:sz="4" w:space="0" w:color="auto"/>
              <w:bottom w:val="single" w:sz="4" w:space="0" w:color="auto"/>
            </w:tcBorders>
            <w:vAlign w:val="center"/>
          </w:tcPr>
          <w:p w14:paraId="33B35E57" w14:textId="77777777" w:rsidR="002E1A91" w:rsidRPr="00CD3128" w:rsidRDefault="002E1A91" w:rsidP="004064EB">
            <w:pPr>
              <w:spacing w:line="240" w:lineRule="auto"/>
              <w:rPr>
                <w:rFonts w:ascii="Times New Roman" w:eastAsia="標楷體" w:hAnsi="Times New Roman" w:cs="Times New Roman"/>
                <w:color w:val="000000" w:themeColor="text1"/>
              </w:rPr>
            </w:pPr>
            <w:r w:rsidRPr="00CD3128">
              <w:rPr>
                <w:rFonts w:ascii="Times New Roman" w:eastAsia="標楷體" w:hAnsi="Times New Roman" w:cs="Times New Roman"/>
                <w:color w:val="000000" w:themeColor="text1"/>
              </w:rPr>
              <w:t>Maximum</w:t>
            </w:r>
          </w:p>
        </w:tc>
        <w:tc>
          <w:tcPr>
            <w:tcW w:w="1237" w:type="dxa"/>
            <w:tcBorders>
              <w:top w:val="single" w:sz="4" w:space="0" w:color="auto"/>
              <w:bottom w:val="single" w:sz="4" w:space="0" w:color="auto"/>
            </w:tcBorders>
            <w:vAlign w:val="center"/>
          </w:tcPr>
          <w:p w14:paraId="0336EFD3" w14:textId="77777777" w:rsidR="002E1A91" w:rsidRPr="00CD3128" w:rsidRDefault="002E1A91" w:rsidP="004064EB">
            <w:pPr>
              <w:spacing w:line="240" w:lineRule="auto"/>
              <w:rPr>
                <w:rFonts w:ascii="Times New Roman" w:eastAsia="標楷體" w:hAnsi="Times New Roman" w:cs="Times New Roman"/>
                <w:color w:val="000000" w:themeColor="text1"/>
              </w:rPr>
            </w:pPr>
            <w:r w:rsidRPr="00CD3128">
              <w:rPr>
                <w:rFonts w:ascii="Times New Roman" w:eastAsia="標楷體" w:hAnsi="Times New Roman" w:cs="Times New Roman"/>
                <w:color w:val="000000" w:themeColor="text1"/>
              </w:rPr>
              <w:t>*</w:t>
            </w:r>
            <w:r w:rsidRPr="00CD3128">
              <w:rPr>
                <w:rFonts w:ascii="Times New Roman" w:eastAsia="標楷體" w:hAnsi="Times New Roman" w:cs="Times New Roman"/>
                <w:i/>
                <w:color w:val="000000" w:themeColor="text1"/>
              </w:rPr>
              <w:t>p</w:t>
            </w:r>
            <w:r w:rsidRPr="00CD3128">
              <w:rPr>
                <w:rFonts w:ascii="Times New Roman" w:eastAsia="標楷體" w:hAnsi="Times New Roman" w:cs="Times New Roman"/>
                <w:color w:val="000000" w:themeColor="text1"/>
              </w:rPr>
              <w:t xml:space="preserve"> value</w:t>
            </w:r>
          </w:p>
        </w:tc>
      </w:tr>
      <w:tr w:rsidR="002E1A91" w:rsidRPr="00CD3128" w14:paraId="47A52913" w14:textId="77777777" w:rsidTr="004064EB">
        <w:tc>
          <w:tcPr>
            <w:tcW w:w="2268" w:type="dxa"/>
            <w:tcBorders>
              <w:top w:val="single" w:sz="4" w:space="0" w:color="auto"/>
            </w:tcBorders>
            <w:vAlign w:val="center"/>
          </w:tcPr>
          <w:p w14:paraId="7200AAC6" w14:textId="77777777" w:rsidR="002E1A91" w:rsidRPr="00CD3128" w:rsidRDefault="002E1A91" w:rsidP="004064EB">
            <w:pPr>
              <w:spacing w:line="240" w:lineRule="auto"/>
              <w:rPr>
                <w:rFonts w:ascii="Times New Roman" w:eastAsia="標楷體" w:hAnsi="Times New Roman" w:cs="Times New Roman"/>
                <w:color w:val="000000" w:themeColor="text1"/>
              </w:rPr>
            </w:pPr>
            <w:r w:rsidRPr="00CD3128">
              <w:rPr>
                <w:rFonts w:ascii="Times New Roman" w:eastAsia="標楷體" w:hAnsi="Times New Roman" w:cs="Times New Roman"/>
                <w:color w:val="000000" w:themeColor="text1"/>
              </w:rPr>
              <w:t xml:space="preserve">Panel A </w:t>
            </w:r>
          </w:p>
          <w:p w14:paraId="1EA46C7C" w14:textId="77777777" w:rsidR="002E1A91" w:rsidRPr="00CD3128" w:rsidRDefault="002E1A91" w:rsidP="004064EB">
            <w:pPr>
              <w:spacing w:line="240" w:lineRule="auto"/>
              <w:rPr>
                <w:rFonts w:ascii="Times New Roman" w:eastAsia="標楷體" w:hAnsi="Times New Roman" w:cs="Times New Roman"/>
                <w:color w:val="000000" w:themeColor="text1"/>
              </w:rPr>
            </w:pPr>
            <w:r w:rsidRPr="00CD3128">
              <w:rPr>
                <w:rFonts w:ascii="Times New Roman" w:eastAsia="標楷體" w:hAnsi="Times New Roman" w:cs="Times New Roman"/>
                <w:color w:val="000000" w:themeColor="text1"/>
              </w:rPr>
              <w:t xml:space="preserve">Bias-corrected efficiency scores </w:t>
            </w:r>
          </w:p>
        </w:tc>
        <w:tc>
          <w:tcPr>
            <w:tcW w:w="953" w:type="dxa"/>
            <w:tcBorders>
              <w:top w:val="single" w:sz="4" w:space="0" w:color="auto"/>
            </w:tcBorders>
            <w:vAlign w:val="center"/>
          </w:tcPr>
          <w:p w14:paraId="24E2A2F2" w14:textId="77777777" w:rsidR="002E1A91" w:rsidRPr="00CD3128" w:rsidRDefault="002E1A91" w:rsidP="004064EB">
            <w:pPr>
              <w:spacing w:line="240" w:lineRule="auto"/>
              <w:rPr>
                <w:rFonts w:ascii="Times New Roman" w:hAnsi="Times New Roman" w:cs="Times New Roman"/>
                <w:color w:val="000000" w:themeColor="text1"/>
                <w:highlight w:val="lightGray"/>
              </w:rPr>
            </w:pPr>
          </w:p>
        </w:tc>
        <w:tc>
          <w:tcPr>
            <w:tcW w:w="1237" w:type="dxa"/>
            <w:tcBorders>
              <w:top w:val="single" w:sz="4" w:space="0" w:color="auto"/>
            </w:tcBorders>
            <w:vAlign w:val="center"/>
          </w:tcPr>
          <w:p w14:paraId="2591E5D9" w14:textId="77777777" w:rsidR="002E1A91" w:rsidRPr="00CD3128" w:rsidRDefault="002E1A91" w:rsidP="004064EB">
            <w:pPr>
              <w:spacing w:line="240" w:lineRule="auto"/>
              <w:rPr>
                <w:rFonts w:ascii="Times New Roman" w:hAnsi="Times New Roman" w:cs="Times New Roman"/>
                <w:color w:val="000000" w:themeColor="text1"/>
                <w:highlight w:val="lightGray"/>
              </w:rPr>
            </w:pPr>
          </w:p>
        </w:tc>
        <w:tc>
          <w:tcPr>
            <w:tcW w:w="1236" w:type="dxa"/>
            <w:tcBorders>
              <w:top w:val="single" w:sz="4" w:space="0" w:color="auto"/>
            </w:tcBorders>
            <w:vAlign w:val="center"/>
          </w:tcPr>
          <w:p w14:paraId="692B77B1" w14:textId="77777777" w:rsidR="002E1A91" w:rsidRPr="00CD3128" w:rsidRDefault="002E1A91" w:rsidP="004064EB">
            <w:pPr>
              <w:spacing w:line="240" w:lineRule="auto"/>
              <w:rPr>
                <w:rFonts w:ascii="Times New Roman" w:hAnsi="Times New Roman" w:cs="Times New Roman"/>
                <w:color w:val="000000" w:themeColor="text1"/>
                <w:highlight w:val="lightGray"/>
              </w:rPr>
            </w:pPr>
          </w:p>
        </w:tc>
        <w:tc>
          <w:tcPr>
            <w:tcW w:w="1237" w:type="dxa"/>
            <w:tcBorders>
              <w:top w:val="single" w:sz="4" w:space="0" w:color="auto"/>
            </w:tcBorders>
            <w:vAlign w:val="center"/>
          </w:tcPr>
          <w:p w14:paraId="439BB48A" w14:textId="77777777" w:rsidR="002E1A91" w:rsidRPr="00CD3128" w:rsidRDefault="002E1A91" w:rsidP="004064EB">
            <w:pPr>
              <w:spacing w:line="240" w:lineRule="auto"/>
              <w:rPr>
                <w:rFonts w:ascii="Times New Roman" w:hAnsi="Times New Roman" w:cs="Times New Roman"/>
                <w:color w:val="000000" w:themeColor="text1"/>
                <w:highlight w:val="lightGray"/>
              </w:rPr>
            </w:pPr>
          </w:p>
        </w:tc>
        <w:tc>
          <w:tcPr>
            <w:tcW w:w="1237" w:type="dxa"/>
            <w:tcBorders>
              <w:top w:val="single" w:sz="4" w:space="0" w:color="auto"/>
            </w:tcBorders>
            <w:vAlign w:val="center"/>
          </w:tcPr>
          <w:p w14:paraId="4769F9E9" w14:textId="77777777" w:rsidR="002E1A91" w:rsidRPr="00CD3128" w:rsidRDefault="002E1A91" w:rsidP="004064EB">
            <w:pPr>
              <w:spacing w:line="240" w:lineRule="auto"/>
              <w:rPr>
                <w:rFonts w:ascii="Times New Roman" w:hAnsi="Times New Roman" w:cs="Times New Roman"/>
                <w:color w:val="000000" w:themeColor="text1"/>
                <w:highlight w:val="lightGray"/>
              </w:rPr>
            </w:pPr>
          </w:p>
        </w:tc>
      </w:tr>
      <w:tr w:rsidR="002E1A91" w:rsidRPr="00E62016" w14:paraId="1AD51A4B" w14:textId="77777777" w:rsidTr="004064EB">
        <w:tc>
          <w:tcPr>
            <w:tcW w:w="2268" w:type="dxa"/>
            <w:vAlign w:val="center"/>
          </w:tcPr>
          <w:p w14:paraId="2625980B" w14:textId="77777777" w:rsidR="002E1A91" w:rsidRPr="00E62016" w:rsidRDefault="002E1A91" w:rsidP="004064EB">
            <w:pPr>
              <w:spacing w:line="240" w:lineRule="auto"/>
              <w:rPr>
                <w:rFonts w:ascii="Times New Roman" w:eastAsia="標楷體" w:hAnsi="Times New Roman" w:cs="Times New Roman"/>
                <w:color w:val="000000" w:themeColor="text1"/>
              </w:rPr>
            </w:pPr>
            <w:r w:rsidRPr="00CD3128">
              <w:rPr>
                <w:rFonts w:ascii="Times New Roman" w:eastAsia="標楷體" w:hAnsi="Times New Roman" w:cs="Times New Roman"/>
                <w:color w:val="000000" w:themeColor="text1"/>
              </w:rPr>
              <w:t xml:space="preserve">  </w:t>
            </w:r>
            <w:r w:rsidRPr="00E62016">
              <w:rPr>
                <w:rFonts w:ascii="Times New Roman" w:eastAsia="標楷體" w:hAnsi="Times New Roman" w:cs="Times New Roman"/>
                <w:color w:val="000000" w:themeColor="text1"/>
              </w:rPr>
              <w:t>All sample</w:t>
            </w:r>
          </w:p>
        </w:tc>
        <w:tc>
          <w:tcPr>
            <w:tcW w:w="953" w:type="dxa"/>
            <w:shd w:val="clear" w:color="auto" w:fill="auto"/>
            <w:vAlign w:val="center"/>
          </w:tcPr>
          <w:p w14:paraId="0B46A52E"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0.8784 </w:t>
            </w:r>
          </w:p>
        </w:tc>
        <w:tc>
          <w:tcPr>
            <w:tcW w:w="1237" w:type="dxa"/>
            <w:shd w:val="clear" w:color="auto" w:fill="auto"/>
            <w:vAlign w:val="center"/>
          </w:tcPr>
          <w:p w14:paraId="303B9E9E"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0.0923 </w:t>
            </w:r>
          </w:p>
        </w:tc>
        <w:tc>
          <w:tcPr>
            <w:tcW w:w="1236" w:type="dxa"/>
            <w:shd w:val="clear" w:color="auto" w:fill="auto"/>
            <w:vAlign w:val="center"/>
          </w:tcPr>
          <w:p w14:paraId="7A40E31E"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0.4482 </w:t>
            </w:r>
          </w:p>
        </w:tc>
        <w:tc>
          <w:tcPr>
            <w:tcW w:w="1237" w:type="dxa"/>
            <w:shd w:val="clear" w:color="auto" w:fill="auto"/>
            <w:vAlign w:val="center"/>
          </w:tcPr>
          <w:p w14:paraId="2656004B"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0.9825 </w:t>
            </w:r>
          </w:p>
        </w:tc>
        <w:tc>
          <w:tcPr>
            <w:tcW w:w="1237" w:type="dxa"/>
            <w:shd w:val="clear" w:color="auto" w:fill="auto"/>
            <w:vAlign w:val="center"/>
          </w:tcPr>
          <w:p w14:paraId="4C56039A"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&lt;0.0001</w:t>
            </w:r>
          </w:p>
        </w:tc>
      </w:tr>
      <w:tr w:rsidR="002E1A91" w:rsidRPr="00E62016" w14:paraId="05F68155" w14:textId="77777777" w:rsidTr="004064EB">
        <w:tc>
          <w:tcPr>
            <w:tcW w:w="2268" w:type="dxa"/>
            <w:vAlign w:val="center"/>
          </w:tcPr>
          <w:p w14:paraId="7C5E5F92" w14:textId="77777777" w:rsidR="002E1A91" w:rsidRPr="00E62016" w:rsidRDefault="002E1A91" w:rsidP="004064EB">
            <w:pPr>
              <w:spacing w:line="240" w:lineRule="auto"/>
              <w:rPr>
                <w:rFonts w:ascii="Times New Roman" w:eastAsia="標楷體" w:hAnsi="Times New Roman" w:cs="Times New Roman"/>
                <w:color w:val="000000" w:themeColor="text1"/>
              </w:rPr>
            </w:pPr>
            <w:r w:rsidRPr="00E62016">
              <w:rPr>
                <w:rFonts w:ascii="Times New Roman" w:eastAsia="標楷體" w:hAnsi="Times New Roman" w:cs="Times New Roman"/>
                <w:color w:val="000000" w:themeColor="text1"/>
              </w:rPr>
              <w:t xml:space="preserve"> FHCs</w:t>
            </w:r>
          </w:p>
        </w:tc>
        <w:tc>
          <w:tcPr>
            <w:tcW w:w="953" w:type="dxa"/>
            <w:shd w:val="clear" w:color="auto" w:fill="auto"/>
            <w:vAlign w:val="center"/>
          </w:tcPr>
          <w:p w14:paraId="4B856A4F"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0.8820 </w:t>
            </w:r>
          </w:p>
        </w:tc>
        <w:tc>
          <w:tcPr>
            <w:tcW w:w="1237" w:type="dxa"/>
            <w:shd w:val="clear" w:color="auto" w:fill="auto"/>
            <w:vAlign w:val="center"/>
          </w:tcPr>
          <w:p w14:paraId="584C45B8"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0.0687 </w:t>
            </w:r>
          </w:p>
        </w:tc>
        <w:tc>
          <w:tcPr>
            <w:tcW w:w="1236" w:type="dxa"/>
            <w:shd w:val="clear" w:color="auto" w:fill="auto"/>
            <w:vAlign w:val="center"/>
          </w:tcPr>
          <w:p w14:paraId="011B88B4"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0.7449 </w:t>
            </w:r>
          </w:p>
        </w:tc>
        <w:tc>
          <w:tcPr>
            <w:tcW w:w="1237" w:type="dxa"/>
            <w:shd w:val="clear" w:color="auto" w:fill="auto"/>
            <w:vAlign w:val="center"/>
          </w:tcPr>
          <w:p w14:paraId="1858013D"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0.9825 </w:t>
            </w:r>
          </w:p>
        </w:tc>
        <w:tc>
          <w:tcPr>
            <w:tcW w:w="1237" w:type="dxa"/>
            <w:shd w:val="clear" w:color="auto" w:fill="auto"/>
            <w:vAlign w:val="center"/>
          </w:tcPr>
          <w:p w14:paraId="03343C35"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0.0014</w:t>
            </w:r>
          </w:p>
        </w:tc>
      </w:tr>
      <w:tr w:rsidR="002E1A91" w:rsidRPr="00E62016" w14:paraId="70EACF0C" w14:textId="77777777" w:rsidTr="004064EB">
        <w:tc>
          <w:tcPr>
            <w:tcW w:w="2268" w:type="dxa"/>
            <w:vAlign w:val="center"/>
          </w:tcPr>
          <w:p w14:paraId="5CCC3AF6" w14:textId="77777777" w:rsidR="002E1A91" w:rsidRPr="00E62016" w:rsidRDefault="002E1A91" w:rsidP="004064EB">
            <w:pPr>
              <w:spacing w:line="240" w:lineRule="auto"/>
              <w:rPr>
                <w:rFonts w:ascii="Times New Roman" w:eastAsia="標楷體" w:hAnsi="Times New Roman" w:cs="Times New Roman"/>
                <w:color w:val="000000" w:themeColor="text1"/>
              </w:rPr>
            </w:pPr>
            <w:r w:rsidRPr="00E62016">
              <w:rPr>
                <w:rFonts w:ascii="Times New Roman" w:eastAsia="標楷體" w:hAnsi="Times New Roman" w:cs="Times New Roman"/>
                <w:color w:val="000000" w:themeColor="text1"/>
              </w:rPr>
              <w:t xml:space="preserve"> non-FHCs </w:t>
            </w:r>
          </w:p>
        </w:tc>
        <w:tc>
          <w:tcPr>
            <w:tcW w:w="953" w:type="dxa"/>
            <w:shd w:val="clear" w:color="auto" w:fill="auto"/>
            <w:vAlign w:val="center"/>
          </w:tcPr>
          <w:p w14:paraId="21FED47A"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0.8766 </w:t>
            </w:r>
          </w:p>
        </w:tc>
        <w:tc>
          <w:tcPr>
            <w:tcW w:w="1237" w:type="dxa"/>
            <w:shd w:val="clear" w:color="auto" w:fill="auto"/>
            <w:vAlign w:val="center"/>
          </w:tcPr>
          <w:p w14:paraId="482A087D"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0.1018 </w:t>
            </w:r>
          </w:p>
        </w:tc>
        <w:tc>
          <w:tcPr>
            <w:tcW w:w="1236" w:type="dxa"/>
            <w:shd w:val="clear" w:color="auto" w:fill="auto"/>
            <w:vAlign w:val="center"/>
          </w:tcPr>
          <w:p w14:paraId="0F9477C8"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0.4482 </w:t>
            </w:r>
          </w:p>
        </w:tc>
        <w:tc>
          <w:tcPr>
            <w:tcW w:w="1237" w:type="dxa"/>
            <w:shd w:val="clear" w:color="auto" w:fill="auto"/>
            <w:vAlign w:val="center"/>
          </w:tcPr>
          <w:p w14:paraId="4DC3FB5D"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0.9817 </w:t>
            </w:r>
          </w:p>
        </w:tc>
        <w:tc>
          <w:tcPr>
            <w:tcW w:w="1237" w:type="dxa"/>
            <w:shd w:val="clear" w:color="auto" w:fill="auto"/>
            <w:vAlign w:val="center"/>
          </w:tcPr>
          <w:p w14:paraId="728EF21A"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0.0029</w:t>
            </w:r>
          </w:p>
        </w:tc>
      </w:tr>
      <w:tr w:rsidR="002E1A91" w:rsidRPr="00E62016" w14:paraId="6DE5E311" w14:textId="77777777" w:rsidTr="004064EB">
        <w:tc>
          <w:tcPr>
            <w:tcW w:w="2268" w:type="dxa"/>
            <w:vAlign w:val="center"/>
          </w:tcPr>
          <w:p w14:paraId="7B15E615" w14:textId="77777777" w:rsidR="002E1A91" w:rsidRPr="00E62016" w:rsidRDefault="002E1A91" w:rsidP="004064EB">
            <w:pPr>
              <w:spacing w:line="240" w:lineRule="auto"/>
              <w:rPr>
                <w:rFonts w:ascii="Times New Roman" w:eastAsia="標楷體" w:hAnsi="Times New Roman" w:cs="Times New Roman"/>
                <w:color w:val="000000" w:themeColor="text1"/>
              </w:rPr>
            </w:pPr>
            <w:r w:rsidRPr="00E62016">
              <w:rPr>
                <w:rFonts w:ascii="Times New Roman" w:eastAsia="標楷體" w:hAnsi="Times New Roman" w:cs="Times New Roman"/>
                <w:color w:val="000000" w:themeColor="text1"/>
              </w:rPr>
              <w:t xml:space="preserve">  Domestic </w:t>
            </w:r>
          </w:p>
        </w:tc>
        <w:tc>
          <w:tcPr>
            <w:tcW w:w="953" w:type="dxa"/>
            <w:shd w:val="clear" w:color="auto" w:fill="auto"/>
            <w:vAlign w:val="center"/>
          </w:tcPr>
          <w:p w14:paraId="1228B508"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0.8857 </w:t>
            </w:r>
          </w:p>
        </w:tc>
        <w:tc>
          <w:tcPr>
            <w:tcW w:w="1237" w:type="dxa"/>
            <w:shd w:val="clear" w:color="auto" w:fill="auto"/>
            <w:vAlign w:val="center"/>
          </w:tcPr>
          <w:p w14:paraId="3EB5C20F"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0.0627 </w:t>
            </w:r>
          </w:p>
        </w:tc>
        <w:tc>
          <w:tcPr>
            <w:tcW w:w="1236" w:type="dxa"/>
            <w:shd w:val="clear" w:color="auto" w:fill="auto"/>
            <w:vAlign w:val="center"/>
          </w:tcPr>
          <w:p w14:paraId="5DE27E3B"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0.7051 </w:t>
            </w:r>
          </w:p>
        </w:tc>
        <w:tc>
          <w:tcPr>
            <w:tcW w:w="1237" w:type="dxa"/>
            <w:shd w:val="clear" w:color="auto" w:fill="auto"/>
            <w:vAlign w:val="center"/>
          </w:tcPr>
          <w:p w14:paraId="551193E5"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0.9825 </w:t>
            </w:r>
          </w:p>
        </w:tc>
        <w:tc>
          <w:tcPr>
            <w:tcW w:w="1237" w:type="dxa"/>
            <w:shd w:val="clear" w:color="auto" w:fill="auto"/>
            <w:vAlign w:val="center"/>
          </w:tcPr>
          <w:p w14:paraId="1E6398B4"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0.0001</w:t>
            </w:r>
          </w:p>
        </w:tc>
      </w:tr>
      <w:tr w:rsidR="002E1A91" w:rsidRPr="00E62016" w14:paraId="53C0C546" w14:textId="77777777" w:rsidTr="004064EB">
        <w:tc>
          <w:tcPr>
            <w:tcW w:w="2268" w:type="dxa"/>
            <w:tcBorders>
              <w:bottom w:val="single" w:sz="4" w:space="0" w:color="auto"/>
            </w:tcBorders>
            <w:vAlign w:val="center"/>
          </w:tcPr>
          <w:p w14:paraId="2744ED6D" w14:textId="77777777" w:rsidR="002E1A91" w:rsidRPr="00E62016" w:rsidRDefault="002E1A91" w:rsidP="004064EB">
            <w:pPr>
              <w:spacing w:line="240" w:lineRule="auto"/>
              <w:rPr>
                <w:rFonts w:ascii="Times New Roman" w:eastAsia="標楷體" w:hAnsi="Times New Roman" w:cs="Times New Roman"/>
                <w:color w:val="000000" w:themeColor="text1"/>
              </w:rPr>
            </w:pPr>
            <w:r w:rsidRPr="00E62016">
              <w:rPr>
                <w:rFonts w:ascii="Times New Roman" w:eastAsia="標楷體" w:hAnsi="Times New Roman" w:cs="Times New Roman"/>
                <w:color w:val="000000" w:themeColor="text1"/>
              </w:rPr>
              <w:t xml:space="preserve">  Foreign</w:t>
            </w:r>
          </w:p>
        </w:tc>
        <w:tc>
          <w:tcPr>
            <w:tcW w:w="953" w:type="dxa"/>
            <w:tcBorders>
              <w:bottom w:val="single" w:sz="4" w:space="0" w:color="auto"/>
            </w:tcBorders>
            <w:shd w:val="clear" w:color="auto" w:fill="auto"/>
            <w:vAlign w:val="center"/>
          </w:tcPr>
          <w:p w14:paraId="1A5537F5"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0.8596 </w:t>
            </w:r>
          </w:p>
        </w:tc>
        <w:tc>
          <w:tcPr>
            <w:tcW w:w="1237" w:type="dxa"/>
            <w:tcBorders>
              <w:bottom w:val="single" w:sz="4" w:space="0" w:color="auto"/>
            </w:tcBorders>
            <w:shd w:val="clear" w:color="auto" w:fill="auto"/>
            <w:vAlign w:val="center"/>
          </w:tcPr>
          <w:p w14:paraId="52505ECF"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0.1417 </w:t>
            </w:r>
          </w:p>
        </w:tc>
        <w:tc>
          <w:tcPr>
            <w:tcW w:w="1236" w:type="dxa"/>
            <w:tcBorders>
              <w:bottom w:val="single" w:sz="4" w:space="0" w:color="auto"/>
            </w:tcBorders>
            <w:shd w:val="clear" w:color="auto" w:fill="auto"/>
            <w:vAlign w:val="center"/>
          </w:tcPr>
          <w:p w14:paraId="70521CDD"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0.4482 </w:t>
            </w:r>
          </w:p>
        </w:tc>
        <w:tc>
          <w:tcPr>
            <w:tcW w:w="1237" w:type="dxa"/>
            <w:tcBorders>
              <w:bottom w:val="single" w:sz="4" w:space="0" w:color="auto"/>
            </w:tcBorders>
            <w:shd w:val="clear" w:color="auto" w:fill="auto"/>
            <w:vAlign w:val="center"/>
          </w:tcPr>
          <w:p w14:paraId="192A392F"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0.9817 </w:t>
            </w:r>
          </w:p>
        </w:tc>
        <w:tc>
          <w:tcPr>
            <w:tcW w:w="1237" w:type="dxa"/>
            <w:tcBorders>
              <w:bottom w:val="single" w:sz="4" w:space="0" w:color="auto"/>
            </w:tcBorders>
            <w:shd w:val="clear" w:color="auto" w:fill="auto"/>
            <w:vAlign w:val="center"/>
          </w:tcPr>
          <w:p w14:paraId="03E06CF6"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0.0137</w:t>
            </w:r>
          </w:p>
        </w:tc>
      </w:tr>
      <w:tr w:rsidR="002E1A91" w:rsidRPr="00E62016" w14:paraId="2214BA2C" w14:textId="77777777" w:rsidTr="004064EB">
        <w:tc>
          <w:tcPr>
            <w:tcW w:w="2268" w:type="dxa"/>
            <w:tcBorders>
              <w:top w:val="single" w:sz="4" w:space="0" w:color="auto"/>
            </w:tcBorders>
            <w:vAlign w:val="center"/>
          </w:tcPr>
          <w:p w14:paraId="255CF934" w14:textId="77777777" w:rsidR="002E1A91" w:rsidRPr="00E62016" w:rsidRDefault="002E1A91" w:rsidP="004064EB">
            <w:pPr>
              <w:spacing w:line="240" w:lineRule="auto"/>
              <w:rPr>
                <w:rFonts w:ascii="Times New Roman" w:eastAsia="標楷體" w:hAnsi="Times New Roman" w:cs="Times New Roman"/>
                <w:color w:val="000000" w:themeColor="text1"/>
              </w:rPr>
            </w:pPr>
            <w:r w:rsidRPr="00E62016">
              <w:rPr>
                <w:rFonts w:ascii="Times New Roman" w:eastAsia="標楷體" w:hAnsi="Times New Roman" w:cs="Times New Roman"/>
                <w:color w:val="000000" w:themeColor="text1"/>
              </w:rPr>
              <w:t xml:space="preserve">Panel B Conventional DEA efficiency scores </w:t>
            </w:r>
          </w:p>
        </w:tc>
        <w:tc>
          <w:tcPr>
            <w:tcW w:w="953" w:type="dxa"/>
            <w:tcBorders>
              <w:top w:val="single" w:sz="4" w:space="0" w:color="auto"/>
            </w:tcBorders>
            <w:vAlign w:val="center"/>
          </w:tcPr>
          <w:p w14:paraId="7AD11382" w14:textId="77777777" w:rsidR="002E1A91" w:rsidRPr="00E62016" w:rsidRDefault="002E1A91" w:rsidP="004064EB">
            <w:pPr>
              <w:spacing w:line="240" w:lineRule="auto"/>
              <w:rPr>
                <w:rFonts w:ascii="Times New Roman" w:hAnsi="Times New Roman" w:cs="Times New Roman"/>
                <w:color w:val="000000" w:themeColor="text1"/>
              </w:rPr>
            </w:pPr>
          </w:p>
        </w:tc>
        <w:tc>
          <w:tcPr>
            <w:tcW w:w="1237" w:type="dxa"/>
            <w:tcBorders>
              <w:top w:val="single" w:sz="4" w:space="0" w:color="auto"/>
            </w:tcBorders>
            <w:vAlign w:val="center"/>
          </w:tcPr>
          <w:p w14:paraId="41E65757" w14:textId="77777777" w:rsidR="002E1A91" w:rsidRPr="00E62016" w:rsidRDefault="002E1A91" w:rsidP="004064EB">
            <w:pPr>
              <w:spacing w:line="240" w:lineRule="auto"/>
              <w:rPr>
                <w:rFonts w:ascii="Times New Roman" w:hAnsi="Times New Roman" w:cs="Times New Roman"/>
                <w:color w:val="000000" w:themeColor="text1"/>
              </w:rPr>
            </w:pPr>
          </w:p>
        </w:tc>
        <w:tc>
          <w:tcPr>
            <w:tcW w:w="1236" w:type="dxa"/>
            <w:tcBorders>
              <w:top w:val="single" w:sz="4" w:space="0" w:color="auto"/>
            </w:tcBorders>
            <w:vAlign w:val="center"/>
          </w:tcPr>
          <w:p w14:paraId="3CB17AD9" w14:textId="77777777" w:rsidR="002E1A91" w:rsidRPr="00E62016" w:rsidRDefault="002E1A91" w:rsidP="004064EB">
            <w:pPr>
              <w:spacing w:line="240" w:lineRule="auto"/>
              <w:rPr>
                <w:rFonts w:ascii="Times New Roman" w:hAnsi="Times New Roman" w:cs="Times New Roman"/>
                <w:color w:val="000000" w:themeColor="text1"/>
              </w:rPr>
            </w:pPr>
          </w:p>
        </w:tc>
        <w:tc>
          <w:tcPr>
            <w:tcW w:w="1237" w:type="dxa"/>
            <w:tcBorders>
              <w:top w:val="single" w:sz="4" w:space="0" w:color="auto"/>
            </w:tcBorders>
            <w:vAlign w:val="center"/>
          </w:tcPr>
          <w:p w14:paraId="7FC2B34A" w14:textId="77777777" w:rsidR="002E1A91" w:rsidRPr="00E62016" w:rsidRDefault="002E1A91" w:rsidP="004064EB">
            <w:pPr>
              <w:spacing w:line="240" w:lineRule="auto"/>
              <w:rPr>
                <w:rFonts w:ascii="Times New Roman" w:hAnsi="Times New Roman" w:cs="Times New Roman"/>
                <w:color w:val="000000" w:themeColor="text1"/>
              </w:rPr>
            </w:pPr>
          </w:p>
        </w:tc>
        <w:tc>
          <w:tcPr>
            <w:tcW w:w="1237" w:type="dxa"/>
            <w:tcBorders>
              <w:top w:val="single" w:sz="4" w:space="0" w:color="auto"/>
            </w:tcBorders>
            <w:vAlign w:val="center"/>
          </w:tcPr>
          <w:p w14:paraId="6B6523A1" w14:textId="77777777" w:rsidR="002E1A91" w:rsidRPr="00E62016" w:rsidRDefault="002E1A91" w:rsidP="004064EB">
            <w:pPr>
              <w:spacing w:line="240" w:lineRule="auto"/>
              <w:rPr>
                <w:rFonts w:ascii="Times New Roman" w:hAnsi="Times New Roman" w:cs="Times New Roman"/>
                <w:color w:val="000000" w:themeColor="text1"/>
              </w:rPr>
            </w:pPr>
          </w:p>
        </w:tc>
      </w:tr>
      <w:tr w:rsidR="002E1A91" w:rsidRPr="00E62016" w14:paraId="3AAA1A61" w14:textId="77777777" w:rsidTr="004064EB">
        <w:tc>
          <w:tcPr>
            <w:tcW w:w="2268" w:type="dxa"/>
            <w:vAlign w:val="center"/>
          </w:tcPr>
          <w:p w14:paraId="1036E601" w14:textId="77777777" w:rsidR="002E1A91" w:rsidRPr="00E62016" w:rsidRDefault="002E1A91" w:rsidP="004064EB">
            <w:pPr>
              <w:spacing w:line="240" w:lineRule="auto"/>
              <w:rPr>
                <w:rFonts w:ascii="Times New Roman" w:eastAsia="標楷體" w:hAnsi="Times New Roman" w:cs="Times New Roman"/>
                <w:color w:val="000000" w:themeColor="text1"/>
              </w:rPr>
            </w:pPr>
            <w:r w:rsidRPr="00E62016">
              <w:rPr>
                <w:rFonts w:ascii="Times New Roman" w:eastAsia="標楷體" w:hAnsi="Times New Roman" w:cs="Times New Roman"/>
                <w:color w:val="000000" w:themeColor="text1"/>
              </w:rPr>
              <w:t xml:space="preserve">  All sample</w:t>
            </w:r>
          </w:p>
        </w:tc>
        <w:tc>
          <w:tcPr>
            <w:tcW w:w="953" w:type="dxa"/>
            <w:vAlign w:val="center"/>
          </w:tcPr>
          <w:p w14:paraId="25227ACC"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0.9068 </w:t>
            </w:r>
          </w:p>
        </w:tc>
        <w:tc>
          <w:tcPr>
            <w:tcW w:w="1237" w:type="dxa"/>
            <w:vAlign w:val="center"/>
          </w:tcPr>
          <w:p w14:paraId="36CDB40F"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0.0973 </w:t>
            </w:r>
          </w:p>
        </w:tc>
        <w:tc>
          <w:tcPr>
            <w:tcW w:w="1236" w:type="dxa"/>
            <w:vAlign w:val="center"/>
          </w:tcPr>
          <w:p w14:paraId="0C817606"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0.4705 </w:t>
            </w:r>
          </w:p>
        </w:tc>
        <w:tc>
          <w:tcPr>
            <w:tcW w:w="1237" w:type="dxa"/>
            <w:vAlign w:val="center"/>
          </w:tcPr>
          <w:p w14:paraId="5D997E19"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1.0000 </w:t>
            </w:r>
          </w:p>
        </w:tc>
        <w:tc>
          <w:tcPr>
            <w:tcW w:w="1237" w:type="dxa"/>
            <w:vAlign w:val="center"/>
          </w:tcPr>
          <w:p w14:paraId="64876E94" w14:textId="77777777" w:rsidR="002E1A91" w:rsidRPr="00E62016" w:rsidRDefault="002E1A91" w:rsidP="004064EB">
            <w:pPr>
              <w:spacing w:line="240" w:lineRule="auto"/>
              <w:rPr>
                <w:rFonts w:ascii="Times New Roman" w:hAnsi="Times New Roman" w:cs="Times New Roman"/>
                <w:color w:val="000000" w:themeColor="text1"/>
              </w:rPr>
            </w:pPr>
          </w:p>
        </w:tc>
      </w:tr>
      <w:tr w:rsidR="002E1A91" w:rsidRPr="00E62016" w14:paraId="57283297" w14:textId="77777777" w:rsidTr="004064EB">
        <w:tc>
          <w:tcPr>
            <w:tcW w:w="2268" w:type="dxa"/>
            <w:vAlign w:val="center"/>
          </w:tcPr>
          <w:p w14:paraId="2AC2C352" w14:textId="1C1A2A38" w:rsidR="002E1A91" w:rsidRPr="00E62016" w:rsidRDefault="002E1A91" w:rsidP="004064EB">
            <w:pPr>
              <w:spacing w:line="240" w:lineRule="auto"/>
              <w:rPr>
                <w:rFonts w:ascii="Times New Roman" w:eastAsia="標楷體" w:hAnsi="Times New Roman" w:cs="Times New Roman"/>
                <w:color w:val="000000" w:themeColor="text1"/>
              </w:rPr>
            </w:pPr>
            <w:r w:rsidRPr="00E62016">
              <w:rPr>
                <w:rFonts w:ascii="Times New Roman" w:eastAsia="標楷體" w:hAnsi="Times New Roman" w:cs="Times New Roman"/>
                <w:color w:val="000000" w:themeColor="text1"/>
              </w:rPr>
              <w:t xml:space="preserve"> </w:t>
            </w:r>
            <w:r w:rsidR="004064EB">
              <w:rPr>
                <w:rFonts w:ascii="Times New Roman" w:eastAsia="標楷體" w:hAnsi="Times New Roman" w:cs="Times New Roman"/>
                <w:color w:val="000000" w:themeColor="text1"/>
              </w:rPr>
              <w:t xml:space="preserve"> </w:t>
            </w:r>
            <w:r w:rsidRPr="00E62016">
              <w:rPr>
                <w:rFonts w:ascii="Times New Roman" w:eastAsia="標楷體" w:hAnsi="Times New Roman" w:cs="Times New Roman"/>
                <w:color w:val="000000" w:themeColor="text1"/>
              </w:rPr>
              <w:t>FHCs</w:t>
            </w:r>
          </w:p>
        </w:tc>
        <w:tc>
          <w:tcPr>
            <w:tcW w:w="953" w:type="dxa"/>
            <w:vAlign w:val="center"/>
          </w:tcPr>
          <w:p w14:paraId="0CCBF097"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0.9191 </w:t>
            </w:r>
          </w:p>
        </w:tc>
        <w:tc>
          <w:tcPr>
            <w:tcW w:w="1237" w:type="dxa"/>
            <w:vAlign w:val="center"/>
          </w:tcPr>
          <w:p w14:paraId="06D9957E"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0.0769 </w:t>
            </w:r>
          </w:p>
        </w:tc>
        <w:tc>
          <w:tcPr>
            <w:tcW w:w="1236" w:type="dxa"/>
            <w:vAlign w:val="center"/>
          </w:tcPr>
          <w:p w14:paraId="6448C4EF"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0.7665 </w:t>
            </w:r>
          </w:p>
        </w:tc>
        <w:tc>
          <w:tcPr>
            <w:tcW w:w="1237" w:type="dxa"/>
            <w:vAlign w:val="center"/>
          </w:tcPr>
          <w:p w14:paraId="56B7ED93"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1.0000 </w:t>
            </w:r>
          </w:p>
        </w:tc>
        <w:tc>
          <w:tcPr>
            <w:tcW w:w="1237" w:type="dxa"/>
            <w:vAlign w:val="center"/>
          </w:tcPr>
          <w:p w14:paraId="6921F7B1" w14:textId="77777777" w:rsidR="002E1A91" w:rsidRPr="00E62016" w:rsidRDefault="002E1A91" w:rsidP="004064EB">
            <w:pPr>
              <w:spacing w:line="240" w:lineRule="auto"/>
              <w:rPr>
                <w:rFonts w:ascii="Times New Roman" w:hAnsi="Times New Roman" w:cs="Times New Roman"/>
                <w:color w:val="000000" w:themeColor="text1"/>
              </w:rPr>
            </w:pPr>
          </w:p>
        </w:tc>
      </w:tr>
      <w:tr w:rsidR="002E1A91" w:rsidRPr="00E62016" w14:paraId="7CC4F049" w14:textId="77777777" w:rsidTr="004064EB">
        <w:tc>
          <w:tcPr>
            <w:tcW w:w="2268" w:type="dxa"/>
            <w:vAlign w:val="center"/>
          </w:tcPr>
          <w:p w14:paraId="3C29BD46" w14:textId="32D267E8" w:rsidR="002E1A91" w:rsidRPr="00E62016" w:rsidRDefault="002E1A91" w:rsidP="004064EB">
            <w:pPr>
              <w:spacing w:line="240" w:lineRule="auto"/>
              <w:rPr>
                <w:rFonts w:ascii="Times New Roman" w:eastAsia="標楷體" w:hAnsi="Times New Roman" w:cs="Times New Roman"/>
                <w:color w:val="000000" w:themeColor="text1"/>
              </w:rPr>
            </w:pPr>
            <w:r w:rsidRPr="00E62016">
              <w:rPr>
                <w:rFonts w:ascii="Times New Roman" w:eastAsia="標楷體" w:hAnsi="Times New Roman" w:cs="Times New Roman"/>
                <w:color w:val="000000" w:themeColor="text1"/>
              </w:rPr>
              <w:t xml:space="preserve"> </w:t>
            </w:r>
            <w:r w:rsidR="004064EB">
              <w:rPr>
                <w:rFonts w:ascii="Times New Roman" w:eastAsia="標楷體" w:hAnsi="Times New Roman" w:cs="Times New Roman"/>
                <w:color w:val="000000" w:themeColor="text1"/>
              </w:rPr>
              <w:t xml:space="preserve"> </w:t>
            </w:r>
            <w:r w:rsidRPr="00E62016">
              <w:rPr>
                <w:rFonts w:ascii="Times New Roman" w:eastAsia="標楷體" w:hAnsi="Times New Roman" w:cs="Times New Roman"/>
                <w:color w:val="000000" w:themeColor="text1"/>
              </w:rPr>
              <w:t xml:space="preserve">non-FHCs </w:t>
            </w:r>
          </w:p>
        </w:tc>
        <w:tc>
          <w:tcPr>
            <w:tcW w:w="953" w:type="dxa"/>
            <w:vAlign w:val="center"/>
          </w:tcPr>
          <w:p w14:paraId="284EE7EB"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0.9010 </w:t>
            </w:r>
          </w:p>
        </w:tc>
        <w:tc>
          <w:tcPr>
            <w:tcW w:w="1237" w:type="dxa"/>
            <w:vAlign w:val="center"/>
          </w:tcPr>
          <w:p w14:paraId="7623F2C4"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0.1054 </w:t>
            </w:r>
          </w:p>
        </w:tc>
        <w:tc>
          <w:tcPr>
            <w:tcW w:w="1236" w:type="dxa"/>
            <w:vAlign w:val="center"/>
          </w:tcPr>
          <w:p w14:paraId="5C254595"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0.4705 </w:t>
            </w:r>
          </w:p>
        </w:tc>
        <w:tc>
          <w:tcPr>
            <w:tcW w:w="1237" w:type="dxa"/>
            <w:vAlign w:val="center"/>
          </w:tcPr>
          <w:p w14:paraId="1CEB530D"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1.0000 </w:t>
            </w:r>
          </w:p>
        </w:tc>
        <w:tc>
          <w:tcPr>
            <w:tcW w:w="1237" w:type="dxa"/>
            <w:vAlign w:val="center"/>
          </w:tcPr>
          <w:p w14:paraId="0ADDDF1C" w14:textId="77777777" w:rsidR="002E1A91" w:rsidRPr="00E62016" w:rsidRDefault="002E1A91" w:rsidP="004064EB">
            <w:pPr>
              <w:spacing w:line="240" w:lineRule="auto"/>
              <w:rPr>
                <w:rFonts w:ascii="Times New Roman" w:hAnsi="Times New Roman" w:cs="Times New Roman"/>
                <w:color w:val="000000" w:themeColor="text1"/>
              </w:rPr>
            </w:pPr>
          </w:p>
        </w:tc>
      </w:tr>
      <w:tr w:rsidR="002E1A91" w:rsidRPr="00E62016" w14:paraId="20006D7A" w14:textId="77777777" w:rsidTr="004064EB">
        <w:tc>
          <w:tcPr>
            <w:tcW w:w="2268" w:type="dxa"/>
            <w:vAlign w:val="center"/>
          </w:tcPr>
          <w:p w14:paraId="2A432CC9" w14:textId="77777777" w:rsidR="002E1A91" w:rsidRPr="00E62016" w:rsidRDefault="002E1A91" w:rsidP="004064EB">
            <w:pPr>
              <w:spacing w:line="240" w:lineRule="auto"/>
              <w:rPr>
                <w:rFonts w:ascii="Times New Roman" w:eastAsia="標楷體" w:hAnsi="Times New Roman" w:cs="Times New Roman"/>
                <w:color w:val="000000" w:themeColor="text1"/>
              </w:rPr>
            </w:pPr>
            <w:r w:rsidRPr="00E62016">
              <w:rPr>
                <w:rFonts w:ascii="Times New Roman" w:eastAsia="標楷體" w:hAnsi="Times New Roman" w:cs="Times New Roman"/>
                <w:color w:val="000000" w:themeColor="text1"/>
              </w:rPr>
              <w:t xml:space="preserve">  Domestic </w:t>
            </w:r>
          </w:p>
        </w:tc>
        <w:tc>
          <w:tcPr>
            <w:tcW w:w="953" w:type="dxa"/>
            <w:vAlign w:val="center"/>
          </w:tcPr>
          <w:p w14:paraId="6E19F60E"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0.9159 </w:t>
            </w:r>
          </w:p>
        </w:tc>
        <w:tc>
          <w:tcPr>
            <w:tcW w:w="1237" w:type="dxa"/>
            <w:vAlign w:val="center"/>
          </w:tcPr>
          <w:p w14:paraId="75016B86"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0.0709 </w:t>
            </w:r>
          </w:p>
        </w:tc>
        <w:tc>
          <w:tcPr>
            <w:tcW w:w="1236" w:type="dxa"/>
            <w:vAlign w:val="center"/>
          </w:tcPr>
          <w:p w14:paraId="5286D802"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0.7151 </w:t>
            </w:r>
          </w:p>
        </w:tc>
        <w:tc>
          <w:tcPr>
            <w:tcW w:w="1237" w:type="dxa"/>
            <w:vAlign w:val="center"/>
          </w:tcPr>
          <w:p w14:paraId="1A19A6F6"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1.0000 </w:t>
            </w:r>
          </w:p>
        </w:tc>
        <w:tc>
          <w:tcPr>
            <w:tcW w:w="1237" w:type="dxa"/>
            <w:vAlign w:val="center"/>
          </w:tcPr>
          <w:p w14:paraId="6526E3DC" w14:textId="77777777" w:rsidR="002E1A91" w:rsidRPr="00E62016" w:rsidRDefault="002E1A91" w:rsidP="004064EB">
            <w:pPr>
              <w:spacing w:line="240" w:lineRule="auto"/>
              <w:rPr>
                <w:rFonts w:ascii="Times New Roman" w:hAnsi="Times New Roman" w:cs="Times New Roman"/>
                <w:color w:val="000000" w:themeColor="text1"/>
              </w:rPr>
            </w:pPr>
          </w:p>
        </w:tc>
      </w:tr>
      <w:tr w:rsidR="002E1A91" w:rsidRPr="00E62016" w14:paraId="58EB4EB9" w14:textId="77777777" w:rsidTr="004064EB">
        <w:tc>
          <w:tcPr>
            <w:tcW w:w="2268" w:type="dxa"/>
            <w:tcBorders>
              <w:bottom w:val="single" w:sz="4" w:space="0" w:color="auto"/>
            </w:tcBorders>
            <w:vAlign w:val="center"/>
          </w:tcPr>
          <w:p w14:paraId="4B74B324" w14:textId="77777777" w:rsidR="002E1A91" w:rsidRPr="00E62016" w:rsidRDefault="002E1A91" w:rsidP="004064EB">
            <w:pPr>
              <w:spacing w:line="240" w:lineRule="auto"/>
              <w:rPr>
                <w:rFonts w:ascii="Times New Roman" w:eastAsia="標楷體" w:hAnsi="Times New Roman" w:cs="Times New Roman"/>
                <w:color w:val="000000" w:themeColor="text1"/>
              </w:rPr>
            </w:pPr>
            <w:r w:rsidRPr="00E62016">
              <w:rPr>
                <w:rFonts w:ascii="Times New Roman" w:eastAsia="標楷體" w:hAnsi="Times New Roman" w:cs="Times New Roman"/>
                <w:color w:val="000000" w:themeColor="text1"/>
              </w:rPr>
              <w:t xml:space="preserve">  Foreign</w:t>
            </w:r>
          </w:p>
        </w:tc>
        <w:tc>
          <w:tcPr>
            <w:tcW w:w="953" w:type="dxa"/>
            <w:tcBorders>
              <w:bottom w:val="single" w:sz="4" w:space="0" w:color="auto"/>
            </w:tcBorders>
            <w:vAlign w:val="center"/>
          </w:tcPr>
          <w:p w14:paraId="57095367"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0.8835 </w:t>
            </w:r>
          </w:p>
        </w:tc>
        <w:tc>
          <w:tcPr>
            <w:tcW w:w="1237" w:type="dxa"/>
            <w:tcBorders>
              <w:bottom w:val="single" w:sz="4" w:space="0" w:color="auto"/>
            </w:tcBorders>
            <w:vAlign w:val="center"/>
          </w:tcPr>
          <w:p w14:paraId="1BD182C4"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0.1428 </w:t>
            </w:r>
          </w:p>
        </w:tc>
        <w:tc>
          <w:tcPr>
            <w:tcW w:w="1236" w:type="dxa"/>
            <w:tcBorders>
              <w:bottom w:val="single" w:sz="4" w:space="0" w:color="auto"/>
            </w:tcBorders>
            <w:vAlign w:val="center"/>
          </w:tcPr>
          <w:p w14:paraId="4F9265B4"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0.4705 </w:t>
            </w:r>
          </w:p>
        </w:tc>
        <w:tc>
          <w:tcPr>
            <w:tcW w:w="1237" w:type="dxa"/>
            <w:tcBorders>
              <w:bottom w:val="single" w:sz="4" w:space="0" w:color="auto"/>
            </w:tcBorders>
            <w:vAlign w:val="center"/>
          </w:tcPr>
          <w:p w14:paraId="3E5495B0" w14:textId="77777777" w:rsidR="002E1A91" w:rsidRPr="00E62016" w:rsidRDefault="002E1A91" w:rsidP="004064EB">
            <w:pPr>
              <w:spacing w:line="240" w:lineRule="auto"/>
              <w:rPr>
                <w:rFonts w:ascii="Times New Roman" w:hAnsi="Times New Roman" w:cs="Times New Roman"/>
                <w:color w:val="000000" w:themeColor="text1"/>
              </w:rPr>
            </w:pPr>
            <w:r w:rsidRPr="00E62016">
              <w:rPr>
                <w:rFonts w:ascii="Times New Roman" w:hAnsi="Times New Roman" w:cs="Times New Roman"/>
                <w:color w:val="000000" w:themeColor="text1"/>
              </w:rPr>
              <w:t xml:space="preserve">1.0000 </w:t>
            </w:r>
          </w:p>
        </w:tc>
        <w:tc>
          <w:tcPr>
            <w:tcW w:w="1237" w:type="dxa"/>
            <w:tcBorders>
              <w:bottom w:val="single" w:sz="4" w:space="0" w:color="auto"/>
            </w:tcBorders>
            <w:vAlign w:val="center"/>
          </w:tcPr>
          <w:p w14:paraId="4DFF5EF9" w14:textId="77777777" w:rsidR="002E1A91" w:rsidRPr="00E62016" w:rsidRDefault="002E1A91" w:rsidP="004064EB">
            <w:pPr>
              <w:spacing w:line="240" w:lineRule="auto"/>
              <w:rPr>
                <w:rFonts w:ascii="Times New Roman" w:hAnsi="Times New Roman" w:cs="Times New Roman"/>
                <w:color w:val="000000" w:themeColor="text1"/>
              </w:rPr>
            </w:pPr>
          </w:p>
        </w:tc>
      </w:tr>
    </w:tbl>
    <w:p w14:paraId="5637E7FF" w14:textId="77777777" w:rsidR="002E1A91" w:rsidRPr="00E62016" w:rsidRDefault="002E1A91" w:rsidP="004064EB">
      <w:pPr>
        <w:spacing w:line="240" w:lineRule="auto"/>
        <w:rPr>
          <w:rFonts w:eastAsia="標楷體"/>
          <w:color w:val="000000" w:themeColor="text1"/>
        </w:rPr>
      </w:pPr>
      <w:r w:rsidRPr="00E62016">
        <w:rPr>
          <w:rFonts w:eastAsia="標楷體"/>
          <w:color w:val="000000" w:themeColor="text1"/>
          <w:sz w:val="20"/>
        </w:rPr>
        <w:t xml:space="preserve">Note: * refers to </w:t>
      </w:r>
      <w:r w:rsidRPr="00E62016">
        <w:rPr>
          <w:rFonts w:eastAsia="標楷體"/>
          <w:i/>
          <w:color w:val="000000" w:themeColor="text1"/>
          <w:sz w:val="20"/>
        </w:rPr>
        <w:t>p</w:t>
      </w:r>
      <w:r w:rsidRPr="00E62016">
        <w:rPr>
          <w:rFonts w:eastAsia="標楷體"/>
          <w:color w:val="000000" w:themeColor="text1"/>
          <w:sz w:val="20"/>
        </w:rPr>
        <w:t xml:space="preserve"> values comparing the two models according to the Mann–Whitney U test</w:t>
      </w:r>
    </w:p>
    <w:p w14:paraId="39CC04D8" w14:textId="77777777" w:rsidR="002E1A91" w:rsidRPr="00E62016" w:rsidRDefault="002E1A91" w:rsidP="004064EB">
      <w:pPr>
        <w:spacing w:line="240" w:lineRule="auto"/>
        <w:rPr>
          <w:color w:val="000000" w:themeColor="text1"/>
        </w:rPr>
      </w:pPr>
    </w:p>
    <w:p w14:paraId="62E298D3" w14:textId="77777777" w:rsidR="002E1A91" w:rsidRPr="00E62016" w:rsidRDefault="002E1A91" w:rsidP="004064EB">
      <w:pPr>
        <w:spacing w:line="240" w:lineRule="auto"/>
        <w:rPr>
          <w:color w:val="000000" w:themeColor="text1"/>
        </w:rPr>
      </w:pPr>
    </w:p>
    <w:p w14:paraId="2A0DC5FF" w14:textId="77777777" w:rsidR="002E1A91" w:rsidRPr="00E62016" w:rsidRDefault="002E1A91" w:rsidP="004064EB">
      <w:pPr>
        <w:spacing w:line="240" w:lineRule="auto"/>
        <w:rPr>
          <w:rFonts w:eastAsia="標楷體"/>
        </w:rPr>
      </w:pPr>
      <w:r w:rsidRPr="00E62016">
        <w:rPr>
          <w:rFonts w:eastAsia="標楷體"/>
        </w:rPr>
        <w:br w:type="page"/>
      </w:r>
    </w:p>
    <w:p w14:paraId="6D719E54" w14:textId="4EEB7C84" w:rsidR="002E1A91" w:rsidRPr="00DE2F76" w:rsidRDefault="002E1A91" w:rsidP="00DE2F76">
      <w:pPr>
        <w:pStyle w:val="Tabletitle"/>
        <w:widowControl w:val="0"/>
        <w:adjustRightInd w:val="0"/>
        <w:spacing w:before="0" w:after="120" w:line="240" w:lineRule="auto"/>
        <w:jc w:val="center"/>
        <w:textAlignment w:val="baseline"/>
        <w:rPr>
          <w:rFonts w:eastAsia="新細明體"/>
          <w:b/>
          <w:sz w:val="22"/>
          <w:szCs w:val="20"/>
          <w:lang w:val="en-US" w:eastAsia="zh-TW"/>
        </w:rPr>
      </w:pPr>
      <w:r w:rsidRPr="00DE2F76">
        <w:rPr>
          <w:rFonts w:eastAsia="新細明體"/>
          <w:b/>
          <w:sz w:val="22"/>
          <w:szCs w:val="20"/>
          <w:lang w:val="en-US" w:eastAsia="zh-TW"/>
        </w:rPr>
        <w:lastRenderedPageBreak/>
        <w:t>Table 5</w:t>
      </w:r>
      <w:r w:rsidR="00C85984" w:rsidRPr="00DE2F76">
        <w:rPr>
          <w:rFonts w:eastAsia="新細明體"/>
          <w:b/>
          <w:sz w:val="22"/>
          <w:szCs w:val="20"/>
          <w:lang w:val="en-US" w:eastAsia="zh-TW"/>
        </w:rPr>
        <w:t>.</w:t>
      </w:r>
      <w:r w:rsidRPr="00DE2F76">
        <w:rPr>
          <w:rFonts w:eastAsia="新細明體"/>
          <w:b/>
          <w:sz w:val="22"/>
          <w:szCs w:val="20"/>
          <w:lang w:val="en-US" w:eastAsia="zh-TW"/>
        </w:rPr>
        <w:t xml:space="preserve"> Estimates of the bootstrap truncated regression model (control variables: market share and total assets)</w:t>
      </w:r>
    </w:p>
    <w:tbl>
      <w:tblPr>
        <w:tblStyle w:val="af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1563"/>
        <w:gridCol w:w="1524"/>
        <w:gridCol w:w="1468"/>
        <w:gridCol w:w="1449"/>
      </w:tblGrid>
      <w:tr w:rsidR="002E1A91" w:rsidRPr="00E62016" w14:paraId="7C4ED09E" w14:textId="77777777" w:rsidTr="004064EB">
        <w:tc>
          <w:tcPr>
            <w:tcW w:w="2977" w:type="dxa"/>
            <w:tcBorders>
              <w:top w:val="single" w:sz="4" w:space="0" w:color="auto"/>
              <w:bottom w:val="single" w:sz="4" w:space="0" w:color="auto"/>
            </w:tcBorders>
            <w:vAlign w:val="center"/>
          </w:tcPr>
          <w:p w14:paraId="3AD3DC6D" w14:textId="77777777" w:rsidR="002E1A91" w:rsidRPr="00E62016" w:rsidRDefault="002E1A91" w:rsidP="004064EB">
            <w:pPr>
              <w:spacing w:line="240" w:lineRule="auto"/>
              <w:rPr>
                <w:rFonts w:ascii="Times New Roman" w:eastAsia="標楷體" w:hAnsi="Times New Roman" w:cs="Times New Roman"/>
                <w:color w:val="000000"/>
              </w:rPr>
            </w:pPr>
          </w:p>
        </w:tc>
        <w:tc>
          <w:tcPr>
            <w:tcW w:w="332" w:type="dxa"/>
            <w:tcBorders>
              <w:top w:val="single" w:sz="4" w:space="0" w:color="auto"/>
              <w:bottom w:val="single" w:sz="4" w:space="0" w:color="auto"/>
            </w:tcBorders>
            <w:vAlign w:val="center"/>
          </w:tcPr>
          <w:p w14:paraId="6CBC0841"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Observational coefficient</w:t>
            </w:r>
          </w:p>
        </w:tc>
        <w:tc>
          <w:tcPr>
            <w:tcW w:w="1657" w:type="dxa"/>
            <w:tcBorders>
              <w:top w:val="single" w:sz="4" w:space="0" w:color="auto"/>
              <w:bottom w:val="single" w:sz="4" w:space="0" w:color="auto"/>
            </w:tcBorders>
            <w:vAlign w:val="center"/>
          </w:tcPr>
          <w:p w14:paraId="04958A79"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rPr>
              <w:t>Bootstrap corrected SD</w:t>
            </w:r>
          </w:p>
        </w:tc>
        <w:tc>
          <w:tcPr>
            <w:tcW w:w="3330" w:type="dxa"/>
            <w:gridSpan w:val="2"/>
            <w:tcBorders>
              <w:top w:val="single" w:sz="4" w:space="0" w:color="auto"/>
              <w:bottom w:val="single" w:sz="4" w:space="0" w:color="auto"/>
            </w:tcBorders>
            <w:vAlign w:val="center"/>
          </w:tcPr>
          <w:p w14:paraId="77EDE3F3"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color w:val="000000"/>
              </w:rPr>
              <w:t>95% confidence interval</w:t>
            </w:r>
          </w:p>
        </w:tc>
      </w:tr>
      <w:tr w:rsidR="002E1A91" w:rsidRPr="00E62016" w14:paraId="7D2487B4" w14:textId="77777777" w:rsidTr="004064EB">
        <w:tc>
          <w:tcPr>
            <w:tcW w:w="2977" w:type="dxa"/>
            <w:tcBorders>
              <w:top w:val="single" w:sz="4" w:space="0" w:color="auto"/>
            </w:tcBorders>
            <w:vAlign w:val="center"/>
          </w:tcPr>
          <w:p w14:paraId="76A63A9A"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rPr>
              <w:t>Panel A</w:t>
            </w:r>
          </w:p>
        </w:tc>
        <w:tc>
          <w:tcPr>
            <w:tcW w:w="332" w:type="dxa"/>
            <w:tcBorders>
              <w:top w:val="single" w:sz="4" w:space="0" w:color="auto"/>
            </w:tcBorders>
            <w:vAlign w:val="center"/>
          </w:tcPr>
          <w:p w14:paraId="622313DD" w14:textId="77777777" w:rsidR="002E1A91" w:rsidRPr="00E62016" w:rsidRDefault="002E1A91" w:rsidP="004064EB">
            <w:pPr>
              <w:spacing w:line="240" w:lineRule="auto"/>
              <w:rPr>
                <w:rFonts w:ascii="Times New Roman" w:hAnsi="Times New Roman" w:cs="Times New Roman"/>
                <w:color w:val="000000"/>
              </w:rPr>
            </w:pPr>
          </w:p>
        </w:tc>
        <w:tc>
          <w:tcPr>
            <w:tcW w:w="1657" w:type="dxa"/>
            <w:tcBorders>
              <w:top w:val="single" w:sz="4" w:space="0" w:color="auto"/>
            </w:tcBorders>
            <w:vAlign w:val="center"/>
          </w:tcPr>
          <w:p w14:paraId="76BDF11B" w14:textId="77777777" w:rsidR="002E1A91" w:rsidRPr="00E62016" w:rsidRDefault="002E1A91" w:rsidP="004064EB">
            <w:pPr>
              <w:spacing w:line="240" w:lineRule="auto"/>
              <w:rPr>
                <w:rFonts w:ascii="Times New Roman" w:hAnsi="Times New Roman" w:cs="Times New Roman"/>
                <w:color w:val="000000"/>
              </w:rPr>
            </w:pPr>
          </w:p>
        </w:tc>
        <w:tc>
          <w:tcPr>
            <w:tcW w:w="1678" w:type="dxa"/>
            <w:tcBorders>
              <w:top w:val="single" w:sz="4" w:space="0" w:color="auto"/>
            </w:tcBorders>
            <w:vAlign w:val="center"/>
          </w:tcPr>
          <w:p w14:paraId="6FD78142" w14:textId="77777777" w:rsidR="002E1A91" w:rsidRPr="00E62016" w:rsidRDefault="002E1A91" w:rsidP="004064EB">
            <w:pPr>
              <w:spacing w:line="240" w:lineRule="auto"/>
              <w:rPr>
                <w:rFonts w:ascii="Times New Roman" w:hAnsi="Times New Roman" w:cs="Times New Roman"/>
                <w:color w:val="000000"/>
              </w:rPr>
            </w:pPr>
          </w:p>
        </w:tc>
        <w:tc>
          <w:tcPr>
            <w:tcW w:w="1652" w:type="dxa"/>
            <w:tcBorders>
              <w:top w:val="single" w:sz="4" w:space="0" w:color="auto"/>
            </w:tcBorders>
            <w:vAlign w:val="center"/>
          </w:tcPr>
          <w:p w14:paraId="3986A2E9" w14:textId="77777777" w:rsidR="002E1A91" w:rsidRPr="00E62016" w:rsidRDefault="002E1A91" w:rsidP="004064EB">
            <w:pPr>
              <w:spacing w:line="240" w:lineRule="auto"/>
              <w:rPr>
                <w:rFonts w:ascii="Times New Roman" w:hAnsi="Times New Roman" w:cs="Times New Roman"/>
              </w:rPr>
            </w:pPr>
          </w:p>
        </w:tc>
      </w:tr>
      <w:tr w:rsidR="002E1A91" w:rsidRPr="00E62016" w14:paraId="33811258" w14:textId="77777777" w:rsidTr="004064EB">
        <w:tc>
          <w:tcPr>
            <w:tcW w:w="2977" w:type="dxa"/>
            <w:vAlign w:val="center"/>
          </w:tcPr>
          <w:p w14:paraId="7D76F408"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rPr>
              <w:t xml:space="preserve">Intercept </w:t>
            </w:r>
          </w:p>
        </w:tc>
        <w:tc>
          <w:tcPr>
            <w:tcW w:w="332" w:type="dxa"/>
            <w:vAlign w:val="center"/>
          </w:tcPr>
          <w:p w14:paraId="577CC99F"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2.1138*** </w:t>
            </w:r>
          </w:p>
        </w:tc>
        <w:tc>
          <w:tcPr>
            <w:tcW w:w="1657" w:type="dxa"/>
            <w:vAlign w:val="center"/>
          </w:tcPr>
          <w:p w14:paraId="694FB632"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0.3868 </w:t>
            </w:r>
          </w:p>
        </w:tc>
        <w:tc>
          <w:tcPr>
            <w:tcW w:w="1678" w:type="dxa"/>
            <w:vAlign w:val="center"/>
          </w:tcPr>
          <w:p w14:paraId="320D8969"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1.4839 </w:t>
            </w:r>
          </w:p>
        </w:tc>
        <w:tc>
          <w:tcPr>
            <w:tcW w:w="1652" w:type="dxa"/>
            <w:vAlign w:val="center"/>
          </w:tcPr>
          <w:p w14:paraId="4C5D548A"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3.0021 </w:t>
            </w:r>
          </w:p>
        </w:tc>
      </w:tr>
      <w:tr w:rsidR="002E1A91" w:rsidRPr="00E62016" w14:paraId="04475AFE" w14:textId="77777777" w:rsidTr="004064EB">
        <w:tc>
          <w:tcPr>
            <w:tcW w:w="2977" w:type="dxa"/>
            <w:vAlign w:val="center"/>
          </w:tcPr>
          <w:p w14:paraId="79A97622"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 xml:space="preserve">FHC or non-FHC </w:t>
            </w:r>
          </w:p>
        </w:tc>
        <w:tc>
          <w:tcPr>
            <w:tcW w:w="332" w:type="dxa"/>
            <w:vAlign w:val="center"/>
          </w:tcPr>
          <w:p w14:paraId="7525F115"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0.0363</w:t>
            </w:r>
          </w:p>
        </w:tc>
        <w:tc>
          <w:tcPr>
            <w:tcW w:w="1657" w:type="dxa"/>
            <w:vAlign w:val="center"/>
          </w:tcPr>
          <w:p w14:paraId="4B9EA0D9"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0.0373 </w:t>
            </w:r>
          </w:p>
        </w:tc>
        <w:tc>
          <w:tcPr>
            <w:tcW w:w="1678" w:type="dxa"/>
            <w:vAlign w:val="center"/>
          </w:tcPr>
          <w:p w14:paraId="1F8D862B"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-0.0303 </w:t>
            </w:r>
          </w:p>
        </w:tc>
        <w:tc>
          <w:tcPr>
            <w:tcW w:w="1652" w:type="dxa"/>
            <w:vAlign w:val="center"/>
          </w:tcPr>
          <w:p w14:paraId="1360D13A"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0.1150 </w:t>
            </w:r>
          </w:p>
        </w:tc>
      </w:tr>
      <w:tr w:rsidR="002E1A91" w:rsidRPr="00E62016" w14:paraId="0AFE5262" w14:textId="77777777" w:rsidTr="004064EB">
        <w:tc>
          <w:tcPr>
            <w:tcW w:w="2977" w:type="dxa"/>
            <w:vAlign w:val="center"/>
          </w:tcPr>
          <w:p w14:paraId="407A693D"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Market share</w:t>
            </w:r>
          </w:p>
        </w:tc>
        <w:tc>
          <w:tcPr>
            <w:tcW w:w="332" w:type="dxa"/>
            <w:vAlign w:val="center"/>
          </w:tcPr>
          <w:p w14:paraId="33240E05"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  0.3473**</w:t>
            </w:r>
          </w:p>
        </w:tc>
        <w:tc>
          <w:tcPr>
            <w:tcW w:w="1657" w:type="dxa"/>
            <w:vAlign w:val="center"/>
          </w:tcPr>
          <w:p w14:paraId="093AACE3"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0.1732 </w:t>
            </w:r>
          </w:p>
        </w:tc>
        <w:tc>
          <w:tcPr>
            <w:tcW w:w="1678" w:type="dxa"/>
            <w:vAlign w:val="center"/>
          </w:tcPr>
          <w:p w14:paraId="2B07367D"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0.0416 </w:t>
            </w:r>
          </w:p>
        </w:tc>
        <w:tc>
          <w:tcPr>
            <w:tcW w:w="1652" w:type="dxa"/>
            <w:vAlign w:val="center"/>
          </w:tcPr>
          <w:p w14:paraId="4EC231D3"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0.7361 </w:t>
            </w:r>
          </w:p>
        </w:tc>
      </w:tr>
      <w:tr w:rsidR="002E1A91" w:rsidRPr="00E62016" w14:paraId="0B854C1F" w14:textId="77777777" w:rsidTr="004064EB">
        <w:tc>
          <w:tcPr>
            <w:tcW w:w="2977" w:type="dxa"/>
            <w:tcBorders>
              <w:bottom w:val="single" w:sz="4" w:space="0" w:color="auto"/>
            </w:tcBorders>
            <w:vAlign w:val="center"/>
          </w:tcPr>
          <w:p w14:paraId="59AB2E33"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Total assets</w:t>
            </w:r>
          </w:p>
        </w:tc>
        <w:tc>
          <w:tcPr>
            <w:tcW w:w="332" w:type="dxa"/>
            <w:tcBorders>
              <w:bottom w:val="single" w:sz="4" w:space="0" w:color="auto"/>
            </w:tcBorders>
            <w:vAlign w:val="center"/>
          </w:tcPr>
          <w:p w14:paraId="17184800"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-0.0616*** </w:t>
            </w:r>
          </w:p>
        </w:tc>
        <w:tc>
          <w:tcPr>
            <w:tcW w:w="1657" w:type="dxa"/>
            <w:tcBorders>
              <w:bottom w:val="single" w:sz="4" w:space="0" w:color="auto"/>
            </w:tcBorders>
            <w:vAlign w:val="center"/>
          </w:tcPr>
          <w:p w14:paraId="198EE9F1"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0.0196 </w:t>
            </w:r>
          </w:p>
        </w:tc>
        <w:tc>
          <w:tcPr>
            <w:tcW w:w="1678" w:type="dxa"/>
            <w:tcBorders>
              <w:bottom w:val="single" w:sz="4" w:space="0" w:color="auto"/>
            </w:tcBorders>
            <w:vAlign w:val="center"/>
          </w:tcPr>
          <w:p w14:paraId="1AB17009"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-0.1055 </w:t>
            </w:r>
          </w:p>
        </w:tc>
        <w:tc>
          <w:tcPr>
            <w:tcW w:w="1652" w:type="dxa"/>
            <w:tcBorders>
              <w:bottom w:val="single" w:sz="4" w:space="0" w:color="auto"/>
            </w:tcBorders>
            <w:vAlign w:val="center"/>
          </w:tcPr>
          <w:p w14:paraId="2423C690"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-0.0288 </w:t>
            </w:r>
          </w:p>
        </w:tc>
      </w:tr>
      <w:tr w:rsidR="002E1A91" w:rsidRPr="00E62016" w14:paraId="37A31700" w14:textId="77777777" w:rsidTr="004064EB">
        <w:trPr>
          <w:trHeight w:val="105"/>
        </w:trPr>
        <w:tc>
          <w:tcPr>
            <w:tcW w:w="2977" w:type="dxa"/>
            <w:tcBorders>
              <w:top w:val="single" w:sz="4" w:space="0" w:color="auto"/>
              <w:bottom w:val="nil"/>
            </w:tcBorders>
            <w:vAlign w:val="center"/>
          </w:tcPr>
          <w:p w14:paraId="13C5F185"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rPr>
              <w:t>Panel B</w:t>
            </w:r>
          </w:p>
        </w:tc>
        <w:tc>
          <w:tcPr>
            <w:tcW w:w="332" w:type="dxa"/>
            <w:tcBorders>
              <w:top w:val="single" w:sz="4" w:space="0" w:color="auto"/>
              <w:bottom w:val="nil"/>
            </w:tcBorders>
            <w:vAlign w:val="center"/>
          </w:tcPr>
          <w:p w14:paraId="2BCF2DE5" w14:textId="77777777" w:rsidR="002E1A91" w:rsidRPr="00E62016" w:rsidRDefault="002E1A91" w:rsidP="004064EB">
            <w:pPr>
              <w:spacing w:line="240" w:lineRule="auto"/>
              <w:rPr>
                <w:rFonts w:ascii="Times New Roman" w:hAnsi="Times New Roman" w:cs="Times New Roman"/>
                <w:color w:val="000000"/>
              </w:rPr>
            </w:pPr>
          </w:p>
        </w:tc>
        <w:tc>
          <w:tcPr>
            <w:tcW w:w="1657" w:type="dxa"/>
            <w:tcBorders>
              <w:top w:val="single" w:sz="4" w:space="0" w:color="auto"/>
              <w:bottom w:val="nil"/>
            </w:tcBorders>
            <w:vAlign w:val="center"/>
          </w:tcPr>
          <w:p w14:paraId="462074F8" w14:textId="77777777" w:rsidR="002E1A91" w:rsidRPr="00E62016" w:rsidRDefault="002E1A91" w:rsidP="004064EB">
            <w:pPr>
              <w:spacing w:line="240" w:lineRule="auto"/>
              <w:rPr>
                <w:rFonts w:ascii="Times New Roman" w:hAnsi="Times New Roman" w:cs="Times New Roman"/>
                <w:color w:val="000000"/>
              </w:rPr>
            </w:pPr>
          </w:p>
        </w:tc>
        <w:tc>
          <w:tcPr>
            <w:tcW w:w="1678" w:type="dxa"/>
            <w:tcBorders>
              <w:top w:val="single" w:sz="4" w:space="0" w:color="auto"/>
              <w:bottom w:val="nil"/>
            </w:tcBorders>
            <w:vAlign w:val="center"/>
          </w:tcPr>
          <w:p w14:paraId="66343292" w14:textId="77777777" w:rsidR="002E1A91" w:rsidRPr="00E62016" w:rsidRDefault="002E1A91" w:rsidP="004064EB">
            <w:pPr>
              <w:spacing w:line="240" w:lineRule="auto"/>
              <w:rPr>
                <w:rFonts w:ascii="Times New Roman" w:hAnsi="Times New Roman" w:cs="Times New Roman"/>
                <w:color w:val="000000"/>
              </w:rPr>
            </w:pPr>
          </w:p>
        </w:tc>
        <w:tc>
          <w:tcPr>
            <w:tcW w:w="1652" w:type="dxa"/>
            <w:tcBorders>
              <w:top w:val="single" w:sz="4" w:space="0" w:color="auto"/>
              <w:bottom w:val="nil"/>
            </w:tcBorders>
            <w:vAlign w:val="center"/>
          </w:tcPr>
          <w:p w14:paraId="7B84FB21" w14:textId="77777777" w:rsidR="002E1A91" w:rsidRPr="00E62016" w:rsidRDefault="002E1A91" w:rsidP="004064EB">
            <w:pPr>
              <w:spacing w:line="240" w:lineRule="auto"/>
              <w:rPr>
                <w:rFonts w:ascii="Times New Roman" w:hAnsi="Times New Roman" w:cs="Times New Roman"/>
                <w:color w:val="000000"/>
              </w:rPr>
            </w:pPr>
          </w:p>
        </w:tc>
      </w:tr>
      <w:tr w:rsidR="002E1A91" w:rsidRPr="00E62016" w14:paraId="558E43EE" w14:textId="77777777" w:rsidTr="004064EB">
        <w:tc>
          <w:tcPr>
            <w:tcW w:w="2977" w:type="dxa"/>
            <w:tcBorders>
              <w:top w:val="nil"/>
              <w:bottom w:val="nil"/>
            </w:tcBorders>
            <w:vAlign w:val="center"/>
          </w:tcPr>
          <w:p w14:paraId="06B63824"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rPr>
              <w:t xml:space="preserve">Intercept </w:t>
            </w:r>
          </w:p>
        </w:tc>
        <w:tc>
          <w:tcPr>
            <w:tcW w:w="332" w:type="dxa"/>
            <w:tcBorders>
              <w:top w:val="nil"/>
              <w:bottom w:val="nil"/>
            </w:tcBorders>
            <w:vAlign w:val="center"/>
          </w:tcPr>
          <w:p w14:paraId="17946817"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2.1367*** </w:t>
            </w:r>
          </w:p>
        </w:tc>
        <w:tc>
          <w:tcPr>
            <w:tcW w:w="1657" w:type="dxa"/>
            <w:tcBorders>
              <w:top w:val="nil"/>
              <w:bottom w:val="nil"/>
            </w:tcBorders>
            <w:vAlign w:val="center"/>
          </w:tcPr>
          <w:p w14:paraId="3369F7DF"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0.3534 </w:t>
            </w:r>
          </w:p>
        </w:tc>
        <w:tc>
          <w:tcPr>
            <w:tcW w:w="1678" w:type="dxa"/>
            <w:tcBorders>
              <w:top w:val="nil"/>
              <w:bottom w:val="nil"/>
            </w:tcBorders>
            <w:vAlign w:val="center"/>
          </w:tcPr>
          <w:p w14:paraId="035704BA"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1.5465 </w:t>
            </w:r>
          </w:p>
        </w:tc>
        <w:tc>
          <w:tcPr>
            <w:tcW w:w="1652" w:type="dxa"/>
            <w:tcBorders>
              <w:top w:val="nil"/>
              <w:bottom w:val="nil"/>
            </w:tcBorders>
            <w:vAlign w:val="center"/>
          </w:tcPr>
          <w:p w14:paraId="3C5CF776"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2.9368 </w:t>
            </w:r>
          </w:p>
        </w:tc>
      </w:tr>
      <w:tr w:rsidR="002E1A91" w:rsidRPr="00E62016" w14:paraId="7807B51F" w14:textId="77777777" w:rsidTr="004064EB">
        <w:tc>
          <w:tcPr>
            <w:tcW w:w="2977" w:type="dxa"/>
            <w:tcBorders>
              <w:top w:val="nil"/>
            </w:tcBorders>
            <w:vAlign w:val="center"/>
          </w:tcPr>
          <w:p w14:paraId="4DD0E80A"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Domestic or Foreign</w:t>
            </w:r>
          </w:p>
        </w:tc>
        <w:tc>
          <w:tcPr>
            <w:tcW w:w="332" w:type="dxa"/>
            <w:tcBorders>
              <w:top w:val="nil"/>
            </w:tcBorders>
            <w:vAlign w:val="center"/>
          </w:tcPr>
          <w:p w14:paraId="626294A8"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0.1109*** </w:t>
            </w:r>
          </w:p>
        </w:tc>
        <w:tc>
          <w:tcPr>
            <w:tcW w:w="1657" w:type="dxa"/>
            <w:tcBorders>
              <w:top w:val="nil"/>
            </w:tcBorders>
            <w:vAlign w:val="center"/>
          </w:tcPr>
          <w:p w14:paraId="7AEDE6BE"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0.0377 </w:t>
            </w:r>
          </w:p>
        </w:tc>
        <w:tc>
          <w:tcPr>
            <w:tcW w:w="1678" w:type="dxa"/>
            <w:tcBorders>
              <w:top w:val="nil"/>
            </w:tcBorders>
            <w:vAlign w:val="center"/>
          </w:tcPr>
          <w:p w14:paraId="13B9EE94"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0.0383 </w:t>
            </w:r>
          </w:p>
        </w:tc>
        <w:tc>
          <w:tcPr>
            <w:tcW w:w="1652" w:type="dxa"/>
            <w:tcBorders>
              <w:top w:val="nil"/>
            </w:tcBorders>
            <w:vAlign w:val="center"/>
          </w:tcPr>
          <w:p w14:paraId="5F025870"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0.1921 </w:t>
            </w:r>
          </w:p>
        </w:tc>
      </w:tr>
      <w:tr w:rsidR="002E1A91" w:rsidRPr="00E62016" w14:paraId="22A91DA2" w14:textId="77777777" w:rsidTr="004064EB">
        <w:tc>
          <w:tcPr>
            <w:tcW w:w="2977" w:type="dxa"/>
            <w:vAlign w:val="center"/>
          </w:tcPr>
          <w:p w14:paraId="5ABC70CE"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Market share</w:t>
            </w:r>
          </w:p>
        </w:tc>
        <w:tc>
          <w:tcPr>
            <w:tcW w:w="332" w:type="dxa"/>
            <w:vAlign w:val="center"/>
          </w:tcPr>
          <w:p w14:paraId="0A406322"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   0.3097**</w:t>
            </w:r>
          </w:p>
        </w:tc>
        <w:tc>
          <w:tcPr>
            <w:tcW w:w="1657" w:type="dxa"/>
            <w:vAlign w:val="center"/>
          </w:tcPr>
          <w:p w14:paraId="6327D016"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0.1544 </w:t>
            </w:r>
          </w:p>
        </w:tc>
        <w:tc>
          <w:tcPr>
            <w:tcW w:w="1678" w:type="dxa"/>
            <w:vAlign w:val="center"/>
          </w:tcPr>
          <w:p w14:paraId="0966D9CD"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0.0624 </w:t>
            </w:r>
          </w:p>
        </w:tc>
        <w:tc>
          <w:tcPr>
            <w:tcW w:w="1652" w:type="dxa"/>
            <w:vAlign w:val="center"/>
          </w:tcPr>
          <w:p w14:paraId="49BE3FF9"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0.6586 </w:t>
            </w:r>
          </w:p>
        </w:tc>
      </w:tr>
      <w:tr w:rsidR="002E1A91" w:rsidRPr="00E62016" w14:paraId="314AB657" w14:textId="77777777" w:rsidTr="004064EB">
        <w:tc>
          <w:tcPr>
            <w:tcW w:w="2977" w:type="dxa"/>
            <w:tcBorders>
              <w:bottom w:val="single" w:sz="4" w:space="0" w:color="auto"/>
            </w:tcBorders>
            <w:vAlign w:val="center"/>
          </w:tcPr>
          <w:p w14:paraId="4CE29216"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Total assets</w:t>
            </w:r>
          </w:p>
        </w:tc>
        <w:tc>
          <w:tcPr>
            <w:tcW w:w="332" w:type="dxa"/>
            <w:tcBorders>
              <w:bottom w:val="single" w:sz="4" w:space="0" w:color="auto"/>
            </w:tcBorders>
            <w:vAlign w:val="center"/>
          </w:tcPr>
          <w:p w14:paraId="2B0B45B6"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-0.0665*** </w:t>
            </w:r>
          </w:p>
        </w:tc>
        <w:tc>
          <w:tcPr>
            <w:tcW w:w="1657" w:type="dxa"/>
            <w:tcBorders>
              <w:bottom w:val="single" w:sz="4" w:space="0" w:color="auto"/>
            </w:tcBorders>
            <w:vAlign w:val="center"/>
          </w:tcPr>
          <w:p w14:paraId="6A7E2A49"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0.0183 </w:t>
            </w:r>
          </w:p>
        </w:tc>
        <w:tc>
          <w:tcPr>
            <w:tcW w:w="1678" w:type="dxa"/>
            <w:tcBorders>
              <w:bottom w:val="single" w:sz="4" w:space="0" w:color="auto"/>
            </w:tcBorders>
            <w:vAlign w:val="center"/>
          </w:tcPr>
          <w:p w14:paraId="05292431"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-0.1075 </w:t>
            </w:r>
          </w:p>
        </w:tc>
        <w:tc>
          <w:tcPr>
            <w:tcW w:w="1652" w:type="dxa"/>
            <w:tcBorders>
              <w:bottom w:val="single" w:sz="4" w:space="0" w:color="auto"/>
            </w:tcBorders>
            <w:vAlign w:val="center"/>
          </w:tcPr>
          <w:p w14:paraId="165E0DF9"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-0.0356 </w:t>
            </w:r>
          </w:p>
        </w:tc>
      </w:tr>
      <w:tr w:rsidR="002E1A91" w:rsidRPr="00E62016" w14:paraId="02AD7DDE" w14:textId="77777777" w:rsidTr="004064EB">
        <w:tc>
          <w:tcPr>
            <w:tcW w:w="2977" w:type="dxa"/>
            <w:tcBorders>
              <w:top w:val="single" w:sz="4" w:space="0" w:color="auto"/>
              <w:bottom w:val="nil"/>
            </w:tcBorders>
            <w:vAlign w:val="center"/>
          </w:tcPr>
          <w:p w14:paraId="1A41F9E1"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rPr>
              <w:t>Panel C</w:t>
            </w:r>
          </w:p>
        </w:tc>
        <w:tc>
          <w:tcPr>
            <w:tcW w:w="332" w:type="dxa"/>
            <w:tcBorders>
              <w:top w:val="single" w:sz="4" w:space="0" w:color="auto"/>
              <w:bottom w:val="nil"/>
            </w:tcBorders>
            <w:vAlign w:val="center"/>
          </w:tcPr>
          <w:p w14:paraId="701BF125" w14:textId="77777777" w:rsidR="002E1A91" w:rsidRPr="00E62016" w:rsidRDefault="002E1A91" w:rsidP="004064EB">
            <w:pPr>
              <w:spacing w:line="240" w:lineRule="auto"/>
              <w:rPr>
                <w:rFonts w:ascii="Times New Roman" w:hAnsi="Times New Roman" w:cs="Times New Roman"/>
                <w:color w:val="000000"/>
              </w:rPr>
            </w:pPr>
          </w:p>
        </w:tc>
        <w:tc>
          <w:tcPr>
            <w:tcW w:w="1657" w:type="dxa"/>
            <w:tcBorders>
              <w:top w:val="single" w:sz="4" w:space="0" w:color="auto"/>
              <w:bottom w:val="nil"/>
            </w:tcBorders>
            <w:vAlign w:val="center"/>
          </w:tcPr>
          <w:p w14:paraId="7AFF126C" w14:textId="77777777" w:rsidR="002E1A91" w:rsidRPr="00E62016" w:rsidRDefault="002E1A91" w:rsidP="004064EB">
            <w:pPr>
              <w:spacing w:line="240" w:lineRule="auto"/>
              <w:rPr>
                <w:rFonts w:ascii="Times New Roman" w:hAnsi="Times New Roman" w:cs="Times New Roman"/>
                <w:color w:val="000000"/>
              </w:rPr>
            </w:pPr>
          </w:p>
        </w:tc>
        <w:tc>
          <w:tcPr>
            <w:tcW w:w="1678" w:type="dxa"/>
            <w:tcBorders>
              <w:top w:val="single" w:sz="4" w:space="0" w:color="auto"/>
              <w:bottom w:val="nil"/>
            </w:tcBorders>
            <w:vAlign w:val="center"/>
          </w:tcPr>
          <w:p w14:paraId="2672AE59" w14:textId="77777777" w:rsidR="002E1A91" w:rsidRPr="00E62016" w:rsidRDefault="002E1A91" w:rsidP="004064EB">
            <w:pPr>
              <w:spacing w:line="240" w:lineRule="auto"/>
              <w:rPr>
                <w:rFonts w:ascii="Times New Roman" w:hAnsi="Times New Roman" w:cs="Times New Roman"/>
                <w:color w:val="000000"/>
              </w:rPr>
            </w:pPr>
          </w:p>
        </w:tc>
        <w:tc>
          <w:tcPr>
            <w:tcW w:w="1652" w:type="dxa"/>
            <w:tcBorders>
              <w:top w:val="single" w:sz="4" w:space="0" w:color="auto"/>
              <w:bottom w:val="nil"/>
            </w:tcBorders>
            <w:vAlign w:val="center"/>
          </w:tcPr>
          <w:p w14:paraId="18976294" w14:textId="77777777" w:rsidR="002E1A91" w:rsidRPr="00E62016" w:rsidRDefault="002E1A91" w:rsidP="004064EB">
            <w:pPr>
              <w:spacing w:line="240" w:lineRule="auto"/>
              <w:rPr>
                <w:rFonts w:ascii="Times New Roman" w:hAnsi="Times New Roman" w:cs="Times New Roman"/>
                <w:color w:val="000000"/>
              </w:rPr>
            </w:pPr>
          </w:p>
        </w:tc>
      </w:tr>
      <w:tr w:rsidR="002E1A91" w:rsidRPr="00E62016" w14:paraId="1A76E4F5" w14:textId="77777777" w:rsidTr="004064EB">
        <w:tc>
          <w:tcPr>
            <w:tcW w:w="2977" w:type="dxa"/>
            <w:tcBorders>
              <w:top w:val="nil"/>
              <w:bottom w:val="nil"/>
            </w:tcBorders>
            <w:vAlign w:val="center"/>
          </w:tcPr>
          <w:p w14:paraId="54C266AB"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rPr>
              <w:t xml:space="preserve">Intercept </w:t>
            </w:r>
          </w:p>
        </w:tc>
        <w:tc>
          <w:tcPr>
            <w:tcW w:w="332" w:type="dxa"/>
            <w:tcBorders>
              <w:top w:val="nil"/>
              <w:bottom w:val="nil"/>
            </w:tcBorders>
            <w:vAlign w:val="center"/>
          </w:tcPr>
          <w:p w14:paraId="40E990BB"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2.1360*** </w:t>
            </w:r>
          </w:p>
        </w:tc>
        <w:tc>
          <w:tcPr>
            <w:tcW w:w="1657" w:type="dxa"/>
            <w:tcBorders>
              <w:top w:val="nil"/>
              <w:bottom w:val="nil"/>
            </w:tcBorders>
            <w:vAlign w:val="center"/>
          </w:tcPr>
          <w:p w14:paraId="5B6221E9"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0.3439 </w:t>
            </w:r>
          </w:p>
        </w:tc>
        <w:tc>
          <w:tcPr>
            <w:tcW w:w="1678" w:type="dxa"/>
            <w:tcBorders>
              <w:top w:val="nil"/>
              <w:bottom w:val="nil"/>
            </w:tcBorders>
            <w:vAlign w:val="center"/>
          </w:tcPr>
          <w:p w14:paraId="5EBBC886"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1.5304 </w:t>
            </w:r>
          </w:p>
        </w:tc>
        <w:tc>
          <w:tcPr>
            <w:tcW w:w="1652" w:type="dxa"/>
            <w:tcBorders>
              <w:top w:val="nil"/>
              <w:bottom w:val="nil"/>
            </w:tcBorders>
            <w:vAlign w:val="center"/>
          </w:tcPr>
          <w:p w14:paraId="6508B78F"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2.8957 </w:t>
            </w:r>
          </w:p>
        </w:tc>
      </w:tr>
      <w:tr w:rsidR="002E1A91" w:rsidRPr="00E62016" w14:paraId="27987468" w14:textId="77777777" w:rsidTr="004064EB">
        <w:tc>
          <w:tcPr>
            <w:tcW w:w="2977" w:type="dxa"/>
            <w:tcBorders>
              <w:top w:val="nil"/>
            </w:tcBorders>
            <w:vAlign w:val="center"/>
          </w:tcPr>
          <w:p w14:paraId="5E3A5615"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 xml:space="preserve">FHC or non-FHC </w:t>
            </w:r>
          </w:p>
        </w:tc>
        <w:tc>
          <w:tcPr>
            <w:tcW w:w="332" w:type="dxa"/>
            <w:tcBorders>
              <w:top w:val="nil"/>
            </w:tcBorders>
            <w:vAlign w:val="center"/>
          </w:tcPr>
          <w:p w14:paraId="7F053D9D"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-0.0026</w:t>
            </w:r>
          </w:p>
        </w:tc>
        <w:tc>
          <w:tcPr>
            <w:tcW w:w="1657" w:type="dxa"/>
            <w:tcBorders>
              <w:top w:val="nil"/>
            </w:tcBorders>
            <w:vAlign w:val="center"/>
          </w:tcPr>
          <w:p w14:paraId="0719B603"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0.0376 </w:t>
            </w:r>
          </w:p>
        </w:tc>
        <w:tc>
          <w:tcPr>
            <w:tcW w:w="1678" w:type="dxa"/>
            <w:tcBorders>
              <w:top w:val="nil"/>
            </w:tcBorders>
            <w:vAlign w:val="center"/>
          </w:tcPr>
          <w:p w14:paraId="00683BE1"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-0.0734 </w:t>
            </w:r>
          </w:p>
        </w:tc>
        <w:tc>
          <w:tcPr>
            <w:tcW w:w="1652" w:type="dxa"/>
            <w:tcBorders>
              <w:top w:val="nil"/>
            </w:tcBorders>
            <w:vAlign w:val="center"/>
          </w:tcPr>
          <w:p w14:paraId="39CDCF5A"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0.0743 </w:t>
            </w:r>
          </w:p>
        </w:tc>
      </w:tr>
      <w:tr w:rsidR="002E1A91" w:rsidRPr="00E62016" w14:paraId="517B491A" w14:textId="77777777" w:rsidTr="004064EB">
        <w:tc>
          <w:tcPr>
            <w:tcW w:w="2977" w:type="dxa"/>
            <w:vAlign w:val="center"/>
          </w:tcPr>
          <w:p w14:paraId="1EB6914D"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Domestic or Foreign</w:t>
            </w:r>
          </w:p>
        </w:tc>
        <w:tc>
          <w:tcPr>
            <w:tcW w:w="332" w:type="dxa"/>
            <w:vAlign w:val="center"/>
          </w:tcPr>
          <w:p w14:paraId="5CF0F071"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0.1123*** </w:t>
            </w:r>
          </w:p>
        </w:tc>
        <w:tc>
          <w:tcPr>
            <w:tcW w:w="1657" w:type="dxa"/>
            <w:vAlign w:val="center"/>
          </w:tcPr>
          <w:p w14:paraId="2245051B"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0.0385 </w:t>
            </w:r>
          </w:p>
        </w:tc>
        <w:tc>
          <w:tcPr>
            <w:tcW w:w="1678" w:type="dxa"/>
            <w:vAlign w:val="center"/>
          </w:tcPr>
          <w:p w14:paraId="4CE19F6B"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0.0405 </w:t>
            </w:r>
          </w:p>
        </w:tc>
        <w:tc>
          <w:tcPr>
            <w:tcW w:w="1652" w:type="dxa"/>
            <w:vAlign w:val="center"/>
          </w:tcPr>
          <w:p w14:paraId="06ADB812"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0.1927 </w:t>
            </w:r>
          </w:p>
        </w:tc>
      </w:tr>
      <w:tr w:rsidR="002E1A91" w:rsidRPr="00E62016" w14:paraId="11C929AD" w14:textId="77777777" w:rsidTr="004064EB">
        <w:tc>
          <w:tcPr>
            <w:tcW w:w="2977" w:type="dxa"/>
            <w:vAlign w:val="center"/>
          </w:tcPr>
          <w:p w14:paraId="01B05DFD"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Market share</w:t>
            </w:r>
          </w:p>
        </w:tc>
        <w:tc>
          <w:tcPr>
            <w:tcW w:w="332" w:type="dxa"/>
            <w:vAlign w:val="center"/>
          </w:tcPr>
          <w:p w14:paraId="661269D5"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0.3130*</w:t>
            </w:r>
          </w:p>
        </w:tc>
        <w:tc>
          <w:tcPr>
            <w:tcW w:w="1657" w:type="dxa"/>
            <w:vAlign w:val="center"/>
          </w:tcPr>
          <w:p w14:paraId="6B72EFB0"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0.1539 </w:t>
            </w:r>
          </w:p>
        </w:tc>
        <w:tc>
          <w:tcPr>
            <w:tcW w:w="1678" w:type="dxa"/>
            <w:vAlign w:val="center"/>
          </w:tcPr>
          <w:p w14:paraId="33622594"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0.0415 </w:t>
            </w:r>
          </w:p>
        </w:tc>
        <w:tc>
          <w:tcPr>
            <w:tcW w:w="1652" w:type="dxa"/>
            <w:vAlign w:val="center"/>
          </w:tcPr>
          <w:p w14:paraId="5748754F"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0.6482 </w:t>
            </w:r>
          </w:p>
        </w:tc>
      </w:tr>
      <w:tr w:rsidR="002E1A91" w:rsidRPr="00E62016" w14:paraId="19E82E82" w14:textId="77777777" w:rsidTr="004064EB">
        <w:tc>
          <w:tcPr>
            <w:tcW w:w="2977" w:type="dxa"/>
            <w:tcBorders>
              <w:bottom w:val="single" w:sz="4" w:space="0" w:color="auto"/>
            </w:tcBorders>
            <w:vAlign w:val="center"/>
          </w:tcPr>
          <w:p w14:paraId="6D507A62"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Total assets</w:t>
            </w:r>
          </w:p>
        </w:tc>
        <w:tc>
          <w:tcPr>
            <w:tcW w:w="332" w:type="dxa"/>
            <w:tcBorders>
              <w:bottom w:val="single" w:sz="4" w:space="0" w:color="auto"/>
            </w:tcBorders>
            <w:vAlign w:val="center"/>
          </w:tcPr>
          <w:p w14:paraId="4373E5B5"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-0.0665*** </w:t>
            </w:r>
          </w:p>
        </w:tc>
        <w:tc>
          <w:tcPr>
            <w:tcW w:w="1657" w:type="dxa"/>
            <w:tcBorders>
              <w:bottom w:val="single" w:sz="4" w:space="0" w:color="auto"/>
            </w:tcBorders>
            <w:vAlign w:val="center"/>
          </w:tcPr>
          <w:p w14:paraId="50401E01"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0.0180 </w:t>
            </w:r>
          </w:p>
        </w:tc>
        <w:tc>
          <w:tcPr>
            <w:tcW w:w="1678" w:type="dxa"/>
            <w:tcBorders>
              <w:bottom w:val="single" w:sz="4" w:space="0" w:color="auto"/>
            </w:tcBorders>
            <w:vAlign w:val="center"/>
          </w:tcPr>
          <w:p w14:paraId="46CBF09E"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-0.1065 </w:t>
            </w:r>
          </w:p>
        </w:tc>
        <w:tc>
          <w:tcPr>
            <w:tcW w:w="1652" w:type="dxa"/>
            <w:tcBorders>
              <w:bottom w:val="single" w:sz="4" w:space="0" w:color="auto"/>
            </w:tcBorders>
            <w:vAlign w:val="center"/>
          </w:tcPr>
          <w:p w14:paraId="18DAB897"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-0.0345 </w:t>
            </w:r>
          </w:p>
        </w:tc>
      </w:tr>
      <w:tr w:rsidR="002E1A91" w:rsidRPr="00E62016" w14:paraId="139FD16F" w14:textId="77777777" w:rsidTr="004064EB">
        <w:tc>
          <w:tcPr>
            <w:tcW w:w="2977" w:type="dxa"/>
            <w:tcBorders>
              <w:top w:val="single" w:sz="4" w:space="0" w:color="auto"/>
              <w:bottom w:val="nil"/>
            </w:tcBorders>
            <w:vAlign w:val="center"/>
          </w:tcPr>
          <w:p w14:paraId="7B4CE6CC"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rPr>
              <w:t>Panel D</w:t>
            </w:r>
          </w:p>
        </w:tc>
        <w:tc>
          <w:tcPr>
            <w:tcW w:w="332" w:type="dxa"/>
            <w:tcBorders>
              <w:top w:val="single" w:sz="4" w:space="0" w:color="auto"/>
              <w:bottom w:val="nil"/>
            </w:tcBorders>
            <w:vAlign w:val="center"/>
          </w:tcPr>
          <w:p w14:paraId="503F1B71" w14:textId="77777777" w:rsidR="002E1A91" w:rsidRPr="00E62016" w:rsidRDefault="002E1A91" w:rsidP="004064EB">
            <w:pPr>
              <w:spacing w:line="240" w:lineRule="auto"/>
              <w:rPr>
                <w:rFonts w:ascii="Times New Roman" w:hAnsi="Times New Roman" w:cs="Times New Roman"/>
              </w:rPr>
            </w:pPr>
          </w:p>
        </w:tc>
        <w:tc>
          <w:tcPr>
            <w:tcW w:w="1657" w:type="dxa"/>
            <w:tcBorders>
              <w:top w:val="single" w:sz="4" w:space="0" w:color="auto"/>
              <w:bottom w:val="nil"/>
            </w:tcBorders>
            <w:vAlign w:val="center"/>
          </w:tcPr>
          <w:p w14:paraId="200C974B" w14:textId="77777777" w:rsidR="002E1A91" w:rsidRPr="00E62016" w:rsidRDefault="002E1A91" w:rsidP="004064EB">
            <w:pPr>
              <w:spacing w:line="240" w:lineRule="auto"/>
              <w:rPr>
                <w:rFonts w:ascii="Times New Roman" w:hAnsi="Times New Roman" w:cs="Times New Roman"/>
              </w:rPr>
            </w:pPr>
          </w:p>
        </w:tc>
        <w:tc>
          <w:tcPr>
            <w:tcW w:w="1678" w:type="dxa"/>
            <w:tcBorders>
              <w:top w:val="single" w:sz="4" w:space="0" w:color="auto"/>
              <w:bottom w:val="nil"/>
            </w:tcBorders>
            <w:vAlign w:val="center"/>
          </w:tcPr>
          <w:p w14:paraId="1E14D889" w14:textId="77777777" w:rsidR="002E1A91" w:rsidRPr="00E62016" w:rsidRDefault="002E1A91" w:rsidP="004064EB">
            <w:pPr>
              <w:spacing w:line="240" w:lineRule="auto"/>
              <w:rPr>
                <w:rFonts w:ascii="Times New Roman" w:hAnsi="Times New Roman" w:cs="Times New Roman"/>
              </w:rPr>
            </w:pPr>
          </w:p>
        </w:tc>
        <w:tc>
          <w:tcPr>
            <w:tcW w:w="1652" w:type="dxa"/>
            <w:tcBorders>
              <w:top w:val="single" w:sz="4" w:space="0" w:color="auto"/>
              <w:bottom w:val="nil"/>
            </w:tcBorders>
            <w:vAlign w:val="center"/>
          </w:tcPr>
          <w:p w14:paraId="20C3D3C4" w14:textId="77777777" w:rsidR="002E1A91" w:rsidRPr="00E62016" w:rsidRDefault="002E1A91" w:rsidP="004064EB">
            <w:pPr>
              <w:spacing w:line="240" w:lineRule="auto"/>
              <w:rPr>
                <w:rFonts w:ascii="Times New Roman" w:hAnsi="Times New Roman" w:cs="Times New Roman"/>
              </w:rPr>
            </w:pPr>
          </w:p>
        </w:tc>
      </w:tr>
      <w:tr w:rsidR="002E1A91" w:rsidRPr="00E62016" w14:paraId="6BFA1BAE" w14:textId="77777777" w:rsidTr="004064EB">
        <w:tc>
          <w:tcPr>
            <w:tcW w:w="2977" w:type="dxa"/>
            <w:tcBorders>
              <w:top w:val="nil"/>
            </w:tcBorders>
            <w:vAlign w:val="center"/>
          </w:tcPr>
          <w:p w14:paraId="753250E2"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rPr>
              <w:t xml:space="preserve">Intercept </w:t>
            </w:r>
          </w:p>
        </w:tc>
        <w:tc>
          <w:tcPr>
            <w:tcW w:w="332" w:type="dxa"/>
            <w:tcBorders>
              <w:top w:val="nil"/>
            </w:tcBorders>
            <w:vAlign w:val="center"/>
          </w:tcPr>
          <w:p w14:paraId="2655EBD5"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2.3113***</w:t>
            </w:r>
          </w:p>
        </w:tc>
        <w:tc>
          <w:tcPr>
            <w:tcW w:w="1657" w:type="dxa"/>
            <w:tcBorders>
              <w:top w:val="nil"/>
            </w:tcBorders>
            <w:vAlign w:val="center"/>
          </w:tcPr>
          <w:p w14:paraId="49451C6D"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0.3551</w:t>
            </w:r>
          </w:p>
        </w:tc>
        <w:tc>
          <w:tcPr>
            <w:tcW w:w="1678" w:type="dxa"/>
            <w:tcBorders>
              <w:top w:val="nil"/>
            </w:tcBorders>
            <w:vAlign w:val="center"/>
          </w:tcPr>
          <w:p w14:paraId="7B605776"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1.6719</w:t>
            </w:r>
          </w:p>
        </w:tc>
        <w:tc>
          <w:tcPr>
            <w:tcW w:w="1652" w:type="dxa"/>
            <w:tcBorders>
              <w:top w:val="nil"/>
            </w:tcBorders>
            <w:vAlign w:val="center"/>
          </w:tcPr>
          <w:p w14:paraId="3A085037"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3.0756</w:t>
            </w:r>
          </w:p>
        </w:tc>
      </w:tr>
      <w:tr w:rsidR="002E1A91" w:rsidRPr="00E62016" w14:paraId="1FE602AD" w14:textId="77777777" w:rsidTr="004064EB">
        <w:tc>
          <w:tcPr>
            <w:tcW w:w="2977" w:type="dxa"/>
            <w:vAlign w:val="center"/>
          </w:tcPr>
          <w:p w14:paraId="7504C9E9"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color w:val="000000"/>
              </w:rPr>
              <w:t xml:space="preserve">FHC or non-FHC </w:t>
            </w:r>
          </w:p>
        </w:tc>
        <w:tc>
          <w:tcPr>
            <w:tcW w:w="332" w:type="dxa"/>
            <w:vAlign w:val="center"/>
          </w:tcPr>
          <w:p w14:paraId="53C2D878" w14:textId="77777777" w:rsidR="002E1A91" w:rsidRPr="00E62016" w:rsidRDefault="002E1A91" w:rsidP="004064EB">
            <w:pPr>
              <w:spacing w:line="240" w:lineRule="auto"/>
              <w:ind w:right="240"/>
              <w:rPr>
                <w:rFonts w:ascii="Times New Roman" w:hAnsi="Times New Roman" w:cs="Times New Roman"/>
              </w:rPr>
            </w:pPr>
            <w:r w:rsidRPr="00E62016">
              <w:rPr>
                <w:rFonts w:ascii="Times New Roman" w:hAnsi="Times New Roman" w:cs="Times New Roman"/>
              </w:rPr>
              <w:t>-0.0324</w:t>
            </w:r>
          </w:p>
        </w:tc>
        <w:tc>
          <w:tcPr>
            <w:tcW w:w="1657" w:type="dxa"/>
            <w:vAlign w:val="center"/>
          </w:tcPr>
          <w:p w14:paraId="74F751ED"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0.0372</w:t>
            </w:r>
          </w:p>
        </w:tc>
        <w:tc>
          <w:tcPr>
            <w:tcW w:w="1678" w:type="dxa"/>
            <w:vAlign w:val="center"/>
          </w:tcPr>
          <w:p w14:paraId="4F0EE53C"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-0.1045</w:t>
            </w:r>
          </w:p>
        </w:tc>
        <w:tc>
          <w:tcPr>
            <w:tcW w:w="1652" w:type="dxa"/>
            <w:vAlign w:val="center"/>
          </w:tcPr>
          <w:p w14:paraId="097D1D9F"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0.0457</w:t>
            </w:r>
          </w:p>
        </w:tc>
      </w:tr>
      <w:tr w:rsidR="002E1A91" w:rsidRPr="00E62016" w14:paraId="3C81523F" w14:textId="77777777" w:rsidTr="004064EB">
        <w:tc>
          <w:tcPr>
            <w:tcW w:w="2977" w:type="dxa"/>
            <w:vAlign w:val="center"/>
          </w:tcPr>
          <w:p w14:paraId="56017D3D"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color w:val="000000"/>
              </w:rPr>
              <w:t>Domestic or Foreign</w:t>
            </w:r>
          </w:p>
        </w:tc>
        <w:tc>
          <w:tcPr>
            <w:tcW w:w="332" w:type="dxa"/>
            <w:vAlign w:val="center"/>
          </w:tcPr>
          <w:p w14:paraId="122E7790"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0.1370***</w:t>
            </w:r>
          </w:p>
        </w:tc>
        <w:tc>
          <w:tcPr>
            <w:tcW w:w="1657" w:type="dxa"/>
            <w:vAlign w:val="center"/>
          </w:tcPr>
          <w:p w14:paraId="1BAD8018"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0.0398</w:t>
            </w:r>
          </w:p>
        </w:tc>
        <w:tc>
          <w:tcPr>
            <w:tcW w:w="1678" w:type="dxa"/>
            <w:vAlign w:val="center"/>
          </w:tcPr>
          <w:p w14:paraId="6A17D5B5"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0.0575</w:t>
            </w:r>
          </w:p>
        </w:tc>
        <w:tc>
          <w:tcPr>
            <w:tcW w:w="1652" w:type="dxa"/>
            <w:vAlign w:val="center"/>
          </w:tcPr>
          <w:p w14:paraId="2F6E7B6A"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0.2158</w:t>
            </w:r>
          </w:p>
        </w:tc>
      </w:tr>
      <w:tr w:rsidR="002E1A91" w:rsidRPr="00E62016" w14:paraId="5CC46031" w14:textId="77777777" w:rsidTr="004064EB">
        <w:tc>
          <w:tcPr>
            <w:tcW w:w="2977" w:type="dxa"/>
            <w:vAlign w:val="center"/>
          </w:tcPr>
          <w:p w14:paraId="483D1254"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color w:val="000000"/>
              </w:rPr>
              <w:t>Market share</w:t>
            </w:r>
          </w:p>
        </w:tc>
        <w:tc>
          <w:tcPr>
            <w:tcW w:w="332" w:type="dxa"/>
            <w:vAlign w:val="center"/>
          </w:tcPr>
          <w:p w14:paraId="69F4F961"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0.4959***</w:t>
            </w:r>
          </w:p>
        </w:tc>
        <w:tc>
          <w:tcPr>
            <w:tcW w:w="1657" w:type="dxa"/>
            <w:vAlign w:val="center"/>
          </w:tcPr>
          <w:p w14:paraId="760FE869"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0.1657</w:t>
            </w:r>
          </w:p>
        </w:tc>
        <w:tc>
          <w:tcPr>
            <w:tcW w:w="1678" w:type="dxa"/>
            <w:vAlign w:val="center"/>
          </w:tcPr>
          <w:p w14:paraId="5B53ECBE"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0.1821</w:t>
            </w:r>
          </w:p>
        </w:tc>
        <w:tc>
          <w:tcPr>
            <w:tcW w:w="1652" w:type="dxa"/>
            <w:vAlign w:val="center"/>
          </w:tcPr>
          <w:p w14:paraId="3DAE24BE"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0.8398</w:t>
            </w:r>
          </w:p>
        </w:tc>
      </w:tr>
      <w:tr w:rsidR="002E1A91" w:rsidRPr="00E62016" w14:paraId="112ED616" w14:textId="77777777" w:rsidTr="004064EB">
        <w:tc>
          <w:tcPr>
            <w:tcW w:w="2977" w:type="dxa"/>
            <w:vAlign w:val="center"/>
          </w:tcPr>
          <w:p w14:paraId="74AB2977"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color w:val="000000"/>
              </w:rPr>
              <w:t>Total assets</w:t>
            </w:r>
          </w:p>
        </w:tc>
        <w:tc>
          <w:tcPr>
            <w:tcW w:w="332" w:type="dxa"/>
            <w:vAlign w:val="center"/>
          </w:tcPr>
          <w:p w14:paraId="6562A91F"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-0.0824***</w:t>
            </w:r>
          </w:p>
        </w:tc>
        <w:tc>
          <w:tcPr>
            <w:tcW w:w="1657" w:type="dxa"/>
            <w:vAlign w:val="center"/>
          </w:tcPr>
          <w:p w14:paraId="14FF03E0"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0.0194</w:t>
            </w:r>
          </w:p>
        </w:tc>
        <w:tc>
          <w:tcPr>
            <w:tcW w:w="1678" w:type="dxa"/>
            <w:vAlign w:val="center"/>
          </w:tcPr>
          <w:p w14:paraId="16445449"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-0.1253</w:t>
            </w:r>
          </w:p>
        </w:tc>
        <w:tc>
          <w:tcPr>
            <w:tcW w:w="1652" w:type="dxa"/>
            <w:vAlign w:val="center"/>
          </w:tcPr>
          <w:p w14:paraId="566238EE"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-0.0471</w:t>
            </w:r>
          </w:p>
        </w:tc>
      </w:tr>
      <w:tr w:rsidR="002E1A91" w:rsidRPr="00E62016" w14:paraId="54ABCEF2" w14:textId="77777777" w:rsidTr="004064EB">
        <w:tc>
          <w:tcPr>
            <w:tcW w:w="2977" w:type="dxa"/>
            <w:vAlign w:val="center"/>
          </w:tcPr>
          <w:p w14:paraId="4CD7B261"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rPr>
              <w:t xml:space="preserve">Time </w:t>
            </w:r>
          </w:p>
        </w:tc>
        <w:tc>
          <w:tcPr>
            <w:tcW w:w="332" w:type="dxa"/>
            <w:vAlign w:val="center"/>
          </w:tcPr>
          <w:p w14:paraId="09E30969"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0.0196***</w:t>
            </w:r>
          </w:p>
        </w:tc>
        <w:tc>
          <w:tcPr>
            <w:tcW w:w="1657" w:type="dxa"/>
            <w:vAlign w:val="center"/>
          </w:tcPr>
          <w:p w14:paraId="65ECB046"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0.0070</w:t>
            </w:r>
          </w:p>
        </w:tc>
        <w:tc>
          <w:tcPr>
            <w:tcW w:w="1678" w:type="dxa"/>
            <w:vAlign w:val="center"/>
          </w:tcPr>
          <w:p w14:paraId="443350EF"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0.0061</w:t>
            </w:r>
          </w:p>
        </w:tc>
        <w:tc>
          <w:tcPr>
            <w:tcW w:w="1652" w:type="dxa"/>
            <w:vAlign w:val="center"/>
          </w:tcPr>
          <w:p w14:paraId="7FB4C30D"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0.0340</w:t>
            </w:r>
          </w:p>
        </w:tc>
      </w:tr>
    </w:tbl>
    <w:p w14:paraId="5E2EF241" w14:textId="77777777" w:rsidR="002E1A91" w:rsidRPr="00E62016" w:rsidRDefault="002E1A91" w:rsidP="004064EB">
      <w:pPr>
        <w:spacing w:line="240" w:lineRule="auto"/>
      </w:pPr>
    </w:p>
    <w:p w14:paraId="4A10875F" w14:textId="77777777" w:rsidR="002E1A91" w:rsidRPr="00E62016" w:rsidRDefault="002E1A91" w:rsidP="004064EB">
      <w:pPr>
        <w:spacing w:line="240" w:lineRule="auto"/>
      </w:pPr>
    </w:p>
    <w:p w14:paraId="77262698" w14:textId="77777777" w:rsidR="002E1A91" w:rsidRPr="00E62016" w:rsidRDefault="002E1A91" w:rsidP="004064EB">
      <w:pPr>
        <w:spacing w:line="240" w:lineRule="auto"/>
      </w:pPr>
      <w:r w:rsidRPr="00E62016">
        <w:br w:type="page"/>
      </w:r>
    </w:p>
    <w:p w14:paraId="54CB22E2" w14:textId="4E431916" w:rsidR="002E1A91" w:rsidRPr="00E62016" w:rsidRDefault="002E1A91" w:rsidP="00744AD2">
      <w:pPr>
        <w:pStyle w:val="Tabletitle"/>
        <w:widowControl w:val="0"/>
        <w:adjustRightInd w:val="0"/>
        <w:spacing w:before="0" w:after="120" w:line="240" w:lineRule="auto"/>
        <w:jc w:val="center"/>
        <w:textAlignment w:val="baseline"/>
        <w:rPr>
          <w:rFonts w:eastAsia="Times New Roman"/>
        </w:rPr>
      </w:pPr>
      <w:r w:rsidRPr="00744AD2">
        <w:rPr>
          <w:rFonts w:eastAsia="新細明體"/>
          <w:b/>
          <w:sz w:val="22"/>
          <w:szCs w:val="20"/>
          <w:lang w:val="en-US" w:eastAsia="zh-TW"/>
        </w:rPr>
        <w:lastRenderedPageBreak/>
        <w:t>Table 6</w:t>
      </w:r>
      <w:r w:rsidR="00C85984" w:rsidRPr="00744AD2">
        <w:rPr>
          <w:rFonts w:eastAsia="新細明體"/>
          <w:b/>
          <w:sz w:val="22"/>
          <w:szCs w:val="20"/>
          <w:lang w:val="en-US" w:eastAsia="zh-TW"/>
        </w:rPr>
        <w:t>.</w:t>
      </w:r>
      <w:r w:rsidRPr="00744AD2">
        <w:rPr>
          <w:rFonts w:eastAsia="新細明體"/>
          <w:b/>
          <w:sz w:val="22"/>
          <w:szCs w:val="20"/>
          <w:lang w:val="en-US" w:eastAsia="zh-TW"/>
        </w:rPr>
        <w:t xml:space="preserve"> Estimates of the conventional Tobit regression model</w:t>
      </w:r>
    </w:p>
    <w:tbl>
      <w:tblPr>
        <w:tblStyle w:val="af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1563"/>
        <w:gridCol w:w="1607"/>
        <w:gridCol w:w="1598"/>
        <w:gridCol w:w="1575"/>
      </w:tblGrid>
      <w:tr w:rsidR="002E1A91" w:rsidRPr="00E62016" w14:paraId="01A4F87C" w14:textId="77777777" w:rsidTr="004064EB">
        <w:tc>
          <w:tcPr>
            <w:tcW w:w="2268" w:type="dxa"/>
            <w:tcBorders>
              <w:top w:val="single" w:sz="4" w:space="0" w:color="auto"/>
              <w:bottom w:val="single" w:sz="4" w:space="0" w:color="auto"/>
            </w:tcBorders>
          </w:tcPr>
          <w:p w14:paraId="1006208E" w14:textId="77777777" w:rsidR="002E1A91" w:rsidRPr="00E62016" w:rsidRDefault="002E1A91" w:rsidP="004064EB">
            <w:pPr>
              <w:spacing w:line="240" w:lineRule="auto"/>
              <w:rPr>
                <w:rFonts w:ascii="Times New Roman" w:eastAsia="標楷體" w:hAnsi="Times New Roman" w:cs="Times New Roman"/>
                <w:color w:val="000000"/>
              </w:rPr>
            </w:pPr>
          </w:p>
        </w:tc>
        <w:tc>
          <w:tcPr>
            <w:tcW w:w="1041" w:type="dxa"/>
            <w:tcBorders>
              <w:top w:val="single" w:sz="4" w:space="0" w:color="auto"/>
              <w:bottom w:val="single" w:sz="4" w:space="0" w:color="auto"/>
            </w:tcBorders>
            <w:vAlign w:val="center"/>
          </w:tcPr>
          <w:p w14:paraId="561BA301"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Observational coefficients</w:t>
            </w:r>
          </w:p>
        </w:tc>
        <w:tc>
          <w:tcPr>
            <w:tcW w:w="1657" w:type="dxa"/>
            <w:tcBorders>
              <w:top w:val="single" w:sz="4" w:space="0" w:color="auto"/>
              <w:bottom w:val="single" w:sz="4" w:space="0" w:color="auto"/>
            </w:tcBorders>
            <w:vAlign w:val="center"/>
          </w:tcPr>
          <w:p w14:paraId="7D4938C6"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rPr>
              <w:t>Bootstrap corrected SD</w:t>
            </w:r>
          </w:p>
        </w:tc>
        <w:tc>
          <w:tcPr>
            <w:tcW w:w="3330" w:type="dxa"/>
            <w:gridSpan w:val="2"/>
            <w:tcBorders>
              <w:top w:val="single" w:sz="4" w:space="0" w:color="auto"/>
              <w:bottom w:val="single" w:sz="4" w:space="0" w:color="auto"/>
            </w:tcBorders>
            <w:vAlign w:val="center"/>
          </w:tcPr>
          <w:p w14:paraId="7D13F4D8"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color w:val="000000"/>
              </w:rPr>
              <w:t>95% confidence interval</w:t>
            </w:r>
          </w:p>
        </w:tc>
      </w:tr>
      <w:tr w:rsidR="002E1A91" w:rsidRPr="00E62016" w14:paraId="313D8504" w14:textId="77777777" w:rsidTr="004064EB">
        <w:tc>
          <w:tcPr>
            <w:tcW w:w="2268" w:type="dxa"/>
            <w:tcBorders>
              <w:top w:val="single" w:sz="4" w:space="0" w:color="auto"/>
            </w:tcBorders>
            <w:vAlign w:val="center"/>
          </w:tcPr>
          <w:p w14:paraId="30DD63D2"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rPr>
              <w:t>Panel A</w:t>
            </w:r>
          </w:p>
        </w:tc>
        <w:tc>
          <w:tcPr>
            <w:tcW w:w="1041" w:type="dxa"/>
            <w:tcBorders>
              <w:top w:val="single" w:sz="4" w:space="0" w:color="auto"/>
            </w:tcBorders>
            <w:vAlign w:val="center"/>
          </w:tcPr>
          <w:p w14:paraId="384B40AA" w14:textId="77777777" w:rsidR="002E1A91" w:rsidRPr="00E62016" w:rsidRDefault="002E1A91" w:rsidP="004064EB">
            <w:pPr>
              <w:spacing w:line="240" w:lineRule="auto"/>
              <w:rPr>
                <w:rFonts w:ascii="Times New Roman" w:hAnsi="Times New Roman" w:cs="Times New Roman"/>
                <w:color w:val="000000"/>
              </w:rPr>
            </w:pPr>
          </w:p>
        </w:tc>
        <w:tc>
          <w:tcPr>
            <w:tcW w:w="1657" w:type="dxa"/>
            <w:tcBorders>
              <w:top w:val="single" w:sz="4" w:space="0" w:color="auto"/>
            </w:tcBorders>
            <w:vAlign w:val="center"/>
          </w:tcPr>
          <w:p w14:paraId="39FC82C7" w14:textId="77777777" w:rsidR="002E1A91" w:rsidRPr="00E62016" w:rsidRDefault="002E1A91" w:rsidP="004064EB">
            <w:pPr>
              <w:spacing w:line="240" w:lineRule="auto"/>
              <w:rPr>
                <w:rFonts w:ascii="Times New Roman" w:hAnsi="Times New Roman" w:cs="Times New Roman"/>
                <w:color w:val="000000"/>
              </w:rPr>
            </w:pPr>
          </w:p>
        </w:tc>
        <w:tc>
          <w:tcPr>
            <w:tcW w:w="1678" w:type="dxa"/>
            <w:tcBorders>
              <w:top w:val="single" w:sz="4" w:space="0" w:color="auto"/>
            </w:tcBorders>
            <w:vAlign w:val="center"/>
          </w:tcPr>
          <w:p w14:paraId="2731D354" w14:textId="77777777" w:rsidR="002E1A91" w:rsidRPr="00E62016" w:rsidRDefault="002E1A91" w:rsidP="004064EB">
            <w:pPr>
              <w:spacing w:line="240" w:lineRule="auto"/>
              <w:rPr>
                <w:rFonts w:ascii="Times New Roman" w:hAnsi="Times New Roman" w:cs="Times New Roman"/>
                <w:color w:val="000000"/>
              </w:rPr>
            </w:pPr>
          </w:p>
        </w:tc>
        <w:tc>
          <w:tcPr>
            <w:tcW w:w="1652" w:type="dxa"/>
            <w:tcBorders>
              <w:top w:val="single" w:sz="4" w:space="0" w:color="auto"/>
            </w:tcBorders>
            <w:vAlign w:val="center"/>
          </w:tcPr>
          <w:p w14:paraId="3D84F87C" w14:textId="77777777" w:rsidR="002E1A91" w:rsidRPr="00E62016" w:rsidRDefault="002E1A91" w:rsidP="004064EB">
            <w:pPr>
              <w:spacing w:line="240" w:lineRule="auto"/>
              <w:rPr>
                <w:rFonts w:ascii="Times New Roman" w:hAnsi="Times New Roman" w:cs="Times New Roman"/>
              </w:rPr>
            </w:pPr>
          </w:p>
        </w:tc>
      </w:tr>
      <w:tr w:rsidR="002E1A91" w:rsidRPr="00E62016" w14:paraId="6B55E08D" w14:textId="77777777" w:rsidTr="004064EB">
        <w:tc>
          <w:tcPr>
            <w:tcW w:w="2268" w:type="dxa"/>
            <w:vAlign w:val="center"/>
          </w:tcPr>
          <w:p w14:paraId="2024A75F"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rPr>
              <w:t xml:space="preserve">Intercept </w:t>
            </w:r>
          </w:p>
        </w:tc>
        <w:tc>
          <w:tcPr>
            <w:tcW w:w="1041" w:type="dxa"/>
            <w:vAlign w:val="center"/>
          </w:tcPr>
          <w:p w14:paraId="3935B4D7"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1.3049*** </w:t>
            </w:r>
          </w:p>
        </w:tc>
        <w:tc>
          <w:tcPr>
            <w:tcW w:w="1657" w:type="dxa"/>
            <w:vAlign w:val="center"/>
          </w:tcPr>
          <w:p w14:paraId="5C6760F7"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0.1239 </w:t>
            </w:r>
          </w:p>
        </w:tc>
        <w:tc>
          <w:tcPr>
            <w:tcW w:w="1678" w:type="dxa"/>
            <w:vAlign w:val="center"/>
          </w:tcPr>
          <w:p w14:paraId="04FFBACD"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1.0604 </w:t>
            </w:r>
          </w:p>
        </w:tc>
        <w:tc>
          <w:tcPr>
            <w:tcW w:w="1652" w:type="dxa"/>
            <w:vAlign w:val="center"/>
          </w:tcPr>
          <w:p w14:paraId="61AE007F"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1.5494 </w:t>
            </w:r>
          </w:p>
        </w:tc>
      </w:tr>
      <w:tr w:rsidR="002E1A91" w:rsidRPr="00E62016" w14:paraId="71C9CE17" w14:textId="77777777" w:rsidTr="004064EB">
        <w:tc>
          <w:tcPr>
            <w:tcW w:w="2268" w:type="dxa"/>
            <w:vAlign w:val="center"/>
          </w:tcPr>
          <w:p w14:paraId="589467F3"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 xml:space="preserve">FHC or non-FHC </w:t>
            </w:r>
          </w:p>
        </w:tc>
        <w:tc>
          <w:tcPr>
            <w:tcW w:w="1041" w:type="dxa"/>
            <w:vAlign w:val="center"/>
          </w:tcPr>
          <w:p w14:paraId="5064B051"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0.0194</w:t>
            </w:r>
          </w:p>
        </w:tc>
        <w:tc>
          <w:tcPr>
            <w:tcW w:w="1657" w:type="dxa"/>
            <w:vAlign w:val="center"/>
          </w:tcPr>
          <w:p w14:paraId="41CCE180"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0.0162 </w:t>
            </w:r>
          </w:p>
        </w:tc>
        <w:tc>
          <w:tcPr>
            <w:tcW w:w="1678" w:type="dxa"/>
            <w:vAlign w:val="center"/>
          </w:tcPr>
          <w:p w14:paraId="6BF3CFAD"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-0.0126 </w:t>
            </w:r>
          </w:p>
        </w:tc>
        <w:tc>
          <w:tcPr>
            <w:tcW w:w="1652" w:type="dxa"/>
            <w:vAlign w:val="center"/>
          </w:tcPr>
          <w:p w14:paraId="03731A6F"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0.0514 </w:t>
            </w:r>
          </w:p>
        </w:tc>
      </w:tr>
      <w:tr w:rsidR="002E1A91" w:rsidRPr="00E62016" w14:paraId="546FD6FA" w14:textId="77777777" w:rsidTr="004064EB">
        <w:tc>
          <w:tcPr>
            <w:tcW w:w="2268" w:type="dxa"/>
            <w:vAlign w:val="center"/>
          </w:tcPr>
          <w:p w14:paraId="65F44A47"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Market share</w:t>
            </w:r>
          </w:p>
        </w:tc>
        <w:tc>
          <w:tcPr>
            <w:tcW w:w="1041" w:type="dxa"/>
            <w:vAlign w:val="center"/>
          </w:tcPr>
          <w:p w14:paraId="67D284CB"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  0.1714**</w:t>
            </w:r>
          </w:p>
        </w:tc>
        <w:tc>
          <w:tcPr>
            <w:tcW w:w="1657" w:type="dxa"/>
            <w:vAlign w:val="center"/>
          </w:tcPr>
          <w:p w14:paraId="123D5B62"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0.0685 </w:t>
            </w:r>
          </w:p>
        </w:tc>
        <w:tc>
          <w:tcPr>
            <w:tcW w:w="1678" w:type="dxa"/>
            <w:vAlign w:val="center"/>
          </w:tcPr>
          <w:p w14:paraId="56E766D6"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0.0362 </w:t>
            </w:r>
          </w:p>
        </w:tc>
        <w:tc>
          <w:tcPr>
            <w:tcW w:w="1652" w:type="dxa"/>
            <w:vAlign w:val="center"/>
          </w:tcPr>
          <w:p w14:paraId="06610E57"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0.3066 </w:t>
            </w:r>
          </w:p>
        </w:tc>
      </w:tr>
      <w:tr w:rsidR="002E1A91" w:rsidRPr="00E62016" w14:paraId="2C629D33" w14:textId="77777777" w:rsidTr="004064EB">
        <w:tc>
          <w:tcPr>
            <w:tcW w:w="2268" w:type="dxa"/>
            <w:tcBorders>
              <w:bottom w:val="single" w:sz="4" w:space="0" w:color="auto"/>
            </w:tcBorders>
            <w:vAlign w:val="center"/>
          </w:tcPr>
          <w:p w14:paraId="61971793"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Total assets</w:t>
            </w:r>
          </w:p>
        </w:tc>
        <w:tc>
          <w:tcPr>
            <w:tcW w:w="1041" w:type="dxa"/>
            <w:tcBorders>
              <w:bottom w:val="single" w:sz="4" w:space="0" w:color="auto"/>
            </w:tcBorders>
            <w:vAlign w:val="center"/>
          </w:tcPr>
          <w:p w14:paraId="7C704BAC"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-0.0219*** </w:t>
            </w:r>
          </w:p>
        </w:tc>
        <w:tc>
          <w:tcPr>
            <w:tcW w:w="1657" w:type="dxa"/>
            <w:tcBorders>
              <w:bottom w:val="single" w:sz="4" w:space="0" w:color="auto"/>
            </w:tcBorders>
            <w:vAlign w:val="center"/>
          </w:tcPr>
          <w:p w14:paraId="7B140D8D"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0.0067 </w:t>
            </w:r>
          </w:p>
        </w:tc>
        <w:tc>
          <w:tcPr>
            <w:tcW w:w="1678" w:type="dxa"/>
            <w:tcBorders>
              <w:bottom w:val="single" w:sz="4" w:space="0" w:color="auto"/>
            </w:tcBorders>
            <w:vAlign w:val="center"/>
          </w:tcPr>
          <w:p w14:paraId="4B58D508"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-0.0352 </w:t>
            </w:r>
          </w:p>
        </w:tc>
        <w:tc>
          <w:tcPr>
            <w:tcW w:w="1652" w:type="dxa"/>
            <w:tcBorders>
              <w:bottom w:val="single" w:sz="4" w:space="0" w:color="auto"/>
            </w:tcBorders>
            <w:vAlign w:val="center"/>
          </w:tcPr>
          <w:p w14:paraId="29F162A8"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-0.0087 </w:t>
            </w:r>
          </w:p>
        </w:tc>
      </w:tr>
      <w:tr w:rsidR="002E1A91" w:rsidRPr="00E62016" w14:paraId="5D0C2674" w14:textId="77777777" w:rsidTr="004064EB">
        <w:trPr>
          <w:trHeight w:val="105"/>
        </w:trPr>
        <w:tc>
          <w:tcPr>
            <w:tcW w:w="2268" w:type="dxa"/>
            <w:tcBorders>
              <w:top w:val="single" w:sz="4" w:space="0" w:color="auto"/>
              <w:bottom w:val="nil"/>
            </w:tcBorders>
            <w:vAlign w:val="center"/>
          </w:tcPr>
          <w:p w14:paraId="5E358305"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rPr>
              <w:t>Panel B</w:t>
            </w:r>
          </w:p>
        </w:tc>
        <w:tc>
          <w:tcPr>
            <w:tcW w:w="1041" w:type="dxa"/>
            <w:tcBorders>
              <w:top w:val="single" w:sz="4" w:space="0" w:color="auto"/>
              <w:bottom w:val="nil"/>
            </w:tcBorders>
            <w:vAlign w:val="center"/>
          </w:tcPr>
          <w:p w14:paraId="45F03A52" w14:textId="77777777" w:rsidR="002E1A91" w:rsidRPr="00E62016" w:rsidRDefault="002E1A91" w:rsidP="004064EB">
            <w:pPr>
              <w:spacing w:line="240" w:lineRule="auto"/>
              <w:rPr>
                <w:rFonts w:ascii="Times New Roman" w:hAnsi="Times New Roman" w:cs="Times New Roman"/>
                <w:color w:val="000000"/>
              </w:rPr>
            </w:pPr>
          </w:p>
        </w:tc>
        <w:tc>
          <w:tcPr>
            <w:tcW w:w="1657" w:type="dxa"/>
            <w:tcBorders>
              <w:top w:val="single" w:sz="4" w:space="0" w:color="auto"/>
              <w:bottom w:val="nil"/>
            </w:tcBorders>
            <w:vAlign w:val="center"/>
          </w:tcPr>
          <w:p w14:paraId="2BFA3E06" w14:textId="77777777" w:rsidR="002E1A91" w:rsidRPr="00E62016" w:rsidRDefault="002E1A91" w:rsidP="004064EB">
            <w:pPr>
              <w:spacing w:line="240" w:lineRule="auto"/>
              <w:rPr>
                <w:rFonts w:ascii="Times New Roman" w:hAnsi="Times New Roman" w:cs="Times New Roman"/>
                <w:color w:val="000000"/>
              </w:rPr>
            </w:pPr>
          </w:p>
        </w:tc>
        <w:tc>
          <w:tcPr>
            <w:tcW w:w="1678" w:type="dxa"/>
            <w:tcBorders>
              <w:top w:val="single" w:sz="4" w:space="0" w:color="auto"/>
              <w:bottom w:val="nil"/>
            </w:tcBorders>
            <w:vAlign w:val="center"/>
          </w:tcPr>
          <w:p w14:paraId="3A2A24AD" w14:textId="77777777" w:rsidR="002E1A91" w:rsidRPr="00E62016" w:rsidRDefault="002E1A91" w:rsidP="004064EB">
            <w:pPr>
              <w:spacing w:line="240" w:lineRule="auto"/>
              <w:rPr>
                <w:rFonts w:ascii="Times New Roman" w:hAnsi="Times New Roman" w:cs="Times New Roman"/>
                <w:color w:val="000000"/>
              </w:rPr>
            </w:pPr>
          </w:p>
        </w:tc>
        <w:tc>
          <w:tcPr>
            <w:tcW w:w="1652" w:type="dxa"/>
            <w:tcBorders>
              <w:top w:val="single" w:sz="4" w:space="0" w:color="auto"/>
              <w:bottom w:val="nil"/>
            </w:tcBorders>
            <w:vAlign w:val="center"/>
          </w:tcPr>
          <w:p w14:paraId="7DCDD909" w14:textId="77777777" w:rsidR="002E1A91" w:rsidRPr="00E62016" w:rsidRDefault="002E1A91" w:rsidP="004064EB">
            <w:pPr>
              <w:spacing w:line="240" w:lineRule="auto"/>
              <w:rPr>
                <w:rFonts w:ascii="Times New Roman" w:hAnsi="Times New Roman" w:cs="Times New Roman"/>
                <w:color w:val="000000"/>
              </w:rPr>
            </w:pPr>
          </w:p>
        </w:tc>
      </w:tr>
      <w:tr w:rsidR="002E1A91" w:rsidRPr="00E62016" w14:paraId="46F69189" w14:textId="77777777" w:rsidTr="004064EB">
        <w:tc>
          <w:tcPr>
            <w:tcW w:w="2268" w:type="dxa"/>
            <w:tcBorders>
              <w:top w:val="nil"/>
              <w:bottom w:val="nil"/>
            </w:tcBorders>
            <w:vAlign w:val="center"/>
          </w:tcPr>
          <w:p w14:paraId="362C1778"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rPr>
              <w:t xml:space="preserve">Intercept </w:t>
            </w:r>
          </w:p>
        </w:tc>
        <w:tc>
          <w:tcPr>
            <w:tcW w:w="1041" w:type="dxa"/>
            <w:tcBorders>
              <w:top w:val="nil"/>
              <w:bottom w:val="nil"/>
            </w:tcBorders>
            <w:vAlign w:val="center"/>
          </w:tcPr>
          <w:p w14:paraId="548D1C93"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1.3667*** </w:t>
            </w:r>
          </w:p>
        </w:tc>
        <w:tc>
          <w:tcPr>
            <w:tcW w:w="1657" w:type="dxa"/>
            <w:tcBorders>
              <w:top w:val="nil"/>
              <w:bottom w:val="nil"/>
            </w:tcBorders>
            <w:vAlign w:val="center"/>
          </w:tcPr>
          <w:p w14:paraId="448E2644"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0.1234 </w:t>
            </w:r>
          </w:p>
        </w:tc>
        <w:tc>
          <w:tcPr>
            <w:tcW w:w="1678" w:type="dxa"/>
            <w:tcBorders>
              <w:top w:val="nil"/>
              <w:bottom w:val="nil"/>
            </w:tcBorders>
            <w:vAlign w:val="center"/>
          </w:tcPr>
          <w:p w14:paraId="1C5EEA01"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1.1233 </w:t>
            </w:r>
          </w:p>
        </w:tc>
        <w:tc>
          <w:tcPr>
            <w:tcW w:w="1652" w:type="dxa"/>
            <w:tcBorders>
              <w:top w:val="nil"/>
              <w:bottom w:val="nil"/>
            </w:tcBorders>
            <w:vAlign w:val="center"/>
          </w:tcPr>
          <w:p w14:paraId="0043E00A"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1.6102 </w:t>
            </w:r>
          </w:p>
        </w:tc>
      </w:tr>
      <w:tr w:rsidR="002E1A91" w:rsidRPr="00E62016" w14:paraId="0EE7E9A9" w14:textId="77777777" w:rsidTr="004064EB">
        <w:tc>
          <w:tcPr>
            <w:tcW w:w="2268" w:type="dxa"/>
            <w:tcBorders>
              <w:top w:val="nil"/>
            </w:tcBorders>
            <w:vAlign w:val="center"/>
          </w:tcPr>
          <w:p w14:paraId="7C3A0D8F"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 xml:space="preserve">Domestic or foreign </w:t>
            </w:r>
          </w:p>
        </w:tc>
        <w:tc>
          <w:tcPr>
            <w:tcW w:w="1041" w:type="dxa"/>
            <w:tcBorders>
              <w:top w:val="nil"/>
            </w:tcBorders>
            <w:vAlign w:val="center"/>
          </w:tcPr>
          <w:p w14:paraId="5A27188A"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0.0493*** </w:t>
            </w:r>
          </w:p>
        </w:tc>
        <w:tc>
          <w:tcPr>
            <w:tcW w:w="1657" w:type="dxa"/>
            <w:tcBorders>
              <w:top w:val="nil"/>
            </w:tcBorders>
            <w:vAlign w:val="center"/>
          </w:tcPr>
          <w:p w14:paraId="28E54E0F"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0.0164 </w:t>
            </w:r>
          </w:p>
        </w:tc>
        <w:tc>
          <w:tcPr>
            <w:tcW w:w="1678" w:type="dxa"/>
            <w:tcBorders>
              <w:top w:val="nil"/>
            </w:tcBorders>
            <w:vAlign w:val="center"/>
          </w:tcPr>
          <w:p w14:paraId="7FF06CD0"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0.0168 </w:t>
            </w:r>
          </w:p>
        </w:tc>
        <w:tc>
          <w:tcPr>
            <w:tcW w:w="1652" w:type="dxa"/>
            <w:tcBorders>
              <w:top w:val="nil"/>
            </w:tcBorders>
            <w:vAlign w:val="center"/>
          </w:tcPr>
          <w:p w14:paraId="458B5FD3"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0.0817 </w:t>
            </w:r>
          </w:p>
        </w:tc>
      </w:tr>
      <w:tr w:rsidR="002E1A91" w:rsidRPr="00E62016" w14:paraId="434E62CF" w14:textId="77777777" w:rsidTr="004064EB">
        <w:tc>
          <w:tcPr>
            <w:tcW w:w="2268" w:type="dxa"/>
            <w:vAlign w:val="center"/>
          </w:tcPr>
          <w:p w14:paraId="71FBC139"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Market share</w:t>
            </w:r>
          </w:p>
        </w:tc>
        <w:tc>
          <w:tcPr>
            <w:tcW w:w="1041" w:type="dxa"/>
            <w:vAlign w:val="center"/>
          </w:tcPr>
          <w:p w14:paraId="623096D3"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0.1854*** </w:t>
            </w:r>
          </w:p>
        </w:tc>
        <w:tc>
          <w:tcPr>
            <w:tcW w:w="1657" w:type="dxa"/>
            <w:vAlign w:val="center"/>
          </w:tcPr>
          <w:p w14:paraId="7D1704E0"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0.0649 </w:t>
            </w:r>
          </w:p>
        </w:tc>
        <w:tc>
          <w:tcPr>
            <w:tcW w:w="1678" w:type="dxa"/>
            <w:vAlign w:val="center"/>
          </w:tcPr>
          <w:p w14:paraId="7722F89D"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0.0573 </w:t>
            </w:r>
          </w:p>
        </w:tc>
        <w:tc>
          <w:tcPr>
            <w:tcW w:w="1652" w:type="dxa"/>
            <w:vAlign w:val="center"/>
          </w:tcPr>
          <w:p w14:paraId="13A886F7"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0.3136 </w:t>
            </w:r>
          </w:p>
        </w:tc>
      </w:tr>
      <w:tr w:rsidR="002E1A91" w:rsidRPr="00E62016" w14:paraId="5EA6F57B" w14:textId="77777777" w:rsidTr="004064EB">
        <w:tc>
          <w:tcPr>
            <w:tcW w:w="2268" w:type="dxa"/>
            <w:tcBorders>
              <w:bottom w:val="single" w:sz="4" w:space="0" w:color="auto"/>
            </w:tcBorders>
            <w:vAlign w:val="center"/>
          </w:tcPr>
          <w:p w14:paraId="31317811"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Total assets</w:t>
            </w:r>
          </w:p>
        </w:tc>
        <w:tc>
          <w:tcPr>
            <w:tcW w:w="1041" w:type="dxa"/>
            <w:tcBorders>
              <w:bottom w:val="single" w:sz="4" w:space="0" w:color="auto"/>
            </w:tcBorders>
            <w:vAlign w:val="center"/>
          </w:tcPr>
          <w:p w14:paraId="51D7E7FC"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-0.0267*** </w:t>
            </w:r>
          </w:p>
        </w:tc>
        <w:tc>
          <w:tcPr>
            <w:tcW w:w="1657" w:type="dxa"/>
            <w:tcBorders>
              <w:bottom w:val="single" w:sz="4" w:space="0" w:color="auto"/>
            </w:tcBorders>
            <w:vAlign w:val="center"/>
          </w:tcPr>
          <w:p w14:paraId="62EB9725"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0.0068 </w:t>
            </w:r>
          </w:p>
        </w:tc>
        <w:tc>
          <w:tcPr>
            <w:tcW w:w="1678" w:type="dxa"/>
            <w:tcBorders>
              <w:bottom w:val="single" w:sz="4" w:space="0" w:color="auto"/>
            </w:tcBorders>
            <w:vAlign w:val="center"/>
          </w:tcPr>
          <w:p w14:paraId="0312562A"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-0.0401 </w:t>
            </w:r>
          </w:p>
        </w:tc>
        <w:tc>
          <w:tcPr>
            <w:tcW w:w="1652" w:type="dxa"/>
            <w:tcBorders>
              <w:bottom w:val="single" w:sz="4" w:space="0" w:color="auto"/>
            </w:tcBorders>
            <w:vAlign w:val="center"/>
          </w:tcPr>
          <w:p w14:paraId="71803610"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-0.0133 </w:t>
            </w:r>
          </w:p>
        </w:tc>
      </w:tr>
      <w:tr w:rsidR="002E1A91" w:rsidRPr="00E62016" w14:paraId="5EA8B4D7" w14:textId="77777777" w:rsidTr="004064EB">
        <w:tc>
          <w:tcPr>
            <w:tcW w:w="2268" w:type="dxa"/>
            <w:tcBorders>
              <w:top w:val="single" w:sz="4" w:space="0" w:color="auto"/>
              <w:bottom w:val="nil"/>
            </w:tcBorders>
            <w:vAlign w:val="center"/>
          </w:tcPr>
          <w:p w14:paraId="46244F38"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rPr>
              <w:t>Panel C</w:t>
            </w:r>
          </w:p>
        </w:tc>
        <w:tc>
          <w:tcPr>
            <w:tcW w:w="1041" w:type="dxa"/>
            <w:tcBorders>
              <w:top w:val="single" w:sz="4" w:space="0" w:color="auto"/>
              <w:bottom w:val="nil"/>
            </w:tcBorders>
            <w:vAlign w:val="center"/>
          </w:tcPr>
          <w:p w14:paraId="79FFE185" w14:textId="77777777" w:rsidR="002E1A91" w:rsidRPr="00E62016" w:rsidRDefault="002E1A91" w:rsidP="004064EB">
            <w:pPr>
              <w:spacing w:line="240" w:lineRule="auto"/>
              <w:rPr>
                <w:rFonts w:ascii="Times New Roman" w:hAnsi="Times New Roman" w:cs="Times New Roman"/>
                <w:color w:val="000000"/>
              </w:rPr>
            </w:pPr>
          </w:p>
        </w:tc>
        <w:tc>
          <w:tcPr>
            <w:tcW w:w="1657" w:type="dxa"/>
            <w:tcBorders>
              <w:top w:val="single" w:sz="4" w:space="0" w:color="auto"/>
              <w:bottom w:val="nil"/>
            </w:tcBorders>
            <w:vAlign w:val="center"/>
          </w:tcPr>
          <w:p w14:paraId="687BA4C6" w14:textId="77777777" w:rsidR="002E1A91" w:rsidRPr="00E62016" w:rsidRDefault="002E1A91" w:rsidP="004064EB">
            <w:pPr>
              <w:spacing w:line="240" w:lineRule="auto"/>
              <w:rPr>
                <w:rFonts w:ascii="Times New Roman" w:hAnsi="Times New Roman" w:cs="Times New Roman"/>
                <w:color w:val="000000"/>
              </w:rPr>
            </w:pPr>
          </w:p>
        </w:tc>
        <w:tc>
          <w:tcPr>
            <w:tcW w:w="1678" w:type="dxa"/>
            <w:tcBorders>
              <w:top w:val="single" w:sz="4" w:space="0" w:color="auto"/>
              <w:bottom w:val="nil"/>
            </w:tcBorders>
            <w:vAlign w:val="center"/>
          </w:tcPr>
          <w:p w14:paraId="6A6D2AB3" w14:textId="77777777" w:rsidR="002E1A91" w:rsidRPr="00E62016" w:rsidRDefault="002E1A91" w:rsidP="004064EB">
            <w:pPr>
              <w:spacing w:line="240" w:lineRule="auto"/>
              <w:rPr>
                <w:rFonts w:ascii="Times New Roman" w:hAnsi="Times New Roman" w:cs="Times New Roman"/>
                <w:color w:val="000000"/>
              </w:rPr>
            </w:pPr>
          </w:p>
        </w:tc>
        <w:tc>
          <w:tcPr>
            <w:tcW w:w="1652" w:type="dxa"/>
            <w:tcBorders>
              <w:top w:val="single" w:sz="4" w:space="0" w:color="auto"/>
              <w:bottom w:val="nil"/>
            </w:tcBorders>
            <w:vAlign w:val="center"/>
          </w:tcPr>
          <w:p w14:paraId="790C0F02" w14:textId="77777777" w:rsidR="002E1A91" w:rsidRPr="00E62016" w:rsidRDefault="002E1A91" w:rsidP="004064EB">
            <w:pPr>
              <w:spacing w:line="240" w:lineRule="auto"/>
              <w:rPr>
                <w:rFonts w:ascii="Times New Roman" w:hAnsi="Times New Roman" w:cs="Times New Roman"/>
                <w:color w:val="000000"/>
              </w:rPr>
            </w:pPr>
          </w:p>
        </w:tc>
      </w:tr>
      <w:tr w:rsidR="002E1A91" w:rsidRPr="00E62016" w14:paraId="054C528A" w14:textId="77777777" w:rsidTr="004064EB">
        <w:tc>
          <w:tcPr>
            <w:tcW w:w="2268" w:type="dxa"/>
            <w:tcBorders>
              <w:top w:val="nil"/>
              <w:bottom w:val="nil"/>
            </w:tcBorders>
            <w:vAlign w:val="center"/>
          </w:tcPr>
          <w:p w14:paraId="092E725A"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rPr>
              <w:t xml:space="preserve">Intercept </w:t>
            </w:r>
          </w:p>
        </w:tc>
        <w:tc>
          <w:tcPr>
            <w:tcW w:w="1041" w:type="dxa"/>
            <w:tcBorders>
              <w:top w:val="nil"/>
              <w:bottom w:val="nil"/>
            </w:tcBorders>
            <w:vAlign w:val="center"/>
          </w:tcPr>
          <w:p w14:paraId="55E59CCB"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1.3654*** </w:t>
            </w:r>
          </w:p>
        </w:tc>
        <w:tc>
          <w:tcPr>
            <w:tcW w:w="1657" w:type="dxa"/>
            <w:tcBorders>
              <w:top w:val="nil"/>
              <w:bottom w:val="nil"/>
            </w:tcBorders>
            <w:vAlign w:val="center"/>
          </w:tcPr>
          <w:p w14:paraId="64BCF721"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0.1235 </w:t>
            </w:r>
          </w:p>
        </w:tc>
        <w:tc>
          <w:tcPr>
            <w:tcW w:w="1678" w:type="dxa"/>
            <w:tcBorders>
              <w:top w:val="nil"/>
              <w:bottom w:val="nil"/>
            </w:tcBorders>
            <w:vAlign w:val="center"/>
          </w:tcPr>
          <w:p w14:paraId="40618F98"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1.1217 </w:t>
            </w:r>
          </w:p>
        </w:tc>
        <w:tc>
          <w:tcPr>
            <w:tcW w:w="1652" w:type="dxa"/>
            <w:tcBorders>
              <w:top w:val="nil"/>
              <w:bottom w:val="nil"/>
            </w:tcBorders>
            <w:vAlign w:val="center"/>
          </w:tcPr>
          <w:p w14:paraId="79CE958E"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1.6091 </w:t>
            </w:r>
          </w:p>
        </w:tc>
      </w:tr>
      <w:tr w:rsidR="002E1A91" w:rsidRPr="00E62016" w14:paraId="741912E9" w14:textId="77777777" w:rsidTr="004064EB">
        <w:tc>
          <w:tcPr>
            <w:tcW w:w="2268" w:type="dxa"/>
            <w:tcBorders>
              <w:top w:val="nil"/>
            </w:tcBorders>
            <w:vAlign w:val="center"/>
          </w:tcPr>
          <w:p w14:paraId="5C07259D"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 xml:space="preserve">FHC or non-FHC </w:t>
            </w:r>
          </w:p>
        </w:tc>
        <w:tc>
          <w:tcPr>
            <w:tcW w:w="1041" w:type="dxa"/>
            <w:tcBorders>
              <w:top w:val="nil"/>
            </w:tcBorders>
            <w:vAlign w:val="center"/>
          </w:tcPr>
          <w:p w14:paraId="193ADBB1"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0.0039</w:t>
            </w:r>
          </w:p>
        </w:tc>
        <w:tc>
          <w:tcPr>
            <w:tcW w:w="1657" w:type="dxa"/>
            <w:tcBorders>
              <w:top w:val="nil"/>
            </w:tcBorders>
            <w:vAlign w:val="center"/>
          </w:tcPr>
          <w:p w14:paraId="020ADF1C"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0.0169 </w:t>
            </w:r>
          </w:p>
        </w:tc>
        <w:tc>
          <w:tcPr>
            <w:tcW w:w="1678" w:type="dxa"/>
            <w:tcBorders>
              <w:top w:val="nil"/>
            </w:tcBorders>
            <w:vAlign w:val="center"/>
          </w:tcPr>
          <w:p w14:paraId="761DE56C"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-0.0294 </w:t>
            </w:r>
          </w:p>
        </w:tc>
        <w:tc>
          <w:tcPr>
            <w:tcW w:w="1652" w:type="dxa"/>
            <w:tcBorders>
              <w:top w:val="nil"/>
            </w:tcBorders>
            <w:vAlign w:val="center"/>
          </w:tcPr>
          <w:p w14:paraId="73F75F89"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0.0373 </w:t>
            </w:r>
          </w:p>
        </w:tc>
      </w:tr>
      <w:tr w:rsidR="002E1A91" w:rsidRPr="00E62016" w14:paraId="5F639363" w14:textId="77777777" w:rsidTr="004064EB">
        <w:tc>
          <w:tcPr>
            <w:tcW w:w="2268" w:type="dxa"/>
            <w:vAlign w:val="center"/>
          </w:tcPr>
          <w:p w14:paraId="00F77680"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Domestic or foreign</w:t>
            </w:r>
          </w:p>
        </w:tc>
        <w:tc>
          <w:tcPr>
            <w:tcW w:w="1041" w:type="dxa"/>
            <w:vAlign w:val="center"/>
          </w:tcPr>
          <w:p w14:paraId="3089B7BC"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0.0479*** </w:t>
            </w:r>
          </w:p>
        </w:tc>
        <w:tc>
          <w:tcPr>
            <w:tcW w:w="1657" w:type="dxa"/>
            <w:vAlign w:val="center"/>
          </w:tcPr>
          <w:p w14:paraId="2E5A79B8"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0.0174 </w:t>
            </w:r>
          </w:p>
        </w:tc>
        <w:tc>
          <w:tcPr>
            <w:tcW w:w="1678" w:type="dxa"/>
            <w:vAlign w:val="center"/>
          </w:tcPr>
          <w:p w14:paraId="5FFC65B1"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0.0135 </w:t>
            </w:r>
          </w:p>
        </w:tc>
        <w:tc>
          <w:tcPr>
            <w:tcW w:w="1652" w:type="dxa"/>
            <w:vAlign w:val="center"/>
          </w:tcPr>
          <w:p w14:paraId="70D61153"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0.0824 </w:t>
            </w:r>
          </w:p>
        </w:tc>
      </w:tr>
      <w:tr w:rsidR="002E1A91" w:rsidRPr="00E62016" w14:paraId="4FB30767" w14:textId="77777777" w:rsidTr="004064EB">
        <w:tc>
          <w:tcPr>
            <w:tcW w:w="2268" w:type="dxa"/>
            <w:vAlign w:val="center"/>
          </w:tcPr>
          <w:p w14:paraId="0A1A2F16"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Market share</w:t>
            </w:r>
          </w:p>
        </w:tc>
        <w:tc>
          <w:tcPr>
            <w:tcW w:w="1041" w:type="dxa"/>
            <w:vAlign w:val="center"/>
          </w:tcPr>
          <w:p w14:paraId="298D049C"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0.1813*** </w:t>
            </w:r>
          </w:p>
        </w:tc>
        <w:tc>
          <w:tcPr>
            <w:tcW w:w="1657" w:type="dxa"/>
            <w:vAlign w:val="center"/>
          </w:tcPr>
          <w:p w14:paraId="21F68F31"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0.0673 </w:t>
            </w:r>
          </w:p>
        </w:tc>
        <w:tc>
          <w:tcPr>
            <w:tcW w:w="1678" w:type="dxa"/>
            <w:vAlign w:val="center"/>
          </w:tcPr>
          <w:p w14:paraId="0AE01F53"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0.0485 </w:t>
            </w:r>
          </w:p>
        </w:tc>
        <w:tc>
          <w:tcPr>
            <w:tcW w:w="1652" w:type="dxa"/>
            <w:vAlign w:val="center"/>
          </w:tcPr>
          <w:p w14:paraId="531E626E"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0.3141 </w:t>
            </w:r>
          </w:p>
        </w:tc>
      </w:tr>
      <w:tr w:rsidR="002E1A91" w:rsidRPr="00E62016" w14:paraId="3B2C7F89" w14:textId="77777777" w:rsidTr="004064EB">
        <w:tc>
          <w:tcPr>
            <w:tcW w:w="2268" w:type="dxa"/>
            <w:tcBorders>
              <w:bottom w:val="single" w:sz="4" w:space="0" w:color="auto"/>
            </w:tcBorders>
            <w:vAlign w:val="center"/>
          </w:tcPr>
          <w:p w14:paraId="222FD469" w14:textId="77777777" w:rsidR="002E1A91" w:rsidRPr="00E62016" w:rsidRDefault="002E1A91" w:rsidP="004064EB">
            <w:pPr>
              <w:spacing w:line="240" w:lineRule="auto"/>
              <w:rPr>
                <w:rFonts w:ascii="Times New Roman" w:eastAsia="標楷體" w:hAnsi="Times New Roman" w:cs="Times New Roman"/>
                <w:color w:val="000000"/>
              </w:rPr>
            </w:pPr>
            <w:r w:rsidRPr="00E62016">
              <w:rPr>
                <w:rFonts w:ascii="Times New Roman" w:eastAsia="標楷體" w:hAnsi="Times New Roman" w:cs="Times New Roman"/>
                <w:color w:val="000000"/>
              </w:rPr>
              <w:t>Total assets</w:t>
            </w:r>
          </w:p>
        </w:tc>
        <w:tc>
          <w:tcPr>
            <w:tcW w:w="1041" w:type="dxa"/>
            <w:tcBorders>
              <w:bottom w:val="single" w:sz="4" w:space="0" w:color="auto"/>
            </w:tcBorders>
            <w:vAlign w:val="center"/>
          </w:tcPr>
          <w:p w14:paraId="1FF47964"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-0.0267*** </w:t>
            </w:r>
          </w:p>
        </w:tc>
        <w:tc>
          <w:tcPr>
            <w:tcW w:w="1657" w:type="dxa"/>
            <w:tcBorders>
              <w:bottom w:val="single" w:sz="4" w:space="0" w:color="auto"/>
            </w:tcBorders>
            <w:vAlign w:val="center"/>
          </w:tcPr>
          <w:p w14:paraId="00E1C27B"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0.0068 </w:t>
            </w:r>
          </w:p>
        </w:tc>
        <w:tc>
          <w:tcPr>
            <w:tcW w:w="1678" w:type="dxa"/>
            <w:tcBorders>
              <w:bottom w:val="single" w:sz="4" w:space="0" w:color="auto"/>
            </w:tcBorders>
            <w:vAlign w:val="center"/>
          </w:tcPr>
          <w:p w14:paraId="6FEE914B"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-0.0401 </w:t>
            </w:r>
          </w:p>
        </w:tc>
        <w:tc>
          <w:tcPr>
            <w:tcW w:w="1652" w:type="dxa"/>
            <w:tcBorders>
              <w:bottom w:val="single" w:sz="4" w:space="0" w:color="auto"/>
            </w:tcBorders>
            <w:vAlign w:val="center"/>
          </w:tcPr>
          <w:p w14:paraId="2E48D552" w14:textId="77777777" w:rsidR="002E1A91" w:rsidRPr="00E62016" w:rsidRDefault="002E1A91" w:rsidP="004064EB">
            <w:pPr>
              <w:spacing w:line="240" w:lineRule="auto"/>
              <w:rPr>
                <w:rFonts w:ascii="Times New Roman" w:hAnsi="Times New Roman" w:cs="Times New Roman"/>
                <w:color w:val="000000"/>
              </w:rPr>
            </w:pPr>
            <w:r w:rsidRPr="00E62016">
              <w:rPr>
                <w:rFonts w:ascii="Times New Roman" w:hAnsi="Times New Roman" w:cs="Times New Roman"/>
                <w:color w:val="000000"/>
              </w:rPr>
              <w:t xml:space="preserve">-0.0132 </w:t>
            </w:r>
          </w:p>
        </w:tc>
      </w:tr>
      <w:tr w:rsidR="002E1A91" w:rsidRPr="00E62016" w14:paraId="2110C178" w14:textId="77777777" w:rsidTr="004064EB">
        <w:tc>
          <w:tcPr>
            <w:tcW w:w="2268" w:type="dxa"/>
            <w:tcBorders>
              <w:top w:val="single" w:sz="4" w:space="0" w:color="auto"/>
              <w:bottom w:val="nil"/>
            </w:tcBorders>
            <w:vAlign w:val="center"/>
          </w:tcPr>
          <w:p w14:paraId="35256EF5"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rPr>
              <w:t>Panel D</w:t>
            </w:r>
          </w:p>
        </w:tc>
        <w:tc>
          <w:tcPr>
            <w:tcW w:w="1041" w:type="dxa"/>
            <w:tcBorders>
              <w:top w:val="single" w:sz="4" w:space="0" w:color="auto"/>
              <w:bottom w:val="nil"/>
            </w:tcBorders>
            <w:vAlign w:val="center"/>
          </w:tcPr>
          <w:p w14:paraId="781E6BB7" w14:textId="77777777" w:rsidR="002E1A91" w:rsidRPr="00E62016" w:rsidRDefault="002E1A91" w:rsidP="004064EB">
            <w:pPr>
              <w:spacing w:line="240" w:lineRule="auto"/>
              <w:rPr>
                <w:rFonts w:ascii="Times New Roman" w:hAnsi="Times New Roman" w:cs="Times New Roman"/>
              </w:rPr>
            </w:pPr>
          </w:p>
        </w:tc>
        <w:tc>
          <w:tcPr>
            <w:tcW w:w="1657" w:type="dxa"/>
            <w:tcBorders>
              <w:top w:val="single" w:sz="4" w:space="0" w:color="auto"/>
              <w:bottom w:val="nil"/>
            </w:tcBorders>
            <w:vAlign w:val="center"/>
          </w:tcPr>
          <w:p w14:paraId="42174CF5" w14:textId="77777777" w:rsidR="002E1A91" w:rsidRPr="00E62016" w:rsidRDefault="002E1A91" w:rsidP="004064EB">
            <w:pPr>
              <w:spacing w:line="240" w:lineRule="auto"/>
              <w:rPr>
                <w:rFonts w:ascii="Times New Roman" w:hAnsi="Times New Roman" w:cs="Times New Roman"/>
              </w:rPr>
            </w:pPr>
          </w:p>
        </w:tc>
        <w:tc>
          <w:tcPr>
            <w:tcW w:w="1678" w:type="dxa"/>
            <w:tcBorders>
              <w:top w:val="single" w:sz="4" w:space="0" w:color="auto"/>
              <w:bottom w:val="nil"/>
            </w:tcBorders>
            <w:vAlign w:val="center"/>
          </w:tcPr>
          <w:p w14:paraId="12F0280D" w14:textId="77777777" w:rsidR="002E1A91" w:rsidRPr="00E62016" w:rsidRDefault="002E1A91" w:rsidP="004064EB">
            <w:pPr>
              <w:spacing w:line="240" w:lineRule="auto"/>
              <w:rPr>
                <w:rFonts w:ascii="Times New Roman" w:hAnsi="Times New Roman" w:cs="Times New Roman"/>
              </w:rPr>
            </w:pPr>
          </w:p>
        </w:tc>
        <w:tc>
          <w:tcPr>
            <w:tcW w:w="1652" w:type="dxa"/>
            <w:tcBorders>
              <w:top w:val="single" w:sz="4" w:space="0" w:color="auto"/>
              <w:bottom w:val="nil"/>
            </w:tcBorders>
            <w:vAlign w:val="center"/>
          </w:tcPr>
          <w:p w14:paraId="223D346B" w14:textId="77777777" w:rsidR="002E1A91" w:rsidRPr="00E62016" w:rsidRDefault="002E1A91" w:rsidP="004064EB">
            <w:pPr>
              <w:spacing w:line="240" w:lineRule="auto"/>
              <w:rPr>
                <w:rFonts w:ascii="Times New Roman" w:hAnsi="Times New Roman" w:cs="Times New Roman"/>
              </w:rPr>
            </w:pPr>
          </w:p>
        </w:tc>
      </w:tr>
      <w:tr w:rsidR="002E1A91" w:rsidRPr="00E62016" w14:paraId="24CEA514" w14:textId="77777777" w:rsidTr="004064EB">
        <w:tc>
          <w:tcPr>
            <w:tcW w:w="2268" w:type="dxa"/>
            <w:tcBorders>
              <w:top w:val="nil"/>
            </w:tcBorders>
            <w:vAlign w:val="center"/>
          </w:tcPr>
          <w:p w14:paraId="1ADACED8"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rPr>
              <w:t xml:space="preserve">Intercept </w:t>
            </w:r>
          </w:p>
        </w:tc>
        <w:tc>
          <w:tcPr>
            <w:tcW w:w="1041" w:type="dxa"/>
            <w:tcBorders>
              <w:top w:val="nil"/>
            </w:tcBorders>
            <w:vAlign w:val="center"/>
          </w:tcPr>
          <w:p w14:paraId="573DFB6D"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1.4694*** </w:t>
            </w:r>
          </w:p>
        </w:tc>
        <w:tc>
          <w:tcPr>
            <w:tcW w:w="1657" w:type="dxa"/>
            <w:tcBorders>
              <w:top w:val="nil"/>
            </w:tcBorders>
            <w:vAlign w:val="center"/>
          </w:tcPr>
          <w:p w14:paraId="7FE35EF5"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0.1255 </w:t>
            </w:r>
          </w:p>
        </w:tc>
        <w:tc>
          <w:tcPr>
            <w:tcW w:w="1678" w:type="dxa"/>
            <w:tcBorders>
              <w:top w:val="nil"/>
            </w:tcBorders>
            <w:vAlign w:val="center"/>
          </w:tcPr>
          <w:p w14:paraId="50BEDF74"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1.2219 </w:t>
            </w:r>
          </w:p>
        </w:tc>
        <w:tc>
          <w:tcPr>
            <w:tcW w:w="1652" w:type="dxa"/>
            <w:tcBorders>
              <w:top w:val="nil"/>
            </w:tcBorders>
            <w:vAlign w:val="center"/>
          </w:tcPr>
          <w:p w14:paraId="458F481F"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1.7170 </w:t>
            </w:r>
          </w:p>
        </w:tc>
      </w:tr>
      <w:tr w:rsidR="002E1A91" w:rsidRPr="00E62016" w14:paraId="391835B1" w14:textId="77777777" w:rsidTr="004064EB">
        <w:tc>
          <w:tcPr>
            <w:tcW w:w="2268" w:type="dxa"/>
            <w:tcBorders>
              <w:top w:val="nil"/>
            </w:tcBorders>
            <w:vAlign w:val="center"/>
          </w:tcPr>
          <w:p w14:paraId="269FC59C"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color w:val="000000"/>
              </w:rPr>
              <w:t xml:space="preserve">FHC or non-FHC </w:t>
            </w:r>
          </w:p>
        </w:tc>
        <w:tc>
          <w:tcPr>
            <w:tcW w:w="1041" w:type="dxa"/>
            <w:tcBorders>
              <w:top w:val="nil"/>
            </w:tcBorders>
            <w:vAlign w:val="center"/>
          </w:tcPr>
          <w:p w14:paraId="5A6CC73D" w14:textId="77777777" w:rsidR="002E1A91" w:rsidRPr="00E62016" w:rsidRDefault="002E1A91" w:rsidP="004064EB">
            <w:pPr>
              <w:spacing w:line="240" w:lineRule="auto"/>
              <w:ind w:right="240"/>
              <w:rPr>
                <w:rFonts w:ascii="Times New Roman" w:hAnsi="Times New Roman" w:cs="Times New Roman"/>
              </w:rPr>
            </w:pPr>
            <w:r w:rsidRPr="00E62016">
              <w:rPr>
                <w:rFonts w:ascii="Times New Roman" w:hAnsi="Times New Roman" w:cs="Times New Roman"/>
              </w:rPr>
              <w:t xml:space="preserve">-0.0098 </w:t>
            </w:r>
          </w:p>
        </w:tc>
        <w:tc>
          <w:tcPr>
            <w:tcW w:w="1657" w:type="dxa"/>
            <w:tcBorders>
              <w:top w:val="nil"/>
            </w:tcBorders>
            <w:vAlign w:val="center"/>
          </w:tcPr>
          <w:p w14:paraId="1A2459A3"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0.0171 </w:t>
            </w:r>
          </w:p>
        </w:tc>
        <w:tc>
          <w:tcPr>
            <w:tcW w:w="1678" w:type="dxa"/>
            <w:tcBorders>
              <w:top w:val="nil"/>
            </w:tcBorders>
            <w:vAlign w:val="center"/>
          </w:tcPr>
          <w:p w14:paraId="7F8F79F5"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-0.0436 </w:t>
            </w:r>
          </w:p>
        </w:tc>
        <w:tc>
          <w:tcPr>
            <w:tcW w:w="1652" w:type="dxa"/>
            <w:tcBorders>
              <w:top w:val="nil"/>
            </w:tcBorders>
            <w:vAlign w:val="center"/>
          </w:tcPr>
          <w:p w14:paraId="3E46B19A"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0.0239 </w:t>
            </w:r>
          </w:p>
        </w:tc>
      </w:tr>
      <w:tr w:rsidR="002E1A91" w:rsidRPr="00E62016" w14:paraId="772A5B92" w14:textId="77777777" w:rsidTr="004064EB">
        <w:tc>
          <w:tcPr>
            <w:tcW w:w="2268" w:type="dxa"/>
            <w:vAlign w:val="center"/>
          </w:tcPr>
          <w:p w14:paraId="70D08B7C"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color w:val="000000"/>
              </w:rPr>
              <w:t>Domestic or foreign</w:t>
            </w:r>
          </w:p>
        </w:tc>
        <w:tc>
          <w:tcPr>
            <w:tcW w:w="1041" w:type="dxa"/>
            <w:vAlign w:val="center"/>
          </w:tcPr>
          <w:p w14:paraId="0B83F921"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0.0623*** </w:t>
            </w:r>
          </w:p>
        </w:tc>
        <w:tc>
          <w:tcPr>
            <w:tcW w:w="1657" w:type="dxa"/>
            <w:vAlign w:val="center"/>
          </w:tcPr>
          <w:p w14:paraId="60F91BD0"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0.0177 </w:t>
            </w:r>
          </w:p>
        </w:tc>
        <w:tc>
          <w:tcPr>
            <w:tcW w:w="1678" w:type="dxa"/>
            <w:vAlign w:val="center"/>
          </w:tcPr>
          <w:p w14:paraId="4FACD693"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0.0274 </w:t>
            </w:r>
          </w:p>
        </w:tc>
        <w:tc>
          <w:tcPr>
            <w:tcW w:w="1652" w:type="dxa"/>
            <w:vAlign w:val="center"/>
          </w:tcPr>
          <w:p w14:paraId="34B0A157"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0.0972 </w:t>
            </w:r>
          </w:p>
        </w:tc>
      </w:tr>
      <w:tr w:rsidR="002E1A91" w:rsidRPr="00E62016" w14:paraId="76E920B4" w14:textId="77777777" w:rsidTr="004064EB">
        <w:tc>
          <w:tcPr>
            <w:tcW w:w="2268" w:type="dxa"/>
            <w:vAlign w:val="center"/>
          </w:tcPr>
          <w:p w14:paraId="2F07EF7E"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color w:val="000000"/>
              </w:rPr>
              <w:t>Market share</w:t>
            </w:r>
          </w:p>
        </w:tc>
        <w:tc>
          <w:tcPr>
            <w:tcW w:w="1041" w:type="dxa"/>
            <w:vAlign w:val="center"/>
          </w:tcPr>
          <w:p w14:paraId="5E7B8D90"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0.2565*** </w:t>
            </w:r>
          </w:p>
        </w:tc>
        <w:tc>
          <w:tcPr>
            <w:tcW w:w="1657" w:type="dxa"/>
            <w:vAlign w:val="center"/>
          </w:tcPr>
          <w:p w14:paraId="44F2B085"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0.0703 </w:t>
            </w:r>
          </w:p>
        </w:tc>
        <w:tc>
          <w:tcPr>
            <w:tcW w:w="1678" w:type="dxa"/>
            <w:vAlign w:val="center"/>
          </w:tcPr>
          <w:p w14:paraId="2D6AA4AD"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0.1178 </w:t>
            </w:r>
          </w:p>
        </w:tc>
        <w:tc>
          <w:tcPr>
            <w:tcW w:w="1652" w:type="dxa"/>
            <w:vAlign w:val="center"/>
          </w:tcPr>
          <w:p w14:paraId="6F3C49D3"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0.3952 </w:t>
            </w:r>
          </w:p>
        </w:tc>
      </w:tr>
      <w:tr w:rsidR="002E1A91" w:rsidRPr="00E62016" w14:paraId="7820236C" w14:textId="77777777" w:rsidTr="004064EB">
        <w:tc>
          <w:tcPr>
            <w:tcW w:w="2268" w:type="dxa"/>
            <w:vAlign w:val="center"/>
          </w:tcPr>
          <w:p w14:paraId="68989FBC"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color w:val="000000"/>
              </w:rPr>
              <w:t>Total assets</w:t>
            </w:r>
          </w:p>
        </w:tc>
        <w:tc>
          <w:tcPr>
            <w:tcW w:w="1041" w:type="dxa"/>
            <w:vAlign w:val="center"/>
          </w:tcPr>
          <w:p w14:paraId="4234E35C"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-0.0353*** </w:t>
            </w:r>
          </w:p>
        </w:tc>
        <w:tc>
          <w:tcPr>
            <w:tcW w:w="1657" w:type="dxa"/>
            <w:vAlign w:val="center"/>
          </w:tcPr>
          <w:p w14:paraId="02032820"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0.0072 </w:t>
            </w:r>
          </w:p>
        </w:tc>
        <w:tc>
          <w:tcPr>
            <w:tcW w:w="1678" w:type="dxa"/>
            <w:vAlign w:val="center"/>
          </w:tcPr>
          <w:p w14:paraId="4E271616"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-0.0496 </w:t>
            </w:r>
          </w:p>
        </w:tc>
        <w:tc>
          <w:tcPr>
            <w:tcW w:w="1652" w:type="dxa"/>
            <w:vAlign w:val="center"/>
          </w:tcPr>
          <w:p w14:paraId="4C872841"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-0.0210 </w:t>
            </w:r>
          </w:p>
        </w:tc>
      </w:tr>
      <w:tr w:rsidR="002E1A91" w:rsidRPr="00CD3128" w14:paraId="2641CE10" w14:textId="77777777" w:rsidTr="004064EB">
        <w:tc>
          <w:tcPr>
            <w:tcW w:w="2268" w:type="dxa"/>
            <w:vAlign w:val="center"/>
          </w:tcPr>
          <w:p w14:paraId="03FBCFF6" w14:textId="77777777" w:rsidR="002E1A91" w:rsidRPr="00E62016" w:rsidRDefault="002E1A91" w:rsidP="004064EB">
            <w:pPr>
              <w:spacing w:line="240" w:lineRule="auto"/>
              <w:rPr>
                <w:rFonts w:ascii="Times New Roman" w:eastAsia="標楷體" w:hAnsi="Times New Roman" w:cs="Times New Roman"/>
              </w:rPr>
            </w:pPr>
            <w:r w:rsidRPr="00E62016">
              <w:rPr>
                <w:rFonts w:ascii="Times New Roman" w:eastAsia="標楷體" w:hAnsi="Times New Roman" w:cs="Times New Roman"/>
              </w:rPr>
              <w:t xml:space="preserve">Time </w:t>
            </w:r>
          </w:p>
        </w:tc>
        <w:tc>
          <w:tcPr>
            <w:tcW w:w="1041" w:type="dxa"/>
            <w:vAlign w:val="center"/>
          </w:tcPr>
          <w:p w14:paraId="6E65CF3B"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0.0092*** </w:t>
            </w:r>
          </w:p>
        </w:tc>
        <w:tc>
          <w:tcPr>
            <w:tcW w:w="1657" w:type="dxa"/>
            <w:vAlign w:val="center"/>
          </w:tcPr>
          <w:p w14:paraId="52CBF37B"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0.0030 </w:t>
            </w:r>
          </w:p>
        </w:tc>
        <w:tc>
          <w:tcPr>
            <w:tcW w:w="1678" w:type="dxa"/>
            <w:vAlign w:val="center"/>
          </w:tcPr>
          <w:p w14:paraId="7548A8FF"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0.0032 </w:t>
            </w:r>
          </w:p>
        </w:tc>
        <w:tc>
          <w:tcPr>
            <w:tcW w:w="1652" w:type="dxa"/>
            <w:vAlign w:val="center"/>
          </w:tcPr>
          <w:p w14:paraId="7F882D61" w14:textId="77777777" w:rsidR="002E1A91" w:rsidRPr="00E62016" w:rsidRDefault="002E1A91" w:rsidP="004064EB">
            <w:pPr>
              <w:spacing w:line="240" w:lineRule="auto"/>
              <w:rPr>
                <w:rFonts w:ascii="Times New Roman" w:hAnsi="Times New Roman" w:cs="Times New Roman"/>
              </w:rPr>
            </w:pPr>
            <w:r w:rsidRPr="00E62016">
              <w:rPr>
                <w:rFonts w:ascii="Times New Roman" w:hAnsi="Times New Roman" w:cs="Times New Roman"/>
              </w:rPr>
              <w:t xml:space="preserve">0.0152 </w:t>
            </w:r>
          </w:p>
        </w:tc>
      </w:tr>
    </w:tbl>
    <w:p w14:paraId="458AFDF9" w14:textId="77777777" w:rsidR="002E1A91" w:rsidRPr="00CD3128" w:rsidRDefault="002E1A91" w:rsidP="002E1A91">
      <w:pPr>
        <w:rPr>
          <w:rFonts w:eastAsia="標楷體"/>
          <w:color w:val="000000" w:themeColor="text1"/>
        </w:rPr>
      </w:pPr>
    </w:p>
    <w:p w14:paraId="003E2236" w14:textId="77777777" w:rsidR="002E1A91" w:rsidRPr="00CD3128" w:rsidRDefault="002E1A91" w:rsidP="002E1A91">
      <w:pPr>
        <w:rPr>
          <w:rFonts w:eastAsia="標楷體"/>
          <w:color w:val="000000" w:themeColor="text1"/>
        </w:rPr>
      </w:pPr>
      <w:r w:rsidRPr="00CD3128">
        <w:rPr>
          <w:rFonts w:eastAsia="標楷體"/>
          <w:color w:val="000000" w:themeColor="text1"/>
        </w:rPr>
        <w:br w:type="page"/>
      </w:r>
    </w:p>
    <w:p w14:paraId="75411FC9" w14:textId="77777777" w:rsidR="002E1A91" w:rsidRPr="00FD5442" w:rsidRDefault="002E1A91" w:rsidP="002E1A91">
      <w:pPr>
        <w:rPr>
          <w:rFonts w:eastAsia="標楷體"/>
          <w:color w:val="000000" w:themeColor="text1"/>
          <w:szCs w:val="27"/>
        </w:rPr>
      </w:pPr>
      <w:r>
        <w:rPr>
          <w:noProof/>
          <w:lang w:val="en-US" w:eastAsia="zh-TW"/>
        </w:rPr>
        <w:lastRenderedPageBreak/>
        <w:drawing>
          <wp:inline distT="0" distB="0" distL="0" distR="0" wp14:anchorId="1A6FF81E" wp14:editId="548E651F">
            <wp:extent cx="5274310" cy="3093085"/>
            <wp:effectExtent l="0" t="0" r="2540" b="12065"/>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74F56C" w14:textId="7ECF1D50" w:rsidR="002E1A91" w:rsidRDefault="009263BB" w:rsidP="0036732B">
      <w:pPr>
        <w:pStyle w:val="Figure"/>
        <w:rPr>
          <w:rFonts w:eastAsia="標楷體"/>
          <w:color w:val="000000" w:themeColor="text1"/>
          <w:szCs w:val="27"/>
        </w:rPr>
      </w:pPr>
      <w:r w:rsidRPr="00F36625">
        <w:rPr>
          <w:rFonts w:eastAsia="Times New Roman"/>
        </w:rPr>
        <w:t>Figure 1</w:t>
      </w:r>
      <w:r>
        <w:t>.</w:t>
      </w:r>
      <w:r w:rsidRPr="00F36625">
        <w:rPr>
          <w:rFonts w:eastAsia="Times New Roman"/>
        </w:rPr>
        <w:t xml:space="preserve"> Trend in average DEA efficiency score of Taiwanese life insurance companies in 2009–2017</w:t>
      </w:r>
      <w:r>
        <w:t>.</w:t>
      </w:r>
    </w:p>
    <w:p w14:paraId="12F7EFA0" w14:textId="77777777" w:rsidR="002E1A91" w:rsidRPr="00FD5442" w:rsidRDefault="002E1A91" w:rsidP="002E1A91">
      <w:pPr>
        <w:rPr>
          <w:rFonts w:eastAsia="標楷體"/>
          <w:color w:val="00B050"/>
          <w:szCs w:val="27"/>
        </w:rPr>
      </w:pPr>
    </w:p>
    <w:p w14:paraId="4CB09A3A" w14:textId="77777777" w:rsidR="002E1A91" w:rsidRDefault="002E1A91" w:rsidP="002E1A91">
      <w:pPr>
        <w:rPr>
          <w:rFonts w:eastAsia="標楷體"/>
          <w:color w:val="00B050"/>
          <w:szCs w:val="27"/>
        </w:rPr>
      </w:pPr>
    </w:p>
    <w:p w14:paraId="2E197964" w14:textId="77777777" w:rsidR="002E1A91" w:rsidRPr="00FD5442" w:rsidRDefault="002E1A91" w:rsidP="002E1A91">
      <w:pPr>
        <w:rPr>
          <w:rFonts w:eastAsia="標楷體"/>
          <w:color w:val="00B050"/>
          <w:szCs w:val="27"/>
        </w:rPr>
      </w:pPr>
      <w:r>
        <w:rPr>
          <w:noProof/>
          <w:lang w:val="en-US" w:eastAsia="zh-TW"/>
        </w:rPr>
        <w:drawing>
          <wp:inline distT="0" distB="0" distL="0" distR="0" wp14:anchorId="75CA4860" wp14:editId="253C1A5D">
            <wp:extent cx="5321147" cy="3205908"/>
            <wp:effectExtent l="0" t="0" r="13335" b="1397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D02127" w14:textId="77777777" w:rsidR="009263BB" w:rsidRPr="00F36625" w:rsidRDefault="009263BB" w:rsidP="0036732B">
      <w:pPr>
        <w:pStyle w:val="Figure"/>
        <w:rPr>
          <w:rFonts w:eastAsia="Times New Roman"/>
        </w:rPr>
      </w:pPr>
      <w:r w:rsidRPr="00F36625">
        <w:rPr>
          <w:rFonts w:eastAsia="Times New Roman"/>
        </w:rPr>
        <w:t>Figure 2</w:t>
      </w:r>
      <w:r>
        <w:t>.</w:t>
      </w:r>
      <w:r w:rsidRPr="00F36625">
        <w:rPr>
          <w:rFonts w:eastAsia="Times New Roman"/>
        </w:rPr>
        <w:t xml:space="preserve"> Trend in average DEA efficiency score of Taiwanese life insurance subsidiaries of FHCs and non-FHCs in 2009–2017</w:t>
      </w:r>
      <w:r>
        <w:t>.</w:t>
      </w:r>
    </w:p>
    <w:p w14:paraId="6B4AFA9E" w14:textId="0DCC2333" w:rsidR="002E1A91" w:rsidRDefault="002E1A91" w:rsidP="002E1A91">
      <w:pPr>
        <w:rPr>
          <w:rFonts w:eastAsia="標楷體"/>
          <w:color w:val="00B050"/>
          <w:szCs w:val="27"/>
        </w:rPr>
      </w:pPr>
    </w:p>
    <w:p w14:paraId="6B6F24F4" w14:textId="21E9A525" w:rsidR="004064EB" w:rsidRDefault="004064EB" w:rsidP="002E1A91">
      <w:pPr>
        <w:rPr>
          <w:rFonts w:eastAsia="標楷體"/>
          <w:color w:val="00B050"/>
          <w:szCs w:val="27"/>
        </w:rPr>
      </w:pPr>
    </w:p>
    <w:p w14:paraId="1B7143B3" w14:textId="77777777" w:rsidR="004064EB" w:rsidRDefault="004064EB" w:rsidP="002E1A91">
      <w:pPr>
        <w:rPr>
          <w:rFonts w:eastAsia="標楷體"/>
          <w:color w:val="00B050"/>
          <w:szCs w:val="27"/>
        </w:rPr>
      </w:pPr>
    </w:p>
    <w:p w14:paraId="367D7D94" w14:textId="77777777" w:rsidR="002E1A91" w:rsidRPr="00FD5442" w:rsidRDefault="002E1A91" w:rsidP="009263BB">
      <w:pPr>
        <w:rPr>
          <w:rFonts w:eastAsia="標楷體"/>
          <w:color w:val="00B050"/>
          <w:szCs w:val="27"/>
        </w:rPr>
      </w:pPr>
      <w:r>
        <w:rPr>
          <w:noProof/>
          <w:lang w:val="en-US" w:eastAsia="zh-TW"/>
        </w:rPr>
        <w:drawing>
          <wp:inline distT="0" distB="0" distL="0" distR="0" wp14:anchorId="0D9B8804" wp14:editId="25EAB8F9">
            <wp:extent cx="5078776" cy="3062689"/>
            <wp:effectExtent l="0" t="0" r="7620" b="4445"/>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B23201A" w14:textId="4F8DA999" w:rsidR="00FE4713" w:rsidRPr="0036732B" w:rsidRDefault="002E1A91" w:rsidP="0036732B">
      <w:pPr>
        <w:pStyle w:val="Figure"/>
        <w:rPr>
          <w:rFonts w:eastAsia="Times New Roman"/>
        </w:rPr>
      </w:pPr>
      <w:r w:rsidRPr="0036732B">
        <w:rPr>
          <w:rFonts w:eastAsia="Times New Roman"/>
        </w:rPr>
        <w:t>Figure 3</w:t>
      </w:r>
      <w:r w:rsidR="00C85984" w:rsidRPr="0036732B">
        <w:rPr>
          <w:rFonts w:eastAsia="Times New Roman"/>
        </w:rPr>
        <w:t>.</w:t>
      </w:r>
      <w:r w:rsidRPr="0036732B">
        <w:rPr>
          <w:rFonts w:eastAsia="Times New Roman"/>
        </w:rPr>
        <w:t xml:space="preserve"> Trend in average DEA efficiency score of Taiwanese and foreign life</w:t>
      </w:r>
      <w:r w:rsidRPr="00F36625">
        <w:rPr>
          <w:rFonts w:eastAsia="Times New Roman"/>
        </w:rPr>
        <w:t xml:space="preserve"> insurance companies in 2009–2017</w:t>
      </w:r>
      <w:r w:rsidR="00C85984" w:rsidRPr="0036732B">
        <w:rPr>
          <w:rFonts w:eastAsia="Times New Roman"/>
        </w:rPr>
        <w:t>.</w:t>
      </w:r>
    </w:p>
    <w:sectPr w:rsidR="00FE4713" w:rsidRPr="0036732B" w:rsidSect="00FD0373">
      <w:footerReference w:type="default" r:id="rId22"/>
      <w:headerReference w:type="first" r:id="rId23"/>
      <w:pgSz w:w="11901" w:h="16840" w:code="9"/>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78348" w14:textId="77777777" w:rsidR="000345BB" w:rsidRDefault="000345BB" w:rsidP="00AF2C92">
      <w:r>
        <w:separator/>
      </w:r>
    </w:p>
  </w:endnote>
  <w:endnote w:type="continuationSeparator" w:id="0">
    <w:p w14:paraId="6B71AC9A" w14:textId="77777777" w:rsidR="000345BB" w:rsidRDefault="000345B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45033"/>
      <w:docPartObj>
        <w:docPartGallery w:val="Page Numbers (Bottom of Page)"/>
        <w:docPartUnique/>
      </w:docPartObj>
    </w:sdtPr>
    <w:sdtEndPr/>
    <w:sdtContent>
      <w:p w14:paraId="571EA633" w14:textId="02A77683" w:rsidR="00342B55" w:rsidRDefault="00342B55">
        <w:pPr>
          <w:pStyle w:val="ac"/>
          <w:jc w:val="center"/>
        </w:pPr>
        <w:r>
          <w:fldChar w:fldCharType="begin"/>
        </w:r>
        <w:r>
          <w:instrText>PAGE   \* MERGEFORMAT</w:instrText>
        </w:r>
        <w:r>
          <w:fldChar w:fldCharType="separate"/>
        </w:r>
        <w:r w:rsidR="00C1626C" w:rsidRPr="00C1626C">
          <w:rPr>
            <w:noProof/>
            <w:lang w:val="zh-TW" w:eastAsia="zh-TW"/>
          </w:rPr>
          <w:t>1</w:t>
        </w:r>
        <w:r>
          <w:fldChar w:fldCharType="end"/>
        </w:r>
      </w:p>
    </w:sdtContent>
  </w:sdt>
  <w:p w14:paraId="51138CE5" w14:textId="77777777" w:rsidR="00342B55" w:rsidRDefault="00342B5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0337D" w14:textId="77777777" w:rsidR="000345BB" w:rsidRDefault="000345BB" w:rsidP="00AF2C92">
      <w:r>
        <w:separator/>
      </w:r>
    </w:p>
  </w:footnote>
  <w:footnote w:type="continuationSeparator" w:id="0">
    <w:p w14:paraId="079E9B3F" w14:textId="77777777" w:rsidR="000345BB" w:rsidRDefault="000345BB" w:rsidP="00AF2C92">
      <w:r>
        <w:continuationSeparator/>
      </w:r>
    </w:p>
  </w:footnote>
  <w:footnote w:id="1">
    <w:p w14:paraId="1C3906EA" w14:textId="53B35D55" w:rsidR="00342B55" w:rsidRPr="009245B6" w:rsidRDefault="00342B55" w:rsidP="00C13C1D">
      <w:pPr>
        <w:pStyle w:val="Detailsforauthors"/>
        <w:rPr>
          <w:sz w:val="18"/>
        </w:rPr>
      </w:pPr>
      <w:r w:rsidRPr="009245B6">
        <w:rPr>
          <w:rStyle w:val="a6"/>
        </w:rPr>
        <w:footnoteRef/>
      </w:r>
      <w:r w:rsidRPr="009245B6">
        <w:t xml:space="preserve"> </w:t>
      </w:r>
      <w:r w:rsidRPr="009245B6">
        <w:rPr>
          <w:sz w:val="20"/>
        </w:rPr>
        <w:t>Assistant Professor, Department of Health Care Management, National Taipei University of Nursing and</w:t>
      </w:r>
      <w:r w:rsidRPr="009245B6">
        <w:rPr>
          <w:rFonts w:hint="eastAsia"/>
          <w:sz w:val="20"/>
        </w:rPr>
        <w:t xml:space="preserve"> </w:t>
      </w:r>
      <w:r w:rsidRPr="009245B6">
        <w:rPr>
          <w:sz w:val="20"/>
        </w:rPr>
        <w:t>Health Sciences, Tai</w:t>
      </w:r>
      <w:r w:rsidRPr="009245B6">
        <w:rPr>
          <w:rFonts w:hint="eastAsia"/>
          <w:sz w:val="20"/>
        </w:rPr>
        <w:t>pei</w:t>
      </w:r>
      <w:r w:rsidRPr="009245B6">
        <w:rPr>
          <w:sz w:val="20"/>
        </w:rPr>
        <w:t xml:space="preserve"> City, Taiwan</w:t>
      </w:r>
      <w:r w:rsidRPr="009245B6">
        <w:rPr>
          <w:rFonts w:hint="eastAsia"/>
          <w:sz w:val="20"/>
        </w:rPr>
        <w:t xml:space="preserve">, </w:t>
      </w:r>
      <w:r w:rsidRPr="009245B6">
        <w:rPr>
          <w:sz w:val="20"/>
        </w:rPr>
        <w:t>Email: kcchen@ntunhs.edu.tw</w:t>
      </w:r>
    </w:p>
  </w:footnote>
  <w:footnote w:id="2">
    <w:p w14:paraId="2F2B198A" w14:textId="1BAE2389" w:rsidR="00342B55" w:rsidRDefault="00342B55" w:rsidP="00C13C1D">
      <w:pPr>
        <w:pStyle w:val="Detailsforauthors"/>
        <w:rPr>
          <w:sz w:val="20"/>
        </w:rPr>
      </w:pPr>
      <w:r w:rsidRPr="009245B6">
        <w:rPr>
          <w:rStyle w:val="a6"/>
        </w:rPr>
        <w:footnoteRef/>
      </w:r>
      <w:r w:rsidRPr="009245B6">
        <w:t xml:space="preserve"> </w:t>
      </w:r>
      <w:r w:rsidRPr="009245B6">
        <w:rPr>
          <w:sz w:val="20"/>
        </w:rPr>
        <w:t>Assistant Professor, Department of International Business, Providence U</w:t>
      </w:r>
      <w:bookmarkStart w:id="0" w:name="_GoBack"/>
      <w:bookmarkEnd w:id="0"/>
      <w:r w:rsidRPr="009245B6">
        <w:rPr>
          <w:sz w:val="20"/>
        </w:rPr>
        <w:t xml:space="preserve">niversity, Taichung City, Taiwan, Correspondent Author, </w:t>
      </w:r>
      <w:r w:rsidRPr="009245B6">
        <w:rPr>
          <w:rFonts w:hint="eastAsia"/>
          <w:sz w:val="20"/>
        </w:rPr>
        <w:t>*</w:t>
      </w:r>
      <w:r w:rsidRPr="009245B6">
        <w:rPr>
          <w:sz w:val="20"/>
        </w:rPr>
        <w:t xml:space="preserve">Email: </w:t>
      </w:r>
      <w:r w:rsidR="00C13C1D" w:rsidRPr="00BA2878">
        <w:rPr>
          <w:sz w:val="20"/>
        </w:rPr>
        <w:t>cilin2@pu.edu.tw</w:t>
      </w:r>
    </w:p>
    <w:p w14:paraId="6458A5D2" w14:textId="57AF1C25" w:rsidR="00C13C1D" w:rsidRDefault="00C13C1D" w:rsidP="00C13C1D">
      <w:pPr>
        <w:pStyle w:val="Detailsforauthors"/>
      </w:pPr>
    </w:p>
    <w:p w14:paraId="329DBCE6" w14:textId="0BB18DAB" w:rsidR="00C13C1D" w:rsidRDefault="00C13C1D" w:rsidP="00C13C1D">
      <w:pPr>
        <w:pStyle w:val="Detailsforauthors"/>
        <w:rPr>
          <w:rFonts w:eastAsia="MS Mincho"/>
          <w:i/>
          <w:color w:val="000000"/>
          <w:lang w:eastAsia="ja-JP"/>
        </w:rPr>
      </w:pPr>
      <w:r w:rsidRPr="00A95D65">
        <w:rPr>
          <w:rFonts w:eastAsia="MS Mincho"/>
          <w:color w:val="000000"/>
          <w:lang w:eastAsia="ja-JP"/>
        </w:rPr>
        <w:t xml:space="preserve">Article Info: </w:t>
      </w:r>
      <w:r w:rsidRPr="00A95D65">
        <w:rPr>
          <w:rFonts w:eastAsia="MS Mincho"/>
          <w:i/>
          <w:color w:val="000000"/>
          <w:lang w:eastAsia="ja-JP"/>
        </w:rPr>
        <w:t xml:space="preserve">Received: </w:t>
      </w:r>
      <w:r w:rsidR="00C14B23">
        <w:rPr>
          <w:rFonts w:asciiTheme="minorEastAsia" w:eastAsiaTheme="minorEastAsia" w:hAnsiTheme="minorEastAsia" w:hint="eastAsia"/>
          <w:i/>
          <w:color w:val="000000"/>
        </w:rPr>
        <w:t>August</w:t>
      </w:r>
      <w:r w:rsidR="00904535">
        <w:rPr>
          <w:rFonts w:asciiTheme="minorEastAsia" w:eastAsiaTheme="minorEastAsia" w:hAnsiTheme="minorEastAsia" w:hint="eastAsia"/>
          <w:color w:val="000000"/>
        </w:rPr>
        <w:t xml:space="preserve"> </w:t>
      </w:r>
      <w:r w:rsidR="00C14B23">
        <w:rPr>
          <w:rFonts w:eastAsia="MS Mincho"/>
          <w:color w:val="000000"/>
          <w:lang w:eastAsia="ja-JP"/>
        </w:rPr>
        <w:t>29</w:t>
      </w:r>
      <w:r w:rsidRPr="00A95D65">
        <w:rPr>
          <w:rFonts w:eastAsia="MS Mincho"/>
          <w:color w:val="000000"/>
          <w:lang w:eastAsia="ja-JP"/>
        </w:rPr>
        <w:t>, 201</w:t>
      </w:r>
      <w:r>
        <w:rPr>
          <w:rFonts w:eastAsia="MS Mincho"/>
          <w:color w:val="000000"/>
          <w:lang w:eastAsia="ja-JP"/>
        </w:rPr>
        <w:t>9</w:t>
      </w:r>
      <w:r w:rsidRPr="00A95D65">
        <w:rPr>
          <w:rFonts w:eastAsia="MS Mincho"/>
          <w:i/>
          <w:color w:val="000000"/>
          <w:lang w:eastAsia="ja-JP"/>
        </w:rPr>
        <w:t>.</w:t>
      </w:r>
      <w:r>
        <w:rPr>
          <w:rFonts w:eastAsia="MS Mincho"/>
          <w:i/>
          <w:color w:val="000000"/>
          <w:lang w:eastAsia="ja-JP"/>
        </w:rPr>
        <w:t xml:space="preserve"> Revised: </w:t>
      </w:r>
      <w:r w:rsidR="00890391">
        <w:rPr>
          <w:rFonts w:eastAsia="MS Mincho"/>
          <w:i/>
          <w:color w:val="000000"/>
          <w:lang w:eastAsia="ja-JP"/>
        </w:rPr>
        <w:t>September</w:t>
      </w:r>
      <w:r w:rsidR="001E25B0" w:rsidRPr="00C1626C">
        <w:rPr>
          <w:rFonts w:eastAsiaTheme="minorEastAsia"/>
          <w:i/>
          <w:color w:val="000000"/>
        </w:rPr>
        <w:t xml:space="preserve"> </w:t>
      </w:r>
      <w:r w:rsidR="00C1626C" w:rsidRPr="00C1626C">
        <w:rPr>
          <w:rFonts w:eastAsiaTheme="minorEastAsia"/>
          <w:color w:val="000000"/>
        </w:rPr>
        <w:t>1</w:t>
      </w:r>
      <w:r w:rsidR="00C1626C" w:rsidRPr="00C1626C">
        <w:rPr>
          <w:rFonts w:eastAsia="MS Mincho"/>
          <w:color w:val="000000"/>
          <w:lang w:eastAsia="ja-JP"/>
        </w:rPr>
        <w:t>2</w:t>
      </w:r>
      <w:r w:rsidR="00D73472" w:rsidRPr="00A95D65">
        <w:rPr>
          <w:rFonts w:eastAsia="MS Mincho"/>
          <w:color w:val="000000"/>
          <w:lang w:eastAsia="ja-JP"/>
        </w:rPr>
        <w:t xml:space="preserve">, </w:t>
      </w:r>
      <w:r w:rsidR="00890391">
        <w:rPr>
          <w:rFonts w:eastAsia="MS Mincho"/>
          <w:color w:val="000000"/>
          <w:lang w:eastAsia="ja-JP"/>
        </w:rPr>
        <w:t>2019.</w:t>
      </w:r>
    </w:p>
    <w:p w14:paraId="68647F32" w14:textId="7D5E2773" w:rsidR="00C13C1D" w:rsidRPr="00A95D65" w:rsidRDefault="00C13C1D" w:rsidP="00C13C1D">
      <w:pPr>
        <w:pStyle w:val="Detailsforauthors"/>
        <w:rPr>
          <w:rFonts w:eastAsia="MS Mincho"/>
          <w:b/>
          <w:color w:val="000000"/>
          <w:lang w:eastAsia="ja-JP"/>
        </w:rPr>
      </w:pPr>
      <w:r w:rsidRPr="00A95D65">
        <w:rPr>
          <w:rFonts w:eastAsia="MS Mincho"/>
          <w:i/>
          <w:color w:val="000000"/>
          <w:lang w:eastAsia="ja-JP"/>
        </w:rPr>
        <w:t>Published online</w:t>
      </w:r>
      <w:r w:rsidRPr="00A95D65">
        <w:rPr>
          <w:rFonts w:eastAsia="MS Mincho"/>
          <w:color w:val="000000"/>
          <w:lang w:eastAsia="ja-JP"/>
        </w:rPr>
        <w:t xml:space="preserve">: </w:t>
      </w:r>
      <w:r w:rsidR="00972BF3">
        <w:rPr>
          <w:rFonts w:eastAsia="MS Mincho"/>
          <w:color w:val="000000"/>
          <w:lang w:eastAsia="ja-JP"/>
        </w:rPr>
        <w:t>XX</w:t>
      </w:r>
      <w:r w:rsidRPr="00A95D65">
        <w:rPr>
          <w:rFonts w:eastAsia="MS Mincho"/>
          <w:color w:val="000000"/>
          <w:lang w:eastAsia="ja-JP"/>
        </w:rPr>
        <w:t xml:space="preserve"> </w:t>
      </w:r>
      <w:r w:rsidR="00972BF3">
        <w:rPr>
          <w:rFonts w:eastAsia="MS Mincho"/>
          <w:color w:val="000000"/>
          <w:lang w:eastAsia="ja-JP"/>
        </w:rPr>
        <w:t>X</w:t>
      </w:r>
      <w:r w:rsidRPr="00A95D65">
        <w:rPr>
          <w:rFonts w:eastAsia="MS Mincho"/>
          <w:color w:val="000000"/>
          <w:lang w:eastAsia="ja-JP"/>
        </w:rPr>
        <w:t>, 20</w:t>
      </w:r>
      <w:r w:rsidR="00972BF3">
        <w:rPr>
          <w:rFonts w:eastAsia="MS Mincho"/>
          <w:color w:val="000000"/>
          <w:lang w:eastAsia="ja-JP"/>
        </w:rPr>
        <w:t>XX</w:t>
      </w:r>
      <w:r>
        <w:rPr>
          <w:rFonts w:eastAsia="MS Mincho"/>
          <w:color w:val="000000"/>
          <w:lang w:eastAsia="ja-JP"/>
        </w:rPr>
        <w:t>.</w:t>
      </w:r>
    </w:p>
    <w:p w14:paraId="73D791F4" w14:textId="77777777" w:rsidR="00C13C1D" w:rsidRPr="00C13C1D" w:rsidRDefault="00C13C1D" w:rsidP="00C13C1D"/>
  </w:footnote>
  <w:footnote w:id="3">
    <w:p w14:paraId="2EBAD73B" w14:textId="558F8647" w:rsidR="00342B55" w:rsidRPr="00F36625" w:rsidRDefault="00342B55" w:rsidP="009263BB">
      <w:pPr>
        <w:pStyle w:val="a4"/>
      </w:pPr>
      <w:r w:rsidRPr="00521A0B">
        <w:rPr>
          <w:rStyle w:val="a6"/>
          <w:rFonts w:eastAsia="標楷體"/>
        </w:rPr>
        <w:footnoteRef/>
      </w:r>
      <w:r w:rsidRPr="00521A0B">
        <w:t xml:space="preserve"> </w:t>
      </w:r>
      <w:r w:rsidR="001C7A2D">
        <w:rPr>
          <w:rFonts w:hint="eastAsia"/>
          <w:lang w:eastAsia="zh-TW"/>
        </w:rPr>
        <w:t xml:space="preserve">  </w:t>
      </w:r>
      <w:proofErr w:type="spellStart"/>
      <w:r w:rsidRPr="00F36625">
        <w:t>Genetay</w:t>
      </w:r>
      <w:proofErr w:type="spellEnd"/>
      <w:r w:rsidRPr="00F36625">
        <w:t xml:space="preserve"> and </w:t>
      </w:r>
      <w:proofErr w:type="spellStart"/>
      <w:r w:rsidRPr="00F36625">
        <w:t>Molyneux</w:t>
      </w:r>
      <w:proofErr w:type="spellEnd"/>
      <w:r w:rsidRPr="00F36625">
        <w:t xml:space="preserve"> (1998) suggest that banks and insurers share various characteristics and supplement each other but have differences in operational activities, particularly fund management and risk retention. Banks actively attract deposits from the public, provide general payment and foreign exchange services, loan idle funds to individuals or enterprises that have short- or medium-term funding needs, and provide hedge fund management services. By contrast, insurers gain insurance premiums, use these funds to make medium- and long-term investments, and assume the risk of possible loss of life and asset insurance policyholders, thus forming part of the social safety net.</w:t>
      </w:r>
    </w:p>
  </w:footnote>
  <w:footnote w:id="4">
    <w:p w14:paraId="50DFAB87" w14:textId="309E8CE6" w:rsidR="00342B55" w:rsidRPr="005F56D8" w:rsidRDefault="00342B55" w:rsidP="009263BB">
      <w:pPr>
        <w:pStyle w:val="a4"/>
      </w:pPr>
      <w:r w:rsidRPr="006A0A88">
        <w:rPr>
          <w:rStyle w:val="a6"/>
          <w:rFonts w:eastAsia="標楷體"/>
        </w:rPr>
        <w:footnoteRef/>
      </w:r>
      <w:r w:rsidRPr="006A0A88">
        <w:t xml:space="preserve"> </w:t>
      </w:r>
      <w:r w:rsidR="001C7A2D">
        <w:rPr>
          <w:rFonts w:hint="eastAsia"/>
          <w:lang w:eastAsia="zh-TW"/>
        </w:rPr>
        <w:t xml:space="preserve">  </w:t>
      </w:r>
      <w:r>
        <w:t>These s</w:t>
      </w:r>
      <w:r>
        <w:rPr>
          <w:rFonts w:hint="eastAsia"/>
        </w:rPr>
        <w:t xml:space="preserve">tudies are as follows: Liu (1994), Liu and Lee (1995), Chang (1999), </w:t>
      </w:r>
      <w:proofErr w:type="spellStart"/>
      <w:r>
        <w:rPr>
          <w:rFonts w:hint="eastAsia"/>
        </w:rPr>
        <w:t>Yeh</w:t>
      </w:r>
      <w:proofErr w:type="spellEnd"/>
      <w:r>
        <w:rPr>
          <w:rFonts w:hint="eastAsia"/>
        </w:rPr>
        <w:t xml:space="preserve"> and Chen (2000), Lee (2001), Hwang and Wu (2001), </w:t>
      </w:r>
      <w:proofErr w:type="spellStart"/>
      <w:r>
        <w:rPr>
          <w:rFonts w:hint="eastAsia"/>
        </w:rPr>
        <w:t>Hao</w:t>
      </w:r>
      <w:proofErr w:type="spellEnd"/>
      <w:r>
        <w:rPr>
          <w:rFonts w:hint="eastAsia"/>
        </w:rPr>
        <w:t xml:space="preserve"> and Chou (2003), Wang</w:t>
      </w:r>
      <w:r>
        <w:t>, Peng, and Chang</w:t>
      </w:r>
      <w:r>
        <w:rPr>
          <w:rFonts w:hint="eastAsia"/>
        </w:rPr>
        <w:t xml:space="preserve"> (2006), Huang et al. (2010), Lu</w:t>
      </w:r>
      <w:r>
        <w:t>,</w:t>
      </w:r>
      <w:r w:rsidRPr="00B923AF">
        <w:t xml:space="preserve"> Wang, and Lee</w:t>
      </w:r>
      <w:r>
        <w:rPr>
          <w:rFonts w:hint="eastAsia"/>
        </w:rPr>
        <w:t xml:space="preserve"> (2011), </w:t>
      </w:r>
      <w:proofErr w:type="spellStart"/>
      <w:r>
        <w:rPr>
          <w:rFonts w:hint="eastAsia"/>
        </w:rPr>
        <w:t>Shyu</w:t>
      </w:r>
      <w:proofErr w:type="spellEnd"/>
      <w:r>
        <w:rPr>
          <w:rFonts w:hint="eastAsia"/>
        </w:rPr>
        <w:t xml:space="preserve"> and Hsu (2011), Hu</w:t>
      </w:r>
      <w:r>
        <w:t>,</w:t>
      </w:r>
      <w:r>
        <w:rPr>
          <w:rFonts w:hint="eastAsia"/>
        </w:rPr>
        <w:t xml:space="preserve"> </w:t>
      </w:r>
      <w:r>
        <w:t xml:space="preserve">Yu, and </w:t>
      </w:r>
      <w:r w:rsidRPr="00B923AF">
        <w:t>Lin</w:t>
      </w:r>
      <w:r w:rsidRPr="00B923AF">
        <w:rPr>
          <w:rFonts w:hint="eastAsia"/>
        </w:rPr>
        <w:t xml:space="preserve"> </w:t>
      </w:r>
      <w:r>
        <w:rPr>
          <w:rFonts w:hint="eastAsia"/>
        </w:rPr>
        <w:t>(2012), and Peng</w:t>
      </w:r>
      <w:r>
        <w:t>, Chen, and Liu</w:t>
      </w:r>
      <w:r>
        <w:rPr>
          <w:rFonts w:hint="eastAsia"/>
        </w:rPr>
        <w:t xml:space="preserve"> (2014). In particular, studies related to the </w:t>
      </w:r>
      <w:r>
        <w:rPr>
          <w:rFonts w:hint="eastAsia"/>
          <w:color w:val="000000" w:themeColor="text1"/>
        </w:rPr>
        <w:t>determinant</w:t>
      </w:r>
      <w:r>
        <w:rPr>
          <w:rFonts w:hint="eastAsia"/>
        </w:rPr>
        <w:t>s of insurance compan</w:t>
      </w:r>
      <w:r>
        <w:t xml:space="preserve">y </w:t>
      </w:r>
      <w:r>
        <w:rPr>
          <w:rFonts w:hint="eastAsia"/>
        </w:rPr>
        <w:t xml:space="preserve">efficiency have focused on how such efficiency is influenced by the following factors: ownership, </w:t>
      </w:r>
      <w:proofErr w:type="spellStart"/>
      <w:r>
        <w:rPr>
          <w:rFonts w:hint="eastAsia"/>
        </w:rPr>
        <w:t>bancassurance</w:t>
      </w:r>
      <w:proofErr w:type="spellEnd"/>
      <w:r>
        <w:rPr>
          <w:rFonts w:hint="eastAsia"/>
        </w:rPr>
        <w:t xml:space="preserve"> involvement, market share</w:t>
      </w:r>
      <w:r>
        <w:t xml:space="preserve"> type</w:t>
      </w:r>
      <w:r>
        <w:rPr>
          <w:rFonts w:hint="eastAsia"/>
        </w:rPr>
        <w:t>, product concentration, whether a company is a financial holding company, compan</w:t>
      </w:r>
      <w:r>
        <w:t>y type</w:t>
      </w:r>
      <w:r>
        <w:rPr>
          <w:rFonts w:hint="eastAsia"/>
        </w:rPr>
        <w:t xml:space="preserve"> (domestic or foreign), total asset</w:t>
      </w:r>
      <w:r>
        <w:t>s</w:t>
      </w:r>
      <w:r>
        <w:rPr>
          <w:rFonts w:hint="eastAsia"/>
        </w:rPr>
        <w:t>, and year dummies (Wang</w:t>
      </w:r>
      <w:r>
        <w:t>, Peng, and Chang</w:t>
      </w:r>
      <w:r>
        <w:rPr>
          <w:rFonts w:hint="eastAsia"/>
        </w:rPr>
        <w:t xml:space="preserve"> 2006; Peng</w:t>
      </w:r>
      <w:r>
        <w:t>, Cheng, and Liu</w:t>
      </w:r>
      <w:r>
        <w:rPr>
          <w:rFonts w:hint="eastAsia"/>
        </w:rPr>
        <w:t xml:space="preserve">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1E25" w14:textId="054AB7F1" w:rsidR="00342B55" w:rsidRDefault="00342B55" w:rsidP="00A76D0D">
    <w:pPr>
      <w:pStyle w:val="Scienpress"/>
      <w:rPr>
        <w:b/>
      </w:rPr>
    </w:pPr>
    <w:r>
      <w:t xml:space="preserve">Journal of Applied Finance &amp; Banking, vol. x, no. xx, 201x, xxx-xxx </w:t>
    </w:r>
  </w:p>
  <w:p w14:paraId="22AB6F2C" w14:textId="77777777" w:rsidR="00342B55" w:rsidRDefault="00342B55" w:rsidP="00A76D0D">
    <w:pPr>
      <w:pStyle w:val="Scienpress"/>
      <w:rPr>
        <w:b/>
      </w:rPr>
    </w:pPr>
    <w:r>
      <w:t>ISSN: 1792-6580 (print version), 1792-6599(online)</w:t>
    </w:r>
  </w:p>
  <w:p w14:paraId="32535200" w14:textId="14486A01" w:rsidR="00342B55" w:rsidRPr="00A76D0D" w:rsidRDefault="00342B55" w:rsidP="00A76D0D">
    <w:pPr>
      <w:pStyle w:val="Scienpress"/>
    </w:pPr>
    <w:r>
      <w:t>Scientific Press International Limited</w:t>
    </w:r>
  </w:p>
  <w:p w14:paraId="29DEB793" w14:textId="77777777" w:rsidR="00342B55" w:rsidRDefault="00342B5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C74E2DA"/>
    <w:lvl w:ilvl="0">
      <w:start w:val="1"/>
      <w:numFmt w:val="decimal"/>
      <w:pStyle w:val="ReferencesText"/>
      <w:lvlText w:val="%1."/>
      <w:lvlJc w:val="left"/>
      <w:pPr>
        <w:tabs>
          <w:tab w:val="num" w:pos="1209"/>
        </w:tabs>
        <w:ind w:left="1209" w:hanging="360"/>
      </w:pPr>
    </w:lvl>
  </w:abstractNum>
  <w:abstractNum w:abstractNumId="1"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7733944"/>
    <w:multiLevelType w:val="hybridMultilevel"/>
    <w:tmpl w:val="3B800490"/>
    <w:lvl w:ilvl="0" w:tplc="CA6656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035404"/>
    <w:multiLevelType w:val="multilevel"/>
    <w:tmpl w:val="A5C40182"/>
    <w:lvl w:ilvl="0">
      <w:start w:val="1"/>
      <w:numFmt w:val="decimal"/>
      <w:lvlText w:val="3.%1"/>
      <w:lvlJc w:val="left"/>
      <w:pPr>
        <w:ind w:left="785" w:hanging="425"/>
      </w:pPr>
      <w:rPr>
        <w:rFonts w:hint="eastAsia"/>
      </w:rPr>
    </w:lvl>
    <w:lvl w:ilvl="1">
      <w:start w:val="1"/>
      <w:numFmt w:val="decimal"/>
      <w:lvlText w:val="%1.%2"/>
      <w:lvlJc w:val="left"/>
      <w:pPr>
        <w:ind w:left="1352" w:hanging="567"/>
      </w:pPr>
    </w:lvl>
    <w:lvl w:ilvl="2">
      <w:start w:val="1"/>
      <w:numFmt w:val="decimal"/>
      <w:lvlText w:val="%1.%2.%3"/>
      <w:lvlJc w:val="left"/>
      <w:pPr>
        <w:ind w:left="1778" w:hanging="567"/>
      </w:pPr>
    </w:lvl>
    <w:lvl w:ilvl="3">
      <w:start w:val="1"/>
      <w:numFmt w:val="decimal"/>
      <w:lvlText w:val="%1.%2.%3.%4"/>
      <w:lvlJc w:val="left"/>
      <w:pPr>
        <w:ind w:left="2344" w:hanging="708"/>
      </w:pPr>
    </w:lvl>
    <w:lvl w:ilvl="4">
      <w:start w:val="1"/>
      <w:numFmt w:val="decimal"/>
      <w:lvlText w:val="%1.%2.%3.%4.%5"/>
      <w:lvlJc w:val="left"/>
      <w:pPr>
        <w:ind w:left="2911" w:hanging="850"/>
      </w:pPr>
    </w:lvl>
    <w:lvl w:ilvl="5">
      <w:start w:val="1"/>
      <w:numFmt w:val="decimal"/>
      <w:lvlText w:val="%1.%2.%3.%4.%5.%6"/>
      <w:lvlJc w:val="left"/>
      <w:pPr>
        <w:ind w:left="3620" w:hanging="1134"/>
      </w:pPr>
    </w:lvl>
    <w:lvl w:ilvl="6">
      <w:start w:val="1"/>
      <w:numFmt w:val="decimal"/>
      <w:lvlText w:val="%1.%2.%3.%4.%5.%6.%7"/>
      <w:lvlJc w:val="left"/>
      <w:pPr>
        <w:ind w:left="4187" w:hanging="1276"/>
      </w:pPr>
    </w:lvl>
    <w:lvl w:ilvl="7">
      <w:start w:val="1"/>
      <w:numFmt w:val="decimal"/>
      <w:lvlText w:val="%1.%2.%3.%4.%5.%6.%7.%8"/>
      <w:lvlJc w:val="left"/>
      <w:pPr>
        <w:ind w:left="4754" w:hanging="1418"/>
      </w:pPr>
    </w:lvl>
    <w:lvl w:ilvl="8">
      <w:start w:val="1"/>
      <w:numFmt w:val="decimal"/>
      <w:lvlText w:val="%1.%2.%3.%4.%5.%6.%7.%8.%9"/>
      <w:lvlJc w:val="left"/>
      <w:pPr>
        <w:ind w:left="5462" w:hanging="1700"/>
      </w:pPr>
    </w:lvl>
  </w:abstractNum>
  <w:abstractNum w:abstractNumId="4" w15:restartNumberingAfterBreak="0">
    <w:nsid w:val="52177A38"/>
    <w:multiLevelType w:val="multilevel"/>
    <w:tmpl w:val="4706284C"/>
    <w:lvl w:ilvl="0">
      <w:start w:val="1"/>
      <w:numFmt w:val="decimal"/>
      <w:lvlText w:val="6.%1"/>
      <w:lvlJc w:val="left"/>
      <w:pPr>
        <w:ind w:left="785" w:hanging="425"/>
      </w:pPr>
      <w:rPr>
        <w:rFonts w:hint="eastAsia"/>
      </w:rPr>
    </w:lvl>
    <w:lvl w:ilvl="1">
      <w:start w:val="1"/>
      <w:numFmt w:val="decimal"/>
      <w:lvlText w:val="%1.%2"/>
      <w:lvlJc w:val="left"/>
      <w:pPr>
        <w:ind w:left="1352" w:hanging="567"/>
      </w:pPr>
      <w:rPr>
        <w:rFonts w:hint="eastAsia"/>
      </w:rPr>
    </w:lvl>
    <w:lvl w:ilvl="2">
      <w:start w:val="1"/>
      <w:numFmt w:val="decimal"/>
      <w:lvlText w:val="%1.%2.%3"/>
      <w:lvlJc w:val="left"/>
      <w:pPr>
        <w:ind w:left="1778" w:hanging="567"/>
      </w:pPr>
      <w:rPr>
        <w:rFonts w:hint="eastAsia"/>
      </w:rPr>
    </w:lvl>
    <w:lvl w:ilvl="3">
      <w:start w:val="1"/>
      <w:numFmt w:val="decimal"/>
      <w:lvlText w:val="%1.%2.%3.%4"/>
      <w:lvlJc w:val="left"/>
      <w:pPr>
        <w:ind w:left="2344" w:hanging="708"/>
      </w:pPr>
      <w:rPr>
        <w:rFonts w:hint="eastAsia"/>
      </w:rPr>
    </w:lvl>
    <w:lvl w:ilvl="4">
      <w:start w:val="1"/>
      <w:numFmt w:val="decimal"/>
      <w:lvlText w:val="%1.%2.%3.%4.%5"/>
      <w:lvlJc w:val="left"/>
      <w:pPr>
        <w:ind w:left="2911" w:hanging="850"/>
      </w:pPr>
      <w:rPr>
        <w:rFonts w:hint="eastAsia"/>
      </w:rPr>
    </w:lvl>
    <w:lvl w:ilvl="5">
      <w:start w:val="1"/>
      <w:numFmt w:val="decimal"/>
      <w:lvlText w:val="%1.%2.%3.%4.%5.%6"/>
      <w:lvlJc w:val="left"/>
      <w:pPr>
        <w:ind w:left="3620" w:hanging="1134"/>
      </w:pPr>
      <w:rPr>
        <w:rFonts w:hint="eastAsia"/>
      </w:rPr>
    </w:lvl>
    <w:lvl w:ilvl="6">
      <w:start w:val="1"/>
      <w:numFmt w:val="decimal"/>
      <w:lvlText w:val="%1.%2.%3.%4.%5.%6.%7"/>
      <w:lvlJc w:val="left"/>
      <w:pPr>
        <w:ind w:left="4187" w:hanging="1276"/>
      </w:pPr>
      <w:rPr>
        <w:rFonts w:hint="eastAsia"/>
      </w:rPr>
    </w:lvl>
    <w:lvl w:ilvl="7">
      <w:start w:val="1"/>
      <w:numFmt w:val="decimal"/>
      <w:lvlText w:val="%1.%2.%3.%4.%5.%6.%7.%8"/>
      <w:lvlJc w:val="left"/>
      <w:pPr>
        <w:ind w:left="4754" w:hanging="1418"/>
      </w:pPr>
      <w:rPr>
        <w:rFonts w:hint="eastAsia"/>
      </w:rPr>
    </w:lvl>
    <w:lvl w:ilvl="8">
      <w:start w:val="1"/>
      <w:numFmt w:val="decimal"/>
      <w:lvlText w:val="%1.%2.%3.%4.%5.%6.%7.%8.%9"/>
      <w:lvlJc w:val="left"/>
      <w:pPr>
        <w:ind w:left="5462" w:hanging="1700"/>
      </w:pPr>
      <w:rPr>
        <w:rFonts w:hint="eastAsia"/>
      </w:rPr>
    </w:lvl>
  </w:abstractNum>
  <w:abstractNum w:abstractNumId="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2725F"/>
    <w:multiLevelType w:val="hybridMultilevel"/>
    <w:tmpl w:val="FF32BAB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B7"/>
    <w:rsid w:val="00001899"/>
    <w:rsid w:val="0000220B"/>
    <w:rsid w:val="000049AD"/>
    <w:rsid w:val="0000681B"/>
    <w:rsid w:val="000133C0"/>
    <w:rsid w:val="00014C4E"/>
    <w:rsid w:val="00017107"/>
    <w:rsid w:val="000202E2"/>
    <w:rsid w:val="00022441"/>
    <w:rsid w:val="0002261E"/>
    <w:rsid w:val="000226E0"/>
    <w:rsid w:val="00024839"/>
    <w:rsid w:val="00025BA4"/>
    <w:rsid w:val="00026871"/>
    <w:rsid w:val="000345BB"/>
    <w:rsid w:val="00035659"/>
    <w:rsid w:val="00037A98"/>
    <w:rsid w:val="000427FB"/>
    <w:rsid w:val="0004455E"/>
    <w:rsid w:val="00045F57"/>
    <w:rsid w:val="000472D9"/>
    <w:rsid w:val="00047CB5"/>
    <w:rsid w:val="00051FAA"/>
    <w:rsid w:val="000572A9"/>
    <w:rsid w:val="00060AD7"/>
    <w:rsid w:val="00061325"/>
    <w:rsid w:val="000733AC"/>
    <w:rsid w:val="00074B81"/>
    <w:rsid w:val="00074D22"/>
    <w:rsid w:val="00075081"/>
    <w:rsid w:val="0007528A"/>
    <w:rsid w:val="00077C23"/>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3CA4"/>
    <w:rsid w:val="001050F1"/>
    <w:rsid w:val="00105AEA"/>
    <w:rsid w:val="00106DAF"/>
    <w:rsid w:val="00114ABE"/>
    <w:rsid w:val="00116023"/>
    <w:rsid w:val="00134A51"/>
    <w:rsid w:val="00140727"/>
    <w:rsid w:val="00160628"/>
    <w:rsid w:val="00161344"/>
    <w:rsid w:val="00162195"/>
    <w:rsid w:val="0016322A"/>
    <w:rsid w:val="00164FD1"/>
    <w:rsid w:val="00165A21"/>
    <w:rsid w:val="001705CE"/>
    <w:rsid w:val="001765BA"/>
    <w:rsid w:val="0017714B"/>
    <w:rsid w:val="00177FBF"/>
    <w:rsid w:val="001804DF"/>
    <w:rsid w:val="00181BDC"/>
    <w:rsid w:val="00181DB0"/>
    <w:rsid w:val="001829E3"/>
    <w:rsid w:val="001924C0"/>
    <w:rsid w:val="0019731E"/>
    <w:rsid w:val="001978EA"/>
    <w:rsid w:val="001A09FE"/>
    <w:rsid w:val="001A67C9"/>
    <w:rsid w:val="001A69DE"/>
    <w:rsid w:val="001A713C"/>
    <w:rsid w:val="001B1C7C"/>
    <w:rsid w:val="001B392B"/>
    <w:rsid w:val="001B398F"/>
    <w:rsid w:val="001B46C6"/>
    <w:rsid w:val="001B4B48"/>
    <w:rsid w:val="001B4D1F"/>
    <w:rsid w:val="001B7681"/>
    <w:rsid w:val="001B7CAE"/>
    <w:rsid w:val="001C0772"/>
    <w:rsid w:val="001C0D4F"/>
    <w:rsid w:val="001C1BA3"/>
    <w:rsid w:val="001C1DEC"/>
    <w:rsid w:val="001C5736"/>
    <w:rsid w:val="001C7A2D"/>
    <w:rsid w:val="001D647F"/>
    <w:rsid w:val="001D6857"/>
    <w:rsid w:val="001E0572"/>
    <w:rsid w:val="001E0A67"/>
    <w:rsid w:val="001E1028"/>
    <w:rsid w:val="001E14E2"/>
    <w:rsid w:val="001E25B0"/>
    <w:rsid w:val="001E6302"/>
    <w:rsid w:val="001E7DBE"/>
    <w:rsid w:val="001E7DCB"/>
    <w:rsid w:val="001F3411"/>
    <w:rsid w:val="001F4287"/>
    <w:rsid w:val="001F4DBA"/>
    <w:rsid w:val="0020415E"/>
    <w:rsid w:val="00204FF4"/>
    <w:rsid w:val="0020594F"/>
    <w:rsid w:val="0021056E"/>
    <w:rsid w:val="0021075D"/>
    <w:rsid w:val="0021165A"/>
    <w:rsid w:val="00211BC9"/>
    <w:rsid w:val="0021620C"/>
    <w:rsid w:val="00216E78"/>
    <w:rsid w:val="00217275"/>
    <w:rsid w:val="002211DD"/>
    <w:rsid w:val="00236F4B"/>
    <w:rsid w:val="002424E7"/>
    <w:rsid w:val="00242A33"/>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4ED9"/>
    <w:rsid w:val="002A5D75"/>
    <w:rsid w:val="002B1B1A"/>
    <w:rsid w:val="002B7228"/>
    <w:rsid w:val="002C53EE"/>
    <w:rsid w:val="002C567F"/>
    <w:rsid w:val="002D24F7"/>
    <w:rsid w:val="002D2799"/>
    <w:rsid w:val="002D2CD7"/>
    <w:rsid w:val="002D4DDC"/>
    <w:rsid w:val="002D4F75"/>
    <w:rsid w:val="002D6493"/>
    <w:rsid w:val="002D7AB6"/>
    <w:rsid w:val="002E06D0"/>
    <w:rsid w:val="002E1A91"/>
    <w:rsid w:val="002E3C27"/>
    <w:rsid w:val="002E403A"/>
    <w:rsid w:val="002E7F3A"/>
    <w:rsid w:val="002F4EDB"/>
    <w:rsid w:val="002F6054"/>
    <w:rsid w:val="00310E13"/>
    <w:rsid w:val="00315713"/>
    <w:rsid w:val="0031686C"/>
    <w:rsid w:val="00316FE0"/>
    <w:rsid w:val="00317FA5"/>
    <w:rsid w:val="003204D2"/>
    <w:rsid w:val="0032605E"/>
    <w:rsid w:val="003275D1"/>
    <w:rsid w:val="00330B2A"/>
    <w:rsid w:val="00331E17"/>
    <w:rsid w:val="00333063"/>
    <w:rsid w:val="003408E3"/>
    <w:rsid w:val="00342B55"/>
    <w:rsid w:val="00343480"/>
    <w:rsid w:val="00345E89"/>
    <w:rsid w:val="003502AB"/>
    <w:rsid w:val="003522A1"/>
    <w:rsid w:val="0035254B"/>
    <w:rsid w:val="00353555"/>
    <w:rsid w:val="003565D4"/>
    <w:rsid w:val="003607FB"/>
    <w:rsid w:val="00360FD5"/>
    <w:rsid w:val="0036340D"/>
    <w:rsid w:val="003634A5"/>
    <w:rsid w:val="00366868"/>
    <w:rsid w:val="0036732B"/>
    <w:rsid w:val="00367506"/>
    <w:rsid w:val="00370085"/>
    <w:rsid w:val="003744A7"/>
    <w:rsid w:val="00376235"/>
    <w:rsid w:val="00380776"/>
    <w:rsid w:val="00381FB6"/>
    <w:rsid w:val="00382FD8"/>
    <w:rsid w:val="003836D3"/>
    <w:rsid w:val="00383A52"/>
    <w:rsid w:val="00391652"/>
    <w:rsid w:val="0039507F"/>
    <w:rsid w:val="00396EB8"/>
    <w:rsid w:val="003A1260"/>
    <w:rsid w:val="003A295F"/>
    <w:rsid w:val="003A41DD"/>
    <w:rsid w:val="003A607B"/>
    <w:rsid w:val="003A7033"/>
    <w:rsid w:val="003B47FE"/>
    <w:rsid w:val="003B5673"/>
    <w:rsid w:val="003B6287"/>
    <w:rsid w:val="003B62C9"/>
    <w:rsid w:val="003C32BC"/>
    <w:rsid w:val="003C4F33"/>
    <w:rsid w:val="003C7176"/>
    <w:rsid w:val="003D0929"/>
    <w:rsid w:val="003D099F"/>
    <w:rsid w:val="003D4729"/>
    <w:rsid w:val="003D7DD6"/>
    <w:rsid w:val="003E2502"/>
    <w:rsid w:val="003E5AAF"/>
    <w:rsid w:val="003E600D"/>
    <w:rsid w:val="003E64DF"/>
    <w:rsid w:val="003E6A5D"/>
    <w:rsid w:val="003F0543"/>
    <w:rsid w:val="003F193A"/>
    <w:rsid w:val="003F4207"/>
    <w:rsid w:val="003F5C46"/>
    <w:rsid w:val="003F7CBB"/>
    <w:rsid w:val="003F7D34"/>
    <w:rsid w:val="004064EB"/>
    <w:rsid w:val="00412C8E"/>
    <w:rsid w:val="00413E6E"/>
    <w:rsid w:val="0041518D"/>
    <w:rsid w:val="0042221D"/>
    <w:rsid w:val="00424DD3"/>
    <w:rsid w:val="004269C5"/>
    <w:rsid w:val="004304A2"/>
    <w:rsid w:val="00435939"/>
    <w:rsid w:val="00437CC7"/>
    <w:rsid w:val="004404A4"/>
    <w:rsid w:val="00442B9C"/>
    <w:rsid w:val="00442C72"/>
    <w:rsid w:val="00443B91"/>
    <w:rsid w:val="00445EFA"/>
    <w:rsid w:val="0044738A"/>
    <w:rsid w:val="004473D3"/>
    <w:rsid w:val="00452231"/>
    <w:rsid w:val="00460C13"/>
    <w:rsid w:val="00463228"/>
    <w:rsid w:val="00463782"/>
    <w:rsid w:val="004667E0"/>
    <w:rsid w:val="0046760E"/>
    <w:rsid w:val="00470E10"/>
    <w:rsid w:val="00477A97"/>
    <w:rsid w:val="00481343"/>
    <w:rsid w:val="0048549E"/>
    <w:rsid w:val="004879B4"/>
    <w:rsid w:val="00490EF2"/>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32E7"/>
    <w:rsid w:val="004E4FF3"/>
    <w:rsid w:val="004E56A8"/>
    <w:rsid w:val="004F3B55"/>
    <w:rsid w:val="004F428E"/>
    <w:rsid w:val="004F4E46"/>
    <w:rsid w:val="004F6B7D"/>
    <w:rsid w:val="004F74F0"/>
    <w:rsid w:val="005015F6"/>
    <w:rsid w:val="005030C4"/>
    <w:rsid w:val="005031C5"/>
    <w:rsid w:val="00504FDC"/>
    <w:rsid w:val="005120CC"/>
    <w:rsid w:val="00512B7B"/>
    <w:rsid w:val="00512C18"/>
    <w:rsid w:val="00514EA1"/>
    <w:rsid w:val="0051798B"/>
    <w:rsid w:val="00521F5A"/>
    <w:rsid w:val="00525E06"/>
    <w:rsid w:val="00526454"/>
    <w:rsid w:val="00531823"/>
    <w:rsid w:val="00534ECC"/>
    <w:rsid w:val="0053720D"/>
    <w:rsid w:val="00540EF5"/>
    <w:rsid w:val="00541BF3"/>
    <w:rsid w:val="00541CD3"/>
    <w:rsid w:val="005426E7"/>
    <w:rsid w:val="005476FA"/>
    <w:rsid w:val="0055595E"/>
    <w:rsid w:val="00557988"/>
    <w:rsid w:val="00562BA4"/>
    <w:rsid w:val="00562C49"/>
    <w:rsid w:val="00562DEF"/>
    <w:rsid w:val="0056321A"/>
    <w:rsid w:val="00563A35"/>
    <w:rsid w:val="00566596"/>
    <w:rsid w:val="0056683F"/>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33C"/>
    <w:rsid w:val="005D1885"/>
    <w:rsid w:val="005D4A38"/>
    <w:rsid w:val="005E2EEA"/>
    <w:rsid w:val="005E3708"/>
    <w:rsid w:val="005E3CCD"/>
    <w:rsid w:val="005E3D6B"/>
    <w:rsid w:val="005E5B55"/>
    <w:rsid w:val="005E5E4A"/>
    <w:rsid w:val="005E693D"/>
    <w:rsid w:val="005E6F3B"/>
    <w:rsid w:val="005E75BF"/>
    <w:rsid w:val="005F57BA"/>
    <w:rsid w:val="005F61E6"/>
    <w:rsid w:val="005F6629"/>
    <w:rsid w:val="005F6C45"/>
    <w:rsid w:val="00604046"/>
    <w:rsid w:val="00605A69"/>
    <w:rsid w:val="00606C54"/>
    <w:rsid w:val="00612792"/>
    <w:rsid w:val="0061392D"/>
    <w:rsid w:val="00614375"/>
    <w:rsid w:val="00615B0A"/>
    <w:rsid w:val="006168CF"/>
    <w:rsid w:val="0062011B"/>
    <w:rsid w:val="00622D8E"/>
    <w:rsid w:val="00626DE0"/>
    <w:rsid w:val="00630901"/>
    <w:rsid w:val="00631F8E"/>
    <w:rsid w:val="00635725"/>
    <w:rsid w:val="00636EE9"/>
    <w:rsid w:val="00640950"/>
    <w:rsid w:val="00641AE7"/>
    <w:rsid w:val="00642629"/>
    <w:rsid w:val="0064782B"/>
    <w:rsid w:val="006507C9"/>
    <w:rsid w:val="0065293D"/>
    <w:rsid w:val="00653EFC"/>
    <w:rsid w:val="00654021"/>
    <w:rsid w:val="00661045"/>
    <w:rsid w:val="00662B69"/>
    <w:rsid w:val="00666DA8"/>
    <w:rsid w:val="00671057"/>
    <w:rsid w:val="00675AAF"/>
    <w:rsid w:val="0068031A"/>
    <w:rsid w:val="00680D3F"/>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C7C7D"/>
    <w:rsid w:val="006D0FE8"/>
    <w:rsid w:val="006D4B2B"/>
    <w:rsid w:val="006D4F3C"/>
    <w:rsid w:val="006D5C66"/>
    <w:rsid w:val="006D7002"/>
    <w:rsid w:val="006E1B3C"/>
    <w:rsid w:val="006E23FB"/>
    <w:rsid w:val="006E2C9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374C4"/>
    <w:rsid w:val="0074090B"/>
    <w:rsid w:val="00742D1F"/>
    <w:rsid w:val="00743EBA"/>
    <w:rsid w:val="00744AD2"/>
    <w:rsid w:val="00744C8E"/>
    <w:rsid w:val="0074707E"/>
    <w:rsid w:val="0075002B"/>
    <w:rsid w:val="007516DC"/>
    <w:rsid w:val="00752E58"/>
    <w:rsid w:val="00754B80"/>
    <w:rsid w:val="00761918"/>
    <w:rsid w:val="00762166"/>
    <w:rsid w:val="00762F03"/>
    <w:rsid w:val="0076413B"/>
    <w:rsid w:val="007648AE"/>
    <w:rsid w:val="00764BF8"/>
    <w:rsid w:val="0076514D"/>
    <w:rsid w:val="00773D59"/>
    <w:rsid w:val="007767DC"/>
    <w:rsid w:val="00781003"/>
    <w:rsid w:val="007900D4"/>
    <w:rsid w:val="007911FD"/>
    <w:rsid w:val="00793930"/>
    <w:rsid w:val="00793DD1"/>
    <w:rsid w:val="00794FEC"/>
    <w:rsid w:val="00797014"/>
    <w:rsid w:val="007A003E"/>
    <w:rsid w:val="007A1965"/>
    <w:rsid w:val="007A2ED1"/>
    <w:rsid w:val="007A4BE6"/>
    <w:rsid w:val="007B0854"/>
    <w:rsid w:val="007B0DC6"/>
    <w:rsid w:val="007B1094"/>
    <w:rsid w:val="007B1762"/>
    <w:rsid w:val="007B3320"/>
    <w:rsid w:val="007B4627"/>
    <w:rsid w:val="007C301F"/>
    <w:rsid w:val="007C4540"/>
    <w:rsid w:val="007C5BBF"/>
    <w:rsid w:val="007C65AF"/>
    <w:rsid w:val="007C66E6"/>
    <w:rsid w:val="007D135D"/>
    <w:rsid w:val="007D730F"/>
    <w:rsid w:val="007D7CD8"/>
    <w:rsid w:val="007E3AA7"/>
    <w:rsid w:val="007E5051"/>
    <w:rsid w:val="007F32CD"/>
    <w:rsid w:val="007F737D"/>
    <w:rsid w:val="007F7689"/>
    <w:rsid w:val="0080308E"/>
    <w:rsid w:val="00805303"/>
    <w:rsid w:val="00805A03"/>
    <w:rsid w:val="00806705"/>
    <w:rsid w:val="00806738"/>
    <w:rsid w:val="008216D5"/>
    <w:rsid w:val="008249CE"/>
    <w:rsid w:val="00831A50"/>
    <w:rsid w:val="00831B3C"/>
    <w:rsid w:val="00831C89"/>
    <w:rsid w:val="00832114"/>
    <w:rsid w:val="00834C46"/>
    <w:rsid w:val="00836AF3"/>
    <w:rsid w:val="0084093E"/>
    <w:rsid w:val="00841CE1"/>
    <w:rsid w:val="008473D8"/>
    <w:rsid w:val="008475E8"/>
    <w:rsid w:val="008528DC"/>
    <w:rsid w:val="00852B8C"/>
    <w:rsid w:val="00854981"/>
    <w:rsid w:val="0086021D"/>
    <w:rsid w:val="00864B2E"/>
    <w:rsid w:val="00865963"/>
    <w:rsid w:val="00871C1D"/>
    <w:rsid w:val="0087450E"/>
    <w:rsid w:val="00875A82"/>
    <w:rsid w:val="00876CA3"/>
    <w:rsid w:val="008772FE"/>
    <w:rsid w:val="008775F1"/>
    <w:rsid w:val="008821AE"/>
    <w:rsid w:val="00883D3A"/>
    <w:rsid w:val="008854F7"/>
    <w:rsid w:val="00885A9D"/>
    <w:rsid w:val="00890391"/>
    <w:rsid w:val="008929D2"/>
    <w:rsid w:val="00893636"/>
    <w:rsid w:val="00893B94"/>
    <w:rsid w:val="00896E9D"/>
    <w:rsid w:val="00896F11"/>
    <w:rsid w:val="008A1049"/>
    <w:rsid w:val="008A1C98"/>
    <w:rsid w:val="008A322D"/>
    <w:rsid w:val="008A4D72"/>
    <w:rsid w:val="008A6285"/>
    <w:rsid w:val="008A63B2"/>
    <w:rsid w:val="008B2404"/>
    <w:rsid w:val="008B345D"/>
    <w:rsid w:val="008B4E83"/>
    <w:rsid w:val="008B7613"/>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3F55"/>
    <w:rsid w:val="009040E8"/>
    <w:rsid w:val="00904535"/>
    <w:rsid w:val="00904677"/>
    <w:rsid w:val="00905EE2"/>
    <w:rsid w:val="00911440"/>
    <w:rsid w:val="00911712"/>
    <w:rsid w:val="00911B27"/>
    <w:rsid w:val="00914EBA"/>
    <w:rsid w:val="009170BE"/>
    <w:rsid w:val="00920B55"/>
    <w:rsid w:val="009245B6"/>
    <w:rsid w:val="009262C9"/>
    <w:rsid w:val="009263BB"/>
    <w:rsid w:val="00930EB9"/>
    <w:rsid w:val="00933DC7"/>
    <w:rsid w:val="009418F4"/>
    <w:rsid w:val="00942BBC"/>
    <w:rsid w:val="00944180"/>
    <w:rsid w:val="00944AA0"/>
    <w:rsid w:val="00947DA2"/>
    <w:rsid w:val="00950CFE"/>
    <w:rsid w:val="00951177"/>
    <w:rsid w:val="009673E8"/>
    <w:rsid w:val="00972BF3"/>
    <w:rsid w:val="00974DB8"/>
    <w:rsid w:val="00980661"/>
    <w:rsid w:val="0098093B"/>
    <w:rsid w:val="00985686"/>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38B5"/>
    <w:rsid w:val="009D5880"/>
    <w:rsid w:val="009E1FD4"/>
    <w:rsid w:val="009E3B07"/>
    <w:rsid w:val="009E51D1"/>
    <w:rsid w:val="009E5531"/>
    <w:rsid w:val="009F171E"/>
    <w:rsid w:val="009F3D2F"/>
    <w:rsid w:val="009F7052"/>
    <w:rsid w:val="00A0086B"/>
    <w:rsid w:val="00A02668"/>
    <w:rsid w:val="00A02801"/>
    <w:rsid w:val="00A06A39"/>
    <w:rsid w:val="00A07F58"/>
    <w:rsid w:val="00A100BE"/>
    <w:rsid w:val="00A131CB"/>
    <w:rsid w:val="00A14847"/>
    <w:rsid w:val="00A16D6D"/>
    <w:rsid w:val="00A21383"/>
    <w:rsid w:val="00A2199F"/>
    <w:rsid w:val="00A21B31"/>
    <w:rsid w:val="00A2360E"/>
    <w:rsid w:val="00A2438C"/>
    <w:rsid w:val="00A26E0C"/>
    <w:rsid w:val="00A32FCB"/>
    <w:rsid w:val="00A3340A"/>
    <w:rsid w:val="00A34C25"/>
    <w:rsid w:val="00A3507D"/>
    <w:rsid w:val="00A3717A"/>
    <w:rsid w:val="00A4088C"/>
    <w:rsid w:val="00A4456B"/>
    <w:rsid w:val="00A448D4"/>
    <w:rsid w:val="00A44BCA"/>
    <w:rsid w:val="00A452E0"/>
    <w:rsid w:val="00A506DF"/>
    <w:rsid w:val="00A51EA5"/>
    <w:rsid w:val="00A53742"/>
    <w:rsid w:val="00A557A1"/>
    <w:rsid w:val="00A63059"/>
    <w:rsid w:val="00A63AE3"/>
    <w:rsid w:val="00A64EAB"/>
    <w:rsid w:val="00A651A4"/>
    <w:rsid w:val="00A67CC8"/>
    <w:rsid w:val="00A71361"/>
    <w:rsid w:val="00A746E2"/>
    <w:rsid w:val="00A76158"/>
    <w:rsid w:val="00A76D0D"/>
    <w:rsid w:val="00A80F89"/>
    <w:rsid w:val="00A81FF2"/>
    <w:rsid w:val="00A82EE6"/>
    <w:rsid w:val="00A83904"/>
    <w:rsid w:val="00A84667"/>
    <w:rsid w:val="00A90A79"/>
    <w:rsid w:val="00A91F43"/>
    <w:rsid w:val="00A96B30"/>
    <w:rsid w:val="00AA442D"/>
    <w:rsid w:val="00AA59B5"/>
    <w:rsid w:val="00AA6BC8"/>
    <w:rsid w:val="00AA7777"/>
    <w:rsid w:val="00AA7B84"/>
    <w:rsid w:val="00AB1522"/>
    <w:rsid w:val="00AC0B4C"/>
    <w:rsid w:val="00AC1164"/>
    <w:rsid w:val="00AC2296"/>
    <w:rsid w:val="00AC2754"/>
    <w:rsid w:val="00AC48B0"/>
    <w:rsid w:val="00AC4ACD"/>
    <w:rsid w:val="00AC5DFB"/>
    <w:rsid w:val="00AD13DC"/>
    <w:rsid w:val="00AD3503"/>
    <w:rsid w:val="00AD6DE2"/>
    <w:rsid w:val="00AE0A40"/>
    <w:rsid w:val="00AE1C7D"/>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6143"/>
    <w:rsid w:val="00B373C1"/>
    <w:rsid w:val="00B3793A"/>
    <w:rsid w:val="00B401BA"/>
    <w:rsid w:val="00B407E4"/>
    <w:rsid w:val="00B425B6"/>
    <w:rsid w:val="00B42A72"/>
    <w:rsid w:val="00B441AE"/>
    <w:rsid w:val="00B45A65"/>
    <w:rsid w:val="00B45F33"/>
    <w:rsid w:val="00B46D50"/>
    <w:rsid w:val="00B53170"/>
    <w:rsid w:val="00B542E8"/>
    <w:rsid w:val="00B548B9"/>
    <w:rsid w:val="00B56DBE"/>
    <w:rsid w:val="00B62999"/>
    <w:rsid w:val="00B63BE3"/>
    <w:rsid w:val="00B64885"/>
    <w:rsid w:val="00B64FA3"/>
    <w:rsid w:val="00B66810"/>
    <w:rsid w:val="00B72BE3"/>
    <w:rsid w:val="00B73B80"/>
    <w:rsid w:val="00B770C7"/>
    <w:rsid w:val="00B80985"/>
    <w:rsid w:val="00B80F26"/>
    <w:rsid w:val="00B822BD"/>
    <w:rsid w:val="00B842F4"/>
    <w:rsid w:val="00B87A5C"/>
    <w:rsid w:val="00B91A7B"/>
    <w:rsid w:val="00B923AF"/>
    <w:rsid w:val="00B929DD"/>
    <w:rsid w:val="00B93AF6"/>
    <w:rsid w:val="00B95405"/>
    <w:rsid w:val="00B963F1"/>
    <w:rsid w:val="00BA020A"/>
    <w:rsid w:val="00BA2878"/>
    <w:rsid w:val="00BB025A"/>
    <w:rsid w:val="00BB02A4"/>
    <w:rsid w:val="00BB1270"/>
    <w:rsid w:val="00BB1E44"/>
    <w:rsid w:val="00BB411B"/>
    <w:rsid w:val="00BB5267"/>
    <w:rsid w:val="00BB52B8"/>
    <w:rsid w:val="00BB59D8"/>
    <w:rsid w:val="00BB7E69"/>
    <w:rsid w:val="00BC0E51"/>
    <w:rsid w:val="00BC3C1F"/>
    <w:rsid w:val="00BC7CE7"/>
    <w:rsid w:val="00BD295E"/>
    <w:rsid w:val="00BD4664"/>
    <w:rsid w:val="00BD5DF7"/>
    <w:rsid w:val="00BD6A96"/>
    <w:rsid w:val="00BE1193"/>
    <w:rsid w:val="00BE1E45"/>
    <w:rsid w:val="00BF4849"/>
    <w:rsid w:val="00BF4EA7"/>
    <w:rsid w:val="00BF6525"/>
    <w:rsid w:val="00C00EDB"/>
    <w:rsid w:val="00C02863"/>
    <w:rsid w:val="00C0383A"/>
    <w:rsid w:val="00C067FF"/>
    <w:rsid w:val="00C12862"/>
    <w:rsid w:val="00C13C1D"/>
    <w:rsid w:val="00C13D28"/>
    <w:rsid w:val="00C14585"/>
    <w:rsid w:val="00C14B23"/>
    <w:rsid w:val="00C1626C"/>
    <w:rsid w:val="00C165A0"/>
    <w:rsid w:val="00C216CE"/>
    <w:rsid w:val="00C2184F"/>
    <w:rsid w:val="00C22A78"/>
    <w:rsid w:val="00C23C7E"/>
    <w:rsid w:val="00C246C5"/>
    <w:rsid w:val="00C25A82"/>
    <w:rsid w:val="00C30A2A"/>
    <w:rsid w:val="00C32739"/>
    <w:rsid w:val="00C33993"/>
    <w:rsid w:val="00C33AEA"/>
    <w:rsid w:val="00C4069E"/>
    <w:rsid w:val="00C41ADC"/>
    <w:rsid w:val="00C44149"/>
    <w:rsid w:val="00C44410"/>
    <w:rsid w:val="00C44A15"/>
    <w:rsid w:val="00C4630A"/>
    <w:rsid w:val="00C5196D"/>
    <w:rsid w:val="00C523F0"/>
    <w:rsid w:val="00C526D2"/>
    <w:rsid w:val="00C53A91"/>
    <w:rsid w:val="00C5794E"/>
    <w:rsid w:val="00C60968"/>
    <w:rsid w:val="00C63D39"/>
    <w:rsid w:val="00C63EDD"/>
    <w:rsid w:val="00C65B36"/>
    <w:rsid w:val="00C7292E"/>
    <w:rsid w:val="00C74E88"/>
    <w:rsid w:val="00C80924"/>
    <w:rsid w:val="00C8286B"/>
    <w:rsid w:val="00C84BD0"/>
    <w:rsid w:val="00C85984"/>
    <w:rsid w:val="00C947F8"/>
    <w:rsid w:val="00C9515F"/>
    <w:rsid w:val="00C963C5"/>
    <w:rsid w:val="00CA030C"/>
    <w:rsid w:val="00CA1F41"/>
    <w:rsid w:val="00CA32EE"/>
    <w:rsid w:val="00CA5771"/>
    <w:rsid w:val="00CA6A1A"/>
    <w:rsid w:val="00CC0BAD"/>
    <w:rsid w:val="00CC1E75"/>
    <w:rsid w:val="00CC2E0E"/>
    <w:rsid w:val="00CC361C"/>
    <w:rsid w:val="00CC474B"/>
    <w:rsid w:val="00CC658C"/>
    <w:rsid w:val="00CC67BF"/>
    <w:rsid w:val="00CD0843"/>
    <w:rsid w:val="00CD3128"/>
    <w:rsid w:val="00CD4E31"/>
    <w:rsid w:val="00CD5A78"/>
    <w:rsid w:val="00CD7345"/>
    <w:rsid w:val="00CE372E"/>
    <w:rsid w:val="00CF0A1B"/>
    <w:rsid w:val="00CF19F6"/>
    <w:rsid w:val="00CF2E05"/>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553D6"/>
    <w:rsid w:val="00D55923"/>
    <w:rsid w:val="00D60140"/>
    <w:rsid w:val="00D6024A"/>
    <w:rsid w:val="00D608B5"/>
    <w:rsid w:val="00D64739"/>
    <w:rsid w:val="00D705CF"/>
    <w:rsid w:val="00D70C13"/>
    <w:rsid w:val="00D71F99"/>
    <w:rsid w:val="00D73472"/>
    <w:rsid w:val="00D73CA4"/>
    <w:rsid w:val="00D73D71"/>
    <w:rsid w:val="00D74396"/>
    <w:rsid w:val="00D80284"/>
    <w:rsid w:val="00D81F71"/>
    <w:rsid w:val="00D8373B"/>
    <w:rsid w:val="00D8642D"/>
    <w:rsid w:val="00D90A5E"/>
    <w:rsid w:val="00D91A68"/>
    <w:rsid w:val="00D95A68"/>
    <w:rsid w:val="00DA17C7"/>
    <w:rsid w:val="00DA6A9A"/>
    <w:rsid w:val="00DB1EFD"/>
    <w:rsid w:val="00DB22FB"/>
    <w:rsid w:val="00DB243A"/>
    <w:rsid w:val="00DB3EAF"/>
    <w:rsid w:val="00DB46C6"/>
    <w:rsid w:val="00DC3203"/>
    <w:rsid w:val="00DC3C99"/>
    <w:rsid w:val="00DC52F5"/>
    <w:rsid w:val="00DC5FD0"/>
    <w:rsid w:val="00DD0354"/>
    <w:rsid w:val="00DD27D7"/>
    <w:rsid w:val="00DD458C"/>
    <w:rsid w:val="00DD72E9"/>
    <w:rsid w:val="00DD7605"/>
    <w:rsid w:val="00DE2020"/>
    <w:rsid w:val="00DE2F76"/>
    <w:rsid w:val="00DE3476"/>
    <w:rsid w:val="00DE625E"/>
    <w:rsid w:val="00DE7BEA"/>
    <w:rsid w:val="00DF5B84"/>
    <w:rsid w:val="00DF6D5B"/>
    <w:rsid w:val="00DF771B"/>
    <w:rsid w:val="00DF7EE2"/>
    <w:rsid w:val="00E01BAA"/>
    <w:rsid w:val="00E0282A"/>
    <w:rsid w:val="00E02F9B"/>
    <w:rsid w:val="00E07E14"/>
    <w:rsid w:val="00E14F94"/>
    <w:rsid w:val="00E17336"/>
    <w:rsid w:val="00E17D15"/>
    <w:rsid w:val="00E218B7"/>
    <w:rsid w:val="00E22B95"/>
    <w:rsid w:val="00E30331"/>
    <w:rsid w:val="00E30BB8"/>
    <w:rsid w:val="00E31F9C"/>
    <w:rsid w:val="00E3505D"/>
    <w:rsid w:val="00E40488"/>
    <w:rsid w:val="00E44716"/>
    <w:rsid w:val="00E50367"/>
    <w:rsid w:val="00E51ABA"/>
    <w:rsid w:val="00E524CB"/>
    <w:rsid w:val="00E62016"/>
    <w:rsid w:val="00E65456"/>
    <w:rsid w:val="00E65A91"/>
    <w:rsid w:val="00E66188"/>
    <w:rsid w:val="00E664FB"/>
    <w:rsid w:val="00E672F0"/>
    <w:rsid w:val="00E70373"/>
    <w:rsid w:val="00E72E40"/>
    <w:rsid w:val="00E73665"/>
    <w:rsid w:val="00E73999"/>
    <w:rsid w:val="00E73BDC"/>
    <w:rsid w:val="00E73E9E"/>
    <w:rsid w:val="00E81660"/>
    <w:rsid w:val="00E854FE"/>
    <w:rsid w:val="00E861C5"/>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461D"/>
    <w:rsid w:val="00EC571B"/>
    <w:rsid w:val="00EC57D7"/>
    <w:rsid w:val="00EC6385"/>
    <w:rsid w:val="00ED1DE9"/>
    <w:rsid w:val="00ED23D4"/>
    <w:rsid w:val="00ED5E0B"/>
    <w:rsid w:val="00EE2043"/>
    <w:rsid w:val="00EE37B6"/>
    <w:rsid w:val="00EF0F45"/>
    <w:rsid w:val="00EF568C"/>
    <w:rsid w:val="00EF7463"/>
    <w:rsid w:val="00EF7971"/>
    <w:rsid w:val="00F002EF"/>
    <w:rsid w:val="00F01EE9"/>
    <w:rsid w:val="00F04900"/>
    <w:rsid w:val="00F065A4"/>
    <w:rsid w:val="00F126B9"/>
    <w:rsid w:val="00F12715"/>
    <w:rsid w:val="00F12749"/>
    <w:rsid w:val="00F144D5"/>
    <w:rsid w:val="00F146F0"/>
    <w:rsid w:val="00F15039"/>
    <w:rsid w:val="00F17565"/>
    <w:rsid w:val="00F17BD5"/>
    <w:rsid w:val="00F20FF3"/>
    <w:rsid w:val="00F2190B"/>
    <w:rsid w:val="00F228B5"/>
    <w:rsid w:val="00F2389C"/>
    <w:rsid w:val="00F25C67"/>
    <w:rsid w:val="00F30DFF"/>
    <w:rsid w:val="00F32B80"/>
    <w:rsid w:val="00F340EB"/>
    <w:rsid w:val="00F35285"/>
    <w:rsid w:val="00F36625"/>
    <w:rsid w:val="00F43B9D"/>
    <w:rsid w:val="00F4443C"/>
    <w:rsid w:val="00F44D5E"/>
    <w:rsid w:val="00F5171E"/>
    <w:rsid w:val="00F53A35"/>
    <w:rsid w:val="00F54479"/>
    <w:rsid w:val="00F55A3D"/>
    <w:rsid w:val="00F5744B"/>
    <w:rsid w:val="00F574E6"/>
    <w:rsid w:val="00F61209"/>
    <w:rsid w:val="00F6259E"/>
    <w:rsid w:val="00F65DD4"/>
    <w:rsid w:val="00F672B2"/>
    <w:rsid w:val="00F83973"/>
    <w:rsid w:val="00F87FA3"/>
    <w:rsid w:val="00F93D8C"/>
    <w:rsid w:val="00FA2C06"/>
    <w:rsid w:val="00FA3102"/>
    <w:rsid w:val="00FA48D4"/>
    <w:rsid w:val="00FA54FA"/>
    <w:rsid w:val="00FA6C65"/>
    <w:rsid w:val="00FA6D39"/>
    <w:rsid w:val="00FA7B74"/>
    <w:rsid w:val="00FB227E"/>
    <w:rsid w:val="00FB3D61"/>
    <w:rsid w:val="00FB44CE"/>
    <w:rsid w:val="00FB5009"/>
    <w:rsid w:val="00FB76AB"/>
    <w:rsid w:val="00FC1A41"/>
    <w:rsid w:val="00FD0373"/>
    <w:rsid w:val="00FD03FE"/>
    <w:rsid w:val="00FD126E"/>
    <w:rsid w:val="00FD3C36"/>
    <w:rsid w:val="00FD4D81"/>
    <w:rsid w:val="00FD7498"/>
    <w:rsid w:val="00FD7FB3"/>
    <w:rsid w:val="00FE4713"/>
    <w:rsid w:val="00FE51D7"/>
    <w:rsid w:val="00FF1F44"/>
    <w:rsid w:val="00FF225E"/>
    <w:rsid w:val="00FF672C"/>
    <w:rsid w:val="00FF6CE8"/>
    <w:rsid w:val="00FF6DC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E254A"/>
  <w14:defaultImageDpi w14:val="330"/>
  <w15:docId w15:val="{0AAE62AD-26DA-4FEC-9AA2-1908A940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96F"/>
    <w:pPr>
      <w:spacing w:line="480" w:lineRule="auto"/>
    </w:pPr>
    <w:rPr>
      <w:sz w:val="24"/>
      <w:szCs w:val="24"/>
    </w:rPr>
  </w:style>
  <w:style w:type="paragraph" w:styleId="1">
    <w:name w:val="heading 1"/>
    <w:basedOn w:val="a"/>
    <w:next w:val="Paragraph"/>
    <w:link w:val="10"/>
    <w:uiPriority w:val="9"/>
    <w:qFormat/>
    <w:rsid w:val="00AE1ED4"/>
    <w:pPr>
      <w:keepNext/>
      <w:spacing w:before="360" w:after="60" w:line="360" w:lineRule="auto"/>
      <w:ind w:right="567"/>
      <w:contextualSpacing/>
      <w:outlineLvl w:val="0"/>
    </w:pPr>
    <w:rPr>
      <w:rFonts w:cs="Arial"/>
      <w:b/>
      <w:bCs/>
      <w:kern w:val="32"/>
      <w:szCs w:val="32"/>
    </w:rPr>
  </w:style>
  <w:style w:type="paragraph" w:styleId="2">
    <w:name w:val="heading 2"/>
    <w:basedOn w:val="a"/>
    <w:next w:val="Paragraph"/>
    <w:link w:val="20"/>
    <w:qFormat/>
    <w:rsid w:val="008D07FB"/>
    <w:pPr>
      <w:keepNext/>
      <w:spacing w:before="360" w:after="60" w:line="360" w:lineRule="auto"/>
      <w:ind w:right="567"/>
      <w:contextualSpacing/>
      <w:outlineLvl w:val="1"/>
    </w:pPr>
    <w:rPr>
      <w:rFonts w:cs="Arial"/>
      <w:b/>
      <w:bCs/>
      <w:i/>
      <w:iCs/>
      <w:szCs w:val="28"/>
    </w:rPr>
  </w:style>
  <w:style w:type="paragraph" w:styleId="3">
    <w:name w:val="heading 3"/>
    <w:basedOn w:val="a"/>
    <w:next w:val="Paragraph"/>
    <w:link w:val="30"/>
    <w:qFormat/>
    <w:rsid w:val="00DF7EE2"/>
    <w:pPr>
      <w:keepNext/>
      <w:spacing w:before="360" w:after="60" w:line="360" w:lineRule="auto"/>
      <w:ind w:right="567"/>
      <w:contextualSpacing/>
      <w:outlineLvl w:val="2"/>
    </w:pPr>
    <w:rPr>
      <w:rFonts w:cs="Arial"/>
      <w:bCs/>
      <w:i/>
      <w:szCs w:val="26"/>
    </w:rPr>
  </w:style>
  <w:style w:type="paragraph" w:styleId="4">
    <w:name w:val="heading 4"/>
    <w:basedOn w:val="Paragraph"/>
    <w:next w:val="Newparagraph"/>
    <w:link w:val="40"/>
    <w:rsid w:val="00F43B9D"/>
    <w:pPr>
      <w:spacing w:before="360"/>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
    <w:qFormat/>
    <w:rsid w:val="0024692A"/>
    <w:pPr>
      <w:spacing w:after="120" w:line="360" w:lineRule="auto"/>
    </w:pPr>
    <w:rPr>
      <w:b/>
      <w:sz w:val="28"/>
    </w:rPr>
  </w:style>
  <w:style w:type="paragraph" w:customStyle="1" w:styleId="Authornames">
    <w:name w:val="Author names"/>
    <w:basedOn w:val="a"/>
    <w:next w:val="a"/>
    <w:qFormat/>
    <w:rsid w:val="00F04900"/>
    <w:pPr>
      <w:spacing w:before="240" w:line="360" w:lineRule="auto"/>
    </w:pPr>
    <w:rPr>
      <w:sz w:val="28"/>
    </w:rPr>
  </w:style>
  <w:style w:type="paragraph" w:customStyle="1" w:styleId="Affiliation">
    <w:name w:val="Affiliation"/>
    <w:basedOn w:val="a"/>
    <w:qFormat/>
    <w:rsid w:val="00F04900"/>
    <w:pPr>
      <w:spacing w:before="240" w:line="360" w:lineRule="auto"/>
    </w:pPr>
    <w:rPr>
      <w:i/>
    </w:rPr>
  </w:style>
  <w:style w:type="paragraph" w:customStyle="1" w:styleId="Receiveddates">
    <w:name w:val="Received dates"/>
    <w:basedOn w:val="Affiliation"/>
    <w:next w:val="a"/>
    <w:qFormat/>
    <w:rsid w:val="00CC474B"/>
  </w:style>
  <w:style w:type="paragraph" w:customStyle="1" w:styleId="Abstract">
    <w:name w:val="Abstract"/>
    <w:basedOn w:val="a"/>
    <w:next w:val="Keywords"/>
    <w:link w:val="AbstractChar"/>
    <w:qFormat/>
    <w:rsid w:val="00310E13"/>
    <w:pPr>
      <w:spacing w:before="360" w:after="300" w:line="360" w:lineRule="auto"/>
      <w:ind w:left="720" w:right="567"/>
    </w:pPr>
    <w:rPr>
      <w:sz w:val="22"/>
    </w:rPr>
  </w:style>
  <w:style w:type="paragraph" w:customStyle="1" w:styleId="Keywords">
    <w:name w:val="Keywords"/>
    <w:basedOn w:val="a"/>
    <w:next w:val="Paragraph"/>
    <w:qFormat/>
    <w:rsid w:val="00BB1270"/>
    <w:pPr>
      <w:spacing w:before="240" w:after="240" w:line="360" w:lineRule="auto"/>
      <w:ind w:left="720" w:right="567"/>
    </w:pPr>
    <w:rPr>
      <w:sz w:val="22"/>
    </w:rPr>
  </w:style>
  <w:style w:type="paragraph" w:customStyle="1" w:styleId="Correspondencedetails">
    <w:name w:val="Correspondence details"/>
    <w:basedOn w:val="a"/>
    <w:qFormat/>
    <w:rsid w:val="00F04900"/>
    <w:pPr>
      <w:spacing w:before="240" w:line="360" w:lineRule="auto"/>
    </w:pPr>
  </w:style>
  <w:style w:type="paragraph" w:customStyle="1" w:styleId="Displayedquotation">
    <w:name w:val="Displayed quotation"/>
    <w:basedOn w:val="a"/>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spacing w:after="240"/>
      <w:contextualSpacing/>
    </w:pPr>
  </w:style>
  <w:style w:type="paragraph" w:customStyle="1" w:styleId="Displayedequation">
    <w:name w:val="Displayed equation"/>
    <w:basedOn w:val="a"/>
    <w:next w:val="Paragraph"/>
    <w:qFormat/>
    <w:rsid w:val="00EF0F45"/>
    <w:pPr>
      <w:tabs>
        <w:tab w:val="center" w:pos="4253"/>
        <w:tab w:val="right" w:pos="8222"/>
      </w:tabs>
      <w:spacing w:before="240" w:after="240"/>
      <w:jc w:val="center"/>
    </w:pPr>
  </w:style>
  <w:style w:type="paragraph" w:customStyle="1" w:styleId="Acknowledgements">
    <w:name w:val="Acknowledgements"/>
    <w:basedOn w:val="a"/>
    <w:next w:val="a"/>
    <w:qFormat/>
    <w:rsid w:val="00D379A3"/>
    <w:pPr>
      <w:spacing w:before="120" w:line="360" w:lineRule="auto"/>
    </w:pPr>
    <w:rPr>
      <w:sz w:val="22"/>
    </w:rPr>
  </w:style>
  <w:style w:type="paragraph" w:customStyle="1" w:styleId="Tabletitle">
    <w:name w:val="Table title"/>
    <w:basedOn w:val="a"/>
    <w:next w:val="a"/>
    <w:link w:val="TabletitleChar"/>
    <w:qFormat/>
    <w:rsid w:val="0031686C"/>
    <w:pPr>
      <w:spacing w:before="240" w:line="360" w:lineRule="auto"/>
    </w:pPr>
  </w:style>
  <w:style w:type="paragraph" w:customStyle="1" w:styleId="Figurecaption">
    <w:name w:val="Figure caption"/>
    <w:basedOn w:val="a"/>
    <w:next w:val="a"/>
    <w:qFormat/>
    <w:rsid w:val="0031686C"/>
    <w:pPr>
      <w:spacing w:before="240" w:line="360" w:lineRule="auto"/>
    </w:pPr>
  </w:style>
  <w:style w:type="paragraph" w:customStyle="1" w:styleId="Footnotes">
    <w:name w:val="Footnotes"/>
    <w:basedOn w:val="a"/>
    <w:qFormat/>
    <w:rsid w:val="006C6936"/>
    <w:pPr>
      <w:spacing w:before="120" w:line="360" w:lineRule="auto"/>
      <w:ind w:left="482" w:hanging="482"/>
      <w:contextualSpacing/>
    </w:pPr>
    <w:rPr>
      <w:sz w:val="22"/>
    </w:rPr>
  </w:style>
  <w:style w:type="paragraph" w:customStyle="1" w:styleId="Notesoncontributors">
    <w:name w:val="Notes on contributors"/>
    <w:basedOn w:val="a"/>
    <w:qFormat/>
    <w:rsid w:val="00F04900"/>
    <w:pPr>
      <w:spacing w:before="240" w:line="360" w:lineRule="auto"/>
    </w:pPr>
    <w:rPr>
      <w:sz w:val="22"/>
    </w:rPr>
  </w:style>
  <w:style w:type="paragraph" w:customStyle="1" w:styleId="Normalparagraphstyle">
    <w:name w:val="Normal paragraph style"/>
    <w:basedOn w:val="a"/>
    <w:next w:val="a"/>
    <w:rsid w:val="00562DEF"/>
  </w:style>
  <w:style w:type="paragraph" w:customStyle="1" w:styleId="Paragraph">
    <w:name w:val="Paragraph"/>
    <w:basedOn w:val="a"/>
    <w:next w:val="Newparagraph"/>
    <w:qFormat/>
    <w:rsid w:val="001B7681"/>
    <w:pPr>
      <w:widowControl w:val="0"/>
      <w:spacing w:before="240"/>
    </w:pPr>
  </w:style>
  <w:style w:type="paragraph" w:customStyle="1" w:styleId="Newparagraph">
    <w:name w:val="New paragraph"/>
    <w:basedOn w:val="a"/>
    <w:qFormat/>
    <w:rsid w:val="00AE2F8D"/>
    <w:pPr>
      <w:ind w:firstLine="720"/>
    </w:pPr>
  </w:style>
  <w:style w:type="paragraph" w:styleId="a3">
    <w:name w:val="Normal Indent"/>
    <w:basedOn w:val="a"/>
    <w:rsid w:val="00526454"/>
    <w:pPr>
      <w:ind w:left="720"/>
    </w:pPr>
  </w:style>
  <w:style w:type="paragraph" w:customStyle="1" w:styleId="References">
    <w:name w:val="References"/>
    <w:basedOn w:val="a"/>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20">
    <w:name w:val="標題 2 字元"/>
    <w:basedOn w:val="a0"/>
    <w:link w:val="2"/>
    <w:rsid w:val="008D07FB"/>
    <w:rPr>
      <w:rFonts w:cs="Arial"/>
      <w:b/>
      <w:bCs/>
      <w:i/>
      <w:iCs/>
      <w:sz w:val="24"/>
      <w:szCs w:val="28"/>
    </w:rPr>
  </w:style>
  <w:style w:type="character" w:customStyle="1" w:styleId="10">
    <w:name w:val="標題 1 字元"/>
    <w:basedOn w:val="a0"/>
    <w:link w:val="1"/>
    <w:uiPriority w:val="9"/>
    <w:rsid w:val="00AE1ED4"/>
    <w:rPr>
      <w:rFonts w:cs="Arial"/>
      <w:b/>
      <w:bCs/>
      <w:kern w:val="32"/>
      <w:sz w:val="24"/>
      <w:szCs w:val="32"/>
    </w:rPr>
  </w:style>
  <w:style w:type="character" w:customStyle="1" w:styleId="30">
    <w:name w:val="標題 3 字元"/>
    <w:basedOn w:val="a0"/>
    <w:link w:val="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a4">
    <w:name w:val="footnote text"/>
    <w:basedOn w:val="a"/>
    <w:link w:val="a5"/>
    <w:autoRedefine/>
    <w:uiPriority w:val="99"/>
    <w:rsid w:val="009263BB"/>
    <w:pPr>
      <w:spacing w:line="240" w:lineRule="auto"/>
      <w:ind w:left="284" w:hanging="284"/>
      <w:jc w:val="both"/>
    </w:pPr>
    <w:rPr>
      <w:sz w:val="22"/>
      <w:szCs w:val="20"/>
    </w:rPr>
  </w:style>
  <w:style w:type="character" w:customStyle="1" w:styleId="a5">
    <w:name w:val="註腳文字 字元"/>
    <w:basedOn w:val="a0"/>
    <w:link w:val="a4"/>
    <w:uiPriority w:val="99"/>
    <w:rsid w:val="009263BB"/>
    <w:rPr>
      <w:sz w:val="22"/>
    </w:rPr>
  </w:style>
  <w:style w:type="character" w:styleId="a6">
    <w:name w:val="footnote reference"/>
    <w:basedOn w:val="a0"/>
    <w:uiPriority w:val="99"/>
    <w:rsid w:val="00AF2C92"/>
    <w:rPr>
      <w:vertAlign w:val="superscript"/>
    </w:rPr>
  </w:style>
  <w:style w:type="paragraph" w:styleId="a7">
    <w:name w:val="endnote text"/>
    <w:basedOn w:val="a"/>
    <w:link w:val="a8"/>
    <w:autoRedefine/>
    <w:rsid w:val="006C19B2"/>
    <w:pPr>
      <w:ind w:left="284" w:hanging="284"/>
    </w:pPr>
    <w:rPr>
      <w:sz w:val="22"/>
      <w:szCs w:val="20"/>
    </w:rPr>
  </w:style>
  <w:style w:type="character" w:customStyle="1" w:styleId="a8">
    <w:name w:val="章節附註文字 字元"/>
    <w:basedOn w:val="a0"/>
    <w:link w:val="a7"/>
    <w:rsid w:val="006C19B2"/>
    <w:rPr>
      <w:sz w:val="22"/>
    </w:rPr>
  </w:style>
  <w:style w:type="character" w:styleId="a9">
    <w:name w:val="endnote reference"/>
    <w:basedOn w:val="a0"/>
    <w:rsid w:val="00EC571B"/>
    <w:rPr>
      <w:vertAlign w:val="superscript"/>
    </w:rPr>
  </w:style>
  <w:style w:type="character" w:customStyle="1" w:styleId="40">
    <w:name w:val="標題 4 字元"/>
    <w:basedOn w:val="a0"/>
    <w:link w:val="4"/>
    <w:rsid w:val="00F43B9D"/>
    <w:rPr>
      <w:bCs/>
      <w:sz w:val="24"/>
      <w:szCs w:val="28"/>
    </w:rPr>
  </w:style>
  <w:style w:type="paragraph" w:styleId="aa">
    <w:name w:val="header"/>
    <w:basedOn w:val="a"/>
    <w:link w:val="ab"/>
    <w:uiPriority w:val="99"/>
    <w:rsid w:val="003F193A"/>
    <w:pPr>
      <w:tabs>
        <w:tab w:val="center" w:pos="4320"/>
        <w:tab w:val="right" w:pos="8640"/>
      </w:tabs>
      <w:spacing w:after="120" w:line="240" w:lineRule="auto"/>
      <w:contextualSpacing/>
    </w:pPr>
  </w:style>
  <w:style w:type="character" w:customStyle="1" w:styleId="ab">
    <w:name w:val="頁首 字元"/>
    <w:basedOn w:val="a0"/>
    <w:link w:val="aa"/>
    <w:uiPriority w:val="99"/>
    <w:rsid w:val="003F193A"/>
    <w:rPr>
      <w:rFonts w:eastAsia="Times New Roman"/>
      <w:sz w:val="24"/>
      <w:szCs w:val="24"/>
      <w:lang w:eastAsia="en-GB"/>
    </w:rPr>
  </w:style>
  <w:style w:type="paragraph" w:styleId="ac">
    <w:name w:val="footer"/>
    <w:basedOn w:val="a"/>
    <w:link w:val="ad"/>
    <w:uiPriority w:val="99"/>
    <w:rsid w:val="00AE6A21"/>
    <w:pPr>
      <w:tabs>
        <w:tab w:val="center" w:pos="4320"/>
        <w:tab w:val="right" w:pos="8640"/>
      </w:tabs>
      <w:spacing w:before="240" w:line="240" w:lineRule="auto"/>
      <w:contextualSpacing/>
    </w:pPr>
  </w:style>
  <w:style w:type="character" w:customStyle="1" w:styleId="ad">
    <w:name w:val="頁尾 字元"/>
    <w:basedOn w:val="a0"/>
    <w:link w:val="ac"/>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ae">
    <w:name w:val="Emphasis"/>
    <w:basedOn w:val="a0"/>
    <w:uiPriority w:val="20"/>
    <w:qFormat/>
    <w:rsid w:val="004F74F0"/>
    <w:rPr>
      <w:i/>
      <w:iCs/>
    </w:rPr>
  </w:style>
  <w:style w:type="character" w:customStyle="1" w:styleId="apple-converted-space">
    <w:name w:val="apple-converted-space"/>
    <w:basedOn w:val="a0"/>
    <w:rsid w:val="004F74F0"/>
  </w:style>
  <w:style w:type="character" w:styleId="af">
    <w:name w:val="Placeholder Text"/>
    <w:basedOn w:val="a0"/>
    <w:uiPriority w:val="99"/>
    <w:rsid w:val="004F74F0"/>
    <w:rPr>
      <w:color w:val="808080"/>
    </w:rPr>
  </w:style>
  <w:style w:type="paragraph" w:styleId="af0">
    <w:name w:val="Body Text Indent"/>
    <w:basedOn w:val="a"/>
    <w:link w:val="af1"/>
    <w:rsid w:val="004F74F0"/>
    <w:pPr>
      <w:widowControl w:val="0"/>
      <w:adjustRightInd w:val="0"/>
      <w:spacing w:afterLines="50" w:line="360" w:lineRule="exact"/>
      <w:ind w:left="840" w:hangingChars="300" w:hanging="840"/>
      <w:textAlignment w:val="baseline"/>
    </w:pPr>
    <w:rPr>
      <w:rFonts w:ascii="標楷體" w:eastAsia="標楷體"/>
      <w:sz w:val="28"/>
      <w:szCs w:val="20"/>
      <w:lang w:val="en-US" w:eastAsia="zh-TW"/>
    </w:rPr>
  </w:style>
  <w:style w:type="character" w:customStyle="1" w:styleId="af1">
    <w:name w:val="本文縮排 字元"/>
    <w:basedOn w:val="a0"/>
    <w:link w:val="af0"/>
    <w:rsid w:val="004F74F0"/>
    <w:rPr>
      <w:rFonts w:ascii="標楷體" w:eastAsia="標楷體"/>
      <w:sz w:val="28"/>
      <w:lang w:val="en-US" w:eastAsia="zh-TW"/>
    </w:rPr>
  </w:style>
  <w:style w:type="paragraph" w:styleId="af2">
    <w:name w:val="Balloon Text"/>
    <w:basedOn w:val="a"/>
    <w:link w:val="af3"/>
    <w:uiPriority w:val="99"/>
    <w:semiHidden/>
    <w:unhideWhenUsed/>
    <w:rsid w:val="004F74F0"/>
    <w:pPr>
      <w:widowControl w:val="0"/>
      <w:spacing w:line="240" w:lineRule="auto"/>
    </w:pPr>
    <w:rPr>
      <w:rFonts w:asciiTheme="majorHAnsi" w:eastAsiaTheme="majorEastAsia" w:hAnsiTheme="majorHAnsi" w:cstheme="majorBidi"/>
      <w:kern w:val="2"/>
      <w:sz w:val="18"/>
      <w:szCs w:val="18"/>
      <w:lang w:val="en-US" w:eastAsia="zh-TW"/>
    </w:rPr>
  </w:style>
  <w:style w:type="character" w:customStyle="1" w:styleId="af3">
    <w:name w:val="註解方塊文字 字元"/>
    <w:basedOn w:val="a0"/>
    <w:link w:val="af2"/>
    <w:uiPriority w:val="99"/>
    <w:semiHidden/>
    <w:rsid w:val="004F74F0"/>
    <w:rPr>
      <w:rFonts w:asciiTheme="majorHAnsi" w:eastAsiaTheme="majorEastAsia" w:hAnsiTheme="majorHAnsi" w:cstheme="majorBidi"/>
      <w:kern w:val="2"/>
      <w:sz w:val="18"/>
      <w:szCs w:val="18"/>
      <w:lang w:val="en-US" w:eastAsia="zh-TW"/>
    </w:rPr>
  </w:style>
  <w:style w:type="table" w:styleId="af4">
    <w:name w:val="Table Grid"/>
    <w:basedOn w:val="a1"/>
    <w:uiPriority w:val="39"/>
    <w:rsid w:val="004F74F0"/>
    <w:rPr>
      <w:rFonts w:asciiTheme="minorHAnsi" w:hAnsiTheme="minorHAnsi" w:cstheme="minorBidi"/>
      <w:kern w:val="2"/>
      <w:sz w:val="24"/>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unhideWhenUsed/>
    <w:qFormat/>
    <w:rsid w:val="004F74F0"/>
    <w:pPr>
      <w:keepLines/>
      <w:spacing w:before="240" w:after="0" w:line="259" w:lineRule="auto"/>
      <w:ind w:right="0"/>
      <w:contextualSpacing w:val="0"/>
      <w:outlineLvl w:val="9"/>
    </w:pPr>
    <w:rPr>
      <w:rFonts w:asciiTheme="majorHAnsi" w:eastAsiaTheme="majorEastAsia" w:hAnsiTheme="majorHAnsi" w:cstheme="majorBidi"/>
      <w:b w:val="0"/>
      <w:bCs w:val="0"/>
      <w:color w:val="365F91" w:themeColor="accent1" w:themeShade="BF"/>
      <w:kern w:val="0"/>
      <w:sz w:val="32"/>
      <w:lang w:val="en-US" w:eastAsia="zh-TW"/>
    </w:rPr>
  </w:style>
  <w:style w:type="paragraph" w:styleId="21">
    <w:name w:val="toc 2"/>
    <w:basedOn w:val="a"/>
    <w:next w:val="a"/>
    <w:autoRedefine/>
    <w:uiPriority w:val="39"/>
    <w:unhideWhenUsed/>
    <w:rsid w:val="004F74F0"/>
    <w:pPr>
      <w:spacing w:after="100" w:line="259" w:lineRule="auto"/>
      <w:ind w:left="220"/>
    </w:pPr>
    <w:rPr>
      <w:sz w:val="22"/>
      <w:szCs w:val="22"/>
      <w:lang w:val="en-US" w:eastAsia="zh-TW"/>
    </w:rPr>
  </w:style>
  <w:style w:type="paragraph" w:styleId="11">
    <w:name w:val="toc 1"/>
    <w:basedOn w:val="a"/>
    <w:next w:val="a"/>
    <w:autoRedefine/>
    <w:uiPriority w:val="39"/>
    <w:unhideWhenUsed/>
    <w:rsid w:val="004F74F0"/>
    <w:pPr>
      <w:spacing w:after="100" w:line="259" w:lineRule="auto"/>
    </w:pPr>
    <w:rPr>
      <w:sz w:val="22"/>
      <w:szCs w:val="22"/>
      <w:lang w:val="en-US" w:eastAsia="zh-TW"/>
    </w:rPr>
  </w:style>
  <w:style w:type="paragraph" w:styleId="31">
    <w:name w:val="toc 3"/>
    <w:basedOn w:val="a"/>
    <w:next w:val="a"/>
    <w:autoRedefine/>
    <w:uiPriority w:val="39"/>
    <w:unhideWhenUsed/>
    <w:rsid w:val="004F74F0"/>
    <w:pPr>
      <w:spacing w:after="100" w:line="259" w:lineRule="auto"/>
      <w:ind w:left="440"/>
    </w:pPr>
    <w:rPr>
      <w:sz w:val="22"/>
      <w:szCs w:val="22"/>
      <w:lang w:val="en-US" w:eastAsia="zh-TW"/>
    </w:rPr>
  </w:style>
  <w:style w:type="paragraph" w:styleId="af6">
    <w:name w:val="List Paragraph"/>
    <w:basedOn w:val="a"/>
    <w:uiPriority w:val="34"/>
    <w:qFormat/>
    <w:rsid w:val="004F74F0"/>
    <w:pPr>
      <w:widowControl w:val="0"/>
      <w:spacing w:line="240" w:lineRule="auto"/>
      <w:ind w:leftChars="200" w:left="480"/>
    </w:pPr>
    <w:rPr>
      <w:rFonts w:cstheme="minorBidi"/>
      <w:kern w:val="2"/>
      <w:szCs w:val="22"/>
      <w:lang w:val="en-US" w:eastAsia="zh-TW"/>
    </w:rPr>
  </w:style>
  <w:style w:type="character" w:styleId="af7">
    <w:name w:val="page number"/>
    <w:basedOn w:val="a0"/>
    <w:rsid w:val="004F74F0"/>
  </w:style>
  <w:style w:type="character" w:styleId="af8">
    <w:name w:val="annotation reference"/>
    <w:basedOn w:val="a0"/>
    <w:uiPriority w:val="99"/>
    <w:semiHidden/>
    <w:unhideWhenUsed/>
    <w:rsid w:val="004F74F0"/>
    <w:rPr>
      <w:sz w:val="16"/>
      <w:szCs w:val="16"/>
    </w:rPr>
  </w:style>
  <w:style w:type="paragraph" w:styleId="af9">
    <w:name w:val="annotation text"/>
    <w:aliases w:val="字元"/>
    <w:basedOn w:val="a"/>
    <w:link w:val="afa"/>
    <w:uiPriority w:val="99"/>
    <w:unhideWhenUsed/>
    <w:rsid w:val="004F74F0"/>
    <w:pPr>
      <w:widowControl w:val="0"/>
      <w:spacing w:line="240" w:lineRule="auto"/>
    </w:pPr>
    <w:rPr>
      <w:rFonts w:cstheme="minorBidi"/>
      <w:kern w:val="2"/>
      <w:sz w:val="20"/>
      <w:szCs w:val="20"/>
      <w:lang w:val="en-US" w:eastAsia="zh-TW"/>
    </w:rPr>
  </w:style>
  <w:style w:type="character" w:customStyle="1" w:styleId="afa">
    <w:name w:val="註解文字 字元"/>
    <w:aliases w:val="字元 字元"/>
    <w:basedOn w:val="a0"/>
    <w:link w:val="af9"/>
    <w:uiPriority w:val="99"/>
    <w:rsid w:val="004F74F0"/>
    <w:rPr>
      <w:rFonts w:eastAsiaTheme="minorEastAsia" w:cstheme="minorBidi"/>
      <w:kern w:val="2"/>
      <w:lang w:val="en-US" w:eastAsia="zh-TW"/>
    </w:rPr>
  </w:style>
  <w:style w:type="paragraph" w:styleId="afb">
    <w:name w:val="annotation subject"/>
    <w:basedOn w:val="af9"/>
    <w:next w:val="af9"/>
    <w:link w:val="afc"/>
    <w:uiPriority w:val="99"/>
    <w:semiHidden/>
    <w:unhideWhenUsed/>
    <w:rsid w:val="004F74F0"/>
    <w:rPr>
      <w:b/>
      <w:bCs/>
    </w:rPr>
  </w:style>
  <w:style w:type="character" w:customStyle="1" w:styleId="afc">
    <w:name w:val="註解主旨 字元"/>
    <w:basedOn w:val="afa"/>
    <w:link w:val="afb"/>
    <w:uiPriority w:val="99"/>
    <w:semiHidden/>
    <w:rsid w:val="004F74F0"/>
    <w:rPr>
      <w:rFonts w:eastAsiaTheme="minorEastAsia" w:cstheme="minorBidi"/>
      <w:b/>
      <w:bCs/>
      <w:kern w:val="2"/>
      <w:lang w:val="en-US" w:eastAsia="zh-TW"/>
    </w:rPr>
  </w:style>
  <w:style w:type="character" w:styleId="afd">
    <w:name w:val="Hyperlink"/>
    <w:basedOn w:val="a0"/>
    <w:uiPriority w:val="99"/>
    <w:unhideWhenUsed/>
    <w:rsid w:val="004F74F0"/>
    <w:rPr>
      <w:color w:val="0000FF" w:themeColor="hyperlink"/>
      <w:u w:val="single"/>
    </w:rPr>
  </w:style>
  <w:style w:type="character" w:styleId="afe">
    <w:name w:val="FollowedHyperlink"/>
    <w:basedOn w:val="a0"/>
    <w:uiPriority w:val="99"/>
    <w:semiHidden/>
    <w:unhideWhenUsed/>
    <w:rsid w:val="004F74F0"/>
    <w:rPr>
      <w:color w:val="800080" w:themeColor="followedHyperlink"/>
      <w:u w:val="single"/>
    </w:rPr>
  </w:style>
  <w:style w:type="paragraph" w:styleId="aff">
    <w:name w:val="Document Map"/>
    <w:basedOn w:val="a"/>
    <w:link w:val="aff0"/>
    <w:uiPriority w:val="99"/>
    <w:semiHidden/>
    <w:unhideWhenUsed/>
    <w:rsid w:val="004F74F0"/>
    <w:pPr>
      <w:widowControl w:val="0"/>
      <w:spacing w:line="240" w:lineRule="auto"/>
    </w:pPr>
    <w:rPr>
      <w:kern w:val="2"/>
      <w:lang w:val="en-US" w:eastAsia="zh-TW"/>
    </w:rPr>
  </w:style>
  <w:style w:type="character" w:customStyle="1" w:styleId="aff0">
    <w:name w:val="文件引導模式 字元"/>
    <w:basedOn w:val="a0"/>
    <w:link w:val="aff"/>
    <w:uiPriority w:val="99"/>
    <w:semiHidden/>
    <w:rsid w:val="004F74F0"/>
    <w:rPr>
      <w:rFonts w:eastAsiaTheme="minorEastAsia"/>
      <w:kern w:val="2"/>
      <w:sz w:val="24"/>
      <w:szCs w:val="24"/>
      <w:lang w:val="en-US" w:eastAsia="zh-TW"/>
    </w:rPr>
  </w:style>
  <w:style w:type="character" w:customStyle="1" w:styleId="msocommenttext0">
    <w:name w:val="msocommenttext"/>
    <w:basedOn w:val="a0"/>
    <w:rsid w:val="004F74F0"/>
  </w:style>
  <w:style w:type="character" w:customStyle="1" w:styleId="paragraph0">
    <w:name w:val="paragraph"/>
    <w:basedOn w:val="a0"/>
    <w:rsid w:val="004F74F0"/>
  </w:style>
  <w:style w:type="paragraph" w:styleId="aff1">
    <w:name w:val="Revision"/>
    <w:hidden/>
    <w:uiPriority w:val="99"/>
    <w:semiHidden/>
    <w:rsid w:val="004F74F0"/>
    <w:rPr>
      <w:rFonts w:cstheme="minorBidi"/>
      <w:kern w:val="2"/>
      <w:sz w:val="24"/>
      <w:szCs w:val="22"/>
      <w:lang w:val="en-US" w:eastAsia="zh-TW"/>
    </w:rPr>
  </w:style>
  <w:style w:type="paragraph" w:customStyle="1" w:styleId="Scienpress">
    <w:name w:val="Scienpress"/>
    <w:basedOn w:val="aff2"/>
    <w:link w:val="ScienpressChar"/>
    <w:qFormat/>
    <w:rsid w:val="00A76D0D"/>
    <w:pPr>
      <w:autoSpaceDE w:val="0"/>
      <w:autoSpaceDN w:val="0"/>
      <w:adjustRightInd w:val="0"/>
      <w:spacing w:after="0" w:line="240" w:lineRule="auto"/>
      <w:jc w:val="both"/>
      <w:textAlignment w:val="bottom"/>
    </w:pPr>
    <w:rPr>
      <w:rFonts w:eastAsia="MS Mincho"/>
      <w:i/>
      <w:color w:val="000000"/>
      <w:lang w:val="en-US" w:eastAsia="ja-JP"/>
    </w:rPr>
  </w:style>
  <w:style w:type="character" w:customStyle="1" w:styleId="ScienpressChar">
    <w:name w:val="Scienpress Char"/>
    <w:basedOn w:val="aff3"/>
    <w:link w:val="Scienpress"/>
    <w:rsid w:val="00A76D0D"/>
    <w:rPr>
      <w:rFonts w:eastAsia="MS Mincho"/>
      <w:i/>
      <w:color w:val="000000"/>
      <w:sz w:val="24"/>
      <w:szCs w:val="24"/>
      <w:lang w:val="en-US" w:eastAsia="ja-JP"/>
    </w:rPr>
  </w:style>
  <w:style w:type="paragraph" w:styleId="aff2">
    <w:name w:val="Body Text"/>
    <w:basedOn w:val="a"/>
    <w:link w:val="aff3"/>
    <w:unhideWhenUsed/>
    <w:rsid w:val="00A76D0D"/>
    <w:pPr>
      <w:spacing w:after="120"/>
    </w:pPr>
  </w:style>
  <w:style w:type="character" w:customStyle="1" w:styleId="aff3">
    <w:name w:val="本文 字元"/>
    <w:basedOn w:val="a0"/>
    <w:link w:val="aff2"/>
    <w:rsid w:val="00A76D0D"/>
    <w:rPr>
      <w:sz w:val="24"/>
      <w:szCs w:val="24"/>
    </w:rPr>
  </w:style>
  <w:style w:type="paragraph" w:customStyle="1" w:styleId="Titleofpaper-line1">
    <w:name w:val="Title of paper-line 1"/>
    <w:basedOn w:val="aff2"/>
    <w:link w:val="Titleofpaper-line1Char"/>
    <w:qFormat/>
    <w:rsid w:val="002C567F"/>
    <w:pPr>
      <w:autoSpaceDE w:val="0"/>
      <w:autoSpaceDN w:val="0"/>
      <w:adjustRightInd w:val="0"/>
      <w:spacing w:after="0" w:line="240" w:lineRule="auto"/>
      <w:jc w:val="center"/>
      <w:textAlignment w:val="bottom"/>
    </w:pPr>
    <w:rPr>
      <w:rFonts w:eastAsia="新細明體"/>
      <w:b/>
      <w:color w:val="000000"/>
      <w:sz w:val="36"/>
      <w:szCs w:val="36"/>
      <w:lang w:val="bg-BG" w:eastAsia="zh-TW"/>
    </w:rPr>
  </w:style>
  <w:style w:type="character" w:customStyle="1" w:styleId="Titleofpaper-line1Char">
    <w:name w:val="Title of paper-line 1 Char"/>
    <w:link w:val="Titleofpaper-line1"/>
    <w:rsid w:val="002C567F"/>
    <w:rPr>
      <w:rFonts w:eastAsia="新細明體"/>
      <w:b/>
      <w:color w:val="000000"/>
      <w:sz w:val="36"/>
      <w:szCs w:val="36"/>
      <w:lang w:val="bg-BG" w:eastAsia="zh-TW"/>
    </w:rPr>
  </w:style>
  <w:style w:type="paragraph" w:customStyle="1" w:styleId="Authors">
    <w:name w:val="Authors"/>
    <w:basedOn w:val="a"/>
    <w:link w:val="AuthorsChar"/>
    <w:qFormat/>
    <w:rsid w:val="00EE2043"/>
    <w:pPr>
      <w:autoSpaceDE w:val="0"/>
      <w:autoSpaceDN w:val="0"/>
      <w:adjustRightInd w:val="0"/>
      <w:spacing w:line="240" w:lineRule="auto"/>
      <w:jc w:val="center"/>
      <w:textAlignment w:val="bottom"/>
    </w:pPr>
    <w:rPr>
      <w:rFonts w:eastAsia="新細明體"/>
      <w:b/>
      <w:color w:val="000000"/>
      <w:szCs w:val="18"/>
      <w:lang w:val="en-US" w:eastAsia="zh-TW"/>
    </w:rPr>
  </w:style>
  <w:style w:type="character" w:customStyle="1" w:styleId="AuthorsChar">
    <w:name w:val="Authors Char"/>
    <w:link w:val="Authors"/>
    <w:rsid w:val="00EE2043"/>
    <w:rPr>
      <w:rFonts w:eastAsia="新細明體"/>
      <w:b/>
      <w:color w:val="000000"/>
      <w:sz w:val="24"/>
      <w:szCs w:val="18"/>
      <w:lang w:val="en-US" w:eastAsia="zh-TW"/>
    </w:rPr>
  </w:style>
  <w:style w:type="character" w:customStyle="1" w:styleId="AbstractChar">
    <w:name w:val="Abstract Char"/>
    <w:link w:val="Abstract"/>
    <w:rsid w:val="00D70C13"/>
    <w:rPr>
      <w:sz w:val="22"/>
      <w:szCs w:val="24"/>
    </w:rPr>
  </w:style>
  <w:style w:type="paragraph" w:customStyle="1" w:styleId="Abstracttext">
    <w:name w:val="Abstract text"/>
    <w:basedOn w:val="a"/>
    <w:link w:val="AbstracttextChar"/>
    <w:qFormat/>
    <w:rsid w:val="0000220B"/>
    <w:pPr>
      <w:widowControl w:val="0"/>
      <w:adjustRightInd w:val="0"/>
      <w:spacing w:line="240" w:lineRule="auto"/>
      <w:jc w:val="both"/>
      <w:textAlignment w:val="baseline"/>
    </w:pPr>
    <w:rPr>
      <w:rFonts w:eastAsia="新細明體"/>
      <w:color w:val="000000"/>
      <w:lang w:val="en-US" w:eastAsia="zh-TW"/>
    </w:rPr>
  </w:style>
  <w:style w:type="character" w:customStyle="1" w:styleId="AbstracttextChar">
    <w:name w:val="Abstract text Char"/>
    <w:link w:val="Abstracttext"/>
    <w:rsid w:val="0000220B"/>
    <w:rPr>
      <w:rFonts w:eastAsia="新細明體"/>
      <w:color w:val="000000"/>
      <w:sz w:val="24"/>
      <w:szCs w:val="24"/>
      <w:lang w:val="en-US" w:eastAsia="zh-TW"/>
    </w:rPr>
  </w:style>
  <w:style w:type="paragraph" w:customStyle="1" w:styleId="HeadingNumbering1">
    <w:name w:val="Heading Numbering 1"/>
    <w:basedOn w:val="a"/>
    <w:link w:val="HeadingNumbering1Char"/>
    <w:qFormat/>
    <w:rsid w:val="007F7689"/>
    <w:pPr>
      <w:widowControl w:val="0"/>
      <w:numPr>
        <w:numId w:val="4"/>
      </w:numPr>
      <w:adjustRightInd w:val="0"/>
      <w:spacing w:line="276" w:lineRule="auto"/>
      <w:jc w:val="both"/>
      <w:textAlignment w:val="baseline"/>
    </w:pPr>
    <w:rPr>
      <w:rFonts w:eastAsia="新細明體"/>
      <w:b/>
      <w:sz w:val="30"/>
      <w:szCs w:val="30"/>
      <w:lang w:val="en-US" w:eastAsia="zh-TW"/>
    </w:rPr>
  </w:style>
  <w:style w:type="paragraph" w:customStyle="1" w:styleId="HeadingNumbering2">
    <w:name w:val="Heading Numbering 2"/>
    <w:basedOn w:val="HeadingNumbering1"/>
    <w:qFormat/>
    <w:rsid w:val="007F7689"/>
    <w:pPr>
      <w:numPr>
        <w:ilvl w:val="1"/>
      </w:numPr>
      <w:ind w:left="720" w:hanging="360"/>
    </w:pPr>
    <w:rPr>
      <w:sz w:val="24"/>
    </w:rPr>
  </w:style>
  <w:style w:type="character" w:customStyle="1" w:styleId="HeadingNumbering1Char">
    <w:name w:val="Heading Numbering 1 Char"/>
    <w:link w:val="HeadingNumbering1"/>
    <w:rsid w:val="007F7689"/>
    <w:rPr>
      <w:rFonts w:eastAsia="新細明體"/>
      <w:b/>
      <w:sz w:val="30"/>
      <w:szCs w:val="30"/>
      <w:lang w:val="en-US" w:eastAsia="zh-TW"/>
    </w:rPr>
  </w:style>
  <w:style w:type="paragraph" w:customStyle="1" w:styleId="HeadingNumbering3">
    <w:name w:val="Heading Numbering 3"/>
    <w:basedOn w:val="HeadingNumbering1"/>
    <w:qFormat/>
    <w:rsid w:val="007F7689"/>
    <w:pPr>
      <w:numPr>
        <w:ilvl w:val="2"/>
      </w:numPr>
      <w:ind w:left="720" w:hanging="180"/>
    </w:pPr>
    <w:rPr>
      <w:sz w:val="24"/>
    </w:rPr>
  </w:style>
  <w:style w:type="paragraph" w:customStyle="1" w:styleId="Detailsforauthors">
    <w:name w:val="Details for authors"/>
    <w:basedOn w:val="a4"/>
    <w:link w:val="DetailsforauthorsChar"/>
    <w:qFormat/>
    <w:rsid w:val="00C13C1D"/>
    <w:pPr>
      <w:widowControl w:val="0"/>
      <w:adjustRightInd w:val="0"/>
      <w:snapToGrid w:val="0"/>
      <w:ind w:left="0" w:firstLine="0"/>
      <w:jc w:val="left"/>
      <w:textAlignment w:val="baseline"/>
    </w:pPr>
    <w:rPr>
      <w:rFonts w:eastAsia="新細明體"/>
      <w:lang w:val="en-US" w:eastAsia="zh-TW"/>
    </w:rPr>
  </w:style>
  <w:style w:type="character" w:customStyle="1" w:styleId="DetailsforauthorsChar">
    <w:name w:val="Details for authors Char"/>
    <w:basedOn w:val="a5"/>
    <w:link w:val="Detailsforauthors"/>
    <w:rsid w:val="00C13C1D"/>
    <w:rPr>
      <w:rFonts w:eastAsia="新細明體"/>
      <w:sz w:val="22"/>
      <w:lang w:val="en-US" w:eastAsia="zh-TW"/>
    </w:rPr>
  </w:style>
  <w:style w:type="paragraph" w:customStyle="1" w:styleId="ReferencesText">
    <w:name w:val="References Text"/>
    <w:basedOn w:val="a"/>
    <w:qFormat/>
    <w:rsid w:val="003F0543"/>
    <w:pPr>
      <w:numPr>
        <w:numId w:val="1"/>
      </w:numPr>
      <w:autoSpaceDE w:val="0"/>
      <w:autoSpaceDN w:val="0"/>
      <w:adjustRightInd w:val="0"/>
      <w:spacing w:line="240" w:lineRule="auto"/>
      <w:jc w:val="both"/>
      <w:textAlignment w:val="bottom"/>
    </w:pPr>
    <w:rPr>
      <w:rFonts w:eastAsia="標楷體"/>
      <w:color w:val="000000"/>
      <w:lang w:val="en-US" w:eastAsia="zh-TW"/>
    </w:rPr>
  </w:style>
  <w:style w:type="paragraph" w:customStyle="1" w:styleId="Referencestitle">
    <w:name w:val="References title"/>
    <w:basedOn w:val="a"/>
    <w:link w:val="ReferencestitleChar"/>
    <w:qFormat/>
    <w:rsid w:val="003F0543"/>
    <w:pPr>
      <w:autoSpaceDE w:val="0"/>
      <w:autoSpaceDN w:val="0"/>
      <w:adjustRightInd w:val="0"/>
      <w:spacing w:line="276" w:lineRule="auto"/>
      <w:jc w:val="both"/>
      <w:textAlignment w:val="bottom"/>
    </w:pPr>
    <w:rPr>
      <w:rFonts w:eastAsia="新細明體"/>
      <w:b/>
      <w:color w:val="000000"/>
      <w:sz w:val="30"/>
      <w:szCs w:val="30"/>
      <w:lang w:val="en-US" w:eastAsia="zh-TW"/>
    </w:rPr>
  </w:style>
  <w:style w:type="character" w:customStyle="1" w:styleId="ReferencestitleChar">
    <w:name w:val="References title Char"/>
    <w:basedOn w:val="a0"/>
    <w:link w:val="Referencestitle"/>
    <w:rsid w:val="003F0543"/>
    <w:rPr>
      <w:rFonts w:eastAsia="新細明體"/>
      <w:b/>
      <w:color w:val="000000"/>
      <w:sz w:val="30"/>
      <w:szCs w:val="30"/>
      <w:lang w:val="en-US" w:eastAsia="zh-TW"/>
    </w:rPr>
  </w:style>
  <w:style w:type="paragraph" w:customStyle="1" w:styleId="Figure">
    <w:name w:val="Figure"/>
    <w:basedOn w:val="aff4"/>
    <w:link w:val="FigureChar"/>
    <w:qFormat/>
    <w:rsid w:val="0036732B"/>
    <w:pPr>
      <w:widowControl w:val="0"/>
      <w:adjustRightInd w:val="0"/>
      <w:spacing w:before="120" w:after="120" w:line="240" w:lineRule="auto"/>
      <w:jc w:val="center"/>
      <w:textAlignment w:val="baseline"/>
    </w:pPr>
    <w:rPr>
      <w:rFonts w:eastAsia="新細明體"/>
      <w:b/>
      <w:bCs/>
      <w:sz w:val="24"/>
      <w:lang w:val="en-US" w:eastAsia="zh-TW"/>
    </w:rPr>
  </w:style>
  <w:style w:type="character" w:customStyle="1" w:styleId="FigureChar">
    <w:name w:val="Figure Char"/>
    <w:basedOn w:val="a0"/>
    <w:link w:val="Figure"/>
    <w:rsid w:val="0036732B"/>
    <w:rPr>
      <w:rFonts w:eastAsia="新細明體"/>
      <w:b/>
      <w:bCs/>
      <w:sz w:val="24"/>
      <w:lang w:val="en-US" w:eastAsia="zh-TW"/>
    </w:rPr>
  </w:style>
  <w:style w:type="paragraph" w:styleId="aff4">
    <w:name w:val="caption"/>
    <w:basedOn w:val="a"/>
    <w:next w:val="a"/>
    <w:semiHidden/>
    <w:unhideWhenUsed/>
    <w:rsid w:val="0036732B"/>
    <w:rPr>
      <w:sz w:val="20"/>
      <w:szCs w:val="20"/>
    </w:rPr>
  </w:style>
  <w:style w:type="character" w:customStyle="1" w:styleId="TabletitleChar">
    <w:name w:val="Table title Char"/>
    <w:basedOn w:val="a0"/>
    <w:link w:val="Tabletitle"/>
    <w:rsid w:val="00DE2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c\Downloads\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26519;&#24544;&#20740;\&#20445;&#38570;&#36039;&#26009;\eff_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26519;&#24544;&#20740;\&#20445;&#38570;&#36039;&#26009;\eff_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26519;&#24544;&#20740;\&#20445;&#38570;&#36039;&#26009;\eff_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TW" sz="1200" b="0" i="0" u="none" strike="noStrike" baseline="0">
                <a:effectLst/>
                <a:latin typeface="Times New Roman" panose="02020603050405020304" pitchFamily="18" charset="0"/>
                <a:ea typeface="標楷體" panose="03000509000000000000" pitchFamily="65" charset="-120"/>
                <a:cs typeface="Times New Roman" panose="02020603050405020304" pitchFamily="18" charset="0"/>
              </a:rPr>
              <a:t>DEA</a:t>
            </a:r>
            <a:r>
              <a:rPr lang="zh-TW" altLang="en-US" sz="1200" b="0" i="0" u="none" strike="noStrike" baseline="0">
                <a:effectLst/>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200" b="0" i="0" u="none" strike="noStrike" baseline="0">
                <a:effectLst/>
                <a:latin typeface="Times New Roman" panose="02020603050405020304" pitchFamily="18" charset="0"/>
                <a:ea typeface="標楷體" panose="03000509000000000000" pitchFamily="65" charset="-120"/>
                <a:cs typeface="Times New Roman" panose="02020603050405020304" pitchFamily="18" charset="0"/>
              </a:rPr>
              <a:t>efficiency scores</a:t>
            </a:r>
            <a:endParaRPr lang="zh-TW" altLang="en-US" sz="1200">
              <a:latin typeface="Times New Roman" panose="02020603050405020304" pitchFamily="18" charset="0"/>
              <a:ea typeface="標楷體" panose="03000509000000000000" pitchFamily="65" charset="-12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title>
    <c:autoTitleDeleted val="0"/>
    <c:plotArea>
      <c:layout/>
      <c:scatterChart>
        <c:scatterStyle val="lineMarker"/>
        <c:varyColors val="0"/>
        <c:ser>
          <c:idx val="0"/>
          <c:order val="0"/>
          <c:tx>
            <c:strRef>
              <c:f>所有資料!$Q$1</c:f>
              <c:strCache>
                <c:ptCount val="1"/>
                <c:pt idx="0">
                  <c:v>Bias-corrected efficiency score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所有資料!$P$2:$P$10</c:f>
              <c:numCache>
                <c:formatCode>General</c:formatCode>
                <c:ptCount val="9"/>
                <c:pt idx="0">
                  <c:v>2009</c:v>
                </c:pt>
                <c:pt idx="1">
                  <c:v>2010</c:v>
                </c:pt>
                <c:pt idx="2">
                  <c:v>2011</c:v>
                </c:pt>
                <c:pt idx="3">
                  <c:v>2012</c:v>
                </c:pt>
                <c:pt idx="4">
                  <c:v>2013</c:v>
                </c:pt>
                <c:pt idx="5">
                  <c:v>2014</c:v>
                </c:pt>
                <c:pt idx="6">
                  <c:v>2015</c:v>
                </c:pt>
                <c:pt idx="7">
                  <c:v>2016</c:v>
                </c:pt>
                <c:pt idx="8">
                  <c:v>2017</c:v>
                </c:pt>
              </c:numCache>
            </c:numRef>
          </c:xVal>
          <c:yVal>
            <c:numRef>
              <c:f>所有資料!$Q$2:$Q$10</c:f>
              <c:numCache>
                <c:formatCode>0.00_ </c:formatCode>
                <c:ptCount val="9"/>
                <c:pt idx="0">
                  <c:v>0.86597791066666663</c:v>
                </c:pt>
                <c:pt idx="1">
                  <c:v>0.87468697599999978</c:v>
                </c:pt>
                <c:pt idx="2">
                  <c:v>0.8835781452941176</c:v>
                </c:pt>
                <c:pt idx="3">
                  <c:v>0.87824675785714312</c:v>
                </c:pt>
                <c:pt idx="4">
                  <c:v>0.86818221159999998</c:v>
                </c:pt>
                <c:pt idx="5">
                  <c:v>0.88199103869565221</c:v>
                </c:pt>
                <c:pt idx="6">
                  <c:v>0.88448593434782596</c:v>
                </c:pt>
                <c:pt idx="7">
                  <c:v>0.89220900136363646</c:v>
                </c:pt>
                <c:pt idx="8">
                  <c:v>0.88475661714285725</c:v>
                </c:pt>
              </c:numCache>
            </c:numRef>
          </c:yVal>
          <c:smooth val="0"/>
          <c:extLst>
            <c:ext xmlns:c16="http://schemas.microsoft.com/office/drawing/2014/chart" uri="{C3380CC4-5D6E-409C-BE32-E72D297353CC}">
              <c16:uniqueId val="{00000000-B752-4C5E-8309-8F3CEC390167}"/>
            </c:ext>
          </c:extLst>
        </c:ser>
        <c:ser>
          <c:idx val="1"/>
          <c:order val="1"/>
          <c:tx>
            <c:strRef>
              <c:f>所有資料!$R$1</c:f>
              <c:strCache>
                <c:ptCount val="1"/>
                <c:pt idx="0">
                  <c:v>Convetional DEA efficiency score</c:v>
                </c:pt>
              </c:strCache>
            </c:strRef>
          </c:tx>
          <c:spPr>
            <a:ln w="19050" cap="rnd">
              <a:solidFill>
                <a:schemeClr val="accent2"/>
              </a:solidFill>
              <a:round/>
            </a:ln>
            <a:effectLst/>
          </c:spPr>
          <c:marker>
            <c:symbol val="triangle"/>
            <c:size val="5"/>
            <c:spPr>
              <a:solidFill>
                <a:schemeClr val="accent2"/>
              </a:solidFill>
              <a:ln w="9525">
                <a:solidFill>
                  <a:schemeClr val="accent2"/>
                </a:solidFill>
              </a:ln>
              <a:effectLst/>
            </c:spPr>
          </c:marker>
          <c:dPt>
            <c:idx val="6"/>
            <c:marker>
              <c:symbol val="triangle"/>
              <c:size val="5"/>
              <c:spPr>
                <a:solidFill>
                  <a:schemeClr val="accent2"/>
                </a:solidFill>
                <a:ln w="9525">
                  <a:solidFill>
                    <a:schemeClr val="accent2"/>
                  </a:solidFill>
                </a:ln>
                <a:effectLst/>
              </c:spPr>
            </c:marker>
            <c:bubble3D val="0"/>
            <c:spPr>
              <a:ln w="19050" cap="rnd">
                <a:solidFill>
                  <a:schemeClr val="accent2"/>
                </a:solidFill>
                <a:bevel/>
              </a:ln>
              <a:effectLst/>
            </c:spPr>
            <c:extLst>
              <c:ext xmlns:c16="http://schemas.microsoft.com/office/drawing/2014/chart" uri="{C3380CC4-5D6E-409C-BE32-E72D297353CC}">
                <c16:uniqueId val="{00000002-B752-4C5E-8309-8F3CEC390167}"/>
              </c:ext>
            </c:extLst>
          </c:dPt>
          <c:xVal>
            <c:numRef>
              <c:f>所有資料!$P$2:$P$10</c:f>
              <c:numCache>
                <c:formatCode>General</c:formatCode>
                <c:ptCount val="9"/>
                <c:pt idx="0">
                  <c:v>2009</c:v>
                </c:pt>
                <c:pt idx="1">
                  <c:v>2010</c:v>
                </c:pt>
                <c:pt idx="2">
                  <c:v>2011</c:v>
                </c:pt>
                <c:pt idx="3">
                  <c:v>2012</c:v>
                </c:pt>
                <c:pt idx="4">
                  <c:v>2013</c:v>
                </c:pt>
                <c:pt idx="5">
                  <c:v>2014</c:v>
                </c:pt>
                <c:pt idx="6">
                  <c:v>2015</c:v>
                </c:pt>
                <c:pt idx="7">
                  <c:v>2016</c:v>
                </c:pt>
                <c:pt idx="8">
                  <c:v>2017</c:v>
                </c:pt>
              </c:numCache>
            </c:numRef>
          </c:xVal>
          <c:yVal>
            <c:numRef>
              <c:f>所有資料!$R$2:$R$10</c:f>
              <c:numCache>
                <c:formatCode>0.00_ </c:formatCode>
                <c:ptCount val="9"/>
                <c:pt idx="0">
                  <c:v>0.89283670666666692</c:v>
                </c:pt>
                <c:pt idx="1">
                  <c:v>0.89338912666666681</c:v>
                </c:pt>
                <c:pt idx="2">
                  <c:v>0.90817177058823528</c:v>
                </c:pt>
                <c:pt idx="3">
                  <c:v>0.90761533571428565</c:v>
                </c:pt>
                <c:pt idx="4">
                  <c:v>0.9022845719999999</c:v>
                </c:pt>
                <c:pt idx="5">
                  <c:v>0.90303839130434793</c:v>
                </c:pt>
                <c:pt idx="6">
                  <c:v>0.90982886086956527</c:v>
                </c:pt>
                <c:pt idx="7">
                  <c:v>0.92076965454545467</c:v>
                </c:pt>
                <c:pt idx="8">
                  <c:v>0.91577446666666651</c:v>
                </c:pt>
              </c:numCache>
            </c:numRef>
          </c:yVal>
          <c:smooth val="0"/>
          <c:extLst>
            <c:ext xmlns:c16="http://schemas.microsoft.com/office/drawing/2014/chart" uri="{C3380CC4-5D6E-409C-BE32-E72D297353CC}">
              <c16:uniqueId val="{00000003-B752-4C5E-8309-8F3CEC390167}"/>
            </c:ext>
          </c:extLst>
        </c:ser>
        <c:dLbls>
          <c:showLegendKey val="0"/>
          <c:showVal val="0"/>
          <c:showCatName val="0"/>
          <c:showSerName val="0"/>
          <c:showPercent val="0"/>
          <c:showBubbleSize val="0"/>
        </c:dLbls>
        <c:axId val="469037408"/>
        <c:axId val="469038192"/>
      </c:scatterChart>
      <c:valAx>
        <c:axId val="469037408"/>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469038192"/>
        <c:crosses val="autoZero"/>
        <c:crossBetween val="midCat"/>
      </c:valAx>
      <c:valAx>
        <c:axId val="469038192"/>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00_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46903740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200">
                <a:latin typeface="Times New Roman" panose="02020603050405020304" pitchFamily="18" charset="0"/>
                <a:ea typeface="標楷體" panose="03000509000000000000" pitchFamily="65" charset="-120"/>
                <a:cs typeface="Times New Roman" panose="02020603050405020304" pitchFamily="18" charset="0"/>
              </a:rPr>
              <a:t>FHCs</a:t>
            </a:r>
            <a:r>
              <a:rPr lang="zh-TW" altLang="en-US" sz="1200">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200">
                <a:latin typeface="Times New Roman" panose="02020603050405020304" pitchFamily="18" charset="0"/>
                <a:ea typeface="標楷體" panose="03000509000000000000" pitchFamily="65" charset="-120"/>
                <a:cs typeface="Times New Roman" panose="02020603050405020304" pitchFamily="18" charset="0"/>
              </a:rPr>
              <a:t>vs. non-FHCs</a:t>
            </a:r>
            <a:endParaRPr lang="zh-TW" altLang="en-US" sz="1200">
              <a:latin typeface="Times New Roman" panose="02020603050405020304" pitchFamily="18" charset="0"/>
              <a:ea typeface="標楷體" panose="03000509000000000000" pitchFamily="65" charset="-12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scatterChart>
        <c:scatterStyle val="lineMarker"/>
        <c:varyColors val="0"/>
        <c:ser>
          <c:idx val="0"/>
          <c:order val="0"/>
          <c:tx>
            <c:strRef>
              <c:f>金控與否資料!$G$1</c:f>
              <c:strCache>
                <c:ptCount val="1"/>
                <c:pt idx="0">
                  <c:v>FHCs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金控與否資料!$F$2:$F$10</c:f>
              <c:numCache>
                <c:formatCode>General</c:formatCode>
                <c:ptCount val="9"/>
                <c:pt idx="0">
                  <c:v>2009</c:v>
                </c:pt>
                <c:pt idx="1">
                  <c:v>2010</c:v>
                </c:pt>
                <c:pt idx="2">
                  <c:v>2011</c:v>
                </c:pt>
                <c:pt idx="3">
                  <c:v>2012</c:v>
                </c:pt>
                <c:pt idx="4">
                  <c:v>2013</c:v>
                </c:pt>
                <c:pt idx="5">
                  <c:v>2014</c:v>
                </c:pt>
                <c:pt idx="6">
                  <c:v>2015</c:v>
                </c:pt>
                <c:pt idx="7">
                  <c:v>2016</c:v>
                </c:pt>
                <c:pt idx="8">
                  <c:v>2017</c:v>
                </c:pt>
              </c:numCache>
            </c:numRef>
          </c:xVal>
          <c:yVal>
            <c:numRef>
              <c:f>金控與否資料!$G$2:$G$10</c:f>
              <c:numCache>
                <c:formatCode>0.00_ </c:formatCode>
                <c:ptCount val="9"/>
                <c:pt idx="0">
                  <c:v>0.80494838999999996</c:v>
                </c:pt>
                <c:pt idx="1">
                  <c:v>0.82171829666666663</c:v>
                </c:pt>
                <c:pt idx="2">
                  <c:v>0.86042550600000001</c:v>
                </c:pt>
                <c:pt idx="3">
                  <c:v>0.88265291499999998</c:v>
                </c:pt>
                <c:pt idx="4">
                  <c:v>0.87378292374999988</c:v>
                </c:pt>
                <c:pt idx="5">
                  <c:v>0.88837121500000016</c:v>
                </c:pt>
                <c:pt idx="6">
                  <c:v>0.89812409125000003</c:v>
                </c:pt>
                <c:pt idx="7">
                  <c:v>0.91244773624999997</c:v>
                </c:pt>
                <c:pt idx="8">
                  <c:v>0.9119711989999999</c:v>
                </c:pt>
              </c:numCache>
            </c:numRef>
          </c:yVal>
          <c:smooth val="0"/>
          <c:extLst>
            <c:ext xmlns:c16="http://schemas.microsoft.com/office/drawing/2014/chart" uri="{C3380CC4-5D6E-409C-BE32-E72D297353CC}">
              <c16:uniqueId val="{00000000-C3E5-4B0E-B079-6770FEBD9BB1}"/>
            </c:ext>
          </c:extLst>
        </c:ser>
        <c:ser>
          <c:idx val="1"/>
          <c:order val="1"/>
          <c:tx>
            <c:strRef>
              <c:f>金控與否資料!$H$1</c:f>
              <c:strCache>
                <c:ptCount val="1"/>
                <c:pt idx="0">
                  <c:v>Non-FHCs</c:v>
                </c:pt>
              </c:strCache>
            </c:strRef>
          </c:tx>
          <c:spPr>
            <a:ln w="19050" cap="rnd">
              <a:solidFill>
                <a:schemeClr val="accent2"/>
              </a:solidFill>
              <a:round/>
            </a:ln>
            <a:effectLst/>
          </c:spPr>
          <c:marker>
            <c:symbol val="triangle"/>
            <c:size val="5"/>
            <c:spPr>
              <a:solidFill>
                <a:schemeClr val="accent2"/>
              </a:solidFill>
              <a:ln w="9525">
                <a:solidFill>
                  <a:schemeClr val="accent2"/>
                </a:solidFill>
              </a:ln>
              <a:effectLst/>
            </c:spPr>
          </c:marker>
          <c:xVal>
            <c:numRef>
              <c:f>金控與否資料!$F$2:$F$10</c:f>
              <c:numCache>
                <c:formatCode>General</c:formatCode>
                <c:ptCount val="9"/>
                <c:pt idx="0">
                  <c:v>2009</c:v>
                </c:pt>
                <c:pt idx="1">
                  <c:v>2010</c:v>
                </c:pt>
                <c:pt idx="2">
                  <c:v>2011</c:v>
                </c:pt>
                <c:pt idx="3">
                  <c:v>2012</c:v>
                </c:pt>
                <c:pt idx="4">
                  <c:v>2013</c:v>
                </c:pt>
                <c:pt idx="5">
                  <c:v>2014</c:v>
                </c:pt>
                <c:pt idx="6">
                  <c:v>2015</c:v>
                </c:pt>
                <c:pt idx="7">
                  <c:v>2016</c:v>
                </c:pt>
                <c:pt idx="8">
                  <c:v>2017</c:v>
                </c:pt>
              </c:numCache>
            </c:numRef>
          </c:xVal>
          <c:yVal>
            <c:numRef>
              <c:f>金控與否資料!$H$2:$H$10</c:f>
              <c:numCache>
                <c:formatCode>0.00_ </c:formatCode>
                <c:ptCount val="9"/>
                <c:pt idx="0">
                  <c:v>0.88123529083333352</c:v>
                </c:pt>
                <c:pt idx="1">
                  <c:v>0.88792914583333327</c:v>
                </c:pt>
                <c:pt idx="2">
                  <c:v>0.89322507833333331</c:v>
                </c:pt>
                <c:pt idx="3">
                  <c:v>0.87648429500000025</c:v>
                </c:pt>
                <c:pt idx="4">
                  <c:v>0.86554658235294135</c:v>
                </c:pt>
                <c:pt idx="5">
                  <c:v>0.87858827799999994</c:v>
                </c:pt>
                <c:pt idx="6">
                  <c:v>0.87721225066666664</c:v>
                </c:pt>
                <c:pt idx="7">
                  <c:v>0.88064401000000003</c:v>
                </c:pt>
                <c:pt idx="8">
                  <c:v>0.86001608818181807</c:v>
                </c:pt>
              </c:numCache>
            </c:numRef>
          </c:yVal>
          <c:smooth val="0"/>
          <c:extLst>
            <c:ext xmlns:c16="http://schemas.microsoft.com/office/drawing/2014/chart" uri="{C3380CC4-5D6E-409C-BE32-E72D297353CC}">
              <c16:uniqueId val="{00000001-C3E5-4B0E-B079-6770FEBD9BB1}"/>
            </c:ext>
          </c:extLst>
        </c:ser>
        <c:dLbls>
          <c:showLegendKey val="0"/>
          <c:showVal val="0"/>
          <c:showCatName val="0"/>
          <c:showSerName val="0"/>
          <c:showPercent val="0"/>
          <c:showBubbleSize val="0"/>
        </c:dLbls>
        <c:axId val="469038976"/>
        <c:axId val="431335576"/>
      </c:scatterChart>
      <c:valAx>
        <c:axId val="469038976"/>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431335576"/>
        <c:crosses val="autoZero"/>
        <c:crossBetween val="midCat"/>
      </c:valAx>
      <c:valAx>
        <c:axId val="431335576"/>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00_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4690389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200">
                <a:latin typeface="Times New Roman" panose="02020603050405020304" pitchFamily="18" charset="0"/>
                <a:ea typeface="標楷體" panose="03000509000000000000" pitchFamily="65" charset="-120"/>
                <a:cs typeface="Times New Roman" panose="02020603050405020304" pitchFamily="18" charset="0"/>
              </a:rPr>
              <a:t>Domestic</a:t>
            </a:r>
            <a:r>
              <a:rPr lang="zh-TW" altLang="en-US" sz="1200">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200">
                <a:latin typeface="Times New Roman" panose="02020603050405020304" pitchFamily="18" charset="0"/>
                <a:ea typeface="標楷體" panose="03000509000000000000" pitchFamily="65" charset="-120"/>
                <a:cs typeface="Times New Roman" panose="02020603050405020304" pitchFamily="18" charset="0"/>
              </a:rPr>
              <a:t>vs.</a:t>
            </a:r>
            <a:r>
              <a:rPr lang="zh-TW" altLang="en-US" sz="1200">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200">
                <a:latin typeface="Times New Roman" panose="02020603050405020304" pitchFamily="18" charset="0"/>
                <a:ea typeface="標楷體" panose="03000509000000000000" pitchFamily="65" charset="-120"/>
                <a:cs typeface="Times New Roman" panose="02020603050405020304" pitchFamily="18" charset="0"/>
              </a:rPr>
              <a:t>Foreign</a:t>
            </a:r>
            <a:endParaRPr lang="zh-TW" altLang="en-US" sz="1200">
              <a:latin typeface="Times New Roman" panose="02020603050405020304" pitchFamily="18" charset="0"/>
              <a:ea typeface="標楷體" panose="03000509000000000000" pitchFamily="65" charset="-12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scatterChart>
        <c:scatterStyle val="lineMarker"/>
        <c:varyColors val="0"/>
        <c:ser>
          <c:idx val="0"/>
          <c:order val="0"/>
          <c:tx>
            <c:strRef>
              <c:f>本國與否資料!$G$1</c:f>
              <c:strCache>
                <c:ptCount val="1"/>
                <c:pt idx="0">
                  <c:v>Domestic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本國與否資料!$F$2:$F$10</c:f>
              <c:numCache>
                <c:formatCode>General</c:formatCode>
                <c:ptCount val="9"/>
                <c:pt idx="0">
                  <c:v>2009</c:v>
                </c:pt>
                <c:pt idx="1">
                  <c:v>2010</c:v>
                </c:pt>
                <c:pt idx="2">
                  <c:v>2011</c:v>
                </c:pt>
                <c:pt idx="3">
                  <c:v>2012</c:v>
                </c:pt>
                <c:pt idx="4">
                  <c:v>2013</c:v>
                </c:pt>
                <c:pt idx="5">
                  <c:v>2014</c:v>
                </c:pt>
                <c:pt idx="6">
                  <c:v>2015</c:v>
                </c:pt>
                <c:pt idx="7">
                  <c:v>2016</c:v>
                </c:pt>
                <c:pt idx="8">
                  <c:v>2017</c:v>
                </c:pt>
              </c:numCache>
            </c:numRef>
          </c:xVal>
          <c:yVal>
            <c:numRef>
              <c:f>本國與否資料!$G$2:$G$10</c:f>
              <c:numCache>
                <c:formatCode>0.00_ </c:formatCode>
                <c:ptCount val="9"/>
                <c:pt idx="0">
                  <c:v>0.84763537833333336</c:v>
                </c:pt>
                <c:pt idx="1">
                  <c:v>0.85734172666666664</c:v>
                </c:pt>
                <c:pt idx="2">
                  <c:v>0.874944852142857</c:v>
                </c:pt>
                <c:pt idx="3">
                  <c:v>0.88288177526315792</c:v>
                </c:pt>
                <c:pt idx="4">
                  <c:v>0.88357710000000012</c:v>
                </c:pt>
                <c:pt idx="5">
                  <c:v>0.89677005249999997</c:v>
                </c:pt>
                <c:pt idx="6">
                  <c:v>0.90225496937499994</c:v>
                </c:pt>
                <c:pt idx="7">
                  <c:v>0.91750601533333331</c:v>
                </c:pt>
                <c:pt idx="8">
                  <c:v>0.91147700714285729</c:v>
                </c:pt>
              </c:numCache>
            </c:numRef>
          </c:yVal>
          <c:smooth val="0"/>
          <c:extLst>
            <c:ext xmlns:c16="http://schemas.microsoft.com/office/drawing/2014/chart" uri="{C3380CC4-5D6E-409C-BE32-E72D297353CC}">
              <c16:uniqueId val="{00000000-5B5A-45E5-B201-7F7DD6ACF410}"/>
            </c:ext>
          </c:extLst>
        </c:ser>
        <c:ser>
          <c:idx val="1"/>
          <c:order val="1"/>
          <c:tx>
            <c:strRef>
              <c:f>本國與否資料!$H$1</c:f>
              <c:strCache>
                <c:ptCount val="1"/>
                <c:pt idx="0">
                  <c:v>Foreign</c:v>
                </c:pt>
              </c:strCache>
            </c:strRef>
          </c:tx>
          <c:spPr>
            <a:ln w="19050" cap="rnd">
              <a:solidFill>
                <a:schemeClr val="accent2"/>
              </a:solidFill>
              <a:round/>
            </a:ln>
            <a:effectLst/>
          </c:spPr>
          <c:marker>
            <c:symbol val="triangle"/>
            <c:size val="5"/>
            <c:spPr>
              <a:solidFill>
                <a:schemeClr val="accent2"/>
              </a:solidFill>
              <a:ln w="9525">
                <a:solidFill>
                  <a:schemeClr val="accent2"/>
                </a:solidFill>
              </a:ln>
              <a:effectLst/>
            </c:spPr>
          </c:marker>
          <c:xVal>
            <c:numRef>
              <c:f>本國與否資料!$F$2:$F$10</c:f>
              <c:numCache>
                <c:formatCode>General</c:formatCode>
                <c:ptCount val="9"/>
                <c:pt idx="0">
                  <c:v>2009</c:v>
                </c:pt>
                <c:pt idx="1">
                  <c:v>2010</c:v>
                </c:pt>
                <c:pt idx="2">
                  <c:v>2011</c:v>
                </c:pt>
                <c:pt idx="3">
                  <c:v>2012</c:v>
                </c:pt>
                <c:pt idx="4">
                  <c:v>2013</c:v>
                </c:pt>
                <c:pt idx="5">
                  <c:v>2014</c:v>
                </c:pt>
                <c:pt idx="6">
                  <c:v>2015</c:v>
                </c:pt>
                <c:pt idx="7">
                  <c:v>2016</c:v>
                </c:pt>
                <c:pt idx="8">
                  <c:v>2017</c:v>
                </c:pt>
              </c:numCache>
            </c:numRef>
          </c:xVal>
          <c:yVal>
            <c:numRef>
              <c:f>本國與否資料!$H$2:$H$10</c:f>
              <c:numCache>
                <c:formatCode>0.00_ </c:formatCode>
                <c:ptCount val="9"/>
                <c:pt idx="0">
                  <c:v>0.93934804000000005</c:v>
                </c:pt>
                <c:pt idx="1">
                  <c:v>0.94406797333333337</c:v>
                </c:pt>
                <c:pt idx="2">
                  <c:v>0.92386684666666674</c:v>
                </c:pt>
                <c:pt idx="3">
                  <c:v>0.86846172111111108</c:v>
                </c:pt>
                <c:pt idx="4">
                  <c:v>0.82859535571428578</c:v>
                </c:pt>
                <c:pt idx="5">
                  <c:v>0.84821043571428578</c:v>
                </c:pt>
                <c:pt idx="6">
                  <c:v>0.84387099714285707</c:v>
                </c:pt>
                <c:pt idx="7">
                  <c:v>0.83800111428571433</c:v>
                </c:pt>
                <c:pt idx="8">
                  <c:v>0.83131583714285706</c:v>
                </c:pt>
              </c:numCache>
            </c:numRef>
          </c:yVal>
          <c:smooth val="0"/>
          <c:extLst>
            <c:ext xmlns:c16="http://schemas.microsoft.com/office/drawing/2014/chart" uri="{C3380CC4-5D6E-409C-BE32-E72D297353CC}">
              <c16:uniqueId val="{00000001-5B5A-45E5-B201-7F7DD6ACF410}"/>
            </c:ext>
          </c:extLst>
        </c:ser>
        <c:dLbls>
          <c:showLegendKey val="0"/>
          <c:showVal val="0"/>
          <c:showCatName val="0"/>
          <c:showSerName val="0"/>
          <c:showPercent val="0"/>
          <c:showBubbleSize val="0"/>
        </c:dLbls>
        <c:axId val="431331656"/>
        <c:axId val="431332832"/>
      </c:scatterChart>
      <c:valAx>
        <c:axId val="431331656"/>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431332832"/>
        <c:crosses val="autoZero"/>
        <c:crossBetween val="midCat"/>
      </c:valAx>
      <c:valAx>
        <c:axId val="431332832"/>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00_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4313316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8040-6765-459F-B71F-C99D2362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20</Pages>
  <Words>7302</Words>
  <Characters>41624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48829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Randy Johnson</dc:creator>
  <cp:lastModifiedBy>Windows 使用者</cp:lastModifiedBy>
  <cp:revision>9</cp:revision>
  <cp:lastPrinted>2019-07-05T14:53:00Z</cp:lastPrinted>
  <dcterms:created xsi:type="dcterms:W3CDTF">2019-09-12T04:17:00Z</dcterms:created>
  <dcterms:modified xsi:type="dcterms:W3CDTF">2019-09-12T14:07:00Z</dcterms:modified>
</cp:coreProperties>
</file>