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EC7" w:rsidRDefault="00181591">
      <w:pPr>
        <w:tabs>
          <w:tab w:val="left" w:pos="4039"/>
          <w:tab w:val="left" w:pos="5186"/>
        </w:tabs>
        <w:spacing w:line="360" w:lineRule="auto"/>
        <w:jc w:val="center"/>
        <w:rPr>
          <w:rFonts w:ascii="Times New Roman" w:hAnsi="Times New Roman" w:cs="Times New Roman"/>
          <w:b/>
          <w:sz w:val="28"/>
          <w:szCs w:val="32"/>
        </w:rPr>
      </w:pPr>
      <w:r>
        <w:rPr>
          <w:rFonts w:ascii="Times New Roman" w:hAnsi="Times New Roman" w:cs="Times New Roman"/>
          <w:b/>
          <w:sz w:val="28"/>
          <w:szCs w:val="32"/>
        </w:rPr>
        <w:t>The Age of Cheap Money and Passive Investing:</w:t>
      </w:r>
    </w:p>
    <w:p w:rsidR="00BA3EC7" w:rsidRDefault="00181591">
      <w:pPr>
        <w:tabs>
          <w:tab w:val="left" w:pos="4039"/>
          <w:tab w:val="left" w:pos="5186"/>
        </w:tabs>
        <w:spacing w:line="360" w:lineRule="auto"/>
        <w:jc w:val="center"/>
        <w:rPr>
          <w:rFonts w:ascii="Times New Roman" w:hAnsi="Times New Roman" w:cs="Times New Roman"/>
          <w:b/>
          <w:sz w:val="28"/>
          <w:szCs w:val="32"/>
        </w:rPr>
      </w:pPr>
      <w:r>
        <w:rPr>
          <w:rFonts w:ascii="Times New Roman" w:hAnsi="Times New Roman" w:cs="Times New Roman"/>
          <w:b/>
          <w:sz w:val="28"/>
          <w:szCs w:val="32"/>
        </w:rPr>
        <w:t>Are Pro Forma Earnings Value Relevant?</w:t>
      </w:r>
    </w:p>
    <w:p w:rsidR="00BA3EC7" w:rsidRDefault="00BA3EC7">
      <w:pPr>
        <w:tabs>
          <w:tab w:val="left" w:pos="4039"/>
          <w:tab w:val="left" w:pos="5186"/>
        </w:tabs>
        <w:spacing w:line="360" w:lineRule="auto"/>
        <w:jc w:val="center"/>
        <w:rPr>
          <w:rFonts w:ascii="Times New Roman" w:hAnsi="Times New Roman" w:cs="Times New Roman"/>
          <w:b/>
          <w:sz w:val="28"/>
          <w:szCs w:val="32"/>
        </w:rPr>
      </w:pPr>
    </w:p>
    <w:p w:rsidR="00BA3EC7" w:rsidRDefault="00181591">
      <w:pPr>
        <w:spacing w:before="240" w:line="240" w:lineRule="auto"/>
        <w:jc w:val="center"/>
        <w:rPr>
          <w:rFonts w:ascii="Times New Roman" w:hAnsi="Times New Roman" w:cs="Times New Roman"/>
          <w:sz w:val="28"/>
          <w:szCs w:val="32"/>
          <w:vertAlign w:val="superscript"/>
        </w:rPr>
      </w:pPr>
      <w:r>
        <w:rPr>
          <w:rFonts w:ascii="Times New Roman" w:hAnsi="Times New Roman" w:cs="Times New Roman"/>
          <w:sz w:val="28"/>
          <w:szCs w:val="32"/>
        </w:rPr>
        <w:t>Florian Meier</w:t>
      </w:r>
    </w:p>
    <w:p w:rsidR="00BA3EC7" w:rsidRDefault="00181591">
      <w:pPr>
        <w:spacing w:after="240" w:line="360" w:lineRule="auto"/>
        <w:jc w:val="center"/>
        <w:rPr>
          <w:rFonts w:ascii="Times New Roman" w:hAnsi="Times New Roman" w:cs="Times New Roman"/>
          <w:i/>
          <w:sz w:val="32"/>
          <w:szCs w:val="32"/>
          <w:vertAlign w:val="superscript"/>
        </w:rPr>
      </w:pPr>
      <w:r>
        <w:rPr>
          <w:rFonts w:ascii="Times New Roman" w:hAnsi="Times New Roman" w:cs="Times New Roman"/>
          <w:i/>
          <w:sz w:val="24"/>
          <w:lang w:val="en-US"/>
        </w:rPr>
        <w:t>University of the West of England, UK</w:t>
      </w:r>
    </w:p>
    <w:p w:rsidR="00BA3EC7" w:rsidRDefault="00BA3EC7">
      <w:pPr>
        <w:widowControl w:val="0"/>
        <w:spacing w:after="120" w:line="240" w:lineRule="auto"/>
        <w:jc w:val="center"/>
        <w:rPr>
          <w:rFonts w:ascii="Times New Roman" w:hAnsi="Times New Roman" w:cs="Times New Roman"/>
          <w:i/>
          <w:sz w:val="24"/>
          <w:lang w:val="en-US"/>
        </w:rPr>
      </w:pPr>
    </w:p>
    <w:p w:rsidR="00BA3EC7" w:rsidRDefault="0003775B">
      <w:pPr>
        <w:spacing w:line="360" w:lineRule="auto"/>
        <w:jc w:val="center"/>
        <w:rPr>
          <w:rFonts w:ascii="Times New Roman" w:hAnsi="Times New Roman" w:cs="Times New Roman"/>
          <w:sz w:val="28"/>
          <w:szCs w:val="32"/>
        </w:rPr>
      </w:pPr>
      <w:r>
        <w:rPr>
          <w:rFonts w:ascii="Times New Roman" w:hAnsi="Times New Roman" w:cs="Times New Roman"/>
          <w:sz w:val="28"/>
          <w:szCs w:val="32"/>
          <w:lang w:val="en-US"/>
        </w:rPr>
        <w:t>Dec</w:t>
      </w:r>
      <w:r w:rsidR="00680683">
        <w:rPr>
          <w:rFonts w:ascii="Times New Roman" w:hAnsi="Times New Roman" w:cs="Times New Roman"/>
          <w:sz w:val="28"/>
          <w:szCs w:val="32"/>
          <w:lang w:val="en-US"/>
        </w:rPr>
        <w:t>ember</w:t>
      </w:r>
      <w:r w:rsidR="00680683">
        <w:rPr>
          <w:rFonts w:ascii="Times New Roman" w:hAnsi="Times New Roman" w:cs="Times New Roman"/>
          <w:sz w:val="28"/>
          <w:szCs w:val="32"/>
        </w:rPr>
        <w:t xml:space="preserve"> </w:t>
      </w:r>
      <w:r w:rsidR="00181591">
        <w:rPr>
          <w:rFonts w:ascii="Times New Roman" w:hAnsi="Times New Roman" w:cs="Times New Roman"/>
          <w:sz w:val="28"/>
          <w:szCs w:val="32"/>
        </w:rPr>
        <w:t>2019</w:t>
      </w:r>
    </w:p>
    <w:p w:rsidR="00BA3EC7" w:rsidRDefault="00BA3EC7">
      <w:pPr>
        <w:spacing w:line="360" w:lineRule="auto"/>
        <w:jc w:val="both"/>
        <w:rPr>
          <w:rFonts w:ascii="Times New Roman" w:hAnsi="Times New Roman" w:cs="Times New Roman"/>
          <w:b/>
          <w:sz w:val="24"/>
          <w:szCs w:val="24"/>
        </w:rPr>
      </w:pPr>
    </w:p>
    <w:p w:rsidR="00BA3EC7" w:rsidRDefault="00BA3EC7">
      <w:pPr>
        <w:spacing w:line="360" w:lineRule="auto"/>
        <w:jc w:val="both"/>
        <w:rPr>
          <w:rFonts w:ascii="Times New Roman" w:hAnsi="Times New Roman" w:cs="Times New Roman"/>
          <w:b/>
          <w:sz w:val="24"/>
          <w:szCs w:val="24"/>
        </w:rPr>
      </w:pPr>
    </w:p>
    <w:p w:rsidR="00BA3EC7" w:rsidRDefault="00BA3EC7">
      <w:pPr>
        <w:spacing w:line="360" w:lineRule="auto"/>
        <w:jc w:val="both"/>
        <w:rPr>
          <w:rFonts w:ascii="Times New Roman" w:hAnsi="Times New Roman" w:cs="Times New Roman"/>
          <w:sz w:val="24"/>
          <w:szCs w:val="24"/>
        </w:rPr>
      </w:pPr>
    </w:p>
    <w:p w:rsidR="00BA3EC7" w:rsidRDefault="00181591">
      <w:pPr>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Accounting disclosure; pro forma earnings; non-GAAP disclosures; stock </w:t>
      </w:r>
      <w:proofErr w:type="spellStart"/>
      <w:r>
        <w:rPr>
          <w:rFonts w:ascii="Times New Roman" w:hAnsi="Times New Roman" w:cs="Times New Roman"/>
          <w:sz w:val="24"/>
          <w:szCs w:val="24"/>
        </w:rPr>
        <w:t>misvaluation</w:t>
      </w:r>
      <w:proofErr w:type="spellEnd"/>
    </w:p>
    <w:p w:rsidR="00BA3EC7" w:rsidRDefault="00181591">
      <w:pPr>
        <w:jc w:val="both"/>
        <w:rPr>
          <w:rFonts w:ascii="Times New Roman" w:hAnsi="Times New Roman" w:cs="Times New Roman"/>
          <w:sz w:val="23"/>
          <w:szCs w:val="23"/>
        </w:rPr>
      </w:pPr>
      <w:r>
        <w:rPr>
          <w:rFonts w:ascii="Times New Roman" w:hAnsi="Times New Roman" w:cs="Times New Roman"/>
          <w:b/>
          <w:sz w:val="24"/>
          <w:szCs w:val="24"/>
        </w:rPr>
        <w:t>JEL classification:</w:t>
      </w:r>
      <w:r>
        <w:rPr>
          <w:rFonts w:ascii="Times New Roman" w:hAnsi="Times New Roman" w:cs="Times New Roman"/>
          <w:sz w:val="24"/>
          <w:szCs w:val="24"/>
        </w:rPr>
        <w:t xml:space="preserve"> </w:t>
      </w:r>
      <w:r>
        <w:rPr>
          <w:rFonts w:ascii="Times New Roman" w:hAnsi="Times New Roman" w:cs="Times New Roman"/>
          <w:sz w:val="23"/>
          <w:szCs w:val="23"/>
        </w:rPr>
        <w:t>G38; M40; M41</w:t>
      </w:r>
    </w:p>
    <w:p w:rsidR="00BA3EC7" w:rsidRDefault="00BA3EC7">
      <w:pPr>
        <w:spacing w:line="360" w:lineRule="auto"/>
        <w:jc w:val="both"/>
        <w:rPr>
          <w:rFonts w:ascii="Times New Roman" w:hAnsi="Times New Roman" w:cs="Times New Roman"/>
          <w:b/>
          <w:sz w:val="23"/>
          <w:szCs w:val="23"/>
        </w:rPr>
      </w:pPr>
    </w:p>
    <w:p w:rsidR="00BA3EC7" w:rsidRDefault="00BA3EC7">
      <w:pPr>
        <w:spacing w:line="360" w:lineRule="auto"/>
        <w:jc w:val="both"/>
        <w:rPr>
          <w:rFonts w:ascii="Times New Roman" w:hAnsi="Times New Roman" w:cs="Times New Roman"/>
          <w:sz w:val="24"/>
          <w:szCs w:val="24"/>
        </w:rPr>
      </w:pPr>
    </w:p>
    <w:p w:rsidR="00BA3EC7" w:rsidRDefault="00181591">
      <w:pPr>
        <w:spacing w:line="240" w:lineRule="auto"/>
        <w:jc w:val="both"/>
      </w:pPr>
      <w:r>
        <w:rPr>
          <w:rFonts w:ascii="Times New Roman" w:hAnsi="Times New Roman" w:cs="Times New Roman"/>
          <w:lang w:val="en-US"/>
        </w:rPr>
        <w:t xml:space="preserve">Bristol Business School, University of the West of England, Coldharbour Lane, Bristol BS16 1QY, United Kingdom; Phone: 44(0)117-3287459; E-mail: </w:t>
      </w:r>
      <w:hyperlink r:id="rId8">
        <w:r>
          <w:rPr>
            <w:rStyle w:val="InternetLink"/>
            <w:rFonts w:ascii="Times New Roman" w:hAnsi="Times New Roman" w:cs="Times New Roman"/>
            <w:lang w:val="en-US"/>
          </w:rPr>
          <w:t>florian.meier@uwe.ac.uk</w:t>
        </w:r>
      </w:hyperlink>
      <w:r>
        <w:rPr>
          <w:rFonts w:ascii="Times New Roman" w:hAnsi="Times New Roman" w:cs="Times New Roman"/>
          <w:lang w:val="en-US"/>
        </w:rPr>
        <w:t>.</w:t>
      </w:r>
      <w:r>
        <w:rPr>
          <w:rFonts w:ascii="Times New Roman" w:hAnsi="Times New Roman" w:cs="Times New Roman"/>
        </w:rPr>
        <w:t xml:space="preserve">  </w:t>
      </w:r>
    </w:p>
    <w:p w:rsidR="00BA3EC7" w:rsidRDefault="00BA3EC7">
      <w:pPr>
        <w:spacing w:line="240" w:lineRule="auto"/>
        <w:jc w:val="both"/>
        <w:rPr>
          <w:rFonts w:ascii="Times New Roman" w:hAnsi="Times New Roman" w:cs="Times New Roman"/>
        </w:rPr>
      </w:pPr>
    </w:p>
    <w:p w:rsidR="00BA3EC7" w:rsidRDefault="00BA3EC7">
      <w:pPr>
        <w:rPr>
          <w:rFonts w:ascii="Times New Roman" w:hAnsi="Times New Roman" w:cs="Times New Roman"/>
        </w:rPr>
      </w:pPr>
    </w:p>
    <w:p w:rsidR="00BA3EC7" w:rsidRDefault="00BA3EC7">
      <w:pPr>
        <w:rPr>
          <w:rFonts w:ascii="Times New Roman" w:hAnsi="Times New Roman" w:cs="Times New Roman"/>
        </w:rPr>
      </w:pPr>
    </w:p>
    <w:p w:rsidR="00BA3EC7" w:rsidRDefault="00181591">
      <w:pPr>
        <w:tabs>
          <w:tab w:val="center" w:pos="4513"/>
        </w:tabs>
        <w:rPr>
          <w:rFonts w:ascii="Times New Roman" w:hAnsi="Times New Roman" w:cs="Times New Roman"/>
        </w:rPr>
        <w:sectPr w:rsidR="00BA3EC7">
          <w:footerReference w:type="default" r:id="rId9"/>
          <w:pgSz w:w="11906" w:h="16838"/>
          <w:pgMar w:top="1440" w:right="1440" w:bottom="1440" w:left="1440" w:header="0" w:footer="708" w:gutter="0"/>
          <w:cols w:space="720"/>
          <w:formProt w:val="0"/>
          <w:docGrid w:linePitch="360" w:charSpace="4096"/>
        </w:sectPr>
      </w:pPr>
      <w:r>
        <w:rPr>
          <w:rFonts w:ascii="Times New Roman" w:hAnsi="Times New Roman" w:cs="Times New Roman"/>
        </w:rPr>
        <w:tab/>
      </w:r>
    </w:p>
    <w:p w:rsidR="00BA3EC7" w:rsidRDefault="00BA3EC7">
      <w:pPr>
        <w:tabs>
          <w:tab w:val="left" w:pos="4039"/>
          <w:tab w:val="left" w:pos="5186"/>
        </w:tabs>
        <w:spacing w:line="360" w:lineRule="auto"/>
        <w:jc w:val="center"/>
        <w:rPr>
          <w:rFonts w:ascii="Times New Roman" w:hAnsi="Times New Roman" w:cs="Times New Roman"/>
          <w:b/>
          <w:sz w:val="28"/>
          <w:szCs w:val="32"/>
        </w:rPr>
      </w:pPr>
    </w:p>
    <w:p w:rsidR="00BA3EC7" w:rsidRDefault="00181591">
      <w:pPr>
        <w:tabs>
          <w:tab w:val="left" w:pos="4039"/>
          <w:tab w:val="left" w:pos="5186"/>
        </w:tabs>
        <w:spacing w:line="360" w:lineRule="auto"/>
        <w:jc w:val="center"/>
        <w:rPr>
          <w:rFonts w:ascii="Times New Roman" w:hAnsi="Times New Roman" w:cs="Times New Roman"/>
          <w:b/>
          <w:sz w:val="28"/>
          <w:szCs w:val="32"/>
        </w:rPr>
      </w:pPr>
      <w:r>
        <w:rPr>
          <w:rFonts w:ascii="Times New Roman" w:hAnsi="Times New Roman" w:cs="Times New Roman"/>
          <w:b/>
          <w:sz w:val="28"/>
          <w:szCs w:val="32"/>
        </w:rPr>
        <w:t>The Age of Cheap Money and Passive Investing:</w:t>
      </w:r>
    </w:p>
    <w:p w:rsidR="00BA3EC7" w:rsidRDefault="00181591">
      <w:pPr>
        <w:tabs>
          <w:tab w:val="left" w:pos="4039"/>
          <w:tab w:val="left" w:pos="5186"/>
        </w:tabs>
        <w:spacing w:line="360" w:lineRule="auto"/>
        <w:jc w:val="center"/>
        <w:rPr>
          <w:rFonts w:ascii="Times New Roman" w:hAnsi="Times New Roman" w:cs="Times New Roman"/>
          <w:b/>
          <w:sz w:val="28"/>
          <w:szCs w:val="32"/>
        </w:rPr>
      </w:pPr>
      <w:r>
        <w:rPr>
          <w:rFonts w:ascii="Times New Roman" w:hAnsi="Times New Roman" w:cs="Times New Roman"/>
          <w:b/>
          <w:sz w:val="28"/>
          <w:szCs w:val="32"/>
        </w:rPr>
        <w:t>Are Pro Forma Earnings Value Relevant?</w:t>
      </w:r>
    </w:p>
    <w:p w:rsidR="00BA3EC7" w:rsidRDefault="00BA3EC7">
      <w:pPr>
        <w:tabs>
          <w:tab w:val="left" w:pos="4039"/>
          <w:tab w:val="left" w:pos="5186"/>
        </w:tabs>
        <w:spacing w:line="360" w:lineRule="auto"/>
        <w:jc w:val="center"/>
        <w:rPr>
          <w:rFonts w:ascii="Times New Roman" w:hAnsi="Times New Roman" w:cs="Times New Roman"/>
          <w:b/>
          <w:sz w:val="28"/>
          <w:szCs w:val="32"/>
        </w:rPr>
      </w:pPr>
    </w:p>
    <w:p w:rsidR="00BA3EC7" w:rsidRDefault="00181591">
      <w:pPr>
        <w:spacing w:line="360" w:lineRule="auto"/>
        <w:jc w:val="center"/>
        <w:rPr>
          <w:rFonts w:ascii="Times New Roman" w:hAnsi="Times New Roman" w:cs="Times New Roman"/>
          <w:sz w:val="28"/>
          <w:szCs w:val="32"/>
        </w:rPr>
      </w:pPr>
      <w:r>
        <w:rPr>
          <w:rFonts w:ascii="Times New Roman" w:hAnsi="Times New Roman" w:cs="Times New Roman"/>
          <w:sz w:val="28"/>
          <w:szCs w:val="32"/>
        </w:rPr>
        <w:t xml:space="preserve"> </w:t>
      </w:r>
    </w:p>
    <w:p w:rsidR="00BA3EC7" w:rsidRDefault="00680683">
      <w:pPr>
        <w:spacing w:line="360" w:lineRule="auto"/>
        <w:jc w:val="center"/>
        <w:rPr>
          <w:rFonts w:ascii="Times New Roman" w:hAnsi="Times New Roman" w:cs="Times New Roman"/>
          <w:sz w:val="28"/>
          <w:szCs w:val="32"/>
        </w:rPr>
      </w:pPr>
      <w:r>
        <w:rPr>
          <w:rFonts w:ascii="Times New Roman" w:hAnsi="Times New Roman" w:cs="Times New Roman"/>
          <w:sz w:val="28"/>
          <w:szCs w:val="32"/>
        </w:rPr>
        <w:t xml:space="preserve">November </w:t>
      </w:r>
      <w:r w:rsidR="00181591">
        <w:rPr>
          <w:rFonts w:ascii="Times New Roman" w:hAnsi="Times New Roman" w:cs="Times New Roman"/>
          <w:sz w:val="28"/>
          <w:szCs w:val="32"/>
        </w:rPr>
        <w:t>201</w:t>
      </w:r>
      <w:r w:rsidR="005B3BA4">
        <w:rPr>
          <w:rFonts w:ascii="Times New Roman" w:hAnsi="Times New Roman" w:cs="Times New Roman"/>
          <w:sz w:val="28"/>
          <w:szCs w:val="32"/>
        </w:rPr>
        <w:t>9</w:t>
      </w:r>
    </w:p>
    <w:p w:rsidR="00BA3EC7" w:rsidRDefault="00BA3EC7">
      <w:pPr>
        <w:spacing w:line="360" w:lineRule="auto"/>
        <w:jc w:val="center"/>
        <w:rPr>
          <w:rFonts w:ascii="Times New Roman" w:hAnsi="Times New Roman" w:cs="Times New Roman"/>
          <w:sz w:val="28"/>
          <w:szCs w:val="32"/>
        </w:rPr>
      </w:pPr>
    </w:p>
    <w:p w:rsidR="00BA3EC7" w:rsidRPr="005B3BA4" w:rsidRDefault="00181591">
      <w:pPr>
        <w:spacing w:line="360" w:lineRule="auto"/>
        <w:jc w:val="center"/>
        <w:rPr>
          <w:rFonts w:ascii="Times New Roman" w:hAnsi="Times New Roman" w:cs="Times New Roman"/>
          <w:b/>
          <w:sz w:val="24"/>
          <w:szCs w:val="24"/>
        </w:rPr>
      </w:pPr>
      <w:r w:rsidRPr="005B3BA4">
        <w:rPr>
          <w:rFonts w:ascii="Times New Roman" w:hAnsi="Times New Roman" w:cs="Times New Roman"/>
          <w:b/>
          <w:sz w:val="24"/>
          <w:szCs w:val="24"/>
        </w:rPr>
        <w:t>Abstract</w:t>
      </w:r>
    </w:p>
    <w:p w:rsidR="00BA3EC7" w:rsidRPr="001E22F6" w:rsidRDefault="00181591">
      <w:pPr>
        <w:spacing w:after="0"/>
        <w:jc w:val="both"/>
        <w:rPr>
          <w:rFonts w:ascii="Times New Roman" w:hAnsi="Times New Roman" w:cs="Times New Roman"/>
          <w:sz w:val="24"/>
          <w:szCs w:val="24"/>
        </w:rPr>
      </w:pPr>
      <w:r w:rsidRPr="001E22F6">
        <w:rPr>
          <w:rFonts w:ascii="Times New Roman" w:hAnsi="Times New Roman" w:cs="Times New Roman"/>
          <w:sz w:val="24"/>
          <w:szCs w:val="24"/>
        </w:rPr>
        <w:t xml:space="preserve">This study investigates the impact of pro forma earnings on stock </w:t>
      </w:r>
      <w:proofErr w:type="spellStart"/>
      <w:r w:rsidRPr="001E22F6">
        <w:rPr>
          <w:rFonts w:ascii="Times New Roman" w:hAnsi="Times New Roman" w:cs="Times New Roman"/>
          <w:sz w:val="24"/>
          <w:szCs w:val="24"/>
        </w:rPr>
        <w:t>misvaluation</w:t>
      </w:r>
      <w:proofErr w:type="spellEnd"/>
      <w:r w:rsidRPr="001E22F6">
        <w:rPr>
          <w:rFonts w:ascii="Times New Roman" w:hAnsi="Times New Roman" w:cs="Times New Roman"/>
          <w:sz w:val="24"/>
          <w:szCs w:val="24"/>
        </w:rPr>
        <w:t xml:space="preserve">. In light of a decade of substantial changes in the market and investment environment since 2008 that are challenging the traditional primacy of accounting disclosures for valuation, I link mispriced shares to voluntary firm disclosures. Using a hand-collected sample of pro forma earnings from quarterly earnings press releases of the constituent firms of the US Dow Jones 30 between 2011 and 2017, I find that providing pro forma earnings reduces overvaluation for the most overvalued stocks. Further analysis indicates, however, that for firms with higher analyst earnings forecast dispersion, disclosing pro forma earnings increases these firms’ overvaluation. In addition, different types of expenses excluded to meet or beat analyst earnings forecasts affect </w:t>
      </w:r>
      <w:proofErr w:type="spellStart"/>
      <w:r w:rsidRPr="001E22F6">
        <w:rPr>
          <w:rFonts w:ascii="Times New Roman" w:hAnsi="Times New Roman" w:cs="Times New Roman"/>
          <w:sz w:val="24"/>
          <w:szCs w:val="24"/>
        </w:rPr>
        <w:t>misvaluation</w:t>
      </w:r>
      <w:proofErr w:type="spellEnd"/>
      <w:r w:rsidRPr="001E22F6">
        <w:rPr>
          <w:rFonts w:ascii="Times New Roman" w:hAnsi="Times New Roman" w:cs="Times New Roman"/>
          <w:sz w:val="24"/>
          <w:szCs w:val="24"/>
        </w:rPr>
        <w:t xml:space="preserve"> differently. These findings suggest that pro forma earnings</w:t>
      </w:r>
      <w:r w:rsidR="00281DFA" w:rsidRPr="00F94EAD">
        <w:rPr>
          <w:rFonts w:ascii="Times New Roman" w:hAnsi="Times New Roman" w:cs="Times New Roman"/>
          <w:sz w:val="24"/>
          <w:szCs w:val="24"/>
        </w:rPr>
        <w:t xml:space="preserve"> still</w:t>
      </w:r>
      <w:r w:rsidRPr="001E22F6">
        <w:rPr>
          <w:rFonts w:ascii="Times New Roman" w:hAnsi="Times New Roman" w:cs="Times New Roman"/>
          <w:sz w:val="24"/>
          <w:szCs w:val="24"/>
        </w:rPr>
        <w:t xml:space="preserve"> play an important role and are value relevant in the new market conditions.</w:t>
      </w:r>
    </w:p>
    <w:p w:rsidR="00BA3EC7" w:rsidRDefault="00BA3EC7">
      <w:pPr>
        <w:spacing w:line="360" w:lineRule="auto"/>
        <w:jc w:val="both"/>
        <w:rPr>
          <w:rFonts w:ascii="Times New Roman" w:hAnsi="Times New Roman" w:cs="Times New Roman"/>
          <w:sz w:val="24"/>
          <w:szCs w:val="24"/>
        </w:rPr>
      </w:pPr>
    </w:p>
    <w:p w:rsidR="00BA3EC7" w:rsidRDefault="00BA3EC7">
      <w:pPr>
        <w:spacing w:line="360" w:lineRule="auto"/>
        <w:jc w:val="both"/>
        <w:rPr>
          <w:rFonts w:ascii="Times New Roman" w:hAnsi="Times New Roman" w:cs="Times New Roman"/>
          <w:sz w:val="24"/>
          <w:szCs w:val="24"/>
        </w:rPr>
      </w:pPr>
    </w:p>
    <w:p w:rsidR="00BA3EC7" w:rsidRDefault="00181591">
      <w:pPr>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xml:space="preserve"> Accounting disclosure; pro forma earnings; non-GAAP disclosures; stock </w:t>
      </w:r>
      <w:proofErr w:type="spellStart"/>
      <w:r>
        <w:rPr>
          <w:rFonts w:ascii="Times New Roman" w:hAnsi="Times New Roman" w:cs="Times New Roman"/>
          <w:sz w:val="24"/>
          <w:szCs w:val="24"/>
        </w:rPr>
        <w:t>misvaluation</w:t>
      </w:r>
      <w:proofErr w:type="spellEnd"/>
    </w:p>
    <w:p w:rsidR="00BA3EC7" w:rsidRDefault="00181591">
      <w:pPr>
        <w:jc w:val="both"/>
        <w:rPr>
          <w:rFonts w:ascii="Times New Roman" w:hAnsi="Times New Roman" w:cs="Times New Roman"/>
          <w:sz w:val="23"/>
          <w:szCs w:val="23"/>
        </w:rPr>
      </w:pPr>
      <w:r>
        <w:rPr>
          <w:rFonts w:ascii="Times New Roman" w:hAnsi="Times New Roman" w:cs="Times New Roman"/>
          <w:b/>
          <w:sz w:val="24"/>
          <w:szCs w:val="24"/>
        </w:rPr>
        <w:t>JEL classification:</w:t>
      </w:r>
      <w:r>
        <w:rPr>
          <w:rFonts w:ascii="Times New Roman" w:hAnsi="Times New Roman" w:cs="Times New Roman"/>
          <w:sz w:val="24"/>
          <w:szCs w:val="24"/>
        </w:rPr>
        <w:t xml:space="preserve"> </w:t>
      </w:r>
      <w:r>
        <w:rPr>
          <w:rFonts w:ascii="Times New Roman" w:hAnsi="Times New Roman" w:cs="Times New Roman"/>
          <w:sz w:val="23"/>
          <w:szCs w:val="23"/>
        </w:rPr>
        <w:t>G38; M40; M41</w:t>
      </w:r>
    </w:p>
    <w:p w:rsidR="00BA3EC7" w:rsidRDefault="00BA3EC7">
      <w:pPr>
        <w:spacing w:line="240" w:lineRule="auto"/>
        <w:jc w:val="both"/>
        <w:rPr>
          <w:rFonts w:ascii="Times New Roman" w:hAnsi="Times New Roman" w:cs="Times New Roman"/>
          <w:b/>
          <w:sz w:val="23"/>
          <w:szCs w:val="23"/>
        </w:rPr>
      </w:pPr>
    </w:p>
    <w:p w:rsidR="00BA3EC7" w:rsidRDefault="00BA3EC7">
      <w:pPr>
        <w:spacing w:line="240" w:lineRule="auto"/>
        <w:jc w:val="both"/>
        <w:rPr>
          <w:rFonts w:ascii="Times New Roman" w:hAnsi="Times New Roman" w:cs="Times New Roman"/>
        </w:rPr>
      </w:pPr>
    </w:p>
    <w:p w:rsidR="00BA3EC7" w:rsidRDefault="00BA3EC7">
      <w:pPr>
        <w:spacing w:line="240" w:lineRule="auto"/>
        <w:jc w:val="both"/>
        <w:rPr>
          <w:rFonts w:ascii="Times New Roman" w:hAnsi="Times New Roman" w:cs="Times New Roman"/>
        </w:rPr>
      </w:pPr>
    </w:p>
    <w:p w:rsidR="00BA3EC7" w:rsidRDefault="00BA3EC7">
      <w:pPr>
        <w:spacing w:line="240" w:lineRule="auto"/>
        <w:jc w:val="both"/>
        <w:rPr>
          <w:rFonts w:ascii="Times New Roman" w:hAnsi="Times New Roman" w:cs="Times New Roman"/>
        </w:rPr>
      </w:pPr>
    </w:p>
    <w:p w:rsidR="00BA3EC7" w:rsidRDefault="00BA3EC7">
      <w:pPr>
        <w:spacing w:line="240" w:lineRule="auto"/>
        <w:jc w:val="both"/>
        <w:rPr>
          <w:rFonts w:ascii="Times New Roman" w:hAnsi="Times New Roman" w:cs="Times New Roman"/>
        </w:rPr>
      </w:pPr>
    </w:p>
    <w:p w:rsidR="00BA3EC7" w:rsidRDefault="00BA3EC7">
      <w:pPr>
        <w:sectPr w:rsidR="00BA3EC7">
          <w:footerReference w:type="default" r:id="rId10"/>
          <w:pgSz w:w="11906" w:h="16838"/>
          <w:pgMar w:top="1440" w:right="1440" w:bottom="1440" w:left="1440" w:header="0" w:footer="708" w:gutter="0"/>
          <w:cols w:space="720"/>
          <w:formProt w:val="0"/>
          <w:docGrid w:linePitch="360" w:charSpace="4096"/>
        </w:sectPr>
      </w:pPr>
    </w:p>
    <w:p w:rsidR="00BA3EC7" w:rsidRDefault="00181591">
      <w:pPr>
        <w:pStyle w:val="s1"/>
        <w:numPr>
          <w:ilvl w:val="0"/>
          <w:numId w:val="2"/>
        </w:numPr>
        <w:ind w:left="426" w:hanging="426"/>
      </w:pPr>
      <w:r>
        <w:lastRenderedPageBreak/>
        <w:t>Introduction</w:t>
      </w:r>
    </w:p>
    <w:p w:rsidR="00BA3EC7" w:rsidRDefault="00181591">
      <w:pPr>
        <w:spacing w:after="0" w:line="480" w:lineRule="auto"/>
        <w:ind w:firstLine="426"/>
        <w:jc w:val="both"/>
      </w:pPr>
      <w:r>
        <w:rPr>
          <w:rFonts w:ascii="Times New Roman" w:hAnsi="Times New Roman" w:cs="Times New Roman"/>
          <w:sz w:val="24"/>
          <w:szCs w:val="24"/>
        </w:rPr>
        <w:t xml:space="preserve">Firms’ pro forma earnings disclosures are a recurring and </w:t>
      </w:r>
      <w:r w:rsidRPr="00F94EAD">
        <w:rPr>
          <w:rFonts w:ascii="Times New Roman" w:hAnsi="Times New Roman" w:cs="Times New Roman"/>
          <w:sz w:val="24"/>
          <w:szCs w:val="24"/>
        </w:rPr>
        <w:t>hotly debated topic in the literature. While research has documented a range of factors that influence the disclosure of pro forma earnings (e.g., Black and Christensen, 2009</w:t>
      </w:r>
      <w:r w:rsidR="00DB731F">
        <w:rPr>
          <w:rFonts w:ascii="Times New Roman" w:hAnsi="Times New Roman" w:cs="Times New Roman"/>
          <w:sz w:val="24"/>
          <w:szCs w:val="24"/>
        </w:rPr>
        <w:t xml:space="preserve"> [11]</w:t>
      </w:r>
      <w:r w:rsidRPr="00F94EAD">
        <w:rPr>
          <w:rFonts w:ascii="Times New Roman" w:hAnsi="Times New Roman" w:cs="Times New Roman"/>
          <w:sz w:val="24"/>
          <w:szCs w:val="24"/>
        </w:rPr>
        <w:t xml:space="preserve">; </w:t>
      </w:r>
      <w:r w:rsidR="00772D66" w:rsidRPr="00F94EAD">
        <w:rPr>
          <w:rFonts w:ascii="Times New Roman" w:eastAsia="PMingLiU" w:hAnsi="Times New Roman" w:cs="Times New Roman"/>
          <w:sz w:val="24"/>
          <w:szCs w:val="24"/>
        </w:rPr>
        <w:t>Brown, Christensen, Elliott, and Mergenthaler</w:t>
      </w:r>
      <w:r w:rsidRPr="00F94EAD">
        <w:rPr>
          <w:rFonts w:ascii="Times New Roman" w:hAnsi="Times New Roman" w:cs="Times New Roman"/>
          <w:sz w:val="24"/>
          <w:szCs w:val="24"/>
        </w:rPr>
        <w:t>, 2012</w:t>
      </w:r>
      <w:r w:rsidR="007468A4">
        <w:rPr>
          <w:rFonts w:ascii="Times New Roman" w:hAnsi="Times New Roman" w:cs="Times New Roman"/>
          <w:sz w:val="24"/>
          <w:szCs w:val="24"/>
        </w:rPr>
        <w:t xml:space="preserve"> [21]</w:t>
      </w:r>
      <w:r w:rsidRPr="00F94EAD">
        <w:rPr>
          <w:rFonts w:ascii="Times New Roman" w:hAnsi="Times New Roman" w:cs="Times New Roman"/>
          <w:sz w:val="24"/>
          <w:szCs w:val="24"/>
        </w:rPr>
        <w:t>; Isidro and Marques, 2015</w:t>
      </w:r>
      <w:r w:rsidR="00EB0B5B">
        <w:rPr>
          <w:rFonts w:ascii="Times New Roman" w:hAnsi="Times New Roman" w:cs="Times New Roman"/>
          <w:sz w:val="24"/>
          <w:szCs w:val="24"/>
        </w:rPr>
        <w:t xml:space="preserve"> [4</w:t>
      </w:r>
      <w:r w:rsidR="00873576">
        <w:rPr>
          <w:rFonts w:ascii="Times New Roman" w:hAnsi="Times New Roman" w:cs="Times New Roman"/>
          <w:sz w:val="24"/>
          <w:szCs w:val="24"/>
        </w:rPr>
        <w:t>4</w:t>
      </w:r>
      <w:r w:rsidR="00EB0B5B">
        <w:rPr>
          <w:rFonts w:ascii="Times New Roman" w:hAnsi="Times New Roman" w:cs="Times New Roman"/>
          <w:sz w:val="24"/>
          <w:szCs w:val="24"/>
        </w:rPr>
        <w:t>]</w:t>
      </w:r>
      <w:r w:rsidRPr="00F94EAD">
        <w:rPr>
          <w:rFonts w:ascii="Times New Roman" w:hAnsi="Times New Roman" w:cs="Times New Roman"/>
          <w:sz w:val="24"/>
          <w:szCs w:val="24"/>
        </w:rPr>
        <w:t xml:space="preserve">; </w:t>
      </w:r>
      <w:r w:rsidR="00484C31" w:rsidRPr="00F94EAD">
        <w:rPr>
          <w:rFonts w:ascii="Times New Roman" w:eastAsia="PMingLiU" w:hAnsi="Times New Roman" w:cs="Times New Roman"/>
          <w:sz w:val="24"/>
          <w:szCs w:val="24"/>
        </w:rPr>
        <w:t>Christensen, Pei, Pierce, and Tan,</w:t>
      </w:r>
      <w:r w:rsidR="00484C31" w:rsidRPr="00F94EAD" w:rsidDel="00484C31">
        <w:rPr>
          <w:rFonts w:ascii="Times New Roman" w:hAnsi="Times New Roman" w:cs="Times New Roman"/>
          <w:sz w:val="24"/>
          <w:szCs w:val="24"/>
        </w:rPr>
        <w:t xml:space="preserve"> </w:t>
      </w:r>
      <w:r w:rsidRPr="00F94EAD">
        <w:rPr>
          <w:rFonts w:ascii="Times New Roman" w:hAnsi="Times New Roman" w:cs="Times New Roman"/>
          <w:sz w:val="24"/>
          <w:szCs w:val="24"/>
        </w:rPr>
        <w:t>2019</w:t>
      </w:r>
      <w:r w:rsidR="00F70E1E">
        <w:rPr>
          <w:rFonts w:ascii="Times New Roman" w:hAnsi="Times New Roman" w:cs="Times New Roman"/>
          <w:sz w:val="24"/>
          <w:szCs w:val="24"/>
        </w:rPr>
        <w:t xml:space="preserve"> [25]</w:t>
      </w:r>
      <w:r w:rsidRPr="00F94EAD">
        <w:rPr>
          <w:rFonts w:ascii="Times New Roman" w:hAnsi="Times New Roman" w:cs="Times New Roman"/>
          <w:sz w:val="24"/>
          <w:szCs w:val="24"/>
        </w:rPr>
        <w:t xml:space="preserve">; </w:t>
      </w:r>
      <w:r w:rsidR="009F6335" w:rsidRPr="00F94EAD">
        <w:rPr>
          <w:rFonts w:ascii="Times New Roman" w:eastAsia="PMingLiU" w:hAnsi="Times New Roman" w:cs="Times New Roman"/>
          <w:sz w:val="24"/>
          <w:szCs w:val="24"/>
        </w:rPr>
        <w:t>Kyung, Lee, and Marquardt,</w:t>
      </w:r>
      <w:r w:rsidR="009F6335" w:rsidRPr="00F94EAD" w:rsidDel="009F6335">
        <w:rPr>
          <w:rFonts w:ascii="Times New Roman" w:hAnsi="Times New Roman" w:cs="Times New Roman"/>
          <w:sz w:val="24"/>
          <w:szCs w:val="24"/>
        </w:rPr>
        <w:t xml:space="preserve"> </w:t>
      </w:r>
      <w:r w:rsidRPr="00F94EAD">
        <w:rPr>
          <w:rFonts w:ascii="Times New Roman" w:hAnsi="Times New Roman" w:cs="Times New Roman"/>
          <w:sz w:val="24"/>
          <w:szCs w:val="24"/>
        </w:rPr>
        <w:t>2019</w:t>
      </w:r>
      <w:r w:rsidR="00D9767E">
        <w:rPr>
          <w:rFonts w:ascii="Times New Roman" w:hAnsi="Times New Roman" w:cs="Times New Roman"/>
          <w:sz w:val="24"/>
          <w:szCs w:val="24"/>
        </w:rPr>
        <w:t xml:space="preserve"> [48]</w:t>
      </w:r>
      <w:r w:rsidRPr="00F94EAD">
        <w:rPr>
          <w:rFonts w:ascii="Times New Roman" w:hAnsi="Times New Roman" w:cs="Times New Roman"/>
          <w:sz w:val="24"/>
          <w:szCs w:val="24"/>
        </w:rPr>
        <w:t>), less attention has been paid to the effect of such pro forma disclosures on the market’s perception of firm value. This study</w:t>
      </w:r>
      <w:r w:rsidR="001A0703" w:rsidRPr="00F94EAD">
        <w:rPr>
          <w:rFonts w:ascii="Times New Roman" w:hAnsi="Times New Roman" w:cs="Times New Roman"/>
          <w:sz w:val="24"/>
          <w:szCs w:val="24"/>
        </w:rPr>
        <w:t xml:space="preserve"> examines</w:t>
      </w:r>
      <w:r w:rsidRPr="00F94EAD">
        <w:rPr>
          <w:rFonts w:ascii="Times New Roman" w:hAnsi="Times New Roman" w:cs="Times New Roman"/>
          <w:sz w:val="24"/>
          <w:szCs w:val="24"/>
        </w:rPr>
        <w:t xml:space="preserve"> </w:t>
      </w:r>
      <w:r w:rsidR="001A0703" w:rsidRPr="00F94EAD">
        <w:rPr>
          <w:rFonts w:ascii="Times New Roman" w:hAnsi="Times New Roman" w:cs="Times New Roman"/>
          <w:sz w:val="24"/>
          <w:szCs w:val="24"/>
        </w:rPr>
        <w:t xml:space="preserve">the effect of </w:t>
      </w:r>
      <w:r w:rsidRPr="009F0187">
        <w:rPr>
          <w:rFonts w:ascii="Times New Roman" w:hAnsi="Times New Roman" w:cs="Times New Roman"/>
          <w:sz w:val="24"/>
          <w:szCs w:val="24"/>
        </w:rPr>
        <w:t xml:space="preserve">such voluntary disclosures </w:t>
      </w:r>
      <w:r w:rsidR="001A0703" w:rsidRPr="00F94EAD">
        <w:rPr>
          <w:rFonts w:ascii="Times New Roman" w:hAnsi="Times New Roman" w:cs="Times New Roman"/>
          <w:sz w:val="24"/>
          <w:szCs w:val="24"/>
        </w:rPr>
        <w:t>on</w:t>
      </w:r>
      <w:r w:rsidRPr="009F0187">
        <w:rPr>
          <w:rFonts w:ascii="Times New Roman" w:hAnsi="Times New Roman" w:cs="Times New Roman"/>
          <w:sz w:val="24"/>
          <w:szCs w:val="24"/>
        </w:rPr>
        <w:t xml:space="preserve"> stock </w:t>
      </w:r>
      <w:proofErr w:type="spellStart"/>
      <w:r w:rsidRPr="009F0187">
        <w:rPr>
          <w:rFonts w:ascii="Times New Roman" w:hAnsi="Times New Roman" w:cs="Times New Roman"/>
          <w:sz w:val="24"/>
          <w:szCs w:val="24"/>
        </w:rPr>
        <w:t>misvaluation</w:t>
      </w:r>
      <w:proofErr w:type="spellEnd"/>
      <w:r w:rsidRPr="009F0187">
        <w:rPr>
          <w:rFonts w:ascii="Times New Roman" w:hAnsi="Times New Roman" w:cs="Times New Roman"/>
          <w:sz w:val="24"/>
          <w:szCs w:val="24"/>
        </w:rPr>
        <w:t xml:space="preserve"> (defined as a deviation of share price from its fundamental value). </w:t>
      </w:r>
    </w:p>
    <w:p w:rsidR="00BA3EC7" w:rsidRPr="00F94EAD" w:rsidRDefault="0018159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Firms are required to report earnings according to generally accepted accounting principles (GAAP), but frequently also provide adjusted earnings numbers (so-called pro </w:t>
      </w:r>
      <w:r w:rsidRPr="00F94EAD">
        <w:rPr>
          <w:rFonts w:ascii="Times New Roman" w:hAnsi="Times New Roman" w:cs="Times New Roman"/>
          <w:sz w:val="24"/>
          <w:szCs w:val="24"/>
        </w:rPr>
        <w:t>forma earnings). Different to the required reported earnings, pro forma earnings exclude expenses items that management considers as non-recurring such as restructuring costs (</w:t>
      </w:r>
      <w:r w:rsidR="00E45F80" w:rsidRPr="00F94EAD">
        <w:rPr>
          <w:rFonts w:ascii="Times New Roman" w:eastAsia="PMingLiU" w:hAnsi="Times New Roman" w:cs="Times New Roman"/>
          <w:sz w:val="24"/>
          <w:szCs w:val="24"/>
        </w:rPr>
        <w:t>Bhattacharya, Black, Christensen, and Mergenthaler</w:t>
      </w:r>
      <w:r w:rsidR="00E45F80" w:rsidRPr="00F94EAD">
        <w:rPr>
          <w:rFonts w:ascii="Times New Roman" w:hAnsi="Times New Roman" w:cs="Times New Roman"/>
          <w:sz w:val="24"/>
          <w:szCs w:val="24"/>
        </w:rPr>
        <w:t xml:space="preserve">, </w:t>
      </w:r>
      <w:r w:rsidRPr="00F94EAD">
        <w:rPr>
          <w:rFonts w:ascii="Times New Roman" w:hAnsi="Times New Roman" w:cs="Times New Roman"/>
          <w:sz w:val="24"/>
          <w:szCs w:val="24"/>
        </w:rPr>
        <w:t>2007)</w:t>
      </w:r>
      <w:r w:rsidR="002103B1">
        <w:rPr>
          <w:rFonts w:ascii="Times New Roman" w:hAnsi="Times New Roman" w:cs="Times New Roman"/>
          <w:sz w:val="24"/>
          <w:szCs w:val="24"/>
        </w:rPr>
        <w:t xml:space="preserve"> [10]</w:t>
      </w:r>
      <w:r w:rsidRPr="00F94EAD">
        <w:rPr>
          <w:rFonts w:ascii="Times New Roman" w:hAnsi="Times New Roman" w:cs="Times New Roman"/>
          <w:sz w:val="24"/>
          <w:szCs w:val="24"/>
        </w:rPr>
        <w:t>. The firms’ intention is to show a more accurate</w:t>
      </w:r>
      <w:r>
        <w:rPr>
          <w:rFonts w:ascii="Times New Roman" w:hAnsi="Times New Roman" w:cs="Times New Roman"/>
          <w:sz w:val="24"/>
          <w:szCs w:val="24"/>
        </w:rPr>
        <w:t xml:space="preserve"> picture of performance as these one-off cost items may distort real underlying performance (Bhattacharya et al., 2007)</w:t>
      </w:r>
      <w:r w:rsidR="002103B1">
        <w:rPr>
          <w:rFonts w:ascii="Times New Roman" w:hAnsi="Times New Roman" w:cs="Times New Roman"/>
          <w:sz w:val="24"/>
          <w:szCs w:val="24"/>
        </w:rPr>
        <w:t xml:space="preserve"> [10]</w:t>
      </w:r>
      <w:r>
        <w:rPr>
          <w:rFonts w:ascii="Times New Roman" w:hAnsi="Times New Roman" w:cs="Times New Roman"/>
          <w:sz w:val="24"/>
          <w:szCs w:val="24"/>
        </w:rPr>
        <w:t>.  Critics, however, argue that these numbers are self-serving and misleading investors, as they can be used to deflect attention from poor performance and to present the firm in a better light (e.g. Christensen, 2007</w:t>
      </w:r>
      <w:r w:rsidR="00E218D8">
        <w:rPr>
          <w:rFonts w:ascii="Times New Roman" w:hAnsi="Times New Roman" w:cs="Times New Roman"/>
          <w:sz w:val="24"/>
          <w:szCs w:val="24"/>
        </w:rPr>
        <w:t xml:space="preserve"> [24]</w:t>
      </w:r>
      <w:r>
        <w:rPr>
          <w:rFonts w:ascii="Times New Roman" w:hAnsi="Times New Roman" w:cs="Times New Roman"/>
          <w:sz w:val="24"/>
          <w:szCs w:val="24"/>
        </w:rPr>
        <w:t xml:space="preserve">; Black and </w:t>
      </w:r>
      <w:r w:rsidRPr="00F94EAD">
        <w:rPr>
          <w:rFonts w:ascii="Times New Roman" w:hAnsi="Times New Roman" w:cs="Times New Roman"/>
          <w:sz w:val="24"/>
          <w:szCs w:val="24"/>
        </w:rPr>
        <w:t>Christensen, 2009</w:t>
      </w:r>
      <w:r w:rsidR="00DB731F">
        <w:rPr>
          <w:rFonts w:ascii="Times New Roman" w:hAnsi="Times New Roman" w:cs="Times New Roman"/>
          <w:sz w:val="24"/>
          <w:szCs w:val="24"/>
        </w:rPr>
        <w:t xml:space="preserve"> [11]</w:t>
      </w:r>
      <w:r w:rsidRPr="00F94EAD">
        <w:rPr>
          <w:rFonts w:ascii="Times New Roman" w:hAnsi="Times New Roman" w:cs="Times New Roman"/>
          <w:sz w:val="24"/>
          <w:szCs w:val="24"/>
        </w:rPr>
        <w:t xml:space="preserve">). </w:t>
      </w:r>
      <w:r w:rsidR="009B6BF9" w:rsidRPr="00F94EAD">
        <w:rPr>
          <w:rFonts w:ascii="Times New Roman" w:hAnsi="Times New Roman" w:cs="Times New Roman"/>
          <w:sz w:val="24"/>
          <w:szCs w:val="24"/>
        </w:rPr>
        <w:t>When the market is able to see through opportunistic motives and considers disclosures to be not credible, firms get penalized with a negative reaction, i.e. lower share price (</w:t>
      </w:r>
      <w:r w:rsidR="007453A2" w:rsidRPr="00F94EAD">
        <w:rPr>
          <w:rFonts w:ascii="Times New Roman" w:eastAsia="PMingLiU" w:hAnsi="Times New Roman" w:cs="Times New Roman"/>
          <w:sz w:val="24"/>
          <w:szCs w:val="24"/>
        </w:rPr>
        <w:t>Landsman, Miller, and Yeh</w:t>
      </w:r>
      <w:r w:rsidR="007453A2" w:rsidRPr="00F94EAD">
        <w:rPr>
          <w:rFonts w:ascii="Times New Roman" w:hAnsi="Times New Roman" w:cs="Times New Roman"/>
          <w:sz w:val="24"/>
          <w:szCs w:val="24"/>
        </w:rPr>
        <w:t xml:space="preserve">, </w:t>
      </w:r>
      <w:r w:rsidR="009B6BF9" w:rsidRPr="00F94EAD">
        <w:rPr>
          <w:rFonts w:ascii="Times New Roman" w:hAnsi="Times New Roman" w:cs="Times New Roman"/>
          <w:sz w:val="24"/>
          <w:szCs w:val="24"/>
        </w:rPr>
        <w:t>2007</w:t>
      </w:r>
      <w:r w:rsidR="00E77F4C">
        <w:rPr>
          <w:rFonts w:ascii="Times New Roman" w:hAnsi="Times New Roman" w:cs="Times New Roman"/>
          <w:sz w:val="24"/>
          <w:szCs w:val="24"/>
        </w:rPr>
        <w:t xml:space="preserve"> [50]</w:t>
      </w:r>
      <w:r w:rsidR="009B6BF9" w:rsidRPr="00F94EAD">
        <w:rPr>
          <w:rFonts w:ascii="Times New Roman" w:hAnsi="Times New Roman" w:cs="Times New Roman"/>
          <w:sz w:val="24"/>
          <w:szCs w:val="24"/>
        </w:rPr>
        <w:t xml:space="preserve">; </w:t>
      </w:r>
      <w:r w:rsidR="003351FB" w:rsidRPr="00F94EAD">
        <w:rPr>
          <w:rFonts w:ascii="Times New Roman" w:eastAsia="PMingLiU" w:hAnsi="Times New Roman" w:cs="Times New Roman"/>
          <w:sz w:val="24"/>
          <w:szCs w:val="24"/>
        </w:rPr>
        <w:t>Doyle, Jennings, and Soliman</w:t>
      </w:r>
      <w:r w:rsidR="009B6BF9" w:rsidRPr="00F94EAD">
        <w:rPr>
          <w:rFonts w:ascii="Times New Roman" w:hAnsi="Times New Roman" w:cs="Times New Roman"/>
          <w:sz w:val="24"/>
          <w:szCs w:val="24"/>
        </w:rPr>
        <w:t>, 2013</w:t>
      </w:r>
      <w:r w:rsidR="0007708B">
        <w:rPr>
          <w:rFonts w:ascii="Times New Roman" w:hAnsi="Times New Roman" w:cs="Times New Roman"/>
          <w:sz w:val="24"/>
          <w:szCs w:val="24"/>
        </w:rPr>
        <w:t xml:space="preserve"> [3</w:t>
      </w:r>
      <w:r w:rsidR="00BE4F45">
        <w:rPr>
          <w:rFonts w:ascii="Times New Roman" w:hAnsi="Times New Roman" w:cs="Times New Roman"/>
          <w:sz w:val="24"/>
          <w:szCs w:val="24"/>
        </w:rPr>
        <w:t>3</w:t>
      </w:r>
      <w:r w:rsidR="0007708B">
        <w:rPr>
          <w:rFonts w:ascii="Times New Roman" w:hAnsi="Times New Roman" w:cs="Times New Roman"/>
          <w:sz w:val="24"/>
          <w:szCs w:val="24"/>
        </w:rPr>
        <w:t>]</w:t>
      </w:r>
      <w:r w:rsidR="009B6BF9" w:rsidRPr="00F94EAD">
        <w:rPr>
          <w:rFonts w:ascii="Times New Roman" w:hAnsi="Times New Roman" w:cs="Times New Roman"/>
          <w:sz w:val="24"/>
          <w:szCs w:val="24"/>
        </w:rPr>
        <w:t>; Whipple, 201</w:t>
      </w:r>
      <w:r w:rsidR="00751EFA">
        <w:rPr>
          <w:rFonts w:ascii="Times New Roman" w:hAnsi="Times New Roman" w:cs="Times New Roman"/>
          <w:sz w:val="24"/>
          <w:szCs w:val="24"/>
        </w:rPr>
        <w:t>5</w:t>
      </w:r>
      <w:r w:rsidR="0007708B">
        <w:rPr>
          <w:rFonts w:ascii="Times New Roman" w:hAnsi="Times New Roman" w:cs="Times New Roman"/>
          <w:sz w:val="24"/>
          <w:szCs w:val="24"/>
        </w:rPr>
        <w:t xml:space="preserve"> [6</w:t>
      </w:r>
      <w:r w:rsidR="0093520F">
        <w:rPr>
          <w:rFonts w:ascii="Times New Roman" w:hAnsi="Times New Roman" w:cs="Times New Roman"/>
          <w:sz w:val="24"/>
          <w:szCs w:val="24"/>
        </w:rPr>
        <w:t>4</w:t>
      </w:r>
      <w:r w:rsidR="0007708B">
        <w:rPr>
          <w:rFonts w:ascii="Times New Roman" w:hAnsi="Times New Roman" w:cs="Times New Roman"/>
          <w:sz w:val="24"/>
          <w:szCs w:val="24"/>
        </w:rPr>
        <w:t>]</w:t>
      </w:r>
      <w:r w:rsidR="009B6BF9" w:rsidRPr="00F94EAD">
        <w:rPr>
          <w:rFonts w:ascii="Times New Roman" w:hAnsi="Times New Roman" w:cs="Times New Roman"/>
          <w:sz w:val="24"/>
          <w:szCs w:val="24"/>
        </w:rPr>
        <w:t xml:space="preserve">; </w:t>
      </w:r>
      <w:r w:rsidR="003351FB" w:rsidRPr="00F94EAD">
        <w:rPr>
          <w:rFonts w:ascii="Times New Roman" w:eastAsia="PMingLiU" w:hAnsi="Times New Roman" w:cs="Times New Roman"/>
          <w:sz w:val="24"/>
          <w:szCs w:val="24"/>
        </w:rPr>
        <w:t>Black, Christensen, Ciesielski, and Whipple</w:t>
      </w:r>
      <w:r w:rsidR="003351FB" w:rsidRPr="00F94EAD">
        <w:rPr>
          <w:rFonts w:ascii="Times New Roman" w:hAnsi="Times New Roman" w:cs="Times New Roman"/>
          <w:sz w:val="24"/>
          <w:szCs w:val="24"/>
        </w:rPr>
        <w:t>,</w:t>
      </w:r>
      <w:r w:rsidR="009B6BF9" w:rsidRPr="00F94EAD">
        <w:rPr>
          <w:rFonts w:ascii="Times New Roman" w:hAnsi="Times New Roman" w:cs="Times New Roman"/>
          <w:sz w:val="24"/>
          <w:szCs w:val="24"/>
        </w:rPr>
        <w:t xml:space="preserve"> 2018b</w:t>
      </w:r>
      <w:r w:rsidR="00231ADA">
        <w:rPr>
          <w:rFonts w:ascii="Times New Roman" w:hAnsi="Times New Roman" w:cs="Times New Roman"/>
          <w:sz w:val="24"/>
          <w:szCs w:val="24"/>
        </w:rPr>
        <w:t xml:space="preserve"> [15]</w:t>
      </w:r>
      <w:r w:rsidR="009B6BF9" w:rsidRPr="00F94EAD">
        <w:rPr>
          <w:rFonts w:ascii="Times New Roman" w:hAnsi="Times New Roman" w:cs="Times New Roman"/>
          <w:sz w:val="24"/>
          <w:szCs w:val="24"/>
        </w:rPr>
        <w:t>). If, however, the market can be misled, then there is potentially</w:t>
      </w:r>
      <w:r w:rsidR="009B6BF9" w:rsidRPr="00261942">
        <w:rPr>
          <w:rFonts w:ascii="Times New Roman" w:hAnsi="Times New Roman" w:cs="Times New Roman"/>
          <w:sz w:val="24"/>
          <w:szCs w:val="24"/>
        </w:rPr>
        <w:t xml:space="preserve"> an element of mispricing related to pro forma earnings. </w:t>
      </w:r>
      <w:r>
        <w:rPr>
          <w:rFonts w:ascii="Times New Roman" w:hAnsi="Times New Roman" w:cs="Times New Roman"/>
          <w:sz w:val="24"/>
          <w:szCs w:val="24"/>
        </w:rPr>
        <w:t xml:space="preserve">Having said that, investors and analysts still widely use these adjustments for </w:t>
      </w:r>
      <w:proofErr w:type="spellStart"/>
      <w:r>
        <w:rPr>
          <w:rFonts w:ascii="Times New Roman" w:hAnsi="Times New Roman" w:cs="Times New Roman"/>
          <w:sz w:val="24"/>
          <w:szCs w:val="24"/>
        </w:rPr>
        <w:t>analyzing</w:t>
      </w:r>
      <w:proofErr w:type="spellEnd"/>
      <w:r>
        <w:rPr>
          <w:rFonts w:ascii="Times New Roman" w:hAnsi="Times New Roman" w:cs="Times New Roman"/>
          <w:sz w:val="24"/>
          <w:szCs w:val="24"/>
        </w:rPr>
        <w:t xml:space="preserve"> firm performance and for making investment decisions. This practice can </w:t>
      </w:r>
      <w:r w:rsidR="009B6BF9">
        <w:rPr>
          <w:rFonts w:ascii="Times New Roman" w:hAnsi="Times New Roman" w:cs="Times New Roman"/>
          <w:sz w:val="24"/>
          <w:szCs w:val="24"/>
        </w:rPr>
        <w:t xml:space="preserve">therefore </w:t>
      </w:r>
      <w:r>
        <w:rPr>
          <w:rFonts w:ascii="Times New Roman" w:hAnsi="Times New Roman" w:cs="Times New Roman"/>
          <w:sz w:val="24"/>
          <w:szCs w:val="24"/>
        </w:rPr>
        <w:t xml:space="preserve">result in </w:t>
      </w:r>
      <w:r>
        <w:rPr>
          <w:rFonts w:ascii="Times New Roman" w:hAnsi="Times New Roman" w:cs="Times New Roman"/>
          <w:sz w:val="24"/>
          <w:szCs w:val="24"/>
        </w:rPr>
        <w:lastRenderedPageBreak/>
        <w:t xml:space="preserve">misallocation of capital, particularly by less sophisticated investors who </w:t>
      </w:r>
      <w:r w:rsidRPr="00F94EAD">
        <w:rPr>
          <w:rFonts w:ascii="Times New Roman" w:hAnsi="Times New Roman" w:cs="Times New Roman"/>
          <w:sz w:val="24"/>
          <w:szCs w:val="24"/>
        </w:rPr>
        <w:t>are more susceptible to being misled than professionals (Bhattacharya et al., 2007)</w:t>
      </w:r>
      <w:r w:rsidR="00E057DA">
        <w:rPr>
          <w:rFonts w:ascii="Times New Roman" w:hAnsi="Times New Roman" w:cs="Times New Roman"/>
          <w:sz w:val="24"/>
          <w:szCs w:val="24"/>
        </w:rPr>
        <w:t xml:space="preserve"> [10]</w:t>
      </w:r>
      <w:r w:rsidRPr="00F94EAD">
        <w:rPr>
          <w:rFonts w:ascii="Times New Roman" w:hAnsi="Times New Roman" w:cs="Times New Roman"/>
          <w:sz w:val="24"/>
          <w:szCs w:val="24"/>
        </w:rPr>
        <w:t xml:space="preserve">.  </w:t>
      </w:r>
    </w:p>
    <w:p w:rsidR="00BA3EC7" w:rsidRDefault="00181591">
      <w:pPr>
        <w:spacing w:after="0" w:line="480" w:lineRule="auto"/>
        <w:ind w:firstLine="426"/>
        <w:jc w:val="both"/>
        <w:rPr>
          <w:rFonts w:ascii="Times New Roman" w:hAnsi="Times New Roman" w:cs="Times New Roman"/>
          <w:sz w:val="24"/>
          <w:szCs w:val="24"/>
        </w:rPr>
      </w:pPr>
      <w:r w:rsidRPr="00F94EAD">
        <w:rPr>
          <w:rFonts w:ascii="Times New Roman" w:hAnsi="Times New Roman" w:cs="Times New Roman"/>
          <w:sz w:val="24"/>
          <w:szCs w:val="24"/>
        </w:rPr>
        <w:t>Early studies on the value relevance of pro forma earnings disclosures have provided some evidence that such adjusted earnings have incremental information content (e.g. Bradshaw and Sloan, 2002</w:t>
      </w:r>
      <w:r w:rsidR="004B435F">
        <w:rPr>
          <w:rFonts w:ascii="Times New Roman" w:hAnsi="Times New Roman" w:cs="Times New Roman"/>
          <w:sz w:val="24"/>
          <w:szCs w:val="24"/>
        </w:rPr>
        <w:t xml:space="preserve"> [17]</w:t>
      </w:r>
      <w:r w:rsidRPr="00F94EAD">
        <w:rPr>
          <w:rFonts w:ascii="Times New Roman" w:hAnsi="Times New Roman" w:cs="Times New Roman"/>
          <w:sz w:val="24"/>
          <w:szCs w:val="24"/>
        </w:rPr>
        <w:t xml:space="preserve">; </w:t>
      </w:r>
      <w:r w:rsidR="00933E07" w:rsidRPr="00F94EAD">
        <w:rPr>
          <w:rFonts w:ascii="Times New Roman" w:eastAsia="PMingLiU" w:hAnsi="Times New Roman" w:cs="Times New Roman"/>
          <w:sz w:val="24"/>
          <w:szCs w:val="24"/>
        </w:rPr>
        <w:t>Bhattacharya, Black, Christensen, &amp; Larson,</w:t>
      </w:r>
      <w:r w:rsidR="00074010" w:rsidRPr="00F94EAD">
        <w:rPr>
          <w:rFonts w:ascii="Times New Roman" w:eastAsia="PMingLiU" w:hAnsi="Times New Roman" w:cs="Times New Roman"/>
          <w:sz w:val="24"/>
          <w:szCs w:val="24"/>
        </w:rPr>
        <w:t xml:space="preserve"> 2003</w:t>
      </w:r>
      <w:r w:rsidR="00C6786D">
        <w:rPr>
          <w:rFonts w:ascii="Times New Roman" w:eastAsia="PMingLiU" w:hAnsi="Times New Roman" w:cs="Times New Roman"/>
          <w:sz w:val="24"/>
          <w:szCs w:val="24"/>
        </w:rPr>
        <w:t xml:space="preserve"> [9]</w:t>
      </w:r>
      <w:r w:rsidRPr="00F94EAD">
        <w:rPr>
          <w:rFonts w:ascii="Times New Roman" w:hAnsi="Times New Roman" w:cs="Times New Roman"/>
          <w:sz w:val="24"/>
          <w:szCs w:val="24"/>
        </w:rPr>
        <w:t xml:space="preserve">; </w:t>
      </w:r>
      <w:proofErr w:type="spellStart"/>
      <w:r w:rsidRPr="00F94EAD">
        <w:rPr>
          <w:rFonts w:ascii="Times New Roman" w:hAnsi="Times New Roman" w:cs="Times New Roman"/>
          <w:sz w:val="24"/>
          <w:szCs w:val="24"/>
        </w:rPr>
        <w:t>Lougee</w:t>
      </w:r>
      <w:proofErr w:type="spellEnd"/>
      <w:r w:rsidRPr="00F94EAD">
        <w:rPr>
          <w:rFonts w:ascii="Times New Roman" w:hAnsi="Times New Roman" w:cs="Times New Roman"/>
          <w:sz w:val="24"/>
          <w:szCs w:val="24"/>
        </w:rPr>
        <w:t xml:space="preserve"> and Marquardt, 2004</w:t>
      </w:r>
      <w:r w:rsidR="00EA4348">
        <w:rPr>
          <w:rFonts w:ascii="Times New Roman" w:hAnsi="Times New Roman" w:cs="Times New Roman"/>
          <w:sz w:val="24"/>
          <w:szCs w:val="24"/>
        </w:rPr>
        <w:t xml:space="preserve"> [55]</w:t>
      </w:r>
      <w:r w:rsidRPr="00F94EAD">
        <w:rPr>
          <w:rFonts w:ascii="Times New Roman" w:hAnsi="Times New Roman" w:cs="Times New Roman"/>
          <w:sz w:val="24"/>
          <w:szCs w:val="24"/>
        </w:rPr>
        <w:t>; Fredrickson and Miller, 2004</w:t>
      </w:r>
      <w:r w:rsidR="006E235E">
        <w:rPr>
          <w:rFonts w:ascii="Times New Roman" w:hAnsi="Times New Roman" w:cs="Times New Roman"/>
          <w:sz w:val="24"/>
          <w:szCs w:val="24"/>
        </w:rPr>
        <w:t xml:space="preserve"> [3</w:t>
      </w:r>
      <w:r w:rsidR="00873576">
        <w:rPr>
          <w:rFonts w:ascii="Times New Roman" w:hAnsi="Times New Roman" w:cs="Times New Roman"/>
          <w:sz w:val="24"/>
          <w:szCs w:val="24"/>
        </w:rPr>
        <w:t>6</w:t>
      </w:r>
      <w:r w:rsidR="006E235E">
        <w:rPr>
          <w:rFonts w:ascii="Times New Roman" w:hAnsi="Times New Roman" w:cs="Times New Roman"/>
          <w:sz w:val="24"/>
          <w:szCs w:val="24"/>
        </w:rPr>
        <w:t>]</w:t>
      </w:r>
      <w:r w:rsidRPr="00F94EAD">
        <w:rPr>
          <w:rFonts w:ascii="Times New Roman" w:hAnsi="Times New Roman" w:cs="Times New Roman"/>
          <w:sz w:val="24"/>
          <w:szCs w:val="24"/>
        </w:rPr>
        <w:t xml:space="preserve">) and may be linked to mispricing (e.g. </w:t>
      </w:r>
      <w:proofErr w:type="spellStart"/>
      <w:r w:rsidRPr="00F94EAD">
        <w:rPr>
          <w:rFonts w:ascii="Times New Roman" w:hAnsi="Times New Roman" w:cs="Times New Roman"/>
          <w:sz w:val="24"/>
          <w:szCs w:val="24"/>
        </w:rPr>
        <w:t>Hirshleifer</w:t>
      </w:r>
      <w:proofErr w:type="spellEnd"/>
      <w:r w:rsidRPr="00F94EAD">
        <w:rPr>
          <w:rFonts w:ascii="Times New Roman" w:hAnsi="Times New Roman" w:cs="Times New Roman"/>
          <w:sz w:val="24"/>
          <w:szCs w:val="24"/>
        </w:rPr>
        <w:t xml:space="preserve"> and Teoh, 2003</w:t>
      </w:r>
      <w:r w:rsidR="00815324">
        <w:rPr>
          <w:rFonts w:ascii="Times New Roman" w:hAnsi="Times New Roman" w:cs="Times New Roman"/>
          <w:sz w:val="24"/>
          <w:szCs w:val="24"/>
        </w:rPr>
        <w:t xml:space="preserve"> [</w:t>
      </w:r>
      <w:r w:rsidR="00431A49">
        <w:rPr>
          <w:rFonts w:ascii="Times New Roman" w:hAnsi="Times New Roman" w:cs="Times New Roman"/>
          <w:sz w:val="24"/>
          <w:szCs w:val="24"/>
        </w:rPr>
        <w:t>4</w:t>
      </w:r>
      <w:r w:rsidR="00873576">
        <w:rPr>
          <w:rFonts w:ascii="Times New Roman" w:hAnsi="Times New Roman" w:cs="Times New Roman"/>
          <w:sz w:val="24"/>
          <w:szCs w:val="24"/>
        </w:rPr>
        <w:t>1</w:t>
      </w:r>
      <w:r w:rsidR="00815324">
        <w:rPr>
          <w:rFonts w:ascii="Times New Roman" w:hAnsi="Times New Roman" w:cs="Times New Roman"/>
          <w:sz w:val="24"/>
          <w:szCs w:val="24"/>
        </w:rPr>
        <w:t>]</w:t>
      </w:r>
      <w:r w:rsidRPr="00F94EAD">
        <w:rPr>
          <w:rFonts w:ascii="Times New Roman" w:hAnsi="Times New Roman" w:cs="Times New Roman"/>
          <w:sz w:val="24"/>
          <w:szCs w:val="24"/>
        </w:rPr>
        <w:t xml:space="preserve">; </w:t>
      </w:r>
      <w:r w:rsidR="00074010" w:rsidRPr="00F94EAD">
        <w:rPr>
          <w:rFonts w:ascii="Times New Roman" w:eastAsia="PMingLiU" w:hAnsi="Times New Roman" w:cs="Times New Roman"/>
          <w:sz w:val="24"/>
          <w:szCs w:val="24"/>
        </w:rPr>
        <w:t xml:space="preserve">Doyle, </w:t>
      </w:r>
      <w:proofErr w:type="spellStart"/>
      <w:r w:rsidR="00074010" w:rsidRPr="00F94EAD">
        <w:rPr>
          <w:rFonts w:ascii="Times New Roman" w:eastAsia="PMingLiU" w:hAnsi="Times New Roman" w:cs="Times New Roman"/>
          <w:sz w:val="24"/>
          <w:szCs w:val="24"/>
        </w:rPr>
        <w:t>Lundholm</w:t>
      </w:r>
      <w:proofErr w:type="spellEnd"/>
      <w:r w:rsidR="00074010" w:rsidRPr="00F94EAD">
        <w:rPr>
          <w:rFonts w:ascii="Times New Roman" w:eastAsia="PMingLiU" w:hAnsi="Times New Roman" w:cs="Times New Roman"/>
          <w:sz w:val="24"/>
          <w:szCs w:val="24"/>
        </w:rPr>
        <w:t>, and Soliman,</w:t>
      </w:r>
      <w:r w:rsidR="00074010" w:rsidRPr="00F94EAD" w:rsidDel="00074010">
        <w:rPr>
          <w:rFonts w:ascii="Times New Roman" w:hAnsi="Times New Roman" w:cs="Times New Roman"/>
          <w:sz w:val="24"/>
          <w:szCs w:val="24"/>
        </w:rPr>
        <w:t xml:space="preserve"> </w:t>
      </w:r>
      <w:r w:rsidRPr="00F94EAD">
        <w:rPr>
          <w:rFonts w:ascii="Times New Roman" w:hAnsi="Times New Roman" w:cs="Times New Roman"/>
          <w:sz w:val="24"/>
          <w:szCs w:val="24"/>
        </w:rPr>
        <w:t>2003</w:t>
      </w:r>
      <w:r w:rsidR="00815324">
        <w:rPr>
          <w:rFonts w:ascii="Times New Roman" w:hAnsi="Times New Roman" w:cs="Times New Roman"/>
          <w:sz w:val="24"/>
          <w:szCs w:val="24"/>
        </w:rPr>
        <w:t xml:space="preserve"> [3</w:t>
      </w:r>
      <w:r w:rsidR="00BE4F45">
        <w:rPr>
          <w:rFonts w:ascii="Times New Roman" w:hAnsi="Times New Roman" w:cs="Times New Roman"/>
          <w:sz w:val="24"/>
          <w:szCs w:val="24"/>
        </w:rPr>
        <w:t>2</w:t>
      </w:r>
      <w:r w:rsidR="00815324">
        <w:rPr>
          <w:rFonts w:ascii="Times New Roman" w:hAnsi="Times New Roman" w:cs="Times New Roman"/>
          <w:sz w:val="24"/>
          <w:szCs w:val="24"/>
        </w:rPr>
        <w:t>]</w:t>
      </w:r>
      <w:r w:rsidRPr="00F94EAD">
        <w:rPr>
          <w:rFonts w:ascii="Times New Roman" w:hAnsi="Times New Roman" w:cs="Times New Roman"/>
          <w:sz w:val="24"/>
          <w:szCs w:val="24"/>
        </w:rPr>
        <w:t>).</w:t>
      </w:r>
      <w:r>
        <w:rPr>
          <w:rFonts w:ascii="Times New Roman" w:hAnsi="Times New Roman" w:cs="Times New Roman"/>
          <w:sz w:val="24"/>
          <w:szCs w:val="24"/>
        </w:rPr>
        <w:t xml:space="preserve"> </w:t>
      </w:r>
    </w:p>
    <w:p w:rsidR="007D5A45" w:rsidRPr="00852ECC" w:rsidRDefault="00181591">
      <w:pPr>
        <w:spacing w:after="0" w:line="480" w:lineRule="auto"/>
        <w:ind w:firstLine="426"/>
        <w:jc w:val="both"/>
        <w:rPr>
          <w:rFonts w:ascii="Times New Roman" w:hAnsi="Times New Roman" w:cs="Times New Roman"/>
          <w:sz w:val="24"/>
          <w:szCs w:val="24"/>
        </w:rPr>
      </w:pPr>
      <w:bookmarkStart w:id="0" w:name="move13474717"/>
      <w:bookmarkStart w:id="1" w:name="move13474527"/>
      <w:bookmarkEnd w:id="0"/>
      <w:bookmarkEnd w:id="1"/>
      <w:r w:rsidRPr="00F94EAD">
        <w:rPr>
          <w:rFonts w:ascii="Times New Roman" w:hAnsi="Times New Roman" w:cs="Times New Roman"/>
          <w:sz w:val="24"/>
          <w:szCs w:val="24"/>
        </w:rPr>
        <w:t>Since that early evidence</w:t>
      </w:r>
      <w:r w:rsidRPr="009F0187">
        <w:rPr>
          <w:rFonts w:ascii="Times New Roman" w:hAnsi="Times New Roman" w:cs="Times New Roman"/>
          <w:sz w:val="24"/>
          <w:szCs w:val="24"/>
        </w:rPr>
        <w:t xml:space="preserve">, pro forma </w:t>
      </w:r>
      <w:r>
        <w:rPr>
          <w:rFonts w:ascii="Times New Roman" w:hAnsi="Times New Roman" w:cs="Times New Roman"/>
          <w:sz w:val="24"/>
          <w:szCs w:val="24"/>
        </w:rPr>
        <w:t>disclosures have become subject to much more stringent regulations. A recent substantial increase in the use of pro forma earnings disclosures has led US regulators to apply greater scrutiny and modified guidelines</w:t>
      </w:r>
      <w:r w:rsidR="007D5A45">
        <w:rPr>
          <w:rStyle w:val="FootnoteAnchor"/>
          <w:rFonts w:ascii="Times New Roman" w:hAnsi="Times New Roman" w:cs="Times New Roman"/>
          <w:sz w:val="24"/>
          <w:szCs w:val="24"/>
        </w:rPr>
        <w:footnoteReference w:id="1"/>
      </w:r>
      <w:r w:rsidR="007D5A45">
        <w:rPr>
          <w:rFonts w:ascii="Times New Roman" w:hAnsi="Times New Roman" w:cs="Times New Roman"/>
          <w:sz w:val="24"/>
          <w:szCs w:val="24"/>
        </w:rPr>
        <w:t>, along with a number of new regulations to better regulate and curb their use in the wake of this increase (Zhang and Zheng, 2011</w:t>
      </w:r>
      <w:r w:rsidR="001129C3">
        <w:rPr>
          <w:rFonts w:ascii="Times New Roman" w:hAnsi="Times New Roman" w:cs="Times New Roman"/>
          <w:sz w:val="24"/>
          <w:szCs w:val="24"/>
        </w:rPr>
        <w:t xml:space="preserve"> [6</w:t>
      </w:r>
      <w:r w:rsidR="00D550F5">
        <w:rPr>
          <w:rFonts w:ascii="Times New Roman" w:hAnsi="Times New Roman" w:cs="Times New Roman"/>
          <w:sz w:val="24"/>
          <w:szCs w:val="24"/>
        </w:rPr>
        <w:t>8</w:t>
      </w:r>
      <w:r w:rsidR="001129C3">
        <w:rPr>
          <w:rFonts w:ascii="Times New Roman" w:hAnsi="Times New Roman" w:cs="Times New Roman"/>
          <w:sz w:val="24"/>
          <w:szCs w:val="24"/>
        </w:rPr>
        <w:t>]</w:t>
      </w:r>
      <w:r w:rsidR="007D5A45">
        <w:rPr>
          <w:rFonts w:ascii="Times New Roman" w:hAnsi="Times New Roman" w:cs="Times New Roman"/>
          <w:sz w:val="24"/>
          <w:szCs w:val="24"/>
        </w:rPr>
        <w:t>; Black et al., 2018b</w:t>
      </w:r>
      <w:r w:rsidR="00231ADA">
        <w:rPr>
          <w:rFonts w:ascii="Times New Roman" w:hAnsi="Times New Roman" w:cs="Times New Roman"/>
          <w:sz w:val="24"/>
          <w:szCs w:val="24"/>
        </w:rPr>
        <w:t xml:space="preserve"> [15]</w:t>
      </w:r>
      <w:r w:rsidR="007D5A45">
        <w:rPr>
          <w:rFonts w:ascii="Times New Roman" w:hAnsi="Times New Roman" w:cs="Times New Roman"/>
          <w:sz w:val="24"/>
          <w:szCs w:val="24"/>
        </w:rPr>
        <w:t xml:space="preserve">). This has led to increased quality and informativeness of </w:t>
      </w:r>
      <w:r w:rsidR="007D5A45" w:rsidRPr="002A6F03">
        <w:rPr>
          <w:rFonts w:ascii="Times New Roman" w:hAnsi="Times New Roman" w:cs="Times New Roman"/>
          <w:sz w:val="24"/>
          <w:szCs w:val="24"/>
        </w:rPr>
        <w:t xml:space="preserve">disclosures, reduced information asymmetry, </w:t>
      </w:r>
      <w:r w:rsidR="007D5A45" w:rsidRPr="00F94EAD">
        <w:rPr>
          <w:rFonts w:ascii="Times New Roman" w:hAnsi="Times New Roman" w:cs="Times New Roman"/>
          <w:sz w:val="24"/>
          <w:szCs w:val="24"/>
        </w:rPr>
        <w:t>and investors consider them to be more credible (Black et al., 2018b</w:t>
      </w:r>
      <w:r w:rsidR="00231ADA">
        <w:rPr>
          <w:rFonts w:ascii="Times New Roman" w:hAnsi="Times New Roman" w:cs="Times New Roman"/>
          <w:sz w:val="24"/>
          <w:szCs w:val="24"/>
        </w:rPr>
        <w:t xml:space="preserve"> [15]</w:t>
      </w:r>
      <w:r w:rsidR="007D5A45" w:rsidRPr="00F94EAD">
        <w:rPr>
          <w:rFonts w:ascii="Times New Roman" w:hAnsi="Times New Roman" w:cs="Times New Roman"/>
          <w:sz w:val="24"/>
          <w:szCs w:val="24"/>
        </w:rPr>
        <w:t xml:space="preserve">; Huang and </w:t>
      </w:r>
      <w:proofErr w:type="spellStart"/>
      <w:r w:rsidR="007D5A45" w:rsidRPr="00F94EAD">
        <w:rPr>
          <w:rFonts w:ascii="Times New Roman" w:hAnsi="Times New Roman" w:cs="Times New Roman"/>
          <w:sz w:val="24"/>
          <w:szCs w:val="24"/>
        </w:rPr>
        <w:t>Skant</w:t>
      </w:r>
      <w:r w:rsidR="00957909">
        <w:rPr>
          <w:rFonts w:ascii="Times New Roman" w:hAnsi="Times New Roman" w:cs="Times New Roman"/>
          <w:sz w:val="24"/>
          <w:szCs w:val="24"/>
        </w:rPr>
        <w:t>z</w:t>
      </w:r>
      <w:proofErr w:type="spellEnd"/>
      <w:r w:rsidR="007D5A45" w:rsidRPr="00F94EAD">
        <w:rPr>
          <w:rFonts w:ascii="Times New Roman" w:hAnsi="Times New Roman" w:cs="Times New Roman"/>
          <w:sz w:val="24"/>
          <w:szCs w:val="24"/>
        </w:rPr>
        <w:t>, 2016</w:t>
      </w:r>
      <w:r w:rsidR="00957909">
        <w:rPr>
          <w:rFonts w:ascii="Times New Roman" w:hAnsi="Times New Roman" w:cs="Times New Roman"/>
          <w:sz w:val="24"/>
          <w:szCs w:val="24"/>
        </w:rPr>
        <w:t xml:space="preserve"> [4</w:t>
      </w:r>
      <w:r w:rsidR="00873576">
        <w:rPr>
          <w:rFonts w:ascii="Times New Roman" w:hAnsi="Times New Roman" w:cs="Times New Roman"/>
          <w:sz w:val="24"/>
          <w:szCs w:val="24"/>
        </w:rPr>
        <w:t>2</w:t>
      </w:r>
      <w:r w:rsidR="00957909">
        <w:rPr>
          <w:rFonts w:ascii="Times New Roman" w:hAnsi="Times New Roman" w:cs="Times New Roman"/>
          <w:sz w:val="24"/>
          <w:szCs w:val="24"/>
        </w:rPr>
        <w:t>]</w:t>
      </w:r>
      <w:r w:rsidR="007D5A45" w:rsidRPr="00F94EAD">
        <w:rPr>
          <w:rFonts w:ascii="Times New Roman" w:hAnsi="Times New Roman" w:cs="Times New Roman"/>
          <w:sz w:val="24"/>
          <w:szCs w:val="24"/>
        </w:rPr>
        <w:t xml:space="preserve">). Recent research confirms the value relevance of pro forma numbers (e.g. </w:t>
      </w:r>
      <w:r w:rsidR="007D5A45" w:rsidRPr="00F94EAD">
        <w:rPr>
          <w:rFonts w:ascii="Times New Roman" w:eastAsia="PMingLiU" w:hAnsi="Times New Roman" w:cs="Times New Roman"/>
          <w:sz w:val="24"/>
          <w:szCs w:val="24"/>
        </w:rPr>
        <w:t xml:space="preserve">Venter, Emanuel, and </w:t>
      </w:r>
      <w:proofErr w:type="spellStart"/>
      <w:r w:rsidR="007D5A45" w:rsidRPr="00F94EAD">
        <w:rPr>
          <w:rFonts w:ascii="Times New Roman" w:eastAsia="PMingLiU" w:hAnsi="Times New Roman" w:cs="Times New Roman"/>
          <w:sz w:val="24"/>
          <w:szCs w:val="24"/>
        </w:rPr>
        <w:t>Cahan</w:t>
      </w:r>
      <w:proofErr w:type="spellEnd"/>
      <w:r w:rsidR="007D5A45" w:rsidRPr="00F94EAD">
        <w:rPr>
          <w:rFonts w:ascii="Times New Roman" w:hAnsi="Times New Roman" w:cs="Times New Roman"/>
          <w:sz w:val="24"/>
          <w:szCs w:val="24"/>
        </w:rPr>
        <w:t>, 2014</w:t>
      </w:r>
      <w:r w:rsidR="00FD2D19">
        <w:rPr>
          <w:rFonts w:ascii="Times New Roman" w:hAnsi="Times New Roman" w:cs="Times New Roman"/>
          <w:sz w:val="24"/>
          <w:szCs w:val="24"/>
        </w:rPr>
        <w:t xml:space="preserve"> [6</w:t>
      </w:r>
      <w:r w:rsidR="0093520F">
        <w:rPr>
          <w:rFonts w:ascii="Times New Roman" w:hAnsi="Times New Roman" w:cs="Times New Roman"/>
          <w:sz w:val="24"/>
          <w:szCs w:val="24"/>
        </w:rPr>
        <w:t>2</w:t>
      </w:r>
      <w:r w:rsidR="00FD2D19">
        <w:rPr>
          <w:rFonts w:ascii="Times New Roman" w:hAnsi="Times New Roman" w:cs="Times New Roman"/>
          <w:sz w:val="24"/>
          <w:szCs w:val="24"/>
        </w:rPr>
        <w:t>]</w:t>
      </w:r>
      <w:r w:rsidR="007D5A45" w:rsidRPr="00F94EAD">
        <w:rPr>
          <w:rFonts w:ascii="Times New Roman" w:hAnsi="Times New Roman" w:cs="Times New Roman"/>
          <w:sz w:val="24"/>
          <w:szCs w:val="24"/>
        </w:rPr>
        <w:t xml:space="preserve">; </w:t>
      </w:r>
      <w:r w:rsidR="007D5A45" w:rsidRPr="00F94EAD">
        <w:rPr>
          <w:rFonts w:ascii="Times New Roman" w:eastAsia="PMingLiU" w:hAnsi="Times New Roman" w:cs="Times New Roman"/>
          <w:sz w:val="24"/>
          <w:szCs w:val="24"/>
        </w:rPr>
        <w:t>Bradshaw, Christensen, Gee, and Whipple,</w:t>
      </w:r>
      <w:r w:rsidR="007D5A45" w:rsidRPr="00F94EAD">
        <w:rPr>
          <w:rFonts w:ascii="Times New Roman" w:hAnsi="Times New Roman" w:cs="Times New Roman"/>
          <w:sz w:val="24"/>
          <w:szCs w:val="24"/>
        </w:rPr>
        <w:t xml:space="preserve"> 2018a</w:t>
      </w:r>
      <w:r w:rsidR="00392DA9">
        <w:rPr>
          <w:rFonts w:ascii="Times New Roman" w:hAnsi="Times New Roman" w:cs="Times New Roman"/>
          <w:sz w:val="24"/>
          <w:szCs w:val="24"/>
        </w:rPr>
        <w:t xml:space="preserve"> [18]</w:t>
      </w:r>
      <w:r w:rsidR="007D5A45" w:rsidRPr="00F94EAD">
        <w:rPr>
          <w:rFonts w:ascii="Times New Roman" w:hAnsi="Times New Roman" w:cs="Times New Roman"/>
          <w:sz w:val="24"/>
          <w:szCs w:val="24"/>
        </w:rPr>
        <w:t xml:space="preserve">; Leung and </w:t>
      </w:r>
      <w:proofErr w:type="spellStart"/>
      <w:r w:rsidR="007D5A45" w:rsidRPr="00F94EAD">
        <w:rPr>
          <w:rFonts w:ascii="Times New Roman" w:hAnsi="Times New Roman" w:cs="Times New Roman"/>
          <w:sz w:val="24"/>
          <w:szCs w:val="24"/>
        </w:rPr>
        <w:t>Veenman</w:t>
      </w:r>
      <w:proofErr w:type="spellEnd"/>
      <w:r w:rsidR="007D5A45" w:rsidRPr="00F94EAD">
        <w:rPr>
          <w:rFonts w:ascii="Times New Roman" w:hAnsi="Times New Roman" w:cs="Times New Roman"/>
          <w:sz w:val="24"/>
          <w:szCs w:val="24"/>
        </w:rPr>
        <w:t>, 2018</w:t>
      </w:r>
      <w:r w:rsidR="00FE7B6C">
        <w:rPr>
          <w:rFonts w:ascii="Times New Roman" w:hAnsi="Times New Roman" w:cs="Times New Roman"/>
          <w:sz w:val="24"/>
          <w:szCs w:val="24"/>
        </w:rPr>
        <w:t xml:space="preserve"> [54]</w:t>
      </w:r>
      <w:r w:rsidR="007D5A45">
        <w:rPr>
          <w:rFonts w:ascii="Times New Roman" w:hAnsi="Times New Roman" w:cs="Times New Roman"/>
          <w:sz w:val="24"/>
          <w:szCs w:val="24"/>
        </w:rPr>
        <w:t xml:space="preserve">) and suggests that those changes have significantly reduced the potential for misleading investors. Numerous studies do not find evidence for mispricing of pro forma disclosures for the period </w:t>
      </w:r>
      <w:r w:rsidR="007D5A45" w:rsidRPr="0009185C">
        <w:rPr>
          <w:rFonts w:ascii="Times New Roman" w:hAnsi="Times New Roman" w:cs="Times New Roman"/>
          <w:sz w:val="24"/>
          <w:szCs w:val="24"/>
        </w:rPr>
        <w:t>after the changes (Zhang and Zheng, 2011</w:t>
      </w:r>
      <w:r w:rsidR="001129C3">
        <w:rPr>
          <w:rFonts w:ascii="Times New Roman" w:hAnsi="Times New Roman" w:cs="Times New Roman"/>
          <w:sz w:val="24"/>
          <w:szCs w:val="24"/>
        </w:rPr>
        <w:t xml:space="preserve"> [6</w:t>
      </w:r>
      <w:r w:rsidR="00D550F5">
        <w:rPr>
          <w:rFonts w:ascii="Times New Roman" w:hAnsi="Times New Roman" w:cs="Times New Roman"/>
          <w:sz w:val="24"/>
          <w:szCs w:val="24"/>
        </w:rPr>
        <w:t>8</w:t>
      </w:r>
      <w:r w:rsidR="001129C3">
        <w:rPr>
          <w:rFonts w:ascii="Times New Roman" w:hAnsi="Times New Roman" w:cs="Times New Roman"/>
          <w:sz w:val="24"/>
          <w:szCs w:val="24"/>
        </w:rPr>
        <w:t>]</w:t>
      </w:r>
      <w:r w:rsidR="007D5A45" w:rsidRPr="0009185C">
        <w:rPr>
          <w:rFonts w:ascii="Times New Roman" w:hAnsi="Times New Roman" w:cs="Times New Roman"/>
          <w:sz w:val="24"/>
          <w:szCs w:val="24"/>
        </w:rPr>
        <w:t>; Jennings and Marques, 2011</w:t>
      </w:r>
      <w:r w:rsidR="00B11990">
        <w:rPr>
          <w:rFonts w:ascii="Times New Roman" w:hAnsi="Times New Roman" w:cs="Times New Roman"/>
          <w:sz w:val="24"/>
          <w:szCs w:val="24"/>
        </w:rPr>
        <w:t xml:space="preserve"> [4</w:t>
      </w:r>
      <w:r w:rsidR="0077028C">
        <w:rPr>
          <w:rFonts w:ascii="Times New Roman" w:hAnsi="Times New Roman" w:cs="Times New Roman"/>
          <w:sz w:val="24"/>
          <w:szCs w:val="24"/>
        </w:rPr>
        <w:t>5</w:t>
      </w:r>
      <w:r w:rsidR="00B11990">
        <w:rPr>
          <w:rFonts w:ascii="Times New Roman" w:hAnsi="Times New Roman" w:cs="Times New Roman"/>
          <w:sz w:val="24"/>
          <w:szCs w:val="24"/>
        </w:rPr>
        <w:t>]</w:t>
      </w:r>
      <w:r w:rsidR="007D5A45" w:rsidRPr="0009185C">
        <w:rPr>
          <w:rFonts w:ascii="Times New Roman" w:hAnsi="Times New Roman" w:cs="Times New Roman"/>
          <w:sz w:val="24"/>
          <w:szCs w:val="24"/>
        </w:rPr>
        <w:t>; Whipple, 201</w:t>
      </w:r>
      <w:r w:rsidR="00751EFA">
        <w:rPr>
          <w:rFonts w:ascii="Times New Roman" w:hAnsi="Times New Roman" w:cs="Times New Roman"/>
          <w:sz w:val="24"/>
          <w:szCs w:val="24"/>
        </w:rPr>
        <w:t>5</w:t>
      </w:r>
      <w:r w:rsidR="0007708B">
        <w:rPr>
          <w:rFonts w:ascii="Times New Roman" w:hAnsi="Times New Roman" w:cs="Times New Roman"/>
          <w:sz w:val="24"/>
          <w:szCs w:val="24"/>
        </w:rPr>
        <w:t xml:space="preserve"> [6</w:t>
      </w:r>
      <w:r w:rsidR="0093520F">
        <w:rPr>
          <w:rFonts w:ascii="Times New Roman" w:hAnsi="Times New Roman" w:cs="Times New Roman"/>
          <w:sz w:val="24"/>
          <w:szCs w:val="24"/>
        </w:rPr>
        <w:t>4</w:t>
      </w:r>
      <w:r w:rsidR="0007708B">
        <w:rPr>
          <w:rFonts w:ascii="Times New Roman" w:hAnsi="Times New Roman" w:cs="Times New Roman"/>
          <w:sz w:val="24"/>
          <w:szCs w:val="24"/>
        </w:rPr>
        <w:t>]</w:t>
      </w:r>
      <w:r w:rsidR="007D5A45" w:rsidRPr="0009185C">
        <w:rPr>
          <w:rFonts w:ascii="Times New Roman" w:hAnsi="Times New Roman" w:cs="Times New Roman"/>
          <w:sz w:val="24"/>
          <w:szCs w:val="24"/>
        </w:rPr>
        <w:t xml:space="preserve">). </w:t>
      </w:r>
      <w:r w:rsidR="007D5A45" w:rsidRPr="00F94EAD">
        <w:rPr>
          <w:rFonts w:ascii="Times New Roman" w:hAnsi="Times New Roman" w:cs="Times New Roman"/>
          <w:sz w:val="24"/>
          <w:szCs w:val="24"/>
        </w:rPr>
        <w:t>Nevertheless, aggressive disclosures and opportunistic motives behind providing pro forma earnings can still be found (Black et al, 2018b</w:t>
      </w:r>
      <w:r w:rsidR="00231ADA">
        <w:rPr>
          <w:rFonts w:ascii="Times New Roman" w:hAnsi="Times New Roman" w:cs="Times New Roman"/>
          <w:sz w:val="24"/>
          <w:szCs w:val="24"/>
        </w:rPr>
        <w:t xml:space="preserve"> [15]</w:t>
      </w:r>
      <w:r w:rsidR="007D5A45" w:rsidRPr="00F94EAD">
        <w:rPr>
          <w:rFonts w:ascii="Times New Roman" w:hAnsi="Times New Roman" w:cs="Times New Roman"/>
          <w:sz w:val="24"/>
          <w:szCs w:val="24"/>
        </w:rPr>
        <w:t xml:space="preserve">; </w:t>
      </w:r>
      <w:r w:rsidR="007D5A45" w:rsidRPr="00852ECC">
        <w:rPr>
          <w:rFonts w:ascii="Times New Roman" w:hAnsi="Times New Roman" w:cs="Times New Roman"/>
          <w:sz w:val="24"/>
          <w:szCs w:val="24"/>
        </w:rPr>
        <w:t>Bradshaw et al., 2018a</w:t>
      </w:r>
      <w:r w:rsidR="00392DA9">
        <w:rPr>
          <w:rFonts w:ascii="Times New Roman" w:hAnsi="Times New Roman" w:cs="Times New Roman"/>
          <w:sz w:val="24"/>
          <w:szCs w:val="24"/>
        </w:rPr>
        <w:t xml:space="preserve"> [18]</w:t>
      </w:r>
      <w:r w:rsidR="007D5A45" w:rsidRPr="00F94EAD">
        <w:rPr>
          <w:rFonts w:ascii="Times New Roman" w:hAnsi="Times New Roman" w:cs="Times New Roman"/>
          <w:sz w:val="24"/>
          <w:szCs w:val="24"/>
        </w:rPr>
        <w:t>; Curtis et al., 2014</w:t>
      </w:r>
      <w:r w:rsidR="009B26F0">
        <w:rPr>
          <w:rFonts w:ascii="Times New Roman" w:hAnsi="Times New Roman" w:cs="Times New Roman"/>
          <w:sz w:val="24"/>
          <w:szCs w:val="24"/>
        </w:rPr>
        <w:t xml:space="preserve"> [27]</w:t>
      </w:r>
      <w:r w:rsidR="007D5A45" w:rsidRPr="00852ECC">
        <w:rPr>
          <w:rFonts w:ascii="Times New Roman" w:hAnsi="Times New Roman" w:cs="Times New Roman"/>
          <w:sz w:val="24"/>
          <w:szCs w:val="24"/>
        </w:rPr>
        <w:t xml:space="preserve">). </w:t>
      </w:r>
    </w:p>
    <w:p w:rsidR="007D5A45" w:rsidRPr="00F94EAD" w:rsidRDefault="007D5A45">
      <w:pPr>
        <w:spacing w:after="0" w:line="480" w:lineRule="auto"/>
        <w:ind w:firstLine="426"/>
        <w:jc w:val="both"/>
        <w:rPr>
          <w:rFonts w:ascii="Times New Roman" w:hAnsi="Times New Roman" w:cs="Times New Roman"/>
          <w:sz w:val="24"/>
          <w:szCs w:val="24"/>
        </w:rPr>
      </w:pPr>
      <w:r w:rsidRPr="00F94EAD">
        <w:rPr>
          <w:rFonts w:ascii="Times New Roman" w:hAnsi="Times New Roman" w:cs="Times New Roman"/>
          <w:sz w:val="24"/>
          <w:szCs w:val="24"/>
        </w:rPr>
        <w:lastRenderedPageBreak/>
        <w:t>The existing evidence, however, has one major limitation. As highlighted by Black et al. (2018b)</w:t>
      </w:r>
      <w:r w:rsidR="00364927">
        <w:rPr>
          <w:rFonts w:ascii="Times New Roman" w:hAnsi="Times New Roman" w:cs="Times New Roman"/>
          <w:sz w:val="24"/>
          <w:szCs w:val="24"/>
        </w:rPr>
        <w:t xml:space="preserve"> [15]</w:t>
      </w:r>
      <w:r w:rsidRPr="00F94EAD">
        <w:rPr>
          <w:rFonts w:ascii="Times New Roman" w:hAnsi="Times New Roman" w:cs="Times New Roman"/>
          <w:sz w:val="24"/>
          <w:szCs w:val="24"/>
        </w:rPr>
        <w:t>, related studies were mostly based on data from the late 1990s or early 2000s. Only few papers have partially covered some post-financial crisis data periods (e.g., Black et al., 2018b</w:t>
      </w:r>
      <w:r w:rsidR="00364927">
        <w:rPr>
          <w:rFonts w:ascii="Times New Roman" w:hAnsi="Times New Roman" w:cs="Times New Roman"/>
          <w:sz w:val="24"/>
          <w:szCs w:val="24"/>
        </w:rPr>
        <w:t xml:space="preserve"> [15]</w:t>
      </w:r>
      <w:r w:rsidRPr="00F94EAD">
        <w:rPr>
          <w:rFonts w:ascii="Times New Roman" w:hAnsi="Times New Roman" w:cs="Times New Roman"/>
          <w:sz w:val="24"/>
          <w:szCs w:val="24"/>
        </w:rPr>
        <w:t xml:space="preserve">; Leung and </w:t>
      </w:r>
      <w:proofErr w:type="spellStart"/>
      <w:r w:rsidRPr="00F94EAD">
        <w:rPr>
          <w:rFonts w:ascii="Times New Roman" w:hAnsi="Times New Roman" w:cs="Times New Roman"/>
          <w:sz w:val="24"/>
          <w:szCs w:val="24"/>
        </w:rPr>
        <w:t>Veenman</w:t>
      </w:r>
      <w:proofErr w:type="spellEnd"/>
      <w:r w:rsidRPr="00F94EAD">
        <w:rPr>
          <w:rFonts w:ascii="Times New Roman" w:hAnsi="Times New Roman" w:cs="Times New Roman"/>
          <w:sz w:val="24"/>
          <w:szCs w:val="24"/>
        </w:rPr>
        <w:t>, 2018</w:t>
      </w:r>
      <w:r w:rsidR="00FE7B6C">
        <w:rPr>
          <w:rFonts w:ascii="Times New Roman" w:hAnsi="Times New Roman" w:cs="Times New Roman"/>
          <w:sz w:val="24"/>
          <w:szCs w:val="24"/>
        </w:rPr>
        <w:t xml:space="preserve"> [54]</w:t>
      </w:r>
      <w:r w:rsidRPr="00F94EAD">
        <w:rPr>
          <w:rFonts w:ascii="Times New Roman" w:hAnsi="Times New Roman" w:cs="Times New Roman"/>
          <w:sz w:val="24"/>
          <w:szCs w:val="24"/>
        </w:rPr>
        <w:t>;</w:t>
      </w:r>
      <w:r w:rsidRPr="00F94EAD">
        <w:rPr>
          <w:rFonts w:ascii="Times New Roman" w:eastAsia="PMingLiU" w:hAnsi="Times New Roman" w:cs="Times New Roman"/>
          <w:sz w:val="24"/>
          <w:szCs w:val="24"/>
        </w:rPr>
        <w:t xml:space="preserve"> Bentley, Christensen, Gee, and Whipple</w:t>
      </w:r>
      <w:r w:rsidRPr="00F94EAD">
        <w:rPr>
          <w:rFonts w:ascii="Times New Roman" w:hAnsi="Times New Roman" w:cs="Times New Roman"/>
          <w:sz w:val="24"/>
          <w:szCs w:val="24"/>
        </w:rPr>
        <w:t>, 2018</w:t>
      </w:r>
      <w:r w:rsidR="00A06D99">
        <w:rPr>
          <w:rFonts w:ascii="Times New Roman" w:hAnsi="Times New Roman" w:cs="Times New Roman"/>
          <w:sz w:val="24"/>
          <w:szCs w:val="24"/>
        </w:rPr>
        <w:t xml:space="preserve"> [8]</w:t>
      </w:r>
      <w:r w:rsidRPr="00F94EAD">
        <w:rPr>
          <w:rFonts w:ascii="Times New Roman" w:hAnsi="Times New Roman" w:cs="Times New Roman"/>
          <w:sz w:val="24"/>
          <w:szCs w:val="24"/>
        </w:rPr>
        <w:t xml:space="preserve">). </w:t>
      </w:r>
      <w:proofErr w:type="gramStart"/>
      <w:r w:rsidRPr="00F94EAD">
        <w:rPr>
          <w:rFonts w:ascii="Times New Roman" w:hAnsi="Times New Roman" w:cs="Times New Roman"/>
          <w:sz w:val="24"/>
          <w:szCs w:val="24"/>
        </w:rPr>
        <w:t>This matters</w:t>
      </w:r>
      <w:proofErr w:type="gramEnd"/>
      <w:r w:rsidRPr="00F94EAD">
        <w:rPr>
          <w:rFonts w:ascii="Times New Roman" w:hAnsi="Times New Roman" w:cs="Times New Roman"/>
          <w:sz w:val="24"/>
          <w:szCs w:val="24"/>
        </w:rPr>
        <w:t xml:space="preserve"> because, since the bulk of existing research was done, the environment for stock market investing has undergone radical changes</w:t>
      </w:r>
      <w:r>
        <w:rPr>
          <w:rFonts w:ascii="Times New Roman" w:hAnsi="Times New Roman" w:cs="Times New Roman"/>
          <w:sz w:val="24"/>
          <w:szCs w:val="24"/>
        </w:rPr>
        <w:t xml:space="preserve">. Those developments have major impact on mispricing, and </w:t>
      </w:r>
      <w:r w:rsidRPr="00F94EAD">
        <w:rPr>
          <w:rFonts w:ascii="Times New Roman" w:hAnsi="Times New Roman" w:cs="Times New Roman"/>
          <w:sz w:val="24"/>
          <w:szCs w:val="24"/>
        </w:rPr>
        <w:t>cast a doubt on the value relevance of disclosures, including pro forma earnings. Prior studies did not capture those changes in financial markets in the last few years.</w:t>
      </w:r>
      <w:bookmarkStart w:id="2" w:name="move134745271"/>
      <w:bookmarkEnd w:id="2"/>
    </w:p>
    <w:p w:rsidR="007D5A45" w:rsidRPr="008B056E" w:rsidRDefault="007D5A45">
      <w:pPr>
        <w:spacing w:after="0" w:line="480" w:lineRule="auto"/>
        <w:ind w:firstLine="426"/>
        <w:jc w:val="both"/>
      </w:pPr>
      <w:r w:rsidRPr="00F94EAD">
        <w:rPr>
          <w:rFonts w:ascii="Times New Roman" w:hAnsi="Times New Roman" w:cs="Times New Roman"/>
          <w:sz w:val="24"/>
          <w:szCs w:val="24"/>
        </w:rPr>
        <w:t>Since</w:t>
      </w:r>
      <w:r w:rsidRPr="00852ECC">
        <w:rPr>
          <w:rFonts w:ascii="Times New Roman" w:hAnsi="Times New Roman" w:cs="Times New Roman"/>
          <w:sz w:val="24"/>
          <w:szCs w:val="24"/>
        </w:rPr>
        <w:t xml:space="preserve"> the financial crisis in the late 2000s there have been extremely loose monetary conditions and low funding costs </w:t>
      </w:r>
      <w:r>
        <w:rPr>
          <w:rFonts w:ascii="Times New Roman" w:hAnsi="Times New Roman" w:cs="Times New Roman"/>
          <w:sz w:val="24"/>
          <w:szCs w:val="24"/>
        </w:rPr>
        <w:t>for investors. This often refers to ‘cheap money’ provided by the central bank to bank-holding companies, and enables investors to borrow large sums cheaply. This has two</w:t>
      </w:r>
      <w:r w:rsidRPr="00F94EAD">
        <w:rPr>
          <w:rFonts w:ascii="Times New Roman" w:hAnsi="Times New Roman" w:cs="Times New Roman"/>
          <w:color w:val="FF0000"/>
          <w:sz w:val="24"/>
          <w:szCs w:val="24"/>
        </w:rPr>
        <w:t xml:space="preserve"> </w:t>
      </w:r>
      <w:r>
        <w:rPr>
          <w:rFonts w:ascii="Times New Roman" w:hAnsi="Times New Roman" w:cs="Times New Roman"/>
          <w:sz w:val="24"/>
          <w:szCs w:val="24"/>
        </w:rPr>
        <w:t>important consequences for mispricing of shares. First, it has led to a flood of investments into stock markets around the world in search of returns, with less regard paid to fundamental valuations and differences between firms (Dodwell, 2013; Verma, 2016). In turn, stock valuations in many cases reach to historic highs, thus share prices increasingly deviate from their fundamental value.</w:t>
      </w:r>
      <w:r>
        <w:rPr>
          <w:rStyle w:val="FootnoteAnchor"/>
          <w:rFonts w:ascii="Times New Roman" w:hAnsi="Times New Roman" w:cs="Times New Roman"/>
          <w:sz w:val="24"/>
          <w:szCs w:val="24"/>
        </w:rPr>
        <w:footnoteReference w:id="2"/>
      </w:r>
      <w:r>
        <w:rPr>
          <w:rFonts w:ascii="Times New Roman" w:hAnsi="Times New Roman" w:cs="Times New Roman"/>
          <w:sz w:val="24"/>
          <w:szCs w:val="24"/>
        </w:rPr>
        <w:t xml:space="preserve"> Second, firms can also borrow money from banks easily and cheaply. Consequently, there has been a substantial </w:t>
      </w:r>
      <w:r w:rsidRPr="00F94EAD">
        <w:rPr>
          <w:rFonts w:ascii="Times New Roman" w:hAnsi="Times New Roman" w:cs="Times New Roman"/>
          <w:sz w:val="24"/>
          <w:szCs w:val="24"/>
        </w:rPr>
        <w:t>increase in US corporate debt levels in the last few years. In the three years to 2015, US firms issued record amounts of debt leading to US corporate debt issuance climbing to a post financial crisis decade-high.</w:t>
      </w:r>
      <w:r w:rsidRPr="00F94EAD">
        <w:rPr>
          <w:rStyle w:val="FootnoteAnchor"/>
          <w:rFonts w:ascii="Times New Roman" w:hAnsi="Times New Roman" w:cs="Times New Roman"/>
          <w:sz w:val="24"/>
          <w:szCs w:val="24"/>
        </w:rPr>
        <w:footnoteReference w:id="3"/>
      </w:r>
      <w:r w:rsidRPr="00F94EAD">
        <w:rPr>
          <w:rFonts w:ascii="Times New Roman" w:hAnsi="Times New Roman" w:cs="Times New Roman"/>
          <w:sz w:val="24"/>
          <w:szCs w:val="24"/>
        </w:rPr>
        <w:t xml:space="preserve"> Among others, Myers and </w:t>
      </w:r>
      <w:proofErr w:type="spellStart"/>
      <w:r w:rsidRPr="00F94EAD">
        <w:rPr>
          <w:rFonts w:ascii="Times New Roman" w:hAnsi="Times New Roman" w:cs="Times New Roman"/>
          <w:sz w:val="24"/>
          <w:szCs w:val="24"/>
        </w:rPr>
        <w:t>Majluf</w:t>
      </w:r>
      <w:proofErr w:type="spellEnd"/>
      <w:r w:rsidRPr="00F94EAD">
        <w:rPr>
          <w:rFonts w:ascii="Times New Roman" w:hAnsi="Times New Roman" w:cs="Times New Roman"/>
          <w:sz w:val="24"/>
          <w:szCs w:val="24"/>
        </w:rPr>
        <w:t xml:space="preserve"> (1984) </w:t>
      </w:r>
      <w:r w:rsidR="008D1DD8">
        <w:rPr>
          <w:rFonts w:ascii="Times New Roman" w:hAnsi="Times New Roman" w:cs="Times New Roman"/>
          <w:sz w:val="24"/>
          <w:szCs w:val="24"/>
        </w:rPr>
        <w:t xml:space="preserve">[57] </w:t>
      </w:r>
      <w:r w:rsidRPr="00F94EAD">
        <w:rPr>
          <w:rFonts w:ascii="Times New Roman" w:hAnsi="Times New Roman" w:cs="Times New Roman"/>
          <w:sz w:val="24"/>
          <w:szCs w:val="24"/>
        </w:rPr>
        <w:t xml:space="preserve">and Klein et al. (2002) </w:t>
      </w:r>
      <w:r w:rsidR="005B3B30">
        <w:rPr>
          <w:rFonts w:ascii="Times New Roman" w:hAnsi="Times New Roman" w:cs="Times New Roman"/>
          <w:sz w:val="24"/>
          <w:szCs w:val="24"/>
        </w:rPr>
        <w:t xml:space="preserve">[47] </w:t>
      </w:r>
      <w:r w:rsidRPr="00F94EAD">
        <w:rPr>
          <w:rFonts w:ascii="Times New Roman" w:hAnsi="Times New Roman" w:cs="Times New Roman"/>
          <w:sz w:val="24"/>
          <w:szCs w:val="24"/>
        </w:rPr>
        <w:t>show that debt</w:t>
      </w:r>
      <w:r w:rsidRPr="00C458BA">
        <w:rPr>
          <w:rFonts w:ascii="Times New Roman" w:hAnsi="Times New Roman" w:cs="Times New Roman"/>
          <w:sz w:val="24"/>
          <w:szCs w:val="24"/>
        </w:rPr>
        <w:t xml:space="preserve"> and changes in debt and capital structure affect </w:t>
      </w:r>
      <w:proofErr w:type="spellStart"/>
      <w:r w:rsidRPr="00C458BA">
        <w:rPr>
          <w:rFonts w:ascii="Times New Roman" w:hAnsi="Times New Roman" w:cs="Times New Roman"/>
          <w:sz w:val="24"/>
          <w:szCs w:val="24"/>
        </w:rPr>
        <w:t>misvaluation</w:t>
      </w:r>
      <w:proofErr w:type="spellEnd"/>
      <w:r w:rsidRPr="00C458BA">
        <w:rPr>
          <w:rFonts w:ascii="Times New Roman" w:hAnsi="Times New Roman" w:cs="Times New Roman"/>
          <w:sz w:val="24"/>
          <w:szCs w:val="24"/>
        </w:rPr>
        <w:t xml:space="preserve">. </w:t>
      </w:r>
      <w:r w:rsidRPr="00F94EAD">
        <w:rPr>
          <w:rFonts w:ascii="Times New Roman" w:hAnsi="Times New Roman" w:cs="Times New Roman"/>
          <w:sz w:val="24"/>
          <w:szCs w:val="24"/>
        </w:rPr>
        <w:t xml:space="preserve">More specifically, in the current context, the main </w:t>
      </w:r>
      <w:r w:rsidRPr="00F94EAD">
        <w:rPr>
          <w:rFonts w:ascii="Times New Roman" w:hAnsi="Times New Roman" w:cs="Times New Roman"/>
          <w:sz w:val="24"/>
          <w:szCs w:val="24"/>
        </w:rPr>
        <w:lastRenderedPageBreak/>
        <w:t>avenue</w:t>
      </w:r>
      <w:bookmarkStart w:id="3" w:name="move137351151"/>
      <w:bookmarkEnd w:id="3"/>
      <w:r w:rsidRPr="00F94EAD">
        <w:rPr>
          <w:rFonts w:ascii="Times New Roman" w:hAnsi="Times New Roman" w:cs="Times New Roman"/>
          <w:sz w:val="24"/>
          <w:szCs w:val="24"/>
        </w:rPr>
        <w:t xml:space="preserve"> for utilising those record funds has been </w:t>
      </w:r>
      <w:proofErr w:type="gramStart"/>
      <w:r w:rsidRPr="00F94EAD">
        <w:rPr>
          <w:rFonts w:ascii="Times New Roman" w:hAnsi="Times New Roman" w:cs="Times New Roman"/>
          <w:sz w:val="24"/>
          <w:szCs w:val="24"/>
        </w:rPr>
        <w:t>share</w:t>
      </w:r>
      <w:proofErr w:type="gramEnd"/>
      <w:r w:rsidRPr="00F94EAD">
        <w:rPr>
          <w:rFonts w:ascii="Times New Roman" w:hAnsi="Times New Roman" w:cs="Times New Roman"/>
          <w:sz w:val="24"/>
          <w:szCs w:val="24"/>
        </w:rPr>
        <w:t xml:space="preserve"> buybacks. </w:t>
      </w:r>
      <w:r w:rsidRPr="00C458BA">
        <w:rPr>
          <w:rFonts w:ascii="Times New Roman" w:hAnsi="Times New Roman" w:cs="Times New Roman"/>
          <w:sz w:val="24"/>
          <w:szCs w:val="24"/>
        </w:rPr>
        <w:t>Firms have launched significant share buyback programmes that are approaching record highs</w:t>
      </w:r>
      <w:r w:rsidRPr="00C458BA">
        <w:rPr>
          <w:rStyle w:val="FootnoteAnchor"/>
          <w:rFonts w:ascii="Times New Roman" w:hAnsi="Times New Roman" w:cs="Times New Roman"/>
          <w:sz w:val="24"/>
          <w:szCs w:val="24"/>
        </w:rPr>
        <w:footnoteReference w:id="4"/>
      </w:r>
      <w:r w:rsidRPr="00C458BA">
        <w:rPr>
          <w:rFonts w:ascii="Times New Roman" w:hAnsi="Times New Roman" w:cs="Times New Roman"/>
          <w:sz w:val="24"/>
          <w:szCs w:val="24"/>
        </w:rPr>
        <w:t xml:space="preserve"> which </w:t>
      </w:r>
      <w:r w:rsidRPr="008B056E">
        <w:rPr>
          <w:rFonts w:ascii="Times New Roman" w:hAnsi="Times New Roman" w:cs="Times New Roman"/>
          <w:sz w:val="24"/>
          <w:szCs w:val="24"/>
        </w:rPr>
        <w:t xml:space="preserve">boosts demand for shares and provides upward support to price. This one-way demand (purchase only) thus introduces another source of potential mispricing enabled by current financing conditions. </w:t>
      </w:r>
    </w:p>
    <w:p w:rsidR="007D5A45" w:rsidRPr="008129ED" w:rsidRDefault="007D5A45">
      <w:pPr>
        <w:spacing w:after="0" w:line="480" w:lineRule="auto"/>
        <w:ind w:firstLine="426"/>
        <w:jc w:val="both"/>
        <w:rPr>
          <w:rFonts w:ascii="Times New Roman" w:hAnsi="Times New Roman" w:cs="Times New Roman"/>
          <w:sz w:val="24"/>
          <w:szCs w:val="24"/>
        </w:rPr>
      </w:pPr>
      <w:r w:rsidRPr="008B056E">
        <w:rPr>
          <w:rFonts w:ascii="Times New Roman" w:hAnsi="Times New Roman" w:cs="Times New Roman"/>
          <w:sz w:val="24"/>
          <w:szCs w:val="24"/>
        </w:rPr>
        <w:t xml:space="preserve">In addition, another major factor that </w:t>
      </w:r>
      <w:r w:rsidRPr="00F94EAD">
        <w:rPr>
          <w:rFonts w:ascii="Times New Roman" w:hAnsi="Times New Roman" w:cs="Times New Roman"/>
          <w:sz w:val="24"/>
          <w:szCs w:val="24"/>
        </w:rPr>
        <w:t>raises the mispricing potential is that the way to invest in the stock market has changed considerably in the last few years.</w:t>
      </w:r>
      <w:r w:rsidRPr="008B056E">
        <w:rPr>
          <w:rFonts w:ascii="Times New Roman" w:hAnsi="Times New Roman" w:cs="Times New Roman"/>
          <w:sz w:val="24"/>
          <w:szCs w:val="24"/>
        </w:rPr>
        <w:t xml:space="preserve"> </w:t>
      </w:r>
      <w:r w:rsidRPr="00F94EAD">
        <w:rPr>
          <w:rFonts w:ascii="Times New Roman" w:hAnsi="Times New Roman" w:cs="Times New Roman"/>
          <w:sz w:val="24"/>
          <w:szCs w:val="24"/>
        </w:rPr>
        <w:t>T</w:t>
      </w:r>
      <w:r w:rsidRPr="008B056E">
        <w:rPr>
          <w:rFonts w:ascii="Times New Roman" w:hAnsi="Times New Roman" w:cs="Times New Roman"/>
          <w:sz w:val="24"/>
          <w:szCs w:val="24"/>
        </w:rPr>
        <w:t>here has been a stellar increase in stock market investments via Exchange Traded Funds (ETFs)</w:t>
      </w:r>
      <w:r w:rsidRPr="008B056E">
        <w:rPr>
          <w:rStyle w:val="FootnoteAnchor"/>
          <w:rFonts w:ascii="Times New Roman" w:hAnsi="Times New Roman" w:cs="Times New Roman"/>
          <w:sz w:val="24"/>
          <w:szCs w:val="24"/>
        </w:rPr>
        <w:footnoteReference w:id="5"/>
      </w:r>
      <w:r w:rsidRPr="008B056E">
        <w:rPr>
          <w:rFonts w:ascii="Times New Roman" w:hAnsi="Times New Roman" w:cs="Times New Roman"/>
          <w:sz w:val="24"/>
          <w:szCs w:val="24"/>
        </w:rPr>
        <w:t xml:space="preserve">, which has substantially increased the proportion of shares bought primarily due to their inclusion </w:t>
      </w:r>
      <w:r>
        <w:rPr>
          <w:rFonts w:ascii="Times New Roman" w:hAnsi="Times New Roman" w:cs="Times New Roman"/>
          <w:sz w:val="24"/>
          <w:szCs w:val="24"/>
        </w:rPr>
        <w:t xml:space="preserve">in an index. As a result, each individual firm’s </w:t>
      </w:r>
      <w:r w:rsidRPr="008129ED">
        <w:rPr>
          <w:rFonts w:ascii="Times New Roman" w:hAnsi="Times New Roman" w:cs="Times New Roman"/>
          <w:sz w:val="24"/>
          <w:szCs w:val="24"/>
        </w:rPr>
        <w:t xml:space="preserve">performance is less taken into consideration and, therefore, each stock in the index is likely to </w:t>
      </w:r>
      <w:r w:rsidRPr="00CA551C">
        <w:rPr>
          <w:rFonts w:ascii="Times New Roman" w:hAnsi="Times New Roman" w:cs="Times New Roman"/>
          <w:sz w:val="24"/>
          <w:szCs w:val="24"/>
        </w:rPr>
        <w:t>be mispriced and thus mispriced stocks are introduced into the market (</w:t>
      </w:r>
      <w:proofErr w:type="spellStart"/>
      <w:r w:rsidRPr="00CA551C">
        <w:rPr>
          <w:rFonts w:ascii="Times New Roman" w:hAnsi="Times New Roman" w:cs="Times New Roman"/>
          <w:sz w:val="24"/>
          <w:szCs w:val="24"/>
        </w:rPr>
        <w:t>Wurgler</w:t>
      </w:r>
      <w:proofErr w:type="spellEnd"/>
      <w:r w:rsidRPr="00CA551C">
        <w:rPr>
          <w:rFonts w:ascii="Times New Roman" w:hAnsi="Times New Roman" w:cs="Times New Roman"/>
          <w:sz w:val="24"/>
          <w:szCs w:val="24"/>
        </w:rPr>
        <w:t>, 201</w:t>
      </w:r>
      <w:r w:rsidR="003A763C" w:rsidRPr="00CA551C">
        <w:rPr>
          <w:rFonts w:ascii="Times New Roman" w:hAnsi="Times New Roman" w:cs="Times New Roman"/>
          <w:sz w:val="24"/>
          <w:szCs w:val="24"/>
        </w:rPr>
        <w:t>1 [65]</w:t>
      </w:r>
      <w:r w:rsidRPr="00CA551C">
        <w:rPr>
          <w:rFonts w:ascii="Times New Roman" w:hAnsi="Times New Roman" w:cs="Times New Roman"/>
          <w:sz w:val="24"/>
          <w:szCs w:val="24"/>
        </w:rPr>
        <w:t xml:space="preserve">; Belasco, Finke, and </w:t>
      </w:r>
      <w:proofErr w:type="spellStart"/>
      <w:r w:rsidRPr="00CA551C">
        <w:rPr>
          <w:rFonts w:ascii="Times New Roman" w:hAnsi="Times New Roman" w:cs="Times New Roman"/>
          <w:sz w:val="24"/>
          <w:szCs w:val="24"/>
        </w:rPr>
        <w:t>Nanigian</w:t>
      </w:r>
      <w:proofErr w:type="spellEnd"/>
      <w:r w:rsidRPr="00CA551C">
        <w:rPr>
          <w:rFonts w:ascii="Times New Roman" w:hAnsi="Times New Roman" w:cs="Times New Roman"/>
          <w:sz w:val="24"/>
          <w:szCs w:val="24"/>
        </w:rPr>
        <w:t>, 2012</w:t>
      </w:r>
      <w:r w:rsidR="00A7222E" w:rsidRPr="00CA551C">
        <w:rPr>
          <w:rFonts w:ascii="Times New Roman" w:hAnsi="Times New Roman" w:cs="Times New Roman"/>
          <w:sz w:val="24"/>
          <w:szCs w:val="24"/>
        </w:rPr>
        <w:t xml:space="preserve"> [7]</w:t>
      </w:r>
      <w:r w:rsidRPr="00CA551C">
        <w:rPr>
          <w:rFonts w:ascii="Times New Roman" w:hAnsi="Times New Roman" w:cs="Times New Roman"/>
          <w:sz w:val="24"/>
          <w:szCs w:val="24"/>
        </w:rPr>
        <w:t>; Da and Shive</w:t>
      </w:r>
      <w:r w:rsidR="001B5097" w:rsidRPr="00CA551C">
        <w:rPr>
          <w:rFonts w:ascii="Times New Roman" w:hAnsi="Times New Roman" w:cs="Times New Roman"/>
          <w:sz w:val="24"/>
          <w:szCs w:val="24"/>
        </w:rPr>
        <w:t>,</w:t>
      </w:r>
      <w:r w:rsidRPr="00CA551C">
        <w:rPr>
          <w:rFonts w:ascii="Times New Roman" w:hAnsi="Times New Roman" w:cs="Times New Roman"/>
          <w:sz w:val="24"/>
          <w:szCs w:val="24"/>
        </w:rPr>
        <w:t xml:space="preserve"> 201</w:t>
      </w:r>
      <w:r w:rsidR="00E008A6" w:rsidRPr="00CA551C">
        <w:rPr>
          <w:rFonts w:ascii="Times New Roman" w:hAnsi="Times New Roman" w:cs="Times New Roman"/>
          <w:sz w:val="24"/>
          <w:szCs w:val="24"/>
        </w:rPr>
        <w:t>8 [28]</w:t>
      </w:r>
      <w:r w:rsidRPr="00CA551C">
        <w:rPr>
          <w:rFonts w:ascii="Times New Roman" w:hAnsi="Times New Roman" w:cs="Times New Roman"/>
          <w:sz w:val="24"/>
          <w:szCs w:val="24"/>
        </w:rPr>
        <w:t>).</w:t>
      </w:r>
      <w:r w:rsidRPr="008129ED">
        <w:rPr>
          <w:rFonts w:ascii="Times New Roman" w:hAnsi="Times New Roman" w:cs="Times New Roman"/>
          <w:sz w:val="24"/>
          <w:szCs w:val="24"/>
        </w:rPr>
        <w:t xml:space="preserve"> </w:t>
      </w:r>
    </w:p>
    <w:p w:rsidR="007D5A45" w:rsidRPr="00C61BD5" w:rsidRDefault="007D5A45">
      <w:pPr>
        <w:spacing w:after="0" w:line="480" w:lineRule="auto"/>
        <w:ind w:firstLine="426"/>
        <w:jc w:val="both"/>
        <w:rPr>
          <w:rFonts w:ascii="Times New Roman" w:hAnsi="Times New Roman" w:cs="Times New Roman"/>
          <w:sz w:val="24"/>
          <w:szCs w:val="24"/>
        </w:rPr>
      </w:pPr>
      <w:r w:rsidRPr="008129ED">
        <w:rPr>
          <w:rFonts w:ascii="Times New Roman" w:hAnsi="Times New Roman" w:cs="Times New Roman"/>
          <w:sz w:val="24"/>
          <w:szCs w:val="24"/>
        </w:rPr>
        <w:t>T</w:t>
      </w:r>
      <w:r w:rsidRPr="00F94EAD">
        <w:rPr>
          <w:rFonts w:ascii="Times New Roman" w:hAnsi="Times New Roman" w:cs="Times New Roman"/>
          <w:sz w:val="24"/>
          <w:szCs w:val="24"/>
        </w:rPr>
        <w:t>hus, t</w:t>
      </w:r>
      <w:r w:rsidRPr="008129ED">
        <w:rPr>
          <w:rFonts w:ascii="Times New Roman" w:hAnsi="Times New Roman" w:cs="Times New Roman"/>
          <w:sz w:val="24"/>
          <w:szCs w:val="24"/>
        </w:rPr>
        <w:t xml:space="preserve">aken together, </w:t>
      </w:r>
      <w:r w:rsidRPr="00F94EAD">
        <w:rPr>
          <w:rFonts w:ascii="Times New Roman" w:hAnsi="Times New Roman" w:cs="Times New Roman"/>
          <w:sz w:val="24"/>
          <w:szCs w:val="24"/>
        </w:rPr>
        <w:t xml:space="preserve">the very recent emergence of </w:t>
      </w:r>
      <w:r w:rsidRPr="008129ED">
        <w:rPr>
          <w:rFonts w:ascii="Times New Roman" w:hAnsi="Times New Roman" w:cs="Times New Roman"/>
          <w:sz w:val="24"/>
          <w:szCs w:val="24"/>
        </w:rPr>
        <w:t>powerful</w:t>
      </w:r>
      <w:r>
        <w:rPr>
          <w:rFonts w:ascii="Times New Roman" w:hAnsi="Times New Roman" w:cs="Times New Roman"/>
          <w:sz w:val="24"/>
          <w:szCs w:val="24"/>
        </w:rPr>
        <w:t xml:space="preserve"> additional forces </w:t>
      </w:r>
      <w:r w:rsidRPr="00F94EAD">
        <w:rPr>
          <w:rFonts w:ascii="Times New Roman" w:hAnsi="Times New Roman" w:cs="Times New Roman"/>
          <w:sz w:val="24"/>
          <w:szCs w:val="24"/>
        </w:rPr>
        <w:t xml:space="preserve">that can cause stock mispricing </w:t>
      </w:r>
      <w:r w:rsidRPr="00C61BD5">
        <w:rPr>
          <w:rFonts w:ascii="Times New Roman" w:hAnsi="Times New Roman" w:cs="Times New Roman"/>
          <w:sz w:val="24"/>
          <w:szCs w:val="24"/>
        </w:rPr>
        <w:t>(</w:t>
      </w:r>
      <w:r w:rsidRPr="00F94EAD">
        <w:rPr>
          <w:rFonts w:ascii="Times New Roman" w:hAnsi="Times New Roman" w:cs="Times New Roman"/>
          <w:sz w:val="24"/>
          <w:szCs w:val="24"/>
        </w:rPr>
        <w:t>index investing, buybacks, large sums of</w:t>
      </w:r>
      <w:r w:rsidRPr="00C61BD5">
        <w:rPr>
          <w:rFonts w:ascii="Times New Roman" w:hAnsi="Times New Roman" w:cs="Times New Roman"/>
          <w:sz w:val="24"/>
          <w:szCs w:val="24"/>
        </w:rPr>
        <w:t xml:space="preserve"> </w:t>
      </w:r>
      <w:r w:rsidRPr="00F94EAD">
        <w:rPr>
          <w:rFonts w:ascii="Times New Roman" w:hAnsi="Times New Roman" w:cs="Times New Roman"/>
          <w:sz w:val="24"/>
          <w:szCs w:val="24"/>
        </w:rPr>
        <w:t>money in search of investment</w:t>
      </w:r>
      <w:r w:rsidRPr="00C61BD5">
        <w:rPr>
          <w:rFonts w:ascii="Times New Roman" w:hAnsi="Times New Roman" w:cs="Times New Roman"/>
          <w:sz w:val="24"/>
          <w:szCs w:val="24"/>
        </w:rPr>
        <w:t xml:space="preserve">) </w:t>
      </w:r>
      <w:r w:rsidRPr="00F94EAD">
        <w:rPr>
          <w:rFonts w:ascii="Times New Roman" w:hAnsi="Times New Roman" w:cs="Times New Roman"/>
          <w:sz w:val="24"/>
          <w:szCs w:val="24"/>
        </w:rPr>
        <w:t xml:space="preserve">has clear implications for the usefulness of voluntary pro forma earnings: They all point to reduced relevance for such information. </w:t>
      </w:r>
      <w:r w:rsidRPr="00C61BD5">
        <w:rPr>
          <w:rFonts w:ascii="Times New Roman" w:hAnsi="Times New Roman" w:cs="Times New Roman"/>
          <w:sz w:val="24"/>
          <w:szCs w:val="24"/>
        </w:rPr>
        <w:t xml:space="preserve">In light of these strong new forces, this </w:t>
      </w:r>
      <w:r>
        <w:rPr>
          <w:rFonts w:ascii="Times New Roman" w:hAnsi="Times New Roman" w:cs="Times New Roman"/>
          <w:sz w:val="24"/>
          <w:szCs w:val="24"/>
        </w:rPr>
        <w:t xml:space="preserve">study assesses whether pro forma earnings, considered to </w:t>
      </w:r>
      <w:r w:rsidRPr="00C61BD5">
        <w:rPr>
          <w:rFonts w:ascii="Times New Roman" w:hAnsi="Times New Roman" w:cs="Times New Roman"/>
          <w:sz w:val="24"/>
          <w:szCs w:val="24"/>
        </w:rPr>
        <w:t xml:space="preserve">help more accurately price shares, affect stock </w:t>
      </w:r>
      <w:proofErr w:type="spellStart"/>
      <w:r w:rsidRPr="00C61BD5">
        <w:rPr>
          <w:rFonts w:ascii="Times New Roman" w:hAnsi="Times New Roman" w:cs="Times New Roman"/>
          <w:sz w:val="24"/>
          <w:szCs w:val="24"/>
        </w:rPr>
        <w:t>misvaluation</w:t>
      </w:r>
      <w:proofErr w:type="spellEnd"/>
      <w:r w:rsidRPr="00C61BD5">
        <w:rPr>
          <w:rFonts w:ascii="Times New Roman" w:hAnsi="Times New Roman" w:cs="Times New Roman"/>
          <w:sz w:val="24"/>
          <w:szCs w:val="24"/>
        </w:rPr>
        <w:t>. Specifically, I ask: Are pro forma earnings still value relevant</w:t>
      </w:r>
      <w:r w:rsidRPr="00F94EAD">
        <w:rPr>
          <w:rFonts w:ascii="Times New Roman" w:hAnsi="Times New Roman" w:cs="Times New Roman"/>
          <w:sz w:val="24"/>
          <w:szCs w:val="24"/>
        </w:rPr>
        <w:t xml:space="preserve"> in this new market environment</w:t>
      </w:r>
      <w:r w:rsidRPr="00C61BD5">
        <w:rPr>
          <w:rFonts w:ascii="Times New Roman" w:hAnsi="Times New Roman" w:cs="Times New Roman"/>
          <w:sz w:val="24"/>
          <w:szCs w:val="24"/>
        </w:rPr>
        <w:t>?</w:t>
      </w:r>
    </w:p>
    <w:p w:rsidR="007D5A45" w:rsidRDefault="007D5A45">
      <w:pPr>
        <w:spacing w:after="0" w:line="480" w:lineRule="auto"/>
        <w:ind w:firstLine="426"/>
        <w:jc w:val="both"/>
        <w:rPr>
          <w:rFonts w:ascii="Times New Roman" w:hAnsi="Times New Roman" w:cs="Times New Roman"/>
          <w:sz w:val="24"/>
          <w:szCs w:val="24"/>
        </w:rPr>
      </w:pPr>
      <w:r w:rsidRPr="00C61BD5">
        <w:rPr>
          <w:rFonts w:ascii="Times New Roman" w:hAnsi="Times New Roman" w:cs="Times New Roman"/>
          <w:sz w:val="24"/>
          <w:szCs w:val="24"/>
        </w:rPr>
        <w:t>Additionally, I also examine the usefulness of pro forma earnings disclosure for firms with</w:t>
      </w:r>
      <w:r>
        <w:rPr>
          <w:rFonts w:ascii="Times New Roman" w:hAnsi="Times New Roman" w:cs="Times New Roman"/>
          <w:sz w:val="24"/>
          <w:szCs w:val="24"/>
        </w:rPr>
        <w:t xml:space="preserve"> high analyst earnings forecast disagreement. Dispersion in analyst earnings per share forecasts, as a proxy for information uncertainty about the earnings leads to mispricing of shares, </w:t>
      </w:r>
      <w:r>
        <w:rPr>
          <w:rFonts w:ascii="Times New Roman" w:hAnsi="Times New Roman" w:cs="Times New Roman"/>
          <w:sz w:val="24"/>
          <w:szCs w:val="24"/>
        </w:rPr>
        <w:lastRenderedPageBreak/>
        <w:t xml:space="preserve">especially to overvaluation (see e.g. </w:t>
      </w:r>
      <w:proofErr w:type="spellStart"/>
      <w:r>
        <w:rPr>
          <w:rFonts w:ascii="Times New Roman" w:hAnsi="Times New Roman" w:cs="Times New Roman"/>
          <w:sz w:val="24"/>
          <w:szCs w:val="24"/>
        </w:rPr>
        <w:t>Ackert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1997 [1];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Kalimipalli</w:t>
      </w:r>
      <w:proofErr w:type="spellEnd"/>
      <w:r>
        <w:rPr>
          <w:rFonts w:ascii="Times New Roman" w:hAnsi="Times New Roman" w:cs="Times New Roman"/>
          <w:sz w:val="24"/>
          <w:szCs w:val="24"/>
        </w:rPr>
        <w:t>, 2003 [3]; Zhang, 2006</w:t>
      </w:r>
      <w:r w:rsidR="001129C3">
        <w:rPr>
          <w:rFonts w:ascii="Times New Roman" w:hAnsi="Times New Roman" w:cs="Times New Roman"/>
          <w:sz w:val="24"/>
          <w:szCs w:val="24"/>
        </w:rPr>
        <w:t xml:space="preserve"> [6</w:t>
      </w:r>
      <w:r w:rsidR="00D550F5">
        <w:rPr>
          <w:rFonts w:ascii="Times New Roman" w:hAnsi="Times New Roman" w:cs="Times New Roman"/>
          <w:sz w:val="24"/>
          <w:szCs w:val="24"/>
        </w:rPr>
        <w:t>7</w:t>
      </w:r>
      <w:r w:rsidR="001129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Sadka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Scherbina</w:t>
      </w:r>
      <w:proofErr w:type="spellEnd"/>
      <w:r>
        <w:rPr>
          <w:rFonts w:ascii="Times New Roman" w:hAnsi="Times New Roman" w:cs="Times New Roman"/>
          <w:sz w:val="24"/>
          <w:szCs w:val="24"/>
        </w:rPr>
        <w:t>, 2007</w:t>
      </w:r>
      <w:r w:rsidR="00163CA1">
        <w:rPr>
          <w:rFonts w:ascii="Times New Roman" w:hAnsi="Times New Roman" w:cs="Times New Roman"/>
          <w:sz w:val="24"/>
          <w:szCs w:val="24"/>
        </w:rPr>
        <w:t xml:space="preserve"> [5</w:t>
      </w:r>
      <w:r w:rsidR="006905A4">
        <w:rPr>
          <w:rFonts w:ascii="Times New Roman" w:hAnsi="Times New Roman" w:cs="Times New Roman"/>
          <w:sz w:val="24"/>
          <w:szCs w:val="24"/>
        </w:rPr>
        <w:t>8</w:t>
      </w:r>
      <w:r w:rsidR="00163CA1">
        <w:rPr>
          <w:rFonts w:ascii="Times New Roman" w:hAnsi="Times New Roman" w:cs="Times New Roman"/>
          <w:sz w:val="24"/>
          <w:szCs w:val="24"/>
        </w:rPr>
        <w:t>]</w:t>
      </w:r>
      <w:r>
        <w:rPr>
          <w:rFonts w:ascii="Times New Roman" w:hAnsi="Times New Roman" w:cs="Times New Roman"/>
          <w:sz w:val="24"/>
          <w:szCs w:val="24"/>
        </w:rPr>
        <w:t>). For high uncertainty stocks, the additional information provided by pro forma disclosures will be of particular importance for pricing shares. I therefore analyse the effect of disclosing pro forma earnings on mispricing of those stocks.</w:t>
      </w:r>
    </w:p>
    <w:p w:rsidR="007D5A45" w:rsidRDefault="007D5A45">
      <w:pPr>
        <w:spacing w:after="0" w:line="480" w:lineRule="auto"/>
        <w:ind w:firstLine="426"/>
        <w:jc w:val="both"/>
        <w:rPr>
          <w:rFonts w:ascii="Times New Roman" w:hAnsi="Times New Roman" w:cs="Times New Roman"/>
          <w:sz w:val="24"/>
          <w:szCs w:val="24"/>
        </w:rPr>
      </w:pPr>
      <w:r w:rsidDel="00930A4A">
        <w:rPr>
          <w:rFonts w:ascii="Times New Roman" w:hAnsi="Times New Roman" w:cs="Times New Roman"/>
          <w:sz w:val="24"/>
          <w:szCs w:val="24"/>
        </w:rPr>
        <w:t xml:space="preserve"> </w:t>
      </w:r>
      <w:r>
        <w:rPr>
          <w:rFonts w:ascii="Times New Roman" w:hAnsi="Times New Roman" w:cs="Times New Roman"/>
          <w:sz w:val="24"/>
          <w:szCs w:val="24"/>
        </w:rPr>
        <w:t xml:space="preserve">I use a sample of adjusted earnings figures hand-collected from quarterly earnings press releases of the U.S. firms that make up the Dow Jones 30 between 2011 and 2017, together with a logit model 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the relation between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and pro forma earnings disclosure in a given quarter.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is measured as the firm’s market-to-book ratio (</w:t>
      </w:r>
      <w:r>
        <w:rPr>
          <w:rFonts w:ascii="Times New Roman" w:hAnsi="Times New Roman" w:cs="Times New Roman"/>
          <w:i/>
          <w:sz w:val="24"/>
          <w:szCs w:val="24"/>
        </w:rPr>
        <w:t>MTB</w:t>
      </w:r>
      <w:r>
        <w:rPr>
          <w:rFonts w:ascii="Times New Roman" w:hAnsi="Times New Roman" w:cs="Times New Roman"/>
          <w:sz w:val="24"/>
          <w:szCs w:val="24"/>
        </w:rPr>
        <w:t>). The analysis is based on Dow Jones 30 firms as these firms are large and among the most recognizable and well-known companies (e.g. Apple Inc., Microsoft Inc.). A non-negligible percentage of the cheap funds made available by central banks will be invested in some of the largest and most well-known firms. In addition, these large firms are included in a multitude of ETFs</w:t>
      </w:r>
      <w:r>
        <w:rPr>
          <w:rStyle w:val="FootnoteAnchor"/>
          <w:rFonts w:ascii="Times New Roman" w:hAnsi="Times New Roman" w:cs="Times New Roman"/>
          <w:sz w:val="24"/>
          <w:szCs w:val="24"/>
        </w:rPr>
        <w:footnoteReference w:id="6"/>
      </w:r>
      <w:r>
        <w:rPr>
          <w:rFonts w:ascii="Times New Roman" w:hAnsi="Times New Roman" w:cs="Times New Roman"/>
          <w:sz w:val="24"/>
          <w:szCs w:val="24"/>
        </w:rPr>
        <w:t xml:space="preserve"> whose use as a way to get equity exposure has grown significantly in recent years. Consequently, a lot of demand for their shares stems from their index membership, irrespective of valuation or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As ETF and index investing has been linked to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(e.g. </w:t>
      </w:r>
      <w:proofErr w:type="spellStart"/>
      <w:r>
        <w:rPr>
          <w:rFonts w:ascii="Times New Roman" w:hAnsi="Times New Roman" w:cs="Times New Roman"/>
          <w:sz w:val="24"/>
          <w:szCs w:val="24"/>
        </w:rPr>
        <w:t>Wurgler</w:t>
      </w:r>
      <w:proofErr w:type="spellEnd"/>
      <w:r>
        <w:rPr>
          <w:rFonts w:ascii="Times New Roman" w:hAnsi="Times New Roman" w:cs="Times New Roman"/>
          <w:sz w:val="24"/>
          <w:szCs w:val="24"/>
        </w:rPr>
        <w:t>, 201</w:t>
      </w:r>
      <w:r w:rsidR="003A763C">
        <w:rPr>
          <w:rFonts w:ascii="Times New Roman" w:hAnsi="Times New Roman" w:cs="Times New Roman"/>
          <w:sz w:val="24"/>
          <w:szCs w:val="24"/>
        </w:rPr>
        <w:t>1</w:t>
      </w:r>
      <w:r>
        <w:rPr>
          <w:rFonts w:ascii="Times New Roman" w:hAnsi="Times New Roman" w:cs="Times New Roman"/>
          <w:sz w:val="24"/>
          <w:szCs w:val="24"/>
        </w:rPr>
        <w:t>)</w:t>
      </w:r>
      <w:r w:rsidR="003A763C">
        <w:rPr>
          <w:rFonts w:ascii="Times New Roman" w:hAnsi="Times New Roman" w:cs="Times New Roman"/>
          <w:sz w:val="24"/>
          <w:szCs w:val="24"/>
        </w:rPr>
        <w:t xml:space="preserve"> [65]</w:t>
      </w:r>
      <w:r>
        <w:rPr>
          <w:rFonts w:ascii="Times New Roman" w:hAnsi="Times New Roman" w:cs="Times New Roman"/>
          <w:sz w:val="24"/>
          <w:szCs w:val="24"/>
        </w:rPr>
        <w:t xml:space="preserve">, for instance by affecting Tobin’s Q (e.g. Yang and </w:t>
      </w:r>
      <w:proofErr w:type="spellStart"/>
      <w:r>
        <w:rPr>
          <w:rFonts w:ascii="Times New Roman" w:hAnsi="Times New Roman" w:cs="Times New Roman"/>
          <w:sz w:val="24"/>
          <w:szCs w:val="24"/>
        </w:rPr>
        <w:t>Morck</w:t>
      </w:r>
      <w:proofErr w:type="spellEnd"/>
      <w:r>
        <w:rPr>
          <w:rFonts w:ascii="Times New Roman" w:hAnsi="Times New Roman" w:cs="Times New Roman"/>
          <w:sz w:val="24"/>
          <w:szCs w:val="24"/>
        </w:rPr>
        <w:t>, 2001)</w:t>
      </w:r>
      <w:r w:rsidR="007900CB">
        <w:rPr>
          <w:rFonts w:ascii="Times New Roman" w:hAnsi="Times New Roman" w:cs="Times New Roman"/>
          <w:sz w:val="24"/>
          <w:szCs w:val="24"/>
        </w:rPr>
        <w:t xml:space="preserve"> [6</w:t>
      </w:r>
      <w:r w:rsidR="00D550F5">
        <w:rPr>
          <w:rFonts w:ascii="Times New Roman" w:hAnsi="Times New Roman" w:cs="Times New Roman"/>
          <w:sz w:val="24"/>
          <w:szCs w:val="24"/>
        </w:rPr>
        <w:t>6</w:t>
      </w:r>
      <w:r w:rsidR="007900CB">
        <w:rPr>
          <w:rFonts w:ascii="Times New Roman" w:hAnsi="Times New Roman" w:cs="Times New Roman"/>
          <w:sz w:val="24"/>
          <w:szCs w:val="24"/>
        </w:rPr>
        <w:t>]</w:t>
      </w:r>
      <w:r>
        <w:rPr>
          <w:rFonts w:ascii="Times New Roman" w:hAnsi="Times New Roman" w:cs="Times New Roman"/>
          <w:sz w:val="24"/>
          <w:szCs w:val="24"/>
        </w:rPr>
        <w:t>, this sample is particularly suitable.</w:t>
      </w:r>
    </w:p>
    <w:p w:rsidR="007D5A45" w:rsidRDefault="007D5A45" w:rsidP="00504769">
      <w:pPr>
        <w:spacing w:after="0" w:line="480" w:lineRule="auto"/>
        <w:ind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The analysis provides strong evidence to show that pro forma earnings are still value relevant. They reduce overvaluation for the most overvalued stocks but not for the least overvalued stocks. Also, pro forma earnings are associated with less </w:t>
      </w:r>
      <w:r w:rsidRPr="00062CB1">
        <w:rPr>
          <w:rFonts w:ascii="Times New Roman" w:hAnsi="Times New Roman" w:cs="Times New Roman"/>
          <w:sz w:val="24"/>
          <w:szCs w:val="24"/>
        </w:rPr>
        <w:t xml:space="preserve">overvaluation in the </w:t>
      </w:r>
      <w:r w:rsidRPr="00062CB1">
        <w:rPr>
          <w:rFonts w:ascii="Times New Roman" w:hAnsi="Times New Roman" w:cs="Times New Roman"/>
          <w:sz w:val="24"/>
          <w:szCs w:val="24"/>
        </w:rPr>
        <w:lastRenderedPageBreak/>
        <w:t xml:space="preserve">quarter following a disclosure of pro forma earnings, implying that the effect of reducing overvaluation persists throughout the quarter following disclosure. </w:t>
      </w:r>
      <w:r w:rsidRPr="00F94EAD">
        <w:rPr>
          <w:rFonts w:ascii="Times New Roman" w:hAnsi="Times New Roman" w:cs="Times New Roman"/>
          <w:sz w:val="24"/>
          <w:szCs w:val="24"/>
        </w:rPr>
        <w:t>The finding of a</w:t>
      </w:r>
      <w:r w:rsidRPr="00062CB1">
        <w:rPr>
          <w:rFonts w:ascii="Times New Roman" w:hAnsi="Times New Roman" w:cs="Times New Roman"/>
          <w:sz w:val="24"/>
          <w:szCs w:val="24"/>
        </w:rPr>
        <w:t xml:space="preserve"> negative effect suggests, in line with previous studies, that </w:t>
      </w:r>
      <w:r w:rsidRPr="00F94EAD">
        <w:rPr>
          <w:rFonts w:ascii="Times New Roman" w:hAnsi="Times New Roman" w:cs="Times New Roman"/>
          <w:sz w:val="24"/>
          <w:szCs w:val="24"/>
        </w:rPr>
        <w:t xml:space="preserve">pro forma disclosures may backfire as </w:t>
      </w:r>
      <w:r w:rsidRPr="00062CB1">
        <w:rPr>
          <w:rFonts w:ascii="Times New Roman" w:hAnsi="Times New Roman" w:cs="Times New Roman"/>
          <w:sz w:val="24"/>
          <w:szCs w:val="24"/>
        </w:rPr>
        <w:t xml:space="preserve">investors </w:t>
      </w:r>
      <w:r w:rsidRPr="00F94EAD">
        <w:rPr>
          <w:rFonts w:ascii="Times New Roman" w:hAnsi="Times New Roman" w:cs="Times New Roman"/>
          <w:sz w:val="24"/>
          <w:szCs w:val="24"/>
        </w:rPr>
        <w:t>seems to be</w:t>
      </w:r>
      <w:r w:rsidRPr="00062CB1">
        <w:rPr>
          <w:rFonts w:ascii="Times New Roman" w:hAnsi="Times New Roman" w:cs="Times New Roman"/>
          <w:sz w:val="24"/>
          <w:szCs w:val="24"/>
        </w:rPr>
        <w:t xml:space="preserve"> able to</w:t>
      </w:r>
      <w:r w:rsidRPr="00F94EAD">
        <w:rPr>
          <w:rFonts w:ascii="Times New Roman" w:hAnsi="Times New Roman" w:cs="Times New Roman"/>
          <w:sz w:val="24"/>
          <w:szCs w:val="24"/>
        </w:rPr>
        <w:t xml:space="preserve"> </w:t>
      </w:r>
      <w:r w:rsidRPr="00062CB1">
        <w:rPr>
          <w:rFonts w:ascii="Times New Roman" w:hAnsi="Times New Roman" w:cs="Times New Roman"/>
          <w:sz w:val="24"/>
          <w:szCs w:val="24"/>
        </w:rPr>
        <w:t xml:space="preserve">see through </w:t>
      </w:r>
      <w:r w:rsidRPr="00F94EAD">
        <w:rPr>
          <w:rFonts w:ascii="Times New Roman" w:hAnsi="Times New Roman" w:cs="Times New Roman"/>
          <w:sz w:val="24"/>
          <w:szCs w:val="24"/>
        </w:rPr>
        <w:t>opportunistic disclosures</w:t>
      </w:r>
      <w:r w:rsidRPr="00062CB1">
        <w:rPr>
          <w:rFonts w:ascii="Times New Roman" w:hAnsi="Times New Roman" w:cs="Times New Roman"/>
          <w:sz w:val="24"/>
          <w:szCs w:val="24"/>
        </w:rPr>
        <w:t xml:space="preserve"> and assign a lower share valuation.</w:t>
      </w:r>
      <w:r w:rsidRPr="00F94EAD">
        <w:rPr>
          <w:rFonts w:ascii="Times New Roman" w:hAnsi="Times New Roman" w:cs="Times New Roman"/>
          <w:sz w:val="24"/>
          <w:szCs w:val="24"/>
        </w:rPr>
        <w:t xml:space="preserve"> At least, for some firms.</w:t>
      </w:r>
      <w:r w:rsidRPr="00062CB1">
        <w:rPr>
          <w:rFonts w:ascii="Times New Roman" w:hAnsi="Times New Roman" w:cs="Times New Roman"/>
          <w:sz w:val="24"/>
          <w:szCs w:val="24"/>
        </w:rPr>
        <w:t xml:space="preserve"> </w:t>
      </w:r>
      <w:proofErr w:type="gramStart"/>
      <w:r w:rsidRPr="00F94EAD">
        <w:rPr>
          <w:rFonts w:ascii="Times New Roman" w:hAnsi="Times New Roman" w:cs="Times New Roman"/>
          <w:sz w:val="24"/>
          <w:szCs w:val="24"/>
        </w:rPr>
        <w:t>Thus</w:t>
      </w:r>
      <w:proofErr w:type="gramEnd"/>
      <w:r w:rsidRPr="00F94EAD">
        <w:rPr>
          <w:rFonts w:ascii="Times New Roman" w:hAnsi="Times New Roman" w:cs="Times New Roman"/>
          <w:sz w:val="24"/>
          <w:szCs w:val="24"/>
        </w:rPr>
        <w:t xml:space="preserve"> firms might want to </w:t>
      </w:r>
      <w:r>
        <w:rPr>
          <w:rFonts w:ascii="Times New Roman" w:hAnsi="Times New Roman" w:cs="Times New Roman"/>
          <w:sz w:val="24"/>
          <w:szCs w:val="24"/>
        </w:rPr>
        <w:t xml:space="preserve">be careful with </w:t>
      </w:r>
      <w:r w:rsidRPr="00F94EAD">
        <w:rPr>
          <w:rFonts w:ascii="Times New Roman" w:hAnsi="Times New Roman" w:cs="Times New Roman"/>
          <w:sz w:val="24"/>
          <w:szCs w:val="24"/>
        </w:rPr>
        <w:t xml:space="preserve">pro forma disclosures, as the market seems to be able to filter out misleading disclosures </w:t>
      </w:r>
      <w:r w:rsidRPr="00062CB1">
        <w:rPr>
          <w:rFonts w:ascii="Times New Roman" w:hAnsi="Times New Roman" w:cs="Times New Roman"/>
          <w:sz w:val="24"/>
          <w:szCs w:val="24"/>
        </w:rPr>
        <w:t>and react accordingly.</w:t>
      </w:r>
    </w:p>
    <w:p w:rsidR="007D5A45" w:rsidRPr="00784C94" w:rsidRDefault="007D5A45" w:rsidP="005047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In addition, further analysis shows that, for firms with higher analyst earnings forecast dispersion, disclosing pro forma earnings increases overvaluation. This is likely to happen due to investors’ over-</w:t>
      </w:r>
      <w:r w:rsidRPr="00B26E07">
        <w:rPr>
          <w:rFonts w:ascii="Times New Roman" w:hAnsi="Times New Roman" w:cs="Times New Roman"/>
          <w:sz w:val="24"/>
          <w:szCs w:val="24"/>
        </w:rPr>
        <w:t xml:space="preserve">expectation and uncertainty. The least overvalued firms, however, would see decreased overvaluation in the presence of </w:t>
      </w:r>
      <w:r w:rsidRPr="00622517">
        <w:rPr>
          <w:rFonts w:ascii="Times New Roman" w:hAnsi="Times New Roman" w:cs="Times New Roman"/>
          <w:sz w:val="24"/>
          <w:szCs w:val="24"/>
        </w:rPr>
        <w:t xml:space="preserve">higher analyst earnings forecast dispersion. Those findings are consistent with </w:t>
      </w:r>
      <w:r w:rsidRPr="00F94EAD">
        <w:rPr>
          <w:rFonts w:ascii="Times New Roman" w:hAnsi="Times New Roman" w:cs="Times New Roman"/>
          <w:sz w:val="24"/>
          <w:szCs w:val="24"/>
        </w:rPr>
        <w:t xml:space="preserve">the evidence in </w:t>
      </w:r>
      <w:r w:rsidRPr="00F94EAD">
        <w:rPr>
          <w:rFonts w:ascii="Times New Roman" w:eastAsia="PMingLiU" w:hAnsi="Times New Roman" w:cs="Times New Roman"/>
          <w:sz w:val="24"/>
          <w:szCs w:val="24"/>
        </w:rPr>
        <w:t xml:space="preserve">Bradshaw, </w:t>
      </w:r>
      <w:proofErr w:type="spellStart"/>
      <w:r w:rsidRPr="00F94EAD">
        <w:rPr>
          <w:rFonts w:ascii="Times New Roman" w:eastAsia="PMingLiU" w:hAnsi="Times New Roman" w:cs="Times New Roman"/>
          <w:sz w:val="24"/>
          <w:szCs w:val="24"/>
        </w:rPr>
        <w:t>Plumlee</w:t>
      </w:r>
      <w:proofErr w:type="spellEnd"/>
      <w:r w:rsidRPr="00F94EAD">
        <w:rPr>
          <w:rFonts w:ascii="Times New Roman" w:eastAsia="PMingLiU" w:hAnsi="Times New Roman" w:cs="Times New Roman"/>
          <w:sz w:val="24"/>
          <w:szCs w:val="24"/>
        </w:rPr>
        <w:t xml:space="preserve">, Whipple, and </w:t>
      </w:r>
      <w:proofErr w:type="spellStart"/>
      <w:r w:rsidRPr="00F94EAD">
        <w:rPr>
          <w:rFonts w:ascii="Times New Roman" w:eastAsia="PMingLiU" w:hAnsi="Times New Roman" w:cs="Times New Roman"/>
          <w:sz w:val="24"/>
          <w:szCs w:val="24"/>
        </w:rPr>
        <w:t>Yohn</w:t>
      </w:r>
      <w:proofErr w:type="spellEnd"/>
      <w:r w:rsidRPr="00F94EAD" w:rsidDel="00B107B8">
        <w:rPr>
          <w:rFonts w:ascii="Times New Roman" w:hAnsi="Times New Roman" w:cs="Times New Roman"/>
          <w:sz w:val="24"/>
          <w:szCs w:val="24"/>
        </w:rPr>
        <w:t xml:space="preserve"> </w:t>
      </w:r>
      <w:r w:rsidRPr="00F94EAD">
        <w:rPr>
          <w:rFonts w:ascii="Times New Roman" w:hAnsi="Times New Roman" w:cs="Times New Roman"/>
          <w:sz w:val="24"/>
          <w:szCs w:val="24"/>
        </w:rPr>
        <w:t xml:space="preserve">(2018b) </w:t>
      </w:r>
      <w:r w:rsidR="00123294">
        <w:rPr>
          <w:rFonts w:ascii="Times New Roman" w:hAnsi="Times New Roman" w:cs="Times New Roman"/>
          <w:sz w:val="24"/>
          <w:szCs w:val="24"/>
        </w:rPr>
        <w:t>[19</w:t>
      </w:r>
      <w:proofErr w:type="gramStart"/>
      <w:r w:rsidR="00123294">
        <w:rPr>
          <w:rFonts w:ascii="Times New Roman" w:hAnsi="Times New Roman" w:cs="Times New Roman"/>
          <w:sz w:val="24"/>
          <w:szCs w:val="24"/>
        </w:rPr>
        <w:t xml:space="preserve">]  </w:t>
      </w:r>
      <w:r w:rsidRPr="00622517">
        <w:rPr>
          <w:rFonts w:ascii="Times New Roman" w:hAnsi="Times New Roman" w:cs="Times New Roman"/>
          <w:sz w:val="24"/>
          <w:szCs w:val="24"/>
        </w:rPr>
        <w:t>that</w:t>
      </w:r>
      <w:proofErr w:type="gramEnd"/>
      <w:r w:rsidRPr="00622517">
        <w:rPr>
          <w:rFonts w:ascii="Times New Roman" w:hAnsi="Times New Roman" w:cs="Times New Roman"/>
          <w:sz w:val="24"/>
          <w:szCs w:val="24"/>
        </w:rPr>
        <w:t xml:space="preserve"> non-GAAP earnings decrease analyst cons</w:t>
      </w:r>
      <w:r w:rsidRPr="00F94EAD">
        <w:rPr>
          <w:rFonts w:ascii="Times New Roman" w:hAnsi="Times New Roman" w:cs="Times New Roman"/>
          <w:sz w:val="24"/>
          <w:szCs w:val="24"/>
        </w:rPr>
        <w:t>ensus about future performance</w:t>
      </w:r>
      <w:r w:rsidRPr="00622517">
        <w:rPr>
          <w:rFonts w:ascii="Times New Roman" w:hAnsi="Times New Roman" w:cs="Times New Roman"/>
          <w:sz w:val="24"/>
          <w:szCs w:val="24"/>
        </w:rPr>
        <w:t>.</w:t>
      </w:r>
      <w:r w:rsidRPr="00F94EAD">
        <w:rPr>
          <w:rFonts w:ascii="Times New Roman" w:hAnsi="Times New Roman" w:cs="Times New Roman"/>
          <w:sz w:val="24"/>
          <w:szCs w:val="24"/>
        </w:rPr>
        <w:t xml:space="preserve"> It suggests that, in the presence of higher ex-ante uncertainty among analysts about a firm’s performance, pro forma earnings (which may also be an attempt to mislead) may be particularly difficult to interpret in their effect on performance. </w:t>
      </w:r>
      <w:proofErr w:type="gramStart"/>
      <w:r w:rsidRPr="00F94EAD">
        <w:rPr>
          <w:rFonts w:ascii="Times New Roman" w:hAnsi="Times New Roman" w:cs="Times New Roman"/>
          <w:sz w:val="24"/>
          <w:szCs w:val="24"/>
        </w:rPr>
        <w:t>Hence</w:t>
      </w:r>
      <w:proofErr w:type="gramEnd"/>
      <w:r w:rsidRPr="00F94EAD">
        <w:rPr>
          <w:rFonts w:ascii="Times New Roman" w:hAnsi="Times New Roman" w:cs="Times New Roman"/>
          <w:sz w:val="24"/>
          <w:szCs w:val="24"/>
        </w:rPr>
        <w:t xml:space="preserve"> they could potentially add to the existing uncertainty, and this amplified uncertainty could increase mispricing for some stocks.</w:t>
      </w:r>
    </w:p>
    <w:p w:rsidR="007D5A45" w:rsidRPr="001A404E" w:rsidRDefault="007D5A45">
      <w:pPr>
        <w:spacing w:after="0" w:line="480" w:lineRule="auto"/>
        <w:ind w:firstLine="426"/>
        <w:jc w:val="both"/>
        <w:rPr>
          <w:rFonts w:ascii="Times New Roman" w:hAnsi="Times New Roman" w:cs="Times New Roman"/>
          <w:sz w:val="24"/>
          <w:szCs w:val="24"/>
        </w:rPr>
      </w:pPr>
      <w:r w:rsidRPr="00784C94">
        <w:rPr>
          <w:rFonts w:ascii="Times New Roman" w:hAnsi="Times New Roman" w:cs="Times New Roman"/>
          <w:sz w:val="24"/>
          <w:szCs w:val="24"/>
        </w:rPr>
        <w:t>This study contributes to the literature in three ways. First, t</w:t>
      </w:r>
      <w:r w:rsidRPr="00F94EAD">
        <w:rPr>
          <w:rFonts w:ascii="Times New Roman" w:hAnsi="Times New Roman" w:cs="Times New Roman"/>
          <w:sz w:val="24"/>
          <w:szCs w:val="24"/>
        </w:rPr>
        <w:t xml:space="preserve">he findings fill a gap in the literature that has arisen due to the significant changes in the market environment in the last few years after the financial crisis. </w:t>
      </w:r>
      <w:r w:rsidRPr="00784C94">
        <w:rPr>
          <w:rFonts w:ascii="Times New Roman" w:hAnsi="Times New Roman" w:cs="Times New Roman"/>
          <w:sz w:val="24"/>
          <w:szCs w:val="24"/>
        </w:rPr>
        <w:t xml:space="preserve">I offer a contemporary look at the relationship between pro forma earnings disclosures and pricing of shares, focusing on </w:t>
      </w:r>
      <w:proofErr w:type="spellStart"/>
      <w:r w:rsidRPr="00784C94">
        <w:rPr>
          <w:rFonts w:ascii="Times New Roman" w:hAnsi="Times New Roman" w:cs="Times New Roman"/>
          <w:sz w:val="24"/>
          <w:szCs w:val="24"/>
        </w:rPr>
        <w:t>misvaluation</w:t>
      </w:r>
      <w:proofErr w:type="spellEnd"/>
      <w:r w:rsidRPr="00784C94">
        <w:rPr>
          <w:rFonts w:ascii="Times New Roman" w:hAnsi="Times New Roman" w:cs="Times New Roman"/>
          <w:sz w:val="24"/>
          <w:szCs w:val="24"/>
        </w:rPr>
        <w:t xml:space="preserve">. I extend previous literature by examining a very recent sample period that has hardly been covered in prior studies, but which is characterised by a market environment that is radically different from existing studies’ samples. New and powerful sources of mispricing have emerged during this period that call into question the usefulness of pro forma earnings disclosures for pricing shares. </w:t>
      </w:r>
      <w:r w:rsidRPr="00784C94">
        <w:rPr>
          <w:rFonts w:ascii="Times New Roman" w:hAnsi="Times New Roman" w:cs="Times New Roman"/>
          <w:sz w:val="24"/>
          <w:szCs w:val="24"/>
        </w:rPr>
        <w:lastRenderedPageBreak/>
        <w:t>I demonstrate that</w:t>
      </w:r>
      <w:r w:rsidRPr="00F94EAD">
        <w:rPr>
          <w:rFonts w:ascii="Times New Roman" w:hAnsi="Times New Roman" w:cs="Times New Roman"/>
          <w:sz w:val="24"/>
          <w:szCs w:val="24"/>
        </w:rPr>
        <w:t>,</w:t>
      </w:r>
      <w:r w:rsidRPr="00784C94">
        <w:rPr>
          <w:rFonts w:ascii="Times New Roman" w:hAnsi="Times New Roman" w:cs="Times New Roman"/>
          <w:sz w:val="24"/>
          <w:szCs w:val="24"/>
        </w:rPr>
        <w:t xml:space="preserve"> despite the significant changes in the monetary environment</w:t>
      </w:r>
      <w:r w:rsidRPr="00F94EAD">
        <w:rPr>
          <w:rFonts w:ascii="Times New Roman" w:hAnsi="Times New Roman" w:cs="Times New Roman"/>
          <w:sz w:val="24"/>
          <w:szCs w:val="24"/>
        </w:rPr>
        <w:t xml:space="preserve"> and investing approach that seem to reduce the need for fundamental information</w:t>
      </w:r>
      <w:r w:rsidRPr="00784C94">
        <w:rPr>
          <w:rFonts w:ascii="Times New Roman" w:hAnsi="Times New Roman" w:cs="Times New Roman"/>
          <w:sz w:val="24"/>
          <w:szCs w:val="24"/>
        </w:rPr>
        <w:t xml:space="preserve">, pro forma earnings </w:t>
      </w:r>
      <w:r w:rsidRPr="001A404E">
        <w:rPr>
          <w:rFonts w:ascii="Times New Roman" w:hAnsi="Times New Roman" w:cs="Times New Roman"/>
          <w:sz w:val="24"/>
          <w:szCs w:val="24"/>
        </w:rPr>
        <w:t xml:space="preserve">disclosures </w:t>
      </w:r>
      <w:r w:rsidRPr="00F94EAD">
        <w:rPr>
          <w:rFonts w:ascii="Times New Roman" w:hAnsi="Times New Roman" w:cs="Times New Roman"/>
          <w:sz w:val="24"/>
          <w:szCs w:val="24"/>
        </w:rPr>
        <w:t xml:space="preserve">still </w:t>
      </w:r>
      <w:r w:rsidRPr="001A404E">
        <w:rPr>
          <w:rFonts w:ascii="Times New Roman" w:hAnsi="Times New Roman" w:cs="Times New Roman"/>
          <w:sz w:val="24"/>
          <w:szCs w:val="24"/>
        </w:rPr>
        <w:t>provide value relevant information</w:t>
      </w:r>
      <w:r w:rsidRPr="00F94EAD">
        <w:rPr>
          <w:rFonts w:ascii="Times New Roman" w:hAnsi="Times New Roman" w:cs="Times New Roman"/>
          <w:sz w:val="24"/>
          <w:szCs w:val="24"/>
        </w:rPr>
        <w:t xml:space="preserve"> tha</w:t>
      </w:r>
      <w:r w:rsidRPr="001A404E">
        <w:rPr>
          <w:rFonts w:ascii="Times New Roman" w:hAnsi="Times New Roman" w:cs="Times New Roman"/>
          <w:sz w:val="24"/>
          <w:szCs w:val="24"/>
        </w:rPr>
        <w:t>t can help reduce mispricing of shares. More generally, it also sheds light on the effects of unconventional monetary policy in the wake of the financial crisis on the usefulness of accounting information.</w:t>
      </w:r>
    </w:p>
    <w:p w:rsidR="007D5A45" w:rsidRDefault="007D5A45">
      <w:pPr>
        <w:spacing w:after="0" w:line="480" w:lineRule="auto"/>
        <w:ind w:firstLine="426"/>
        <w:jc w:val="both"/>
        <w:rPr>
          <w:rFonts w:ascii="Times New Roman" w:hAnsi="Times New Roman" w:cs="Times New Roman"/>
          <w:sz w:val="24"/>
          <w:szCs w:val="24"/>
        </w:rPr>
      </w:pPr>
      <w:r w:rsidRPr="001A404E">
        <w:rPr>
          <w:rFonts w:ascii="Times New Roman" w:hAnsi="Times New Roman" w:cs="Times New Roman"/>
          <w:sz w:val="24"/>
          <w:szCs w:val="24"/>
        </w:rPr>
        <w:t>Second, my investigation is particularly timely in light of increasing attention being paid by standard setters</w:t>
      </w:r>
      <w:r>
        <w:rPr>
          <w:rFonts w:ascii="Times New Roman" w:hAnsi="Times New Roman" w:cs="Times New Roman"/>
          <w:sz w:val="24"/>
          <w:szCs w:val="24"/>
        </w:rPr>
        <w:t xml:space="preserve"> and regulators to whether accounting disclosures provide information to meet investors’ needs. This is against the background of now widespread provision and use of pro forma numbers by </w:t>
      </w:r>
      <w:r w:rsidRPr="00F94EAD">
        <w:rPr>
          <w:rFonts w:ascii="Times New Roman" w:hAnsi="Times New Roman" w:cs="Times New Roman"/>
          <w:sz w:val="24"/>
          <w:szCs w:val="24"/>
        </w:rPr>
        <w:t xml:space="preserve">investors, and corresponding initiatives of how to modify existing reporting, whether it still meets the needs of users, and the quality of pro forma information (see </w:t>
      </w:r>
      <w:r w:rsidRPr="00F94EAD">
        <w:rPr>
          <w:rFonts w:ascii="Times New Roman" w:eastAsia="PMingLiU" w:hAnsi="Times New Roman" w:cs="Times New Roman"/>
          <w:sz w:val="24"/>
          <w:szCs w:val="24"/>
        </w:rPr>
        <w:t xml:space="preserve">Black, Christensen, </w:t>
      </w:r>
      <w:proofErr w:type="spellStart"/>
      <w:r w:rsidRPr="00F94EAD">
        <w:rPr>
          <w:rFonts w:ascii="Times New Roman" w:eastAsia="PMingLiU" w:hAnsi="Times New Roman" w:cs="Times New Roman"/>
          <w:sz w:val="24"/>
          <w:szCs w:val="24"/>
        </w:rPr>
        <w:t>Kiosse</w:t>
      </w:r>
      <w:proofErr w:type="spellEnd"/>
      <w:r w:rsidRPr="00F94EAD">
        <w:rPr>
          <w:rFonts w:ascii="Times New Roman" w:eastAsia="PMingLiU" w:hAnsi="Times New Roman" w:cs="Times New Roman"/>
          <w:sz w:val="24"/>
          <w:szCs w:val="24"/>
        </w:rPr>
        <w:t>, and Steffen</w:t>
      </w:r>
      <w:r w:rsidRPr="00F94EAD">
        <w:rPr>
          <w:rFonts w:ascii="Times New Roman" w:hAnsi="Times New Roman" w:cs="Times New Roman"/>
          <w:sz w:val="24"/>
          <w:szCs w:val="24"/>
        </w:rPr>
        <w:t>, 2017a)</w:t>
      </w:r>
      <w:r w:rsidR="004A5F33">
        <w:rPr>
          <w:rFonts w:ascii="Times New Roman" w:hAnsi="Times New Roman" w:cs="Times New Roman"/>
          <w:sz w:val="24"/>
          <w:szCs w:val="24"/>
        </w:rPr>
        <w:t xml:space="preserve"> [12]</w:t>
      </w:r>
      <w:r w:rsidRPr="00F94EAD">
        <w:rPr>
          <w:rFonts w:ascii="Times New Roman" w:hAnsi="Times New Roman" w:cs="Times New Roman"/>
          <w:sz w:val="24"/>
          <w:szCs w:val="24"/>
        </w:rPr>
        <w:t>. The findings</w:t>
      </w:r>
      <w:r>
        <w:rPr>
          <w:rFonts w:ascii="Times New Roman" w:hAnsi="Times New Roman" w:cs="Times New Roman"/>
          <w:sz w:val="24"/>
          <w:szCs w:val="24"/>
        </w:rPr>
        <w:t xml:space="preserve"> are relevant for regulators to consider whether the changes in regulations regarding non-GAAP disclosures have been effective, or may need to be further revised. The results show that the market seems to be, to some extent, able to detect opportunistic disclosures and penalizes firms accordingly. Third, I provide </w:t>
      </w:r>
      <w:r w:rsidRPr="00EF61C1">
        <w:rPr>
          <w:rFonts w:ascii="Times New Roman" w:hAnsi="Times New Roman" w:cs="Times New Roman"/>
          <w:sz w:val="24"/>
          <w:szCs w:val="24"/>
        </w:rPr>
        <w:t xml:space="preserve">evidence for the effect of pro forma earnings on </w:t>
      </w:r>
      <w:proofErr w:type="spellStart"/>
      <w:r w:rsidRPr="00EF61C1">
        <w:rPr>
          <w:rFonts w:ascii="Times New Roman" w:hAnsi="Times New Roman" w:cs="Times New Roman"/>
          <w:sz w:val="24"/>
          <w:szCs w:val="24"/>
        </w:rPr>
        <w:t>misvaluation</w:t>
      </w:r>
      <w:proofErr w:type="spellEnd"/>
      <w:r w:rsidRPr="00EF61C1">
        <w:rPr>
          <w:rFonts w:ascii="Times New Roman" w:hAnsi="Times New Roman" w:cs="Times New Roman"/>
          <w:sz w:val="24"/>
          <w:szCs w:val="24"/>
        </w:rPr>
        <w:t xml:space="preserve"> for stocks with high prior analyst earnings forecast disagreement, which has not been considered before in the literature. I show that, for stocks with high prior disagreement amongst analysts regarding the upcoming earnings numbers, providing pro forma earnings information may add to the uncertainty, and thereby exacerbate </w:t>
      </w:r>
      <w:proofErr w:type="spellStart"/>
      <w:r w:rsidRPr="00EF61C1">
        <w:rPr>
          <w:rFonts w:ascii="Times New Roman" w:hAnsi="Times New Roman" w:cs="Times New Roman"/>
          <w:sz w:val="24"/>
          <w:szCs w:val="24"/>
        </w:rPr>
        <w:t>misvaluation</w:t>
      </w:r>
      <w:proofErr w:type="spellEnd"/>
      <w:r w:rsidRPr="00EF61C1">
        <w:rPr>
          <w:rFonts w:ascii="Times New Roman" w:hAnsi="Times New Roman" w:cs="Times New Roman"/>
          <w:sz w:val="24"/>
          <w:szCs w:val="24"/>
        </w:rPr>
        <w:t>. This provides further detail and insight into how, and under which circumstances, such disclosures affect share price, and can help inform decisions by both firms and regulatory</w:t>
      </w:r>
      <w:r>
        <w:rPr>
          <w:rFonts w:ascii="Times New Roman" w:hAnsi="Times New Roman" w:cs="Times New Roman"/>
          <w:sz w:val="24"/>
          <w:szCs w:val="24"/>
        </w:rPr>
        <w:t xml:space="preserve"> bodies.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The remainder of the paper is organized as follows. Section 2 discusses the motivation and related literature. Section 3 describes the data and the empirical methodology. Section 4 presents and discusses the empirical findings. Section 5 concludes.</w:t>
      </w:r>
    </w:p>
    <w:p w:rsidR="007D5A45" w:rsidRDefault="007D5A45">
      <w:pPr>
        <w:spacing w:after="0" w:line="480" w:lineRule="auto"/>
        <w:ind w:firstLine="720"/>
        <w:jc w:val="both"/>
        <w:rPr>
          <w:rFonts w:ascii="Times New Roman" w:hAnsi="Times New Roman" w:cs="Times New Roman"/>
          <w:sz w:val="24"/>
          <w:szCs w:val="24"/>
        </w:rPr>
      </w:pPr>
    </w:p>
    <w:p w:rsidR="007D5A45" w:rsidRDefault="007D5A45">
      <w:pPr>
        <w:pStyle w:val="s1"/>
        <w:numPr>
          <w:ilvl w:val="0"/>
          <w:numId w:val="2"/>
        </w:numPr>
        <w:ind w:left="426" w:hanging="426"/>
      </w:pPr>
      <w:r>
        <w:lastRenderedPageBreak/>
        <w:t>Related literature and research questions</w:t>
      </w:r>
    </w:p>
    <w:p w:rsidR="007D5A45" w:rsidRPr="00F94EAD" w:rsidRDefault="007D5A45">
      <w:pPr>
        <w:pStyle w:val="Heading2"/>
        <w:numPr>
          <w:ilvl w:val="0"/>
          <w:numId w:val="0"/>
        </w:numPr>
        <w:ind w:left="576" w:hanging="576"/>
        <w:rPr>
          <w:rFonts w:ascii="Times New Roman" w:hAnsi="Times New Roman" w:cs="Times New Roman"/>
          <w:b w:val="0"/>
          <w:color w:val="auto"/>
        </w:rPr>
      </w:pPr>
      <w:r w:rsidRPr="00F94EAD">
        <w:rPr>
          <w:rFonts w:ascii="Times New Roman" w:hAnsi="Times New Roman" w:cs="Times New Roman"/>
          <w:b w:val="0"/>
          <w:color w:val="auto"/>
        </w:rPr>
        <w:t>2.1 The usefulness of pro forma earnings for share valuation</w:t>
      </w:r>
    </w:p>
    <w:p w:rsidR="007D5A45" w:rsidRDefault="007D5A45">
      <w:pPr>
        <w:spacing w:after="0" w:line="480" w:lineRule="auto"/>
        <w:ind w:firstLine="426"/>
        <w:jc w:val="both"/>
        <w:rPr>
          <w:rFonts w:ascii="Times New Roman" w:hAnsi="Times New Roman" w:cs="Times New Roman"/>
          <w:sz w:val="24"/>
          <w:szCs w:val="24"/>
        </w:rPr>
      </w:pP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Early studies have examined the question of the valuation relevance of pro forma earnings disclosures by mostly looking at their association with earnings announcements and future stock returns (e.g. Bradshaw and Sloan, 2002</w:t>
      </w:r>
      <w:r w:rsidR="004B435F">
        <w:rPr>
          <w:rFonts w:ascii="Times New Roman" w:hAnsi="Times New Roman" w:cs="Times New Roman"/>
          <w:sz w:val="24"/>
          <w:szCs w:val="24"/>
        </w:rPr>
        <w:t xml:space="preserve"> [17]</w:t>
      </w:r>
      <w:r>
        <w:rPr>
          <w:rFonts w:ascii="Times New Roman" w:hAnsi="Times New Roman" w:cs="Times New Roman"/>
          <w:sz w:val="24"/>
          <w:szCs w:val="24"/>
        </w:rPr>
        <w:t>; Bhattacharya et al., 2003</w:t>
      </w:r>
      <w:r w:rsidR="00C6786D">
        <w:rPr>
          <w:rFonts w:ascii="Times New Roman" w:hAnsi="Times New Roman" w:cs="Times New Roman"/>
          <w:sz w:val="24"/>
          <w:szCs w:val="24"/>
        </w:rPr>
        <w:t xml:space="preserve"> [9]</w:t>
      </w:r>
      <w:r>
        <w:rPr>
          <w:rFonts w:ascii="Times New Roman" w:hAnsi="Times New Roman" w:cs="Times New Roman"/>
          <w:sz w:val="24"/>
          <w:szCs w:val="24"/>
        </w:rPr>
        <w:t>; Brown and Sivakumar, 2003</w:t>
      </w:r>
      <w:r w:rsidR="003B27BE">
        <w:rPr>
          <w:rFonts w:ascii="Times New Roman" w:hAnsi="Times New Roman" w:cs="Times New Roman"/>
          <w:sz w:val="24"/>
          <w:szCs w:val="24"/>
        </w:rPr>
        <w:t xml:space="preserve"> [20]</w:t>
      </w:r>
      <w:r>
        <w:rPr>
          <w:rFonts w:ascii="Times New Roman" w:hAnsi="Times New Roman" w:cs="Times New Roman"/>
          <w:sz w:val="24"/>
          <w:szCs w:val="24"/>
        </w:rPr>
        <w:t>; Doyle et al., 2003</w:t>
      </w:r>
      <w:r w:rsidR="00EC1355">
        <w:rPr>
          <w:rFonts w:ascii="Times New Roman" w:hAnsi="Times New Roman" w:cs="Times New Roman"/>
          <w:sz w:val="24"/>
          <w:szCs w:val="24"/>
        </w:rPr>
        <w:t xml:space="preserve"> [3</w:t>
      </w:r>
      <w:r w:rsidR="00BE4F45">
        <w:rPr>
          <w:rFonts w:ascii="Times New Roman" w:hAnsi="Times New Roman" w:cs="Times New Roman"/>
          <w:sz w:val="24"/>
          <w:szCs w:val="24"/>
        </w:rPr>
        <w:t>2</w:t>
      </w:r>
      <w:r w:rsidR="00EC135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Lougee</w:t>
      </w:r>
      <w:proofErr w:type="spellEnd"/>
      <w:r>
        <w:rPr>
          <w:rFonts w:ascii="Times New Roman" w:hAnsi="Times New Roman" w:cs="Times New Roman"/>
          <w:sz w:val="24"/>
          <w:szCs w:val="24"/>
        </w:rPr>
        <w:t xml:space="preserve"> and Marquardt, 2004</w:t>
      </w:r>
      <w:r w:rsidR="00EA4348">
        <w:rPr>
          <w:rFonts w:ascii="Times New Roman" w:hAnsi="Times New Roman" w:cs="Times New Roman"/>
          <w:sz w:val="24"/>
          <w:szCs w:val="24"/>
        </w:rPr>
        <w:t xml:space="preserve"> [55]</w:t>
      </w:r>
      <w:r>
        <w:rPr>
          <w:rFonts w:ascii="Times New Roman" w:hAnsi="Times New Roman" w:cs="Times New Roman"/>
          <w:sz w:val="24"/>
          <w:szCs w:val="24"/>
        </w:rPr>
        <w:t xml:space="preserve">). They provide evidence that pro forma earnings disclosures contain incremental information content above GAAP earnings. For instance, Brown and Sivakumar (2003) </w:t>
      </w:r>
      <w:r w:rsidR="003B27BE">
        <w:rPr>
          <w:rFonts w:ascii="Times New Roman" w:hAnsi="Times New Roman" w:cs="Times New Roman"/>
          <w:sz w:val="24"/>
          <w:szCs w:val="24"/>
        </w:rPr>
        <w:t xml:space="preserve">[20] </w:t>
      </w:r>
      <w:r>
        <w:rPr>
          <w:rFonts w:ascii="Times New Roman" w:hAnsi="Times New Roman" w:cs="Times New Roman"/>
          <w:sz w:val="24"/>
          <w:szCs w:val="24"/>
        </w:rPr>
        <w:t>compare the value relevance of manager- and analyst-provided earnings numbers and GAAP earnings for a sample of quarterly earnings during the 1989-1997 period. They find that pro forma earnings numbers are more value relevant than GAAP earnings. Bhattacharya et al. (2003)</w:t>
      </w:r>
      <w:r w:rsidR="00C6786D">
        <w:rPr>
          <w:rFonts w:ascii="Times New Roman" w:hAnsi="Times New Roman" w:cs="Times New Roman"/>
          <w:sz w:val="24"/>
          <w:szCs w:val="24"/>
        </w:rPr>
        <w:t xml:space="preserve"> [9]</w:t>
      </w:r>
      <w:r>
        <w:rPr>
          <w:rFonts w:ascii="Times New Roman" w:hAnsi="Times New Roman" w:cs="Times New Roman"/>
          <w:sz w:val="24"/>
          <w:szCs w:val="24"/>
        </w:rPr>
        <w:t xml:space="preserve"> examine abnormal returns around earnings announcements for a sample of pro forma disclosures over the period 1990-2000. They find that pro forma earnings are significantly more informative to investors than GAAP operating earnings, but less informative when they meet analysts’ expectations while the corresponding GAAP operating earnings fall below analysts’ expectations. Investors, however, do not discount pro forma announcements that report a profit while the corresponding GAAP operating earnings report a loss. More recent research has confirmed the value relevance of those disclosures (e.g. Venter et al., 2014</w:t>
      </w:r>
      <w:r w:rsidR="00FD2D19">
        <w:rPr>
          <w:rFonts w:ascii="Times New Roman" w:hAnsi="Times New Roman" w:cs="Times New Roman"/>
          <w:sz w:val="24"/>
          <w:szCs w:val="24"/>
        </w:rPr>
        <w:t xml:space="preserve"> [6</w:t>
      </w:r>
      <w:r w:rsidR="0093520F">
        <w:rPr>
          <w:rFonts w:ascii="Times New Roman" w:hAnsi="Times New Roman" w:cs="Times New Roman"/>
          <w:sz w:val="24"/>
          <w:szCs w:val="24"/>
        </w:rPr>
        <w:t>2</w:t>
      </w:r>
      <w:r w:rsidR="00FD2D19">
        <w:rPr>
          <w:rFonts w:ascii="Times New Roman" w:hAnsi="Times New Roman" w:cs="Times New Roman"/>
          <w:sz w:val="24"/>
          <w:szCs w:val="24"/>
        </w:rPr>
        <w:t>]</w:t>
      </w:r>
      <w:r>
        <w:rPr>
          <w:rFonts w:ascii="Times New Roman" w:hAnsi="Times New Roman" w:cs="Times New Roman"/>
          <w:sz w:val="24"/>
          <w:szCs w:val="24"/>
        </w:rPr>
        <w:t>; Bradshaw et al., 2018a</w:t>
      </w:r>
      <w:r w:rsidR="00392DA9">
        <w:rPr>
          <w:rFonts w:ascii="Times New Roman" w:hAnsi="Times New Roman" w:cs="Times New Roman"/>
          <w:sz w:val="24"/>
          <w:szCs w:val="24"/>
        </w:rPr>
        <w:t xml:space="preserve"> [18]</w:t>
      </w:r>
      <w:r>
        <w:rPr>
          <w:rFonts w:ascii="Times New Roman" w:hAnsi="Times New Roman" w:cs="Times New Roman"/>
          <w:sz w:val="24"/>
          <w:szCs w:val="24"/>
        </w:rPr>
        <w:t xml:space="preserve">; Leung and </w:t>
      </w:r>
      <w:proofErr w:type="spellStart"/>
      <w:r>
        <w:rPr>
          <w:rFonts w:ascii="Times New Roman" w:hAnsi="Times New Roman" w:cs="Times New Roman"/>
          <w:sz w:val="24"/>
          <w:szCs w:val="24"/>
        </w:rPr>
        <w:t>Veenman</w:t>
      </w:r>
      <w:proofErr w:type="spellEnd"/>
      <w:r>
        <w:rPr>
          <w:rFonts w:ascii="Times New Roman" w:hAnsi="Times New Roman" w:cs="Times New Roman"/>
          <w:sz w:val="24"/>
          <w:szCs w:val="24"/>
        </w:rPr>
        <w:t>, 2018</w:t>
      </w:r>
      <w:r w:rsidR="00D221F3">
        <w:rPr>
          <w:rFonts w:ascii="Times New Roman" w:hAnsi="Times New Roman" w:cs="Times New Roman"/>
          <w:sz w:val="24"/>
          <w:szCs w:val="24"/>
        </w:rPr>
        <w:t xml:space="preserve"> [54]</w:t>
      </w:r>
      <w:r>
        <w:rPr>
          <w:rFonts w:ascii="Times New Roman" w:hAnsi="Times New Roman" w:cs="Times New Roman"/>
          <w:sz w:val="24"/>
          <w:szCs w:val="24"/>
        </w:rPr>
        <w:t xml:space="preserve">).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Examining the question of who uses pro forma disclosures, some studies (e.g. Fredrickson and Miller, 2004</w:t>
      </w:r>
      <w:r w:rsidR="006E235E">
        <w:rPr>
          <w:rFonts w:ascii="Times New Roman" w:hAnsi="Times New Roman" w:cs="Times New Roman"/>
          <w:sz w:val="24"/>
          <w:szCs w:val="24"/>
        </w:rPr>
        <w:t xml:space="preserve"> [3</w:t>
      </w:r>
      <w:r w:rsidR="00873576">
        <w:rPr>
          <w:rFonts w:ascii="Times New Roman" w:hAnsi="Times New Roman" w:cs="Times New Roman"/>
          <w:sz w:val="24"/>
          <w:szCs w:val="24"/>
        </w:rPr>
        <w:t>6</w:t>
      </w:r>
      <w:r w:rsidR="006E235E">
        <w:rPr>
          <w:rFonts w:ascii="Times New Roman" w:hAnsi="Times New Roman" w:cs="Times New Roman"/>
          <w:sz w:val="24"/>
          <w:szCs w:val="24"/>
        </w:rPr>
        <w:t>]</w:t>
      </w:r>
      <w:r>
        <w:rPr>
          <w:rFonts w:ascii="Times New Roman" w:hAnsi="Times New Roman" w:cs="Times New Roman"/>
          <w:sz w:val="24"/>
          <w:szCs w:val="24"/>
        </w:rPr>
        <w:t>; Elliott, 2006</w:t>
      </w:r>
      <w:r w:rsidR="00D63B44">
        <w:rPr>
          <w:rFonts w:ascii="Times New Roman" w:hAnsi="Times New Roman" w:cs="Times New Roman"/>
          <w:sz w:val="24"/>
          <w:szCs w:val="24"/>
        </w:rPr>
        <w:t xml:space="preserve"> [3</w:t>
      </w:r>
      <w:r w:rsidR="00873576">
        <w:rPr>
          <w:rFonts w:ascii="Times New Roman" w:hAnsi="Times New Roman" w:cs="Times New Roman"/>
          <w:sz w:val="24"/>
          <w:szCs w:val="24"/>
        </w:rPr>
        <w:t>4</w:t>
      </w:r>
      <w:r w:rsidR="00D63B44">
        <w:rPr>
          <w:rFonts w:ascii="Times New Roman" w:hAnsi="Times New Roman" w:cs="Times New Roman"/>
          <w:sz w:val="24"/>
          <w:szCs w:val="24"/>
        </w:rPr>
        <w:t>]</w:t>
      </w:r>
      <w:r>
        <w:rPr>
          <w:rFonts w:ascii="Times New Roman" w:hAnsi="Times New Roman" w:cs="Times New Roman"/>
          <w:sz w:val="24"/>
          <w:szCs w:val="24"/>
        </w:rPr>
        <w:t>) show that it is mostly less sophisticated investors whose stock valuations and investment decisions are influenced by pro forma earnings disclosures. Evidence has come from experiments (e.g. Fredrickson and Miller, 2004</w:t>
      </w:r>
      <w:r w:rsidR="006E235E">
        <w:rPr>
          <w:rFonts w:ascii="Times New Roman" w:hAnsi="Times New Roman" w:cs="Times New Roman"/>
          <w:sz w:val="24"/>
          <w:szCs w:val="24"/>
        </w:rPr>
        <w:t xml:space="preserve"> [3</w:t>
      </w:r>
      <w:r w:rsidR="00873576">
        <w:rPr>
          <w:rFonts w:ascii="Times New Roman" w:hAnsi="Times New Roman" w:cs="Times New Roman"/>
          <w:sz w:val="24"/>
          <w:szCs w:val="24"/>
        </w:rPr>
        <w:t>6</w:t>
      </w:r>
      <w:r w:rsidR="006E235E">
        <w:rPr>
          <w:rFonts w:ascii="Times New Roman" w:hAnsi="Times New Roman" w:cs="Times New Roman"/>
          <w:sz w:val="24"/>
          <w:szCs w:val="24"/>
        </w:rPr>
        <w:t>]</w:t>
      </w:r>
      <w:r>
        <w:rPr>
          <w:rFonts w:ascii="Times New Roman" w:hAnsi="Times New Roman" w:cs="Times New Roman"/>
          <w:sz w:val="24"/>
          <w:szCs w:val="24"/>
        </w:rPr>
        <w:t>; Elliott, 2006</w:t>
      </w:r>
      <w:r w:rsidR="00D63B44">
        <w:rPr>
          <w:rFonts w:ascii="Times New Roman" w:hAnsi="Times New Roman" w:cs="Times New Roman"/>
          <w:sz w:val="24"/>
          <w:szCs w:val="24"/>
        </w:rPr>
        <w:t xml:space="preserve"> [3</w:t>
      </w:r>
      <w:r w:rsidR="00873576">
        <w:rPr>
          <w:rFonts w:ascii="Times New Roman" w:hAnsi="Times New Roman" w:cs="Times New Roman"/>
          <w:sz w:val="24"/>
          <w:szCs w:val="24"/>
        </w:rPr>
        <w:t>4</w:t>
      </w:r>
      <w:r w:rsidR="00D63B44">
        <w:rPr>
          <w:rFonts w:ascii="Times New Roman" w:hAnsi="Times New Roman" w:cs="Times New Roman"/>
          <w:sz w:val="24"/>
          <w:szCs w:val="24"/>
        </w:rPr>
        <w:t>]</w:t>
      </w:r>
      <w:r>
        <w:rPr>
          <w:rFonts w:ascii="Times New Roman" w:hAnsi="Times New Roman" w:cs="Times New Roman"/>
          <w:sz w:val="24"/>
          <w:szCs w:val="24"/>
        </w:rPr>
        <w:t xml:space="preserve">) and empirical studies such as Bhattacharya et al. (2007) </w:t>
      </w:r>
      <w:r w:rsidR="00E057DA">
        <w:rPr>
          <w:rFonts w:ascii="Times New Roman" w:hAnsi="Times New Roman" w:cs="Times New Roman"/>
          <w:sz w:val="24"/>
          <w:szCs w:val="24"/>
        </w:rPr>
        <w:t xml:space="preserve">[10] </w:t>
      </w:r>
      <w:r>
        <w:rPr>
          <w:rFonts w:ascii="Times New Roman" w:hAnsi="Times New Roman" w:cs="Times New Roman"/>
          <w:sz w:val="24"/>
          <w:szCs w:val="24"/>
        </w:rPr>
        <w:t xml:space="preserve">and </w:t>
      </w:r>
      <w:r w:rsidRPr="00597C2C">
        <w:rPr>
          <w:rFonts w:ascii="Times New Roman" w:eastAsia="PMingLiU" w:hAnsi="Times New Roman" w:cs="Times New Roman"/>
          <w:sz w:val="24"/>
          <w:szCs w:val="24"/>
        </w:rPr>
        <w:t xml:space="preserve">Allee, </w:t>
      </w:r>
      <w:r w:rsidRPr="00597C2C">
        <w:rPr>
          <w:rFonts w:ascii="Times New Roman" w:eastAsia="PMingLiU" w:hAnsi="Times New Roman" w:cs="Times New Roman"/>
          <w:sz w:val="24"/>
          <w:szCs w:val="24"/>
        </w:rPr>
        <w:lastRenderedPageBreak/>
        <w:t>Bhattacharya, Black,</w:t>
      </w:r>
      <w:r>
        <w:rPr>
          <w:rFonts w:ascii="Times New Roman" w:eastAsia="PMingLiU" w:hAnsi="Times New Roman" w:cs="Times New Roman"/>
          <w:sz w:val="24"/>
          <w:szCs w:val="24"/>
        </w:rPr>
        <w:t xml:space="preserve"> and </w:t>
      </w:r>
      <w:r w:rsidRPr="00597C2C">
        <w:rPr>
          <w:rFonts w:ascii="Times New Roman" w:eastAsia="PMingLiU" w:hAnsi="Times New Roman" w:cs="Times New Roman"/>
          <w:sz w:val="24"/>
          <w:szCs w:val="24"/>
        </w:rPr>
        <w:t xml:space="preserve">Christensen </w:t>
      </w:r>
      <w:r>
        <w:rPr>
          <w:rFonts w:ascii="Times New Roman" w:hAnsi="Times New Roman" w:cs="Times New Roman"/>
          <w:sz w:val="24"/>
          <w:szCs w:val="24"/>
        </w:rPr>
        <w:t>(2007) [2], who confirm that market reactions to pro forma earnings stem chiefly from less sophisticated investors, who buy on the pro forma information. Furthermore, analysts are another major user group (see Black et al., 2018b</w:t>
      </w:r>
      <w:r w:rsidR="00364927">
        <w:rPr>
          <w:rFonts w:ascii="Times New Roman" w:hAnsi="Times New Roman" w:cs="Times New Roman"/>
          <w:sz w:val="24"/>
          <w:szCs w:val="24"/>
        </w:rPr>
        <w:t xml:space="preserve"> [15]</w:t>
      </w:r>
      <w:r>
        <w:rPr>
          <w:rFonts w:ascii="Times New Roman" w:hAnsi="Times New Roman" w:cs="Times New Roman"/>
          <w:sz w:val="24"/>
          <w:szCs w:val="24"/>
        </w:rPr>
        <w:t xml:space="preserve">).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Closer related to my paper, a number of studies have looked at the relationship of pro forma earnings and mispricing. The results are mixed. While some studies find that components of pro forma earnings disclosure can be mispriced, others find no mispricing effect, especially for the period after the introduction of stricter US regulations in 2003. Finally, there is also evidence that pro forma earnings help the market in price discovery.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latter findings support the view that pro forma earnings are disclosed to be informative, not misleading.</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For instance, Bradshaw and Sloan (2002) </w:t>
      </w:r>
      <w:r w:rsidR="004B435F">
        <w:rPr>
          <w:rFonts w:ascii="Times New Roman" w:hAnsi="Times New Roman" w:cs="Times New Roman"/>
          <w:sz w:val="24"/>
          <w:szCs w:val="24"/>
        </w:rPr>
        <w:t xml:space="preserve">[17] </w:t>
      </w:r>
      <w:r>
        <w:rPr>
          <w:rFonts w:ascii="Times New Roman" w:hAnsi="Times New Roman" w:cs="Times New Roman"/>
          <w:sz w:val="24"/>
          <w:szCs w:val="24"/>
        </w:rPr>
        <w:t xml:space="preserve">point out that investors are misled by pro forma earnings if they are higher than GAAP numbers, which may exacerbate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most likely overvaluation. Bradshaw et al. (2018b) </w:t>
      </w:r>
      <w:r w:rsidR="00123294">
        <w:rPr>
          <w:rFonts w:ascii="Times New Roman" w:hAnsi="Times New Roman" w:cs="Times New Roman"/>
          <w:sz w:val="24"/>
          <w:szCs w:val="24"/>
        </w:rPr>
        <w:t xml:space="preserve">[19] </w:t>
      </w:r>
      <w:r>
        <w:rPr>
          <w:rFonts w:ascii="Times New Roman" w:hAnsi="Times New Roman" w:cs="Times New Roman"/>
          <w:sz w:val="24"/>
          <w:szCs w:val="24"/>
        </w:rPr>
        <w:t xml:space="preserve">also show that pro forma earnings can decrease investor consensus about future performance and thus increase mispricing. Moreover, </w:t>
      </w:r>
      <w:proofErr w:type="spellStart"/>
      <w:r>
        <w:rPr>
          <w:rFonts w:ascii="Times New Roman" w:hAnsi="Times New Roman" w:cs="Times New Roman"/>
          <w:sz w:val="24"/>
          <w:szCs w:val="24"/>
        </w:rPr>
        <w:t>Hirshleifer</w:t>
      </w:r>
      <w:proofErr w:type="spellEnd"/>
      <w:r>
        <w:rPr>
          <w:rFonts w:ascii="Times New Roman" w:hAnsi="Times New Roman" w:cs="Times New Roman"/>
          <w:sz w:val="24"/>
          <w:szCs w:val="24"/>
        </w:rPr>
        <w:t xml:space="preserve"> and Teoh (2003) </w:t>
      </w:r>
      <w:r w:rsidR="00815324">
        <w:rPr>
          <w:rFonts w:ascii="Times New Roman" w:hAnsi="Times New Roman" w:cs="Times New Roman"/>
          <w:sz w:val="24"/>
          <w:szCs w:val="24"/>
        </w:rPr>
        <w:t>[</w:t>
      </w:r>
      <w:r w:rsidR="00431A49">
        <w:rPr>
          <w:rFonts w:ascii="Times New Roman" w:hAnsi="Times New Roman" w:cs="Times New Roman"/>
          <w:sz w:val="24"/>
          <w:szCs w:val="24"/>
        </w:rPr>
        <w:t>4</w:t>
      </w:r>
      <w:r w:rsidR="00873576">
        <w:rPr>
          <w:rFonts w:ascii="Times New Roman" w:hAnsi="Times New Roman" w:cs="Times New Roman"/>
          <w:sz w:val="24"/>
          <w:szCs w:val="24"/>
        </w:rPr>
        <w:t>1</w:t>
      </w:r>
      <w:r w:rsidR="00815324">
        <w:rPr>
          <w:rFonts w:ascii="Times New Roman" w:hAnsi="Times New Roman" w:cs="Times New Roman"/>
          <w:sz w:val="24"/>
          <w:szCs w:val="24"/>
        </w:rPr>
        <w:t xml:space="preserve">] </w:t>
      </w:r>
      <w:r>
        <w:rPr>
          <w:rFonts w:ascii="Times New Roman" w:hAnsi="Times New Roman" w:cs="Times New Roman"/>
          <w:sz w:val="24"/>
          <w:szCs w:val="24"/>
        </w:rPr>
        <w:t xml:space="preserve">demonstrate that non-GAAP disclosures can help price shares more accurately, but can also lead to upward bias in stock prices if some investors do not pay full attention to evaluating the pro forma numbers. Focusing on expenses exclusions made to arrive at pro forma earnings, Doyle et al. (2003) </w:t>
      </w:r>
      <w:r w:rsidR="00EC1355">
        <w:rPr>
          <w:rFonts w:ascii="Times New Roman" w:hAnsi="Times New Roman" w:cs="Times New Roman"/>
          <w:sz w:val="24"/>
          <w:szCs w:val="24"/>
        </w:rPr>
        <w:t>[3</w:t>
      </w:r>
      <w:r w:rsidR="00BE4F45">
        <w:rPr>
          <w:rFonts w:ascii="Times New Roman" w:hAnsi="Times New Roman" w:cs="Times New Roman"/>
          <w:sz w:val="24"/>
          <w:szCs w:val="24"/>
        </w:rPr>
        <w:t>2</w:t>
      </w:r>
      <w:r w:rsidR="00EC1355">
        <w:rPr>
          <w:rFonts w:ascii="Times New Roman" w:hAnsi="Times New Roman" w:cs="Times New Roman"/>
          <w:sz w:val="24"/>
          <w:szCs w:val="24"/>
        </w:rPr>
        <w:t xml:space="preserve">] </w:t>
      </w:r>
      <w:r>
        <w:rPr>
          <w:rFonts w:ascii="Times New Roman" w:hAnsi="Times New Roman" w:cs="Times New Roman"/>
          <w:sz w:val="24"/>
          <w:szCs w:val="24"/>
        </w:rPr>
        <w:t>show that investors underreact to other (non-recurring, non-cash) exclusions at the earnings announcement and correct this mispricing over the subsequent three years. Similarly, Landsman et al. (2007)</w:t>
      </w:r>
      <w:r w:rsidR="00E77F4C">
        <w:rPr>
          <w:rFonts w:ascii="Times New Roman" w:hAnsi="Times New Roman" w:cs="Times New Roman"/>
          <w:sz w:val="24"/>
          <w:szCs w:val="24"/>
        </w:rPr>
        <w:t xml:space="preserve"> [50]</w:t>
      </w:r>
      <w:r>
        <w:rPr>
          <w:rFonts w:ascii="Times New Roman" w:hAnsi="Times New Roman" w:cs="Times New Roman"/>
          <w:sz w:val="24"/>
          <w:szCs w:val="24"/>
        </w:rPr>
        <w:t xml:space="preserve"> separate </w:t>
      </w:r>
      <w:r>
        <w:rPr>
          <w:rFonts w:ascii="Times New Roman" w:hAnsi="Times New Roman" w:cs="Times New Roman"/>
          <w:i/>
          <w:sz w:val="24"/>
          <w:szCs w:val="24"/>
        </w:rPr>
        <w:t>Total Exclusions</w:t>
      </w:r>
      <w:r>
        <w:rPr>
          <w:rFonts w:ascii="Times New Roman" w:hAnsi="Times New Roman" w:cs="Times New Roman"/>
          <w:sz w:val="24"/>
          <w:szCs w:val="24"/>
        </w:rPr>
        <w:t xml:space="preserve"> to earnings into </w:t>
      </w:r>
      <w:r>
        <w:rPr>
          <w:rFonts w:ascii="Times New Roman" w:hAnsi="Times New Roman" w:cs="Times New Roman"/>
          <w:i/>
          <w:sz w:val="24"/>
          <w:szCs w:val="24"/>
        </w:rPr>
        <w:t>Special Items</w:t>
      </w:r>
      <w:r>
        <w:rPr>
          <w:rFonts w:ascii="Times New Roman" w:hAnsi="Times New Roman" w:cs="Times New Roman"/>
          <w:sz w:val="24"/>
          <w:szCs w:val="24"/>
        </w:rPr>
        <w:t xml:space="preserve"> and </w:t>
      </w:r>
      <w:r>
        <w:rPr>
          <w:rFonts w:ascii="Times New Roman" w:hAnsi="Times New Roman" w:cs="Times New Roman"/>
          <w:i/>
          <w:sz w:val="24"/>
          <w:szCs w:val="24"/>
        </w:rPr>
        <w:t>Other Exclusions</w:t>
      </w:r>
      <w:r>
        <w:rPr>
          <w:rFonts w:ascii="Times New Roman" w:hAnsi="Times New Roman" w:cs="Times New Roman"/>
          <w:sz w:val="24"/>
          <w:szCs w:val="24"/>
        </w:rPr>
        <w:t xml:space="preserve">. Using a sample from 1990-2000, they show that the market misprices them in different ways. </w:t>
      </w:r>
      <w:r>
        <w:rPr>
          <w:rFonts w:ascii="Times New Roman" w:hAnsi="Times New Roman" w:cs="Times New Roman"/>
          <w:i/>
          <w:sz w:val="24"/>
          <w:szCs w:val="24"/>
        </w:rPr>
        <w:t>Special Items</w:t>
      </w:r>
      <w:r>
        <w:rPr>
          <w:rFonts w:ascii="Times New Roman" w:hAnsi="Times New Roman" w:cs="Times New Roman"/>
          <w:sz w:val="24"/>
          <w:szCs w:val="24"/>
        </w:rPr>
        <w:t xml:space="preserve"> seem to be </w:t>
      </w:r>
      <w:proofErr w:type="spellStart"/>
      <w:r>
        <w:rPr>
          <w:rFonts w:ascii="Times New Roman" w:hAnsi="Times New Roman" w:cs="Times New Roman"/>
          <w:sz w:val="24"/>
          <w:szCs w:val="24"/>
        </w:rPr>
        <w:t>underpriced</w:t>
      </w:r>
      <w:proofErr w:type="spellEnd"/>
      <w:r>
        <w:rPr>
          <w:rFonts w:ascii="Times New Roman" w:hAnsi="Times New Roman" w:cs="Times New Roman"/>
          <w:sz w:val="24"/>
          <w:szCs w:val="24"/>
        </w:rPr>
        <w:t xml:space="preserve"> while </w:t>
      </w:r>
      <w:r>
        <w:rPr>
          <w:rFonts w:ascii="Times New Roman" w:hAnsi="Times New Roman" w:cs="Times New Roman"/>
          <w:i/>
          <w:sz w:val="24"/>
          <w:szCs w:val="24"/>
        </w:rPr>
        <w:t>Total Exclusions</w:t>
      </w:r>
      <w:r>
        <w:rPr>
          <w:rFonts w:ascii="Times New Roman" w:hAnsi="Times New Roman" w:cs="Times New Roman"/>
          <w:sz w:val="24"/>
          <w:szCs w:val="24"/>
        </w:rPr>
        <w:t xml:space="preserve"> seem to be perceived negatively. Moreover, stocks with positive </w:t>
      </w:r>
      <w:r>
        <w:rPr>
          <w:rFonts w:ascii="Times New Roman" w:hAnsi="Times New Roman" w:cs="Times New Roman"/>
          <w:i/>
          <w:sz w:val="24"/>
          <w:szCs w:val="24"/>
        </w:rPr>
        <w:t>Other Exclusions</w:t>
      </w:r>
      <w:r>
        <w:rPr>
          <w:rFonts w:ascii="Times New Roman" w:hAnsi="Times New Roman" w:cs="Times New Roman"/>
          <w:sz w:val="24"/>
          <w:szCs w:val="24"/>
        </w:rPr>
        <w:t xml:space="preserve"> are overvalued.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By contrast, Johnson and Schwartz (2005)</w:t>
      </w:r>
      <w:r w:rsidR="00A3474C">
        <w:rPr>
          <w:rFonts w:ascii="Times New Roman" w:hAnsi="Times New Roman" w:cs="Times New Roman"/>
          <w:sz w:val="24"/>
          <w:szCs w:val="24"/>
        </w:rPr>
        <w:t xml:space="preserve"> [4</w:t>
      </w:r>
      <w:r w:rsidR="0077028C">
        <w:rPr>
          <w:rFonts w:ascii="Times New Roman" w:hAnsi="Times New Roman" w:cs="Times New Roman"/>
          <w:sz w:val="24"/>
          <w:szCs w:val="24"/>
        </w:rPr>
        <w:t>6</w:t>
      </w:r>
      <w:r w:rsidR="00A3474C">
        <w:rPr>
          <w:rFonts w:ascii="Times New Roman" w:hAnsi="Times New Roman" w:cs="Times New Roman"/>
          <w:sz w:val="24"/>
          <w:szCs w:val="24"/>
        </w:rPr>
        <w:t>]</w:t>
      </w:r>
      <w:r>
        <w:rPr>
          <w:rFonts w:ascii="Times New Roman" w:hAnsi="Times New Roman" w:cs="Times New Roman"/>
          <w:sz w:val="24"/>
          <w:szCs w:val="24"/>
        </w:rPr>
        <w:t xml:space="preserve">, in their sample of 253 pro forma press releases during one quarter (June-August) of the year 2000, find no differences in stock </w:t>
      </w:r>
      <w:r>
        <w:rPr>
          <w:rFonts w:ascii="Times New Roman" w:hAnsi="Times New Roman" w:cs="Times New Roman"/>
          <w:sz w:val="24"/>
          <w:szCs w:val="24"/>
        </w:rPr>
        <w:lastRenderedPageBreak/>
        <w:t xml:space="preserve">valuations and stock return premiums linked to pro forma announcements between firms disclosing pro forma earnings and those that do not. While they find that both the most overvalued and undervalued sample stocks are overpriced, this was unrelated to pro forma disclosure.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Compared to earlier research, however, more recent studies (e.g. Zhang and Zheng, 2011</w:t>
      </w:r>
      <w:r w:rsidR="001129C3">
        <w:rPr>
          <w:rFonts w:ascii="Times New Roman" w:hAnsi="Times New Roman" w:cs="Times New Roman"/>
          <w:sz w:val="24"/>
          <w:szCs w:val="24"/>
        </w:rPr>
        <w:t xml:space="preserve"> [6</w:t>
      </w:r>
      <w:r w:rsidR="00D550F5">
        <w:rPr>
          <w:rFonts w:ascii="Times New Roman" w:hAnsi="Times New Roman" w:cs="Times New Roman"/>
          <w:sz w:val="24"/>
          <w:szCs w:val="24"/>
        </w:rPr>
        <w:t>8</w:t>
      </w:r>
      <w:r w:rsidR="001129C3">
        <w:rPr>
          <w:rFonts w:ascii="Times New Roman" w:hAnsi="Times New Roman" w:cs="Times New Roman"/>
          <w:sz w:val="24"/>
          <w:szCs w:val="24"/>
        </w:rPr>
        <w:t>]</w:t>
      </w:r>
      <w:r>
        <w:rPr>
          <w:rFonts w:ascii="Times New Roman" w:hAnsi="Times New Roman" w:cs="Times New Roman"/>
          <w:sz w:val="24"/>
          <w:szCs w:val="24"/>
        </w:rPr>
        <w:t>; Jennings and Marques, 2011</w:t>
      </w:r>
      <w:r w:rsidR="00B11990">
        <w:rPr>
          <w:rFonts w:ascii="Times New Roman" w:hAnsi="Times New Roman" w:cs="Times New Roman"/>
          <w:sz w:val="24"/>
          <w:szCs w:val="24"/>
        </w:rPr>
        <w:t xml:space="preserve"> [4</w:t>
      </w:r>
      <w:r w:rsidR="0077028C">
        <w:rPr>
          <w:rFonts w:ascii="Times New Roman" w:hAnsi="Times New Roman" w:cs="Times New Roman"/>
          <w:sz w:val="24"/>
          <w:szCs w:val="24"/>
        </w:rPr>
        <w:t>5</w:t>
      </w:r>
      <w:r w:rsidR="00B11990">
        <w:rPr>
          <w:rFonts w:ascii="Times New Roman" w:hAnsi="Times New Roman" w:cs="Times New Roman"/>
          <w:sz w:val="24"/>
          <w:szCs w:val="24"/>
        </w:rPr>
        <w:t>]</w:t>
      </w:r>
      <w:r>
        <w:rPr>
          <w:rFonts w:ascii="Times New Roman" w:hAnsi="Times New Roman" w:cs="Times New Roman"/>
          <w:sz w:val="24"/>
          <w:szCs w:val="24"/>
        </w:rPr>
        <w:t>; Doyle et al., 2013</w:t>
      </w:r>
      <w:r w:rsidR="00DB3317">
        <w:rPr>
          <w:rFonts w:ascii="Times New Roman" w:hAnsi="Times New Roman" w:cs="Times New Roman"/>
          <w:sz w:val="24"/>
          <w:szCs w:val="24"/>
        </w:rPr>
        <w:t xml:space="preserve"> [3</w:t>
      </w:r>
      <w:r w:rsidR="00BE4F45">
        <w:rPr>
          <w:rFonts w:ascii="Times New Roman" w:hAnsi="Times New Roman" w:cs="Times New Roman"/>
          <w:sz w:val="24"/>
          <w:szCs w:val="24"/>
        </w:rPr>
        <w:t>3</w:t>
      </w:r>
      <w:r w:rsidR="00DB3317">
        <w:rPr>
          <w:rFonts w:ascii="Times New Roman" w:hAnsi="Times New Roman" w:cs="Times New Roman"/>
          <w:sz w:val="24"/>
          <w:szCs w:val="24"/>
        </w:rPr>
        <w:t>]</w:t>
      </w:r>
      <w:r>
        <w:rPr>
          <w:rFonts w:ascii="Times New Roman" w:hAnsi="Times New Roman" w:cs="Times New Roman"/>
          <w:sz w:val="24"/>
          <w:szCs w:val="24"/>
        </w:rPr>
        <w:t>; Whipple, 201</w:t>
      </w:r>
      <w:r w:rsidR="00751EFA">
        <w:rPr>
          <w:rFonts w:ascii="Times New Roman" w:hAnsi="Times New Roman" w:cs="Times New Roman"/>
          <w:sz w:val="24"/>
          <w:szCs w:val="24"/>
        </w:rPr>
        <w:t>5</w:t>
      </w:r>
      <w:r w:rsidR="00240072">
        <w:rPr>
          <w:rFonts w:ascii="Times New Roman" w:hAnsi="Times New Roman" w:cs="Times New Roman"/>
          <w:sz w:val="24"/>
          <w:szCs w:val="24"/>
        </w:rPr>
        <w:t xml:space="preserve"> [6</w:t>
      </w:r>
      <w:r w:rsidR="0093520F">
        <w:rPr>
          <w:rFonts w:ascii="Times New Roman" w:hAnsi="Times New Roman" w:cs="Times New Roman"/>
          <w:sz w:val="24"/>
          <w:szCs w:val="24"/>
        </w:rPr>
        <w:t>4</w:t>
      </w:r>
      <w:r w:rsidR="00240072">
        <w:rPr>
          <w:rFonts w:ascii="Times New Roman" w:hAnsi="Times New Roman" w:cs="Times New Roman"/>
          <w:sz w:val="24"/>
          <w:szCs w:val="24"/>
        </w:rPr>
        <w:t>]</w:t>
      </w:r>
      <w:r>
        <w:rPr>
          <w:rFonts w:ascii="Times New Roman" w:hAnsi="Times New Roman" w:cs="Times New Roman"/>
          <w:sz w:val="24"/>
          <w:szCs w:val="24"/>
        </w:rPr>
        <w:t xml:space="preserve">) do not find strong evidence of mispricing. For instance, Zhang and Zheng (2011) </w:t>
      </w:r>
      <w:r w:rsidR="001129C3">
        <w:rPr>
          <w:rFonts w:ascii="Times New Roman" w:hAnsi="Times New Roman" w:cs="Times New Roman"/>
          <w:sz w:val="24"/>
          <w:szCs w:val="24"/>
        </w:rPr>
        <w:t>[6</w:t>
      </w:r>
      <w:r w:rsidR="00D550F5">
        <w:rPr>
          <w:rFonts w:ascii="Times New Roman" w:hAnsi="Times New Roman" w:cs="Times New Roman"/>
          <w:sz w:val="24"/>
          <w:szCs w:val="24"/>
        </w:rPr>
        <w:t>8</w:t>
      </w:r>
      <w:r w:rsidR="001129C3">
        <w:rPr>
          <w:rFonts w:ascii="Times New Roman" w:hAnsi="Times New Roman" w:cs="Times New Roman"/>
          <w:sz w:val="24"/>
          <w:szCs w:val="24"/>
        </w:rPr>
        <w:t xml:space="preserve">] </w:t>
      </w:r>
      <w:r>
        <w:rPr>
          <w:rFonts w:ascii="Times New Roman" w:hAnsi="Times New Roman" w:cs="Times New Roman"/>
          <w:sz w:val="24"/>
          <w:szCs w:val="24"/>
        </w:rPr>
        <w:t xml:space="preserve">show that the introduction of Regulation G in 2003 with stricter requirements for reconciliations has led to less mispricing for firms whose reconciliation quality has improved. For firms that previously already had higher quality reconciliations, however, there is no effect on mispricing. Similarly, Jennings and Marques (2011) </w:t>
      </w:r>
      <w:r w:rsidR="00B11990">
        <w:rPr>
          <w:rFonts w:ascii="Times New Roman" w:hAnsi="Times New Roman" w:cs="Times New Roman"/>
          <w:sz w:val="24"/>
          <w:szCs w:val="24"/>
        </w:rPr>
        <w:t>[4</w:t>
      </w:r>
      <w:r w:rsidR="0077028C">
        <w:rPr>
          <w:rFonts w:ascii="Times New Roman" w:hAnsi="Times New Roman" w:cs="Times New Roman"/>
          <w:sz w:val="24"/>
          <w:szCs w:val="24"/>
        </w:rPr>
        <w:t>5</w:t>
      </w:r>
      <w:r w:rsidR="00B11990">
        <w:rPr>
          <w:rFonts w:ascii="Times New Roman" w:hAnsi="Times New Roman" w:cs="Times New Roman"/>
          <w:sz w:val="24"/>
          <w:szCs w:val="24"/>
        </w:rPr>
        <w:t xml:space="preserve">] </w:t>
      </w:r>
      <w:r>
        <w:rPr>
          <w:rFonts w:ascii="Times New Roman" w:hAnsi="Times New Roman" w:cs="Times New Roman"/>
          <w:sz w:val="24"/>
          <w:szCs w:val="24"/>
        </w:rPr>
        <w:t>do not find evidence that investors were misled in the post Regulation G period. Doyle et al. (2013)</w:t>
      </w:r>
      <w:r w:rsidR="00DB3317">
        <w:rPr>
          <w:rFonts w:ascii="Times New Roman" w:hAnsi="Times New Roman" w:cs="Times New Roman"/>
          <w:sz w:val="24"/>
          <w:szCs w:val="24"/>
        </w:rPr>
        <w:t xml:space="preserve"> [3</w:t>
      </w:r>
      <w:r w:rsidR="00BE4F45">
        <w:rPr>
          <w:rFonts w:ascii="Times New Roman" w:hAnsi="Times New Roman" w:cs="Times New Roman"/>
          <w:sz w:val="24"/>
          <w:szCs w:val="24"/>
        </w:rPr>
        <w:t>3</w:t>
      </w:r>
      <w:r w:rsidR="00DB3317">
        <w:rPr>
          <w:rFonts w:ascii="Times New Roman" w:hAnsi="Times New Roman" w:cs="Times New Roman"/>
          <w:sz w:val="24"/>
          <w:szCs w:val="24"/>
        </w:rPr>
        <w:t>]</w:t>
      </w:r>
      <w:r>
        <w:rPr>
          <w:rFonts w:ascii="Times New Roman" w:hAnsi="Times New Roman" w:cs="Times New Roman"/>
          <w:sz w:val="24"/>
          <w:szCs w:val="24"/>
        </w:rPr>
        <w:t xml:space="preserve"> show that firms define non-GAAP measures in a way to help them meet or beat analyst earnings forecasts. Their results suggest that investors might see through management’s attempts to paint a positive picture, as positive earnings surprises are discounted when they are accompanied by exclusions from GAAP earnings. Whipple (201</w:t>
      </w:r>
      <w:r w:rsidR="00751EFA">
        <w:rPr>
          <w:rFonts w:ascii="Times New Roman" w:hAnsi="Times New Roman" w:cs="Times New Roman"/>
          <w:sz w:val="24"/>
          <w:szCs w:val="24"/>
        </w:rPr>
        <w:t>5</w:t>
      </w:r>
      <w:r>
        <w:rPr>
          <w:rFonts w:ascii="Times New Roman" w:hAnsi="Times New Roman" w:cs="Times New Roman"/>
          <w:sz w:val="24"/>
          <w:szCs w:val="24"/>
        </w:rPr>
        <w:t xml:space="preserve">) </w:t>
      </w:r>
      <w:r w:rsidR="00240072">
        <w:rPr>
          <w:rFonts w:ascii="Times New Roman" w:hAnsi="Times New Roman" w:cs="Times New Roman"/>
          <w:sz w:val="24"/>
          <w:szCs w:val="24"/>
        </w:rPr>
        <w:t>[6</w:t>
      </w:r>
      <w:r w:rsidR="0093520F">
        <w:rPr>
          <w:rFonts w:ascii="Times New Roman" w:hAnsi="Times New Roman" w:cs="Times New Roman"/>
          <w:sz w:val="24"/>
          <w:szCs w:val="24"/>
        </w:rPr>
        <w:t>4</w:t>
      </w:r>
      <w:r w:rsidR="00240072">
        <w:rPr>
          <w:rFonts w:ascii="Times New Roman" w:hAnsi="Times New Roman" w:cs="Times New Roman"/>
          <w:sz w:val="24"/>
          <w:szCs w:val="24"/>
        </w:rPr>
        <w:t xml:space="preserve">] </w:t>
      </w:r>
      <w:r>
        <w:rPr>
          <w:rFonts w:ascii="Times New Roman" w:hAnsi="Times New Roman" w:cs="Times New Roman"/>
          <w:sz w:val="24"/>
          <w:szCs w:val="24"/>
        </w:rPr>
        <w:t xml:space="preserve">uses data from 2004 to 2012 and shows that investors’ response to non-GAAP non-cash exclusions is much stronger than the response to the other exclusions surprise, suggesting investors heavily discount other exclusions when valuing firm performance. Moreover, the market responds at the earnings announcement, with no evidence for mispricing that is corrected in subsequent periods. On the other hand, evidence that pro forma earnings help the market price shares more accurately has come from Huang and </w:t>
      </w:r>
      <w:proofErr w:type="spellStart"/>
      <w:r>
        <w:rPr>
          <w:rFonts w:ascii="Times New Roman" w:hAnsi="Times New Roman" w:cs="Times New Roman"/>
          <w:sz w:val="24"/>
          <w:szCs w:val="24"/>
        </w:rPr>
        <w:t>Skantz</w:t>
      </w:r>
      <w:proofErr w:type="spellEnd"/>
      <w:r>
        <w:rPr>
          <w:rFonts w:ascii="Times New Roman" w:hAnsi="Times New Roman" w:cs="Times New Roman"/>
          <w:sz w:val="24"/>
          <w:szCs w:val="24"/>
        </w:rPr>
        <w:t xml:space="preserve"> (2016)</w:t>
      </w:r>
      <w:r w:rsidR="00957909">
        <w:rPr>
          <w:rFonts w:ascii="Times New Roman" w:hAnsi="Times New Roman" w:cs="Times New Roman"/>
          <w:sz w:val="24"/>
          <w:szCs w:val="24"/>
        </w:rPr>
        <w:t xml:space="preserve"> [4</w:t>
      </w:r>
      <w:r w:rsidR="00873576">
        <w:rPr>
          <w:rFonts w:ascii="Times New Roman" w:hAnsi="Times New Roman" w:cs="Times New Roman"/>
          <w:sz w:val="24"/>
          <w:szCs w:val="24"/>
        </w:rPr>
        <w:t>2</w:t>
      </w:r>
      <w:r w:rsidR="00957909">
        <w:rPr>
          <w:rFonts w:ascii="Times New Roman" w:hAnsi="Times New Roman" w:cs="Times New Roman"/>
          <w:sz w:val="24"/>
          <w:szCs w:val="24"/>
        </w:rPr>
        <w:t>]</w:t>
      </w:r>
      <w:r>
        <w:rPr>
          <w:rFonts w:ascii="Times New Roman" w:hAnsi="Times New Roman" w:cs="Times New Roman"/>
          <w:sz w:val="24"/>
          <w:szCs w:val="24"/>
        </w:rPr>
        <w:t xml:space="preserve">. Their findings based on a sample from 1999-2006 suggest that pro forma earnings improve price discovery and reduce information asymmetry after the earnings announcement.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shortcoming of existing evidence is that most of the studies used data from the latter half of the 1990s, or early 2000s, so those findings appear dated. This is because, since then, </w:t>
      </w:r>
      <w:r>
        <w:rPr>
          <w:rFonts w:ascii="Times New Roman" w:hAnsi="Times New Roman" w:cs="Times New Roman"/>
          <w:sz w:val="24"/>
          <w:szCs w:val="24"/>
        </w:rPr>
        <w:lastRenderedPageBreak/>
        <w:t>there has been a significant increase in the use of pro forma disclosures, a number of new regulations to better regulate and curb their use following the increase (see Black et al., 2017a</w:t>
      </w:r>
      <w:r w:rsidR="004A5F33">
        <w:rPr>
          <w:rFonts w:ascii="Times New Roman" w:hAnsi="Times New Roman" w:cs="Times New Roman"/>
          <w:sz w:val="24"/>
          <w:szCs w:val="24"/>
        </w:rPr>
        <w:t xml:space="preserve"> [12]</w:t>
      </w:r>
      <w:r>
        <w:rPr>
          <w:rFonts w:ascii="Times New Roman" w:hAnsi="Times New Roman" w:cs="Times New Roman"/>
          <w:sz w:val="24"/>
          <w:szCs w:val="24"/>
        </w:rPr>
        <w:t>, 2018b</w:t>
      </w:r>
      <w:r w:rsidR="00364927">
        <w:rPr>
          <w:rFonts w:ascii="Times New Roman" w:hAnsi="Times New Roman" w:cs="Times New Roman"/>
          <w:sz w:val="24"/>
          <w:szCs w:val="24"/>
        </w:rPr>
        <w:t xml:space="preserve"> [15]</w:t>
      </w:r>
      <w:r>
        <w:rPr>
          <w:rFonts w:ascii="Times New Roman" w:hAnsi="Times New Roman" w:cs="Times New Roman"/>
          <w:sz w:val="24"/>
          <w:szCs w:val="24"/>
        </w:rPr>
        <w:t>), and the aforementioned changes in the market that have potentially meaningfully changed the landscape. While the new regulations have arguably improved the usefulness of pro forma disclosures by significantly reducing the potential for misleading investors (and thereby mispricing), the changes in the market environment have introduced additional sources of mispricing that call into question the need and usefulness of pro forma earnings to price shares. Existing evidence has mostly been gathered before those changes took place, thus limiting their relevance in today’s market environment. Moreover, existing studies tended to look at the mispricing effect in the cross-section of firms, that is the average effect. This, however, may mask differences in the effect depending on the level of mispricing. A more detailed analysis is therefore required.</w:t>
      </w:r>
    </w:p>
    <w:p w:rsidR="007D5A45" w:rsidRPr="00F94EAD" w:rsidRDefault="007D5A45">
      <w:pPr>
        <w:pStyle w:val="Heading2"/>
        <w:numPr>
          <w:ilvl w:val="0"/>
          <w:numId w:val="0"/>
        </w:numPr>
        <w:ind w:left="576" w:hanging="576"/>
        <w:rPr>
          <w:rFonts w:ascii="Times New Roman" w:hAnsi="Times New Roman" w:cs="Times New Roman"/>
          <w:b w:val="0"/>
          <w:color w:val="auto"/>
        </w:rPr>
      </w:pPr>
      <w:r w:rsidRPr="00F94EAD">
        <w:rPr>
          <w:rFonts w:ascii="Times New Roman" w:hAnsi="Times New Roman" w:cs="Times New Roman"/>
          <w:b w:val="0"/>
          <w:color w:val="auto"/>
        </w:rPr>
        <w:t xml:space="preserve">2.2 Stock </w:t>
      </w:r>
      <w:proofErr w:type="spellStart"/>
      <w:r w:rsidRPr="00F94EAD">
        <w:rPr>
          <w:rFonts w:ascii="Times New Roman" w:hAnsi="Times New Roman" w:cs="Times New Roman"/>
          <w:b w:val="0"/>
          <w:color w:val="auto"/>
        </w:rPr>
        <w:t>misvaluation</w:t>
      </w:r>
      <w:proofErr w:type="spellEnd"/>
      <w:r w:rsidRPr="00F94EAD">
        <w:rPr>
          <w:rFonts w:ascii="Times New Roman" w:hAnsi="Times New Roman" w:cs="Times New Roman"/>
          <w:b w:val="0"/>
          <w:color w:val="auto"/>
        </w:rPr>
        <w:t xml:space="preserve">, changes in the market environment, and pro forma earnings disclosure </w:t>
      </w:r>
    </w:p>
    <w:p w:rsidR="007D5A45" w:rsidRDefault="007D5A45">
      <w:pPr>
        <w:spacing w:before="120"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Prior studies show that investors in financial markets do not always drive market prices toward the intrinsic value of a firm. In most cases, firm value is assessed incorrectly. The existing literature on stock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has attempted to explain this phenomenon (e.g. Chaplinsky and Hansen, 1993</w:t>
      </w:r>
      <w:r w:rsidR="006F60E4">
        <w:rPr>
          <w:rFonts w:ascii="Times New Roman" w:hAnsi="Times New Roman" w:cs="Times New Roman"/>
          <w:sz w:val="24"/>
          <w:szCs w:val="24"/>
        </w:rPr>
        <w:t xml:space="preserve"> [22]</w:t>
      </w:r>
      <w:r>
        <w:rPr>
          <w:rFonts w:ascii="Times New Roman" w:hAnsi="Times New Roman" w:cs="Times New Roman"/>
          <w:sz w:val="24"/>
          <w:szCs w:val="24"/>
        </w:rPr>
        <w:t>; Healy and Palepu, 1993</w:t>
      </w:r>
      <w:r w:rsidR="00A90AF6">
        <w:rPr>
          <w:rFonts w:ascii="Times New Roman" w:hAnsi="Times New Roman" w:cs="Times New Roman"/>
          <w:sz w:val="24"/>
          <w:szCs w:val="24"/>
        </w:rPr>
        <w:t xml:space="preserve"> [3</w:t>
      </w:r>
      <w:r w:rsidR="00873576">
        <w:rPr>
          <w:rFonts w:ascii="Times New Roman" w:hAnsi="Times New Roman" w:cs="Times New Roman"/>
          <w:sz w:val="24"/>
          <w:szCs w:val="24"/>
        </w:rPr>
        <w:t>9</w:t>
      </w:r>
      <w:r w:rsidR="00A90A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rPr>
        <w:t>Lamont and Thaler, 2003</w:t>
      </w:r>
      <w:r w:rsidR="000D26B3">
        <w:rPr>
          <w:rFonts w:ascii="Times New Roman" w:hAnsi="Times New Roman" w:cs="Times New Roman"/>
          <w:sz w:val="24"/>
        </w:rPr>
        <w:t xml:space="preserve"> [49]</w:t>
      </w:r>
      <w:r>
        <w:rPr>
          <w:rFonts w:ascii="Times New Roman" w:hAnsi="Times New Roman" w:cs="Times New Roman"/>
          <w:sz w:val="24"/>
        </w:rPr>
        <w:t>; Shiller, 2003</w:t>
      </w:r>
      <w:r w:rsidR="00CD169D">
        <w:rPr>
          <w:rFonts w:ascii="Times New Roman" w:hAnsi="Times New Roman" w:cs="Times New Roman"/>
          <w:sz w:val="24"/>
        </w:rPr>
        <w:t xml:space="preserve"> [6</w:t>
      </w:r>
      <w:r w:rsidR="006905A4">
        <w:rPr>
          <w:rFonts w:ascii="Times New Roman" w:hAnsi="Times New Roman" w:cs="Times New Roman"/>
          <w:sz w:val="24"/>
        </w:rPr>
        <w:t>0</w:t>
      </w:r>
      <w:r w:rsidR="00CD169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 xml:space="preserve">Bloomfield and </w:t>
      </w:r>
      <w:proofErr w:type="spellStart"/>
      <w:r>
        <w:rPr>
          <w:rFonts w:ascii="Times New Roman" w:hAnsi="Times New Roman" w:cs="Times New Roman"/>
          <w:sz w:val="24"/>
          <w:szCs w:val="24"/>
        </w:rPr>
        <w:t>Michaely</w:t>
      </w:r>
      <w:proofErr w:type="spellEnd"/>
      <w:r>
        <w:rPr>
          <w:rFonts w:ascii="Times New Roman" w:hAnsi="Times New Roman" w:cs="Times New Roman"/>
          <w:sz w:val="24"/>
          <w:szCs w:val="24"/>
        </w:rPr>
        <w:t>, 2004</w:t>
      </w:r>
      <w:r w:rsidR="00BD3CFF">
        <w:rPr>
          <w:rFonts w:ascii="Times New Roman" w:hAnsi="Times New Roman" w:cs="Times New Roman"/>
          <w:sz w:val="24"/>
          <w:szCs w:val="24"/>
        </w:rPr>
        <w:t xml:space="preserve"> [16]</w:t>
      </w:r>
      <w:r>
        <w:rPr>
          <w:rFonts w:ascii="Times New Roman" w:hAnsi="Times New Roman" w:cs="Times New Roman"/>
          <w:sz w:val="24"/>
          <w:szCs w:val="24"/>
        </w:rPr>
        <w:t xml:space="preserve">). From a traditional economics point of view,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is caused by the adverse selection problem stemming from information asymmetry between corporate insiders and outside investors and limited disclosure (e.g. Healy and Palepu, 2001)</w:t>
      </w:r>
      <w:r w:rsidR="008174D2">
        <w:rPr>
          <w:rFonts w:ascii="Times New Roman" w:hAnsi="Times New Roman" w:cs="Times New Roman"/>
          <w:sz w:val="24"/>
          <w:szCs w:val="24"/>
        </w:rPr>
        <w:t xml:space="preserve"> [</w:t>
      </w:r>
      <w:r w:rsidR="00873576">
        <w:rPr>
          <w:rFonts w:ascii="Times New Roman" w:hAnsi="Times New Roman" w:cs="Times New Roman"/>
          <w:sz w:val="24"/>
          <w:szCs w:val="24"/>
        </w:rPr>
        <w:t>40</w:t>
      </w:r>
      <w:r w:rsidR="008174D2">
        <w:rPr>
          <w:rFonts w:ascii="Times New Roman" w:hAnsi="Times New Roman" w:cs="Times New Roman"/>
          <w:sz w:val="24"/>
          <w:szCs w:val="24"/>
        </w:rPr>
        <w:t>]</w:t>
      </w:r>
      <w:r>
        <w:rPr>
          <w:rFonts w:ascii="Times New Roman" w:hAnsi="Times New Roman" w:cs="Times New Roman"/>
          <w:sz w:val="24"/>
          <w:szCs w:val="24"/>
        </w:rPr>
        <w:t>. Without sufficient information about a firm’s future plans, investors cannot with certainty distinguish between better or worse investment possibilities and therefore value stocks at an average level, so that some firms are overvalued and some firms undervalued (Healy and Palepu, 2001)</w:t>
      </w:r>
      <w:r w:rsidR="008174D2">
        <w:rPr>
          <w:rFonts w:ascii="Times New Roman" w:hAnsi="Times New Roman" w:cs="Times New Roman"/>
          <w:sz w:val="24"/>
          <w:szCs w:val="24"/>
        </w:rPr>
        <w:t xml:space="preserve"> [</w:t>
      </w:r>
      <w:r w:rsidR="00873576">
        <w:rPr>
          <w:rFonts w:ascii="Times New Roman" w:hAnsi="Times New Roman" w:cs="Times New Roman"/>
          <w:sz w:val="24"/>
          <w:szCs w:val="24"/>
        </w:rPr>
        <w:t>40</w:t>
      </w:r>
      <w:r w:rsidR="008174D2">
        <w:rPr>
          <w:rFonts w:ascii="Times New Roman" w:hAnsi="Times New Roman" w:cs="Times New Roman"/>
          <w:sz w:val="24"/>
          <w:szCs w:val="24"/>
        </w:rPr>
        <w:t>]</w:t>
      </w:r>
      <w:r>
        <w:rPr>
          <w:rFonts w:ascii="Times New Roman" w:hAnsi="Times New Roman" w:cs="Times New Roman"/>
          <w:sz w:val="24"/>
          <w:szCs w:val="24"/>
        </w:rPr>
        <w:t xml:space="preserve">. Further, </w:t>
      </w:r>
      <w:proofErr w:type="spellStart"/>
      <w:r>
        <w:rPr>
          <w:rFonts w:ascii="Times New Roman" w:hAnsi="Times New Roman" w:cs="Times New Roman"/>
          <w:sz w:val="24"/>
          <w:szCs w:val="24"/>
        </w:rPr>
        <w:t>Ackert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(1997) [1] find </w:t>
      </w:r>
      <w:r>
        <w:rPr>
          <w:rFonts w:ascii="Times New Roman" w:hAnsi="Times New Roman" w:cs="Times New Roman"/>
          <w:sz w:val="24"/>
          <w:szCs w:val="24"/>
        </w:rPr>
        <w:lastRenderedPageBreak/>
        <w:t xml:space="preserve">positive abnormal returns from buying (selling) low (high) dispersion stocks at the beginning of the year. Similarly, </w:t>
      </w:r>
      <w:proofErr w:type="spellStart"/>
      <w:r>
        <w:rPr>
          <w:rFonts w:ascii="Times New Roman" w:hAnsi="Times New Roman" w:cs="Times New Roman"/>
          <w:sz w:val="24"/>
          <w:szCs w:val="24"/>
        </w:rPr>
        <w:t>Sadka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Scherbina</w:t>
      </w:r>
      <w:proofErr w:type="spellEnd"/>
      <w:r>
        <w:rPr>
          <w:rFonts w:ascii="Times New Roman" w:hAnsi="Times New Roman" w:cs="Times New Roman"/>
          <w:sz w:val="24"/>
          <w:szCs w:val="24"/>
        </w:rPr>
        <w:t xml:space="preserve"> (2007)</w:t>
      </w:r>
      <w:r w:rsidR="00163CA1">
        <w:rPr>
          <w:rFonts w:ascii="Times New Roman" w:hAnsi="Times New Roman" w:cs="Times New Roman"/>
          <w:sz w:val="24"/>
          <w:szCs w:val="24"/>
        </w:rPr>
        <w:t xml:space="preserve"> [5</w:t>
      </w:r>
      <w:r w:rsidR="006905A4">
        <w:rPr>
          <w:rFonts w:ascii="Times New Roman" w:hAnsi="Times New Roman" w:cs="Times New Roman"/>
          <w:sz w:val="24"/>
          <w:szCs w:val="24"/>
        </w:rPr>
        <w:t>8</w:t>
      </w:r>
      <w:r w:rsidR="00163CA1">
        <w:rPr>
          <w:rFonts w:ascii="Times New Roman" w:hAnsi="Times New Roman" w:cs="Times New Roman"/>
          <w:sz w:val="24"/>
          <w:szCs w:val="24"/>
        </w:rPr>
        <w:t>]</w:t>
      </w:r>
      <w:r>
        <w:rPr>
          <w:rFonts w:ascii="Times New Roman" w:hAnsi="Times New Roman" w:cs="Times New Roman"/>
          <w:sz w:val="24"/>
          <w:szCs w:val="24"/>
        </w:rPr>
        <w:t xml:space="preserve"> show that illiquid stocks with high forecast disagreement are more prone to mispricing, hence achieve lower subsequent returns.</w:t>
      </w:r>
    </w:p>
    <w:p w:rsidR="007D5A45" w:rsidRDefault="007D5A45">
      <w:pPr>
        <w:spacing w:before="120"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Other explanations range from noise traders, differences in investor sophistication, limitations to arbitrage, or to trading costs (e.g., </w:t>
      </w:r>
      <w:r>
        <w:rPr>
          <w:rFonts w:ascii="Times New Roman" w:eastAsia="PMingLiU" w:hAnsi="Times New Roman" w:cs="Times New Roman"/>
          <w:sz w:val="24"/>
          <w:szCs w:val="24"/>
        </w:rPr>
        <w:t xml:space="preserve">Daniel, </w:t>
      </w:r>
      <w:proofErr w:type="spellStart"/>
      <w:r w:rsidRPr="001E480D">
        <w:rPr>
          <w:rFonts w:ascii="Times New Roman" w:eastAsia="PMingLiU" w:hAnsi="Times New Roman" w:cs="Times New Roman"/>
          <w:sz w:val="24"/>
          <w:szCs w:val="24"/>
        </w:rPr>
        <w:t>Hirshleifer</w:t>
      </w:r>
      <w:proofErr w:type="spellEnd"/>
      <w:r w:rsidRPr="001E480D">
        <w:rPr>
          <w:rFonts w:ascii="Times New Roman" w:eastAsia="PMingLiU" w:hAnsi="Times New Roman" w:cs="Times New Roman"/>
          <w:sz w:val="24"/>
          <w:szCs w:val="24"/>
        </w:rPr>
        <w:t>, and Teoh</w:t>
      </w:r>
      <w:r w:rsidRPr="001E480D">
        <w:rPr>
          <w:rFonts w:ascii="Times New Roman" w:hAnsi="Times New Roman" w:cs="Times New Roman"/>
          <w:sz w:val="24"/>
          <w:szCs w:val="24"/>
        </w:rPr>
        <w:t>, 2001</w:t>
      </w:r>
      <w:r w:rsidR="00FF455C">
        <w:rPr>
          <w:rFonts w:ascii="Times New Roman" w:hAnsi="Times New Roman" w:cs="Times New Roman"/>
          <w:sz w:val="24"/>
          <w:szCs w:val="24"/>
        </w:rPr>
        <w:t xml:space="preserve"> [2</w:t>
      </w:r>
      <w:r w:rsidR="00BE4F45">
        <w:rPr>
          <w:rFonts w:ascii="Times New Roman" w:hAnsi="Times New Roman" w:cs="Times New Roman"/>
          <w:sz w:val="24"/>
          <w:szCs w:val="24"/>
        </w:rPr>
        <w:t>9</w:t>
      </w:r>
      <w:r w:rsidR="00FF455C">
        <w:rPr>
          <w:rFonts w:ascii="Times New Roman" w:hAnsi="Times New Roman" w:cs="Times New Roman"/>
          <w:sz w:val="24"/>
          <w:szCs w:val="24"/>
        </w:rPr>
        <w:t>]</w:t>
      </w:r>
      <w:r w:rsidRPr="001E480D">
        <w:rPr>
          <w:rFonts w:ascii="Times New Roman" w:hAnsi="Times New Roman" w:cs="Times New Roman"/>
          <w:sz w:val="24"/>
          <w:szCs w:val="24"/>
        </w:rPr>
        <w:t xml:space="preserve">; </w:t>
      </w:r>
      <w:r w:rsidRPr="001E480D">
        <w:rPr>
          <w:rFonts w:ascii="Times New Roman" w:eastAsia="PMingLiU" w:hAnsi="Times New Roman" w:cs="Times New Roman"/>
          <w:sz w:val="24"/>
          <w:szCs w:val="24"/>
        </w:rPr>
        <w:t xml:space="preserve">De Long, Shleifer, Summers, and </w:t>
      </w:r>
      <w:proofErr w:type="spellStart"/>
      <w:r w:rsidRPr="001E480D">
        <w:rPr>
          <w:rFonts w:ascii="Times New Roman" w:eastAsia="PMingLiU" w:hAnsi="Times New Roman" w:cs="Times New Roman"/>
          <w:sz w:val="24"/>
          <w:szCs w:val="24"/>
        </w:rPr>
        <w:t>Waldmann</w:t>
      </w:r>
      <w:proofErr w:type="spellEnd"/>
      <w:r w:rsidRPr="001E480D">
        <w:rPr>
          <w:rFonts w:ascii="Times New Roman" w:hAnsi="Times New Roman" w:cs="Times New Roman"/>
          <w:sz w:val="24"/>
          <w:szCs w:val="24"/>
        </w:rPr>
        <w:t>, 1990</w:t>
      </w:r>
      <w:r w:rsidR="006F4261">
        <w:rPr>
          <w:rFonts w:ascii="Times New Roman" w:hAnsi="Times New Roman" w:cs="Times New Roman"/>
          <w:sz w:val="24"/>
          <w:szCs w:val="24"/>
        </w:rPr>
        <w:t xml:space="preserve"> [</w:t>
      </w:r>
      <w:r w:rsidR="00BE4F45">
        <w:rPr>
          <w:rFonts w:ascii="Times New Roman" w:hAnsi="Times New Roman" w:cs="Times New Roman"/>
          <w:sz w:val="24"/>
          <w:szCs w:val="24"/>
        </w:rPr>
        <w:t>30</w:t>
      </w:r>
      <w:r w:rsidR="006F4261">
        <w:rPr>
          <w:rFonts w:ascii="Times New Roman" w:hAnsi="Times New Roman" w:cs="Times New Roman"/>
          <w:sz w:val="24"/>
          <w:szCs w:val="24"/>
        </w:rPr>
        <w:t>]</w:t>
      </w:r>
      <w:r w:rsidRPr="001E480D">
        <w:rPr>
          <w:rFonts w:ascii="Times New Roman" w:hAnsi="Times New Roman" w:cs="Times New Roman"/>
          <w:sz w:val="24"/>
          <w:szCs w:val="24"/>
        </w:rPr>
        <w:t xml:space="preserve">; Schleifer and </w:t>
      </w:r>
      <w:proofErr w:type="spellStart"/>
      <w:r w:rsidRPr="001E480D">
        <w:rPr>
          <w:rFonts w:ascii="Times New Roman" w:hAnsi="Times New Roman" w:cs="Times New Roman"/>
          <w:sz w:val="24"/>
          <w:szCs w:val="24"/>
        </w:rPr>
        <w:t>Vishny</w:t>
      </w:r>
      <w:proofErr w:type="spellEnd"/>
      <w:r w:rsidRPr="001E480D">
        <w:rPr>
          <w:rFonts w:ascii="Times New Roman" w:hAnsi="Times New Roman" w:cs="Times New Roman"/>
          <w:sz w:val="24"/>
          <w:szCs w:val="24"/>
        </w:rPr>
        <w:t>, 1997</w:t>
      </w:r>
      <w:r w:rsidR="00F15082">
        <w:rPr>
          <w:rFonts w:ascii="Times New Roman" w:hAnsi="Times New Roman" w:cs="Times New Roman"/>
          <w:sz w:val="24"/>
          <w:szCs w:val="24"/>
        </w:rPr>
        <w:t xml:space="preserve"> [6</w:t>
      </w:r>
      <w:r w:rsidR="0093520F">
        <w:rPr>
          <w:rFonts w:ascii="Times New Roman" w:hAnsi="Times New Roman" w:cs="Times New Roman"/>
          <w:sz w:val="24"/>
          <w:szCs w:val="24"/>
        </w:rPr>
        <w:t>1</w:t>
      </w:r>
      <w:r w:rsidR="00F15082">
        <w:rPr>
          <w:rFonts w:ascii="Times New Roman" w:hAnsi="Times New Roman" w:cs="Times New Roman"/>
          <w:sz w:val="24"/>
          <w:szCs w:val="24"/>
        </w:rPr>
        <w:t>]</w:t>
      </w:r>
      <w:r w:rsidRPr="001E480D">
        <w:rPr>
          <w:rFonts w:ascii="Times New Roman" w:hAnsi="Times New Roman" w:cs="Times New Roman"/>
          <w:sz w:val="24"/>
          <w:szCs w:val="24"/>
        </w:rPr>
        <w:t>; Lee</w:t>
      </w:r>
      <w:r w:rsidRPr="00F94EAD">
        <w:rPr>
          <w:rFonts w:ascii="Times New Roman" w:hAnsi="Times New Roman" w:cs="Times New Roman"/>
          <w:sz w:val="24"/>
          <w:szCs w:val="24"/>
        </w:rPr>
        <w:t xml:space="preserve">, </w:t>
      </w:r>
      <w:r w:rsidRPr="001E480D">
        <w:rPr>
          <w:rFonts w:ascii="Times New Roman" w:hAnsi="Times New Roman" w:cs="Times New Roman"/>
          <w:sz w:val="24"/>
          <w:szCs w:val="24"/>
        </w:rPr>
        <w:t>Myers</w:t>
      </w:r>
      <w:r>
        <w:rPr>
          <w:rFonts w:ascii="Times New Roman" w:hAnsi="Times New Roman" w:cs="Times New Roman"/>
          <w:sz w:val="24"/>
          <w:szCs w:val="24"/>
        </w:rPr>
        <w:t>, and Swaminathan, 1999</w:t>
      </w:r>
      <w:r w:rsidR="00CB2D71">
        <w:rPr>
          <w:rFonts w:ascii="Times New Roman" w:hAnsi="Times New Roman" w:cs="Times New Roman"/>
          <w:sz w:val="24"/>
          <w:szCs w:val="24"/>
        </w:rPr>
        <w:t xml:space="preserve"> [51]</w:t>
      </w:r>
      <w:r>
        <w:rPr>
          <w:rFonts w:ascii="Times New Roman" w:hAnsi="Times New Roman" w:cs="Times New Roman"/>
          <w:sz w:val="24"/>
          <w:szCs w:val="24"/>
        </w:rPr>
        <w:t xml:space="preserve">; </w:t>
      </w:r>
      <w:r>
        <w:rPr>
          <w:rFonts w:ascii="Times New Roman" w:eastAsia="PMingLiU" w:hAnsi="Times New Roman" w:cs="Times New Roman"/>
          <w:sz w:val="24"/>
          <w:szCs w:val="24"/>
        </w:rPr>
        <w:t xml:space="preserve">Elliott, </w:t>
      </w:r>
      <w:proofErr w:type="spellStart"/>
      <w:r>
        <w:rPr>
          <w:rFonts w:ascii="Times New Roman" w:eastAsia="PMingLiU" w:hAnsi="Times New Roman" w:cs="Times New Roman"/>
          <w:sz w:val="24"/>
          <w:szCs w:val="24"/>
        </w:rPr>
        <w:t>Krische</w:t>
      </w:r>
      <w:proofErr w:type="spellEnd"/>
      <w:r>
        <w:rPr>
          <w:rFonts w:ascii="Times New Roman" w:eastAsia="PMingLiU" w:hAnsi="Times New Roman" w:cs="Times New Roman"/>
          <w:sz w:val="24"/>
          <w:szCs w:val="24"/>
        </w:rPr>
        <w:t xml:space="preserve">, and </w:t>
      </w:r>
      <w:proofErr w:type="spellStart"/>
      <w:r>
        <w:rPr>
          <w:rFonts w:ascii="Times New Roman" w:eastAsia="PMingLiU" w:hAnsi="Times New Roman" w:cs="Times New Roman"/>
          <w:sz w:val="24"/>
          <w:szCs w:val="24"/>
        </w:rPr>
        <w:t>Peecher</w:t>
      </w:r>
      <w:proofErr w:type="spellEnd"/>
      <w:r>
        <w:rPr>
          <w:rFonts w:ascii="Times New Roman" w:eastAsia="PMingLiU" w:hAnsi="Times New Roman" w:cs="Times New Roman"/>
          <w:sz w:val="24"/>
          <w:szCs w:val="24"/>
        </w:rPr>
        <w:t>,</w:t>
      </w:r>
      <w:r>
        <w:rPr>
          <w:rFonts w:ascii="Times New Roman" w:hAnsi="Times New Roman" w:cs="Times New Roman"/>
          <w:sz w:val="24"/>
          <w:szCs w:val="24"/>
        </w:rPr>
        <w:t xml:space="preserve"> 2010</w:t>
      </w:r>
      <w:r w:rsidR="00A54815">
        <w:rPr>
          <w:rFonts w:ascii="Times New Roman" w:hAnsi="Times New Roman" w:cs="Times New Roman"/>
          <w:sz w:val="24"/>
          <w:szCs w:val="24"/>
        </w:rPr>
        <w:t xml:space="preserve"> [3</w:t>
      </w:r>
      <w:r w:rsidR="00873576">
        <w:rPr>
          <w:rFonts w:ascii="Times New Roman" w:hAnsi="Times New Roman" w:cs="Times New Roman"/>
          <w:sz w:val="24"/>
          <w:szCs w:val="24"/>
        </w:rPr>
        <w:t>5</w:t>
      </w:r>
      <w:r w:rsidR="00A54815">
        <w:rPr>
          <w:rFonts w:ascii="Times New Roman" w:hAnsi="Times New Roman" w:cs="Times New Roman"/>
          <w:sz w:val="24"/>
          <w:szCs w:val="24"/>
        </w:rPr>
        <w:t>]</w:t>
      </w:r>
      <w:r>
        <w:rPr>
          <w:rFonts w:ascii="Times New Roman" w:hAnsi="Times New Roman" w:cs="Times New Roman"/>
          <w:sz w:val="24"/>
          <w:szCs w:val="24"/>
        </w:rPr>
        <w:t xml:space="preserve">). From a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finance perspective,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can be induced by investor irrationality (see e.g., </w:t>
      </w:r>
      <w:proofErr w:type="spellStart"/>
      <w:r>
        <w:rPr>
          <w:rFonts w:ascii="Times New Roman" w:hAnsi="Times New Roman" w:cs="Times New Roman"/>
          <w:sz w:val="24"/>
          <w:szCs w:val="24"/>
        </w:rPr>
        <w:t>Barberis</w:t>
      </w:r>
      <w:proofErr w:type="spellEnd"/>
      <w:r>
        <w:rPr>
          <w:rFonts w:ascii="Times New Roman" w:hAnsi="Times New Roman" w:cs="Times New Roman"/>
          <w:sz w:val="24"/>
          <w:szCs w:val="24"/>
        </w:rPr>
        <w:t xml:space="preserve"> and Thaler, 2003</w:t>
      </w:r>
      <w:r w:rsidR="00556657">
        <w:rPr>
          <w:rFonts w:ascii="Times New Roman" w:hAnsi="Times New Roman" w:cs="Times New Roman"/>
          <w:sz w:val="24"/>
          <w:szCs w:val="24"/>
        </w:rPr>
        <w:t xml:space="preserve"> [6]</w:t>
      </w:r>
      <w:r>
        <w:rPr>
          <w:rFonts w:ascii="Times New Roman" w:hAnsi="Times New Roman" w:cs="Times New Roman"/>
          <w:sz w:val="24"/>
          <w:szCs w:val="24"/>
        </w:rPr>
        <w:t xml:space="preserve">; Baker and </w:t>
      </w:r>
      <w:proofErr w:type="spellStart"/>
      <w:r>
        <w:rPr>
          <w:rFonts w:ascii="Times New Roman" w:hAnsi="Times New Roman" w:cs="Times New Roman"/>
          <w:sz w:val="24"/>
          <w:szCs w:val="24"/>
        </w:rPr>
        <w:t>Wurgler</w:t>
      </w:r>
      <w:proofErr w:type="spellEnd"/>
      <w:r>
        <w:rPr>
          <w:rFonts w:ascii="Times New Roman" w:hAnsi="Times New Roman" w:cs="Times New Roman"/>
          <w:sz w:val="24"/>
          <w:szCs w:val="24"/>
        </w:rPr>
        <w:t>, 200</w:t>
      </w:r>
      <w:r w:rsidR="002F0B55">
        <w:rPr>
          <w:rFonts w:ascii="Times New Roman" w:hAnsi="Times New Roman" w:cs="Times New Roman"/>
          <w:sz w:val="24"/>
          <w:szCs w:val="24"/>
        </w:rPr>
        <w:t>2 [5]</w:t>
      </w:r>
      <w:r>
        <w:rPr>
          <w:rFonts w:ascii="Times New Roman" w:hAnsi="Times New Roman" w:cs="Times New Roman"/>
          <w:sz w:val="24"/>
          <w:szCs w:val="24"/>
        </w:rPr>
        <w:t xml:space="preserve">). Psychological explanations for biases leading to irrational investor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and mispricing include overconfidence, optimism, representativeness, conservatism, or belief perseverance (</w:t>
      </w:r>
      <w:proofErr w:type="spellStart"/>
      <w:r>
        <w:rPr>
          <w:rFonts w:ascii="Times New Roman" w:hAnsi="Times New Roman" w:cs="Times New Roman"/>
          <w:sz w:val="24"/>
          <w:szCs w:val="24"/>
        </w:rPr>
        <w:t>Barberis</w:t>
      </w:r>
      <w:proofErr w:type="spellEnd"/>
      <w:r>
        <w:rPr>
          <w:rFonts w:ascii="Times New Roman" w:hAnsi="Times New Roman" w:cs="Times New Roman"/>
          <w:sz w:val="24"/>
          <w:szCs w:val="24"/>
        </w:rPr>
        <w:t xml:space="preserve"> and Thaler, 2003</w:t>
      </w:r>
      <w:r w:rsidR="000C2973">
        <w:rPr>
          <w:rFonts w:ascii="Times New Roman" w:hAnsi="Times New Roman" w:cs="Times New Roman"/>
          <w:sz w:val="24"/>
          <w:szCs w:val="24"/>
        </w:rPr>
        <w:t xml:space="preserve"> [6]</w:t>
      </w:r>
      <w:r>
        <w:rPr>
          <w:rFonts w:ascii="Times New Roman" w:hAnsi="Times New Roman" w:cs="Times New Roman"/>
          <w:sz w:val="24"/>
          <w:szCs w:val="24"/>
        </w:rPr>
        <w:t xml:space="preserve">; Baker and </w:t>
      </w:r>
      <w:proofErr w:type="spellStart"/>
      <w:r>
        <w:rPr>
          <w:rFonts w:ascii="Times New Roman" w:hAnsi="Times New Roman" w:cs="Times New Roman"/>
          <w:sz w:val="24"/>
          <w:szCs w:val="24"/>
        </w:rPr>
        <w:t>Wurgler</w:t>
      </w:r>
      <w:proofErr w:type="spellEnd"/>
      <w:r>
        <w:rPr>
          <w:rFonts w:ascii="Times New Roman" w:hAnsi="Times New Roman" w:cs="Times New Roman"/>
          <w:sz w:val="24"/>
          <w:szCs w:val="24"/>
        </w:rPr>
        <w:t>, 200</w:t>
      </w:r>
      <w:r w:rsidR="00AB46CD">
        <w:rPr>
          <w:rFonts w:ascii="Times New Roman" w:hAnsi="Times New Roman" w:cs="Times New Roman"/>
          <w:sz w:val="24"/>
          <w:szCs w:val="24"/>
        </w:rPr>
        <w:t>2</w:t>
      </w:r>
      <w:r w:rsidR="002F0B55">
        <w:rPr>
          <w:rFonts w:ascii="Times New Roman" w:hAnsi="Times New Roman" w:cs="Times New Roman"/>
          <w:sz w:val="24"/>
          <w:szCs w:val="24"/>
        </w:rPr>
        <w:t xml:space="preserve"> [5]</w:t>
      </w:r>
      <w:r>
        <w:rPr>
          <w:rFonts w:ascii="Times New Roman" w:hAnsi="Times New Roman" w:cs="Times New Roman"/>
          <w:sz w:val="24"/>
          <w:szCs w:val="24"/>
        </w:rPr>
        <w:t xml:space="preserve">). No matter the underlying reason, the result is mispriced shares. </w:t>
      </w:r>
    </w:p>
    <w:p w:rsidR="007D5A45" w:rsidRDefault="007D5A45">
      <w:pPr>
        <w:spacing w:before="120"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While some prior studies have examined the effect of pro forma disclosures on share valuation, changes during the last decade in the area of monetary policy and investment strategies and corporate finance have introduced new sources of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These are challenging the dominant role of accounting information as a basis for valuation purposes. </w:t>
      </w:r>
    </w:p>
    <w:p w:rsidR="007D5A45" w:rsidRDefault="007D5A45">
      <w:pPr>
        <w:spacing w:before="120"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To combat the effects of the financial crisis, central banks around the world have provided financial markets with unprecedented amounts of liquidity and lowered interest rates to all-time lows (see e.g. Dodwell, 2013). These loose financial conditions have now persisted for nearly a decade, thus financial markets are flooded with funds looking for investments. This has led to many assets, stock markets being one of them, having reached high, sometimes very high, valuations (Verma, 2016). Together with that, risk premia required from investments have reduced substantially. Enabled by investors’ very low funding costs courtesy of very loose financial conditions, stocks that would previously not have met return criteria are now receiving funds, making investments in many stocks profitable that would not have been </w:t>
      </w:r>
      <w:r>
        <w:rPr>
          <w:rFonts w:ascii="Times New Roman" w:hAnsi="Times New Roman" w:cs="Times New Roman"/>
          <w:sz w:val="24"/>
          <w:szCs w:val="24"/>
        </w:rPr>
        <w:lastRenderedPageBreak/>
        <w:t>previously, further increasing demand and valuations.</w:t>
      </w:r>
      <w:r>
        <w:rPr>
          <w:rStyle w:val="FootnoteAnchor"/>
          <w:rFonts w:ascii="Times New Roman" w:hAnsi="Times New Roman" w:cs="Times New Roman"/>
          <w:sz w:val="24"/>
          <w:szCs w:val="24"/>
        </w:rPr>
        <w:footnoteReference w:id="7"/>
      </w:r>
      <w:r>
        <w:rPr>
          <w:rFonts w:ascii="Times New Roman" w:hAnsi="Times New Roman" w:cs="Times New Roman"/>
          <w:sz w:val="24"/>
          <w:szCs w:val="24"/>
        </w:rPr>
        <w:t xml:space="preserve">  In addition, there has been a significant increase in funds invested via Exchange Traded Funds (ETFs) which are more indiscriminate buyers of stocks and are linked to increased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(e.g. </w:t>
      </w:r>
      <w:proofErr w:type="spellStart"/>
      <w:r>
        <w:rPr>
          <w:rFonts w:ascii="Times New Roman" w:hAnsi="Times New Roman" w:cs="Times New Roman"/>
          <w:sz w:val="24"/>
          <w:szCs w:val="24"/>
        </w:rPr>
        <w:t>Wurgler</w:t>
      </w:r>
      <w:proofErr w:type="spellEnd"/>
      <w:r>
        <w:rPr>
          <w:rFonts w:ascii="Times New Roman" w:hAnsi="Times New Roman" w:cs="Times New Roman"/>
          <w:sz w:val="24"/>
          <w:szCs w:val="24"/>
        </w:rPr>
        <w:t>, 201</w:t>
      </w:r>
      <w:r w:rsidR="003A763C">
        <w:rPr>
          <w:rFonts w:ascii="Times New Roman" w:hAnsi="Times New Roman" w:cs="Times New Roman"/>
          <w:sz w:val="24"/>
          <w:szCs w:val="24"/>
        </w:rPr>
        <w:t>1 [65]</w:t>
      </w:r>
      <w:r>
        <w:rPr>
          <w:rFonts w:ascii="Times New Roman" w:hAnsi="Times New Roman" w:cs="Times New Roman"/>
          <w:sz w:val="24"/>
          <w:szCs w:val="24"/>
        </w:rPr>
        <w:t xml:space="preserve">; Yang and </w:t>
      </w:r>
      <w:proofErr w:type="spellStart"/>
      <w:r>
        <w:rPr>
          <w:rFonts w:ascii="Times New Roman" w:hAnsi="Times New Roman" w:cs="Times New Roman"/>
          <w:sz w:val="24"/>
          <w:szCs w:val="24"/>
        </w:rPr>
        <w:t>Morck</w:t>
      </w:r>
      <w:proofErr w:type="spellEnd"/>
      <w:r>
        <w:rPr>
          <w:rFonts w:ascii="Times New Roman" w:hAnsi="Times New Roman" w:cs="Times New Roman"/>
          <w:sz w:val="24"/>
          <w:szCs w:val="24"/>
        </w:rPr>
        <w:t>, 2001</w:t>
      </w:r>
      <w:r w:rsidR="007900CB">
        <w:rPr>
          <w:rFonts w:ascii="Times New Roman" w:hAnsi="Times New Roman" w:cs="Times New Roman"/>
          <w:sz w:val="24"/>
          <w:szCs w:val="24"/>
        </w:rPr>
        <w:t xml:space="preserve"> [6</w:t>
      </w:r>
      <w:r w:rsidR="00D550F5">
        <w:rPr>
          <w:rFonts w:ascii="Times New Roman" w:hAnsi="Times New Roman" w:cs="Times New Roman"/>
          <w:sz w:val="24"/>
          <w:szCs w:val="24"/>
        </w:rPr>
        <w:t>6</w:t>
      </w:r>
      <w:r w:rsidR="007900CB">
        <w:rPr>
          <w:rFonts w:ascii="Times New Roman" w:hAnsi="Times New Roman" w:cs="Times New Roman"/>
          <w:sz w:val="24"/>
          <w:szCs w:val="24"/>
        </w:rPr>
        <w:t>]</w:t>
      </w:r>
      <w:r>
        <w:rPr>
          <w:rFonts w:ascii="Times New Roman" w:hAnsi="Times New Roman" w:cs="Times New Roman"/>
          <w:sz w:val="24"/>
          <w:szCs w:val="24"/>
        </w:rPr>
        <w:t xml:space="preserve">). Relatedly, US corporate debt levels have increased substantially in the last few years leading to record debt issuance and debt levels, likewise enabled by loose financial conditions. This matters since debt and changes in debt and capital </w:t>
      </w:r>
      <w:r w:rsidRPr="001E26D8">
        <w:rPr>
          <w:rFonts w:ascii="Times New Roman" w:hAnsi="Times New Roman" w:cs="Times New Roman"/>
          <w:sz w:val="24"/>
          <w:szCs w:val="24"/>
        </w:rPr>
        <w:t xml:space="preserve">structure can affect </w:t>
      </w:r>
      <w:proofErr w:type="spellStart"/>
      <w:r w:rsidRPr="001E26D8">
        <w:rPr>
          <w:rFonts w:ascii="Times New Roman" w:hAnsi="Times New Roman" w:cs="Times New Roman"/>
          <w:sz w:val="24"/>
          <w:szCs w:val="24"/>
        </w:rPr>
        <w:t>misvaluation</w:t>
      </w:r>
      <w:proofErr w:type="spellEnd"/>
      <w:r w:rsidRPr="001E26D8">
        <w:rPr>
          <w:rFonts w:ascii="Times New Roman" w:hAnsi="Times New Roman" w:cs="Times New Roman"/>
          <w:sz w:val="24"/>
          <w:szCs w:val="24"/>
        </w:rPr>
        <w:t xml:space="preserve"> (e.g. Myers and </w:t>
      </w:r>
      <w:proofErr w:type="spellStart"/>
      <w:r w:rsidRPr="001E26D8">
        <w:rPr>
          <w:rFonts w:ascii="Times New Roman" w:hAnsi="Times New Roman" w:cs="Times New Roman"/>
          <w:sz w:val="24"/>
          <w:szCs w:val="24"/>
        </w:rPr>
        <w:t>Majluf</w:t>
      </w:r>
      <w:proofErr w:type="spellEnd"/>
      <w:r w:rsidRPr="001E26D8">
        <w:rPr>
          <w:rFonts w:ascii="Times New Roman" w:hAnsi="Times New Roman" w:cs="Times New Roman"/>
          <w:sz w:val="24"/>
          <w:szCs w:val="24"/>
        </w:rPr>
        <w:t>, 1984</w:t>
      </w:r>
      <w:r w:rsidR="008D1DD8">
        <w:rPr>
          <w:rFonts w:ascii="Times New Roman" w:hAnsi="Times New Roman" w:cs="Times New Roman"/>
          <w:sz w:val="24"/>
          <w:szCs w:val="24"/>
        </w:rPr>
        <w:t xml:space="preserve"> [57]</w:t>
      </w:r>
      <w:r w:rsidRPr="001E26D8">
        <w:rPr>
          <w:rFonts w:ascii="Times New Roman" w:hAnsi="Times New Roman" w:cs="Times New Roman"/>
          <w:sz w:val="24"/>
          <w:szCs w:val="24"/>
        </w:rPr>
        <w:t>; Klein et al., 2002</w:t>
      </w:r>
      <w:r w:rsidR="00523FB6">
        <w:rPr>
          <w:rFonts w:ascii="Times New Roman" w:hAnsi="Times New Roman" w:cs="Times New Roman"/>
          <w:sz w:val="24"/>
          <w:szCs w:val="24"/>
        </w:rPr>
        <w:t xml:space="preserve"> [47]</w:t>
      </w:r>
      <w:r w:rsidRPr="001E26D8">
        <w:rPr>
          <w:rFonts w:ascii="Times New Roman" w:hAnsi="Times New Roman" w:cs="Times New Roman"/>
          <w:sz w:val="24"/>
          <w:szCs w:val="24"/>
        </w:rPr>
        <w:t>), so that the q</w:t>
      </w:r>
      <w:r>
        <w:rPr>
          <w:rFonts w:ascii="Times New Roman" w:hAnsi="Times New Roman" w:cs="Times New Roman"/>
          <w:sz w:val="24"/>
          <w:szCs w:val="24"/>
        </w:rPr>
        <w:t xml:space="preserve">uestion of how pro forma disclosures can help address this increased potential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component has to be reconsidered. </w:t>
      </w:r>
    </w:p>
    <w:p w:rsidR="007D5A45" w:rsidRDefault="007D5A45">
      <w:pPr>
        <w:spacing w:before="120" w:after="0" w:line="480" w:lineRule="auto"/>
        <w:ind w:firstLine="426"/>
        <w:jc w:val="both"/>
        <w:rPr>
          <w:rFonts w:ascii="Times New Roman" w:hAnsi="Times New Roman" w:cs="Times New Roman"/>
          <w:color w:val="FF0000"/>
          <w:sz w:val="24"/>
          <w:szCs w:val="24"/>
        </w:rPr>
      </w:pPr>
      <w:r>
        <w:rPr>
          <w:rFonts w:ascii="Times New Roman" w:hAnsi="Times New Roman" w:cs="Times New Roman"/>
          <w:sz w:val="24"/>
          <w:szCs w:val="24"/>
        </w:rPr>
        <w:t>Disclosure of accounting information is meant to reduce information asymmetry and help investors price shares accurately (e.g. Lev, 1992</w:t>
      </w:r>
      <w:r w:rsidR="00240072">
        <w:rPr>
          <w:rFonts w:ascii="Times New Roman" w:hAnsi="Times New Roman" w:cs="Times New Roman"/>
          <w:sz w:val="24"/>
          <w:szCs w:val="24"/>
        </w:rPr>
        <w:t xml:space="preserve"> [53]</w:t>
      </w:r>
      <w:r>
        <w:rPr>
          <w:rFonts w:ascii="Times New Roman" w:hAnsi="Times New Roman" w:cs="Times New Roman"/>
          <w:sz w:val="24"/>
          <w:szCs w:val="24"/>
        </w:rPr>
        <w:t>; Healy and Palepu, 2001</w:t>
      </w:r>
      <w:r w:rsidR="008174D2">
        <w:rPr>
          <w:rFonts w:ascii="Times New Roman" w:hAnsi="Times New Roman" w:cs="Times New Roman"/>
          <w:sz w:val="24"/>
          <w:szCs w:val="24"/>
        </w:rPr>
        <w:t xml:space="preserve"> [</w:t>
      </w:r>
      <w:r w:rsidR="00873576">
        <w:rPr>
          <w:rFonts w:ascii="Times New Roman" w:hAnsi="Times New Roman" w:cs="Times New Roman"/>
          <w:sz w:val="24"/>
          <w:szCs w:val="24"/>
        </w:rPr>
        <w:t>40</w:t>
      </w:r>
      <w:r w:rsidR="008174D2">
        <w:rPr>
          <w:rFonts w:ascii="Times New Roman" w:hAnsi="Times New Roman" w:cs="Times New Roman"/>
          <w:sz w:val="24"/>
          <w:szCs w:val="24"/>
        </w:rPr>
        <w:t>]</w:t>
      </w:r>
      <w:r>
        <w:rPr>
          <w:rFonts w:ascii="Times New Roman" w:hAnsi="Times New Roman" w:cs="Times New Roman"/>
          <w:sz w:val="24"/>
          <w:szCs w:val="24"/>
        </w:rPr>
        <w:t>). Pro forma earnings, not required by GAAP, can be an additional source of information for valuation purposes. For instance, they can provide a more precise picture of firm performance and ‘core earnings’ (Weil, 2001</w:t>
      </w:r>
      <w:r w:rsidR="00590B56">
        <w:rPr>
          <w:rFonts w:ascii="Times New Roman" w:hAnsi="Times New Roman" w:cs="Times New Roman"/>
          <w:sz w:val="24"/>
          <w:szCs w:val="24"/>
        </w:rPr>
        <w:t xml:space="preserve"> [6</w:t>
      </w:r>
      <w:r w:rsidR="0093520F">
        <w:rPr>
          <w:rFonts w:ascii="Times New Roman" w:hAnsi="Times New Roman" w:cs="Times New Roman"/>
          <w:sz w:val="24"/>
          <w:szCs w:val="24"/>
        </w:rPr>
        <w:t>3</w:t>
      </w:r>
      <w:r w:rsidR="00590B56">
        <w:rPr>
          <w:rFonts w:ascii="Times New Roman" w:hAnsi="Times New Roman" w:cs="Times New Roman"/>
          <w:sz w:val="24"/>
          <w:szCs w:val="24"/>
        </w:rPr>
        <w:t>]</w:t>
      </w:r>
      <w:r>
        <w:rPr>
          <w:rFonts w:ascii="Times New Roman" w:hAnsi="Times New Roman" w:cs="Times New Roman"/>
          <w:sz w:val="24"/>
          <w:szCs w:val="24"/>
        </w:rPr>
        <w:t>; Bhattacharya</w:t>
      </w:r>
      <w:r w:rsidR="006964C7">
        <w:rPr>
          <w:rFonts w:ascii="Times New Roman" w:hAnsi="Times New Roman" w:cs="Times New Roman"/>
          <w:sz w:val="24"/>
          <w:szCs w:val="24"/>
        </w:rPr>
        <w:t xml:space="preserve"> et al.,</w:t>
      </w:r>
      <w:r>
        <w:rPr>
          <w:rFonts w:ascii="Times New Roman" w:hAnsi="Times New Roman" w:cs="Times New Roman"/>
          <w:sz w:val="24"/>
          <w:szCs w:val="24"/>
        </w:rPr>
        <w:t xml:space="preserve"> 2003</w:t>
      </w:r>
      <w:r w:rsidR="006964C7">
        <w:rPr>
          <w:rFonts w:ascii="Times New Roman" w:hAnsi="Times New Roman" w:cs="Times New Roman"/>
          <w:sz w:val="24"/>
          <w:szCs w:val="24"/>
        </w:rPr>
        <w:t xml:space="preserve"> [9]</w:t>
      </w:r>
      <w:r>
        <w:rPr>
          <w:rFonts w:ascii="Times New Roman" w:hAnsi="Times New Roman" w:cs="Times New Roman"/>
          <w:sz w:val="24"/>
          <w:szCs w:val="24"/>
        </w:rPr>
        <w:t>; Bhattacharya et al., 2007</w:t>
      </w:r>
      <w:r w:rsidR="00E057DA">
        <w:rPr>
          <w:rFonts w:ascii="Times New Roman" w:hAnsi="Times New Roman" w:cs="Times New Roman"/>
          <w:sz w:val="24"/>
          <w:szCs w:val="24"/>
        </w:rPr>
        <w:t xml:space="preserve"> [10]</w:t>
      </w:r>
      <w:r>
        <w:rPr>
          <w:rFonts w:ascii="Times New Roman" w:hAnsi="Times New Roman" w:cs="Times New Roman"/>
          <w:sz w:val="24"/>
          <w:szCs w:val="24"/>
        </w:rPr>
        <w:t>), which should make it easier for investors to judge performance and therefore value (Bhattacharya et al., 2003)</w:t>
      </w:r>
      <w:r w:rsidR="00C6786D">
        <w:rPr>
          <w:rFonts w:ascii="Times New Roman" w:hAnsi="Times New Roman" w:cs="Times New Roman"/>
          <w:sz w:val="24"/>
          <w:szCs w:val="24"/>
        </w:rPr>
        <w:t xml:space="preserve"> [9]</w:t>
      </w:r>
      <w:r>
        <w:rPr>
          <w:rFonts w:ascii="Times New Roman" w:hAnsi="Times New Roman" w:cs="Times New Roman"/>
          <w:sz w:val="24"/>
          <w:szCs w:val="24"/>
        </w:rPr>
        <w:t xml:space="preserve">. Such additional information beyond the mandatory level should help reduce the magnitude of stock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by removing transitory effects that have no long-term influence on performance. If firms can successfully emphasize that the adjustments result in a more realistic portray of underlying performance, this can enable investors to price shares more accurately, thus reduce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Disclosure decisions are often taken opportunistically to achieve a certain purpose (</w:t>
      </w:r>
      <w:r>
        <w:rPr>
          <w:rFonts w:ascii="Times New Roman" w:eastAsia="PMingLiU" w:hAnsi="Times New Roman" w:cs="Times New Roman"/>
          <w:sz w:val="24"/>
          <w:szCs w:val="24"/>
        </w:rPr>
        <w:t xml:space="preserve">Graham, Harvey, and </w:t>
      </w:r>
      <w:proofErr w:type="spellStart"/>
      <w:r>
        <w:rPr>
          <w:rFonts w:ascii="Times New Roman" w:eastAsia="PMingLiU" w:hAnsi="Times New Roman" w:cs="Times New Roman"/>
          <w:sz w:val="24"/>
          <w:szCs w:val="24"/>
        </w:rPr>
        <w:t>Rajgopal</w:t>
      </w:r>
      <w:proofErr w:type="spellEnd"/>
      <w:r>
        <w:rPr>
          <w:rFonts w:ascii="Times New Roman" w:eastAsia="PMingLiU" w:hAnsi="Times New Roman" w:cs="Times New Roman"/>
          <w:sz w:val="24"/>
          <w:szCs w:val="24"/>
        </w:rPr>
        <w:t>,</w:t>
      </w:r>
      <w:r w:rsidDel="00CC63D2">
        <w:rPr>
          <w:rFonts w:ascii="Times New Roman" w:hAnsi="Times New Roman" w:cs="Times New Roman"/>
          <w:sz w:val="24"/>
          <w:szCs w:val="24"/>
        </w:rPr>
        <w:t xml:space="preserve"> </w:t>
      </w:r>
      <w:r>
        <w:rPr>
          <w:rFonts w:ascii="Times New Roman" w:hAnsi="Times New Roman" w:cs="Times New Roman"/>
          <w:sz w:val="24"/>
          <w:szCs w:val="24"/>
        </w:rPr>
        <w:t>2005)</w:t>
      </w:r>
      <w:r w:rsidR="00473937">
        <w:rPr>
          <w:rFonts w:ascii="Times New Roman" w:hAnsi="Times New Roman" w:cs="Times New Roman"/>
          <w:sz w:val="24"/>
          <w:szCs w:val="24"/>
        </w:rPr>
        <w:t xml:space="preserve"> [3</w:t>
      </w:r>
      <w:r w:rsidR="00873576">
        <w:rPr>
          <w:rFonts w:ascii="Times New Roman" w:hAnsi="Times New Roman" w:cs="Times New Roman"/>
          <w:sz w:val="24"/>
          <w:szCs w:val="24"/>
        </w:rPr>
        <w:t>7</w:t>
      </w:r>
      <w:r w:rsidR="00473937">
        <w:rPr>
          <w:rFonts w:ascii="Times New Roman" w:hAnsi="Times New Roman" w:cs="Times New Roman"/>
          <w:sz w:val="24"/>
          <w:szCs w:val="24"/>
        </w:rPr>
        <w:t>]</w:t>
      </w:r>
      <w:r>
        <w:rPr>
          <w:rFonts w:ascii="Times New Roman" w:hAnsi="Times New Roman" w:cs="Times New Roman"/>
          <w:sz w:val="24"/>
          <w:szCs w:val="24"/>
        </w:rPr>
        <w:t xml:space="preserve">. In fact, both Healy and Palepu (2001) </w:t>
      </w:r>
      <w:r w:rsidR="008174D2">
        <w:rPr>
          <w:rFonts w:ascii="Times New Roman" w:hAnsi="Times New Roman" w:cs="Times New Roman"/>
          <w:sz w:val="24"/>
          <w:szCs w:val="24"/>
        </w:rPr>
        <w:t>[</w:t>
      </w:r>
      <w:r w:rsidR="00873576">
        <w:rPr>
          <w:rFonts w:ascii="Times New Roman" w:hAnsi="Times New Roman" w:cs="Times New Roman"/>
          <w:sz w:val="24"/>
          <w:szCs w:val="24"/>
        </w:rPr>
        <w:t>40</w:t>
      </w:r>
      <w:r w:rsidR="008174D2">
        <w:rPr>
          <w:rFonts w:ascii="Times New Roman" w:hAnsi="Times New Roman" w:cs="Times New Roman"/>
          <w:sz w:val="24"/>
          <w:szCs w:val="24"/>
        </w:rPr>
        <w:t xml:space="preserve">] </w:t>
      </w:r>
      <w:r>
        <w:rPr>
          <w:rFonts w:ascii="Times New Roman" w:hAnsi="Times New Roman" w:cs="Times New Roman"/>
          <w:sz w:val="24"/>
          <w:szCs w:val="24"/>
        </w:rPr>
        <w:t>and Graham et al. (2005)</w:t>
      </w:r>
      <w:r w:rsidR="00473937">
        <w:rPr>
          <w:rFonts w:ascii="Times New Roman" w:hAnsi="Times New Roman" w:cs="Times New Roman"/>
          <w:sz w:val="24"/>
          <w:szCs w:val="24"/>
        </w:rPr>
        <w:t xml:space="preserve"> [3</w:t>
      </w:r>
      <w:r w:rsidR="00873576">
        <w:rPr>
          <w:rFonts w:ascii="Times New Roman" w:hAnsi="Times New Roman" w:cs="Times New Roman"/>
          <w:sz w:val="24"/>
          <w:szCs w:val="24"/>
        </w:rPr>
        <w:t>7</w:t>
      </w:r>
      <w:r w:rsidR="00473937">
        <w:rPr>
          <w:rFonts w:ascii="Times New Roman" w:hAnsi="Times New Roman" w:cs="Times New Roman"/>
          <w:sz w:val="24"/>
          <w:szCs w:val="24"/>
        </w:rPr>
        <w:t>]</w:t>
      </w:r>
      <w:r>
        <w:rPr>
          <w:rFonts w:ascii="Times New Roman" w:hAnsi="Times New Roman" w:cs="Times New Roman"/>
          <w:sz w:val="24"/>
          <w:szCs w:val="24"/>
        </w:rPr>
        <w:t xml:space="preserve"> highlight that stock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is an important motivation in </w:t>
      </w:r>
      <w:r>
        <w:rPr>
          <w:rFonts w:ascii="Times New Roman" w:hAnsi="Times New Roman" w:cs="Times New Roman"/>
          <w:sz w:val="24"/>
          <w:szCs w:val="24"/>
        </w:rPr>
        <w:lastRenderedPageBreak/>
        <w:t xml:space="preserve">management’s disclosure decisions. Targeting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is therefore a major driver of disclosure, including perceived undervaluation (Healy and Palepu, 2001</w:t>
      </w:r>
      <w:r w:rsidR="008174D2">
        <w:rPr>
          <w:rFonts w:ascii="Times New Roman" w:hAnsi="Times New Roman" w:cs="Times New Roman"/>
          <w:sz w:val="24"/>
          <w:szCs w:val="24"/>
        </w:rPr>
        <w:t xml:space="preserve"> [</w:t>
      </w:r>
      <w:r w:rsidR="00873576">
        <w:rPr>
          <w:rFonts w:ascii="Times New Roman" w:hAnsi="Times New Roman" w:cs="Times New Roman"/>
          <w:sz w:val="24"/>
          <w:szCs w:val="24"/>
        </w:rPr>
        <w:t>40</w:t>
      </w:r>
      <w:r w:rsidR="008174D2">
        <w:rPr>
          <w:rFonts w:ascii="Times New Roman" w:hAnsi="Times New Roman" w:cs="Times New Roman"/>
          <w:sz w:val="24"/>
          <w:szCs w:val="24"/>
        </w:rPr>
        <w:t>]</w:t>
      </w:r>
      <w:r>
        <w:rPr>
          <w:rFonts w:ascii="Times New Roman" w:hAnsi="Times New Roman" w:cs="Times New Roman"/>
          <w:sz w:val="24"/>
          <w:szCs w:val="24"/>
        </w:rPr>
        <w:t>; Graham et al., 2005</w:t>
      </w:r>
      <w:r w:rsidR="00473937">
        <w:rPr>
          <w:rFonts w:ascii="Times New Roman" w:hAnsi="Times New Roman" w:cs="Times New Roman"/>
          <w:sz w:val="24"/>
          <w:szCs w:val="24"/>
        </w:rPr>
        <w:t xml:space="preserve"> [3</w:t>
      </w:r>
      <w:r w:rsidR="00873576">
        <w:rPr>
          <w:rFonts w:ascii="Times New Roman" w:hAnsi="Times New Roman" w:cs="Times New Roman"/>
          <w:sz w:val="24"/>
          <w:szCs w:val="24"/>
        </w:rPr>
        <w:t>7</w:t>
      </w:r>
      <w:r w:rsidR="00473937">
        <w:rPr>
          <w:rFonts w:ascii="Times New Roman" w:hAnsi="Times New Roman" w:cs="Times New Roman"/>
          <w:sz w:val="24"/>
          <w:szCs w:val="24"/>
        </w:rPr>
        <w:t>]</w:t>
      </w:r>
      <w:r>
        <w:rPr>
          <w:rFonts w:ascii="Times New Roman" w:hAnsi="Times New Roman" w:cs="Times New Roman"/>
          <w:sz w:val="24"/>
          <w:szCs w:val="24"/>
        </w:rPr>
        <w:t xml:space="preserve">). Despite a tightening of regulations to reduce the scope for misleading disclosures, the debate about whether pro forma earnings are informative or opportunistic is still ongoing, thus whether they can help price shares more accurately. </w:t>
      </w:r>
    </w:p>
    <w:p w:rsidR="007D5A45" w:rsidRPr="00780F73" w:rsidRDefault="007D5A45" w:rsidP="00F94E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usefulness has recently taken on another dimension due to major developments in the market environment that have introduced </w:t>
      </w:r>
      <w:r w:rsidRPr="00780F73">
        <w:rPr>
          <w:rFonts w:ascii="Times New Roman" w:hAnsi="Times New Roman" w:cs="Times New Roman"/>
          <w:sz w:val="24"/>
          <w:szCs w:val="24"/>
        </w:rPr>
        <w:t xml:space="preserve">significant additional potential for </w:t>
      </w:r>
      <w:proofErr w:type="spellStart"/>
      <w:r w:rsidRPr="00780F73">
        <w:rPr>
          <w:rFonts w:ascii="Times New Roman" w:hAnsi="Times New Roman" w:cs="Times New Roman"/>
          <w:sz w:val="24"/>
          <w:szCs w:val="24"/>
        </w:rPr>
        <w:t>misvaluation</w:t>
      </w:r>
      <w:proofErr w:type="spellEnd"/>
      <w:r w:rsidRPr="00780F73">
        <w:rPr>
          <w:rFonts w:ascii="Times New Roman" w:hAnsi="Times New Roman" w:cs="Times New Roman"/>
          <w:sz w:val="24"/>
          <w:szCs w:val="24"/>
        </w:rPr>
        <w:t xml:space="preserve">. Those changes raise again the question: </w:t>
      </w:r>
      <w:r>
        <w:rPr>
          <w:rFonts w:ascii="Times New Roman" w:hAnsi="Times New Roman" w:cs="Times New Roman"/>
          <w:sz w:val="24"/>
          <w:szCs w:val="24"/>
        </w:rPr>
        <w:t>W</w:t>
      </w:r>
      <w:r w:rsidRPr="00780F73">
        <w:rPr>
          <w:rFonts w:ascii="Times New Roman" w:hAnsi="Times New Roman" w:cs="Times New Roman"/>
          <w:sz w:val="24"/>
          <w:szCs w:val="24"/>
        </w:rPr>
        <w:t xml:space="preserve">hat is the role of disclosures, especially voluntary, in this new situation? Are voluntary pro forma earnings disclosures useful for valuation in this context, and can they help price shares more accurately?  </w:t>
      </w:r>
    </w:p>
    <w:p w:rsidR="007D5A45" w:rsidRDefault="007D5A45">
      <w:pPr>
        <w:spacing w:after="0" w:line="480" w:lineRule="auto"/>
        <w:ind w:firstLine="426"/>
        <w:jc w:val="both"/>
        <w:rPr>
          <w:rFonts w:ascii="Times New Roman" w:hAnsi="Times New Roman" w:cs="Times New Roman"/>
          <w:color w:val="FF0000"/>
          <w:sz w:val="24"/>
          <w:szCs w:val="24"/>
        </w:rPr>
      </w:pPr>
      <w:r w:rsidRPr="00780F73">
        <w:rPr>
          <w:rFonts w:ascii="Times New Roman" w:hAnsi="Times New Roman" w:cs="Times New Roman"/>
          <w:sz w:val="24"/>
          <w:szCs w:val="24"/>
        </w:rPr>
        <w:t xml:space="preserve">In addition to that, my study also addresses a second question. I investigate the </w:t>
      </w:r>
      <w:r>
        <w:rPr>
          <w:rFonts w:ascii="Times New Roman" w:hAnsi="Times New Roman" w:cs="Times New Roman"/>
          <w:sz w:val="24"/>
          <w:szCs w:val="24"/>
        </w:rPr>
        <w:t xml:space="preserve">usefulness of pro forma earnings disclosure for firms with high analyst earnings forecast disagreement. Studies have demonstrated that the dispersion in analyst earnings per share forecasts leads to mispricing of shares, especially to overvaluation (see e.g. </w:t>
      </w:r>
      <w:proofErr w:type="spellStart"/>
      <w:r>
        <w:rPr>
          <w:rFonts w:ascii="Times New Roman" w:hAnsi="Times New Roman" w:cs="Times New Roman"/>
          <w:sz w:val="24"/>
          <w:szCs w:val="24"/>
        </w:rPr>
        <w:t>Ackert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1997 [1];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Kalimipalli</w:t>
      </w:r>
      <w:proofErr w:type="spellEnd"/>
      <w:r>
        <w:rPr>
          <w:rFonts w:ascii="Times New Roman" w:hAnsi="Times New Roman" w:cs="Times New Roman"/>
          <w:sz w:val="24"/>
          <w:szCs w:val="24"/>
        </w:rPr>
        <w:t>, 2003 [3]; Zhang, 2006</w:t>
      </w:r>
      <w:r w:rsidR="001129C3">
        <w:rPr>
          <w:rFonts w:ascii="Times New Roman" w:hAnsi="Times New Roman" w:cs="Times New Roman"/>
          <w:sz w:val="24"/>
          <w:szCs w:val="24"/>
        </w:rPr>
        <w:t xml:space="preserve"> [6</w:t>
      </w:r>
      <w:r w:rsidR="00D550F5">
        <w:rPr>
          <w:rFonts w:ascii="Times New Roman" w:hAnsi="Times New Roman" w:cs="Times New Roman"/>
          <w:sz w:val="24"/>
          <w:szCs w:val="24"/>
        </w:rPr>
        <w:t>7</w:t>
      </w:r>
      <w:r w:rsidR="001129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Sadka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Scherbina</w:t>
      </w:r>
      <w:proofErr w:type="spellEnd"/>
      <w:r>
        <w:rPr>
          <w:rFonts w:ascii="Times New Roman" w:hAnsi="Times New Roman" w:cs="Times New Roman"/>
          <w:sz w:val="24"/>
          <w:szCs w:val="24"/>
        </w:rPr>
        <w:t>, 2007</w:t>
      </w:r>
      <w:r w:rsidR="00163CA1">
        <w:rPr>
          <w:rFonts w:ascii="Times New Roman" w:hAnsi="Times New Roman" w:cs="Times New Roman"/>
          <w:sz w:val="24"/>
          <w:szCs w:val="24"/>
        </w:rPr>
        <w:t xml:space="preserve"> [5</w:t>
      </w:r>
      <w:r w:rsidR="006905A4">
        <w:rPr>
          <w:rFonts w:ascii="Times New Roman" w:hAnsi="Times New Roman" w:cs="Times New Roman"/>
          <w:sz w:val="24"/>
          <w:szCs w:val="24"/>
        </w:rPr>
        <w:t>8</w:t>
      </w:r>
      <w:r w:rsidR="00163CA1">
        <w:rPr>
          <w:rFonts w:ascii="Times New Roman" w:hAnsi="Times New Roman" w:cs="Times New Roman"/>
          <w:sz w:val="24"/>
          <w:szCs w:val="24"/>
        </w:rPr>
        <w:t>]</w:t>
      </w:r>
      <w:r>
        <w:rPr>
          <w:rFonts w:ascii="Times New Roman" w:hAnsi="Times New Roman" w:cs="Times New Roman"/>
          <w:sz w:val="24"/>
          <w:szCs w:val="24"/>
        </w:rPr>
        <w:t>). Forecast dispersion is a proxy for information uncertainty about the earnings that captures both information deficits and volatility of the firm’s underlying fundamentals (</w:t>
      </w:r>
      <w:proofErr w:type="spellStart"/>
      <w:r>
        <w:rPr>
          <w:rFonts w:ascii="Times New Roman" w:hAnsi="Times New Roman" w:cs="Times New Roman"/>
          <w:sz w:val="24"/>
          <w:szCs w:val="24"/>
        </w:rPr>
        <w:t>Ackert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1997 [1]; Zhang, 2006</w:t>
      </w:r>
      <w:r w:rsidR="001129C3">
        <w:rPr>
          <w:rFonts w:ascii="Times New Roman" w:hAnsi="Times New Roman" w:cs="Times New Roman"/>
          <w:sz w:val="24"/>
          <w:szCs w:val="24"/>
        </w:rPr>
        <w:t xml:space="preserve"> [6</w:t>
      </w:r>
      <w:r w:rsidR="00D550F5">
        <w:rPr>
          <w:rFonts w:ascii="Times New Roman" w:hAnsi="Times New Roman" w:cs="Times New Roman"/>
          <w:sz w:val="24"/>
          <w:szCs w:val="24"/>
        </w:rPr>
        <w:t>7</w:t>
      </w:r>
      <w:r w:rsidR="001129C3">
        <w:rPr>
          <w:rFonts w:ascii="Times New Roman" w:hAnsi="Times New Roman" w:cs="Times New Roman"/>
          <w:sz w:val="24"/>
          <w:szCs w:val="24"/>
        </w:rPr>
        <w:t>]</w:t>
      </w:r>
      <w:r>
        <w:rPr>
          <w:rFonts w:ascii="Times New Roman" w:hAnsi="Times New Roman" w:cs="Times New Roman"/>
          <w:sz w:val="24"/>
          <w:szCs w:val="24"/>
        </w:rPr>
        <w:t>). The higher (lower) such uncertainty, the less (more) consensus there will be among analysts regarding the upcoming earnings number, leading to higher (lower) dispersion in the forecasts.</w:t>
      </w:r>
      <w:r>
        <w:rPr>
          <w:rStyle w:val="FootnoteAnchor"/>
          <w:rFonts w:ascii="Times New Roman" w:hAnsi="Times New Roman" w:cs="Times New Roman"/>
          <w:sz w:val="24"/>
          <w:szCs w:val="24"/>
        </w:rPr>
        <w:footnoteReference w:id="8"/>
      </w:r>
      <w:r>
        <w:rPr>
          <w:rFonts w:ascii="Times New Roman" w:hAnsi="Times New Roman" w:cs="Times New Roman"/>
          <w:sz w:val="24"/>
          <w:szCs w:val="24"/>
        </w:rPr>
        <w:t xml:space="preserve"> Thus, with greater (lower) uncertainty surrounding the firm, analysts are less concerned with their reputation when issuing optimistic forecasts, which results in overvaluation (undervaluation) (</w:t>
      </w:r>
      <w:proofErr w:type="spellStart"/>
      <w:r>
        <w:rPr>
          <w:rFonts w:ascii="Times New Roman" w:hAnsi="Times New Roman" w:cs="Times New Roman"/>
          <w:sz w:val="24"/>
          <w:szCs w:val="24"/>
        </w:rPr>
        <w:t>Ackert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1997) [1]. For </w:t>
      </w:r>
      <w:r>
        <w:rPr>
          <w:rFonts w:ascii="Times New Roman" w:hAnsi="Times New Roman" w:cs="Times New Roman"/>
          <w:sz w:val="24"/>
          <w:szCs w:val="24"/>
        </w:rPr>
        <w:lastRenderedPageBreak/>
        <w:t xml:space="preserve">stocks with high uncertainty prior to the earnings announcement, the additional information provided by pro forma disclosures will be of particular importance to reduce uncertainty ex post and price shares more accurately, that is mispricing. This study examines whether the function of disclosing pro forma earnings in order to reduce information asymmetry is limited due to the uncertainty derived from forecast dispersion.     </w:t>
      </w:r>
    </w:p>
    <w:p w:rsidR="007D5A45" w:rsidRDefault="007D5A45">
      <w:pPr>
        <w:spacing w:after="0" w:line="480" w:lineRule="auto"/>
        <w:jc w:val="both"/>
        <w:rPr>
          <w:rFonts w:ascii="Times New Roman" w:hAnsi="Times New Roman" w:cs="Times New Roman"/>
          <w:sz w:val="24"/>
          <w:szCs w:val="24"/>
        </w:rPr>
      </w:pPr>
    </w:p>
    <w:p w:rsidR="007D5A45" w:rsidRDefault="007D5A45">
      <w:pPr>
        <w:pStyle w:val="s1"/>
        <w:numPr>
          <w:ilvl w:val="0"/>
          <w:numId w:val="2"/>
        </w:numPr>
        <w:ind w:left="426" w:hanging="426"/>
      </w:pPr>
      <w:r>
        <w:t>Sample, data, and empirical methods</w:t>
      </w:r>
    </w:p>
    <w:p w:rsidR="007D5A45" w:rsidRDefault="007D5A45" w:rsidP="00F94EAD">
      <w:pPr>
        <w:pStyle w:val="s2"/>
        <w:numPr>
          <w:ilvl w:val="1"/>
          <w:numId w:val="6"/>
        </w:numPr>
        <w:ind w:left="709"/>
      </w:pPr>
      <w:r>
        <w:t>Sample of pro forma earnings press releases</w:t>
      </w:r>
    </w:p>
    <w:p w:rsidR="007D5A45" w:rsidRDefault="007D5A45">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Quarterly earnings press releases of the constituents of the Dow Jones 30 are hand-collected for the period Q1 2011 to Q1 2017. There is a surge in the use of adjusted earnings numbers during this period. Press releases were retrieved by searching PR Newswire and Business Wire on LexisNexis and all available adjusted earnings figures hand-collected from the releases. Press releases were searched for the keywords “pro forma”, “pro-forma”, “proforma”, and other frequently used terms.</w:t>
      </w:r>
      <w:r>
        <w:rPr>
          <w:rStyle w:val="FootnoteAnchor"/>
          <w:rFonts w:ascii="Times New Roman" w:hAnsi="Times New Roman" w:cs="Times New Roman"/>
          <w:sz w:val="24"/>
          <w:szCs w:val="24"/>
        </w:rPr>
        <w:footnoteReference w:id="9"/>
      </w:r>
      <w:r>
        <w:rPr>
          <w:rFonts w:ascii="Times New Roman" w:hAnsi="Times New Roman" w:cs="Times New Roman"/>
          <w:sz w:val="24"/>
          <w:szCs w:val="24"/>
        </w:rPr>
        <w:t xml:space="preserve"> I identify 380 earnings press releases where regular GAAP earnings are supplemented by adjusted earnings numbers. Stock prices data is obtained from the CRSP database and then merged with the </w:t>
      </w:r>
      <w:proofErr w:type="spellStart"/>
      <w:r>
        <w:rPr>
          <w:rFonts w:ascii="Times New Roman" w:hAnsi="Times New Roman" w:cs="Times New Roman"/>
          <w:sz w:val="24"/>
          <w:szCs w:val="24"/>
        </w:rPr>
        <w:t>Compustat</w:t>
      </w:r>
      <w:proofErr w:type="spellEnd"/>
      <w:r>
        <w:rPr>
          <w:rFonts w:ascii="Times New Roman" w:hAnsi="Times New Roman" w:cs="Times New Roman"/>
          <w:sz w:val="24"/>
          <w:szCs w:val="24"/>
        </w:rPr>
        <w:t xml:space="preserve"> database for firm-specific data. Firms with negative book value of assets and book value of equity in a given year are excluded. I also require observations to have valid data for computing stock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proxies. This process results in a final sample of 747 observations (firm-quarters).</w:t>
      </w:r>
    </w:p>
    <w:p w:rsidR="007D5A45" w:rsidRPr="001C4468" w:rsidRDefault="007D5A45" w:rsidP="00F94EAD">
      <w:pPr>
        <w:pStyle w:val="s2"/>
        <w:numPr>
          <w:ilvl w:val="1"/>
          <w:numId w:val="6"/>
        </w:numPr>
        <w:ind w:left="709"/>
      </w:pPr>
      <w:r w:rsidRPr="001C4468">
        <w:lastRenderedPageBreak/>
        <w:t>Measurement of variables</w:t>
      </w:r>
    </w:p>
    <w:p w:rsidR="007D5A45" w:rsidRPr="00F94EAD" w:rsidRDefault="007D5A45" w:rsidP="00F94EAD">
      <w:pPr>
        <w:pStyle w:val="sec3"/>
        <w:numPr>
          <w:ilvl w:val="2"/>
          <w:numId w:val="6"/>
        </w:numPr>
        <w:spacing w:before="120" w:after="200" w:line="360" w:lineRule="auto"/>
        <w:ind w:left="851" w:hanging="851"/>
        <w:rPr>
          <w:sz w:val="24"/>
        </w:rPr>
      </w:pPr>
      <w:r w:rsidRPr="008415A4">
        <w:rPr>
          <w:sz w:val="24"/>
        </w:rPr>
        <w:t xml:space="preserve">Stock </w:t>
      </w:r>
      <w:proofErr w:type="spellStart"/>
      <w:r w:rsidRPr="008415A4">
        <w:rPr>
          <w:sz w:val="24"/>
        </w:rPr>
        <w:t>misvaluation</w:t>
      </w:r>
      <w:proofErr w:type="spellEnd"/>
      <w:r w:rsidRPr="008415A4">
        <w:rPr>
          <w:sz w:val="24"/>
        </w:rPr>
        <w:t xml:space="preserve"> measurement</w:t>
      </w:r>
    </w:p>
    <w:p w:rsidR="007D5A45" w:rsidRDefault="007D5A45" w:rsidP="00F94EAD">
      <w:pPr>
        <w:pStyle w:val="ListParagraph"/>
        <w:spacing w:before="120" w:after="0" w:line="480" w:lineRule="auto"/>
        <w:ind w:left="0" w:firstLine="426"/>
        <w:jc w:val="both"/>
      </w:pPr>
      <w:r>
        <w:rPr>
          <w:rFonts w:ascii="Times New Roman" w:hAnsi="Times New Roman" w:cs="Times New Roman"/>
          <w:sz w:val="24"/>
          <w:szCs w:val="24"/>
        </w:rPr>
        <w:t xml:space="preserve">I measure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as the firm’s market value of equity to book value of equity (</w:t>
      </w:r>
      <w:r>
        <w:rPr>
          <w:rFonts w:ascii="Times New Roman" w:hAnsi="Times New Roman" w:cs="Times New Roman"/>
          <w:i/>
          <w:sz w:val="24"/>
          <w:szCs w:val="24"/>
        </w:rPr>
        <w:t>MTB</w:t>
      </w:r>
      <w:r>
        <w:rPr>
          <w:rFonts w:ascii="Times New Roman" w:hAnsi="Times New Roman" w:cs="Times New Roman"/>
          <w:sz w:val="24"/>
          <w:szCs w:val="24"/>
        </w:rPr>
        <w:t xml:space="preserve">), that is frequently used in the literature (e.g. Baker and </w:t>
      </w:r>
      <w:proofErr w:type="spellStart"/>
      <w:r>
        <w:rPr>
          <w:rFonts w:ascii="Times New Roman" w:hAnsi="Times New Roman" w:cs="Times New Roman"/>
          <w:sz w:val="24"/>
          <w:szCs w:val="24"/>
        </w:rPr>
        <w:t>Wurgler</w:t>
      </w:r>
      <w:proofErr w:type="spellEnd"/>
      <w:r>
        <w:rPr>
          <w:rFonts w:ascii="Times New Roman" w:hAnsi="Times New Roman" w:cs="Times New Roman"/>
          <w:sz w:val="24"/>
          <w:szCs w:val="24"/>
        </w:rPr>
        <w:t xml:space="preserve">, </w:t>
      </w:r>
      <w:r w:rsidRPr="00EE4ED6">
        <w:rPr>
          <w:rFonts w:ascii="Times New Roman" w:hAnsi="Times New Roman" w:cs="Times New Roman"/>
          <w:sz w:val="24"/>
          <w:szCs w:val="24"/>
        </w:rPr>
        <w:t>2002</w:t>
      </w:r>
      <w:r w:rsidR="002F0B55">
        <w:rPr>
          <w:rFonts w:ascii="Times New Roman" w:hAnsi="Times New Roman" w:cs="Times New Roman"/>
          <w:sz w:val="24"/>
          <w:szCs w:val="24"/>
        </w:rPr>
        <w:t xml:space="preserve"> [5]</w:t>
      </w:r>
      <w:r w:rsidRPr="00EE4ED6">
        <w:rPr>
          <w:rFonts w:ascii="Times New Roman" w:hAnsi="Times New Roman" w:cs="Times New Roman"/>
          <w:sz w:val="24"/>
          <w:szCs w:val="24"/>
        </w:rPr>
        <w:t>; Johnson and Schwartz, 2005</w:t>
      </w:r>
      <w:r w:rsidR="00A3474C">
        <w:rPr>
          <w:rFonts w:ascii="Times New Roman" w:hAnsi="Times New Roman" w:cs="Times New Roman"/>
          <w:sz w:val="24"/>
          <w:szCs w:val="24"/>
        </w:rPr>
        <w:t xml:space="preserve"> [4</w:t>
      </w:r>
      <w:r w:rsidR="0077028C">
        <w:rPr>
          <w:rFonts w:ascii="Times New Roman" w:hAnsi="Times New Roman" w:cs="Times New Roman"/>
          <w:sz w:val="24"/>
          <w:szCs w:val="24"/>
        </w:rPr>
        <w:t>6</w:t>
      </w:r>
      <w:r w:rsidR="00A3474C">
        <w:rPr>
          <w:rFonts w:ascii="Times New Roman" w:hAnsi="Times New Roman" w:cs="Times New Roman"/>
          <w:sz w:val="24"/>
          <w:szCs w:val="24"/>
        </w:rPr>
        <w:t>]</w:t>
      </w:r>
      <w:r w:rsidRPr="00EE4ED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PMingLiU" w:hAnsi="Times New Roman" w:cs="Times New Roman"/>
          <w:sz w:val="24"/>
          <w:szCs w:val="24"/>
        </w:rPr>
        <w:t xml:space="preserve">Dong, </w:t>
      </w:r>
      <w:proofErr w:type="spellStart"/>
      <w:r>
        <w:rPr>
          <w:rFonts w:ascii="Times New Roman" w:eastAsia="PMingLiU" w:hAnsi="Times New Roman" w:cs="Times New Roman"/>
          <w:sz w:val="24"/>
          <w:szCs w:val="24"/>
        </w:rPr>
        <w:t>Hirshleifer</w:t>
      </w:r>
      <w:proofErr w:type="spellEnd"/>
      <w:r>
        <w:rPr>
          <w:rFonts w:ascii="Times New Roman" w:eastAsia="PMingLiU" w:hAnsi="Times New Roman" w:cs="Times New Roman"/>
          <w:sz w:val="24"/>
          <w:szCs w:val="24"/>
        </w:rPr>
        <w:t>, Richardson, and Teoh</w:t>
      </w:r>
      <w:r w:rsidRPr="00EE4ED6">
        <w:rPr>
          <w:rFonts w:ascii="Times New Roman" w:hAnsi="Times New Roman" w:cs="Times New Roman"/>
          <w:sz w:val="24"/>
          <w:szCs w:val="24"/>
        </w:rPr>
        <w:t>, 200</w:t>
      </w:r>
      <w:r w:rsidR="00580876">
        <w:rPr>
          <w:rFonts w:ascii="Times New Roman" w:hAnsi="Times New Roman" w:cs="Times New Roman"/>
          <w:sz w:val="24"/>
          <w:szCs w:val="24"/>
        </w:rPr>
        <w:t>6</w:t>
      </w:r>
      <w:r w:rsidR="00501F9C">
        <w:rPr>
          <w:rFonts w:ascii="Times New Roman" w:hAnsi="Times New Roman" w:cs="Times New Roman"/>
          <w:sz w:val="24"/>
          <w:szCs w:val="24"/>
        </w:rPr>
        <w:t xml:space="preserve"> [3</w:t>
      </w:r>
      <w:r w:rsidR="00BE4F45">
        <w:rPr>
          <w:rFonts w:ascii="Times New Roman" w:hAnsi="Times New Roman" w:cs="Times New Roman"/>
          <w:sz w:val="24"/>
          <w:szCs w:val="24"/>
        </w:rPr>
        <w:t>1</w:t>
      </w:r>
      <w:r w:rsidR="00501F9C">
        <w:rPr>
          <w:rFonts w:ascii="Times New Roman" w:hAnsi="Times New Roman" w:cs="Times New Roman"/>
          <w:sz w:val="24"/>
          <w:szCs w:val="24"/>
        </w:rPr>
        <w:t>]</w:t>
      </w:r>
      <w:r w:rsidRPr="00EE4ED6">
        <w:rPr>
          <w:rFonts w:ascii="Times New Roman" w:hAnsi="Times New Roman" w:cs="Times New Roman"/>
          <w:sz w:val="24"/>
          <w:szCs w:val="24"/>
        </w:rPr>
        <w:t xml:space="preserve">; </w:t>
      </w:r>
      <w:r>
        <w:rPr>
          <w:rFonts w:ascii="Times New Roman" w:eastAsia="PMingLiU" w:hAnsi="Times New Roman" w:cs="Times New Roman"/>
          <w:sz w:val="24"/>
          <w:szCs w:val="24"/>
        </w:rPr>
        <w:t xml:space="preserve">Hassan, Romilly, </w:t>
      </w:r>
      <w:proofErr w:type="spellStart"/>
      <w:r>
        <w:rPr>
          <w:rFonts w:ascii="Times New Roman" w:eastAsia="PMingLiU" w:hAnsi="Times New Roman" w:cs="Times New Roman"/>
          <w:sz w:val="24"/>
          <w:szCs w:val="24"/>
        </w:rPr>
        <w:t>Giorgioni</w:t>
      </w:r>
      <w:proofErr w:type="spellEnd"/>
      <w:r>
        <w:rPr>
          <w:rFonts w:ascii="Times New Roman" w:eastAsia="PMingLiU" w:hAnsi="Times New Roman" w:cs="Times New Roman"/>
          <w:sz w:val="24"/>
          <w:szCs w:val="24"/>
        </w:rPr>
        <w:t xml:space="preserve">, and </w:t>
      </w:r>
      <w:proofErr w:type="gramStart"/>
      <w:r>
        <w:rPr>
          <w:rFonts w:ascii="Times New Roman" w:eastAsia="PMingLiU" w:hAnsi="Times New Roman" w:cs="Times New Roman"/>
          <w:sz w:val="24"/>
          <w:szCs w:val="24"/>
        </w:rPr>
        <w:t>Power</w:t>
      </w:r>
      <w:r>
        <w:rPr>
          <w:rFonts w:ascii="Times New Roman" w:hAnsi="Times New Roman" w:cs="Times New Roman"/>
          <w:sz w:val="24"/>
          <w:szCs w:val="24"/>
        </w:rPr>
        <w:t xml:space="preserve">, </w:t>
      </w:r>
      <w:r w:rsidRPr="00EE4ED6">
        <w:rPr>
          <w:rFonts w:ascii="Times New Roman" w:hAnsi="Times New Roman" w:cs="Times New Roman"/>
          <w:sz w:val="24"/>
          <w:szCs w:val="24"/>
        </w:rPr>
        <w:t xml:space="preserve"> 2009</w:t>
      </w:r>
      <w:proofErr w:type="gramEnd"/>
      <w:r w:rsidR="00E70C3F">
        <w:rPr>
          <w:rFonts w:ascii="Times New Roman" w:hAnsi="Times New Roman" w:cs="Times New Roman"/>
          <w:sz w:val="24"/>
          <w:szCs w:val="24"/>
        </w:rPr>
        <w:t xml:space="preserve"> [3</w:t>
      </w:r>
      <w:r w:rsidR="00873576">
        <w:rPr>
          <w:rFonts w:ascii="Times New Roman" w:hAnsi="Times New Roman" w:cs="Times New Roman"/>
          <w:sz w:val="24"/>
          <w:szCs w:val="24"/>
        </w:rPr>
        <w:t>8</w:t>
      </w:r>
      <w:r w:rsidR="00E70C3F">
        <w:rPr>
          <w:rFonts w:ascii="Times New Roman" w:hAnsi="Times New Roman" w:cs="Times New Roman"/>
          <w:sz w:val="24"/>
          <w:szCs w:val="24"/>
        </w:rPr>
        <w:t>]</w:t>
      </w:r>
      <w:r w:rsidRPr="00EE4ED6">
        <w:rPr>
          <w:rFonts w:ascii="Times New Roman" w:hAnsi="Times New Roman" w:cs="Times New Roman"/>
          <w:sz w:val="24"/>
          <w:szCs w:val="24"/>
        </w:rPr>
        <w:t xml:space="preserve">). </w:t>
      </w:r>
      <w:r w:rsidRPr="00F94EAD">
        <w:rPr>
          <w:rFonts w:ascii="Times New Roman" w:hAnsi="Times New Roman" w:cs="Times New Roman"/>
          <w:sz w:val="24"/>
          <w:szCs w:val="24"/>
        </w:rPr>
        <w:t>For 97% of all</w:t>
      </w:r>
      <w:r w:rsidRPr="00EE4ED6">
        <w:rPr>
          <w:rFonts w:ascii="Times New Roman" w:hAnsi="Times New Roman" w:cs="Times New Roman"/>
          <w:sz w:val="24"/>
          <w:szCs w:val="24"/>
        </w:rPr>
        <w:t xml:space="preserve"> firm quarter </w:t>
      </w:r>
      <w:r w:rsidRPr="00FE09A7">
        <w:rPr>
          <w:rFonts w:ascii="Times New Roman" w:hAnsi="Times New Roman" w:cs="Times New Roman"/>
          <w:sz w:val="24"/>
          <w:szCs w:val="24"/>
        </w:rPr>
        <w:t>observations in my sample</w:t>
      </w:r>
      <w:r w:rsidRPr="00F94EAD">
        <w:rPr>
          <w:rFonts w:ascii="Times New Roman" w:hAnsi="Times New Roman" w:cs="Times New Roman"/>
          <w:sz w:val="24"/>
          <w:szCs w:val="24"/>
        </w:rPr>
        <w:t xml:space="preserve">, </w:t>
      </w:r>
      <w:r w:rsidRPr="00FE09A7">
        <w:rPr>
          <w:rFonts w:ascii="Times New Roman" w:hAnsi="Times New Roman" w:cs="Times New Roman"/>
          <w:i/>
          <w:sz w:val="24"/>
          <w:szCs w:val="24"/>
        </w:rPr>
        <w:t>MTB</w:t>
      </w:r>
      <w:r w:rsidRPr="00FE09A7">
        <w:rPr>
          <w:rFonts w:ascii="Times New Roman" w:hAnsi="Times New Roman" w:cs="Times New Roman"/>
          <w:sz w:val="24"/>
          <w:szCs w:val="24"/>
        </w:rPr>
        <w:t>&gt;1</w:t>
      </w:r>
      <w:r w:rsidRPr="00F94EAD">
        <w:rPr>
          <w:rFonts w:ascii="Times New Roman" w:hAnsi="Times New Roman" w:cs="Times New Roman"/>
          <w:sz w:val="24"/>
          <w:szCs w:val="24"/>
        </w:rPr>
        <w:t xml:space="preserve">, with an average </w:t>
      </w:r>
      <w:r w:rsidRPr="00F94EAD">
        <w:rPr>
          <w:rFonts w:ascii="Times New Roman" w:hAnsi="Times New Roman" w:cs="Times New Roman"/>
          <w:i/>
          <w:sz w:val="24"/>
          <w:szCs w:val="24"/>
        </w:rPr>
        <w:t>MTB</w:t>
      </w:r>
      <w:r w:rsidRPr="00F94EAD">
        <w:rPr>
          <w:rFonts w:ascii="Times New Roman" w:hAnsi="Times New Roman" w:cs="Times New Roman"/>
          <w:sz w:val="24"/>
          <w:szCs w:val="24"/>
        </w:rPr>
        <w:t xml:space="preserve"> of 4.5 </w:t>
      </w:r>
      <w:r w:rsidRPr="00FE09A7">
        <w:rPr>
          <w:rFonts w:ascii="Times New Roman" w:hAnsi="Times New Roman" w:cs="Times New Roman"/>
          <w:sz w:val="24"/>
          <w:szCs w:val="24"/>
        </w:rPr>
        <w:t xml:space="preserve">(see descriptive statistics in 3.4). </w:t>
      </w:r>
      <w:r w:rsidRPr="00F94EAD">
        <w:rPr>
          <w:rFonts w:ascii="Times New Roman" w:hAnsi="Times New Roman" w:cs="Times New Roman"/>
          <w:sz w:val="24"/>
          <w:szCs w:val="24"/>
        </w:rPr>
        <w:t xml:space="preserve">A high </w:t>
      </w:r>
      <w:r w:rsidRPr="00F94EAD">
        <w:rPr>
          <w:rFonts w:ascii="Times New Roman" w:hAnsi="Times New Roman" w:cs="Times New Roman"/>
          <w:i/>
          <w:sz w:val="24"/>
          <w:szCs w:val="24"/>
        </w:rPr>
        <w:t>MTB</w:t>
      </w:r>
      <w:r w:rsidRPr="00F94EAD">
        <w:rPr>
          <w:rFonts w:ascii="Times New Roman" w:hAnsi="Times New Roman" w:cs="Times New Roman"/>
          <w:sz w:val="24"/>
          <w:szCs w:val="24"/>
        </w:rPr>
        <w:t xml:space="preserve"> is an indicator for overvaluation (</w:t>
      </w:r>
      <w:r w:rsidRPr="00177546">
        <w:rPr>
          <w:rFonts w:ascii="Times New Roman" w:eastAsia="PMingLiU" w:hAnsi="Times New Roman" w:cs="Times New Roman"/>
          <w:sz w:val="24"/>
          <w:szCs w:val="24"/>
        </w:rPr>
        <w:t xml:space="preserve">Cole, </w:t>
      </w:r>
      <w:proofErr w:type="spellStart"/>
      <w:r w:rsidRPr="00177546">
        <w:rPr>
          <w:rFonts w:ascii="Times New Roman" w:eastAsia="PMingLiU" w:hAnsi="Times New Roman" w:cs="Times New Roman"/>
          <w:sz w:val="24"/>
          <w:szCs w:val="24"/>
        </w:rPr>
        <w:t>Helwege</w:t>
      </w:r>
      <w:proofErr w:type="spellEnd"/>
      <w:r w:rsidRPr="00177546">
        <w:rPr>
          <w:rFonts w:ascii="Times New Roman" w:eastAsia="PMingLiU" w:hAnsi="Times New Roman" w:cs="Times New Roman"/>
          <w:sz w:val="24"/>
          <w:szCs w:val="24"/>
        </w:rPr>
        <w:t>, and Laster</w:t>
      </w:r>
      <w:r w:rsidRPr="00F94EAD">
        <w:rPr>
          <w:rFonts w:ascii="Times New Roman" w:hAnsi="Times New Roman" w:cs="Times New Roman"/>
          <w:sz w:val="24"/>
          <w:szCs w:val="24"/>
        </w:rPr>
        <w:t>, 1996</w:t>
      </w:r>
      <w:r w:rsidR="00F234DA">
        <w:rPr>
          <w:rFonts w:ascii="Times New Roman" w:hAnsi="Times New Roman" w:cs="Times New Roman"/>
          <w:sz w:val="24"/>
          <w:szCs w:val="24"/>
        </w:rPr>
        <w:t xml:space="preserve"> [26]</w:t>
      </w:r>
      <w:r w:rsidRPr="00F94EAD">
        <w:rPr>
          <w:rFonts w:ascii="Times New Roman" w:hAnsi="Times New Roman" w:cs="Times New Roman"/>
          <w:sz w:val="24"/>
          <w:szCs w:val="24"/>
        </w:rPr>
        <w:t xml:space="preserve">; Bloomfield and </w:t>
      </w:r>
      <w:proofErr w:type="spellStart"/>
      <w:r w:rsidRPr="00F94EAD">
        <w:rPr>
          <w:rFonts w:ascii="Times New Roman" w:hAnsi="Times New Roman" w:cs="Times New Roman"/>
          <w:sz w:val="24"/>
          <w:szCs w:val="24"/>
        </w:rPr>
        <w:t>Michaely</w:t>
      </w:r>
      <w:proofErr w:type="spellEnd"/>
      <w:r w:rsidRPr="00F94EAD">
        <w:rPr>
          <w:rFonts w:ascii="Times New Roman" w:hAnsi="Times New Roman" w:cs="Times New Roman"/>
          <w:sz w:val="24"/>
          <w:szCs w:val="24"/>
        </w:rPr>
        <w:t>, 2004</w:t>
      </w:r>
      <w:r w:rsidR="00BD3CFF">
        <w:rPr>
          <w:rFonts w:ascii="Times New Roman" w:hAnsi="Times New Roman" w:cs="Times New Roman"/>
          <w:sz w:val="24"/>
          <w:szCs w:val="24"/>
        </w:rPr>
        <w:t xml:space="preserve"> [16]</w:t>
      </w:r>
      <w:r w:rsidRPr="00F94EAD">
        <w:rPr>
          <w:rFonts w:ascii="Times New Roman" w:hAnsi="Times New Roman" w:cs="Times New Roman"/>
          <w:sz w:val="24"/>
          <w:szCs w:val="24"/>
        </w:rPr>
        <w:t>; Chi and Gupta, 2009</w:t>
      </w:r>
      <w:r w:rsidR="00BC4530">
        <w:rPr>
          <w:rFonts w:ascii="Times New Roman" w:hAnsi="Times New Roman" w:cs="Times New Roman"/>
          <w:sz w:val="24"/>
          <w:szCs w:val="24"/>
        </w:rPr>
        <w:t xml:space="preserve"> [23]</w:t>
      </w:r>
      <w:r w:rsidRPr="00F94EAD">
        <w:rPr>
          <w:rFonts w:ascii="Times New Roman" w:hAnsi="Times New Roman" w:cs="Times New Roman"/>
          <w:sz w:val="24"/>
          <w:szCs w:val="24"/>
        </w:rPr>
        <w:t>)</w:t>
      </w:r>
      <w:r w:rsidRPr="00177546">
        <w:rPr>
          <w:rFonts w:ascii="Times New Roman" w:hAnsi="Times New Roman" w:cs="Times New Roman"/>
          <w:sz w:val="24"/>
          <w:szCs w:val="24"/>
        </w:rPr>
        <w:t xml:space="preserve">. Lee and </w:t>
      </w:r>
      <w:r w:rsidRPr="00F94EAD">
        <w:rPr>
          <w:rFonts w:ascii="Times New Roman" w:hAnsi="Times New Roman" w:cs="Times New Roman"/>
          <w:sz w:val="24"/>
          <w:szCs w:val="24"/>
        </w:rPr>
        <w:t xml:space="preserve">Swaminathan (1999) </w:t>
      </w:r>
      <w:r w:rsidR="00CB2D71">
        <w:rPr>
          <w:rFonts w:ascii="Times New Roman" w:hAnsi="Times New Roman" w:cs="Times New Roman"/>
          <w:sz w:val="24"/>
          <w:szCs w:val="24"/>
        </w:rPr>
        <w:t xml:space="preserve">[52] </w:t>
      </w:r>
      <w:r w:rsidRPr="00F94EAD">
        <w:rPr>
          <w:rFonts w:ascii="Times New Roman" w:hAnsi="Times New Roman" w:cs="Times New Roman"/>
          <w:sz w:val="24"/>
          <w:szCs w:val="24"/>
        </w:rPr>
        <w:t xml:space="preserve">and Lee et al. (1999) </w:t>
      </w:r>
      <w:r w:rsidR="00CB2D71">
        <w:rPr>
          <w:rFonts w:ascii="Times New Roman" w:hAnsi="Times New Roman" w:cs="Times New Roman"/>
          <w:sz w:val="24"/>
          <w:szCs w:val="24"/>
        </w:rPr>
        <w:t xml:space="preserve">[51] </w:t>
      </w:r>
      <w:r w:rsidRPr="00F94EAD">
        <w:rPr>
          <w:rFonts w:ascii="Times New Roman" w:hAnsi="Times New Roman" w:cs="Times New Roman"/>
          <w:sz w:val="24"/>
          <w:szCs w:val="24"/>
        </w:rPr>
        <w:t xml:space="preserve">report values for </w:t>
      </w:r>
      <w:r w:rsidRPr="00177546">
        <w:rPr>
          <w:rFonts w:ascii="Times New Roman" w:hAnsi="Times New Roman" w:cs="Times New Roman"/>
          <w:sz w:val="24"/>
          <w:szCs w:val="24"/>
        </w:rPr>
        <w:t>h</w:t>
      </w:r>
      <w:r w:rsidRPr="00F94EAD">
        <w:rPr>
          <w:rFonts w:ascii="Times New Roman" w:hAnsi="Times New Roman" w:cs="Times New Roman"/>
          <w:sz w:val="24"/>
          <w:szCs w:val="24"/>
        </w:rPr>
        <w:t xml:space="preserve">istorical averages for Dow Jones </w:t>
      </w:r>
      <w:r w:rsidRPr="00F94EAD">
        <w:rPr>
          <w:rFonts w:ascii="Times New Roman" w:hAnsi="Times New Roman" w:cs="Times New Roman"/>
          <w:i/>
          <w:sz w:val="24"/>
          <w:szCs w:val="24"/>
        </w:rPr>
        <w:t>MTB</w:t>
      </w:r>
      <w:r w:rsidRPr="00F94EAD">
        <w:rPr>
          <w:rFonts w:ascii="Times New Roman" w:hAnsi="Times New Roman" w:cs="Times New Roman"/>
          <w:sz w:val="24"/>
          <w:szCs w:val="24"/>
        </w:rPr>
        <w:t xml:space="preserve"> as 1.71, along with a range between 1 - 3.5. A value of 4.3 was considered overvalued. </w:t>
      </w:r>
      <w:r w:rsidRPr="00FE09A7">
        <w:rPr>
          <w:rFonts w:ascii="Times New Roman" w:hAnsi="Times New Roman" w:cs="Times New Roman"/>
          <w:sz w:val="24"/>
          <w:szCs w:val="24"/>
        </w:rPr>
        <w:t xml:space="preserve">Similarly, </w:t>
      </w:r>
      <w:r w:rsidRPr="00F94EAD">
        <w:rPr>
          <w:rFonts w:ascii="Times New Roman" w:hAnsi="Times New Roman" w:cs="Times New Roman"/>
          <w:sz w:val="24"/>
          <w:szCs w:val="24"/>
        </w:rPr>
        <w:t xml:space="preserve">Cole et al. (1996) </w:t>
      </w:r>
      <w:r w:rsidR="00F234DA">
        <w:rPr>
          <w:rFonts w:ascii="Times New Roman" w:hAnsi="Times New Roman" w:cs="Times New Roman"/>
          <w:sz w:val="24"/>
          <w:szCs w:val="24"/>
        </w:rPr>
        <w:t xml:space="preserve">[26] </w:t>
      </w:r>
      <w:r w:rsidRPr="00F94EAD">
        <w:rPr>
          <w:rFonts w:ascii="Times New Roman" w:hAnsi="Times New Roman" w:cs="Times New Roman"/>
          <w:sz w:val="24"/>
          <w:szCs w:val="24"/>
        </w:rPr>
        <w:t xml:space="preserve">suggest that, for the S&amp;P500, an average </w:t>
      </w:r>
      <w:r w:rsidRPr="00F94EAD">
        <w:rPr>
          <w:rFonts w:ascii="Times New Roman" w:hAnsi="Times New Roman" w:cs="Times New Roman"/>
          <w:i/>
          <w:sz w:val="24"/>
          <w:szCs w:val="24"/>
        </w:rPr>
        <w:t>MTB</w:t>
      </w:r>
      <w:r w:rsidRPr="00F94EAD">
        <w:rPr>
          <w:rFonts w:ascii="Times New Roman" w:hAnsi="Times New Roman" w:cs="Times New Roman"/>
          <w:sz w:val="24"/>
          <w:szCs w:val="24"/>
        </w:rPr>
        <w:t xml:space="preserve"> of 4 or more can be considered overvalued, given a historical average of less than 2.</w:t>
      </w:r>
      <w:r w:rsidRPr="00FE09A7">
        <w:rPr>
          <w:rFonts w:ascii="Times New Roman" w:hAnsi="Times New Roman" w:cs="Times New Roman"/>
          <w:sz w:val="24"/>
          <w:szCs w:val="24"/>
        </w:rPr>
        <w:t xml:space="preserve"> </w:t>
      </w:r>
      <w:r w:rsidRPr="00F94EAD">
        <w:rPr>
          <w:rFonts w:ascii="Times New Roman" w:hAnsi="Times New Roman" w:cs="Times New Roman"/>
          <w:sz w:val="24"/>
          <w:szCs w:val="24"/>
        </w:rPr>
        <w:t>This suggests that, on the whole, my sample observations are overvalued.</w:t>
      </w:r>
      <w:r w:rsidRPr="00FE09A7">
        <w:rPr>
          <w:rFonts w:ascii="Times New Roman" w:hAnsi="Times New Roman" w:cs="Times New Roman"/>
          <w:sz w:val="24"/>
          <w:szCs w:val="24"/>
        </w:rPr>
        <w:t xml:space="preserve"> This is </w:t>
      </w:r>
      <w:r w:rsidRPr="00F94EAD">
        <w:rPr>
          <w:rFonts w:ascii="Times New Roman" w:hAnsi="Times New Roman" w:cs="Times New Roman"/>
          <w:sz w:val="24"/>
          <w:szCs w:val="24"/>
        </w:rPr>
        <w:t>also</w:t>
      </w:r>
      <w:r w:rsidRPr="00FE09A7">
        <w:rPr>
          <w:rFonts w:ascii="Times New Roman" w:hAnsi="Times New Roman" w:cs="Times New Roman"/>
          <w:sz w:val="24"/>
          <w:szCs w:val="24"/>
        </w:rPr>
        <w:t xml:space="preserve"> consistent with prior studies showing that a link between pro forma disclosures and </w:t>
      </w:r>
      <w:proofErr w:type="spellStart"/>
      <w:r w:rsidRPr="00FE09A7">
        <w:rPr>
          <w:rFonts w:ascii="Times New Roman" w:hAnsi="Times New Roman" w:cs="Times New Roman"/>
          <w:sz w:val="24"/>
          <w:szCs w:val="24"/>
        </w:rPr>
        <w:t>misvaluation</w:t>
      </w:r>
      <w:proofErr w:type="spellEnd"/>
      <w:r>
        <w:rPr>
          <w:rFonts w:ascii="Times New Roman" w:hAnsi="Times New Roman" w:cs="Times New Roman"/>
          <w:sz w:val="24"/>
          <w:szCs w:val="24"/>
        </w:rPr>
        <w:t xml:space="preserve"> is found in the top or bottom tails of the distribution, the most overvalued (undervalued) stocks (e.g. Johnson and Schwartz, 2005)</w:t>
      </w:r>
      <w:r w:rsidR="00A3474C">
        <w:rPr>
          <w:rFonts w:ascii="Times New Roman" w:hAnsi="Times New Roman" w:cs="Times New Roman"/>
          <w:sz w:val="24"/>
          <w:szCs w:val="24"/>
        </w:rPr>
        <w:t xml:space="preserve"> [4</w:t>
      </w:r>
      <w:r w:rsidR="0077028C">
        <w:rPr>
          <w:rFonts w:ascii="Times New Roman" w:hAnsi="Times New Roman" w:cs="Times New Roman"/>
          <w:sz w:val="24"/>
          <w:szCs w:val="24"/>
        </w:rPr>
        <w:t>6</w:t>
      </w:r>
      <w:r w:rsidR="00A3474C">
        <w:rPr>
          <w:rFonts w:ascii="Times New Roman" w:hAnsi="Times New Roman" w:cs="Times New Roman"/>
          <w:sz w:val="24"/>
          <w:szCs w:val="24"/>
        </w:rPr>
        <w:t>]</w:t>
      </w:r>
      <w:r>
        <w:rPr>
          <w:rFonts w:ascii="Times New Roman" w:hAnsi="Times New Roman" w:cs="Times New Roman"/>
          <w:sz w:val="24"/>
          <w:szCs w:val="24"/>
        </w:rPr>
        <w:t xml:space="preserve">. In this study, I examine the top and bottom distribution groups to separate firms that are most overvalued from those merely overvalued (the highest vs the lowest third of overvaluation). To measure overvaluation, I rank firms on </w:t>
      </w:r>
      <w:r>
        <w:rPr>
          <w:rFonts w:ascii="Times New Roman" w:hAnsi="Times New Roman" w:cs="Times New Roman"/>
          <w:i/>
          <w:sz w:val="24"/>
          <w:szCs w:val="24"/>
        </w:rPr>
        <w:t>MTB</w:t>
      </w:r>
      <w:r>
        <w:rPr>
          <w:rFonts w:ascii="Times New Roman" w:hAnsi="Times New Roman" w:cs="Times New Roman"/>
          <w:sz w:val="24"/>
          <w:szCs w:val="24"/>
        </w:rPr>
        <w:t xml:space="preserve"> from highest to lowest in each quarter. Firms are then classified into the top third of the distribution (most overvalued) and bottom third (least overvalued) to study the effect of pro forma earnings on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w:t>
      </w:r>
      <w:r>
        <w:rPr>
          <w:rStyle w:val="FootnoteAnchor"/>
          <w:rFonts w:ascii="Times New Roman" w:hAnsi="Times New Roman" w:cs="Times New Roman"/>
          <w:sz w:val="24"/>
          <w:szCs w:val="24"/>
        </w:rPr>
        <w:footnoteReference w:id="10"/>
      </w:r>
      <w:r>
        <w:rPr>
          <w:rFonts w:ascii="Times New Roman" w:hAnsi="Times New Roman" w:cs="Times New Roman"/>
          <w:sz w:val="24"/>
          <w:szCs w:val="24"/>
        </w:rPr>
        <w:t xml:space="preserve"> </w:t>
      </w:r>
    </w:p>
    <w:p w:rsidR="007D5A45" w:rsidRPr="00F94EAD" w:rsidRDefault="007D5A45" w:rsidP="00F94EAD">
      <w:pPr>
        <w:pStyle w:val="sec3"/>
        <w:numPr>
          <w:ilvl w:val="2"/>
          <w:numId w:val="6"/>
        </w:numPr>
        <w:ind w:left="993" w:hanging="993"/>
        <w:rPr>
          <w:sz w:val="24"/>
        </w:rPr>
      </w:pPr>
      <w:r w:rsidRPr="0030161B">
        <w:rPr>
          <w:sz w:val="24"/>
        </w:rPr>
        <w:lastRenderedPageBreak/>
        <w:t>Pro forma earnings disclosures and control variables</w:t>
      </w:r>
    </w:p>
    <w:p w:rsidR="007D5A45" w:rsidRDefault="007D5A45">
      <w:pPr>
        <w:spacing w:before="120" w:after="0" w:line="480" w:lineRule="auto"/>
        <w:ind w:firstLine="425"/>
        <w:jc w:val="both"/>
        <w:rPr>
          <w:rFonts w:ascii="Times New Roman" w:hAnsi="Times New Roman" w:cs="Times New Roman"/>
          <w:i/>
          <w:sz w:val="24"/>
          <w:szCs w:val="24"/>
          <w:vertAlign w:val="subscript"/>
        </w:rPr>
      </w:pPr>
      <w:r>
        <w:rPr>
          <w:rFonts w:ascii="Times New Roman" w:hAnsi="Times New Roman" w:cs="Times New Roman"/>
          <w:sz w:val="24"/>
          <w:szCs w:val="24"/>
        </w:rPr>
        <w:t>To investigate the effect of firms’ pro forma earnings disclosure on overvaluation, I use two proxies frequently used in the literature (e.g. Brown et al., 2012</w:t>
      </w:r>
      <w:r w:rsidR="007468A4">
        <w:rPr>
          <w:rFonts w:ascii="Times New Roman" w:hAnsi="Times New Roman" w:cs="Times New Roman"/>
          <w:sz w:val="24"/>
          <w:szCs w:val="24"/>
        </w:rPr>
        <w:t xml:space="preserve"> [21]</w:t>
      </w:r>
      <w:r>
        <w:rPr>
          <w:rFonts w:ascii="Times New Roman" w:hAnsi="Times New Roman" w:cs="Times New Roman"/>
          <w:sz w:val="24"/>
          <w:szCs w:val="24"/>
        </w:rPr>
        <w:t>; Black and Christensen, 2009</w:t>
      </w:r>
      <w:r w:rsidR="00DB731F">
        <w:rPr>
          <w:rFonts w:ascii="Times New Roman" w:hAnsi="Times New Roman" w:cs="Times New Roman"/>
          <w:sz w:val="24"/>
          <w:szCs w:val="24"/>
        </w:rPr>
        <w:t xml:space="preserve"> [11]</w:t>
      </w:r>
      <w:r>
        <w:rPr>
          <w:rFonts w:ascii="Times New Roman" w:hAnsi="Times New Roman" w:cs="Times New Roman"/>
          <w:sz w:val="24"/>
          <w:szCs w:val="24"/>
        </w:rPr>
        <w:t>; Black et al., 2017a</w:t>
      </w:r>
      <w:r w:rsidR="004A5F33">
        <w:rPr>
          <w:rFonts w:ascii="Times New Roman" w:hAnsi="Times New Roman" w:cs="Times New Roman"/>
          <w:sz w:val="24"/>
          <w:szCs w:val="24"/>
        </w:rPr>
        <w:t xml:space="preserve"> [12]</w:t>
      </w:r>
      <w:r>
        <w:rPr>
          <w:rFonts w:ascii="Times New Roman" w:hAnsi="Times New Roman" w:cs="Times New Roman"/>
          <w:sz w:val="24"/>
          <w:szCs w:val="24"/>
        </w:rPr>
        <w:t xml:space="preserve">; </w:t>
      </w:r>
      <w:r>
        <w:rPr>
          <w:rFonts w:ascii="Times New Roman" w:eastAsia="PMingLiU" w:hAnsi="Times New Roman" w:cs="Times New Roman"/>
          <w:sz w:val="24"/>
          <w:szCs w:val="24"/>
        </w:rPr>
        <w:t xml:space="preserve">Black, Black, Christensen, and Gee, </w:t>
      </w:r>
      <w:r>
        <w:rPr>
          <w:rFonts w:ascii="Times New Roman" w:hAnsi="Times New Roman" w:cs="Times New Roman"/>
          <w:sz w:val="24"/>
          <w:szCs w:val="24"/>
        </w:rPr>
        <w:t>2018a</w:t>
      </w:r>
      <w:r w:rsidR="003119DF">
        <w:rPr>
          <w:rFonts w:ascii="Times New Roman" w:hAnsi="Times New Roman" w:cs="Times New Roman"/>
          <w:sz w:val="24"/>
          <w:szCs w:val="24"/>
        </w:rPr>
        <w:t xml:space="preserve"> [14]</w:t>
      </w:r>
      <w:r>
        <w:rPr>
          <w:rFonts w:ascii="Times New Roman" w:hAnsi="Times New Roman" w:cs="Times New Roman"/>
          <w:sz w:val="24"/>
          <w:szCs w:val="24"/>
        </w:rPr>
        <w:t>; Isidro and Marques, 2015</w:t>
      </w:r>
      <w:r w:rsidR="00EB0B5B">
        <w:rPr>
          <w:rFonts w:ascii="Times New Roman" w:hAnsi="Times New Roman" w:cs="Times New Roman"/>
          <w:sz w:val="24"/>
          <w:szCs w:val="24"/>
        </w:rPr>
        <w:t xml:space="preserve"> [4</w:t>
      </w:r>
      <w:r w:rsidR="00873576">
        <w:rPr>
          <w:rFonts w:ascii="Times New Roman" w:hAnsi="Times New Roman" w:cs="Times New Roman"/>
          <w:sz w:val="24"/>
          <w:szCs w:val="24"/>
        </w:rPr>
        <w:t>4</w:t>
      </w:r>
      <w:r w:rsidR="00EB0B5B">
        <w:rPr>
          <w:rFonts w:ascii="Times New Roman" w:hAnsi="Times New Roman" w:cs="Times New Roman"/>
          <w:sz w:val="24"/>
          <w:szCs w:val="24"/>
        </w:rPr>
        <w:t>]</w:t>
      </w:r>
      <w:r>
        <w:rPr>
          <w:rFonts w:ascii="Times New Roman" w:hAnsi="Times New Roman" w:cs="Times New Roman"/>
          <w:sz w:val="24"/>
          <w:szCs w:val="24"/>
        </w:rPr>
        <w:t>).</w:t>
      </w:r>
      <w:r>
        <w:rPr>
          <w:rStyle w:val="FootnoteAnchor"/>
          <w:rFonts w:ascii="Times New Roman" w:hAnsi="Times New Roman" w:cs="Times New Roman"/>
          <w:sz w:val="24"/>
          <w:szCs w:val="24"/>
        </w:rPr>
        <w:footnoteReference w:id="11"/>
      </w:r>
      <w:r>
        <w:rPr>
          <w:rFonts w:ascii="Times New Roman" w:hAnsi="Times New Roman" w:cs="Times New Roman"/>
          <w:sz w:val="24"/>
          <w:szCs w:val="24"/>
        </w:rPr>
        <w:t xml:space="preserve"> First, to gauge the general effect, I create an indicator variable whether a firm discloses adjusted earnings during a given quarter or not. </w:t>
      </w:r>
      <w:r>
        <w:rPr>
          <w:rFonts w:ascii="Times New Roman" w:hAnsi="Times New Roman" w:cs="Times New Roman"/>
          <w:i/>
          <w:sz w:val="24"/>
          <w:szCs w:val="24"/>
        </w:rPr>
        <w:t>EPS</w:t>
      </w:r>
      <w:r>
        <w:rPr>
          <w:rFonts w:ascii="Times New Roman" w:hAnsi="Times New Roman" w:cs="Times New Roman"/>
          <w:i/>
          <w:sz w:val="24"/>
          <w:szCs w:val="24"/>
          <w:vertAlign w:val="subscript"/>
        </w:rPr>
        <w:t>_PF</w:t>
      </w:r>
      <w:r>
        <w:rPr>
          <w:rFonts w:ascii="Times New Roman" w:hAnsi="Times New Roman" w:cs="Times New Roman"/>
          <w:sz w:val="24"/>
          <w:szCs w:val="24"/>
        </w:rPr>
        <w:t xml:space="preserve"> takes the value of 1 if a firm discloses adjusted earnings in a quarter and 0 otherwise. Second, I measure whether the pro forma earnings number allows the firm to meet or beat analyst earnings forecasts. I create an indicator variable, </w:t>
      </w:r>
      <w:r>
        <w:rPr>
          <w:rFonts w:ascii="Times New Roman" w:hAnsi="Times New Roman" w:cs="Times New Roman"/>
          <w:i/>
          <w:sz w:val="24"/>
          <w:szCs w:val="24"/>
        </w:rPr>
        <w:t>EPS_</w:t>
      </w:r>
      <w:r>
        <w:rPr>
          <w:rFonts w:ascii="Times New Roman" w:hAnsi="Times New Roman" w:cs="Times New Roman"/>
          <w:i/>
          <w:sz w:val="24"/>
          <w:szCs w:val="24"/>
          <w:vertAlign w:val="subscript"/>
        </w:rPr>
        <w:t>MB</w:t>
      </w:r>
      <w:r>
        <w:rPr>
          <w:rFonts w:ascii="Times New Roman" w:hAnsi="Times New Roman" w:cs="Times New Roman"/>
          <w:sz w:val="24"/>
          <w:szCs w:val="24"/>
        </w:rPr>
        <w:t>, that takes the value of 1 if the firm’s pro forma earnings allow it to meet or beat the mean analyst earnings forecast despite a miss on forecasted GAAP numbers, and 0 otherwise.</w:t>
      </w:r>
    </w:p>
    <w:p w:rsidR="007D5A45" w:rsidRDefault="007D5A45">
      <w:pPr>
        <w:spacing w:line="480" w:lineRule="auto"/>
        <w:ind w:firstLine="426"/>
        <w:jc w:val="both"/>
        <w:rPr>
          <w:rFonts w:ascii="Times New Roman" w:hAnsi="Times New Roman" w:cs="Times New Roman"/>
          <w:color w:val="FF0000"/>
          <w:sz w:val="23"/>
          <w:szCs w:val="23"/>
        </w:rPr>
      </w:pPr>
      <w:r>
        <w:rPr>
          <w:rFonts w:ascii="Times New Roman" w:hAnsi="Times New Roman" w:cs="Times New Roman"/>
          <w:sz w:val="24"/>
          <w:szCs w:val="24"/>
        </w:rPr>
        <w:t>I also include a number of controls for firm-specific characteristics (see e.g. Zhang, 2006</w:t>
      </w:r>
      <w:r w:rsidR="001129C3">
        <w:rPr>
          <w:rFonts w:ascii="Times New Roman" w:hAnsi="Times New Roman" w:cs="Times New Roman"/>
          <w:sz w:val="24"/>
          <w:szCs w:val="24"/>
        </w:rPr>
        <w:t xml:space="preserve"> [6</w:t>
      </w:r>
      <w:r w:rsidR="00D550F5">
        <w:rPr>
          <w:rFonts w:ascii="Times New Roman" w:hAnsi="Times New Roman" w:cs="Times New Roman"/>
          <w:sz w:val="24"/>
          <w:szCs w:val="24"/>
        </w:rPr>
        <w:t>7</w:t>
      </w:r>
      <w:r w:rsidR="001129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Badertscher</w:t>
      </w:r>
      <w:proofErr w:type="spellEnd"/>
      <w:r>
        <w:rPr>
          <w:rFonts w:ascii="Times New Roman" w:hAnsi="Times New Roman" w:cs="Times New Roman"/>
          <w:sz w:val="24"/>
          <w:szCs w:val="24"/>
        </w:rPr>
        <w:t>, 2011</w:t>
      </w:r>
      <w:r w:rsidR="00A311BF">
        <w:rPr>
          <w:rFonts w:ascii="Times New Roman" w:hAnsi="Times New Roman" w:cs="Times New Roman"/>
          <w:sz w:val="24"/>
          <w:szCs w:val="24"/>
        </w:rPr>
        <w:t xml:space="preserve"> [4]</w:t>
      </w:r>
      <w:r>
        <w:rPr>
          <w:rFonts w:ascii="Times New Roman" w:hAnsi="Times New Roman" w:cs="Times New Roman"/>
          <w:sz w:val="24"/>
          <w:szCs w:val="24"/>
        </w:rPr>
        <w:t>; Chi and Gupta, 2009</w:t>
      </w:r>
      <w:r w:rsidR="00BC4530">
        <w:rPr>
          <w:rFonts w:ascii="Times New Roman" w:hAnsi="Times New Roman" w:cs="Times New Roman"/>
          <w:sz w:val="24"/>
          <w:szCs w:val="24"/>
        </w:rPr>
        <w:t xml:space="preserve"> [23]</w:t>
      </w:r>
      <w:r>
        <w:rPr>
          <w:rFonts w:ascii="Times New Roman" w:hAnsi="Times New Roman" w:cs="Times New Roman"/>
          <w:sz w:val="24"/>
          <w:szCs w:val="24"/>
        </w:rPr>
        <w:t>; Hassan et al., 2009</w:t>
      </w:r>
      <w:r w:rsidR="00E70C3F">
        <w:rPr>
          <w:rFonts w:ascii="Times New Roman" w:hAnsi="Times New Roman" w:cs="Times New Roman"/>
          <w:sz w:val="24"/>
          <w:szCs w:val="24"/>
        </w:rPr>
        <w:t xml:space="preserve"> [3</w:t>
      </w:r>
      <w:r w:rsidR="00873576">
        <w:rPr>
          <w:rFonts w:ascii="Times New Roman" w:hAnsi="Times New Roman" w:cs="Times New Roman"/>
          <w:sz w:val="24"/>
          <w:szCs w:val="24"/>
        </w:rPr>
        <w:t>8</w:t>
      </w:r>
      <w:r w:rsidR="00E70C3F">
        <w:rPr>
          <w:rFonts w:ascii="Times New Roman" w:hAnsi="Times New Roman" w:cs="Times New Roman"/>
          <w:sz w:val="24"/>
          <w:szCs w:val="24"/>
        </w:rPr>
        <w:t>]</w:t>
      </w:r>
      <w:r>
        <w:rPr>
          <w:rFonts w:ascii="Times New Roman" w:hAnsi="Times New Roman" w:cs="Times New Roman"/>
          <w:sz w:val="24"/>
          <w:szCs w:val="24"/>
        </w:rPr>
        <w:t>): Analyst following (</w:t>
      </w:r>
      <w:r>
        <w:rPr>
          <w:rFonts w:ascii="Times New Roman" w:hAnsi="Times New Roman" w:cs="Times New Roman"/>
          <w:i/>
          <w:sz w:val="24"/>
          <w:szCs w:val="24"/>
        </w:rPr>
        <w:t>AF</w:t>
      </w:r>
      <w:r>
        <w:rPr>
          <w:rFonts w:ascii="Times New Roman" w:hAnsi="Times New Roman" w:cs="Times New Roman"/>
          <w:sz w:val="24"/>
          <w:szCs w:val="24"/>
        </w:rPr>
        <w:t>), analyst earnings forecast dispersion (</w:t>
      </w:r>
      <w:r>
        <w:rPr>
          <w:rFonts w:ascii="Times New Roman" w:hAnsi="Times New Roman" w:cs="Times New Roman"/>
          <w:i/>
          <w:sz w:val="24"/>
          <w:szCs w:val="24"/>
        </w:rPr>
        <w:t>DISP</w:t>
      </w:r>
      <w:r>
        <w:rPr>
          <w:rFonts w:ascii="Times New Roman" w:hAnsi="Times New Roman" w:cs="Times New Roman"/>
          <w:sz w:val="24"/>
          <w:szCs w:val="24"/>
        </w:rPr>
        <w:t>), firm size (SIZE), leverage (</w:t>
      </w:r>
      <w:r>
        <w:rPr>
          <w:rFonts w:ascii="Times New Roman" w:hAnsi="Times New Roman" w:cs="Times New Roman"/>
          <w:i/>
          <w:sz w:val="24"/>
          <w:szCs w:val="24"/>
        </w:rPr>
        <w:t>LEV</w:t>
      </w:r>
      <w:r>
        <w:rPr>
          <w:rFonts w:ascii="Times New Roman" w:hAnsi="Times New Roman" w:cs="Times New Roman"/>
          <w:sz w:val="24"/>
          <w:szCs w:val="24"/>
        </w:rPr>
        <w:t>), and volatility in return on assets (</w:t>
      </w:r>
      <w:r>
        <w:rPr>
          <w:rFonts w:ascii="Times New Roman" w:hAnsi="Times New Roman" w:cs="Times New Roman"/>
          <w:i/>
          <w:sz w:val="24"/>
          <w:szCs w:val="24"/>
        </w:rPr>
        <w:t>VOLA</w:t>
      </w:r>
      <w:r>
        <w:rPr>
          <w:rFonts w:ascii="Times New Roman" w:hAnsi="Times New Roman" w:cs="Times New Roman"/>
          <w:sz w:val="24"/>
          <w:szCs w:val="24"/>
        </w:rPr>
        <w:t xml:space="preserve">). The detailed definition of variables is provided in reported tables. </w:t>
      </w:r>
    </w:p>
    <w:p w:rsidR="007D5A45" w:rsidRPr="001C4468" w:rsidRDefault="007D5A45" w:rsidP="00F94EAD">
      <w:pPr>
        <w:pStyle w:val="s2"/>
        <w:numPr>
          <w:ilvl w:val="1"/>
          <w:numId w:val="6"/>
        </w:numPr>
        <w:ind w:left="709"/>
      </w:pPr>
      <w:r w:rsidRPr="001C4468">
        <w:t>Regression model</w:t>
      </w:r>
    </w:p>
    <w:p w:rsidR="007D5A45" w:rsidRDefault="007D5A45">
      <w:pPr>
        <w:spacing w:line="480" w:lineRule="auto"/>
        <w:ind w:firstLine="426"/>
        <w:rPr>
          <w:rFonts w:ascii="Times New Roman" w:hAnsi="Times New Roman" w:cs="Times New Roman"/>
          <w:sz w:val="24"/>
          <w:szCs w:val="24"/>
        </w:rPr>
      </w:pPr>
      <w:r>
        <w:rPr>
          <w:rFonts w:ascii="Times New Roman" w:hAnsi="Times New Roman" w:cs="Times New Roman"/>
          <w:sz w:val="24"/>
          <w:szCs w:val="24"/>
        </w:rPr>
        <w:t>To examine the effect of pro forma disclosures on overvaluation, a logit model is used. The baseline specification is as follows:</w:t>
      </w:r>
    </w:p>
    <w:p w:rsidR="007D5A45" w:rsidRDefault="007D5A45">
      <w:pPr>
        <w:tabs>
          <w:tab w:val="left" w:pos="8505"/>
        </w:tabs>
        <w:spacing w:after="0" w:line="480" w:lineRule="auto"/>
        <w:ind w:left="2552" w:hanging="2552"/>
        <w:rPr>
          <w:rFonts w:ascii="Times New Roman" w:hAnsi="Times New Roman" w:cs="Times New Roman"/>
          <w:i/>
          <w:sz w:val="24"/>
          <w:szCs w:val="24"/>
        </w:rPr>
      </w:pPr>
      <m:oMath>
        <m:r>
          <w:rPr>
            <w:rFonts w:ascii="Cambria Math" w:hAnsi="Cambria Math"/>
          </w:rPr>
          <m:t>OV=α+</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PROFORMA+</m:t>
        </m:r>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DISP+</m:t>
        </m:r>
        <m:sSub>
          <m:sSubPr>
            <m:ctrlPr>
              <w:rPr>
                <w:rFonts w:ascii="Cambria Math" w:hAnsi="Cambria Math"/>
              </w:rPr>
            </m:ctrlPr>
          </m:sSubPr>
          <m:e>
            <m:r>
              <w:rPr>
                <w:rFonts w:ascii="Cambria Math" w:hAnsi="Cambria Math"/>
              </w:rPr>
              <m:t>β</m:t>
            </m:r>
          </m:e>
          <m:sub>
            <m:r>
              <w:rPr>
                <w:rFonts w:ascii="Cambria Math" w:hAnsi="Cambria Math"/>
              </w:rPr>
              <m:t>3</m:t>
            </m:r>
          </m:sub>
        </m:sSub>
        <m:r>
          <w:rPr>
            <w:rFonts w:ascii="Cambria Math" w:hAnsi="Cambria Math"/>
          </w:rPr>
          <m:t>β</m:t>
        </m:r>
        <m:sSub>
          <m:sSubPr>
            <m:ctrlPr>
              <w:rPr>
                <w:rFonts w:ascii="Cambria Math" w:hAnsi="Cambria Math"/>
              </w:rPr>
            </m:ctrlPr>
          </m:sSubPr>
          <m:e>
            <m:r>
              <w:rPr>
                <w:rFonts w:ascii="Cambria Math" w:hAnsi="Cambria Math"/>
              </w:rPr>
              <m:t>+</m:t>
            </m:r>
          </m:e>
          <m:sub>
            <m:r>
              <w:rPr>
                <w:rFonts w:ascii="Cambria Math" w:hAnsi="Cambria Math"/>
              </w:rPr>
              <m:t>4</m:t>
            </m:r>
          </m:sub>
        </m:sSub>
        <m:r>
          <w:rPr>
            <w:rFonts w:ascii="Cambria Math" w:hAnsi="Cambria Math"/>
          </w:rPr>
          <m:t>LEV+</m:t>
        </m:r>
        <m:sSub>
          <m:sSubPr>
            <m:ctrlPr>
              <w:rPr>
                <w:rFonts w:ascii="Cambria Math" w:hAnsi="Cambria Math"/>
              </w:rPr>
            </m:ctrlPr>
          </m:sSubPr>
          <m:e>
            <m:r>
              <w:rPr>
                <w:rFonts w:ascii="Cambria Math" w:hAnsi="Cambria Math"/>
              </w:rPr>
              <m:t>β</m:t>
            </m:r>
          </m:e>
          <m:sub>
            <m:r>
              <w:rPr>
                <w:rFonts w:ascii="Cambria Math" w:hAnsi="Cambria Math"/>
              </w:rPr>
              <m:t>5</m:t>
            </m:r>
          </m:sub>
        </m:sSub>
        <m:r>
          <w:rPr>
            <w:rFonts w:ascii="Cambria Math" w:hAnsi="Cambria Math"/>
          </w:rPr>
          <m:t>VOLA+</m:t>
        </m:r>
        <m:sSub>
          <m:sSubPr>
            <m:ctrlPr>
              <w:rPr>
                <w:rFonts w:ascii="Cambria Math" w:hAnsi="Cambria Math"/>
              </w:rPr>
            </m:ctrlPr>
          </m:sSubPr>
          <m:e>
            <m:r>
              <w:rPr>
                <w:rFonts w:ascii="Cambria Math" w:hAnsi="Cambria Math"/>
              </w:rPr>
              <m:t>β</m:t>
            </m:r>
          </m:e>
          <m:sub>
            <m:r>
              <w:rPr>
                <w:rFonts w:ascii="Cambria Math" w:hAnsi="Cambria Math"/>
              </w:rPr>
              <m:t>6</m:t>
            </m:r>
          </m:sub>
        </m:sSub>
        <m:r>
          <w:rPr>
            <w:rFonts w:ascii="Cambria Math" w:hAnsi="Cambria Math"/>
          </w:rPr>
          <m:t>AF+</m:t>
        </m:r>
        <m:sSub>
          <m:sSubPr>
            <m:ctrlPr>
              <w:rPr>
                <w:rFonts w:ascii="Cambria Math" w:hAnsi="Cambria Math"/>
              </w:rPr>
            </m:ctrlPr>
          </m:sSubPr>
          <m:e>
            <m:r>
              <w:rPr>
                <w:rFonts w:ascii="Cambria Math" w:hAnsi="Cambria Math"/>
              </w:rPr>
              <m:t>ε</m:t>
            </m:r>
          </m:e>
          <m:sub>
            <m:r>
              <w:rPr>
                <w:rFonts w:ascii="Cambria Math" w:hAnsi="Cambria Math"/>
              </w:rPr>
              <m:t>i,t</m:t>
            </m:r>
          </m:sub>
        </m:sSub>
      </m:oMath>
      <w:r>
        <w:rPr>
          <w:rFonts w:ascii="Times New Roman" w:hAnsi="Times New Roman" w:cs="Times New Roman"/>
          <w:i/>
          <w:sz w:val="24"/>
          <w:szCs w:val="24"/>
        </w:rPr>
        <w:tab/>
      </w:r>
      <w:r>
        <w:rPr>
          <w:rFonts w:ascii="Times New Roman" w:hAnsi="Times New Roman" w:cs="Times New Roman"/>
          <w:sz w:val="24"/>
          <w:szCs w:val="24"/>
        </w:rPr>
        <w:t>(1)</w:t>
      </w:r>
    </w:p>
    <w:p w:rsidR="007D5A45" w:rsidRDefault="007D5A45">
      <w:pPr>
        <w:spacing w:line="480" w:lineRule="auto"/>
        <w:jc w:val="both"/>
        <w:rPr>
          <w:rFonts w:ascii="Times New Roman" w:hAnsi="Times New Roman" w:cs="Times New Roman"/>
        </w:rPr>
      </w:pPr>
      <w:r>
        <w:rPr>
          <w:rFonts w:ascii="Times New Roman" w:hAnsi="Times New Roman" w:cs="Times New Roman"/>
          <w:sz w:val="24"/>
          <w:szCs w:val="24"/>
        </w:rPr>
        <w:lastRenderedPageBreak/>
        <w:t xml:space="preserve">where </w:t>
      </w:r>
      <w:r>
        <w:rPr>
          <w:rFonts w:ascii="Times New Roman" w:hAnsi="Times New Roman" w:cs="Times New Roman"/>
          <w:i/>
          <w:sz w:val="24"/>
          <w:szCs w:val="24"/>
        </w:rPr>
        <w:t>OV</w:t>
      </w:r>
      <w:r>
        <w:rPr>
          <w:rFonts w:ascii="Times New Roman" w:hAnsi="Times New Roman" w:cs="Times New Roman"/>
          <w:sz w:val="24"/>
          <w:szCs w:val="24"/>
        </w:rPr>
        <w:t xml:space="preserve"> is the overvaluation measure, and </w:t>
      </w:r>
      <w:r>
        <w:rPr>
          <w:rFonts w:ascii="Times New Roman" w:hAnsi="Times New Roman" w:cs="Times New Roman"/>
          <w:i/>
          <w:sz w:val="24"/>
          <w:szCs w:val="24"/>
        </w:rPr>
        <w:t>PROFORMA</w:t>
      </w:r>
      <w:r>
        <w:rPr>
          <w:rFonts w:ascii="Times New Roman" w:hAnsi="Times New Roman" w:cs="Times New Roman"/>
          <w:sz w:val="24"/>
          <w:szCs w:val="24"/>
        </w:rPr>
        <w:t xml:space="preserve"> is the pro forma earnings measure (either </w:t>
      </w:r>
      <w:r>
        <w:rPr>
          <w:rFonts w:ascii="Times New Roman" w:hAnsi="Times New Roman" w:cs="Times New Roman"/>
          <w:i/>
          <w:sz w:val="24"/>
          <w:szCs w:val="24"/>
        </w:rPr>
        <w:t>EPS_PF</w:t>
      </w:r>
      <w:r>
        <w:rPr>
          <w:rFonts w:ascii="Times New Roman" w:hAnsi="Times New Roman" w:cs="Times New Roman"/>
          <w:sz w:val="24"/>
          <w:szCs w:val="24"/>
        </w:rPr>
        <w:t xml:space="preserve"> or </w:t>
      </w:r>
      <w:r>
        <w:rPr>
          <w:rFonts w:ascii="Times New Roman" w:hAnsi="Times New Roman" w:cs="Times New Roman"/>
          <w:i/>
          <w:sz w:val="24"/>
          <w:szCs w:val="24"/>
        </w:rPr>
        <w:t>EPS_MB</w:t>
      </w:r>
      <w:r>
        <w:rPr>
          <w:rFonts w:ascii="Times New Roman" w:hAnsi="Times New Roman" w:cs="Times New Roman"/>
          <w:sz w:val="24"/>
          <w:szCs w:val="24"/>
        </w:rPr>
        <w:t xml:space="preserve">). The remaining variables are the controls. </w:t>
      </w:r>
    </w:p>
    <w:p w:rsidR="007D5A45" w:rsidRDefault="007D5A4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t>Table 1 presents the descriptive statistics. The results show that in 50.9% of the sample quarters firms disclose adjusted (pro forma) earnings (</w:t>
      </w:r>
      <w:r>
        <w:rPr>
          <w:rFonts w:ascii="Times New Roman" w:hAnsi="Times New Roman" w:cs="Times New Roman"/>
          <w:i/>
          <w:sz w:val="24"/>
          <w:szCs w:val="24"/>
        </w:rPr>
        <w:t>EPS_PF</w:t>
      </w:r>
      <w:r>
        <w:rPr>
          <w:rFonts w:ascii="Times New Roman" w:hAnsi="Times New Roman" w:cs="Times New Roman"/>
          <w:sz w:val="24"/>
          <w:szCs w:val="24"/>
        </w:rPr>
        <w:t>). For adjusted earnings that meet or beat analysts’ forecasts (</w:t>
      </w:r>
      <w:r>
        <w:rPr>
          <w:rFonts w:ascii="Times New Roman" w:hAnsi="Times New Roman" w:cs="Times New Roman"/>
          <w:i/>
          <w:sz w:val="24"/>
          <w:szCs w:val="24"/>
        </w:rPr>
        <w:t>EPS_MB</w:t>
      </w:r>
      <w:r>
        <w:rPr>
          <w:rFonts w:ascii="Times New Roman" w:hAnsi="Times New Roman" w:cs="Times New Roman"/>
          <w:sz w:val="24"/>
          <w:szCs w:val="24"/>
        </w:rPr>
        <w:t xml:space="preserve">), we can see that firms disclose such pro forma numbers in 44.4% of the quarters. Thus, in nearly half of the sample quarters, firms would issue such adjusted earnings, which indicates a widespread practice across firms. </w:t>
      </w:r>
    </w:p>
    <w:p w:rsidR="007D5A45" w:rsidRDefault="007D5A45">
      <w:pPr>
        <w:spacing w:after="0" w:line="480" w:lineRule="auto"/>
        <w:ind w:firstLine="426"/>
        <w:jc w:val="both"/>
        <w:rPr>
          <w:rFonts w:ascii="Times New Roman" w:hAnsi="Times New Roman" w:cs="Times New Roman"/>
          <w:sz w:val="24"/>
          <w:szCs w:val="24"/>
        </w:rPr>
      </w:pPr>
    </w:p>
    <w:p w:rsidR="007D5A45" w:rsidRDefault="007D5A4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Table 1 here]</w:t>
      </w:r>
    </w:p>
    <w:p w:rsidR="007D5A45" w:rsidRDefault="007D5A45">
      <w:pPr>
        <w:spacing w:after="0" w:line="480" w:lineRule="auto"/>
        <w:jc w:val="center"/>
        <w:rPr>
          <w:rFonts w:ascii="Times New Roman" w:hAnsi="Times New Roman" w:cs="Times New Roman"/>
          <w:sz w:val="24"/>
          <w:szCs w:val="24"/>
        </w:rPr>
      </w:pPr>
    </w:p>
    <w:p w:rsidR="007D5A45" w:rsidRDefault="007D5A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the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measure, sample firms have a mean market-to-book value (</w:t>
      </w:r>
      <w:r>
        <w:rPr>
          <w:rFonts w:ascii="Times New Roman" w:hAnsi="Times New Roman" w:cs="Times New Roman"/>
          <w:i/>
          <w:sz w:val="24"/>
          <w:szCs w:val="24"/>
        </w:rPr>
        <w:t>MTB</w:t>
      </w:r>
      <w:r>
        <w:rPr>
          <w:rFonts w:ascii="Times New Roman" w:hAnsi="Times New Roman" w:cs="Times New Roman"/>
          <w:sz w:val="24"/>
          <w:szCs w:val="24"/>
        </w:rPr>
        <w:t xml:space="preserve">) of 4.516, which suggests a substantial market premium attached to the book value of equity; the maximum </w:t>
      </w:r>
      <w:r>
        <w:rPr>
          <w:rFonts w:ascii="Times New Roman" w:hAnsi="Times New Roman" w:cs="Times New Roman"/>
          <w:i/>
          <w:sz w:val="24"/>
          <w:szCs w:val="24"/>
        </w:rPr>
        <w:t>MTB</w:t>
      </w:r>
      <w:r>
        <w:rPr>
          <w:rFonts w:ascii="Times New Roman" w:hAnsi="Times New Roman" w:cs="Times New Roman"/>
          <w:sz w:val="24"/>
          <w:szCs w:val="24"/>
        </w:rPr>
        <w:t xml:space="preserve"> of 28.56 displays substantial overvaluation. At the lower end of the distribution, while the minimum is 0.807 (slightly undervalued), the value for the first quartile (2.279) already shows </w:t>
      </w:r>
      <w:r>
        <w:rPr>
          <w:rFonts w:ascii="Times New Roman" w:hAnsi="Times New Roman" w:cs="Times New Roman"/>
          <w:i/>
          <w:sz w:val="24"/>
          <w:szCs w:val="24"/>
        </w:rPr>
        <w:t>MTB</w:t>
      </w:r>
      <w:r>
        <w:rPr>
          <w:rFonts w:ascii="Times New Roman" w:hAnsi="Times New Roman" w:cs="Times New Roman"/>
          <w:sz w:val="24"/>
          <w:szCs w:val="24"/>
        </w:rPr>
        <w:t xml:space="preserve"> considerably higher than 1, suggesting a strong tendency towards overvaluation of our sample firms. Consistent with this, there are only 23 quarterly observations in the sample with </w:t>
      </w:r>
      <w:r>
        <w:rPr>
          <w:rFonts w:ascii="Times New Roman" w:hAnsi="Times New Roman" w:cs="Times New Roman"/>
          <w:i/>
          <w:sz w:val="24"/>
          <w:szCs w:val="24"/>
        </w:rPr>
        <w:t>MTB</w:t>
      </w:r>
      <w:r>
        <w:rPr>
          <w:rFonts w:ascii="Times New Roman" w:hAnsi="Times New Roman" w:cs="Times New Roman"/>
          <w:sz w:val="24"/>
          <w:szCs w:val="24"/>
        </w:rPr>
        <w:t xml:space="preserve">&lt;1, so that 97% of quarterly observations are overvalued based on </w:t>
      </w:r>
      <w:r>
        <w:rPr>
          <w:rFonts w:ascii="Times New Roman" w:hAnsi="Times New Roman" w:cs="Times New Roman"/>
          <w:i/>
          <w:sz w:val="24"/>
          <w:szCs w:val="24"/>
        </w:rPr>
        <w:t>MTB</w:t>
      </w:r>
      <w:r>
        <w:rPr>
          <w:rFonts w:ascii="Times New Roman" w:hAnsi="Times New Roman" w:cs="Times New Roman"/>
          <w:sz w:val="24"/>
          <w:szCs w:val="24"/>
        </w:rPr>
        <w:t xml:space="preserve">. This supports my approach to focus on overvaluation and the different levels within instead of overall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w:t>
      </w:r>
    </w:p>
    <w:p w:rsidR="007D5A45" w:rsidRDefault="007D5A4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mean for Analyst </w:t>
      </w:r>
      <w:proofErr w:type="gramStart"/>
      <w:r>
        <w:rPr>
          <w:rFonts w:ascii="Times New Roman" w:hAnsi="Times New Roman" w:cs="Times New Roman"/>
          <w:sz w:val="24"/>
          <w:szCs w:val="24"/>
        </w:rPr>
        <w:t>forecast</w:t>
      </w:r>
      <w:proofErr w:type="gramEnd"/>
      <w:r>
        <w:rPr>
          <w:rFonts w:ascii="Times New Roman" w:hAnsi="Times New Roman" w:cs="Times New Roman"/>
          <w:sz w:val="24"/>
          <w:szCs w:val="24"/>
        </w:rPr>
        <w:t xml:space="preserve"> dispersion (</w:t>
      </w:r>
      <w:r>
        <w:rPr>
          <w:rFonts w:ascii="Times New Roman" w:hAnsi="Times New Roman" w:cs="Times New Roman"/>
          <w:i/>
          <w:sz w:val="24"/>
          <w:szCs w:val="24"/>
        </w:rPr>
        <w:t>DISP</w:t>
      </w:r>
      <w:r>
        <w:rPr>
          <w:rFonts w:ascii="Times New Roman" w:hAnsi="Times New Roman" w:cs="Times New Roman"/>
          <w:sz w:val="24"/>
          <w:szCs w:val="24"/>
        </w:rPr>
        <w:t>) is 0.5 with a lower (upper) quartile of 0.241(0.759). The values for firm size (Market value of equity (</w:t>
      </w:r>
      <w:r>
        <w:rPr>
          <w:rFonts w:ascii="Times New Roman" w:hAnsi="Times New Roman" w:cs="Times New Roman"/>
          <w:i/>
          <w:sz w:val="24"/>
          <w:szCs w:val="24"/>
        </w:rPr>
        <w:t>SIZE</w:t>
      </w:r>
      <w:r>
        <w:rPr>
          <w:rFonts w:ascii="Times New Roman" w:hAnsi="Times New Roman" w:cs="Times New Roman"/>
          <w:sz w:val="24"/>
          <w:szCs w:val="24"/>
        </w:rPr>
        <w:t>)) show that the sample firms are large, as would be expected from the Dow Jones 30. The mean (median) Market value of equity (</w:t>
      </w:r>
      <w:r>
        <w:rPr>
          <w:rFonts w:ascii="Times New Roman" w:hAnsi="Times New Roman" w:cs="Times New Roman"/>
          <w:i/>
          <w:sz w:val="24"/>
          <w:szCs w:val="24"/>
        </w:rPr>
        <w:t>SIZE</w:t>
      </w:r>
      <w:r>
        <w:rPr>
          <w:rFonts w:ascii="Times New Roman" w:hAnsi="Times New Roman" w:cs="Times New Roman"/>
          <w:sz w:val="24"/>
          <w:szCs w:val="24"/>
        </w:rPr>
        <w:t>) is $11.777 billion ($11.845 billion), with a minimum (maximum) of $10.207 billion ($13.3 billion). In terms of leverage (</w:t>
      </w:r>
      <w:r>
        <w:rPr>
          <w:rFonts w:ascii="Times New Roman" w:hAnsi="Times New Roman" w:cs="Times New Roman"/>
          <w:i/>
          <w:sz w:val="24"/>
          <w:szCs w:val="24"/>
        </w:rPr>
        <w:t>LEV</w:t>
      </w:r>
      <w:r>
        <w:rPr>
          <w:rFonts w:ascii="Times New Roman" w:hAnsi="Times New Roman" w:cs="Times New Roman"/>
          <w:sz w:val="24"/>
          <w:szCs w:val="24"/>
        </w:rPr>
        <w:t xml:space="preserve">), we see a wide variety. While the mean (median) is 0.623 (0.406), the minimum (maximum) is 1.132 (3.04). Stock return volatility </w:t>
      </w:r>
      <w:r>
        <w:rPr>
          <w:rFonts w:ascii="Times New Roman" w:hAnsi="Times New Roman" w:cs="Times New Roman"/>
          <w:sz w:val="24"/>
          <w:szCs w:val="24"/>
        </w:rPr>
        <w:lastRenderedPageBreak/>
        <w:t>(</w:t>
      </w:r>
      <w:r>
        <w:rPr>
          <w:rFonts w:ascii="Times New Roman" w:hAnsi="Times New Roman" w:cs="Times New Roman"/>
          <w:i/>
          <w:sz w:val="24"/>
          <w:szCs w:val="24"/>
        </w:rPr>
        <w:t>VOLA</w:t>
      </w:r>
      <w:r>
        <w:rPr>
          <w:rFonts w:ascii="Times New Roman" w:hAnsi="Times New Roman" w:cs="Times New Roman"/>
          <w:sz w:val="24"/>
          <w:szCs w:val="24"/>
        </w:rPr>
        <w:t xml:space="preserve">) varies widely across firms. While the mean is 0.664, the minimum (maximum) is 0.052 and 2.349, respectively.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there are both low volatility and high volatility stocks on the sample. Finally, the sample firms are followed by 24 analysts on average (</w:t>
      </w:r>
      <w:r>
        <w:rPr>
          <w:rFonts w:ascii="Times New Roman" w:hAnsi="Times New Roman" w:cs="Times New Roman"/>
          <w:i/>
          <w:sz w:val="24"/>
          <w:szCs w:val="24"/>
        </w:rPr>
        <w:t>AF</w:t>
      </w:r>
      <w:r>
        <w:rPr>
          <w:rFonts w:ascii="Times New Roman" w:hAnsi="Times New Roman" w:cs="Times New Roman"/>
          <w:sz w:val="24"/>
          <w:szCs w:val="24"/>
        </w:rPr>
        <w:t xml:space="preserve">). This high number of analysts covering the sample firms is not surprising. I study 30 of the most well-known and biggest firms in the US, thus one can expect those firms to be of high interest to investors, and therefore analysts. I take the log of </w:t>
      </w:r>
      <w:r>
        <w:rPr>
          <w:rFonts w:ascii="Times New Roman" w:hAnsi="Times New Roman" w:cs="Times New Roman"/>
          <w:i/>
          <w:sz w:val="24"/>
          <w:szCs w:val="24"/>
        </w:rPr>
        <w:t>SIZE</w:t>
      </w:r>
      <w:r>
        <w:rPr>
          <w:rFonts w:ascii="Times New Roman" w:hAnsi="Times New Roman" w:cs="Times New Roman"/>
          <w:sz w:val="24"/>
          <w:szCs w:val="24"/>
        </w:rPr>
        <w:t xml:space="preserve"> and </w:t>
      </w:r>
      <w:r>
        <w:rPr>
          <w:rFonts w:ascii="Times New Roman" w:hAnsi="Times New Roman" w:cs="Times New Roman"/>
          <w:i/>
          <w:sz w:val="24"/>
          <w:szCs w:val="24"/>
        </w:rPr>
        <w:t>LEV</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winsorise</w:t>
      </w:r>
      <w:proofErr w:type="spellEnd"/>
      <w:r>
        <w:rPr>
          <w:rFonts w:ascii="Times New Roman" w:hAnsi="Times New Roman" w:cs="Times New Roman"/>
          <w:sz w:val="24"/>
          <w:szCs w:val="24"/>
        </w:rPr>
        <w:t xml:space="preserve"> </w:t>
      </w:r>
      <w:r>
        <w:rPr>
          <w:rFonts w:ascii="Times New Roman" w:hAnsi="Times New Roman" w:cs="Times New Roman"/>
          <w:i/>
          <w:sz w:val="24"/>
          <w:szCs w:val="24"/>
        </w:rPr>
        <w:t>MTB</w:t>
      </w:r>
      <w:r>
        <w:rPr>
          <w:rFonts w:ascii="Times New Roman" w:hAnsi="Times New Roman" w:cs="Times New Roman"/>
          <w:sz w:val="24"/>
          <w:szCs w:val="24"/>
        </w:rPr>
        <w:t xml:space="preserve">, </w:t>
      </w:r>
      <w:r>
        <w:rPr>
          <w:rFonts w:ascii="Times New Roman" w:hAnsi="Times New Roman" w:cs="Times New Roman"/>
          <w:i/>
          <w:sz w:val="24"/>
          <w:szCs w:val="24"/>
        </w:rPr>
        <w:t>DISP</w:t>
      </w:r>
      <w:r>
        <w:rPr>
          <w:rFonts w:ascii="Times New Roman" w:hAnsi="Times New Roman" w:cs="Times New Roman"/>
          <w:sz w:val="24"/>
          <w:szCs w:val="24"/>
        </w:rPr>
        <w:t xml:space="preserve">, </w:t>
      </w:r>
      <w:r>
        <w:rPr>
          <w:rFonts w:ascii="Times New Roman" w:hAnsi="Times New Roman" w:cs="Times New Roman"/>
          <w:i/>
          <w:sz w:val="24"/>
          <w:szCs w:val="24"/>
        </w:rPr>
        <w:t>SIZE</w:t>
      </w:r>
      <w:r>
        <w:rPr>
          <w:rFonts w:ascii="Times New Roman" w:hAnsi="Times New Roman" w:cs="Times New Roman"/>
          <w:sz w:val="24"/>
          <w:szCs w:val="24"/>
        </w:rPr>
        <w:t xml:space="preserve">, </w:t>
      </w:r>
      <w:r>
        <w:rPr>
          <w:rFonts w:ascii="Times New Roman" w:hAnsi="Times New Roman" w:cs="Times New Roman"/>
          <w:i/>
          <w:sz w:val="24"/>
          <w:szCs w:val="24"/>
        </w:rPr>
        <w:t>LEV</w:t>
      </w:r>
      <w:r>
        <w:rPr>
          <w:rFonts w:ascii="Times New Roman" w:hAnsi="Times New Roman" w:cs="Times New Roman"/>
          <w:sz w:val="24"/>
          <w:szCs w:val="24"/>
        </w:rPr>
        <w:t xml:space="preserve">, </w:t>
      </w:r>
      <w:r>
        <w:rPr>
          <w:rFonts w:ascii="Times New Roman" w:hAnsi="Times New Roman" w:cs="Times New Roman"/>
          <w:i/>
          <w:sz w:val="24"/>
          <w:szCs w:val="24"/>
        </w:rPr>
        <w:t>VOLA</w:t>
      </w:r>
      <w:r>
        <w:rPr>
          <w:rFonts w:ascii="Times New Roman" w:hAnsi="Times New Roman" w:cs="Times New Roman"/>
          <w:sz w:val="24"/>
          <w:szCs w:val="24"/>
        </w:rPr>
        <w:t xml:space="preserve"> to reduce the influence of outliers and deal with skewness in the regression models. </w:t>
      </w:r>
    </w:p>
    <w:p w:rsidR="007D5A45" w:rsidRDefault="007D5A45">
      <w:pPr>
        <w:spacing w:after="0" w:line="480" w:lineRule="auto"/>
        <w:ind w:firstLine="720"/>
        <w:jc w:val="both"/>
        <w:rPr>
          <w:rFonts w:ascii="Times New Roman" w:hAnsi="Times New Roman" w:cs="Times New Roman"/>
          <w:sz w:val="24"/>
          <w:szCs w:val="24"/>
        </w:rPr>
      </w:pPr>
    </w:p>
    <w:p w:rsidR="007D5A45" w:rsidRDefault="007D5A45" w:rsidP="00F94EAD">
      <w:pPr>
        <w:pStyle w:val="s1"/>
        <w:numPr>
          <w:ilvl w:val="0"/>
          <w:numId w:val="6"/>
        </w:numPr>
        <w:jc w:val="both"/>
        <w:rPr>
          <w:szCs w:val="24"/>
        </w:rPr>
      </w:pPr>
      <w:r>
        <w:rPr>
          <w:szCs w:val="24"/>
        </w:rPr>
        <w:t>Empirical results</w:t>
      </w:r>
    </w:p>
    <w:p w:rsidR="007D5A45" w:rsidRDefault="007D5A45" w:rsidP="00F94EAD">
      <w:pPr>
        <w:pStyle w:val="s2"/>
        <w:numPr>
          <w:ilvl w:val="1"/>
          <w:numId w:val="6"/>
        </w:numPr>
        <w:ind w:left="709"/>
      </w:pPr>
      <w:r>
        <w:t xml:space="preserve">The effect of pro forma earnings on </w:t>
      </w:r>
      <w:proofErr w:type="spellStart"/>
      <w:r>
        <w:t>misvaluation</w:t>
      </w:r>
      <w:proofErr w:type="spellEnd"/>
      <w:r>
        <w:t>: base case</w:t>
      </w:r>
    </w:p>
    <w:p w:rsidR="007D5A45" w:rsidRDefault="007D5A45">
      <w:pPr>
        <w:spacing w:line="480" w:lineRule="auto"/>
        <w:ind w:firstLine="426"/>
        <w:jc w:val="both"/>
        <w:rPr>
          <w:rFonts w:ascii="Times New Roman" w:hAnsi="Times New Roman" w:cs="Times New Roman"/>
          <w:sz w:val="28"/>
          <w:szCs w:val="26"/>
        </w:rPr>
      </w:pPr>
      <w:r>
        <w:rPr>
          <w:rFonts w:ascii="Times New Roman" w:hAnsi="Times New Roman" w:cs="Times New Roman"/>
          <w:sz w:val="24"/>
        </w:rPr>
        <w:t xml:space="preserve">The first model examines the effect of pro forma earnings disclosure on </w:t>
      </w:r>
      <w:proofErr w:type="spellStart"/>
      <w:r>
        <w:rPr>
          <w:rFonts w:ascii="Times New Roman" w:hAnsi="Times New Roman" w:cs="Times New Roman"/>
          <w:sz w:val="24"/>
        </w:rPr>
        <w:t>misvaluation</w:t>
      </w:r>
      <w:proofErr w:type="spellEnd"/>
      <w:r>
        <w:rPr>
          <w:rFonts w:ascii="Times New Roman" w:hAnsi="Times New Roman" w:cs="Times New Roman"/>
          <w:sz w:val="24"/>
        </w:rPr>
        <w:t>. Table 2 presents the estimated results for the most overvalued (Panel A) and the most undervalued stocks (Panel B) for the two pro forma measures (</w:t>
      </w:r>
      <w:r>
        <w:rPr>
          <w:rFonts w:ascii="Times New Roman" w:hAnsi="Times New Roman" w:cs="Times New Roman"/>
          <w:i/>
          <w:sz w:val="24"/>
        </w:rPr>
        <w:t>EPS_PF</w:t>
      </w:r>
      <w:r>
        <w:rPr>
          <w:rFonts w:ascii="Times New Roman" w:hAnsi="Times New Roman" w:cs="Times New Roman"/>
          <w:sz w:val="24"/>
        </w:rPr>
        <w:t xml:space="preserve">, </w:t>
      </w:r>
      <w:r>
        <w:rPr>
          <w:rFonts w:ascii="Times New Roman" w:hAnsi="Times New Roman" w:cs="Times New Roman"/>
          <w:i/>
          <w:sz w:val="24"/>
        </w:rPr>
        <w:t>EPS_MB</w:t>
      </w:r>
      <w:r>
        <w:rPr>
          <w:rFonts w:ascii="Times New Roman" w:hAnsi="Times New Roman" w:cs="Times New Roman"/>
          <w:sz w:val="24"/>
        </w:rPr>
        <w:t xml:space="preserve">). I run the model with three specifications: with no fixed effects, quarter fixed effects, and firm and quarter fixed effects. </w:t>
      </w:r>
    </w:p>
    <w:p w:rsidR="007D5A45" w:rsidRDefault="007D5A45">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[Insert Table 2 here]</w:t>
      </w:r>
    </w:p>
    <w:p w:rsidR="007D5A45" w:rsidRDefault="007D5A4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In columns 1 to 3 of Panel A, for the most overvalued stocks, we can see that disclosure of adjusted earnings (</w:t>
      </w:r>
      <w:r>
        <w:rPr>
          <w:rFonts w:ascii="Times New Roman" w:hAnsi="Times New Roman" w:cs="Times New Roman"/>
          <w:bCs/>
          <w:i/>
          <w:sz w:val="24"/>
          <w:szCs w:val="24"/>
        </w:rPr>
        <w:t>EPS_PF</w:t>
      </w:r>
      <w:r>
        <w:rPr>
          <w:rFonts w:ascii="Times New Roman" w:hAnsi="Times New Roman" w:cs="Times New Roman"/>
          <w:bCs/>
          <w:sz w:val="24"/>
          <w:szCs w:val="24"/>
        </w:rPr>
        <w:t>) has a significant negative association with overvaluation (1% level). This suggests that disclosing pro forma earnings reduces overvaluation for those stocks that are most overvalued, i.e. where valuation has gone up too far above ‘fair value’ of the stock. This finding supports the claim made by advocates of pro forma earnings that their provision helps shares to be priced more accurately, thus it is useful for valuation (see e.g. Bhattacharya et al., 2007)</w:t>
      </w:r>
      <w:r w:rsidR="00E057DA">
        <w:rPr>
          <w:rFonts w:ascii="Times New Roman" w:hAnsi="Times New Roman" w:cs="Times New Roman"/>
          <w:bCs/>
          <w:sz w:val="24"/>
          <w:szCs w:val="24"/>
        </w:rPr>
        <w:t xml:space="preserve"> [10]</w:t>
      </w:r>
      <w:r>
        <w:rPr>
          <w:rFonts w:ascii="Times New Roman" w:hAnsi="Times New Roman" w:cs="Times New Roman"/>
          <w:bCs/>
          <w:sz w:val="24"/>
          <w:szCs w:val="24"/>
        </w:rPr>
        <w:t xml:space="preserve">. This is consistent with prior evidence (e.g. Huang and </w:t>
      </w:r>
      <w:proofErr w:type="spellStart"/>
      <w:r>
        <w:rPr>
          <w:rFonts w:ascii="Times New Roman" w:hAnsi="Times New Roman" w:cs="Times New Roman"/>
          <w:bCs/>
          <w:sz w:val="24"/>
          <w:szCs w:val="24"/>
        </w:rPr>
        <w:t>Skantz</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lastRenderedPageBreak/>
        <w:t>2016)</w:t>
      </w:r>
      <w:r w:rsidR="00957909">
        <w:rPr>
          <w:rFonts w:ascii="Times New Roman" w:hAnsi="Times New Roman" w:cs="Times New Roman"/>
          <w:bCs/>
          <w:sz w:val="24"/>
          <w:szCs w:val="24"/>
        </w:rPr>
        <w:t xml:space="preserve"> [4</w:t>
      </w:r>
      <w:r w:rsidR="00873576">
        <w:rPr>
          <w:rFonts w:ascii="Times New Roman" w:hAnsi="Times New Roman" w:cs="Times New Roman"/>
          <w:bCs/>
          <w:sz w:val="24"/>
          <w:szCs w:val="24"/>
        </w:rPr>
        <w:t>2</w:t>
      </w:r>
      <w:r w:rsidR="00957909">
        <w:rPr>
          <w:rFonts w:ascii="Times New Roman" w:hAnsi="Times New Roman" w:cs="Times New Roman"/>
          <w:bCs/>
          <w:sz w:val="24"/>
          <w:szCs w:val="24"/>
        </w:rPr>
        <w:t>]</w:t>
      </w:r>
      <w:r>
        <w:rPr>
          <w:rFonts w:ascii="Times New Roman" w:hAnsi="Times New Roman" w:cs="Times New Roman"/>
          <w:bCs/>
          <w:sz w:val="24"/>
          <w:szCs w:val="24"/>
        </w:rPr>
        <w:t xml:space="preserve"> showing that pro forma disclosures can reduce information asymmetry to help price shares more accurately. It is also possible that the market may perceive some firms’ disclosures as opportunistic, and therefore react negatively. As to control variables, analyst earnings forecast dispersion (</w:t>
      </w:r>
      <w:r>
        <w:rPr>
          <w:rFonts w:ascii="Times New Roman" w:hAnsi="Times New Roman" w:cs="Times New Roman"/>
          <w:bCs/>
          <w:i/>
          <w:sz w:val="24"/>
          <w:szCs w:val="24"/>
        </w:rPr>
        <w:t>DISP</w:t>
      </w:r>
      <w:r>
        <w:rPr>
          <w:rFonts w:ascii="Times New Roman" w:hAnsi="Times New Roman" w:cs="Times New Roman"/>
          <w:bCs/>
          <w:sz w:val="24"/>
          <w:szCs w:val="24"/>
        </w:rPr>
        <w:t>) shows a negative association with overvaluation (1% level). By contrast, both leverage (</w:t>
      </w:r>
      <w:r>
        <w:rPr>
          <w:rFonts w:ascii="Times New Roman" w:hAnsi="Times New Roman" w:cs="Times New Roman"/>
          <w:bCs/>
          <w:i/>
          <w:sz w:val="24"/>
          <w:szCs w:val="24"/>
        </w:rPr>
        <w:t>LEV</w:t>
      </w:r>
      <w:r>
        <w:rPr>
          <w:rFonts w:ascii="Times New Roman" w:hAnsi="Times New Roman" w:cs="Times New Roman"/>
          <w:bCs/>
          <w:sz w:val="24"/>
          <w:szCs w:val="24"/>
        </w:rPr>
        <w:t>) and stock return volatility (</w:t>
      </w:r>
      <w:r>
        <w:rPr>
          <w:rFonts w:ascii="Times New Roman" w:hAnsi="Times New Roman" w:cs="Times New Roman"/>
          <w:bCs/>
          <w:i/>
          <w:sz w:val="24"/>
          <w:szCs w:val="24"/>
        </w:rPr>
        <w:t>VOLA</w:t>
      </w:r>
      <w:r>
        <w:rPr>
          <w:rFonts w:ascii="Times New Roman" w:hAnsi="Times New Roman" w:cs="Times New Roman"/>
          <w:bCs/>
          <w:sz w:val="24"/>
          <w:szCs w:val="24"/>
        </w:rPr>
        <w:t>) have a significant positive association with overvaluation at the 1% level. Firm size (</w:t>
      </w:r>
      <w:r>
        <w:rPr>
          <w:rFonts w:ascii="Times New Roman" w:hAnsi="Times New Roman" w:cs="Times New Roman"/>
          <w:bCs/>
          <w:i/>
          <w:sz w:val="24"/>
          <w:szCs w:val="24"/>
        </w:rPr>
        <w:t>SIZE</w:t>
      </w:r>
      <w:r>
        <w:rPr>
          <w:rFonts w:ascii="Times New Roman" w:hAnsi="Times New Roman" w:cs="Times New Roman"/>
          <w:bCs/>
          <w:sz w:val="24"/>
          <w:szCs w:val="24"/>
        </w:rPr>
        <w:t>) and analyst following (</w:t>
      </w:r>
      <w:r>
        <w:rPr>
          <w:rFonts w:ascii="Times New Roman" w:hAnsi="Times New Roman" w:cs="Times New Roman"/>
          <w:bCs/>
          <w:i/>
          <w:sz w:val="24"/>
          <w:szCs w:val="24"/>
        </w:rPr>
        <w:t>AF</w:t>
      </w:r>
      <w:r>
        <w:rPr>
          <w:rFonts w:ascii="Times New Roman" w:hAnsi="Times New Roman" w:cs="Times New Roman"/>
          <w:bCs/>
          <w:sz w:val="24"/>
          <w:szCs w:val="24"/>
        </w:rPr>
        <w:t xml:space="preserve">) are not significant. The results are consistent irrespective of presence or type of fixed effects. </w:t>
      </w:r>
    </w:p>
    <w:p w:rsidR="007D5A45" w:rsidRDefault="007D5A45">
      <w:pPr>
        <w:spacing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In columns 4 to 6 of Panel A (based on </w:t>
      </w:r>
      <w:r>
        <w:rPr>
          <w:rFonts w:ascii="Times New Roman" w:hAnsi="Times New Roman" w:cs="Times New Roman"/>
          <w:bCs/>
          <w:i/>
          <w:sz w:val="24"/>
          <w:szCs w:val="24"/>
        </w:rPr>
        <w:t>EPS_MB</w:t>
      </w:r>
      <w:r>
        <w:rPr>
          <w:rFonts w:ascii="Times New Roman" w:hAnsi="Times New Roman" w:cs="Times New Roman"/>
          <w:bCs/>
          <w:sz w:val="24"/>
          <w:szCs w:val="24"/>
        </w:rPr>
        <w:t xml:space="preserve">), the results show that providing adjusted earnings has a negative association with overvaluation (1% level). These results imply that providing pro forma earnings, that meet or beat analyst earnings forecasts (if only on a non-GAAP basis), leads to reduced overvaluation for the most overvalued stocks. These results are consistent and robust to those reported in Panel A. In addition, the fact that they are associated with lower overvaluation may also signal that investors still see through the firms’ attempt to provide positive adjusted numbers to deflect from a miss in GAAP earnings. Investors value firms using the GAAP numbers and do not fully buy into the firms’ adjusted earnings. Adjusted earnings that meet or beat analyst forecasts when the underlying GAAP earnings are a miss might be perceived negative by the market, hence a reduction in overvaluation. This finding is similar to Bhattacharya et al. (2003) </w:t>
      </w:r>
      <w:r w:rsidR="005816D8">
        <w:rPr>
          <w:rFonts w:ascii="Times New Roman" w:hAnsi="Times New Roman" w:cs="Times New Roman"/>
          <w:bCs/>
          <w:sz w:val="24"/>
          <w:szCs w:val="24"/>
        </w:rPr>
        <w:t xml:space="preserve">[9] </w:t>
      </w:r>
      <w:r>
        <w:rPr>
          <w:rFonts w:ascii="Times New Roman" w:hAnsi="Times New Roman" w:cs="Times New Roman"/>
          <w:bCs/>
          <w:sz w:val="24"/>
          <w:szCs w:val="24"/>
        </w:rPr>
        <w:t xml:space="preserve">who report that investors perceive this type of pro forma earnings to be less informative, and Doyle et al. (2013) </w:t>
      </w:r>
      <w:r w:rsidR="00DB3317">
        <w:rPr>
          <w:rFonts w:ascii="Times New Roman" w:hAnsi="Times New Roman" w:cs="Times New Roman"/>
          <w:bCs/>
          <w:sz w:val="24"/>
          <w:szCs w:val="24"/>
        </w:rPr>
        <w:t>[3</w:t>
      </w:r>
      <w:r w:rsidR="00BE4F45">
        <w:rPr>
          <w:rFonts w:ascii="Times New Roman" w:hAnsi="Times New Roman" w:cs="Times New Roman"/>
          <w:bCs/>
          <w:sz w:val="24"/>
          <w:szCs w:val="24"/>
        </w:rPr>
        <w:t>3]</w:t>
      </w:r>
      <w:r w:rsidR="00DB3317">
        <w:rPr>
          <w:rFonts w:ascii="Times New Roman" w:hAnsi="Times New Roman" w:cs="Times New Roman"/>
          <w:bCs/>
          <w:sz w:val="24"/>
          <w:szCs w:val="24"/>
        </w:rPr>
        <w:t xml:space="preserve"> </w:t>
      </w:r>
      <w:r>
        <w:rPr>
          <w:rFonts w:ascii="Times New Roman" w:hAnsi="Times New Roman" w:cs="Times New Roman"/>
          <w:bCs/>
          <w:sz w:val="24"/>
          <w:szCs w:val="24"/>
        </w:rPr>
        <w:t>showing that</w:t>
      </w:r>
      <w:r>
        <w:t xml:space="preserve"> </w:t>
      </w:r>
      <w:r>
        <w:rPr>
          <w:rFonts w:ascii="Times New Roman" w:hAnsi="Times New Roman" w:cs="Times New Roman"/>
          <w:bCs/>
          <w:sz w:val="24"/>
          <w:szCs w:val="24"/>
        </w:rPr>
        <w:t xml:space="preserve">investors discount positive earnings surprises when accompanied by exclusions from GAAP earnings. The results for the control variables are the same as for the model using </w:t>
      </w:r>
      <w:r>
        <w:rPr>
          <w:rFonts w:ascii="Times New Roman" w:hAnsi="Times New Roman" w:cs="Times New Roman"/>
          <w:bCs/>
          <w:i/>
          <w:sz w:val="24"/>
          <w:szCs w:val="24"/>
        </w:rPr>
        <w:t>EPS_PF</w:t>
      </w:r>
      <w:r>
        <w:rPr>
          <w:rFonts w:ascii="Times New Roman" w:hAnsi="Times New Roman" w:cs="Times New Roman"/>
          <w:bCs/>
          <w:sz w:val="24"/>
          <w:szCs w:val="24"/>
        </w:rPr>
        <w:t>. Analyst earnings forecast dispersion (</w:t>
      </w:r>
      <w:r>
        <w:rPr>
          <w:rFonts w:ascii="Times New Roman" w:hAnsi="Times New Roman" w:cs="Times New Roman"/>
          <w:bCs/>
          <w:i/>
          <w:sz w:val="24"/>
          <w:szCs w:val="24"/>
        </w:rPr>
        <w:t>DISP</w:t>
      </w:r>
      <w:r>
        <w:rPr>
          <w:rFonts w:ascii="Times New Roman" w:hAnsi="Times New Roman" w:cs="Times New Roman"/>
          <w:bCs/>
          <w:sz w:val="24"/>
          <w:szCs w:val="24"/>
        </w:rPr>
        <w:t>) is negatively associated with overvaluation (1% level), whereas both leverage (</w:t>
      </w:r>
      <w:r>
        <w:rPr>
          <w:rFonts w:ascii="Times New Roman" w:hAnsi="Times New Roman" w:cs="Times New Roman"/>
          <w:bCs/>
          <w:i/>
          <w:sz w:val="24"/>
          <w:szCs w:val="24"/>
        </w:rPr>
        <w:t>LEV</w:t>
      </w:r>
      <w:r>
        <w:rPr>
          <w:rFonts w:ascii="Times New Roman" w:hAnsi="Times New Roman" w:cs="Times New Roman"/>
          <w:bCs/>
          <w:sz w:val="24"/>
          <w:szCs w:val="24"/>
        </w:rPr>
        <w:t>) and stock return volatility (</w:t>
      </w:r>
      <w:r>
        <w:rPr>
          <w:rFonts w:ascii="Times New Roman" w:hAnsi="Times New Roman" w:cs="Times New Roman"/>
          <w:bCs/>
          <w:i/>
          <w:sz w:val="24"/>
          <w:szCs w:val="24"/>
        </w:rPr>
        <w:t>VOLA</w:t>
      </w:r>
      <w:r>
        <w:rPr>
          <w:rFonts w:ascii="Times New Roman" w:hAnsi="Times New Roman" w:cs="Times New Roman"/>
          <w:bCs/>
          <w:sz w:val="24"/>
          <w:szCs w:val="24"/>
        </w:rPr>
        <w:t>) show a significant positive association (1% level). Firm size (</w:t>
      </w:r>
      <w:r>
        <w:rPr>
          <w:rFonts w:ascii="Times New Roman" w:hAnsi="Times New Roman" w:cs="Times New Roman"/>
          <w:bCs/>
          <w:i/>
          <w:sz w:val="24"/>
          <w:szCs w:val="24"/>
        </w:rPr>
        <w:t>SIZE</w:t>
      </w:r>
      <w:r>
        <w:rPr>
          <w:rFonts w:ascii="Times New Roman" w:hAnsi="Times New Roman" w:cs="Times New Roman"/>
          <w:bCs/>
          <w:sz w:val="24"/>
          <w:szCs w:val="24"/>
        </w:rPr>
        <w:t>) and analyst following (</w:t>
      </w:r>
      <w:r>
        <w:rPr>
          <w:rFonts w:ascii="Times New Roman" w:hAnsi="Times New Roman" w:cs="Times New Roman"/>
          <w:bCs/>
          <w:i/>
          <w:sz w:val="24"/>
          <w:szCs w:val="24"/>
        </w:rPr>
        <w:t>AF</w:t>
      </w:r>
      <w:r>
        <w:rPr>
          <w:rFonts w:ascii="Times New Roman" w:hAnsi="Times New Roman" w:cs="Times New Roman"/>
          <w:bCs/>
          <w:sz w:val="24"/>
          <w:szCs w:val="24"/>
        </w:rPr>
        <w:t>) are insignificant.</w:t>
      </w:r>
    </w:p>
    <w:p w:rsidR="007D5A45" w:rsidRDefault="007D5A45">
      <w:pPr>
        <w:spacing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Turning our attention to the least overvalued stocks in Panel B, there is not much of an effect of adjusted earnings measures on overvaluation. First, for the disclosure of adjusted earnings per se (</w:t>
      </w:r>
      <w:r>
        <w:rPr>
          <w:rFonts w:ascii="Times New Roman" w:hAnsi="Times New Roman" w:cs="Times New Roman"/>
          <w:bCs/>
          <w:i/>
          <w:sz w:val="24"/>
          <w:szCs w:val="24"/>
        </w:rPr>
        <w:t>EPS_PF</w:t>
      </w:r>
      <w:r>
        <w:rPr>
          <w:rFonts w:ascii="Times New Roman" w:hAnsi="Times New Roman" w:cs="Times New Roman"/>
          <w:bCs/>
          <w:sz w:val="24"/>
          <w:szCs w:val="24"/>
        </w:rPr>
        <w:t>, columns 7 to 9), there is a marginal effect (10% level) only for the model with firm and quarter fixed effects (column 9). The positive association indicates that providing pro forma earnings increases overvaluation for those stocks that are least overvalued, yet the effect is only marginal. In terms of control variables, the significant associations retain their significance levels (1%) but have the opposite sign to those reported in Panel A for the most overvalued stocks. Analyst earnings forecast dispersion (</w:t>
      </w:r>
      <w:r>
        <w:rPr>
          <w:rFonts w:ascii="Times New Roman" w:hAnsi="Times New Roman" w:cs="Times New Roman"/>
          <w:bCs/>
          <w:i/>
          <w:sz w:val="24"/>
          <w:szCs w:val="24"/>
        </w:rPr>
        <w:t>DISP</w:t>
      </w:r>
      <w:r>
        <w:rPr>
          <w:rFonts w:ascii="Times New Roman" w:hAnsi="Times New Roman" w:cs="Times New Roman"/>
          <w:bCs/>
          <w:sz w:val="24"/>
          <w:szCs w:val="24"/>
        </w:rPr>
        <w:t>) is positively associated with overvaluation. Both leverage (</w:t>
      </w:r>
      <w:r>
        <w:rPr>
          <w:rFonts w:ascii="Times New Roman" w:hAnsi="Times New Roman" w:cs="Times New Roman"/>
          <w:bCs/>
          <w:i/>
          <w:sz w:val="24"/>
          <w:szCs w:val="24"/>
        </w:rPr>
        <w:t>LEV</w:t>
      </w:r>
      <w:r>
        <w:rPr>
          <w:rFonts w:ascii="Times New Roman" w:hAnsi="Times New Roman" w:cs="Times New Roman"/>
          <w:bCs/>
          <w:sz w:val="24"/>
          <w:szCs w:val="24"/>
        </w:rPr>
        <w:t>) and stock return volatility (</w:t>
      </w:r>
      <w:r>
        <w:rPr>
          <w:rFonts w:ascii="Times New Roman" w:hAnsi="Times New Roman" w:cs="Times New Roman"/>
          <w:bCs/>
          <w:i/>
          <w:sz w:val="24"/>
          <w:szCs w:val="24"/>
        </w:rPr>
        <w:t>VOLA</w:t>
      </w:r>
      <w:r>
        <w:rPr>
          <w:rFonts w:ascii="Times New Roman" w:hAnsi="Times New Roman" w:cs="Times New Roman"/>
          <w:bCs/>
          <w:sz w:val="24"/>
          <w:szCs w:val="24"/>
        </w:rPr>
        <w:t>) have a significant negative association with overvaluation. Analyst following (</w:t>
      </w:r>
      <w:r>
        <w:rPr>
          <w:rFonts w:ascii="Times New Roman" w:hAnsi="Times New Roman" w:cs="Times New Roman"/>
          <w:bCs/>
          <w:i/>
          <w:sz w:val="24"/>
          <w:szCs w:val="24"/>
        </w:rPr>
        <w:t>AF</w:t>
      </w:r>
      <w:r>
        <w:rPr>
          <w:rFonts w:ascii="Times New Roman" w:hAnsi="Times New Roman" w:cs="Times New Roman"/>
          <w:bCs/>
          <w:sz w:val="24"/>
          <w:szCs w:val="24"/>
        </w:rPr>
        <w:t>) is significant positive at the 5% level. Firm size (</w:t>
      </w:r>
      <w:r>
        <w:rPr>
          <w:rFonts w:ascii="Times New Roman" w:hAnsi="Times New Roman" w:cs="Times New Roman"/>
          <w:bCs/>
          <w:i/>
          <w:sz w:val="24"/>
          <w:szCs w:val="24"/>
        </w:rPr>
        <w:t>SIZE</w:t>
      </w:r>
      <w:r>
        <w:rPr>
          <w:rFonts w:ascii="Times New Roman" w:hAnsi="Times New Roman" w:cs="Times New Roman"/>
          <w:bCs/>
          <w:sz w:val="24"/>
          <w:szCs w:val="24"/>
        </w:rPr>
        <w:t>) is significant positive (5% level) in the model with firm and quarter fixed effects (column 9).</w:t>
      </w:r>
    </w:p>
    <w:p w:rsidR="007D5A45" w:rsidRDefault="007D5A45">
      <w:pPr>
        <w:spacing w:line="480" w:lineRule="auto"/>
        <w:ind w:firstLine="426"/>
        <w:jc w:val="both"/>
        <w:rPr>
          <w:rFonts w:ascii="Times New Roman" w:hAnsi="Times New Roman" w:cs="Times New Roman"/>
          <w:bCs/>
          <w:color w:val="FF0000"/>
          <w:sz w:val="24"/>
          <w:szCs w:val="24"/>
        </w:rPr>
      </w:pPr>
      <w:r>
        <w:rPr>
          <w:rFonts w:ascii="Times New Roman" w:hAnsi="Times New Roman" w:cs="Times New Roman"/>
          <w:bCs/>
          <w:sz w:val="24"/>
          <w:szCs w:val="24"/>
        </w:rPr>
        <w:t>In columns 10 to 12 of Panel B (</w:t>
      </w:r>
      <w:r>
        <w:rPr>
          <w:rFonts w:ascii="Times New Roman" w:hAnsi="Times New Roman" w:cs="Times New Roman"/>
          <w:bCs/>
          <w:i/>
          <w:sz w:val="24"/>
          <w:szCs w:val="24"/>
        </w:rPr>
        <w:t>EPS_MB</w:t>
      </w:r>
      <w:r>
        <w:rPr>
          <w:rFonts w:ascii="Times New Roman" w:hAnsi="Times New Roman" w:cs="Times New Roman"/>
          <w:bCs/>
          <w:sz w:val="24"/>
          <w:szCs w:val="24"/>
        </w:rPr>
        <w:t>), an effect is found only for the model with firm and quarter fixed effects (column 12). Thus, there is a positive effect (5% level) of disclosing adjusted earnings that meet or beat analyst earnings forecasts on overvaluation for the least overvalued stocks. As to control variables, analyst earnings forecast dispersion (</w:t>
      </w:r>
      <w:r>
        <w:rPr>
          <w:rFonts w:ascii="Times New Roman" w:hAnsi="Times New Roman" w:cs="Times New Roman"/>
          <w:bCs/>
          <w:i/>
          <w:sz w:val="24"/>
          <w:szCs w:val="24"/>
        </w:rPr>
        <w:t>DISP</w:t>
      </w:r>
      <w:r>
        <w:rPr>
          <w:rFonts w:ascii="Times New Roman" w:hAnsi="Times New Roman" w:cs="Times New Roman"/>
          <w:bCs/>
          <w:sz w:val="24"/>
          <w:szCs w:val="24"/>
        </w:rPr>
        <w:t>), and analyst following (</w:t>
      </w:r>
      <w:r>
        <w:rPr>
          <w:rFonts w:ascii="Times New Roman" w:hAnsi="Times New Roman" w:cs="Times New Roman"/>
          <w:bCs/>
          <w:i/>
          <w:sz w:val="24"/>
          <w:szCs w:val="24"/>
        </w:rPr>
        <w:t>AF</w:t>
      </w:r>
      <w:r>
        <w:rPr>
          <w:rFonts w:ascii="Times New Roman" w:hAnsi="Times New Roman" w:cs="Times New Roman"/>
          <w:bCs/>
          <w:sz w:val="24"/>
          <w:szCs w:val="24"/>
        </w:rPr>
        <w:t>) are positively associated with overvaluation (at the 1% and 5% level, respectively). Stock return volatility (</w:t>
      </w:r>
      <w:r>
        <w:rPr>
          <w:rFonts w:ascii="Times New Roman" w:hAnsi="Times New Roman" w:cs="Times New Roman"/>
          <w:bCs/>
          <w:i/>
          <w:sz w:val="24"/>
          <w:szCs w:val="24"/>
        </w:rPr>
        <w:t>VOLA</w:t>
      </w:r>
      <w:r>
        <w:rPr>
          <w:rFonts w:ascii="Times New Roman" w:hAnsi="Times New Roman" w:cs="Times New Roman"/>
          <w:bCs/>
          <w:sz w:val="24"/>
          <w:szCs w:val="24"/>
        </w:rPr>
        <w:t>) and leverage (</w:t>
      </w:r>
      <w:r>
        <w:rPr>
          <w:rFonts w:ascii="Times New Roman" w:hAnsi="Times New Roman" w:cs="Times New Roman"/>
          <w:bCs/>
          <w:i/>
          <w:sz w:val="24"/>
          <w:szCs w:val="24"/>
        </w:rPr>
        <w:t>LEV</w:t>
      </w:r>
      <w:r>
        <w:rPr>
          <w:rFonts w:ascii="Times New Roman" w:hAnsi="Times New Roman" w:cs="Times New Roman"/>
          <w:bCs/>
          <w:sz w:val="24"/>
          <w:szCs w:val="24"/>
        </w:rPr>
        <w:t xml:space="preserve">) have a significant negative association with overvaluation for the least overvalued stocks. </w:t>
      </w:r>
    </w:p>
    <w:p w:rsidR="007D5A45" w:rsidRDefault="007D5A45">
      <w:pPr>
        <w:spacing w:line="48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Overall, that pro forma earnings reduce (increase) overvaluation for the most (least) overvalued stocks points to the role of adjusted earnings – it helps to narrow down firm value towards a value in between these two extremes, while still being in overvaluation territory. Hence, there is evidence that pro forma disclosures are value relevant. </w:t>
      </w:r>
    </w:p>
    <w:p w:rsidR="007D5A45" w:rsidRDefault="007D5A45" w:rsidP="00F94EAD">
      <w:pPr>
        <w:pStyle w:val="s2"/>
        <w:numPr>
          <w:ilvl w:val="1"/>
          <w:numId w:val="6"/>
        </w:numPr>
        <w:ind w:left="709"/>
      </w:pPr>
      <w:r>
        <w:lastRenderedPageBreak/>
        <w:t>The effect of pro forma earnings for high uncertainty stocks</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Next, I explore the role of analyst earnings forecast dispersion on the association between adjusted earnings and overvaluation, and potential differences between undervalued and overvalued firms. To test that, I include an interaction term between analyst earnings forecast dispersion and the pro forma earnings measure in the base model. The results are presented in Table 3. Panel A displays results for the most overvalued stocks and Panel B for the most undervalued stocks. </w:t>
      </w:r>
    </w:p>
    <w:p w:rsidR="007D5A45" w:rsidRDefault="007D5A45">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3 here]</w:t>
      </w:r>
    </w:p>
    <w:p w:rsidR="007D5A45" w:rsidRDefault="007D5A45" w:rsidP="00F94EA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columns 1 to 3 of Panel A of Table 3 (based on the pro forma measure </w:t>
      </w:r>
      <w:r>
        <w:rPr>
          <w:rFonts w:ascii="Times New Roman" w:hAnsi="Times New Roman" w:cs="Times New Roman"/>
          <w:i/>
          <w:sz w:val="24"/>
          <w:szCs w:val="24"/>
        </w:rPr>
        <w:t>EPS_PF</w:t>
      </w:r>
      <w:r>
        <w:rPr>
          <w:rFonts w:ascii="Times New Roman" w:hAnsi="Times New Roman" w:cs="Times New Roman"/>
          <w:sz w:val="24"/>
          <w:szCs w:val="24"/>
        </w:rPr>
        <w:t xml:space="preserve">), we observe that the coefficient on the interaction term is significantly positive (at the 1% level), while the coefficient for </w:t>
      </w:r>
      <w:r>
        <w:rPr>
          <w:rFonts w:ascii="Times New Roman" w:hAnsi="Times New Roman" w:cs="Times New Roman"/>
          <w:i/>
          <w:sz w:val="24"/>
          <w:szCs w:val="24"/>
        </w:rPr>
        <w:t>EPS_PF</w:t>
      </w:r>
      <w:r>
        <w:rPr>
          <w:rFonts w:ascii="Times New Roman" w:hAnsi="Times New Roman" w:cs="Times New Roman"/>
          <w:sz w:val="24"/>
          <w:szCs w:val="24"/>
        </w:rPr>
        <w:t xml:space="preserve"> remains significantly negative (also 1% level). This means that for firms with higher analyst earnings forecast dispersion, disclosing pro forma earnings is linked to increased overvaluation. Thus, while in general disclosing pro forma earnings can help reduce overvaluation for the most overvalued stocks, for firms with higher forecast dispersion we find the opposite relationship. This suggests that the overvaluation effect of high uncertainty (optimism) is stronger than the pro forma effect of reducing overvaluation, and outweighs the benefits of pro forma disclosure. This is consistent with the literature showing that high uncertainty (dispersion) stocks tend to be overvalued (e.g. </w:t>
      </w:r>
      <w:proofErr w:type="spellStart"/>
      <w:r>
        <w:rPr>
          <w:rFonts w:ascii="Times New Roman" w:hAnsi="Times New Roman" w:cs="Times New Roman"/>
          <w:sz w:val="24"/>
          <w:szCs w:val="24"/>
        </w:rPr>
        <w:t>Ackert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1997 [1];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Kalimipalli</w:t>
      </w:r>
      <w:proofErr w:type="spellEnd"/>
      <w:r>
        <w:rPr>
          <w:rFonts w:ascii="Times New Roman" w:hAnsi="Times New Roman" w:cs="Times New Roman"/>
          <w:sz w:val="24"/>
          <w:szCs w:val="24"/>
        </w:rPr>
        <w:t>, 2003 [3]). High uncertainty makes it easier for analysts to issue optimistic forecasts (</w:t>
      </w:r>
      <w:proofErr w:type="spellStart"/>
      <w:r>
        <w:rPr>
          <w:rFonts w:ascii="Times New Roman" w:hAnsi="Times New Roman" w:cs="Times New Roman"/>
          <w:sz w:val="24"/>
          <w:szCs w:val="24"/>
        </w:rPr>
        <w:t>Ackert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Athanassakos</w:t>
      </w:r>
      <w:proofErr w:type="spellEnd"/>
      <w:r>
        <w:rPr>
          <w:rFonts w:ascii="Times New Roman" w:hAnsi="Times New Roman" w:cs="Times New Roman"/>
          <w:sz w:val="24"/>
          <w:szCs w:val="24"/>
        </w:rPr>
        <w:t xml:space="preserve">, 1997 [1]), and analysts being less certain implies that potentially the information might be more </w:t>
      </w:r>
      <w:r w:rsidRPr="004B255F">
        <w:rPr>
          <w:rFonts w:ascii="Times New Roman" w:hAnsi="Times New Roman" w:cs="Times New Roman"/>
          <w:sz w:val="24"/>
          <w:szCs w:val="24"/>
        </w:rPr>
        <w:t xml:space="preserve">difficult </w:t>
      </w:r>
      <w:r w:rsidRPr="009F76E0">
        <w:rPr>
          <w:rFonts w:ascii="Times New Roman" w:hAnsi="Times New Roman" w:cs="Times New Roman"/>
          <w:sz w:val="24"/>
          <w:szCs w:val="24"/>
        </w:rPr>
        <w:t>to interpret to value shares precisely. It is possible that pro forma numbers</w:t>
      </w:r>
      <w:r w:rsidRPr="00F94EAD">
        <w:rPr>
          <w:rFonts w:ascii="Times New Roman" w:hAnsi="Times New Roman" w:cs="Times New Roman"/>
          <w:sz w:val="24"/>
          <w:szCs w:val="24"/>
        </w:rPr>
        <w:t xml:space="preserve"> issued by such firms could also be interpreted in different ways (or more difficult to interpret) by the market and thereby add to uncertainty.</w:t>
      </w:r>
      <w:r w:rsidRPr="009F76E0">
        <w:rPr>
          <w:rFonts w:ascii="Times New Roman" w:hAnsi="Times New Roman" w:cs="Times New Roman"/>
          <w:sz w:val="24"/>
          <w:szCs w:val="24"/>
        </w:rPr>
        <w:t xml:space="preserve"> This, in turn, would amplify overvaluation. In addition, </w:t>
      </w:r>
      <w:r w:rsidRPr="00F94EAD">
        <w:rPr>
          <w:rFonts w:ascii="Times New Roman" w:hAnsi="Times New Roman" w:cs="Times New Roman"/>
          <w:sz w:val="24"/>
          <w:szCs w:val="24"/>
        </w:rPr>
        <w:t>Bradshaw et al. (2018b)</w:t>
      </w:r>
      <w:r w:rsidR="008F492A">
        <w:rPr>
          <w:rFonts w:ascii="Times New Roman" w:hAnsi="Times New Roman" w:cs="Times New Roman"/>
          <w:sz w:val="24"/>
          <w:szCs w:val="24"/>
        </w:rPr>
        <w:t xml:space="preserve"> [19]</w:t>
      </w:r>
      <w:r w:rsidRPr="00F94EAD">
        <w:rPr>
          <w:rFonts w:ascii="Times New Roman" w:hAnsi="Times New Roman" w:cs="Times New Roman"/>
          <w:sz w:val="24"/>
          <w:szCs w:val="24"/>
        </w:rPr>
        <w:t xml:space="preserve"> show that </w:t>
      </w:r>
      <w:r w:rsidRPr="00F94EAD">
        <w:rPr>
          <w:rFonts w:ascii="Times New Roman" w:hAnsi="Times New Roman" w:cs="Times New Roman"/>
          <w:sz w:val="24"/>
          <w:szCs w:val="24"/>
        </w:rPr>
        <w:lastRenderedPageBreak/>
        <w:t>pro forma earnings decrease analyst consensus about future performance, which may also amplify existing uncertainty.</w:t>
      </w:r>
    </w:p>
    <w:p w:rsidR="007D5A45" w:rsidRDefault="007D5A45" w:rsidP="00F94EA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In terms of control variables, analyst earnings forecast dispersion (</w:t>
      </w:r>
      <w:r>
        <w:rPr>
          <w:rFonts w:ascii="Times New Roman" w:hAnsi="Times New Roman" w:cs="Times New Roman"/>
          <w:i/>
          <w:sz w:val="24"/>
          <w:szCs w:val="24"/>
        </w:rPr>
        <w:t>DISP</w:t>
      </w:r>
      <w:r>
        <w:rPr>
          <w:rFonts w:ascii="Times New Roman" w:hAnsi="Times New Roman" w:cs="Times New Roman"/>
          <w:sz w:val="24"/>
          <w:szCs w:val="24"/>
        </w:rPr>
        <w:t>) has a significant negative association with overvaluation (1% level). Leverage (</w:t>
      </w:r>
      <w:r>
        <w:rPr>
          <w:rFonts w:ascii="Times New Roman" w:hAnsi="Times New Roman" w:cs="Times New Roman"/>
          <w:i/>
          <w:sz w:val="24"/>
          <w:szCs w:val="24"/>
        </w:rPr>
        <w:t>LEV</w:t>
      </w:r>
      <w:r>
        <w:rPr>
          <w:rFonts w:ascii="Times New Roman" w:hAnsi="Times New Roman" w:cs="Times New Roman"/>
          <w:sz w:val="24"/>
          <w:szCs w:val="24"/>
        </w:rPr>
        <w:t>) and stock return volatility (</w:t>
      </w:r>
      <w:r>
        <w:rPr>
          <w:rFonts w:ascii="Times New Roman" w:hAnsi="Times New Roman" w:cs="Times New Roman"/>
          <w:i/>
          <w:sz w:val="24"/>
          <w:szCs w:val="24"/>
        </w:rPr>
        <w:t>VOLA</w:t>
      </w:r>
      <w:r>
        <w:rPr>
          <w:rFonts w:ascii="Times New Roman" w:hAnsi="Times New Roman" w:cs="Times New Roman"/>
          <w:sz w:val="24"/>
          <w:szCs w:val="24"/>
        </w:rPr>
        <w:t>) have a significant positive association with overvaluation at the 1% level. Firm size (</w:t>
      </w:r>
      <w:r>
        <w:rPr>
          <w:rFonts w:ascii="Times New Roman" w:hAnsi="Times New Roman" w:cs="Times New Roman"/>
          <w:i/>
          <w:sz w:val="24"/>
          <w:szCs w:val="24"/>
        </w:rPr>
        <w:t>SIZE</w:t>
      </w:r>
      <w:r>
        <w:rPr>
          <w:rFonts w:ascii="Times New Roman" w:hAnsi="Times New Roman" w:cs="Times New Roman"/>
          <w:sz w:val="24"/>
          <w:szCs w:val="24"/>
        </w:rPr>
        <w:t>) and analyst following (</w:t>
      </w:r>
      <w:r>
        <w:rPr>
          <w:rFonts w:ascii="Times New Roman" w:hAnsi="Times New Roman" w:cs="Times New Roman"/>
          <w:i/>
          <w:sz w:val="24"/>
          <w:szCs w:val="24"/>
        </w:rPr>
        <w:t>AF</w:t>
      </w:r>
      <w:r>
        <w:rPr>
          <w:rFonts w:ascii="Times New Roman" w:hAnsi="Times New Roman" w:cs="Times New Roman"/>
          <w:sz w:val="24"/>
          <w:szCs w:val="24"/>
        </w:rPr>
        <w:t>) are not significant.</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results for </w:t>
      </w:r>
      <w:r>
        <w:rPr>
          <w:rFonts w:ascii="Times New Roman" w:hAnsi="Times New Roman" w:cs="Times New Roman"/>
          <w:i/>
          <w:sz w:val="24"/>
          <w:szCs w:val="24"/>
        </w:rPr>
        <w:t>EPS_MB</w:t>
      </w:r>
      <w:r>
        <w:rPr>
          <w:rFonts w:ascii="Times New Roman" w:hAnsi="Times New Roman" w:cs="Times New Roman"/>
          <w:sz w:val="24"/>
          <w:szCs w:val="24"/>
        </w:rPr>
        <w:t xml:space="preserve"> (columns 4 to 6 of Panel A) are consistent with those above. While the most overvalued firms show a reduction in overvaluation, </w:t>
      </w:r>
      <w:r>
        <w:rPr>
          <w:rFonts w:ascii="Times New Roman" w:hAnsi="Times New Roman" w:cs="Times New Roman"/>
          <w:i/>
          <w:sz w:val="24"/>
          <w:szCs w:val="24"/>
        </w:rPr>
        <w:t>EPS_MB</w:t>
      </w:r>
      <w:r>
        <w:rPr>
          <w:rFonts w:ascii="Times New Roman" w:hAnsi="Times New Roman" w:cs="Times New Roman"/>
          <w:sz w:val="24"/>
          <w:szCs w:val="24"/>
        </w:rPr>
        <w:t xml:space="preserve"> increases overvaluation for those firms with higher analyst earnings forecast dispersion (1% level). This further strengthens the conclusion that for firms with higher uncertainty about their earnings, providing adjusted earnings adds to the uncertainty. Analyst earnings forecast dispersion (</w:t>
      </w:r>
      <w:r>
        <w:rPr>
          <w:rFonts w:ascii="Times New Roman" w:hAnsi="Times New Roman" w:cs="Times New Roman"/>
          <w:i/>
          <w:sz w:val="24"/>
          <w:szCs w:val="24"/>
        </w:rPr>
        <w:t>DISP</w:t>
      </w:r>
      <w:r>
        <w:rPr>
          <w:rFonts w:ascii="Times New Roman" w:hAnsi="Times New Roman" w:cs="Times New Roman"/>
          <w:sz w:val="24"/>
          <w:szCs w:val="24"/>
        </w:rPr>
        <w:t>) remains significant negative, leverage (</w:t>
      </w:r>
      <w:r>
        <w:rPr>
          <w:rFonts w:ascii="Times New Roman" w:hAnsi="Times New Roman" w:cs="Times New Roman"/>
          <w:i/>
          <w:sz w:val="24"/>
          <w:szCs w:val="24"/>
        </w:rPr>
        <w:t>LEV</w:t>
      </w:r>
      <w:r>
        <w:rPr>
          <w:rFonts w:ascii="Times New Roman" w:hAnsi="Times New Roman" w:cs="Times New Roman"/>
          <w:sz w:val="24"/>
          <w:szCs w:val="24"/>
        </w:rPr>
        <w:t>) and stock return volatility (</w:t>
      </w:r>
      <w:r>
        <w:rPr>
          <w:rFonts w:ascii="Times New Roman" w:hAnsi="Times New Roman" w:cs="Times New Roman"/>
          <w:i/>
          <w:sz w:val="24"/>
          <w:szCs w:val="24"/>
        </w:rPr>
        <w:t>VOLA</w:t>
      </w:r>
      <w:r>
        <w:rPr>
          <w:rFonts w:ascii="Times New Roman" w:hAnsi="Times New Roman" w:cs="Times New Roman"/>
          <w:sz w:val="24"/>
          <w:szCs w:val="24"/>
        </w:rPr>
        <w:t>) significant positive, while firm size (</w:t>
      </w:r>
      <w:r>
        <w:rPr>
          <w:rFonts w:ascii="Times New Roman" w:hAnsi="Times New Roman" w:cs="Times New Roman"/>
          <w:i/>
          <w:sz w:val="24"/>
          <w:szCs w:val="24"/>
        </w:rPr>
        <w:t>SIZE</w:t>
      </w:r>
      <w:r>
        <w:rPr>
          <w:rFonts w:ascii="Times New Roman" w:hAnsi="Times New Roman" w:cs="Times New Roman"/>
          <w:sz w:val="24"/>
          <w:szCs w:val="24"/>
        </w:rPr>
        <w:t>) and analyst following (</w:t>
      </w:r>
      <w:r>
        <w:rPr>
          <w:rFonts w:ascii="Times New Roman" w:hAnsi="Times New Roman" w:cs="Times New Roman"/>
          <w:i/>
          <w:sz w:val="24"/>
          <w:szCs w:val="24"/>
        </w:rPr>
        <w:t>AF</w:t>
      </w:r>
      <w:r>
        <w:rPr>
          <w:rFonts w:ascii="Times New Roman" w:hAnsi="Times New Roman" w:cs="Times New Roman"/>
          <w:sz w:val="24"/>
          <w:szCs w:val="24"/>
        </w:rPr>
        <w:t xml:space="preserve">) remain insignificant. </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 columns 7 to 9 of Panel B of Table 3 (based on </w:t>
      </w:r>
      <w:r>
        <w:rPr>
          <w:rFonts w:ascii="Times New Roman" w:hAnsi="Times New Roman" w:cs="Times New Roman"/>
          <w:i/>
          <w:sz w:val="24"/>
          <w:szCs w:val="24"/>
        </w:rPr>
        <w:t>EPS_PF</w:t>
      </w:r>
      <w:r>
        <w:rPr>
          <w:rFonts w:ascii="Times New Roman" w:hAnsi="Times New Roman" w:cs="Times New Roman"/>
          <w:sz w:val="24"/>
          <w:szCs w:val="24"/>
        </w:rPr>
        <w:t xml:space="preserve"> and for least overvalued stocks), the interaction term is significant negative (at the 1% level), while </w:t>
      </w:r>
      <w:r>
        <w:rPr>
          <w:rFonts w:ascii="Times New Roman" w:hAnsi="Times New Roman" w:cs="Times New Roman"/>
          <w:i/>
          <w:sz w:val="24"/>
          <w:szCs w:val="24"/>
        </w:rPr>
        <w:t>EPS_PF</w:t>
      </w:r>
      <w:r>
        <w:rPr>
          <w:rFonts w:ascii="Times New Roman" w:hAnsi="Times New Roman" w:cs="Times New Roman"/>
          <w:sz w:val="24"/>
          <w:szCs w:val="24"/>
        </w:rPr>
        <w:t xml:space="preserve"> itself becomes significant positive (1% level). This suggests that for the least overvalued firms with high analyst earnings forecast dispersion, disclosing pro forma earnings is associated with a reduction in overvaluation. Thus, for those firms, disclosing pro forma earnings provides useful information to the market that helps bring valuation closer to fundamental value. The control variables are consistent with the baseline model results in Table 2 (columns 7 to 9). Analyst earnings forecast dispersion (</w:t>
      </w:r>
      <w:r>
        <w:rPr>
          <w:rFonts w:ascii="Times New Roman" w:hAnsi="Times New Roman" w:cs="Times New Roman"/>
          <w:i/>
          <w:sz w:val="24"/>
          <w:szCs w:val="24"/>
        </w:rPr>
        <w:t>DISP</w:t>
      </w:r>
      <w:r>
        <w:rPr>
          <w:rFonts w:ascii="Times New Roman" w:hAnsi="Times New Roman" w:cs="Times New Roman"/>
          <w:sz w:val="24"/>
          <w:szCs w:val="24"/>
        </w:rPr>
        <w:t>) and analyst following (</w:t>
      </w:r>
      <w:r>
        <w:rPr>
          <w:rFonts w:ascii="Times New Roman" w:hAnsi="Times New Roman" w:cs="Times New Roman"/>
          <w:i/>
          <w:sz w:val="24"/>
          <w:szCs w:val="24"/>
        </w:rPr>
        <w:t>AF</w:t>
      </w:r>
      <w:r>
        <w:rPr>
          <w:rFonts w:ascii="Times New Roman" w:hAnsi="Times New Roman" w:cs="Times New Roman"/>
          <w:sz w:val="24"/>
          <w:szCs w:val="24"/>
        </w:rPr>
        <w:t>) are positively associated with overvaluation, while leverage (</w:t>
      </w:r>
      <w:r>
        <w:rPr>
          <w:rFonts w:ascii="Times New Roman" w:hAnsi="Times New Roman" w:cs="Times New Roman"/>
          <w:i/>
          <w:sz w:val="24"/>
          <w:szCs w:val="24"/>
        </w:rPr>
        <w:t>LEV</w:t>
      </w:r>
      <w:r>
        <w:rPr>
          <w:rFonts w:ascii="Times New Roman" w:hAnsi="Times New Roman" w:cs="Times New Roman"/>
          <w:sz w:val="24"/>
          <w:szCs w:val="24"/>
        </w:rPr>
        <w:t>) and stock return volatility (</w:t>
      </w:r>
      <w:r>
        <w:rPr>
          <w:rFonts w:ascii="Times New Roman" w:hAnsi="Times New Roman" w:cs="Times New Roman"/>
          <w:i/>
          <w:sz w:val="24"/>
          <w:szCs w:val="24"/>
        </w:rPr>
        <w:t>VOLA</w:t>
      </w:r>
      <w:r>
        <w:rPr>
          <w:rFonts w:ascii="Times New Roman" w:hAnsi="Times New Roman" w:cs="Times New Roman"/>
          <w:sz w:val="24"/>
          <w:szCs w:val="24"/>
        </w:rPr>
        <w:t>) have a significant negative association with overvaluation. Firm size (</w:t>
      </w:r>
      <w:r>
        <w:rPr>
          <w:rFonts w:ascii="Times New Roman" w:hAnsi="Times New Roman" w:cs="Times New Roman"/>
          <w:i/>
          <w:sz w:val="24"/>
          <w:szCs w:val="24"/>
        </w:rPr>
        <w:t>SIZE</w:t>
      </w:r>
      <w:r>
        <w:rPr>
          <w:rFonts w:ascii="Times New Roman" w:hAnsi="Times New Roman" w:cs="Times New Roman"/>
          <w:sz w:val="24"/>
          <w:szCs w:val="24"/>
        </w:rPr>
        <w:t xml:space="preserve">) is insignificant. In columns 10 to 12 of Panel B (based on </w:t>
      </w:r>
      <w:r>
        <w:rPr>
          <w:rFonts w:ascii="Times New Roman" w:hAnsi="Times New Roman" w:cs="Times New Roman"/>
          <w:i/>
          <w:sz w:val="24"/>
          <w:szCs w:val="24"/>
        </w:rPr>
        <w:t xml:space="preserve">EPS_MB </w:t>
      </w:r>
      <w:r>
        <w:rPr>
          <w:rFonts w:ascii="Times New Roman" w:hAnsi="Times New Roman" w:cs="Times New Roman"/>
          <w:sz w:val="24"/>
          <w:szCs w:val="24"/>
        </w:rPr>
        <w:t xml:space="preserve">and for least overvalued stocks), we see that providing adjusted </w:t>
      </w:r>
      <w:r>
        <w:rPr>
          <w:rFonts w:ascii="Times New Roman" w:hAnsi="Times New Roman" w:cs="Times New Roman"/>
          <w:sz w:val="24"/>
          <w:szCs w:val="24"/>
        </w:rPr>
        <w:lastRenderedPageBreak/>
        <w:t>earnings reduces overvaluation (1% level) for this group of stocks, suggesting that providing pro forma earnings that enable firms to meet or beat analyst earnings forecasts when GAAP earnings fall short of forecasts can help price shares more accurately for high uncertainty stocks.</w:t>
      </w:r>
    </w:p>
    <w:p w:rsidR="007D5A45" w:rsidRDefault="007D5A45">
      <w:pPr>
        <w:spacing w:line="480" w:lineRule="auto"/>
        <w:ind w:firstLine="426"/>
        <w:jc w:val="both"/>
        <w:rPr>
          <w:rFonts w:ascii="Times New Roman" w:hAnsi="Times New Roman" w:cs="Times New Roman"/>
          <w:sz w:val="24"/>
          <w:szCs w:val="24"/>
        </w:rPr>
      </w:pPr>
    </w:p>
    <w:p w:rsidR="007D5A45" w:rsidRDefault="007D5A45" w:rsidP="00F94EAD">
      <w:pPr>
        <w:pStyle w:val="s2"/>
        <w:numPr>
          <w:ilvl w:val="1"/>
          <w:numId w:val="6"/>
        </w:numPr>
        <w:ind w:left="709"/>
      </w:pPr>
      <w:r>
        <w:t>Additional tests</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 carry out a number of further tests to provide additional evidence and test the robustness of our results. First, it is possible the market may take time to fully incorporate the information into prices. I therefore test the effect of pro forma disclosure on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one quarter after the earnings release. Table 4 presents the results of the tests of the effect of pro forma disclosure on overvaluation one quarter ahead, thus whether adjusted earnings affect overvaluation in </w:t>
      </w:r>
      <w:r>
        <w:rPr>
          <w:rFonts w:ascii="Times New Roman" w:hAnsi="Times New Roman" w:cs="Times New Roman"/>
          <w:i/>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I focus on overall overvaluation instead of separating into most (least) overvalued firms as previously and use a Tobit model for the analysis; the sample is reduced to 715 observations due to data limitations for Q</w:t>
      </w:r>
      <w:r>
        <w:rPr>
          <w:rFonts w:ascii="Times New Roman" w:hAnsi="Times New Roman" w:cs="Times New Roman"/>
          <w:sz w:val="24"/>
          <w:szCs w:val="24"/>
          <w:vertAlign w:val="subscript"/>
        </w:rPr>
        <w:t>t+1</w:t>
      </w:r>
      <w:r>
        <w:rPr>
          <w:rFonts w:ascii="Times New Roman" w:hAnsi="Times New Roman" w:cs="Times New Roman"/>
          <w:sz w:val="24"/>
          <w:szCs w:val="24"/>
        </w:rPr>
        <w:t>.</w:t>
      </w:r>
      <w:r>
        <w:rPr>
          <w:rStyle w:val="FootnoteAnchor"/>
          <w:rFonts w:ascii="Times New Roman" w:hAnsi="Times New Roman" w:cs="Times New Roman"/>
          <w:sz w:val="24"/>
          <w:szCs w:val="24"/>
        </w:rPr>
        <w:footnoteReference w:id="12"/>
      </w:r>
    </w:p>
    <w:p w:rsidR="007D5A45" w:rsidRDefault="007D5A45">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4 here]</w:t>
      </w:r>
    </w:p>
    <w:p w:rsidR="007D5A45" w:rsidRDefault="007D5A45">
      <w:pPr>
        <w:spacing w:line="480" w:lineRule="auto"/>
        <w:jc w:val="both"/>
        <w:rPr>
          <w:rFonts w:ascii="Times New Roman" w:hAnsi="Times New Roman" w:cs="Times New Roman"/>
          <w:sz w:val="24"/>
          <w:szCs w:val="24"/>
        </w:rPr>
      </w:pPr>
      <w:r>
        <w:rPr>
          <w:rFonts w:ascii="Times New Roman" w:hAnsi="Times New Roman" w:cs="Times New Roman"/>
          <w:sz w:val="24"/>
          <w:szCs w:val="24"/>
        </w:rPr>
        <w:t>In columns 1 to 3 of Table 4, we can observe that the disclosure of pro forma earnings per se (</w:t>
      </w:r>
      <w:r>
        <w:rPr>
          <w:rFonts w:ascii="Times New Roman" w:hAnsi="Times New Roman" w:cs="Times New Roman"/>
          <w:i/>
          <w:sz w:val="24"/>
          <w:szCs w:val="24"/>
        </w:rPr>
        <w:t>EPS_PF</w:t>
      </w:r>
      <w:r>
        <w:rPr>
          <w:rFonts w:ascii="Times New Roman" w:hAnsi="Times New Roman" w:cs="Times New Roman"/>
          <w:sz w:val="24"/>
          <w:szCs w:val="24"/>
        </w:rPr>
        <w:t>) is associated with less overvaluation in Q</w:t>
      </w:r>
      <w:r>
        <w:rPr>
          <w:rFonts w:ascii="Times New Roman" w:hAnsi="Times New Roman" w:cs="Times New Roman"/>
          <w:sz w:val="24"/>
          <w:szCs w:val="24"/>
          <w:vertAlign w:val="subscript"/>
        </w:rPr>
        <w:t xml:space="preserve">t+1 </w:t>
      </w:r>
      <w:r>
        <w:rPr>
          <w:rFonts w:ascii="Times New Roman" w:hAnsi="Times New Roman" w:cs="Times New Roman"/>
          <w:sz w:val="24"/>
          <w:szCs w:val="24"/>
        </w:rPr>
        <w:t>(at the 1%</w:t>
      </w:r>
      <w:r>
        <w:rPr>
          <w:rFonts w:ascii="Times New Roman" w:hAnsi="Times New Roman" w:cs="Times New Roman"/>
          <w:sz w:val="24"/>
          <w:szCs w:val="24"/>
          <w:vertAlign w:val="subscript"/>
        </w:rPr>
        <w:t xml:space="preserve"> </w:t>
      </w:r>
      <w:r>
        <w:rPr>
          <w:rFonts w:ascii="Times New Roman" w:hAnsi="Times New Roman" w:cs="Times New Roman"/>
          <w:sz w:val="24"/>
          <w:szCs w:val="24"/>
        </w:rPr>
        <w:t>level), indicating that an effect of reducing overvaluation persists throughout the quarter following disclosure. In terms of controls variables, the coefficient for analyst forecast dispersion (</w:t>
      </w:r>
      <w:r>
        <w:rPr>
          <w:rFonts w:ascii="Times New Roman" w:hAnsi="Times New Roman" w:cs="Times New Roman"/>
          <w:i/>
          <w:sz w:val="24"/>
          <w:szCs w:val="24"/>
        </w:rPr>
        <w:t>DISP</w:t>
      </w:r>
      <w:r>
        <w:rPr>
          <w:rFonts w:ascii="Times New Roman" w:hAnsi="Times New Roman" w:cs="Times New Roman"/>
          <w:sz w:val="24"/>
          <w:szCs w:val="24"/>
        </w:rPr>
        <w:t>) is significant negative (1% level), whereas all other controls are significant positive (</w:t>
      </w:r>
      <w:r>
        <w:rPr>
          <w:rFonts w:ascii="Times New Roman" w:hAnsi="Times New Roman" w:cs="Times New Roman"/>
          <w:i/>
          <w:sz w:val="24"/>
          <w:szCs w:val="24"/>
        </w:rPr>
        <w:t>LEV</w:t>
      </w:r>
      <w:r>
        <w:rPr>
          <w:rFonts w:ascii="Times New Roman" w:hAnsi="Times New Roman" w:cs="Times New Roman"/>
          <w:sz w:val="24"/>
          <w:szCs w:val="24"/>
        </w:rPr>
        <w:t xml:space="preserve">, </w:t>
      </w:r>
      <w:r>
        <w:rPr>
          <w:rFonts w:ascii="Times New Roman" w:hAnsi="Times New Roman" w:cs="Times New Roman"/>
          <w:i/>
          <w:sz w:val="24"/>
          <w:szCs w:val="24"/>
        </w:rPr>
        <w:t>VOLA</w:t>
      </w:r>
      <w:r>
        <w:rPr>
          <w:rFonts w:ascii="Times New Roman" w:hAnsi="Times New Roman" w:cs="Times New Roman"/>
          <w:sz w:val="24"/>
          <w:szCs w:val="24"/>
        </w:rPr>
        <w:t xml:space="preserve">, </w:t>
      </w:r>
      <w:r>
        <w:rPr>
          <w:rFonts w:ascii="Times New Roman" w:hAnsi="Times New Roman" w:cs="Times New Roman"/>
          <w:i/>
          <w:sz w:val="24"/>
          <w:szCs w:val="24"/>
        </w:rPr>
        <w:t>AF</w:t>
      </w:r>
      <w:r>
        <w:rPr>
          <w:rFonts w:ascii="Times New Roman" w:hAnsi="Times New Roman" w:cs="Times New Roman"/>
          <w:sz w:val="24"/>
          <w:szCs w:val="24"/>
        </w:rPr>
        <w:t xml:space="preserve"> at the 1% level; </w:t>
      </w:r>
      <w:r>
        <w:rPr>
          <w:rFonts w:ascii="Times New Roman" w:hAnsi="Times New Roman" w:cs="Times New Roman"/>
          <w:i/>
          <w:sz w:val="24"/>
          <w:szCs w:val="24"/>
        </w:rPr>
        <w:t>SIZE</w:t>
      </w:r>
      <w:r>
        <w:rPr>
          <w:rFonts w:ascii="Times New Roman" w:hAnsi="Times New Roman" w:cs="Times New Roman"/>
          <w:sz w:val="24"/>
          <w:szCs w:val="24"/>
        </w:rPr>
        <w:t xml:space="preserve"> at the 5% level but insignificant when firm and quarter fixed effects are included). Next, the results for </w:t>
      </w:r>
      <w:r>
        <w:rPr>
          <w:rFonts w:ascii="Times New Roman" w:hAnsi="Times New Roman" w:cs="Times New Roman"/>
          <w:i/>
          <w:sz w:val="24"/>
          <w:szCs w:val="24"/>
        </w:rPr>
        <w:t>EPS_MB</w:t>
      </w:r>
      <w:r>
        <w:rPr>
          <w:rFonts w:ascii="Times New Roman" w:hAnsi="Times New Roman" w:cs="Times New Roman"/>
          <w:sz w:val="24"/>
          <w:szCs w:val="24"/>
        </w:rPr>
        <w:t xml:space="preserve"> (columns 4 to 6) show that providing adjusted earnings is also associated with lower overvaluation in Q</w:t>
      </w:r>
      <w:r>
        <w:rPr>
          <w:rFonts w:ascii="Times New Roman" w:hAnsi="Times New Roman" w:cs="Times New Roman"/>
          <w:sz w:val="24"/>
          <w:szCs w:val="24"/>
          <w:vertAlign w:val="subscript"/>
        </w:rPr>
        <w:t>t+1</w:t>
      </w:r>
      <w:r>
        <w:rPr>
          <w:rFonts w:ascii="Times New Roman" w:hAnsi="Times New Roman" w:cs="Times New Roman"/>
          <w:sz w:val="24"/>
          <w:szCs w:val="24"/>
        </w:rPr>
        <w:t xml:space="preserve">. Thus, providing this type of pro forma </w:t>
      </w:r>
      <w:r>
        <w:rPr>
          <w:rFonts w:ascii="Times New Roman" w:hAnsi="Times New Roman" w:cs="Times New Roman"/>
          <w:sz w:val="24"/>
          <w:szCs w:val="24"/>
        </w:rPr>
        <w:lastRenderedPageBreak/>
        <w:t xml:space="preserve">earnings has an effect that persists into the following quarter. Control variables show associations consistent with those in the </w:t>
      </w:r>
      <w:r>
        <w:rPr>
          <w:rFonts w:ascii="Times New Roman" w:hAnsi="Times New Roman" w:cs="Times New Roman"/>
          <w:i/>
          <w:sz w:val="24"/>
          <w:szCs w:val="24"/>
        </w:rPr>
        <w:t>EPS_PF</w:t>
      </w:r>
      <w:r>
        <w:rPr>
          <w:rFonts w:ascii="Times New Roman" w:hAnsi="Times New Roman" w:cs="Times New Roman"/>
          <w:sz w:val="24"/>
          <w:szCs w:val="24"/>
        </w:rPr>
        <w:t xml:space="preserve"> model in columns 1 to 3. </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second additional analysis is to test the robustness of the results to the choice of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measure. Tobin’s Q is another measure </w:t>
      </w:r>
      <w:r w:rsidRPr="00177546">
        <w:rPr>
          <w:rFonts w:ascii="Times New Roman" w:hAnsi="Times New Roman" w:cs="Times New Roman"/>
          <w:sz w:val="24"/>
          <w:szCs w:val="24"/>
        </w:rPr>
        <w:t xml:space="preserve">for </w:t>
      </w:r>
      <w:proofErr w:type="spellStart"/>
      <w:r w:rsidRPr="00177546">
        <w:rPr>
          <w:rFonts w:ascii="Times New Roman" w:hAnsi="Times New Roman" w:cs="Times New Roman"/>
          <w:sz w:val="24"/>
          <w:szCs w:val="24"/>
        </w:rPr>
        <w:t>misvaluation</w:t>
      </w:r>
      <w:proofErr w:type="spellEnd"/>
      <w:r w:rsidRPr="00177546">
        <w:rPr>
          <w:rFonts w:ascii="Times New Roman" w:hAnsi="Times New Roman" w:cs="Times New Roman"/>
          <w:sz w:val="24"/>
          <w:szCs w:val="24"/>
        </w:rPr>
        <w:t xml:space="preserve"> frequently used in the literature (e.g. Dong et al., 200</w:t>
      </w:r>
      <w:r w:rsidR="00580876">
        <w:rPr>
          <w:rFonts w:ascii="Times New Roman" w:hAnsi="Times New Roman" w:cs="Times New Roman"/>
          <w:sz w:val="24"/>
          <w:szCs w:val="24"/>
        </w:rPr>
        <w:t>6</w:t>
      </w:r>
      <w:r w:rsidR="009A3046">
        <w:rPr>
          <w:rFonts w:ascii="Times New Roman" w:hAnsi="Times New Roman" w:cs="Times New Roman"/>
          <w:sz w:val="24"/>
          <w:szCs w:val="24"/>
        </w:rPr>
        <w:t xml:space="preserve"> [3</w:t>
      </w:r>
      <w:r w:rsidR="00BE4F45">
        <w:rPr>
          <w:rFonts w:ascii="Times New Roman" w:hAnsi="Times New Roman" w:cs="Times New Roman"/>
          <w:sz w:val="24"/>
          <w:szCs w:val="24"/>
        </w:rPr>
        <w:t>1</w:t>
      </w:r>
      <w:r w:rsidR="009A3046">
        <w:rPr>
          <w:rFonts w:ascii="Times New Roman" w:hAnsi="Times New Roman" w:cs="Times New Roman"/>
          <w:sz w:val="24"/>
          <w:szCs w:val="24"/>
        </w:rPr>
        <w:t>]</w:t>
      </w:r>
      <w:r w:rsidRPr="00177546">
        <w:rPr>
          <w:rFonts w:ascii="Times New Roman" w:hAnsi="Times New Roman" w:cs="Times New Roman"/>
          <w:sz w:val="24"/>
          <w:szCs w:val="24"/>
        </w:rPr>
        <w:t>; Moeller et al., 2004</w:t>
      </w:r>
      <w:r w:rsidR="0063425A">
        <w:rPr>
          <w:rFonts w:ascii="Times New Roman" w:hAnsi="Times New Roman" w:cs="Times New Roman"/>
          <w:sz w:val="24"/>
          <w:szCs w:val="24"/>
        </w:rPr>
        <w:t xml:space="preserve"> [5</w:t>
      </w:r>
      <w:r w:rsidR="0020189E">
        <w:rPr>
          <w:rFonts w:ascii="Times New Roman" w:hAnsi="Times New Roman" w:cs="Times New Roman"/>
          <w:sz w:val="24"/>
          <w:szCs w:val="24"/>
        </w:rPr>
        <w:t>6</w:t>
      </w:r>
      <w:r w:rsidR="0063425A">
        <w:rPr>
          <w:rFonts w:ascii="Times New Roman" w:hAnsi="Times New Roman" w:cs="Times New Roman"/>
          <w:sz w:val="24"/>
          <w:szCs w:val="24"/>
        </w:rPr>
        <w:t>]</w:t>
      </w:r>
      <w:r w:rsidRPr="00177546">
        <w:rPr>
          <w:rFonts w:ascii="Times New Roman" w:hAnsi="Times New Roman" w:cs="Times New Roman"/>
          <w:sz w:val="24"/>
          <w:szCs w:val="24"/>
        </w:rPr>
        <w:t>). I re-examine the baseline model (Table 2) and the analyst forecast model (Table 3) by usin</w:t>
      </w:r>
      <w:r>
        <w:rPr>
          <w:rFonts w:ascii="Times New Roman" w:hAnsi="Times New Roman" w:cs="Times New Roman"/>
          <w:sz w:val="24"/>
          <w:szCs w:val="24"/>
        </w:rPr>
        <w:t xml:space="preserve">g Tobin’s Q instead of </w:t>
      </w:r>
      <w:r>
        <w:rPr>
          <w:rFonts w:ascii="Times New Roman" w:hAnsi="Times New Roman" w:cs="Times New Roman"/>
          <w:i/>
          <w:sz w:val="24"/>
          <w:szCs w:val="24"/>
        </w:rPr>
        <w:t>MTB</w:t>
      </w:r>
      <w:r>
        <w:rPr>
          <w:rFonts w:ascii="Times New Roman" w:hAnsi="Times New Roman" w:cs="Times New Roman"/>
          <w:sz w:val="24"/>
          <w:szCs w:val="24"/>
        </w:rPr>
        <w:t xml:space="preserve"> as a proxy for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Table 5 (corresponding to the baseline model) shows that the results are consistent with the main results in Table 2. For the most overvalued stocks in Panel A, most importantly, both </w:t>
      </w:r>
      <w:r>
        <w:rPr>
          <w:rFonts w:ascii="Times New Roman" w:hAnsi="Times New Roman" w:cs="Times New Roman"/>
          <w:i/>
          <w:sz w:val="24"/>
          <w:szCs w:val="24"/>
        </w:rPr>
        <w:t>EPS_PF</w:t>
      </w:r>
      <w:r>
        <w:rPr>
          <w:rFonts w:ascii="Times New Roman" w:hAnsi="Times New Roman" w:cs="Times New Roman"/>
          <w:sz w:val="24"/>
          <w:szCs w:val="24"/>
        </w:rPr>
        <w:t xml:space="preserve"> and </w:t>
      </w:r>
      <w:r>
        <w:rPr>
          <w:rFonts w:ascii="Times New Roman" w:hAnsi="Times New Roman" w:cs="Times New Roman"/>
          <w:i/>
          <w:sz w:val="24"/>
          <w:szCs w:val="24"/>
        </w:rPr>
        <w:t>EPS_MB</w:t>
      </w:r>
      <w:r>
        <w:rPr>
          <w:rFonts w:ascii="Times New Roman" w:hAnsi="Times New Roman" w:cs="Times New Roman"/>
          <w:sz w:val="24"/>
          <w:szCs w:val="24"/>
        </w:rPr>
        <w:t xml:space="preserve"> remain significant negative at the 1% level. The control variables are also mostly in line with the main analysis. For the least overvalued stocks in Panel B, while the results for </w:t>
      </w:r>
      <w:r>
        <w:rPr>
          <w:rFonts w:ascii="Times New Roman" w:hAnsi="Times New Roman" w:cs="Times New Roman"/>
          <w:i/>
          <w:sz w:val="24"/>
          <w:szCs w:val="24"/>
        </w:rPr>
        <w:t>EPS_PF</w:t>
      </w:r>
      <w:r>
        <w:rPr>
          <w:rFonts w:ascii="Times New Roman" w:hAnsi="Times New Roman" w:cs="Times New Roman"/>
          <w:sz w:val="24"/>
          <w:szCs w:val="24"/>
        </w:rPr>
        <w:t xml:space="preserve"> are consistent with the main results, EPS_MB loses significance from a previous 5% level. The sign, however, is consistent (positive). </w:t>
      </w:r>
    </w:p>
    <w:p w:rsidR="007D5A45" w:rsidRDefault="007D5A45">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5 here]</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Turning to the interaction model in Table 6, the results are also consistent with the main results in Table 3. For the most overvalued stocks (Panel A), both </w:t>
      </w:r>
      <w:r>
        <w:rPr>
          <w:rFonts w:ascii="Times New Roman" w:hAnsi="Times New Roman" w:cs="Times New Roman"/>
          <w:i/>
          <w:sz w:val="24"/>
          <w:szCs w:val="24"/>
        </w:rPr>
        <w:t>EPS_PF</w:t>
      </w:r>
      <w:r>
        <w:rPr>
          <w:rFonts w:ascii="Times New Roman" w:hAnsi="Times New Roman" w:cs="Times New Roman"/>
          <w:sz w:val="24"/>
          <w:szCs w:val="24"/>
        </w:rPr>
        <w:t xml:space="preserve"> and </w:t>
      </w:r>
      <w:r>
        <w:rPr>
          <w:rFonts w:ascii="Times New Roman" w:hAnsi="Times New Roman" w:cs="Times New Roman"/>
          <w:i/>
          <w:sz w:val="24"/>
          <w:szCs w:val="24"/>
        </w:rPr>
        <w:t>EPS_BM</w:t>
      </w:r>
      <w:r>
        <w:rPr>
          <w:rFonts w:ascii="Times New Roman" w:hAnsi="Times New Roman" w:cs="Times New Roman"/>
          <w:sz w:val="24"/>
          <w:szCs w:val="24"/>
        </w:rPr>
        <w:t xml:space="preserve"> and the interaction terms remain significant negative (positive) at the 1% level. The control variables are largely consistent as well. For the least overvalued firms (Panel B), however, while the signs for both pro forma measures and interaction terms remain consistent, they are not significant when using Tobin’s Q. As to the control variables, most of them are in line with the main results, only analyst following (</w:t>
      </w:r>
      <w:r>
        <w:rPr>
          <w:rFonts w:ascii="Times New Roman" w:hAnsi="Times New Roman" w:cs="Times New Roman"/>
          <w:i/>
          <w:sz w:val="24"/>
          <w:szCs w:val="24"/>
        </w:rPr>
        <w:t>AF</w:t>
      </w:r>
      <w:r>
        <w:rPr>
          <w:rFonts w:ascii="Times New Roman" w:hAnsi="Times New Roman" w:cs="Times New Roman"/>
          <w:sz w:val="24"/>
          <w:szCs w:val="24"/>
        </w:rPr>
        <w:t xml:space="preserve">) loses significance. Taken together, the results from the robustness tests qualitatively support the main results that pro forma earnings disclosure reduces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for overvalued stocks.</w:t>
      </w:r>
    </w:p>
    <w:p w:rsidR="007D5A45" w:rsidRDefault="007D5A45">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6 here]</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Third, to provide more detail on the valuation effect of pro forma earnings, I restrict pro forma earnings to those that are higher than their reported GAAP quarterly operating profit (</w:t>
      </w:r>
      <w:proofErr w:type="spellStart"/>
      <w:r>
        <w:rPr>
          <w:rFonts w:ascii="Times New Roman" w:hAnsi="Times New Roman" w:cs="Times New Roman"/>
          <w:i/>
          <w:sz w:val="24"/>
          <w:szCs w:val="24"/>
        </w:rPr>
        <w:t>EPS_GAAPBeat</w:t>
      </w:r>
      <w:proofErr w:type="spellEnd"/>
      <w:r>
        <w:rPr>
          <w:rFonts w:ascii="Times New Roman" w:hAnsi="Times New Roman" w:cs="Times New Roman"/>
          <w:sz w:val="24"/>
          <w:szCs w:val="24"/>
        </w:rPr>
        <w:t>). These make up 40% of pro forma earnings disclosed in the sample.</w:t>
      </w:r>
      <w:r>
        <w:rPr>
          <w:rStyle w:val="FootnoteAnchor"/>
          <w:rFonts w:ascii="Times New Roman" w:hAnsi="Times New Roman" w:cs="Times New Roman"/>
          <w:sz w:val="24"/>
          <w:szCs w:val="24"/>
        </w:rPr>
        <w:footnoteReference w:id="13"/>
      </w:r>
      <w:r>
        <w:rPr>
          <w:rFonts w:ascii="Times New Roman" w:hAnsi="Times New Roman" w:cs="Times New Roman"/>
          <w:sz w:val="24"/>
          <w:szCs w:val="24"/>
        </w:rPr>
        <w:t xml:space="preserve"> The results are presented in Table 7. For the most overvalued firms (column 1-3) we can see that the results are not only consistent with the findings for the other pro forma measures, but the coefficients become even stronger. That means the strongest negative effect on overvaluation occurs when firms provide pro forma earnings that exceed GAAP earnings. It seems the market perceives such earnings as a negative signal for firm valuation for the most overvalued firms and therefore applies a larger discount. This may be driven by concerns about their credibility. </w:t>
      </w:r>
    </w:p>
    <w:p w:rsidR="007D5A45" w:rsidRDefault="007D5A45">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When focusing on the least overvalued firms (column 4-6) we see a significant positive effect on overpricing. This suggests that, while in general providing pro forma earnings does not affect valuation of the least overvalued firms, pro forma numbers that are higher than the reported GAAP numbers leads to increased overvaluation for the least overvalued firms. These results are similar to Johnson and Schwartz (2005) </w:t>
      </w:r>
      <w:r w:rsidR="00A3474C">
        <w:rPr>
          <w:rFonts w:ascii="Times New Roman" w:hAnsi="Times New Roman" w:cs="Times New Roman"/>
          <w:sz w:val="24"/>
          <w:szCs w:val="24"/>
        </w:rPr>
        <w:t>[4</w:t>
      </w:r>
      <w:r w:rsidR="0077028C">
        <w:rPr>
          <w:rFonts w:ascii="Times New Roman" w:hAnsi="Times New Roman" w:cs="Times New Roman"/>
          <w:sz w:val="24"/>
          <w:szCs w:val="24"/>
        </w:rPr>
        <w:t>6</w:t>
      </w:r>
      <w:r w:rsidR="00A3474C">
        <w:rPr>
          <w:rFonts w:ascii="Times New Roman" w:hAnsi="Times New Roman" w:cs="Times New Roman"/>
          <w:sz w:val="24"/>
          <w:szCs w:val="24"/>
        </w:rPr>
        <w:t xml:space="preserve">] </w:t>
      </w:r>
      <w:r>
        <w:rPr>
          <w:rFonts w:ascii="Times New Roman" w:hAnsi="Times New Roman" w:cs="Times New Roman"/>
          <w:sz w:val="24"/>
          <w:szCs w:val="24"/>
        </w:rPr>
        <w:t xml:space="preserve">who find that their pro forma disclosing firms with the lowest market values are overpriced. </w:t>
      </w:r>
    </w:p>
    <w:p w:rsidR="007D5A45" w:rsidRDefault="007D5A45">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7 here]</w:t>
      </w:r>
    </w:p>
    <w:p w:rsidR="00BA3EC7" w:rsidRDefault="007D5A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Fourth, prior studies show that different types of expenses exclusions are priced differently by the market, with some exclusions seemingly </w:t>
      </w:r>
      <w:proofErr w:type="spellStart"/>
      <w:r>
        <w:rPr>
          <w:rFonts w:ascii="Times New Roman" w:hAnsi="Times New Roman" w:cs="Times New Roman"/>
          <w:sz w:val="24"/>
          <w:szCs w:val="24"/>
        </w:rPr>
        <w:t>underpriced</w:t>
      </w:r>
      <w:proofErr w:type="spellEnd"/>
      <w:r>
        <w:rPr>
          <w:rFonts w:ascii="Times New Roman" w:hAnsi="Times New Roman" w:cs="Times New Roman"/>
          <w:sz w:val="24"/>
          <w:szCs w:val="24"/>
        </w:rPr>
        <w:t xml:space="preserve"> and others overpriced (e.g. Landsman et al., 2007</w:t>
      </w:r>
      <w:r w:rsidR="00E77F4C">
        <w:rPr>
          <w:rFonts w:ascii="Times New Roman" w:hAnsi="Times New Roman" w:cs="Times New Roman"/>
          <w:sz w:val="24"/>
          <w:szCs w:val="24"/>
        </w:rPr>
        <w:t xml:space="preserve"> [50]</w:t>
      </w:r>
      <w:r>
        <w:rPr>
          <w:rFonts w:ascii="Times New Roman" w:hAnsi="Times New Roman" w:cs="Times New Roman"/>
          <w:sz w:val="24"/>
          <w:szCs w:val="24"/>
        </w:rPr>
        <w:t>; Doyle et al., 2013</w:t>
      </w:r>
      <w:r w:rsidR="00DB3317">
        <w:rPr>
          <w:rFonts w:ascii="Times New Roman" w:hAnsi="Times New Roman" w:cs="Times New Roman"/>
          <w:sz w:val="24"/>
          <w:szCs w:val="24"/>
        </w:rPr>
        <w:t xml:space="preserve"> [3</w:t>
      </w:r>
      <w:r w:rsidR="00BE4F45">
        <w:rPr>
          <w:rFonts w:ascii="Times New Roman" w:hAnsi="Times New Roman" w:cs="Times New Roman"/>
          <w:sz w:val="24"/>
          <w:szCs w:val="24"/>
        </w:rPr>
        <w:t>3</w:t>
      </w:r>
      <w:r w:rsidR="00DB3317">
        <w:rPr>
          <w:rFonts w:ascii="Times New Roman" w:hAnsi="Times New Roman" w:cs="Times New Roman"/>
          <w:sz w:val="24"/>
          <w:szCs w:val="24"/>
        </w:rPr>
        <w:t>]</w:t>
      </w:r>
      <w:r>
        <w:rPr>
          <w:rFonts w:ascii="Times New Roman" w:hAnsi="Times New Roman" w:cs="Times New Roman"/>
          <w:sz w:val="24"/>
          <w:szCs w:val="24"/>
        </w:rPr>
        <w:t>), so I explore potential effects on mispricing. As in Doyle et al. (2013)</w:t>
      </w:r>
      <w:r w:rsidR="00DB3317">
        <w:rPr>
          <w:rFonts w:ascii="Times New Roman" w:hAnsi="Times New Roman" w:cs="Times New Roman"/>
          <w:sz w:val="24"/>
          <w:szCs w:val="24"/>
        </w:rPr>
        <w:t xml:space="preserve"> [3</w:t>
      </w:r>
      <w:r w:rsidR="00BE4F45">
        <w:rPr>
          <w:rFonts w:ascii="Times New Roman" w:hAnsi="Times New Roman" w:cs="Times New Roman"/>
          <w:sz w:val="24"/>
          <w:szCs w:val="24"/>
        </w:rPr>
        <w:t>3</w:t>
      </w:r>
      <w:r w:rsidR="00DB3317">
        <w:rPr>
          <w:rFonts w:ascii="Times New Roman" w:hAnsi="Times New Roman" w:cs="Times New Roman"/>
          <w:sz w:val="24"/>
          <w:szCs w:val="24"/>
        </w:rPr>
        <w:t>]</w:t>
      </w:r>
      <w:r>
        <w:rPr>
          <w:rFonts w:ascii="Times New Roman" w:hAnsi="Times New Roman" w:cs="Times New Roman"/>
          <w:sz w:val="24"/>
          <w:szCs w:val="24"/>
        </w:rPr>
        <w:t xml:space="preserve"> I focus on the effect for firms that meet or beat analyst earnings forecasts (</w:t>
      </w:r>
      <w:r>
        <w:rPr>
          <w:rFonts w:ascii="Times New Roman" w:hAnsi="Times New Roman" w:cs="Times New Roman"/>
          <w:i/>
          <w:sz w:val="24"/>
          <w:szCs w:val="24"/>
        </w:rPr>
        <w:t>EPS_</w:t>
      </w:r>
      <w:r>
        <w:rPr>
          <w:rFonts w:ascii="Times New Roman" w:hAnsi="Times New Roman" w:cs="Times New Roman"/>
          <w:i/>
          <w:sz w:val="24"/>
          <w:szCs w:val="24"/>
          <w:vertAlign w:val="subscript"/>
        </w:rPr>
        <w:t>MB</w:t>
      </w:r>
      <w:r>
        <w:rPr>
          <w:rFonts w:ascii="Times New Roman" w:hAnsi="Times New Roman" w:cs="Times New Roman"/>
          <w:sz w:val="24"/>
          <w:szCs w:val="24"/>
        </w:rPr>
        <w:t>) using income-increasing exclusions. Doyle et al. (2013)</w:t>
      </w:r>
      <w:r w:rsidR="00DB3317">
        <w:rPr>
          <w:rFonts w:ascii="Times New Roman" w:hAnsi="Times New Roman" w:cs="Times New Roman"/>
          <w:sz w:val="24"/>
          <w:szCs w:val="24"/>
        </w:rPr>
        <w:t xml:space="preserve"> </w:t>
      </w:r>
      <w:r w:rsidR="00DB3317">
        <w:rPr>
          <w:rFonts w:ascii="Times New Roman" w:hAnsi="Times New Roman" w:cs="Times New Roman"/>
          <w:sz w:val="24"/>
          <w:szCs w:val="24"/>
        </w:rPr>
        <w:lastRenderedPageBreak/>
        <w:t>[32]</w:t>
      </w:r>
      <w:r>
        <w:rPr>
          <w:rFonts w:ascii="Times New Roman" w:hAnsi="Times New Roman" w:cs="Times New Roman"/>
          <w:sz w:val="24"/>
          <w:szCs w:val="24"/>
        </w:rPr>
        <w:t xml:space="preserve"> find that investors discount them, potentially since such exclusions are considered less credible. I follow previous studies (see Doyle et al., 2013</w:t>
      </w:r>
      <w:r w:rsidR="00DB3317">
        <w:rPr>
          <w:rFonts w:ascii="Times New Roman" w:hAnsi="Times New Roman" w:cs="Times New Roman"/>
          <w:sz w:val="24"/>
          <w:szCs w:val="24"/>
        </w:rPr>
        <w:t xml:space="preserve"> [3</w:t>
      </w:r>
      <w:r w:rsidR="00873576">
        <w:rPr>
          <w:rFonts w:ascii="Times New Roman" w:hAnsi="Times New Roman" w:cs="Times New Roman"/>
          <w:sz w:val="24"/>
          <w:szCs w:val="24"/>
        </w:rPr>
        <w:t>3</w:t>
      </w:r>
      <w:r w:rsidR="00DB3317">
        <w:rPr>
          <w:rFonts w:ascii="Times New Roman" w:hAnsi="Times New Roman" w:cs="Times New Roman"/>
          <w:sz w:val="24"/>
          <w:szCs w:val="24"/>
        </w:rPr>
        <w:t>]</w:t>
      </w:r>
      <w:r>
        <w:rPr>
          <w:rFonts w:ascii="Times New Roman" w:hAnsi="Times New Roman" w:cs="Times New Roman"/>
          <w:sz w:val="24"/>
          <w:szCs w:val="24"/>
        </w:rPr>
        <w:t>; Landsman et al., 2007</w:t>
      </w:r>
      <w:r w:rsidR="00E77F4C">
        <w:rPr>
          <w:rFonts w:ascii="Times New Roman" w:hAnsi="Times New Roman" w:cs="Times New Roman"/>
          <w:sz w:val="24"/>
          <w:szCs w:val="24"/>
        </w:rPr>
        <w:t xml:space="preserve"> [50]</w:t>
      </w:r>
      <w:r>
        <w:rPr>
          <w:rFonts w:ascii="Times New Roman" w:hAnsi="Times New Roman" w:cs="Times New Roman"/>
          <w:sz w:val="24"/>
          <w:szCs w:val="24"/>
        </w:rPr>
        <w:t xml:space="preserve">, for details) and first calculate total exclusions to then decompose them. First, to generate </w:t>
      </w:r>
      <w:r>
        <w:rPr>
          <w:rFonts w:ascii="Times New Roman" w:hAnsi="Times New Roman" w:cs="Times New Roman"/>
          <w:i/>
          <w:sz w:val="24"/>
          <w:szCs w:val="24"/>
        </w:rPr>
        <w:t>Total Exclusions</w:t>
      </w:r>
      <w:r>
        <w:rPr>
          <w:rFonts w:ascii="Times New Roman" w:hAnsi="Times New Roman" w:cs="Times New Roman"/>
          <w:sz w:val="24"/>
          <w:szCs w:val="24"/>
        </w:rPr>
        <w:t>, the firm’s GAAP operating earnings per share (</w:t>
      </w:r>
      <w:r>
        <w:rPr>
          <w:rFonts w:ascii="Times New Roman" w:hAnsi="Times New Roman" w:cs="Times New Roman"/>
          <w:i/>
          <w:sz w:val="24"/>
          <w:szCs w:val="24"/>
        </w:rPr>
        <w:t>EPS_GAAP</w:t>
      </w:r>
      <w:r>
        <w:rPr>
          <w:rFonts w:ascii="Times New Roman" w:hAnsi="Times New Roman" w:cs="Times New Roman"/>
          <w:sz w:val="24"/>
          <w:szCs w:val="24"/>
        </w:rPr>
        <w:t>) are subtracted from its Pro forma earnings (</w:t>
      </w:r>
      <w:r>
        <w:rPr>
          <w:rFonts w:ascii="Times New Roman" w:hAnsi="Times New Roman" w:cs="Times New Roman"/>
          <w:i/>
          <w:sz w:val="24"/>
          <w:szCs w:val="24"/>
        </w:rPr>
        <w:t>EPS_PF</w:t>
      </w:r>
      <w:r>
        <w:rPr>
          <w:rFonts w:ascii="Times New Roman" w:hAnsi="Times New Roman" w:cs="Times New Roman"/>
          <w:sz w:val="24"/>
          <w:szCs w:val="24"/>
        </w:rPr>
        <w:t xml:space="preserve">) and subsequently </w:t>
      </w:r>
      <w:r>
        <w:rPr>
          <w:rFonts w:ascii="Times New Roman" w:hAnsi="Times New Roman" w:cs="Times New Roman"/>
          <w:i/>
          <w:sz w:val="24"/>
          <w:szCs w:val="24"/>
        </w:rPr>
        <w:t>Special Items</w:t>
      </w:r>
      <w:r>
        <w:rPr>
          <w:rFonts w:ascii="Times New Roman" w:hAnsi="Times New Roman" w:cs="Times New Roman"/>
          <w:sz w:val="24"/>
          <w:szCs w:val="24"/>
        </w:rPr>
        <w:t xml:space="preserve"> are subtracted from </w:t>
      </w:r>
      <w:r>
        <w:rPr>
          <w:rFonts w:ascii="Times New Roman" w:hAnsi="Times New Roman" w:cs="Times New Roman"/>
          <w:i/>
          <w:sz w:val="24"/>
          <w:szCs w:val="24"/>
        </w:rPr>
        <w:t>Total Exclusions</w:t>
      </w:r>
      <w:r>
        <w:rPr>
          <w:rFonts w:ascii="Times New Roman" w:hAnsi="Times New Roman" w:cs="Times New Roman"/>
          <w:sz w:val="24"/>
          <w:szCs w:val="24"/>
        </w:rPr>
        <w:t xml:space="preserve"> to arrive at </w:t>
      </w:r>
      <w:r>
        <w:rPr>
          <w:rFonts w:ascii="Times New Roman" w:hAnsi="Times New Roman" w:cs="Times New Roman"/>
          <w:i/>
          <w:sz w:val="24"/>
          <w:szCs w:val="24"/>
        </w:rPr>
        <w:t>Other Exclusions</w:t>
      </w:r>
      <w:r>
        <w:rPr>
          <w:rFonts w:ascii="Times New Roman" w:hAnsi="Times New Roman" w:cs="Times New Roman"/>
          <w:sz w:val="24"/>
          <w:szCs w:val="24"/>
        </w:rPr>
        <w:t>.</w:t>
      </w:r>
      <w:r>
        <w:rPr>
          <w:rStyle w:val="FootnoteAnchor"/>
          <w:rFonts w:ascii="Times New Roman" w:hAnsi="Times New Roman" w:cs="Times New Roman"/>
          <w:sz w:val="24"/>
          <w:szCs w:val="24"/>
        </w:rPr>
        <w:footnoteReference w:id="14"/>
      </w:r>
      <w:r>
        <w:rPr>
          <w:rFonts w:ascii="Times New Roman" w:hAnsi="Times New Roman" w:cs="Times New Roman"/>
          <w:sz w:val="24"/>
          <w:szCs w:val="24"/>
        </w:rPr>
        <w:t xml:space="preserve"> </w:t>
      </w:r>
      <w:r w:rsidR="00181591">
        <w:rPr>
          <w:rFonts w:ascii="Times New Roman" w:hAnsi="Times New Roman" w:cs="Times New Roman"/>
          <w:sz w:val="24"/>
          <w:szCs w:val="24"/>
        </w:rPr>
        <w:t>Interaction terms are created to identify firms with income-increasing exclusions (</w:t>
      </w:r>
      <w:r w:rsidR="00181591">
        <w:rPr>
          <w:rFonts w:ascii="Times New Roman" w:hAnsi="Times New Roman" w:cs="Times New Roman"/>
          <w:i/>
          <w:sz w:val="24"/>
          <w:szCs w:val="24"/>
        </w:rPr>
        <w:t>Total Exclusions</w:t>
      </w:r>
      <w:r w:rsidR="00181591">
        <w:rPr>
          <w:rFonts w:ascii="Times New Roman" w:hAnsi="Times New Roman" w:cs="Times New Roman"/>
          <w:sz w:val="24"/>
          <w:szCs w:val="24"/>
        </w:rPr>
        <w:t xml:space="preserve">, </w:t>
      </w:r>
      <w:r w:rsidR="00181591">
        <w:rPr>
          <w:rFonts w:ascii="Times New Roman" w:hAnsi="Times New Roman" w:cs="Times New Roman"/>
          <w:i/>
          <w:sz w:val="24"/>
          <w:szCs w:val="24"/>
        </w:rPr>
        <w:t>Special Items</w:t>
      </w:r>
      <w:r w:rsidR="00181591">
        <w:rPr>
          <w:rFonts w:ascii="Times New Roman" w:hAnsi="Times New Roman" w:cs="Times New Roman"/>
          <w:sz w:val="24"/>
          <w:szCs w:val="24"/>
        </w:rPr>
        <w:t xml:space="preserve">, </w:t>
      </w:r>
      <w:r w:rsidR="00181591">
        <w:rPr>
          <w:rFonts w:ascii="Times New Roman" w:hAnsi="Times New Roman" w:cs="Times New Roman"/>
          <w:i/>
          <w:sz w:val="24"/>
          <w:szCs w:val="24"/>
        </w:rPr>
        <w:t>Other Exclusions</w:t>
      </w:r>
      <w:r w:rsidR="00181591">
        <w:rPr>
          <w:rFonts w:ascii="Times New Roman" w:hAnsi="Times New Roman" w:cs="Times New Roman"/>
          <w:sz w:val="24"/>
          <w:szCs w:val="24"/>
        </w:rPr>
        <w:t xml:space="preserve">, respectively) that meet or beat analyst earnings forecasts, which replace the </w:t>
      </w:r>
      <w:r w:rsidR="00181591">
        <w:rPr>
          <w:rFonts w:ascii="Times New Roman" w:hAnsi="Times New Roman" w:cs="Times New Roman"/>
          <w:i/>
          <w:sz w:val="24"/>
          <w:szCs w:val="24"/>
        </w:rPr>
        <w:t>EPS_</w:t>
      </w:r>
      <w:r w:rsidR="00181591">
        <w:rPr>
          <w:rFonts w:ascii="Times New Roman" w:hAnsi="Times New Roman" w:cs="Times New Roman"/>
          <w:i/>
          <w:sz w:val="24"/>
          <w:szCs w:val="24"/>
          <w:vertAlign w:val="subscript"/>
        </w:rPr>
        <w:t>MB</w:t>
      </w:r>
      <w:r w:rsidR="00181591">
        <w:rPr>
          <w:rFonts w:ascii="Times New Roman" w:hAnsi="Times New Roman" w:cs="Times New Roman"/>
          <w:sz w:val="24"/>
          <w:szCs w:val="24"/>
        </w:rPr>
        <w:t xml:space="preserve"> measure in separate regressions for each exclusion type.</w:t>
      </w:r>
    </w:p>
    <w:p w:rsidR="00BA3EC7" w:rsidRDefault="001815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descriptive statistics (not reported) show that the mean value of </w:t>
      </w:r>
      <w:r>
        <w:rPr>
          <w:rFonts w:ascii="Times New Roman" w:hAnsi="Times New Roman" w:cs="Times New Roman"/>
          <w:i/>
          <w:sz w:val="24"/>
          <w:szCs w:val="24"/>
        </w:rPr>
        <w:t>Total Exclusions</w:t>
      </w:r>
      <w:r>
        <w:rPr>
          <w:rFonts w:ascii="Times New Roman" w:hAnsi="Times New Roman" w:cs="Times New Roman"/>
          <w:sz w:val="24"/>
          <w:szCs w:val="24"/>
        </w:rPr>
        <w:t xml:space="preserve"> in my sample is negative (-0.829), thus firms on average seem to exclude gains so that pro forma earnings are lower than operating earnings. This is consistent with my earlier finding that for less than half of observations (40%) pro forma numbers are higher than GAAP earnings, thus the majority of firms reporting income-decreasing adjustments. Further, </w:t>
      </w:r>
      <w:r>
        <w:rPr>
          <w:rFonts w:ascii="Times New Roman" w:hAnsi="Times New Roman" w:cs="Times New Roman"/>
          <w:i/>
          <w:sz w:val="24"/>
          <w:szCs w:val="24"/>
        </w:rPr>
        <w:t>Total Exclusions</w:t>
      </w:r>
      <w:r>
        <w:rPr>
          <w:rFonts w:ascii="Times New Roman" w:hAnsi="Times New Roman" w:cs="Times New Roman"/>
          <w:sz w:val="24"/>
          <w:szCs w:val="24"/>
        </w:rPr>
        <w:t xml:space="preserve"> are virtually completely composed of </w:t>
      </w:r>
      <w:r>
        <w:rPr>
          <w:rFonts w:ascii="Times New Roman" w:hAnsi="Times New Roman" w:cs="Times New Roman"/>
          <w:i/>
          <w:sz w:val="24"/>
          <w:szCs w:val="24"/>
        </w:rPr>
        <w:t>Other Exclusions</w:t>
      </w:r>
      <w:r>
        <w:rPr>
          <w:rFonts w:ascii="Times New Roman" w:hAnsi="Times New Roman" w:cs="Times New Roman"/>
          <w:sz w:val="24"/>
          <w:szCs w:val="24"/>
        </w:rPr>
        <w:t xml:space="preserve"> (-0.899), with only a small contribution of </w:t>
      </w:r>
      <w:r>
        <w:rPr>
          <w:rFonts w:ascii="Times New Roman" w:hAnsi="Times New Roman" w:cs="Times New Roman"/>
          <w:i/>
          <w:sz w:val="24"/>
          <w:szCs w:val="24"/>
        </w:rPr>
        <w:t xml:space="preserve">Special Items </w:t>
      </w:r>
      <w:r>
        <w:rPr>
          <w:rFonts w:ascii="Times New Roman" w:hAnsi="Times New Roman" w:cs="Times New Roman"/>
          <w:sz w:val="24"/>
          <w:szCs w:val="24"/>
        </w:rPr>
        <w:t xml:space="preserve">(0.070). </w:t>
      </w:r>
    </w:p>
    <w:p w:rsidR="00BA3EC7" w:rsidRDefault="001815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8 shows the results. Panel A displays the results for </w:t>
      </w:r>
      <w:r>
        <w:rPr>
          <w:rFonts w:ascii="Times New Roman" w:hAnsi="Times New Roman" w:cs="Times New Roman"/>
          <w:i/>
          <w:sz w:val="24"/>
          <w:szCs w:val="24"/>
        </w:rPr>
        <w:t>Total Exclusions</w:t>
      </w:r>
      <w:r>
        <w:rPr>
          <w:rFonts w:ascii="Times New Roman" w:hAnsi="Times New Roman" w:cs="Times New Roman"/>
          <w:sz w:val="24"/>
          <w:szCs w:val="24"/>
        </w:rPr>
        <w:t xml:space="preserve">, while Panel B and Panel C present the results for </w:t>
      </w:r>
      <w:r>
        <w:rPr>
          <w:rFonts w:ascii="Times New Roman" w:hAnsi="Times New Roman" w:cs="Times New Roman"/>
          <w:i/>
          <w:sz w:val="24"/>
          <w:szCs w:val="24"/>
        </w:rPr>
        <w:t>Other Exclusions</w:t>
      </w:r>
      <w:r>
        <w:rPr>
          <w:rFonts w:ascii="Times New Roman" w:hAnsi="Times New Roman" w:cs="Times New Roman"/>
          <w:sz w:val="24"/>
          <w:szCs w:val="24"/>
        </w:rPr>
        <w:t xml:space="preserve"> and </w:t>
      </w:r>
      <w:r>
        <w:rPr>
          <w:rFonts w:ascii="Times New Roman" w:hAnsi="Times New Roman" w:cs="Times New Roman"/>
          <w:i/>
          <w:sz w:val="24"/>
          <w:szCs w:val="24"/>
        </w:rPr>
        <w:t>Special Items</w:t>
      </w:r>
      <w:r>
        <w:rPr>
          <w:rFonts w:ascii="Times New Roman" w:hAnsi="Times New Roman" w:cs="Times New Roman"/>
          <w:sz w:val="24"/>
          <w:szCs w:val="24"/>
        </w:rPr>
        <w:t xml:space="preserve">, respectively. Looking at Panel A, we can see in columns 1-3 (most overvalued stocks) that, per se, excluding expenses to meet or beat forecasts does not affect overvaluation. There is a slight positive effect for the least overvalued firms (columns 4-6), which disappears once firm and quarter fixed effects are </w:t>
      </w:r>
      <w:r>
        <w:rPr>
          <w:rFonts w:ascii="Times New Roman" w:hAnsi="Times New Roman" w:cs="Times New Roman"/>
          <w:sz w:val="24"/>
          <w:szCs w:val="24"/>
        </w:rPr>
        <w:lastRenderedPageBreak/>
        <w:t xml:space="preserve">introduced. Thus overall, total expense exclusions considered in aggregate (all exclusions combined) have no effect on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w:t>
      </w:r>
    </w:p>
    <w:p w:rsidR="00BA3EC7" w:rsidRDefault="001815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picture, however, is quite different when we disaggregate total exclusions and examine its two components separately. When we look at Panel B, we can see that for the most overvalued firms (columns 7-9), using income-increasing </w:t>
      </w:r>
      <w:r>
        <w:rPr>
          <w:rFonts w:ascii="Times New Roman" w:hAnsi="Times New Roman" w:cs="Times New Roman"/>
          <w:i/>
          <w:sz w:val="24"/>
          <w:szCs w:val="24"/>
        </w:rPr>
        <w:t>Other Exclusions</w:t>
      </w:r>
      <w:r>
        <w:rPr>
          <w:rFonts w:ascii="Times New Roman" w:hAnsi="Times New Roman" w:cs="Times New Roman"/>
          <w:sz w:val="24"/>
          <w:szCs w:val="24"/>
        </w:rPr>
        <w:t xml:space="preserve"> to meet or beat forecasts exacerbates overvaluation. This suggests that increasing GAAP earnings by excluding </w:t>
      </w:r>
      <w:r>
        <w:rPr>
          <w:rFonts w:ascii="Times New Roman" w:hAnsi="Times New Roman" w:cs="Times New Roman"/>
          <w:i/>
          <w:sz w:val="24"/>
          <w:szCs w:val="24"/>
        </w:rPr>
        <w:t>Other</w:t>
      </w:r>
      <w:r>
        <w:rPr>
          <w:rFonts w:ascii="Times New Roman" w:hAnsi="Times New Roman" w:cs="Times New Roman"/>
          <w:sz w:val="24"/>
          <w:szCs w:val="24"/>
        </w:rPr>
        <w:t xml:space="preserve"> expenses (e.g. goodwill amortization, stock compensation expense) makes a precise valuation of shares more complicated for the most overvalued firms, thus moving them even further from fundamental value. This may be due to differences in interpretation of their impact on future performance and thereby increase mispricing (see Bradshaw et al., 2018b</w:t>
      </w:r>
      <w:r w:rsidR="008F492A">
        <w:rPr>
          <w:rFonts w:ascii="Times New Roman" w:hAnsi="Times New Roman" w:cs="Times New Roman"/>
          <w:sz w:val="24"/>
          <w:szCs w:val="24"/>
        </w:rPr>
        <w:t xml:space="preserve"> [19]</w:t>
      </w:r>
      <w:r>
        <w:rPr>
          <w:rFonts w:ascii="Times New Roman" w:hAnsi="Times New Roman" w:cs="Times New Roman"/>
          <w:sz w:val="24"/>
          <w:szCs w:val="24"/>
        </w:rPr>
        <w:t xml:space="preserve">). We see the exact opposite effect for the least overvalued stocks (columns 10-12): For those firms excluding </w:t>
      </w:r>
      <w:r>
        <w:rPr>
          <w:rFonts w:ascii="Times New Roman" w:hAnsi="Times New Roman" w:cs="Times New Roman"/>
          <w:i/>
          <w:sz w:val="24"/>
          <w:szCs w:val="24"/>
        </w:rPr>
        <w:t>Other</w:t>
      </w:r>
      <w:r>
        <w:rPr>
          <w:rFonts w:ascii="Times New Roman" w:hAnsi="Times New Roman" w:cs="Times New Roman"/>
          <w:sz w:val="24"/>
          <w:szCs w:val="24"/>
        </w:rPr>
        <w:t xml:space="preserve"> expenses that increase pro forma versus GAAP earnings and enable the firm to exceed forecasts reduces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This indicates that for those firms, such exclusions may help the market to price shares closer to their fundamental value. </w:t>
      </w:r>
    </w:p>
    <w:p w:rsidR="00BA3EC7" w:rsidRDefault="00181591">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8 here]</w:t>
      </w:r>
    </w:p>
    <w:p w:rsidR="00BA3EC7" w:rsidRDefault="001815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Turning our attention to Panel C (</w:t>
      </w:r>
      <w:r>
        <w:rPr>
          <w:rFonts w:ascii="Times New Roman" w:hAnsi="Times New Roman" w:cs="Times New Roman"/>
          <w:i/>
          <w:sz w:val="24"/>
          <w:szCs w:val="24"/>
        </w:rPr>
        <w:t>Special Items</w:t>
      </w:r>
      <w:r>
        <w:rPr>
          <w:rFonts w:ascii="Times New Roman" w:hAnsi="Times New Roman" w:cs="Times New Roman"/>
          <w:sz w:val="24"/>
          <w:szCs w:val="24"/>
        </w:rPr>
        <w:t xml:space="preserve">) and the most overvalued firms (columns 13-15) we can see that when </w:t>
      </w:r>
      <w:r>
        <w:rPr>
          <w:rFonts w:ascii="Times New Roman" w:hAnsi="Times New Roman" w:cs="Times New Roman"/>
          <w:i/>
          <w:sz w:val="24"/>
          <w:szCs w:val="24"/>
        </w:rPr>
        <w:t>Special Items</w:t>
      </w:r>
      <w:r>
        <w:rPr>
          <w:rFonts w:ascii="Times New Roman" w:hAnsi="Times New Roman" w:cs="Times New Roman"/>
          <w:sz w:val="24"/>
          <w:szCs w:val="24"/>
        </w:rPr>
        <w:t xml:space="preserve"> are excluded to meet or beat forecasts, there is a significant negative association with overvaluation. This is not surprising since </w:t>
      </w:r>
      <w:r>
        <w:rPr>
          <w:rFonts w:ascii="Times New Roman" w:hAnsi="Times New Roman" w:cs="Times New Roman"/>
          <w:i/>
          <w:sz w:val="24"/>
          <w:szCs w:val="24"/>
        </w:rPr>
        <w:t>Special Items</w:t>
      </w:r>
      <w:r>
        <w:rPr>
          <w:rFonts w:ascii="Times New Roman" w:hAnsi="Times New Roman" w:cs="Times New Roman"/>
          <w:sz w:val="24"/>
          <w:szCs w:val="24"/>
        </w:rPr>
        <w:t xml:space="preserve"> are rather considered ‘expected’ by the market (Doyle et al., 2013)</w:t>
      </w:r>
      <w:r w:rsidR="00DB3317">
        <w:rPr>
          <w:rFonts w:ascii="Times New Roman" w:hAnsi="Times New Roman" w:cs="Times New Roman"/>
          <w:sz w:val="24"/>
          <w:szCs w:val="24"/>
        </w:rPr>
        <w:t xml:space="preserve"> [3</w:t>
      </w:r>
      <w:r w:rsidR="00873576">
        <w:rPr>
          <w:rFonts w:ascii="Times New Roman" w:hAnsi="Times New Roman" w:cs="Times New Roman"/>
          <w:sz w:val="24"/>
          <w:szCs w:val="24"/>
        </w:rPr>
        <w:t>3</w:t>
      </w:r>
      <w:r w:rsidR="00DB3317">
        <w:rPr>
          <w:rFonts w:ascii="Times New Roman" w:hAnsi="Times New Roman" w:cs="Times New Roman"/>
          <w:sz w:val="24"/>
          <w:szCs w:val="24"/>
        </w:rPr>
        <w:t>]</w:t>
      </w:r>
      <w:r>
        <w:rPr>
          <w:rFonts w:ascii="Times New Roman" w:hAnsi="Times New Roman" w:cs="Times New Roman"/>
          <w:sz w:val="24"/>
          <w:szCs w:val="24"/>
        </w:rPr>
        <w:t xml:space="preserve">. They constitute non-recurring items that need to be removed to arrive at a more permanent earnings measure. If pro forma earnings beat forecasts with the help of removing non-recurring items, this may be perceived as negative by the market, and bring market valuation closer to fundamental value. As previously, the opposite effect is found for the least overvalued firms (columns 16-18): Firms excluding </w:t>
      </w:r>
      <w:r>
        <w:rPr>
          <w:rFonts w:ascii="Times New Roman" w:hAnsi="Times New Roman" w:cs="Times New Roman"/>
          <w:i/>
          <w:sz w:val="24"/>
          <w:szCs w:val="24"/>
        </w:rPr>
        <w:t>Special Items</w:t>
      </w:r>
      <w:r>
        <w:rPr>
          <w:rFonts w:ascii="Times New Roman" w:hAnsi="Times New Roman" w:cs="Times New Roman"/>
          <w:sz w:val="24"/>
          <w:szCs w:val="24"/>
        </w:rPr>
        <w:t xml:space="preserve"> to increase earnings and that meet or beat </w:t>
      </w:r>
      <w:r>
        <w:rPr>
          <w:rFonts w:ascii="Times New Roman" w:hAnsi="Times New Roman" w:cs="Times New Roman"/>
          <w:sz w:val="24"/>
          <w:szCs w:val="24"/>
        </w:rPr>
        <w:lastRenderedPageBreak/>
        <w:t>forecasts would find an increase in their overvaluation. It appears that removing positive transitory effects to beat forecasts is perceived as positive for the stocks that are least overvalued. To sum up, I find evidence that different types of income-increasing expenses exclusions have a different effect on mispricing.</w:t>
      </w:r>
    </w:p>
    <w:p w:rsidR="00BA3EC7" w:rsidRDefault="0018159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Fifth, to address endogeneity concerns regarding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and pro forma disclosure (i.e. past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xml:space="preserve"> prompting pro forma earnings disclosure to alleviate current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I employ a two-stage least squares approach (2SLS) and follow previous studies (e.g. Black and Christensen, 2009</w:t>
      </w:r>
      <w:r w:rsidR="00DB731F">
        <w:rPr>
          <w:rFonts w:ascii="Times New Roman" w:hAnsi="Times New Roman" w:cs="Times New Roman"/>
          <w:sz w:val="24"/>
          <w:szCs w:val="24"/>
        </w:rPr>
        <w:t xml:space="preserve"> [11]</w:t>
      </w:r>
      <w:r>
        <w:rPr>
          <w:rFonts w:ascii="Times New Roman" w:hAnsi="Times New Roman" w:cs="Times New Roman"/>
          <w:sz w:val="24"/>
          <w:szCs w:val="24"/>
        </w:rPr>
        <w:t>; Brown et al., 2012</w:t>
      </w:r>
      <w:r w:rsidR="007468A4">
        <w:rPr>
          <w:rFonts w:ascii="Times New Roman" w:hAnsi="Times New Roman" w:cs="Times New Roman"/>
          <w:sz w:val="24"/>
          <w:szCs w:val="24"/>
        </w:rPr>
        <w:t xml:space="preserve"> [21]</w:t>
      </w:r>
      <w:r>
        <w:rPr>
          <w:rFonts w:ascii="Times New Roman" w:hAnsi="Times New Roman" w:cs="Times New Roman"/>
          <w:sz w:val="24"/>
          <w:szCs w:val="24"/>
        </w:rPr>
        <w:t xml:space="preserve">; Isidro and </w:t>
      </w:r>
      <w:r w:rsidRPr="00F94EAD">
        <w:rPr>
          <w:rFonts w:ascii="Times New Roman" w:hAnsi="Times New Roman" w:cs="Times New Roman"/>
          <w:sz w:val="24"/>
          <w:szCs w:val="24"/>
        </w:rPr>
        <w:t>Marques, 2013</w:t>
      </w:r>
      <w:r w:rsidR="00EB0B5B">
        <w:rPr>
          <w:rFonts w:ascii="Times New Roman" w:hAnsi="Times New Roman" w:cs="Times New Roman"/>
          <w:sz w:val="24"/>
          <w:szCs w:val="24"/>
        </w:rPr>
        <w:t xml:space="preserve"> [4</w:t>
      </w:r>
      <w:r w:rsidR="00873576">
        <w:rPr>
          <w:rFonts w:ascii="Times New Roman" w:hAnsi="Times New Roman" w:cs="Times New Roman"/>
          <w:sz w:val="24"/>
          <w:szCs w:val="24"/>
        </w:rPr>
        <w:t>3</w:t>
      </w:r>
      <w:r w:rsidR="00EB0B5B">
        <w:rPr>
          <w:rFonts w:ascii="Times New Roman" w:hAnsi="Times New Roman" w:cs="Times New Roman"/>
          <w:sz w:val="24"/>
          <w:szCs w:val="24"/>
        </w:rPr>
        <w:t>]</w:t>
      </w:r>
      <w:r w:rsidRPr="00F94EAD">
        <w:rPr>
          <w:rFonts w:ascii="Times New Roman" w:hAnsi="Times New Roman" w:cs="Times New Roman"/>
          <w:sz w:val="24"/>
          <w:szCs w:val="24"/>
        </w:rPr>
        <w:t>, 2015</w:t>
      </w:r>
      <w:r w:rsidR="000112C3">
        <w:rPr>
          <w:rFonts w:ascii="Times New Roman" w:hAnsi="Times New Roman" w:cs="Times New Roman"/>
          <w:sz w:val="24"/>
          <w:szCs w:val="24"/>
        </w:rPr>
        <w:t xml:space="preserve"> [43]</w:t>
      </w:r>
      <w:r w:rsidRPr="00F94EAD">
        <w:rPr>
          <w:rFonts w:ascii="Times New Roman" w:hAnsi="Times New Roman" w:cs="Times New Roman"/>
          <w:sz w:val="24"/>
          <w:szCs w:val="24"/>
        </w:rPr>
        <w:t>; B</w:t>
      </w:r>
      <w:r w:rsidR="00B61215" w:rsidRPr="00F94EAD">
        <w:rPr>
          <w:rFonts w:ascii="Times New Roman" w:hAnsi="Times New Roman" w:cs="Times New Roman"/>
          <w:sz w:val="24"/>
          <w:szCs w:val="24"/>
        </w:rPr>
        <w:t xml:space="preserve">lack </w:t>
      </w:r>
      <w:r w:rsidRPr="00F94EAD">
        <w:rPr>
          <w:rFonts w:ascii="Times New Roman" w:hAnsi="Times New Roman" w:cs="Times New Roman"/>
          <w:sz w:val="24"/>
          <w:szCs w:val="24"/>
        </w:rPr>
        <w:t>et al., 2017a</w:t>
      </w:r>
      <w:r w:rsidR="004A5F33">
        <w:rPr>
          <w:rFonts w:ascii="Times New Roman" w:hAnsi="Times New Roman" w:cs="Times New Roman"/>
          <w:sz w:val="24"/>
          <w:szCs w:val="24"/>
        </w:rPr>
        <w:t xml:space="preserve"> [12]</w:t>
      </w:r>
      <w:r w:rsidR="006D5136" w:rsidRPr="00F94EAD">
        <w:rPr>
          <w:rFonts w:ascii="Times New Roman" w:hAnsi="Times New Roman" w:cs="Times New Roman"/>
          <w:sz w:val="24"/>
          <w:szCs w:val="24"/>
        </w:rPr>
        <w:t xml:space="preserve">; </w:t>
      </w:r>
      <w:r w:rsidR="006D5136" w:rsidRPr="00F94EAD">
        <w:rPr>
          <w:rFonts w:ascii="Times New Roman" w:eastAsia="PMingLiU" w:hAnsi="Times New Roman" w:cs="Times New Roman"/>
          <w:sz w:val="24"/>
          <w:szCs w:val="24"/>
          <w:lang w:eastAsia="en-US"/>
        </w:rPr>
        <w:t xml:space="preserve">Black, Christensen, Taylor </w:t>
      </w:r>
      <w:proofErr w:type="spellStart"/>
      <w:r w:rsidR="006D5136" w:rsidRPr="00F94EAD">
        <w:rPr>
          <w:rFonts w:ascii="Times New Roman" w:eastAsia="PMingLiU" w:hAnsi="Times New Roman" w:cs="Times New Roman"/>
          <w:sz w:val="24"/>
          <w:szCs w:val="24"/>
          <w:lang w:eastAsia="en-US"/>
        </w:rPr>
        <w:t>Joo</w:t>
      </w:r>
      <w:proofErr w:type="spellEnd"/>
      <w:r w:rsidR="006D5136" w:rsidRPr="00F94EAD">
        <w:rPr>
          <w:rFonts w:ascii="Times New Roman" w:eastAsia="PMingLiU" w:hAnsi="Times New Roman" w:cs="Times New Roman"/>
          <w:sz w:val="24"/>
          <w:szCs w:val="24"/>
          <w:lang w:eastAsia="en-US"/>
        </w:rPr>
        <w:t>,</w:t>
      </w:r>
      <w:r w:rsidR="00BB75D8" w:rsidRPr="00F94EAD">
        <w:rPr>
          <w:rFonts w:ascii="Times New Roman" w:eastAsia="PMingLiU" w:hAnsi="Times New Roman" w:cs="Times New Roman"/>
          <w:sz w:val="24"/>
          <w:szCs w:val="24"/>
          <w:lang w:eastAsia="en-US"/>
        </w:rPr>
        <w:t xml:space="preserve"> and</w:t>
      </w:r>
      <w:r w:rsidR="006D5136" w:rsidRPr="00F94EAD">
        <w:rPr>
          <w:rFonts w:ascii="Times New Roman" w:eastAsia="PMingLiU" w:hAnsi="Times New Roman" w:cs="Times New Roman"/>
          <w:sz w:val="24"/>
          <w:szCs w:val="24"/>
          <w:lang w:eastAsia="en-US"/>
        </w:rPr>
        <w:t xml:space="preserve"> </w:t>
      </w:r>
      <w:proofErr w:type="spellStart"/>
      <w:r w:rsidR="006D5136" w:rsidRPr="00F94EAD">
        <w:rPr>
          <w:rFonts w:ascii="Times New Roman" w:eastAsia="PMingLiU" w:hAnsi="Times New Roman" w:cs="Times New Roman"/>
          <w:sz w:val="24"/>
          <w:szCs w:val="24"/>
          <w:lang w:eastAsia="en-US"/>
        </w:rPr>
        <w:t>Schmardebeck</w:t>
      </w:r>
      <w:proofErr w:type="spellEnd"/>
      <w:r w:rsidR="006D5136" w:rsidRPr="00F94EAD">
        <w:rPr>
          <w:rFonts w:ascii="Times New Roman" w:eastAsia="PMingLiU" w:hAnsi="Times New Roman" w:cs="Times New Roman"/>
          <w:sz w:val="24"/>
          <w:szCs w:val="24"/>
          <w:lang w:eastAsia="en-US"/>
        </w:rPr>
        <w:t xml:space="preserve">, </w:t>
      </w:r>
      <w:r w:rsidRPr="00F94EAD">
        <w:rPr>
          <w:rFonts w:ascii="Times New Roman" w:hAnsi="Times New Roman" w:cs="Times New Roman"/>
          <w:sz w:val="24"/>
          <w:szCs w:val="24"/>
        </w:rPr>
        <w:t>2017b</w:t>
      </w:r>
      <w:r w:rsidR="00D91C69">
        <w:rPr>
          <w:rFonts w:ascii="Times New Roman" w:hAnsi="Times New Roman" w:cs="Times New Roman"/>
          <w:sz w:val="24"/>
          <w:szCs w:val="24"/>
        </w:rPr>
        <w:t xml:space="preserve"> [13]</w:t>
      </w:r>
      <w:r>
        <w:rPr>
          <w:rFonts w:ascii="Times New Roman" w:hAnsi="Times New Roman" w:cs="Times New Roman"/>
          <w:sz w:val="24"/>
          <w:szCs w:val="24"/>
        </w:rPr>
        <w:t xml:space="preserve">) to identify exogenous instruments for pro forma disclosure that are uncorrelated with </w:t>
      </w:r>
      <w:proofErr w:type="spellStart"/>
      <w:r>
        <w:rPr>
          <w:rFonts w:ascii="Times New Roman" w:hAnsi="Times New Roman" w:cs="Times New Roman"/>
          <w:sz w:val="24"/>
          <w:szCs w:val="24"/>
        </w:rPr>
        <w:t>misvaluation</w:t>
      </w:r>
      <w:proofErr w:type="spellEnd"/>
      <w:r>
        <w:rPr>
          <w:rFonts w:ascii="Times New Roman" w:hAnsi="Times New Roman" w:cs="Times New Roman"/>
          <w:sz w:val="24"/>
          <w:szCs w:val="24"/>
        </w:rPr>
        <w:t>. The results (not reported) provide no indication of endogeneity, thus the results are unaffected.</w:t>
      </w:r>
    </w:p>
    <w:p w:rsidR="00BA3EC7" w:rsidRDefault="00BA3EC7">
      <w:pPr>
        <w:spacing w:line="480" w:lineRule="auto"/>
        <w:jc w:val="both"/>
        <w:rPr>
          <w:rFonts w:ascii="Times New Roman" w:hAnsi="Times New Roman" w:cs="Times New Roman"/>
          <w:sz w:val="24"/>
          <w:szCs w:val="24"/>
        </w:rPr>
      </w:pPr>
    </w:p>
    <w:p w:rsidR="00BA3EC7" w:rsidRDefault="00181591" w:rsidP="00F94EAD">
      <w:pPr>
        <w:pStyle w:val="s1"/>
        <w:numPr>
          <w:ilvl w:val="0"/>
          <w:numId w:val="6"/>
        </w:numPr>
      </w:pPr>
      <w:r>
        <w:t>Conclusion</w:t>
      </w:r>
    </w:p>
    <w:p w:rsidR="00BA3EC7" w:rsidRDefault="00181591" w:rsidP="00F94EAD">
      <w:pPr>
        <w:spacing w:line="480" w:lineRule="auto"/>
        <w:ind w:firstLine="390"/>
        <w:jc w:val="both"/>
        <w:rPr>
          <w:rFonts w:ascii="Times New Roman" w:hAnsi="Times New Roman" w:cs="Times New Roman"/>
          <w:sz w:val="24"/>
          <w:szCs w:val="24"/>
        </w:rPr>
      </w:pPr>
      <w:r>
        <w:rPr>
          <w:rFonts w:ascii="Times New Roman" w:hAnsi="Times New Roman" w:cs="Times New Roman"/>
          <w:sz w:val="24"/>
          <w:szCs w:val="24"/>
        </w:rPr>
        <w:t xml:space="preserve">This study examines the question of the usefulness of pro forma earnings disclosures for stock valuation against the background of a decade of substantial changes in the post-global financial crisis market and investment environment, which facilitate mispricing and are challenging the traditional primacy of accounting disclosures for valuation. </w:t>
      </w:r>
    </w:p>
    <w:p w:rsidR="006F1575" w:rsidRDefault="00181591" w:rsidP="00F94EAD">
      <w:pPr>
        <w:spacing w:line="480" w:lineRule="auto"/>
        <w:ind w:firstLine="390"/>
        <w:jc w:val="both"/>
        <w:rPr>
          <w:rFonts w:ascii="Times New Roman" w:hAnsi="Times New Roman" w:cs="Times New Roman"/>
          <w:sz w:val="24"/>
          <w:szCs w:val="24"/>
        </w:rPr>
      </w:pPr>
      <w:r>
        <w:rPr>
          <w:rFonts w:ascii="Times New Roman" w:hAnsi="Times New Roman" w:cs="Times New Roman"/>
          <w:sz w:val="24"/>
          <w:szCs w:val="24"/>
        </w:rPr>
        <w:t xml:space="preserve">I provide evidence that pro forma earnings disclosures still provide additional information that helps reduce mispricing in this new financial market environment. Disclosure of pro forma earnings reduces overvaluation for the most overvalued stocks, whereas there is no such effect for the least overvalued stocks. For firms with higher analyst earnings forecast dispersion, disclosing pro forma earnings is linked to increased overvaluation for this group of stocks, consistent with the literature. The least overvalued firms, however, would see decreased </w:t>
      </w:r>
      <w:r>
        <w:rPr>
          <w:rFonts w:ascii="Times New Roman" w:hAnsi="Times New Roman" w:cs="Times New Roman"/>
          <w:sz w:val="24"/>
          <w:szCs w:val="24"/>
        </w:rPr>
        <w:lastRenderedPageBreak/>
        <w:t>overvaluation in the presence of higher analyst earnings forecast dispersion. I also find that disclosure of pro forma earnings is associated with less overvaluation in the quarter following pro forma disclosure, thus the effect of reducing overvaluation persists throughout the next quarter. Moreover, different types of expense exclusions that increase pro forma earnings versus GAAP profit to meet or beat analyst earnings forecasts affect mispricing differently. Overall, the evidence suggests that pro forma earnings disclosures provide value relevant information that can help reduce mispricing of shares.</w:t>
      </w:r>
    </w:p>
    <w:p w:rsidR="00BA3EC7" w:rsidRPr="00F94EAD" w:rsidRDefault="00181591" w:rsidP="00F94EAD">
      <w:pPr>
        <w:spacing w:line="480" w:lineRule="auto"/>
        <w:ind w:firstLine="390"/>
        <w:jc w:val="both"/>
        <w:rPr>
          <w:rFonts w:ascii="Times New Roman" w:hAnsi="Times New Roman" w:cs="Times New Roman"/>
          <w:sz w:val="24"/>
          <w:szCs w:val="24"/>
        </w:rPr>
      </w:pPr>
      <w:r>
        <w:rPr>
          <w:rFonts w:ascii="Times New Roman" w:hAnsi="Times New Roman" w:cs="Times New Roman"/>
          <w:sz w:val="24"/>
          <w:szCs w:val="24"/>
        </w:rPr>
        <w:t xml:space="preserve">The findings are timely as standard setters and regulators have intensified their discussions of whether accounting disclosures still provide the information required by investors, and whether the regulations regarding non-GAAP disclosures need to be revised. Furthermore, the evidence is particularly important in light of developments in the last decade that have led to record high stock market valuations and increased mispricing. My findings provide feedback on the effects of unconventional monetary policy in the wake of the financial crisis, and can contribute to discussions about the role of information disclosure in an age of abundant central bank provided liquidity and passive investing. </w:t>
      </w:r>
    </w:p>
    <w:p w:rsidR="00BA3EC7" w:rsidRDefault="00BA3EC7">
      <w:pPr>
        <w:spacing w:after="0" w:line="480" w:lineRule="auto"/>
        <w:ind w:firstLine="720"/>
        <w:jc w:val="both"/>
        <w:rPr>
          <w:rFonts w:ascii="Times New Roman" w:hAnsi="Times New Roman" w:cs="Times New Roman"/>
          <w:sz w:val="24"/>
          <w:szCs w:val="24"/>
        </w:rPr>
      </w:pPr>
    </w:p>
    <w:p w:rsidR="00725476" w:rsidRDefault="00725476">
      <w:pPr>
        <w:spacing w:after="0" w:line="480" w:lineRule="auto"/>
        <w:ind w:firstLine="720"/>
        <w:jc w:val="both"/>
        <w:rPr>
          <w:rFonts w:ascii="Times New Roman" w:hAnsi="Times New Roman" w:cs="Times New Roman"/>
          <w:sz w:val="24"/>
          <w:szCs w:val="24"/>
        </w:rPr>
      </w:pPr>
    </w:p>
    <w:p w:rsidR="00725476" w:rsidRDefault="00725476">
      <w:pPr>
        <w:spacing w:after="0" w:line="480" w:lineRule="auto"/>
        <w:ind w:firstLine="720"/>
        <w:jc w:val="both"/>
        <w:rPr>
          <w:rFonts w:ascii="Times New Roman" w:hAnsi="Times New Roman" w:cs="Times New Roman"/>
          <w:sz w:val="24"/>
          <w:szCs w:val="24"/>
        </w:rPr>
      </w:pPr>
    </w:p>
    <w:p w:rsidR="00725476" w:rsidRDefault="00725476">
      <w:pPr>
        <w:spacing w:after="0" w:line="480" w:lineRule="auto"/>
        <w:ind w:firstLine="720"/>
        <w:jc w:val="both"/>
        <w:rPr>
          <w:rFonts w:ascii="Times New Roman" w:hAnsi="Times New Roman" w:cs="Times New Roman"/>
          <w:sz w:val="24"/>
          <w:szCs w:val="24"/>
        </w:rPr>
      </w:pPr>
    </w:p>
    <w:p w:rsidR="00725476" w:rsidRDefault="00725476">
      <w:pPr>
        <w:spacing w:after="0" w:line="480" w:lineRule="auto"/>
        <w:ind w:firstLine="720"/>
        <w:jc w:val="both"/>
        <w:rPr>
          <w:rFonts w:ascii="Times New Roman" w:hAnsi="Times New Roman" w:cs="Times New Roman"/>
          <w:sz w:val="24"/>
          <w:szCs w:val="24"/>
        </w:rPr>
      </w:pPr>
    </w:p>
    <w:p w:rsidR="008D40EF" w:rsidRDefault="008D40EF">
      <w:pPr>
        <w:spacing w:after="0" w:line="480" w:lineRule="auto"/>
        <w:ind w:firstLine="720"/>
        <w:jc w:val="both"/>
        <w:rPr>
          <w:rFonts w:ascii="Times New Roman" w:hAnsi="Times New Roman" w:cs="Times New Roman"/>
          <w:sz w:val="24"/>
          <w:szCs w:val="24"/>
        </w:rPr>
      </w:pPr>
    </w:p>
    <w:p w:rsidR="00725476" w:rsidRDefault="00725476">
      <w:pPr>
        <w:spacing w:after="0" w:line="480" w:lineRule="auto"/>
        <w:ind w:firstLine="720"/>
        <w:jc w:val="both"/>
        <w:rPr>
          <w:rFonts w:ascii="Times New Roman" w:hAnsi="Times New Roman" w:cs="Times New Roman"/>
          <w:sz w:val="24"/>
          <w:szCs w:val="24"/>
        </w:rPr>
      </w:pPr>
      <w:bookmarkStart w:id="4" w:name="_GoBack"/>
      <w:bookmarkEnd w:id="4"/>
    </w:p>
    <w:p w:rsidR="00BA3EC7" w:rsidRDefault="00181591">
      <w:pPr>
        <w:pStyle w:val="Heading1"/>
        <w:numPr>
          <w:ilvl w:val="0"/>
          <w:numId w:val="0"/>
        </w:numPr>
        <w:spacing w:line="480" w:lineRule="auto"/>
        <w:rPr>
          <w:rFonts w:ascii="Times New Roman" w:hAnsi="Times New Roman" w:cs="Times New Roman"/>
          <w:color w:val="auto"/>
        </w:rPr>
      </w:pPr>
      <w:r>
        <w:rPr>
          <w:rFonts w:ascii="Times New Roman" w:hAnsi="Times New Roman" w:cs="Times New Roman"/>
          <w:color w:val="auto"/>
        </w:rPr>
        <w:lastRenderedPageBreak/>
        <w:t>References</w:t>
      </w:r>
    </w:p>
    <w:p w:rsidR="00BA3EC7" w:rsidRPr="00B72893" w:rsidRDefault="00BD1EF1" w:rsidP="004D5066">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w:t>
      </w:r>
      <w:r w:rsidR="004D5066">
        <w:rPr>
          <w:rFonts w:ascii="Times New Roman" w:eastAsia="PMingLiU" w:hAnsi="Times New Roman" w:cs="Times New Roman"/>
          <w:sz w:val="24"/>
          <w:szCs w:val="24"/>
        </w:rPr>
        <w:tab/>
      </w:r>
      <w:proofErr w:type="spellStart"/>
      <w:r w:rsidR="00181591" w:rsidRPr="00B72893">
        <w:rPr>
          <w:rFonts w:ascii="Times New Roman" w:eastAsia="PMingLiU" w:hAnsi="Times New Roman" w:cs="Times New Roman"/>
          <w:sz w:val="24"/>
          <w:szCs w:val="24"/>
        </w:rPr>
        <w:t>Ackert</w:t>
      </w:r>
      <w:proofErr w:type="spellEnd"/>
      <w:r w:rsidR="00181591" w:rsidRPr="00B72893">
        <w:rPr>
          <w:rFonts w:ascii="Times New Roman" w:eastAsia="PMingLiU" w:hAnsi="Times New Roman" w:cs="Times New Roman"/>
          <w:sz w:val="24"/>
          <w:szCs w:val="24"/>
        </w:rPr>
        <w:t xml:space="preserve">, L.F., </w:t>
      </w:r>
      <w:r w:rsidR="00492C54" w:rsidRPr="00F94EAD">
        <w:rPr>
          <w:rFonts w:ascii="Times New Roman" w:eastAsia="PMingLiU" w:hAnsi="Times New Roman" w:cs="Times New Roman"/>
          <w:sz w:val="24"/>
          <w:szCs w:val="24"/>
        </w:rPr>
        <w:t xml:space="preserve">&amp; </w:t>
      </w:r>
      <w:proofErr w:type="spellStart"/>
      <w:r w:rsidR="00181591" w:rsidRPr="00B72893">
        <w:rPr>
          <w:rFonts w:ascii="Times New Roman" w:eastAsia="PMingLiU" w:hAnsi="Times New Roman" w:cs="Times New Roman"/>
          <w:sz w:val="24"/>
          <w:szCs w:val="24"/>
        </w:rPr>
        <w:t>Athanassakos</w:t>
      </w:r>
      <w:proofErr w:type="spellEnd"/>
      <w:r w:rsidR="00181591" w:rsidRPr="00B72893">
        <w:rPr>
          <w:rFonts w:ascii="Times New Roman" w:eastAsia="PMingLiU" w:hAnsi="Times New Roman" w:cs="Times New Roman"/>
          <w:sz w:val="24"/>
          <w:szCs w:val="24"/>
        </w:rPr>
        <w:t xml:space="preserve">, G. </w:t>
      </w:r>
      <w:r w:rsidR="00A924B0" w:rsidRPr="00F94EAD">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1997</w:t>
      </w:r>
      <w:r w:rsidR="00A924B0" w:rsidRPr="00F94EAD">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Prior uncertainty, analyst bias, and subsequent</w:t>
      </w:r>
      <w:r>
        <w:rPr>
          <w:rFonts w:ascii="Times New Roman" w:eastAsia="PMingLiU" w:hAnsi="Times New Roman" w:cs="Times New Roman"/>
          <w:sz w:val="24"/>
          <w:szCs w:val="24"/>
        </w:rPr>
        <w:t xml:space="preserve"> </w:t>
      </w:r>
      <w:r w:rsidR="00181591" w:rsidRPr="00B72893">
        <w:rPr>
          <w:rFonts w:ascii="Times New Roman" w:eastAsia="PMingLiU" w:hAnsi="Times New Roman" w:cs="Times New Roman"/>
          <w:sz w:val="24"/>
          <w:szCs w:val="24"/>
        </w:rPr>
        <w:t xml:space="preserve">abnormal returns. </w:t>
      </w:r>
      <w:r w:rsidR="00181591" w:rsidRPr="00B72893">
        <w:rPr>
          <w:rFonts w:ascii="Times New Roman" w:eastAsia="PMingLiU" w:hAnsi="Times New Roman" w:cs="Times New Roman"/>
          <w:i/>
          <w:sz w:val="24"/>
          <w:szCs w:val="24"/>
        </w:rPr>
        <w:t>Journal of Financial Research</w:t>
      </w:r>
      <w:r w:rsidR="00A924B0" w:rsidRPr="00F94EAD">
        <w:rPr>
          <w:rFonts w:ascii="Times New Roman" w:eastAsia="PMingLiU" w:hAnsi="Times New Roman" w:cs="Times New Roman"/>
          <w:i/>
          <w:sz w:val="24"/>
          <w:szCs w:val="24"/>
        </w:rPr>
        <w:t>,</w:t>
      </w:r>
      <w:r w:rsidR="00181591" w:rsidRPr="00B72893">
        <w:rPr>
          <w:rFonts w:ascii="Times New Roman" w:eastAsia="PMingLiU" w:hAnsi="Times New Roman" w:cs="Times New Roman"/>
          <w:i/>
          <w:sz w:val="24"/>
          <w:szCs w:val="24"/>
        </w:rPr>
        <w:t xml:space="preserve"> </w:t>
      </w:r>
      <w:r w:rsidR="00181591" w:rsidRPr="00F94EAD">
        <w:rPr>
          <w:rFonts w:ascii="Times New Roman" w:eastAsia="PMingLiU" w:hAnsi="Times New Roman" w:cs="Times New Roman"/>
          <w:i/>
          <w:sz w:val="24"/>
          <w:szCs w:val="24"/>
        </w:rPr>
        <w:t>20</w:t>
      </w:r>
      <w:r w:rsidR="00181591" w:rsidRPr="00B72893">
        <w:rPr>
          <w:rFonts w:ascii="Times New Roman" w:eastAsia="PMingLiU" w:hAnsi="Times New Roman" w:cs="Times New Roman"/>
          <w:sz w:val="24"/>
          <w:szCs w:val="24"/>
        </w:rPr>
        <w:t>(2), 263-273.</w:t>
      </w:r>
    </w:p>
    <w:p w:rsidR="00BA3EC7" w:rsidRPr="00B72893" w:rsidRDefault="001E7A6C">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w:t>
      </w:r>
      <w:r w:rsidR="004D5066">
        <w:rPr>
          <w:rFonts w:ascii="Times New Roman" w:eastAsia="PMingLiU" w:hAnsi="Times New Roman" w:cs="Times New Roman"/>
          <w:sz w:val="24"/>
          <w:szCs w:val="24"/>
        </w:rPr>
        <w:tab/>
      </w:r>
      <w:r w:rsidR="00181591" w:rsidRPr="00B72893">
        <w:rPr>
          <w:rFonts w:ascii="Times New Roman" w:eastAsia="PMingLiU" w:hAnsi="Times New Roman" w:cs="Times New Roman"/>
          <w:sz w:val="24"/>
          <w:szCs w:val="24"/>
        </w:rPr>
        <w:t>Allee, K.D., Bhattacharya, N., Black, E.L.</w:t>
      </w:r>
      <w:r w:rsidR="00D67B12"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xml:space="preserve"> </w:t>
      </w:r>
      <w:r w:rsidR="00D67B12" w:rsidRPr="00B72893">
        <w:rPr>
          <w:rFonts w:ascii="Times New Roman" w:eastAsia="PMingLiU" w:hAnsi="Times New Roman" w:cs="Times New Roman"/>
          <w:sz w:val="24"/>
          <w:szCs w:val="24"/>
        </w:rPr>
        <w:t xml:space="preserve">&amp; </w:t>
      </w:r>
      <w:r w:rsidR="00181591" w:rsidRPr="00B72893">
        <w:rPr>
          <w:rFonts w:ascii="Times New Roman" w:eastAsia="PMingLiU" w:hAnsi="Times New Roman" w:cs="Times New Roman"/>
          <w:sz w:val="24"/>
          <w:szCs w:val="24"/>
        </w:rPr>
        <w:t>Christensen, T.E</w:t>
      </w:r>
      <w:r w:rsidR="00D67B12"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xml:space="preserve"> </w:t>
      </w:r>
      <w:r w:rsidR="00D67B12"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2007</w:t>
      </w:r>
      <w:r w:rsidR="00D67B12"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Pro forma disclosure and investor sophistication: External validation of experimental evidence using archival data. </w:t>
      </w:r>
      <w:r w:rsidR="00181591" w:rsidRPr="00B72893">
        <w:rPr>
          <w:rFonts w:ascii="Times New Roman" w:eastAsia="PMingLiU" w:hAnsi="Times New Roman" w:cs="Times New Roman"/>
          <w:i/>
          <w:sz w:val="24"/>
          <w:szCs w:val="24"/>
        </w:rPr>
        <w:t>Accounting, Organizations and Society</w:t>
      </w:r>
      <w:r w:rsidR="00D67B12" w:rsidRPr="00B72893">
        <w:rPr>
          <w:rFonts w:ascii="Times New Roman" w:eastAsia="PMingLiU" w:hAnsi="Times New Roman" w:cs="Times New Roman"/>
          <w:i/>
          <w:sz w:val="24"/>
          <w:szCs w:val="24"/>
        </w:rPr>
        <w:t>,</w:t>
      </w:r>
      <w:r w:rsidR="00181591" w:rsidRPr="00B72893">
        <w:rPr>
          <w:rFonts w:ascii="Times New Roman" w:eastAsia="PMingLiU" w:hAnsi="Times New Roman" w:cs="Times New Roman"/>
          <w:sz w:val="24"/>
          <w:szCs w:val="24"/>
        </w:rPr>
        <w:t> </w:t>
      </w:r>
      <w:r w:rsidR="00181591" w:rsidRPr="00F94EAD">
        <w:rPr>
          <w:rFonts w:ascii="Times New Roman" w:eastAsia="PMingLiU" w:hAnsi="Times New Roman" w:cs="Times New Roman"/>
          <w:i/>
          <w:sz w:val="24"/>
          <w:szCs w:val="24"/>
        </w:rPr>
        <w:t>32</w:t>
      </w:r>
      <w:r w:rsidR="00181591" w:rsidRPr="00B72893">
        <w:rPr>
          <w:rFonts w:ascii="Times New Roman" w:eastAsia="PMingLiU" w:hAnsi="Times New Roman" w:cs="Times New Roman"/>
          <w:sz w:val="24"/>
          <w:szCs w:val="24"/>
        </w:rPr>
        <w:t>(3), 201-222.</w:t>
      </w:r>
    </w:p>
    <w:p w:rsidR="00BA3EC7" w:rsidRPr="00B72893" w:rsidRDefault="000065F8">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4D5066">
        <w:rPr>
          <w:rFonts w:ascii="Times New Roman" w:eastAsia="PMingLiU" w:hAnsi="Times New Roman" w:cs="Times New Roman"/>
          <w:sz w:val="24"/>
          <w:szCs w:val="24"/>
        </w:rPr>
        <w:tab/>
      </w:r>
      <w:proofErr w:type="spellStart"/>
      <w:r w:rsidR="00181591" w:rsidRPr="00B72893">
        <w:rPr>
          <w:rFonts w:ascii="Times New Roman" w:eastAsia="PMingLiU" w:hAnsi="Times New Roman" w:cs="Times New Roman"/>
          <w:sz w:val="24"/>
          <w:szCs w:val="24"/>
        </w:rPr>
        <w:t>Athanassakos</w:t>
      </w:r>
      <w:proofErr w:type="spellEnd"/>
      <w:r w:rsidR="00181591" w:rsidRPr="00B72893">
        <w:rPr>
          <w:rFonts w:ascii="Times New Roman" w:eastAsia="PMingLiU" w:hAnsi="Times New Roman" w:cs="Times New Roman"/>
          <w:sz w:val="24"/>
          <w:szCs w:val="24"/>
        </w:rPr>
        <w:t>, G.,</w:t>
      </w:r>
      <w:r w:rsidR="00A924B0" w:rsidRPr="00B72893">
        <w:rPr>
          <w:rFonts w:ascii="Times New Roman" w:eastAsia="PMingLiU" w:hAnsi="Times New Roman" w:cs="Times New Roman"/>
          <w:sz w:val="24"/>
          <w:szCs w:val="24"/>
        </w:rPr>
        <w:t xml:space="preserve"> &amp;</w:t>
      </w:r>
      <w:r w:rsidR="00181591" w:rsidRPr="00B72893">
        <w:rPr>
          <w:rFonts w:ascii="Times New Roman" w:eastAsia="PMingLiU" w:hAnsi="Times New Roman" w:cs="Times New Roman"/>
          <w:sz w:val="24"/>
          <w:szCs w:val="24"/>
        </w:rPr>
        <w:t xml:space="preserve"> </w:t>
      </w:r>
      <w:proofErr w:type="spellStart"/>
      <w:r w:rsidR="00181591" w:rsidRPr="00B72893">
        <w:rPr>
          <w:rFonts w:ascii="Times New Roman" w:eastAsia="PMingLiU" w:hAnsi="Times New Roman" w:cs="Times New Roman"/>
          <w:sz w:val="24"/>
          <w:szCs w:val="24"/>
        </w:rPr>
        <w:t>Kalimipalli</w:t>
      </w:r>
      <w:proofErr w:type="spellEnd"/>
      <w:r w:rsidR="00181591" w:rsidRPr="00B72893">
        <w:rPr>
          <w:rFonts w:ascii="Times New Roman" w:eastAsia="PMingLiU" w:hAnsi="Times New Roman" w:cs="Times New Roman"/>
          <w:sz w:val="24"/>
          <w:szCs w:val="24"/>
        </w:rPr>
        <w:t xml:space="preserve">, M. </w:t>
      </w:r>
      <w:r w:rsidR="00A924B0"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2003</w:t>
      </w:r>
      <w:r w:rsidR="00A924B0"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xml:space="preserve">. Analyst forecast dispersion and future stock return volatility. </w:t>
      </w:r>
      <w:r w:rsidR="00181591" w:rsidRPr="00B72893">
        <w:rPr>
          <w:rFonts w:ascii="Times New Roman" w:eastAsia="PMingLiU" w:hAnsi="Times New Roman" w:cs="Times New Roman"/>
          <w:i/>
          <w:sz w:val="24"/>
          <w:szCs w:val="24"/>
        </w:rPr>
        <w:t>Quarterly Journal of Business and Economics</w:t>
      </w:r>
      <w:r w:rsidR="00727933" w:rsidRPr="00B72893">
        <w:rPr>
          <w:rFonts w:ascii="Times New Roman" w:eastAsia="PMingLiU" w:hAnsi="Times New Roman" w:cs="Times New Roman"/>
          <w:i/>
          <w:sz w:val="24"/>
          <w:szCs w:val="24"/>
        </w:rPr>
        <w:t>,</w:t>
      </w:r>
      <w:r w:rsidR="00181591" w:rsidRPr="00B72893">
        <w:rPr>
          <w:rFonts w:ascii="Times New Roman" w:eastAsia="PMingLiU" w:hAnsi="Times New Roman" w:cs="Times New Roman"/>
          <w:i/>
          <w:sz w:val="24"/>
          <w:szCs w:val="24"/>
        </w:rPr>
        <w:t xml:space="preserve"> </w:t>
      </w:r>
      <w:r w:rsidR="00181591" w:rsidRPr="00F94EAD">
        <w:rPr>
          <w:rFonts w:ascii="Times New Roman" w:eastAsia="PMingLiU" w:hAnsi="Times New Roman" w:cs="Times New Roman"/>
          <w:i/>
          <w:sz w:val="24"/>
          <w:szCs w:val="24"/>
        </w:rPr>
        <w:t>42</w:t>
      </w:r>
      <w:r w:rsidR="00181591" w:rsidRPr="00B72893">
        <w:rPr>
          <w:rFonts w:ascii="Times New Roman" w:eastAsia="PMingLiU" w:hAnsi="Times New Roman" w:cs="Times New Roman"/>
          <w:sz w:val="24"/>
          <w:szCs w:val="24"/>
        </w:rPr>
        <w:t>(1-2), 57-78.</w:t>
      </w:r>
    </w:p>
    <w:p w:rsidR="00BA3EC7" w:rsidRPr="00B72893" w:rsidRDefault="00E16230">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w:t>
      </w:r>
      <w:r w:rsidR="004D5066">
        <w:rPr>
          <w:rFonts w:ascii="Times New Roman" w:eastAsia="PMingLiU" w:hAnsi="Times New Roman" w:cs="Times New Roman"/>
          <w:sz w:val="24"/>
          <w:szCs w:val="24"/>
        </w:rPr>
        <w:tab/>
      </w:r>
      <w:proofErr w:type="spellStart"/>
      <w:r w:rsidR="00181591" w:rsidRPr="00B72893">
        <w:rPr>
          <w:rFonts w:ascii="Times New Roman" w:eastAsia="PMingLiU" w:hAnsi="Times New Roman" w:cs="Times New Roman"/>
          <w:sz w:val="24"/>
          <w:szCs w:val="24"/>
        </w:rPr>
        <w:t>Badertscher</w:t>
      </w:r>
      <w:proofErr w:type="spellEnd"/>
      <w:r w:rsidR="00181591" w:rsidRPr="00B72893">
        <w:rPr>
          <w:rFonts w:ascii="Times New Roman" w:eastAsia="PMingLiU" w:hAnsi="Times New Roman" w:cs="Times New Roman"/>
          <w:sz w:val="24"/>
          <w:szCs w:val="24"/>
        </w:rPr>
        <w:t>, B.A.</w:t>
      </w:r>
      <w:r w:rsidR="00727933" w:rsidRPr="00B72893">
        <w:rPr>
          <w:rFonts w:ascii="Times New Roman" w:eastAsia="PMingLiU" w:hAnsi="Times New Roman" w:cs="Times New Roman"/>
          <w:sz w:val="24"/>
          <w:szCs w:val="24"/>
        </w:rPr>
        <w:t xml:space="preserve"> (</w:t>
      </w:r>
      <w:r w:rsidR="00181591" w:rsidRPr="00B72893">
        <w:rPr>
          <w:rFonts w:ascii="Times New Roman" w:eastAsia="PMingLiU" w:hAnsi="Times New Roman" w:cs="Times New Roman"/>
          <w:sz w:val="24"/>
          <w:szCs w:val="24"/>
        </w:rPr>
        <w:t>2011</w:t>
      </w:r>
      <w:r w:rsidR="00727933"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xml:space="preserve">. Overvaluation and the choice of alternative earnings management mechanisms. </w:t>
      </w:r>
      <w:r w:rsidR="00181591" w:rsidRPr="00B72893">
        <w:rPr>
          <w:rFonts w:ascii="Times New Roman" w:eastAsia="PMingLiU" w:hAnsi="Times New Roman" w:cs="Times New Roman"/>
          <w:i/>
          <w:sz w:val="24"/>
          <w:szCs w:val="24"/>
        </w:rPr>
        <w:t>The Accounting Review</w:t>
      </w:r>
      <w:r w:rsidR="00727933" w:rsidRPr="00B72893">
        <w:rPr>
          <w:rFonts w:ascii="Times New Roman" w:eastAsia="PMingLiU" w:hAnsi="Times New Roman" w:cs="Times New Roman"/>
          <w:i/>
          <w:sz w:val="24"/>
          <w:szCs w:val="24"/>
        </w:rPr>
        <w:t>,</w:t>
      </w:r>
      <w:r w:rsidR="00181591" w:rsidRPr="00B72893">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86</w:t>
      </w:r>
      <w:r w:rsidR="00181591" w:rsidRPr="00B72893">
        <w:rPr>
          <w:rFonts w:ascii="Times New Roman" w:eastAsia="PMingLiU" w:hAnsi="Times New Roman" w:cs="Times New Roman"/>
          <w:sz w:val="24"/>
          <w:szCs w:val="24"/>
        </w:rPr>
        <w:t>(5), 1491-1518.</w:t>
      </w:r>
    </w:p>
    <w:p w:rsidR="00BA3EC7" w:rsidRDefault="005A10DB">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[5]</w:t>
      </w:r>
      <w:r>
        <w:rPr>
          <w:rFonts w:ascii="Times New Roman" w:eastAsia="PMingLiU" w:hAnsi="Times New Roman" w:cs="Times New Roman"/>
          <w:sz w:val="24"/>
          <w:szCs w:val="24"/>
        </w:rPr>
        <w:tab/>
      </w:r>
      <w:r w:rsidR="00181591" w:rsidRPr="00B72893">
        <w:rPr>
          <w:rFonts w:ascii="Times New Roman" w:eastAsia="PMingLiU" w:hAnsi="Times New Roman" w:cs="Times New Roman"/>
          <w:sz w:val="24"/>
          <w:szCs w:val="24"/>
        </w:rPr>
        <w:t xml:space="preserve">Baker, M., </w:t>
      </w:r>
      <w:r w:rsidR="00727933" w:rsidRPr="00B72893">
        <w:rPr>
          <w:rFonts w:ascii="Times New Roman" w:eastAsia="PMingLiU" w:hAnsi="Times New Roman" w:cs="Times New Roman"/>
          <w:sz w:val="24"/>
          <w:szCs w:val="24"/>
        </w:rPr>
        <w:t xml:space="preserve">&amp; </w:t>
      </w:r>
      <w:proofErr w:type="spellStart"/>
      <w:r w:rsidR="00181591" w:rsidRPr="00B72893">
        <w:rPr>
          <w:rFonts w:ascii="Times New Roman" w:eastAsia="PMingLiU" w:hAnsi="Times New Roman" w:cs="Times New Roman"/>
          <w:sz w:val="24"/>
          <w:szCs w:val="24"/>
        </w:rPr>
        <w:t>Wurgler</w:t>
      </w:r>
      <w:proofErr w:type="spellEnd"/>
      <w:r w:rsidR="00181591" w:rsidRPr="00B72893">
        <w:rPr>
          <w:rFonts w:ascii="Times New Roman" w:eastAsia="PMingLiU" w:hAnsi="Times New Roman" w:cs="Times New Roman"/>
          <w:sz w:val="24"/>
          <w:szCs w:val="24"/>
        </w:rPr>
        <w:t>, J.</w:t>
      </w:r>
      <w:r w:rsidR="00727933" w:rsidRPr="00B72893">
        <w:rPr>
          <w:rFonts w:ascii="Times New Roman" w:eastAsia="PMingLiU" w:hAnsi="Times New Roman" w:cs="Times New Roman"/>
          <w:sz w:val="24"/>
          <w:szCs w:val="24"/>
        </w:rPr>
        <w:t xml:space="preserve"> (</w:t>
      </w:r>
      <w:r w:rsidR="00181591" w:rsidRPr="00B72893">
        <w:rPr>
          <w:rFonts w:ascii="Times New Roman" w:eastAsia="PMingLiU" w:hAnsi="Times New Roman" w:cs="Times New Roman"/>
          <w:sz w:val="24"/>
          <w:szCs w:val="24"/>
        </w:rPr>
        <w:t>2002</w:t>
      </w:r>
      <w:r w:rsidR="00727933"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Market timing and capital structure</w:t>
      </w:r>
      <w:r w:rsidR="00181591">
        <w:rPr>
          <w:rFonts w:ascii="Times New Roman" w:eastAsia="PMingLiU" w:hAnsi="Times New Roman" w:cs="Times New Roman"/>
          <w:sz w:val="24"/>
          <w:szCs w:val="24"/>
        </w:rPr>
        <w:t xml:space="preserve">. </w:t>
      </w:r>
      <w:r w:rsidR="00181591">
        <w:rPr>
          <w:rFonts w:ascii="Times New Roman" w:eastAsia="PMingLiU" w:hAnsi="Times New Roman" w:cs="Times New Roman"/>
          <w:i/>
          <w:sz w:val="24"/>
          <w:szCs w:val="24"/>
        </w:rPr>
        <w:t>Journal of Finance</w:t>
      </w:r>
      <w:r w:rsidR="0093127E">
        <w:rPr>
          <w:rFonts w:ascii="Times New Roman" w:eastAsia="PMingLiU" w:hAnsi="Times New Roman" w:cs="Times New Roman"/>
          <w:i/>
          <w:sz w:val="24"/>
          <w:szCs w:val="24"/>
        </w:rPr>
        <w:t>,</w:t>
      </w:r>
      <w:r w:rsidR="00181591">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57</w:t>
      </w:r>
      <w:r w:rsidR="00181591">
        <w:rPr>
          <w:rFonts w:ascii="Times New Roman" w:eastAsia="PMingLiU" w:hAnsi="Times New Roman" w:cs="Times New Roman"/>
          <w:sz w:val="24"/>
          <w:szCs w:val="24"/>
        </w:rPr>
        <w:t>(1), 1-32.</w:t>
      </w:r>
    </w:p>
    <w:p w:rsidR="00BA3EC7" w:rsidRDefault="004D5066" w:rsidP="00770C9C">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[6]</w:t>
      </w:r>
      <w:r>
        <w:rPr>
          <w:rFonts w:ascii="Times New Roman" w:eastAsia="PMingLiU" w:hAnsi="Times New Roman" w:cs="Times New Roman"/>
          <w:sz w:val="24"/>
          <w:szCs w:val="24"/>
        </w:rPr>
        <w:tab/>
      </w:r>
      <w:proofErr w:type="spellStart"/>
      <w:r w:rsidR="00181591">
        <w:rPr>
          <w:rFonts w:ascii="Times New Roman" w:eastAsia="PMingLiU" w:hAnsi="Times New Roman" w:cs="Times New Roman"/>
          <w:sz w:val="24"/>
          <w:szCs w:val="24"/>
        </w:rPr>
        <w:t>Barberis</w:t>
      </w:r>
      <w:proofErr w:type="spellEnd"/>
      <w:r w:rsidR="00181591">
        <w:rPr>
          <w:rFonts w:ascii="Times New Roman" w:eastAsia="PMingLiU" w:hAnsi="Times New Roman" w:cs="Times New Roman"/>
          <w:sz w:val="24"/>
          <w:szCs w:val="24"/>
        </w:rPr>
        <w:t xml:space="preserve">, N., </w:t>
      </w:r>
      <w:r w:rsidR="00F565D2">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Thaler, R.</w:t>
      </w:r>
      <w:r w:rsidR="00F565D2">
        <w:rPr>
          <w:rFonts w:ascii="Times New Roman" w:eastAsia="PMingLiU" w:hAnsi="Times New Roman" w:cs="Times New Roman"/>
          <w:sz w:val="24"/>
          <w:szCs w:val="24"/>
        </w:rPr>
        <w:t xml:space="preserve"> (</w:t>
      </w:r>
      <w:r w:rsidR="00181591" w:rsidRPr="00B72893">
        <w:rPr>
          <w:rFonts w:ascii="Times New Roman" w:eastAsia="PMingLiU" w:hAnsi="Times New Roman" w:cs="Times New Roman"/>
          <w:sz w:val="24"/>
          <w:szCs w:val="24"/>
        </w:rPr>
        <w:t>2003</w:t>
      </w:r>
      <w:r w:rsidR="00F565D2" w:rsidRPr="00B72893">
        <w:rPr>
          <w:rFonts w:ascii="Times New Roman" w:eastAsia="PMingLiU" w:hAnsi="Times New Roman" w:cs="Times New Roman"/>
          <w:sz w:val="24"/>
          <w:szCs w:val="24"/>
        </w:rPr>
        <w:t>)</w:t>
      </w:r>
      <w:r w:rsidR="00181591" w:rsidRPr="00B72893">
        <w:rPr>
          <w:rFonts w:ascii="Times New Roman" w:eastAsia="PMingLiU" w:hAnsi="Times New Roman" w:cs="Times New Roman"/>
          <w:sz w:val="24"/>
          <w:szCs w:val="24"/>
        </w:rPr>
        <w:t xml:space="preserve">. A survey of </w:t>
      </w:r>
      <w:proofErr w:type="spellStart"/>
      <w:r w:rsidR="00181591" w:rsidRPr="00B72893">
        <w:rPr>
          <w:rFonts w:ascii="Times New Roman" w:eastAsia="PMingLiU" w:hAnsi="Times New Roman" w:cs="Times New Roman"/>
          <w:sz w:val="24"/>
          <w:szCs w:val="24"/>
        </w:rPr>
        <w:t>behavioral</w:t>
      </w:r>
      <w:proofErr w:type="spellEnd"/>
      <w:r w:rsidR="00181591" w:rsidRPr="00B72893">
        <w:rPr>
          <w:rFonts w:ascii="Times New Roman" w:eastAsia="PMingLiU" w:hAnsi="Times New Roman" w:cs="Times New Roman"/>
          <w:sz w:val="24"/>
          <w:szCs w:val="24"/>
        </w:rPr>
        <w:t xml:space="preserve"> finance. Handbook of the Economics of Finance 1, 1053-1128.</w:t>
      </w:r>
    </w:p>
    <w:p w:rsidR="00D83BA3" w:rsidRDefault="00770C9C">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[7]</w:t>
      </w:r>
      <w:r>
        <w:rPr>
          <w:rFonts w:ascii="Times New Roman" w:eastAsia="PMingLiU" w:hAnsi="Times New Roman" w:cs="Times New Roman"/>
          <w:sz w:val="24"/>
          <w:szCs w:val="24"/>
        </w:rPr>
        <w:tab/>
      </w:r>
      <w:r w:rsidR="00D83BA3" w:rsidRPr="00D83BA3">
        <w:rPr>
          <w:rFonts w:ascii="Times New Roman" w:eastAsia="PMingLiU" w:hAnsi="Times New Roman" w:cs="Times New Roman"/>
          <w:sz w:val="24"/>
          <w:szCs w:val="24"/>
        </w:rPr>
        <w:t xml:space="preserve">Belasco, E., Finke, M., &amp; </w:t>
      </w:r>
      <w:proofErr w:type="spellStart"/>
      <w:r w:rsidR="00D83BA3" w:rsidRPr="00D83BA3">
        <w:rPr>
          <w:rFonts w:ascii="Times New Roman" w:eastAsia="PMingLiU" w:hAnsi="Times New Roman" w:cs="Times New Roman"/>
          <w:sz w:val="24"/>
          <w:szCs w:val="24"/>
        </w:rPr>
        <w:t>Nanigian</w:t>
      </w:r>
      <w:proofErr w:type="spellEnd"/>
      <w:r w:rsidR="00D83BA3" w:rsidRPr="00D83BA3">
        <w:rPr>
          <w:rFonts w:ascii="Times New Roman" w:eastAsia="PMingLiU" w:hAnsi="Times New Roman" w:cs="Times New Roman"/>
          <w:sz w:val="24"/>
          <w:szCs w:val="24"/>
        </w:rPr>
        <w:t xml:space="preserve">, D. (2012). The impact of passive investing on corporate valuations. </w:t>
      </w:r>
      <w:r w:rsidR="00D83BA3" w:rsidRPr="00F94EAD">
        <w:rPr>
          <w:rFonts w:ascii="Times New Roman" w:eastAsia="PMingLiU" w:hAnsi="Times New Roman" w:cs="Times New Roman"/>
          <w:i/>
          <w:sz w:val="24"/>
          <w:szCs w:val="24"/>
        </w:rPr>
        <w:t>Managerial Finance, 38</w:t>
      </w:r>
      <w:r w:rsidR="00D83BA3" w:rsidRPr="00D83BA3">
        <w:rPr>
          <w:rFonts w:ascii="Times New Roman" w:eastAsia="PMingLiU" w:hAnsi="Times New Roman" w:cs="Times New Roman"/>
          <w:sz w:val="24"/>
          <w:szCs w:val="24"/>
        </w:rPr>
        <w:t>(11), 1067-1084.</w:t>
      </w:r>
    </w:p>
    <w:p w:rsidR="00BA3EC7" w:rsidRDefault="00A06D9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[8]</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Bentley, J.W., Christensen, T.E., Gee, K.H.</w:t>
      </w:r>
      <w:r w:rsidR="00F565D2">
        <w:rPr>
          <w:rFonts w:ascii="Times New Roman" w:eastAsia="PMingLiU" w:hAnsi="Times New Roman" w:cs="Times New Roman"/>
          <w:sz w:val="24"/>
          <w:szCs w:val="24"/>
        </w:rPr>
        <w:t xml:space="preserve">, &amp; </w:t>
      </w:r>
      <w:r w:rsidR="00181591">
        <w:rPr>
          <w:rFonts w:ascii="Times New Roman" w:eastAsia="PMingLiU" w:hAnsi="Times New Roman" w:cs="Times New Roman"/>
          <w:sz w:val="24"/>
          <w:szCs w:val="24"/>
        </w:rPr>
        <w:t>Whipple, B.C.</w:t>
      </w:r>
      <w:r w:rsidR="00F565D2">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2018</w:t>
      </w:r>
      <w:r w:rsidR="00F565D2">
        <w:rPr>
          <w:rFonts w:ascii="Times New Roman" w:eastAsia="PMingLiU" w:hAnsi="Times New Roman" w:cs="Times New Roman"/>
          <w:sz w:val="24"/>
          <w:szCs w:val="24"/>
        </w:rPr>
        <w:t>)</w:t>
      </w:r>
      <w:r w:rsidR="00181591">
        <w:rPr>
          <w:rFonts w:ascii="Times New Roman" w:eastAsia="PMingLiU" w:hAnsi="Times New Roman" w:cs="Times New Roman"/>
          <w:sz w:val="24"/>
          <w:szCs w:val="24"/>
        </w:rPr>
        <w:t>. Disentangling Managers’ and Analysts’ Non</w:t>
      </w:r>
      <w:r w:rsidR="00181591">
        <w:rPr>
          <w:rFonts w:ascii="Cambria Math" w:eastAsia="PMingLiU" w:hAnsi="Cambria Math" w:cs="Cambria Math"/>
          <w:sz w:val="24"/>
          <w:szCs w:val="24"/>
        </w:rPr>
        <w:t>‐</w:t>
      </w:r>
      <w:r w:rsidR="00181591">
        <w:rPr>
          <w:rFonts w:ascii="Times New Roman" w:eastAsia="PMingLiU" w:hAnsi="Times New Roman" w:cs="Times New Roman"/>
          <w:sz w:val="24"/>
          <w:szCs w:val="24"/>
        </w:rPr>
        <w:t xml:space="preserve">GAAP Reporting. </w:t>
      </w:r>
      <w:r w:rsidR="00181591">
        <w:rPr>
          <w:rFonts w:ascii="Times New Roman" w:eastAsia="PMingLiU" w:hAnsi="Times New Roman" w:cs="Times New Roman"/>
          <w:i/>
          <w:sz w:val="24"/>
          <w:szCs w:val="24"/>
        </w:rPr>
        <w:t>Journal of Accounting Research</w:t>
      </w:r>
      <w:r w:rsidR="00F565D2">
        <w:rPr>
          <w:rFonts w:ascii="Times New Roman" w:eastAsia="PMingLiU" w:hAnsi="Times New Roman" w:cs="Times New Roman"/>
          <w:i/>
          <w:sz w:val="24"/>
          <w:szCs w:val="24"/>
        </w:rPr>
        <w:t>,</w:t>
      </w:r>
      <w:r w:rsidR="00181591">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56</w:t>
      </w:r>
      <w:r w:rsidR="00181591">
        <w:rPr>
          <w:rFonts w:ascii="Times New Roman" w:eastAsia="PMingLiU" w:hAnsi="Times New Roman" w:cs="Times New Roman"/>
          <w:sz w:val="24"/>
          <w:szCs w:val="24"/>
        </w:rPr>
        <w:t>(41), 1039-1081.</w:t>
      </w:r>
    </w:p>
    <w:p w:rsidR="00BA3EC7" w:rsidRDefault="00A06D9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[9]</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Bhattacharya, N., Black, E.L., Christensen, T.E.</w:t>
      </w:r>
      <w:r w:rsidR="00F565D2">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Larson, C.R. </w:t>
      </w:r>
      <w:r w:rsidR="00F565D2">
        <w:rPr>
          <w:rFonts w:ascii="Times New Roman" w:eastAsia="PMingLiU" w:hAnsi="Times New Roman" w:cs="Times New Roman"/>
          <w:sz w:val="24"/>
          <w:szCs w:val="24"/>
        </w:rPr>
        <w:t>(</w:t>
      </w:r>
      <w:r w:rsidR="00181591">
        <w:rPr>
          <w:rFonts w:ascii="Times New Roman" w:eastAsia="PMingLiU" w:hAnsi="Times New Roman" w:cs="Times New Roman"/>
          <w:sz w:val="24"/>
          <w:szCs w:val="24"/>
        </w:rPr>
        <w:t>2003</w:t>
      </w:r>
      <w:r w:rsidR="00F565D2">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Assessing the relative informativeness and permanence of pro forma earnings and GAAP operating earnings. </w:t>
      </w:r>
      <w:r w:rsidR="00181591">
        <w:rPr>
          <w:rFonts w:ascii="Times New Roman" w:eastAsia="PMingLiU" w:hAnsi="Times New Roman" w:cs="Times New Roman"/>
          <w:i/>
          <w:sz w:val="24"/>
          <w:szCs w:val="24"/>
        </w:rPr>
        <w:t>Journal of Accounting and Economics</w:t>
      </w:r>
      <w:r w:rsidR="00F565D2">
        <w:rPr>
          <w:rFonts w:ascii="Times New Roman" w:eastAsia="PMingLiU" w:hAnsi="Times New Roman" w:cs="Times New Roman"/>
          <w:i/>
          <w:sz w:val="24"/>
          <w:szCs w:val="24"/>
        </w:rPr>
        <w:t>,</w:t>
      </w:r>
      <w:r w:rsidR="00181591">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36</w:t>
      </w:r>
      <w:r w:rsidR="00181591">
        <w:rPr>
          <w:rFonts w:ascii="Times New Roman" w:eastAsia="PMingLiU" w:hAnsi="Times New Roman" w:cs="Times New Roman"/>
          <w:sz w:val="24"/>
          <w:szCs w:val="24"/>
        </w:rPr>
        <w:t>(1), 285-319.</w:t>
      </w:r>
    </w:p>
    <w:p w:rsidR="00BA3EC7" w:rsidRDefault="00EF551D">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[10]</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Bhattacharya, N., Black, E., Christensen, T., </w:t>
      </w:r>
      <w:r w:rsidR="00F565D2">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 xml:space="preserve">Mergenthaler, R. </w:t>
      </w:r>
      <w:r w:rsidR="00F565D2">
        <w:rPr>
          <w:rFonts w:ascii="Times New Roman" w:eastAsia="PMingLiU" w:hAnsi="Times New Roman" w:cs="Times New Roman"/>
          <w:sz w:val="24"/>
          <w:szCs w:val="24"/>
        </w:rPr>
        <w:t>(</w:t>
      </w:r>
      <w:r w:rsidR="00181591">
        <w:rPr>
          <w:rFonts w:ascii="Times New Roman" w:eastAsia="PMingLiU" w:hAnsi="Times New Roman" w:cs="Times New Roman"/>
          <w:sz w:val="24"/>
          <w:szCs w:val="24"/>
        </w:rPr>
        <w:t>2007</w:t>
      </w:r>
      <w:r w:rsidR="00F565D2">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Who trades on pro forma earnings information? </w:t>
      </w:r>
      <w:r w:rsidR="00181591">
        <w:rPr>
          <w:rFonts w:ascii="Times New Roman" w:eastAsia="PMingLiU" w:hAnsi="Times New Roman" w:cs="Times New Roman"/>
          <w:i/>
          <w:sz w:val="24"/>
          <w:szCs w:val="24"/>
        </w:rPr>
        <w:t>The Accounting Review</w:t>
      </w:r>
      <w:r w:rsidR="00F565D2">
        <w:rPr>
          <w:rFonts w:ascii="Times New Roman" w:eastAsia="PMingLiU" w:hAnsi="Times New Roman" w:cs="Times New Roman"/>
          <w:i/>
          <w:sz w:val="24"/>
          <w:szCs w:val="24"/>
        </w:rPr>
        <w:t>,</w:t>
      </w:r>
      <w:r w:rsidR="00181591">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82</w:t>
      </w:r>
      <w:r w:rsidR="00181591">
        <w:rPr>
          <w:rFonts w:ascii="Times New Roman" w:eastAsia="PMingLiU" w:hAnsi="Times New Roman" w:cs="Times New Roman"/>
          <w:sz w:val="24"/>
          <w:szCs w:val="24"/>
        </w:rPr>
        <w:t>, 581-619.</w:t>
      </w:r>
    </w:p>
    <w:p w:rsidR="002703E3" w:rsidRDefault="00855258" w:rsidP="002703E3">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[11]</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Black, D., </w:t>
      </w:r>
      <w:r w:rsidR="00F565D2">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 xml:space="preserve">Christensen, T.E. </w:t>
      </w:r>
      <w:r w:rsidR="00F565D2">
        <w:rPr>
          <w:rFonts w:ascii="Times New Roman" w:eastAsia="PMingLiU" w:hAnsi="Times New Roman" w:cs="Times New Roman"/>
          <w:sz w:val="24"/>
          <w:szCs w:val="24"/>
        </w:rPr>
        <w:t>(</w:t>
      </w:r>
      <w:r w:rsidR="00181591">
        <w:rPr>
          <w:rFonts w:ascii="Times New Roman" w:eastAsia="PMingLiU" w:hAnsi="Times New Roman" w:cs="Times New Roman"/>
          <w:sz w:val="24"/>
          <w:szCs w:val="24"/>
        </w:rPr>
        <w:t>2009</w:t>
      </w:r>
      <w:r w:rsidR="00F565D2">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US managers’ use of pro forma adjustments to meet strategic earnings benchmarks. </w:t>
      </w:r>
      <w:r w:rsidR="00181591">
        <w:rPr>
          <w:rFonts w:ascii="Times New Roman" w:eastAsia="PMingLiU" w:hAnsi="Times New Roman" w:cs="Times New Roman"/>
          <w:i/>
          <w:sz w:val="24"/>
          <w:szCs w:val="24"/>
        </w:rPr>
        <w:t>Journal of Business, Finance and Accounting</w:t>
      </w:r>
      <w:r w:rsidR="00F565D2">
        <w:rPr>
          <w:rFonts w:ascii="Times New Roman" w:eastAsia="PMingLiU" w:hAnsi="Times New Roman" w:cs="Times New Roman"/>
          <w:i/>
          <w:sz w:val="24"/>
          <w:szCs w:val="24"/>
        </w:rPr>
        <w:t>,</w:t>
      </w:r>
      <w:r w:rsidR="00181591">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36</w:t>
      </w:r>
      <w:r w:rsidR="00181591">
        <w:rPr>
          <w:rFonts w:ascii="Times New Roman" w:eastAsia="PMingLiU" w:hAnsi="Times New Roman" w:cs="Times New Roman"/>
          <w:sz w:val="24"/>
          <w:szCs w:val="24"/>
        </w:rPr>
        <w:t>, 297-326.</w:t>
      </w:r>
    </w:p>
    <w:p w:rsidR="00BA3EC7" w:rsidRDefault="005F2DA1" w:rsidP="00F94EAD">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[12]</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Black, D., Christensen, T.E., </w:t>
      </w:r>
      <w:proofErr w:type="spellStart"/>
      <w:r w:rsidR="00181591">
        <w:rPr>
          <w:rFonts w:ascii="Times New Roman" w:eastAsia="PMingLiU" w:hAnsi="Times New Roman" w:cs="Times New Roman"/>
          <w:sz w:val="24"/>
          <w:szCs w:val="24"/>
        </w:rPr>
        <w:t>Kiosse</w:t>
      </w:r>
      <w:proofErr w:type="spellEnd"/>
      <w:r w:rsidR="00181591">
        <w:rPr>
          <w:rFonts w:ascii="Times New Roman" w:eastAsia="PMingLiU" w:hAnsi="Times New Roman" w:cs="Times New Roman"/>
          <w:sz w:val="24"/>
          <w:szCs w:val="24"/>
        </w:rPr>
        <w:t xml:space="preserve">, P.V., </w:t>
      </w:r>
      <w:r w:rsidR="002703E3">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Steffen, T.D.</w:t>
      </w:r>
      <w:r w:rsidR="002703E3">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2017a</w:t>
      </w:r>
      <w:r w:rsidR="002703E3">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Has the regulation of non-GAAP disclosures influenced managers’ use of aggressive earnings exclusions? </w:t>
      </w:r>
      <w:r w:rsidR="00181591">
        <w:rPr>
          <w:rFonts w:ascii="Times New Roman" w:eastAsia="PMingLiU" w:hAnsi="Times New Roman" w:cs="Times New Roman"/>
          <w:i/>
          <w:sz w:val="24"/>
          <w:szCs w:val="24"/>
        </w:rPr>
        <w:t>Journal of Accounting, Auditing &amp; Finance</w:t>
      </w:r>
      <w:r w:rsidR="002703E3">
        <w:rPr>
          <w:rFonts w:ascii="Times New Roman" w:eastAsia="PMingLiU" w:hAnsi="Times New Roman" w:cs="Times New Roman"/>
          <w:i/>
          <w:sz w:val="24"/>
          <w:szCs w:val="24"/>
        </w:rPr>
        <w:t>,</w:t>
      </w:r>
      <w:r w:rsidR="00181591">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32</w:t>
      </w:r>
      <w:r w:rsidR="00181591">
        <w:rPr>
          <w:rFonts w:ascii="Times New Roman" w:eastAsia="PMingLiU" w:hAnsi="Times New Roman" w:cs="Times New Roman"/>
          <w:sz w:val="24"/>
          <w:szCs w:val="24"/>
        </w:rPr>
        <w:t>(2), 209-240.</w:t>
      </w:r>
    </w:p>
    <w:p w:rsidR="00BA3EC7" w:rsidRDefault="002E21B2">
      <w:pPr>
        <w:widowControl w:val="0"/>
        <w:spacing w:before="120" w:after="120"/>
        <w:ind w:left="567" w:right="20" w:hanging="567"/>
        <w:jc w:val="both"/>
        <w:rPr>
          <w:rFonts w:ascii="Times New Roman" w:eastAsia="PMingLiU" w:hAnsi="Times New Roman" w:cs="Times New Roman"/>
          <w:sz w:val="24"/>
          <w:szCs w:val="24"/>
          <w:lang w:eastAsia="en-US"/>
        </w:rPr>
      </w:pPr>
      <w:r>
        <w:rPr>
          <w:rFonts w:ascii="Times New Roman" w:eastAsia="PMingLiU" w:hAnsi="Times New Roman" w:cs="Times New Roman"/>
          <w:sz w:val="24"/>
          <w:szCs w:val="24"/>
          <w:lang w:eastAsia="en-US"/>
        </w:rPr>
        <w:t>[13]</w:t>
      </w:r>
      <w:r>
        <w:rPr>
          <w:rFonts w:ascii="Times New Roman" w:eastAsia="PMingLiU" w:hAnsi="Times New Roman" w:cs="Times New Roman"/>
          <w:sz w:val="24"/>
          <w:szCs w:val="24"/>
          <w:lang w:eastAsia="en-US"/>
        </w:rPr>
        <w:tab/>
      </w:r>
      <w:r w:rsidR="00181591">
        <w:rPr>
          <w:rFonts w:ascii="Times New Roman" w:eastAsia="PMingLiU" w:hAnsi="Times New Roman" w:cs="Times New Roman"/>
          <w:sz w:val="24"/>
          <w:szCs w:val="24"/>
          <w:lang w:eastAsia="en-US"/>
        </w:rPr>
        <w:t xml:space="preserve">Black, D., Christensen, T.E., Taylor </w:t>
      </w:r>
      <w:proofErr w:type="spellStart"/>
      <w:r w:rsidR="00181591">
        <w:rPr>
          <w:rFonts w:ascii="Times New Roman" w:eastAsia="PMingLiU" w:hAnsi="Times New Roman" w:cs="Times New Roman"/>
          <w:sz w:val="24"/>
          <w:szCs w:val="24"/>
          <w:lang w:eastAsia="en-US"/>
        </w:rPr>
        <w:t>Joo</w:t>
      </w:r>
      <w:proofErr w:type="spellEnd"/>
      <w:r w:rsidR="00181591">
        <w:rPr>
          <w:rFonts w:ascii="Times New Roman" w:eastAsia="PMingLiU" w:hAnsi="Times New Roman" w:cs="Times New Roman"/>
          <w:sz w:val="24"/>
          <w:szCs w:val="24"/>
          <w:lang w:eastAsia="en-US"/>
        </w:rPr>
        <w:t xml:space="preserve">, T., </w:t>
      </w:r>
      <w:r w:rsidR="002703E3">
        <w:rPr>
          <w:rFonts w:ascii="Times New Roman" w:eastAsia="PMingLiU" w:hAnsi="Times New Roman" w:cs="Times New Roman"/>
          <w:sz w:val="24"/>
          <w:szCs w:val="24"/>
          <w:lang w:eastAsia="en-US"/>
        </w:rPr>
        <w:t xml:space="preserve">&amp; </w:t>
      </w:r>
      <w:proofErr w:type="spellStart"/>
      <w:r w:rsidR="00181591">
        <w:rPr>
          <w:rFonts w:ascii="Times New Roman" w:eastAsia="PMingLiU" w:hAnsi="Times New Roman" w:cs="Times New Roman"/>
          <w:sz w:val="24"/>
          <w:szCs w:val="24"/>
          <w:lang w:eastAsia="en-US"/>
        </w:rPr>
        <w:t>Schmardebeck</w:t>
      </w:r>
      <w:proofErr w:type="spellEnd"/>
      <w:r w:rsidR="00181591">
        <w:rPr>
          <w:rFonts w:ascii="Times New Roman" w:eastAsia="PMingLiU" w:hAnsi="Times New Roman" w:cs="Times New Roman"/>
          <w:sz w:val="24"/>
          <w:szCs w:val="24"/>
          <w:lang w:eastAsia="en-US"/>
        </w:rPr>
        <w:t>, R.</w:t>
      </w:r>
      <w:r w:rsidR="002703E3">
        <w:rPr>
          <w:rFonts w:ascii="Times New Roman" w:eastAsia="PMingLiU" w:hAnsi="Times New Roman" w:cs="Times New Roman"/>
          <w:sz w:val="24"/>
          <w:szCs w:val="24"/>
          <w:lang w:eastAsia="en-US"/>
        </w:rPr>
        <w:t xml:space="preserve"> (</w:t>
      </w:r>
      <w:r w:rsidR="00181591">
        <w:rPr>
          <w:rFonts w:ascii="Times New Roman" w:eastAsia="PMingLiU" w:hAnsi="Times New Roman" w:cs="Times New Roman"/>
          <w:sz w:val="24"/>
          <w:szCs w:val="24"/>
          <w:lang w:eastAsia="en-US"/>
        </w:rPr>
        <w:t>2017b</w:t>
      </w:r>
      <w:r w:rsidR="002703E3">
        <w:rPr>
          <w:rFonts w:ascii="Times New Roman" w:eastAsia="PMingLiU" w:hAnsi="Times New Roman" w:cs="Times New Roman"/>
          <w:sz w:val="24"/>
          <w:szCs w:val="24"/>
          <w:lang w:eastAsia="en-US"/>
        </w:rPr>
        <w:t>)</w:t>
      </w:r>
      <w:r w:rsidR="00181591">
        <w:rPr>
          <w:rFonts w:ascii="Times New Roman" w:eastAsia="PMingLiU" w:hAnsi="Times New Roman" w:cs="Times New Roman"/>
          <w:sz w:val="24"/>
          <w:szCs w:val="24"/>
          <w:lang w:eastAsia="en-US"/>
        </w:rPr>
        <w:t xml:space="preserve">. The relation between earnings management and non-GAAP reporting. </w:t>
      </w:r>
      <w:r w:rsidR="00181591">
        <w:rPr>
          <w:rFonts w:ascii="Times New Roman" w:eastAsia="PMingLiU" w:hAnsi="Times New Roman" w:cs="Times New Roman"/>
          <w:i/>
          <w:sz w:val="24"/>
          <w:szCs w:val="24"/>
          <w:lang w:eastAsia="en-US"/>
        </w:rPr>
        <w:t>Contemporary Accounting Research</w:t>
      </w:r>
      <w:r w:rsidR="002703E3">
        <w:rPr>
          <w:rFonts w:ascii="Times New Roman" w:eastAsia="PMingLiU" w:hAnsi="Times New Roman" w:cs="Times New Roman"/>
          <w:i/>
          <w:sz w:val="24"/>
          <w:szCs w:val="24"/>
          <w:lang w:eastAsia="en-US"/>
        </w:rPr>
        <w:t>,</w:t>
      </w:r>
      <w:r w:rsidR="00181591">
        <w:rPr>
          <w:rFonts w:ascii="Times New Roman" w:eastAsia="PMingLiU" w:hAnsi="Times New Roman" w:cs="Times New Roman"/>
          <w:sz w:val="24"/>
          <w:szCs w:val="24"/>
          <w:lang w:eastAsia="en-US"/>
        </w:rPr>
        <w:t xml:space="preserve"> </w:t>
      </w:r>
      <w:r w:rsidR="00181591" w:rsidRPr="00F94EAD">
        <w:rPr>
          <w:rFonts w:ascii="Times New Roman" w:eastAsia="PMingLiU" w:hAnsi="Times New Roman" w:cs="Times New Roman"/>
          <w:i/>
          <w:sz w:val="24"/>
          <w:szCs w:val="24"/>
          <w:lang w:eastAsia="en-US"/>
        </w:rPr>
        <w:t>34</w:t>
      </w:r>
      <w:r w:rsidR="00181591">
        <w:rPr>
          <w:rFonts w:ascii="Times New Roman" w:eastAsia="PMingLiU" w:hAnsi="Times New Roman" w:cs="Times New Roman"/>
          <w:sz w:val="24"/>
          <w:szCs w:val="24"/>
          <w:lang w:eastAsia="en-US"/>
        </w:rPr>
        <w:t>(2), 750-782.</w:t>
      </w:r>
    </w:p>
    <w:p w:rsidR="00BA3EC7" w:rsidRDefault="00D91C6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[14]</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Black, Dirk E. and Black, Ervin L. and Christensen, Theodore E. </w:t>
      </w:r>
      <w:r w:rsidR="002703E3">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 xml:space="preserve">Gee, Kurt H., 2018a. </w:t>
      </w:r>
      <w:r w:rsidR="00181591" w:rsidRPr="00376653">
        <w:rPr>
          <w:rFonts w:ascii="Times New Roman" w:eastAsia="PMingLiU" w:hAnsi="Times New Roman" w:cs="Times New Roman"/>
          <w:sz w:val="24"/>
          <w:szCs w:val="24"/>
        </w:rPr>
        <w:t>The use of non-GAAP performance measures in Executive compensation contracting and financial reporting. Working paper.</w:t>
      </w:r>
      <w:r w:rsidR="00181591">
        <w:rPr>
          <w:rFonts w:ascii="Times New Roman" w:eastAsia="PMingLiU" w:hAnsi="Times New Roman" w:cs="Times New Roman"/>
          <w:sz w:val="24"/>
          <w:szCs w:val="24"/>
        </w:rPr>
        <w:t xml:space="preserve"> </w:t>
      </w:r>
      <w:r w:rsidR="00376653" w:rsidRPr="00597C2C">
        <w:rPr>
          <w:rFonts w:ascii="Times New Roman" w:eastAsia="PMingLiU" w:hAnsi="Times New Roman" w:cs="Times New Roman"/>
          <w:sz w:val="24"/>
          <w:szCs w:val="24"/>
        </w:rPr>
        <w:t xml:space="preserve">Available at SSRN: </w:t>
      </w:r>
      <w:hyperlink r:id="rId11" w:history="1">
        <w:r w:rsidR="00376653" w:rsidRPr="00F94EAD">
          <w:rPr>
            <w:rFonts w:ascii="Times New Roman" w:eastAsia="PMingLiU" w:hAnsi="Times New Roman" w:cs="Times New Roman"/>
            <w:sz w:val="24"/>
            <w:szCs w:val="24"/>
          </w:rPr>
          <w:t>https://papers.ssrn.com/sol3/papers.cfm?abstract_id=2343140</w:t>
        </w:r>
      </w:hyperlink>
    </w:p>
    <w:p w:rsidR="00BA3EC7" w:rsidRDefault="003119DF">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[15]</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Black, D.E., Christensen, T.E., Ciesielski, J.T.</w:t>
      </w:r>
      <w:r w:rsidR="002703E3">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Whipple, B.C.</w:t>
      </w:r>
      <w:r w:rsidR="002703E3">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2018b</w:t>
      </w:r>
      <w:r w:rsidR="002703E3">
        <w:rPr>
          <w:rFonts w:ascii="Times New Roman" w:eastAsia="PMingLiU" w:hAnsi="Times New Roman" w:cs="Times New Roman"/>
          <w:sz w:val="24"/>
          <w:szCs w:val="24"/>
        </w:rPr>
        <w:t>)</w:t>
      </w:r>
      <w:r w:rsidR="00181591">
        <w:rPr>
          <w:rFonts w:ascii="Times New Roman" w:eastAsia="PMingLiU" w:hAnsi="Times New Roman" w:cs="Times New Roman"/>
          <w:sz w:val="24"/>
          <w:szCs w:val="24"/>
        </w:rPr>
        <w:t>. Non</w:t>
      </w:r>
      <w:r w:rsidR="00181591">
        <w:rPr>
          <w:rFonts w:ascii="Cambria Math" w:eastAsia="PMingLiU" w:hAnsi="Cambria Math" w:cs="Cambria Math"/>
          <w:sz w:val="24"/>
          <w:szCs w:val="24"/>
        </w:rPr>
        <w:t>‐</w:t>
      </w:r>
      <w:r w:rsidR="00181591">
        <w:rPr>
          <w:rFonts w:ascii="Times New Roman" w:eastAsia="PMingLiU" w:hAnsi="Times New Roman" w:cs="Times New Roman"/>
          <w:sz w:val="24"/>
          <w:szCs w:val="24"/>
        </w:rPr>
        <w:t xml:space="preserve">GAAP reporting: Evidence from academia and current practice. </w:t>
      </w:r>
      <w:r w:rsidR="00181591">
        <w:rPr>
          <w:rFonts w:ascii="Times New Roman" w:eastAsia="PMingLiU" w:hAnsi="Times New Roman" w:cs="Times New Roman"/>
          <w:i/>
          <w:sz w:val="24"/>
          <w:szCs w:val="24"/>
        </w:rPr>
        <w:t>Journal of Business Finance &amp; Accounting</w:t>
      </w:r>
      <w:r w:rsidR="00181591">
        <w:rPr>
          <w:rFonts w:ascii="Times New Roman" w:eastAsia="PMingLiU" w:hAnsi="Times New Roman" w:cs="Times New Roman"/>
          <w:sz w:val="24"/>
          <w:szCs w:val="24"/>
        </w:rPr>
        <w:t xml:space="preserve">, </w:t>
      </w:r>
      <w:r w:rsidR="00181591" w:rsidRPr="00F94EAD">
        <w:rPr>
          <w:rFonts w:ascii="Times New Roman" w:eastAsia="PMingLiU" w:hAnsi="Times New Roman" w:cs="Times New Roman"/>
          <w:i/>
          <w:sz w:val="24"/>
          <w:szCs w:val="24"/>
        </w:rPr>
        <w:t>45</w:t>
      </w:r>
      <w:r w:rsidR="00181591">
        <w:rPr>
          <w:rFonts w:ascii="Times New Roman" w:eastAsia="PMingLiU" w:hAnsi="Times New Roman" w:cs="Times New Roman"/>
          <w:sz w:val="24"/>
          <w:szCs w:val="24"/>
        </w:rPr>
        <w:t xml:space="preserve">(3-4), 259-294. </w:t>
      </w:r>
    </w:p>
    <w:p w:rsidR="00BA3EC7" w:rsidRDefault="00735567">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[16]</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Bloomfield, R. and </w:t>
      </w:r>
      <w:proofErr w:type="spellStart"/>
      <w:r w:rsidR="00181591">
        <w:rPr>
          <w:rFonts w:ascii="Times New Roman" w:eastAsia="PMingLiU" w:hAnsi="Times New Roman" w:cs="Times New Roman"/>
          <w:sz w:val="24"/>
          <w:szCs w:val="24"/>
        </w:rPr>
        <w:t>Michaely</w:t>
      </w:r>
      <w:proofErr w:type="spellEnd"/>
      <w:r w:rsidR="00181591">
        <w:rPr>
          <w:rFonts w:ascii="Times New Roman" w:eastAsia="PMingLiU" w:hAnsi="Times New Roman" w:cs="Times New Roman"/>
          <w:sz w:val="24"/>
          <w:szCs w:val="24"/>
        </w:rPr>
        <w:t xml:space="preserve">, R. </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2004</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Risk or mispricing? From the mouths of professionals. </w:t>
      </w:r>
      <w:r w:rsidR="00181591">
        <w:rPr>
          <w:rFonts w:ascii="Times New Roman" w:eastAsia="PMingLiU" w:hAnsi="Times New Roman" w:cs="Times New Roman"/>
          <w:i/>
          <w:sz w:val="24"/>
          <w:szCs w:val="24"/>
        </w:rPr>
        <w:t>Financial Management</w:t>
      </w:r>
      <w:r w:rsidR="00181591" w:rsidRPr="00F94EAD">
        <w:rPr>
          <w:rFonts w:ascii="Times New Roman" w:eastAsia="PMingLiU" w:hAnsi="Times New Roman" w:cs="Times New Roman"/>
          <w:i/>
          <w:sz w:val="24"/>
          <w:szCs w:val="24"/>
        </w:rPr>
        <w:t xml:space="preserve">, </w:t>
      </w:r>
      <w:r w:rsidR="002703E3" w:rsidRPr="00F94EAD">
        <w:rPr>
          <w:rFonts w:ascii="Times New Roman" w:eastAsia="PMingLiU" w:hAnsi="Times New Roman" w:cs="Times New Roman"/>
          <w:i/>
          <w:sz w:val="24"/>
          <w:szCs w:val="24"/>
        </w:rPr>
        <w:t>33</w:t>
      </w:r>
      <w:r w:rsidR="002703E3">
        <w:rPr>
          <w:rFonts w:ascii="Times New Roman" w:eastAsia="PMingLiU" w:hAnsi="Times New Roman" w:cs="Times New Roman"/>
          <w:sz w:val="24"/>
          <w:szCs w:val="24"/>
        </w:rPr>
        <w:t xml:space="preserve">(3), </w:t>
      </w:r>
      <w:r w:rsidR="00181591">
        <w:rPr>
          <w:rFonts w:ascii="Times New Roman" w:eastAsia="PMingLiU" w:hAnsi="Times New Roman" w:cs="Times New Roman"/>
          <w:sz w:val="24"/>
          <w:szCs w:val="24"/>
        </w:rPr>
        <w:t>61-81.</w:t>
      </w:r>
    </w:p>
    <w:p w:rsidR="00BA3EC7" w:rsidRDefault="00BD3CFF">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[17]</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Bradshaw, M.T., </w:t>
      </w:r>
      <w:r w:rsidR="00FE793A">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 xml:space="preserve">Sloan, R.G. </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2002</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GAAP versus the street: An empirical assessment of two alternative definitions of earnings. </w:t>
      </w:r>
      <w:r w:rsidR="00181591">
        <w:rPr>
          <w:rFonts w:ascii="Times New Roman" w:eastAsia="PMingLiU" w:hAnsi="Times New Roman" w:cs="Times New Roman"/>
          <w:i/>
          <w:sz w:val="24"/>
          <w:szCs w:val="24"/>
        </w:rPr>
        <w:t>Journal of Accounting Research</w:t>
      </w:r>
      <w:r w:rsidR="00FE793A">
        <w:rPr>
          <w:rFonts w:ascii="Times New Roman" w:eastAsia="PMingLiU" w:hAnsi="Times New Roman" w:cs="Times New Roman"/>
          <w:i/>
          <w:sz w:val="24"/>
          <w:szCs w:val="24"/>
        </w:rPr>
        <w:t>, 33</w:t>
      </w:r>
      <w:r w:rsidR="00181591">
        <w:rPr>
          <w:rFonts w:ascii="Times New Roman" w:eastAsia="PMingLiU" w:hAnsi="Times New Roman" w:cs="Times New Roman"/>
          <w:sz w:val="24"/>
          <w:szCs w:val="24"/>
        </w:rPr>
        <w:t>(1), 41-66.</w:t>
      </w:r>
    </w:p>
    <w:p w:rsidR="00BA3EC7" w:rsidRPr="00376653" w:rsidRDefault="004B435F">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[18]</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Bradshaw, M.T., Christensen, T.E., Gee, K.H.</w:t>
      </w:r>
      <w:r w:rsidR="00FE793A">
        <w:rPr>
          <w:rFonts w:ascii="Times New Roman" w:eastAsia="PMingLiU" w:hAnsi="Times New Roman" w:cs="Times New Roman"/>
          <w:sz w:val="24"/>
          <w:szCs w:val="24"/>
        </w:rPr>
        <w:t xml:space="preserve">, &amp; </w:t>
      </w:r>
      <w:r w:rsidR="00181591">
        <w:rPr>
          <w:rFonts w:ascii="Times New Roman" w:eastAsia="PMingLiU" w:hAnsi="Times New Roman" w:cs="Times New Roman"/>
          <w:sz w:val="24"/>
          <w:szCs w:val="24"/>
        </w:rPr>
        <w:t xml:space="preserve">Whipple, B.C. </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2018a</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Analysts’ GAAP earnings forecasts and their implications for accounting research. </w:t>
      </w:r>
      <w:r w:rsidR="00181591">
        <w:rPr>
          <w:rFonts w:ascii="Times New Roman" w:eastAsia="PMingLiU" w:hAnsi="Times New Roman" w:cs="Times New Roman"/>
          <w:i/>
          <w:sz w:val="24"/>
          <w:szCs w:val="24"/>
        </w:rPr>
        <w:t>Journal of Accounting and Economics</w:t>
      </w:r>
      <w:r w:rsidR="00FE793A">
        <w:rPr>
          <w:rFonts w:ascii="Times New Roman" w:eastAsia="PMingLiU" w:hAnsi="Times New Roman" w:cs="Times New Roman"/>
          <w:i/>
          <w:sz w:val="24"/>
          <w:szCs w:val="24"/>
        </w:rPr>
        <w:t>, 66</w:t>
      </w:r>
      <w:r w:rsidR="00181591">
        <w:rPr>
          <w:rFonts w:ascii="Times New Roman" w:eastAsia="PMingLiU" w:hAnsi="Times New Roman" w:cs="Times New Roman"/>
          <w:sz w:val="24"/>
          <w:szCs w:val="24"/>
        </w:rPr>
        <w:t>(1), 46-</w:t>
      </w:r>
      <w:r w:rsidR="00181591" w:rsidRPr="00376653">
        <w:rPr>
          <w:rFonts w:ascii="Times New Roman" w:eastAsia="PMingLiU" w:hAnsi="Times New Roman" w:cs="Times New Roman"/>
          <w:sz w:val="24"/>
          <w:szCs w:val="24"/>
        </w:rPr>
        <w:t>66.</w:t>
      </w:r>
    </w:p>
    <w:p w:rsidR="00BA3EC7" w:rsidRDefault="00392DA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[19]</w:t>
      </w:r>
      <w:r>
        <w:rPr>
          <w:rFonts w:ascii="Times New Roman" w:eastAsia="PMingLiU" w:hAnsi="Times New Roman" w:cs="Times New Roman"/>
          <w:sz w:val="24"/>
          <w:szCs w:val="24"/>
        </w:rPr>
        <w:tab/>
      </w:r>
      <w:r w:rsidR="00181591" w:rsidRPr="00376653">
        <w:rPr>
          <w:rFonts w:ascii="Times New Roman" w:eastAsia="PMingLiU" w:hAnsi="Times New Roman" w:cs="Times New Roman"/>
          <w:sz w:val="24"/>
          <w:szCs w:val="24"/>
        </w:rPr>
        <w:t xml:space="preserve">Bradshaw, M.T., </w:t>
      </w:r>
      <w:proofErr w:type="spellStart"/>
      <w:r w:rsidR="00181591" w:rsidRPr="00376653">
        <w:rPr>
          <w:rFonts w:ascii="Times New Roman" w:eastAsia="PMingLiU" w:hAnsi="Times New Roman" w:cs="Times New Roman"/>
          <w:sz w:val="24"/>
          <w:szCs w:val="24"/>
        </w:rPr>
        <w:t>Plumlee</w:t>
      </w:r>
      <w:proofErr w:type="spellEnd"/>
      <w:r w:rsidR="00181591" w:rsidRPr="00376653">
        <w:rPr>
          <w:rFonts w:ascii="Times New Roman" w:eastAsia="PMingLiU" w:hAnsi="Times New Roman" w:cs="Times New Roman"/>
          <w:sz w:val="24"/>
          <w:szCs w:val="24"/>
        </w:rPr>
        <w:t xml:space="preserve">, M., Whipple, B.C., </w:t>
      </w:r>
      <w:r w:rsidR="00FE793A" w:rsidRPr="00376653">
        <w:rPr>
          <w:rFonts w:ascii="Times New Roman" w:eastAsia="PMingLiU" w:hAnsi="Times New Roman" w:cs="Times New Roman"/>
          <w:sz w:val="24"/>
          <w:szCs w:val="24"/>
        </w:rPr>
        <w:t xml:space="preserve">&amp; </w:t>
      </w:r>
      <w:proofErr w:type="spellStart"/>
      <w:r w:rsidR="00181591" w:rsidRPr="00376653">
        <w:rPr>
          <w:rFonts w:ascii="Times New Roman" w:eastAsia="PMingLiU" w:hAnsi="Times New Roman" w:cs="Times New Roman"/>
          <w:sz w:val="24"/>
          <w:szCs w:val="24"/>
        </w:rPr>
        <w:t>Yohn</w:t>
      </w:r>
      <w:proofErr w:type="spellEnd"/>
      <w:r w:rsidR="00181591" w:rsidRPr="00376653">
        <w:rPr>
          <w:rFonts w:ascii="Times New Roman" w:eastAsia="PMingLiU" w:hAnsi="Times New Roman" w:cs="Times New Roman"/>
          <w:sz w:val="24"/>
          <w:szCs w:val="24"/>
        </w:rPr>
        <w:t xml:space="preserve">, T.L. </w:t>
      </w:r>
      <w:r w:rsidR="00FE793A" w:rsidRPr="00376653">
        <w:rPr>
          <w:rFonts w:ascii="Times New Roman" w:eastAsia="PMingLiU" w:hAnsi="Times New Roman" w:cs="Times New Roman"/>
          <w:sz w:val="24"/>
          <w:szCs w:val="24"/>
        </w:rPr>
        <w:t>(</w:t>
      </w:r>
      <w:r w:rsidR="00181591" w:rsidRPr="00376653">
        <w:rPr>
          <w:rFonts w:ascii="Times New Roman" w:eastAsia="PMingLiU" w:hAnsi="Times New Roman" w:cs="Times New Roman"/>
          <w:sz w:val="24"/>
          <w:szCs w:val="24"/>
        </w:rPr>
        <w:t>2018b</w:t>
      </w:r>
      <w:r w:rsidR="00FE793A" w:rsidRPr="00376653">
        <w:rPr>
          <w:rFonts w:ascii="Times New Roman" w:eastAsia="PMingLiU" w:hAnsi="Times New Roman" w:cs="Times New Roman"/>
          <w:sz w:val="24"/>
          <w:szCs w:val="24"/>
        </w:rPr>
        <w:t>)</w:t>
      </w:r>
      <w:r w:rsidR="00181591" w:rsidRPr="00376653">
        <w:rPr>
          <w:rFonts w:ascii="Times New Roman" w:eastAsia="PMingLiU" w:hAnsi="Times New Roman" w:cs="Times New Roman"/>
          <w:sz w:val="24"/>
          <w:szCs w:val="24"/>
        </w:rPr>
        <w:t>. The impact of earnings announcements on a firm's information environment. Working paper.</w:t>
      </w:r>
      <w:r w:rsidR="00181591">
        <w:rPr>
          <w:rFonts w:ascii="Times New Roman" w:eastAsia="PMingLiU" w:hAnsi="Times New Roman" w:cs="Times New Roman"/>
          <w:sz w:val="24"/>
          <w:szCs w:val="24"/>
        </w:rPr>
        <w:t xml:space="preserve"> </w:t>
      </w:r>
      <w:r w:rsidR="00376653" w:rsidRPr="00597C2C">
        <w:rPr>
          <w:rFonts w:ascii="Times New Roman" w:eastAsia="PMingLiU" w:hAnsi="Times New Roman" w:cs="Times New Roman"/>
          <w:sz w:val="24"/>
          <w:szCs w:val="24"/>
        </w:rPr>
        <w:t xml:space="preserve">Available at SSRN: </w:t>
      </w:r>
      <w:hyperlink r:id="rId12" w:history="1">
        <w:r w:rsidR="00376653" w:rsidRPr="00F94EAD">
          <w:rPr>
            <w:rFonts w:ascii="Times New Roman" w:eastAsia="PMingLiU" w:hAnsi="Times New Roman" w:cs="Times New Roman"/>
            <w:sz w:val="24"/>
            <w:szCs w:val="24"/>
          </w:rPr>
          <w:t>https://papers.ssrn.com/sol3/papers.cfm?abstract_id=2875839</w:t>
        </w:r>
      </w:hyperlink>
    </w:p>
    <w:p w:rsidR="00BA3EC7" w:rsidRDefault="00EB195A">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[20]</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Brown, L.D., </w:t>
      </w:r>
      <w:r w:rsidR="00FE793A">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 xml:space="preserve">Sivakumar, K. </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2003</w:t>
      </w:r>
      <w:r w:rsidR="00FE793A">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Comparing the value relevance of two operating income measures. </w:t>
      </w:r>
      <w:r w:rsidR="00181591">
        <w:rPr>
          <w:rFonts w:ascii="Times New Roman" w:eastAsia="PMingLiU" w:hAnsi="Times New Roman" w:cs="Times New Roman"/>
          <w:i/>
          <w:sz w:val="24"/>
          <w:szCs w:val="24"/>
        </w:rPr>
        <w:t>Review of Accounting Studies</w:t>
      </w:r>
      <w:r w:rsidR="00700EE3">
        <w:rPr>
          <w:rFonts w:ascii="Times New Roman" w:eastAsia="PMingLiU" w:hAnsi="Times New Roman" w:cs="Times New Roman"/>
          <w:i/>
          <w:sz w:val="24"/>
          <w:szCs w:val="24"/>
        </w:rPr>
        <w:t>, 8</w:t>
      </w:r>
      <w:r w:rsidR="00181591">
        <w:rPr>
          <w:rFonts w:ascii="Times New Roman" w:eastAsia="PMingLiU" w:hAnsi="Times New Roman" w:cs="Times New Roman"/>
          <w:sz w:val="24"/>
          <w:szCs w:val="24"/>
        </w:rPr>
        <w:t>(4), 561-572.</w:t>
      </w:r>
    </w:p>
    <w:p w:rsidR="00BA3EC7" w:rsidRDefault="003B27BE">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[21]</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Brown, N.C., Christensen, T.E., Elliott, W.B., </w:t>
      </w:r>
      <w:r w:rsidR="00700EE3">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Mergenthaler, R.D.</w:t>
      </w:r>
      <w:r w:rsidR="00700EE3">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2012</w:t>
      </w:r>
      <w:r w:rsidR="00700EE3">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Investor sentiment and pro forma earnings disclosures. </w:t>
      </w:r>
      <w:r w:rsidR="00181591">
        <w:rPr>
          <w:rFonts w:ascii="Times New Roman" w:eastAsia="PMingLiU" w:hAnsi="Times New Roman" w:cs="Times New Roman"/>
          <w:i/>
          <w:sz w:val="24"/>
          <w:szCs w:val="24"/>
        </w:rPr>
        <w:t>Journal of Accounting Research</w:t>
      </w:r>
      <w:r w:rsidR="00700EE3">
        <w:rPr>
          <w:rFonts w:ascii="Times New Roman" w:eastAsia="PMingLiU" w:hAnsi="Times New Roman" w:cs="Times New Roman"/>
          <w:i/>
          <w:sz w:val="24"/>
          <w:szCs w:val="24"/>
        </w:rPr>
        <w:t>, 50</w:t>
      </w:r>
      <w:r w:rsidR="00181591">
        <w:rPr>
          <w:rFonts w:ascii="Times New Roman" w:eastAsia="PMingLiU" w:hAnsi="Times New Roman" w:cs="Times New Roman"/>
          <w:sz w:val="24"/>
          <w:szCs w:val="24"/>
        </w:rPr>
        <w:t>(1), 1-40.</w:t>
      </w:r>
    </w:p>
    <w:p w:rsidR="00BA3EC7" w:rsidRDefault="00B5326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[22]</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Chaplinsky, S., </w:t>
      </w:r>
      <w:r w:rsidR="00700EE3">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 xml:space="preserve">Hansen, R.S., 1993. Partial anticipation, the flow of information and the economic impact of corporate debt sales. </w:t>
      </w:r>
      <w:r w:rsidR="00181591">
        <w:rPr>
          <w:rFonts w:ascii="Times New Roman" w:eastAsia="PMingLiU" w:hAnsi="Times New Roman" w:cs="Times New Roman"/>
          <w:i/>
          <w:sz w:val="24"/>
          <w:szCs w:val="24"/>
        </w:rPr>
        <w:t>Review of Financial Studies</w:t>
      </w:r>
      <w:r w:rsidR="00700EE3">
        <w:rPr>
          <w:rFonts w:ascii="Times New Roman" w:eastAsia="PMingLiU" w:hAnsi="Times New Roman" w:cs="Times New Roman"/>
          <w:i/>
          <w:sz w:val="24"/>
          <w:szCs w:val="24"/>
        </w:rPr>
        <w:t>, 6</w:t>
      </w:r>
      <w:r w:rsidR="00181591">
        <w:rPr>
          <w:rFonts w:ascii="Times New Roman" w:eastAsia="PMingLiU" w:hAnsi="Times New Roman" w:cs="Times New Roman"/>
          <w:sz w:val="24"/>
          <w:szCs w:val="24"/>
        </w:rPr>
        <w:t>(3), 709-732.</w:t>
      </w:r>
    </w:p>
    <w:p w:rsidR="00BA3EC7" w:rsidRDefault="006F60E4">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[23]</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Chi, J.D. </w:t>
      </w:r>
      <w:r w:rsidR="00700EE3">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Gupta, M.</w:t>
      </w:r>
      <w:r w:rsidR="00700EE3">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2009</w:t>
      </w:r>
      <w:r w:rsidR="00700EE3">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Overvaluation and earnings management. </w:t>
      </w:r>
      <w:r w:rsidR="00181591">
        <w:rPr>
          <w:rFonts w:ascii="Times New Roman" w:eastAsia="PMingLiU" w:hAnsi="Times New Roman" w:cs="Times New Roman"/>
          <w:i/>
          <w:sz w:val="24"/>
          <w:szCs w:val="24"/>
        </w:rPr>
        <w:t>Journal of Banking &amp; Finance</w:t>
      </w:r>
      <w:r w:rsidR="00700EE3">
        <w:rPr>
          <w:rFonts w:ascii="Times New Roman" w:eastAsia="PMingLiU" w:hAnsi="Times New Roman" w:cs="Times New Roman"/>
          <w:i/>
          <w:sz w:val="24"/>
          <w:szCs w:val="24"/>
        </w:rPr>
        <w:t>, 33</w:t>
      </w:r>
      <w:r w:rsidR="00181591">
        <w:rPr>
          <w:rFonts w:ascii="Times New Roman" w:eastAsia="PMingLiU" w:hAnsi="Times New Roman" w:cs="Times New Roman"/>
          <w:sz w:val="24"/>
          <w:szCs w:val="24"/>
        </w:rPr>
        <w:t>(9), 1652-1663.</w:t>
      </w:r>
    </w:p>
    <w:p w:rsidR="00BA3EC7" w:rsidRDefault="004F5430">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[24]</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Christensen, T.E.</w:t>
      </w:r>
      <w:r w:rsidR="00700EE3">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2007</w:t>
      </w:r>
      <w:r w:rsidR="00700EE3">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Discussion of “Letting the ‘Tail wag the dog’: The debate over GAAP versus street earnings revisited”. </w:t>
      </w:r>
      <w:r w:rsidR="00181591">
        <w:rPr>
          <w:rFonts w:ascii="Times New Roman" w:eastAsia="PMingLiU" w:hAnsi="Times New Roman" w:cs="Times New Roman"/>
          <w:i/>
          <w:sz w:val="24"/>
          <w:szCs w:val="24"/>
        </w:rPr>
        <w:t>Contemporary Accounting Research</w:t>
      </w:r>
      <w:r w:rsidR="00700EE3">
        <w:rPr>
          <w:rFonts w:ascii="Times New Roman" w:eastAsia="PMingLiU" w:hAnsi="Times New Roman" w:cs="Times New Roman"/>
          <w:i/>
          <w:sz w:val="24"/>
          <w:szCs w:val="24"/>
        </w:rPr>
        <w:t>, 24</w:t>
      </w:r>
      <w:r w:rsidR="00181591">
        <w:rPr>
          <w:rFonts w:ascii="Times New Roman" w:eastAsia="PMingLiU" w:hAnsi="Times New Roman" w:cs="Times New Roman"/>
          <w:sz w:val="24"/>
          <w:szCs w:val="24"/>
        </w:rPr>
        <w:t>(3), 741-762.</w:t>
      </w:r>
    </w:p>
    <w:p w:rsidR="00BA3EC7" w:rsidRDefault="00E218D8">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[25]</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Christensen, T.E., Pei, H., Pierce, S.R.</w:t>
      </w:r>
      <w:r w:rsidR="00700EE3">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Tan, L.</w:t>
      </w:r>
      <w:r w:rsidR="00700EE3">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2019</w:t>
      </w:r>
      <w:r w:rsidR="00700EE3">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Non-GAAP reporting following debt covenant violations. </w:t>
      </w:r>
      <w:r w:rsidR="00181591">
        <w:rPr>
          <w:rFonts w:ascii="Times New Roman" w:eastAsia="PMingLiU" w:hAnsi="Times New Roman" w:cs="Times New Roman"/>
          <w:i/>
          <w:sz w:val="24"/>
          <w:szCs w:val="24"/>
        </w:rPr>
        <w:t>Review of Accounting Studies</w:t>
      </w:r>
      <w:r w:rsidR="00700EE3">
        <w:rPr>
          <w:rFonts w:ascii="Times New Roman" w:eastAsia="PMingLiU" w:hAnsi="Times New Roman" w:cs="Times New Roman"/>
          <w:i/>
          <w:sz w:val="24"/>
          <w:szCs w:val="24"/>
        </w:rPr>
        <w:t>, 24</w:t>
      </w:r>
      <w:r w:rsidR="00181591">
        <w:rPr>
          <w:rFonts w:ascii="Times New Roman" w:eastAsia="PMingLiU" w:hAnsi="Times New Roman" w:cs="Times New Roman"/>
          <w:sz w:val="24"/>
          <w:szCs w:val="24"/>
        </w:rPr>
        <w:t>(2), 629-664.</w:t>
      </w:r>
    </w:p>
    <w:p w:rsidR="00BA3EC7" w:rsidRDefault="00F70E1E">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[26]</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Cole, K., </w:t>
      </w:r>
      <w:proofErr w:type="spellStart"/>
      <w:r w:rsidR="00181591">
        <w:rPr>
          <w:rFonts w:ascii="Times New Roman" w:eastAsia="PMingLiU" w:hAnsi="Times New Roman" w:cs="Times New Roman"/>
          <w:sz w:val="24"/>
          <w:szCs w:val="24"/>
        </w:rPr>
        <w:t>Helwege</w:t>
      </w:r>
      <w:proofErr w:type="spellEnd"/>
      <w:r w:rsidR="00181591">
        <w:rPr>
          <w:rFonts w:ascii="Times New Roman" w:eastAsia="PMingLiU" w:hAnsi="Times New Roman" w:cs="Times New Roman"/>
          <w:sz w:val="24"/>
          <w:szCs w:val="24"/>
        </w:rPr>
        <w:t>, J.</w:t>
      </w:r>
      <w:r w:rsidR="007E5E7B">
        <w:rPr>
          <w:rFonts w:ascii="Times New Roman" w:eastAsia="PMingLiU" w:hAnsi="Times New Roman" w:cs="Times New Roman"/>
          <w:sz w:val="24"/>
          <w:szCs w:val="24"/>
        </w:rPr>
        <w:t xml:space="preserve">, &amp; </w:t>
      </w:r>
      <w:r w:rsidR="00181591">
        <w:rPr>
          <w:rFonts w:ascii="Times New Roman" w:eastAsia="PMingLiU" w:hAnsi="Times New Roman" w:cs="Times New Roman"/>
          <w:sz w:val="24"/>
          <w:szCs w:val="24"/>
        </w:rPr>
        <w:t>Laster, D.</w:t>
      </w:r>
      <w:r w:rsidR="007E5E7B">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1996</w:t>
      </w:r>
      <w:r w:rsidR="007E5E7B">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Stock market valuation indicators: is this time different? </w:t>
      </w:r>
      <w:r w:rsidR="00181591">
        <w:rPr>
          <w:rFonts w:ascii="Times New Roman" w:eastAsia="PMingLiU" w:hAnsi="Times New Roman" w:cs="Times New Roman"/>
          <w:i/>
          <w:sz w:val="24"/>
          <w:szCs w:val="24"/>
        </w:rPr>
        <w:t>Financial Analysts Journal</w:t>
      </w:r>
      <w:r w:rsidR="007E5E7B">
        <w:rPr>
          <w:rFonts w:ascii="Times New Roman" w:eastAsia="PMingLiU" w:hAnsi="Times New Roman" w:cs="Times New Roman"/>
          <w:i/>
          <w:sz w:val="24"/>
          <w:szCs w:val="24"/>
        </w:rPr>
        <w:t>, 52</w:t>
      </w:r>
      <w:r w:rsidR="00181591">
        <w:rPr>
          <w:rFonts w:ascii="Times New Roman" w:eastAsia="PMingLiU" w:hAnsi="Times New Roman" w:cs="Times New Roman"/>
          <w:sz w:val="24"/>
          <w:szCs w:val="24"/>
        </w:rPr>
        <w:t>(3), 56-64.</w:t>
      </w:r>
    </w:p>
    <w:p w:rsidR="00A60A6D" w:rsidRDefault="0011554E">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[27]</w:t>
      </w:r>
      <w:r>
        <w:rPr>
          <w:rFonts w:ascii="Times New Roman" w:eastAsia="PMingLiU" w:hAnsi="Times New Roman" w:cs="Times New Roman"/>
          <w:sz w:val="24"/>
          <w:szCs w:val="24"/>
        </w:rPr>
        <w:tab/>
      </w:r>
      <w:r w:rsidR="00A60A6D" w:rsidRPr="00A60A6D">
        <w:rPr>
          <w:rFonts w:ascii="Times New Roman" w:eastAsia="PMingLiU" w:hAnsi="Times New Roman" w:cs="Times New Roman"/>
          <w:sz w:val="24"/>
          <w:szCs w:val="24"/>
        </w:rPr>
        <w:t xml:space="preserve">Curtis, A.B., </w:t>
      </w:r>
      <w:proofErr w:type="spellStart"/>
      <w:r w:rsidR="00A60A6D" w:rsidRPr="00A60A6D">
        <w:rPr>
          <w:rFonts w:ascii="Times New Roman" w:eastAsia="PMingLiU" w:hAnsi="Times New Roman" w:cs="Times New Roman"/>
          <w:sz w:val="24"/>
          <w:szCs w:val="24"/>
        </w:rPr>
        <w:t>McVay</w:t>
      </w:r>
      <w:proofErr w:type="spellEnd"/>
      <w:r w:rsidR="00A60A6D" w:rsidRPr="00A60A6D">
        <w:rPr>
          <w:rFonts w:ascii="Times New Roman" w:eastAsia="PMingLiU" w:hAnsi="Times New Roman" w:cs="Times New Roman"/>
          <w:sz w:val="24"/>
          <w:szCs w:val="24"/>
        </w:rPr>
        <w:t>, S.E.</w:t>
      </w:r>
      <w:r w:rsidR="007E5E7B">
        <w:rPr>
          <w:rFonts w:ascii="Times New Roman" w:eastAsia="PMingLiU" w:hAnsi="Times New Roman" w:cs="Times New Roman"/>
          <w:sz w:val="24"/>
          <w:szCs w:val="24"/>
        </w:rPr>
        <w:t xml:space="preserve">, &amp; </w:t>
      </w:r>
      <w:r w:rsidR="00A60A6D" w:rsidRPr="00A60A6D">
        <w:rPr>
          <w:rFonts w:ascii="Times New Roman" w:eastAsia="PMingLiU" w:hAnsi="Times New Roman" w:cs="Times New Roman"/>
          <w:sz w:val="24"/>
          <w:szCs w:val="24"/>
        </w:rPr>
        <w:t>Whipple, B.C.</w:t>
      </w:r>
      <w:r w:rsidR="007E5E7B">
        <w:rPr>
          <w:rFonts w:ascii="Times New Roman" w:eastAsia="PMingLiU" w:hAnsi="Times New Roman" w:cs="Times New Roman"/>
          <w:sz w:val="24"/>
          <w:szCs w:val="24"/>
        </w:rPr>
        <w:t xml:space="preserve"> (</w:t>
      </w:r>
      <w:r w:rsidR="00A60A6D" w:rsidRPr="00A60A6D">
        <w:rPr>
          <w:rFonts w:ascii="Times New Roman" w:eastAsia="PMingLiU" w:hAnsi="Times New Roman" w:cs="Times New Roman"/>
          <w:sz w:val="24"/>
          <w:szCs w:val="24"/>
        </w:rPr>
        <w:t>201</w:t>
      </w:r>
      <w:r w:rsidR="005F1D42">
        <w:rPr>
          <w:rFonts w:ascii="Times New Roman" w:eastAsia="PMingLiU" w:hAnsi="Times New Roman" w:cs="Times New Roman"/>
          <w:sz w:val="24"/>
          <w:szCs w:val="24"/>
        </w:rPr>
        <w:t>4</w:t>
      </w:r>
      <w:r w:rsidR="007E5E7B">
        <w:rPr>
          <w:rFonts w:ascii="Times New Roman" w:eastAsia="PMingLiU" w:hAnsi="Times New Roman" w:cs="Times New Roman"/>
          <w:sz w:val="24"/>
          <w:szCs w:val="24"/>
        </w:rPr>
        <w:t>)</w:t>
      </w:r>
      <w:r w:rsidR="00A60A6D" w:rsidRPr="00A60A6D">
        <w:rPr>
          <w:rFonts w:ascii="Times New Roman" w:eastAsia="PMingLiU" w:hAnsi="Times New Roman" w:cs="Times New Roman"/>
          <w:sz w:val="24"/>
          <w:szCs w:val="24"/>
        </w:rPr>
        <w:t xml:space="preserve">. The disclosure of non-GAAP earnings information in the presence of transitory gains. </w:t>
      </w:r>
      <w:r w:rsidR="00A60A6D" w:rsidRPr="00F94EAD">
        <w:rPr>
          <w:rFonts w:ascii="Times New Roman" w:eastAsia="PMingLiU" w:hAnsi="Times New Roman" w:cs="Times New Roman"/>
          <w:i/>
          <w:sz w:val="24"/>
          <w:szCs w:val="24"/>
        </w:rPr>
        <w:t>The Accounting Review</w:t>
      </w:r>
      <w:r w:rsidR="007E5E7B">
        <w:rPr>
          <w:rFonts w:ascii="Times New Roman" w:eastAsia="PMingLiU" w:hAnsi="Times New Roman" w:cs="Times New Roman"/>
          <w:i/>
          <w:sz w:val="24"/>
          <w:szCs w:val="24"/>
        </w:rPr>
        <w:t>, 89</w:t>
      </w:r>
      <w:r w:rsidR="00A60A6D">
        <w:rPr>
          <w:rFonts w:ascii="Times New Roman" w:eastAsia="PMingLiU" w:hAnsi="Times New Roman" w:cs="Times New Roman"/>
          <w:sz w:val="24"/>
          <w:szCs w:val="24"/>
        </w:rPr>
        <w:t xml:space="preserve">(3), </w:t>
      </w:r>
      <w:r w:rsidR="00A60A6D" w:rsidRPr="00A60A6D">
        <w:rPr>
          <w:rFonts w:ascii="Times New Roman" w:eastAsia="PMingLiU" w:hAnsi="Times New Roman" w:cs="Times New Roman"/>
          <w:sz w:val="24"/>
          <w:szCs w:val="24"/>
        </w:rPr>
        <w:t>933-958.</w:t>
      </w:r>
    </w:p>
    <w:p w:rsidR="00456E59" w:rsidRDefault="004E2521">
      <w:pPr>
        <w:widowControl w:val="0"/>
        <w:spacing w:before="120" w:after="120"/>
        <w:ind w:left="567" w:right="20" w:hanging="567"/>
        <w:jc w:val="both"/>
        <w:rPr>
          <w:rFonts w:ascii="Times New Roman" w:eastAsia="PMingLiU" w:hAnsi="Times New Roman" w:cs="Times New Roman"/>
          <w:sz w:val="24"/>
          <w:szCs w:val="24"/>
        </w:rPr>
      </w:pPr>
      <w:r w:rsidRPr="00873576">
        <w:rPr>
          <w:rFonts w:ascii="Times New Roman" w:eastAsia="PMingLiU" w:hAnsi="Times New Roman" w:cs="Times New Roman"/>
          <w:sz w:val="24"/>
          <w:szCs w:val="24"/>
        </w:rPr>
        <w:t>[28]</w:t>
      </w:r>
      <w:r w:rsidRPr="00873576">
        <w:rPr>
          <w:rFonts w:ascii="Times New Roman" w:eastAsia="PMingLiU" w:hAnsi="Times New Roman" w:cs="Times New Roman"/>
          <w:sz w:val="24"/>
          <w:szCs w:val="24"/>
        </w:rPr>
        <w:tab/>
      </w:r>
      <w:r w:rsidR="00F92E33" w:rsidRPr="00873576">
        <w:rPr>
          <w:rFonts w:ascii="Times New Roman" w:eastAsia="PMingLiU" w:hAnsi="Times New Roman" w:cs="Times New Roman"/>
          <w:sz w:val="24"/>
          <w:szCs w:val="24"/>
        </w:rPr>
        <w:t xml:space="preserve">Da, Z., &amp; Shive, S. (2018). Exchange traded funds and asset return correlations. </w:t>
      </w:r>
      <w:r w:rsidR="00F92E33" w:rsidRPr="00873576">
        <w:rPr>
          <w:rFonts w:ascii="Times New Roman" w:eastAsia="PMingLiU" w:hAnsi="Times New Roman" w:cs="Times New Roman"/>
          <w:i/>
          <w:sz w:val="24"/>
          <w:szCs w:val="24"/>
        </w:rPr>
        <w:t>European Financial Management</w:t>
      </w:r>
      <w:r w:rsidR="00F92E33" w:rsidRPr="00873576">
        <w:rPr>
          <w:rFonts w:ascii="Times New Roman" w:eastAsia="PMingLiU" w:hAnsi="Times New Roman" w:cs="Times New Roman"/>
          <w:sz w:val="24"/>
          <w:szCs w:val="24"/>
        </w:rPr>
        <w:t>, 24(1), 136-168.</w:t>
      </w:r>
    </w:p>
    <w:p w:rsidR="00BA3EC7" w:rsidRDefault="00204ECA">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[2</w:t>
      </w:r>
      <w:r w:rsidR="00BE4F45">
        <w:rPr>
          <w:rFonts w:ascii="Times New Roman" w:eastAsia="PMingLiU" w:hAnsi="Times New Roman" w:cs="Times New Roman"/>
          <w:sz w:val="24"/>
          <w:szCs w:val="24"/>
        </w:rPr>
        <w:t>9</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Daniel, K., </w:t>
      </w:r>
      <w:proofErr w:type="spellStart"/>
      <w:r w:rsidR="00181591">
        <w:rPr>
          <w:rFonts w:ascii="Times New Roman" w:eastAsia="PMingLiU" w:hAnsi="Times New Roman" w:cs="Times New Roman"/>
          <w:sz w:val="24"/>
          <w:szCs w:val="24"/>
        </w:rPr>
        <w:t>Hirshleifer</w:t>
      </w:r>
      <w:proofErr w:type="spellEnd"/>
      <w:r w:rsidR="00181591">
        <w:rPr>
          <w:rFonts w:ascii="Times New Roman" w:eastAsia="PMingLiU" w:hAnsi="Times New Roman" w:cs="Times New Roman"/>
          <w:sz w:val="24"/>
          <w:szCs w:val="24"/>
        </w:rPr>
        <w:t xml:space="preserve">, D., </w:t>
      </w:r>
      <w:r w:rsidR="007E5E7B">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Teoh, S.H.</w:t>
      </w:r>
      <w:r w:rsidR="007E5E7B">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2002</w:t>
      </w:r>
      <w:r w:rsidR="007E5E7B">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Investor psychology in capital markets: Evidence and policy implications. </w:t>
      </w:r>
      <w:r w:rsidR="00181591">
        <w:rPr>
          <w:rFonts w:ascii="Times New Roman" w:eastAsia="PMingLiU" w:hAnsi="Times New Roman" w:cs="Times New Roman"/>
          <w:i/>
          <w:sz w:val="24"/>
          <w:szCs w:val="24"/>
        </w:rPr>
        <w:t>Journal of Monetary Economics</w:t>
      </w:r>
      <w:r w:rsidR="007E5E7B">
        <w:rPr>
          <w:rFonts w:ascii="Times New Roman" w:eastAsia="PMingLiU" w:hAnsi="Times New Roman" w:cs="Times New Roman"/>
          <w:i/>
          <w:sz w:val="24"/>
          <w:szCs w:val="24"/>
        </w:rPr>
        <w:t>, 49</w:t>
      </w:r>
      <w:r w:rsidR="00181591">
        <w:rPr>
          <w:rFonts w:ascii="Times New Roman" w:eastAsia="PMingLiU" w:hAnsi="Times New Roman" w:cs="Times New Roman"/>
          <w:sz w:val="24"/>
          <w:szCs w:val="24"/>
        </w:rPr>
        <w:t>(1), 139-209.</w:t>
      </w:r>
    </w:p>
    <w:p w:rsidR="00BA3EC7" w:rsidRDefault="00AB1213">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w:t>
      </w:r>
      <w:r w:rsidR="00BE4F45">
        <w:rPr>
          <w:rFonts w:ascii="Times New Roman" w:eastAsia="PMingLiU" w:hAnsi="Times New Roman" w:cs="Times New Roman"/>
          <w:sz w:val="24"/>
          <w:szCs w:val="24"/>
        </w:rPr>
        <w:t>30</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De Long, J.B., Shleifer, A., Summers, L.H., </w:t>
      </w:r>
      <w:r w:rsidR="007E5E7B">
        <w:rPr>
          <w:rFonts w:ascii="Times New Roman" w:eastAsia="PMingLiU" w:hAnsi="Times New Roman" w:cs="Times New Roman"/>
          <w:sz w:val="24"/>
          <w:szCs w:val="24"/>
        </w:rPr>
        <w:t xml:space="preserve">&amp; </w:t>
      </w:r>
      <w:proofErr w:type="spellStart"/>
      <w:r w:rsidR="00181591">
        <w:rPr>
          <w:rFonts w:ascii="Times New Roman" w:eastAsia="PMingLiU" w:hAnsi="Times New Roman" w:cs="Times New Roman"/>
          <w:sz w:val="24"/>
          <w:szCs w:val="24"/>
        </w:rPr>
        <w:t>Waldmann</w:t>
      </w:r>
      <w:proofErr w:type="spellEnd"/>
      <w:r w:rsidR="00181591">
        <w:rPr>
          <w:rFonts w:ascii="Times New Roman" w:eastAsia="PMingLiU" w:hAnsi="Times New Roman" w:cs="Times New Roman"/>
          <w:sz w:val="24"/>
          <w:szCs w:val="24"/>
        </w:rPr>
        <w:t xml:space="preserve">, R. J. </w:t>
      </w:r>
      <w:r w:rsidR="007E5E7B">
        <w:rPr>
          <w:rFonts w:ascii="Times New Roman" w:eastAsia="PMingLiU" w:hAnsi="Times New Roman" w:cs="Times New Roman"/>
          <w:sz w:val="24"/>
          <w:szCs w:val="24"/>
        </w:rPr>
        <w:t>(</w:t>
      </w:r>
      <w:r w:rsidR="00181591">
        <w:rPr>
          <w:rFonts w:ascii="Times New Roman" w:eastAsia="PMingLiU" w:hAnsi="Times New Roman" w:cs="Times New Roman"/>
          <w:sz w:val="24"/>
          <w:szCs w:val="24"/>
        </w:rPr>
        <w:t>1990</w:t>
      </w:r>
      <w:r w:rsidR="007E5E7B">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Noise trader risk </w:t>
      </w:r>
      <w:r w:rsidR="00181591">
        <w:rPr>
          <w:rFonts w:ascii="Times New Roman" w:eastAsia="PMingLiU" w:hAnsi="Times New Roman" w:cs="Times New Roman"/>
          <w:sz w:val="24"/>
          <w:szCs w:val="24"/>
        </w:rPr>
        <w:lastRenderedPageBreak/>
        <w:t xml:space="preserve">in financial markets. </w:t>
      </w:r>
      <w:r w:rsidR="00181591">
        <w:rPr>
          <w:rFonts w:ascii="Times New Roman" w:eastAsia="PMingLiU" w:hAnsi="Times New Roman" w:cs="Times New Roman"/>
          <w:i/>
          <w:sz w:val="24"/>
          <w:szCs w:val="24"/>
        </w:rPr>
        <w:t>Journal of Political Economy</w:t>
      </w:r>
      <w:r w:rsidR="007E5E7B">
        <w:rPr>
          <w:rFonts w:ascii="Times New Roman" w:eastAsia="PMingLiU" w:hAnsi="Times New Roman" w:cs="Times New Roman"/>
          <w:i/>
          <w:sz w:val="24"/>
          <w:szCs w:val="24"/>
        </w:rPr>
        <w:t>, 98</w:t>
      </w:r>
      <w:r w:rsidR="00181591">
        <w:rPr>
          <w:rFonts w:ascii="Times New Roman" w:eastAsia="PMingLiU" w:hAnsi="Times New Roman" w:cs="Times New Roman"/>
          <w:sz w:val="24"/>
          <w:szCs w:val="24"/>
        </w:rPr>
        <w:t>(4), 703-738.</w:t>
      </w:r>
    </w:p>
    <w:p w:rsidR="00BA3EC7" w:rsidRDefault="00D86D47">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BE4F45">
        <w:rPr>
          <w:rFonts w:ascii="Times New Roman" w:eastAsia="PMingLiU" w:hAnsi="Times New Roman" w:cs="Times New Roman"/>
          <w:sz w:val="24"/>
          <w:szCs w:val="24"/>
        </w:rPr>
        <w:t>1</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Dong, M., </w:t>
      </w:r>
      <w:proofErr w:type="spellStart"/>
      <w:r w:rsidR="00181591">
        <w:rPr>
          <w:rFonts w:ascii="Times New Roman" w:eastAsia="PMingLiU" w:hAnsi="Times New Roman" w:cs="Times New Roman"/>
          <w:sz w:val="24"/>
          <w:szCs w:val="24"/>
        </w:rPr>
        <w:t>Hirshleifer</w:t>
      </w:r>
      <w:proofErr w:type="spellEnd"/>
      <w:r w:rsidR="00181591">
        <w:rPr>
          <w:rFonts w:ascii="Times New Roman" w:eastAsia="PMingLiU" w:hAnsi="Times New Roman" w:cs="Times New Roman"/>
          <w:sz w:val="24"/>
          <w:szCs w:val="24"/>
        </w:rPr>
        <w:t xml:space="preserve">, D., Richardson, S., </w:t>
      </w:r>
      <w:r w:rsidR="00CD1650">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 xml:space="preserve">Teoh, S.H. </w:t>
      </w:r>
      <w:r w:rsidR="00CD1650">
        <w:rPr>
          <w:rFonts w:ascii="Times New Roman" w:eastAsia="PMingLiU" w:hAnsi="Times New Roman" w:cs="Times New Roman"/>
          <w:sz w:val="24"/>
          <w:szCs w:val="24"/>
        </w:rPr>
        <w:t>(</w:t>
      </w:r>
      <w:r w:rsidR="00181591">
        <w:rPr>
          <w:rFonts w:ascii="Times New Roman" w:eastAsia="PMingLiU" w:hAnsi="Times New Roman" w:cs="Times New Roman"/>
          <w:sz w:val="24"/>
          <w:szCs w:val="24"/>
        </w:rPr>
        <w:t>200</w:t>
      </w:r>
      <w:r w:rsidR="00580876">
        <w:rPr>
          <w:rFonts w:ascii="Times New Roman" w:eastAsia="PMingLiU" w:hAnsi="Times New Roman" w:cs="Times New Roman"/>
          <w:sz w:val="24"/>
          <w:szCs w:val="24"/>
        </w:rPr>
        <w:t>6</w:t>
      </w:r>
      <w:r w:rsidR="00CD1650">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Does investor </w:t>
      </w:r>
      <w:proofErr w:type="spellStart"/>
      <w:r w:rsidR="00181591">
        <w:rPr>
          <w:rFonts w:ascii="Times New Roman" w:eastAsia="PMingLiU" w:hAnsi="Times New Roman" w:cs="Times New Roman"/>
          <w:sz w:val="24"/>
          <w:szCs w:val="24"/>
        </w:rPr>
        <w:t>misvaluation</w:t>
      </w:r>
      <w:proofErr w:type="spellEnd"/>
      <w:r w:rsidR="00181591">
        <w:rPr>
          <w:rFonts w:ascii="Times New Roman" w:eastAsia="PMingLiU" w:hAnsi="Times New Roman" w:cs="Times New Roman"/>
          <w:sz w:val="24"/>
          <w:szCs w:val="24"/>
        </w:rPr>
        <w:t xml:space="preserve"> drive the takeover market? </w:t>
      </w:r>
      <w:r w:rsidR="00181591">
        <w:rPr>
          <w:rFonts w:ascii="Times New Roman" w:eastAsia="PMingLiU" w:hAnsi="Times New Roman" w:cs="Times New Roman"/>
          <w:i/>
          <w:sz w:val="24"/>
          <w:szCs w:val="24"/>
        </w:rPr>
        <w:t>Journal of Finance</w:t>
      </w:r>
      <w:r w:rsidR="00BB511D">
        <w:rPr>
          <w:rFonts w:ascii="Times New Roman" w:eastAsia="PMingLiU" w:hAnsi="Times New Roman" w:cs="Times New Roman"/>
          <w:i/>
          <w:sz w:val="24"/>
          <w:szCs w:val="24"/>
        </w:rPr>
        <w:t>, 61</w:t>
      </w:r>
      <w:r w:rsidR="00181591">
        <w:rPr>
          <w:rFonts w:ascii="Times New Roman" w:eastAsia="PMingLiU" w:hAnsi="Times New Roman" w:cs="Times New Roman"/>
          <w:sz w:val="24"/>
          <w:szCs w:val="24"/>
        </w:rPr>
        <w:t>(2), 725-762.</w:t>
      </w:r>
    </w:p>
    <w:p w:rsidR="00BA3EC7" w:rsidRDefault="001B2451">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BE4F45">
        <w:rPr>
          <w:rFonts w:ascii="Times New Roman" w:eastAsia="PMingLiU" w:hAnsi="Times New Roman" w:cs="Times New Roman"/>
          <w:sz w:val="24"/>
          <w:szCs w:val="24"/>
        </w:rPr>
        <w:t>2</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Doyle, J.T., </w:t>
      </w:r>
      <w:proofErr w:type="spellStart"/>
      <w:r w:rsidR="00181591">
        <w:rPr>
          <w:rFonts w:ascii="Times New Roman" w:eastAsia="PMingLiU" w:hAnsi="Times New Roman" w:cs="Times New Roman"/>
          <w:sz w:val="24"/>
          <w:szCs w:val="24"/>
        </w:rPr>
        <w:t>Lundholm</w:t>
      </w:r>
      <w:proofErr w:type="spellEnd"/>
      <w:r w:rsidR="00181591">
        <w:rPr>
          <w:rFonts w:ascii="Times New Roman" w:eastAsia="PMingLiU" w:hAnsi="Times New Roman" w:cs="Times New Roman"/>
          <w:sz w:val="24"/>
          <w:szCs w:val="24"/>
        </w:rPr>
        <w:t>, R.J.</w:t>
      </w:r>
      <w:r w:rsidR="00BB511D">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Soliman, M.T. </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2003</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The predictive value of expenses excluded from pro forma earnings. </w:t>
      </w:r>
      <w:r w:rsidR="00181591">
        <w:rPr>
          <w:rFonts w:ascii="Times New Roman" w:eastAsia="PMingLiU" w:hAnsi="Times New Roman" w:cs="Times New Roman"/>
          <w:i/>
          <w:sz w:val="24"/>
          <w:szCs w:val="24"/>
        </w:rPr>
        <w:t>Review of Accounting Studies</w:t>
      </w:r>
      <w:r w:rsidR="00BB511D">
        <w:rPr>
          <w:rFonts w:ascii="Times New Roman" w:eastAsia="PMingLiU" w:hAnsi="Times New Roman" w:cs="Times New Roman"/>
          <w:i/>
          <w:sz w:val="24"/>
          <w:szCs w:val="24"/>
        </w:rPr>
        <w:t>, 8</w:t>
      </w:r>
      <w:r w:rsidR="00181591">
        <w:rPr>
          <w:rFonts w:ascii="Times New Roman" w:eastAsia="PMingLiU" w:hAnsi="Times New Roman" w:cs="Times New Roman"/>
          <w:sz w:val="24"/>
          <w:szCs w:val="24"/>
        </w:rPr>
        <w:t>(2-3), 145-174.</w:t>
      </w:r>
    </w:p>
    <w:p w:rsidR="00BA3EC7" w:rsidRDefault="0071724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BE4F45">
        <w:rPr>
          <w:rFonts w:ascii="Times New Roman" w:eastAsia="PMingLiU" w:hAnsi="Times New Roman" w:cs="Times New Roman"/>
          <w:sz w:val="24"/>
          <w:szCs w:val="24"/>
        </w:rPr>
        <w:t>3</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Doyle, J., Jennings, J., </w:t>
      </w:r>
      <w:r w:rsidR="00BB511D">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Soliman, M.</w:t>
      </w:r>
      <w:r w:rsidR="00BB511D">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2013</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Do managers define non-GAAP earnings to meet or beat analyst forecasts? </w:t>
      </w:r>
      <w:r w:rsidR="00181591">
        <w:rPr>
          <w:rFonts w:ascii="Times New Roman" w:eastAsia="PMingLiU" w:hAnsi="Times New Roman" w:cs="Times New Roman"/>
          <w:i/>
          <w:sz w:val="24"/>
          <w:szCs w:val="24"/>
        </w:rPr>
        <w:t>Journal of Accounting and Economics</w:t>
      </w:r>
      <w:r w:rsidR="00BB511D">
        <w:rPr>
          <w:rFonts w:ascii="Times New Roman" w:eastAsia="PMingLiU" w:hAnsi="Times New Roman" w:cs="Times New Roman"/>
          <w:i/>
          <w:sz w:val="24"/>
          <w:szCs w:val="24"/>
        </w:rPr>
        <w:t>, 56</w:t>
      </w:r>
      <w:r w:rsidR="00181591">
        <w:rPr>
          <w:rFonts w:ascii="Times New Roman" w:eastAsia="PMingLiU" w:hAnsi="Times New Roman" w:cs="Times New Roman"/>
          <w:sz w:val="24"/>
          <w:szCs w:val="24"/>
        </w:rPr>
        <w:t>(1), 40-56.</w:t>
      </w:r>
    </w:p>
    <w:p w:rsidR="00BA3EC7" w:rsidRDefault="00E26E04">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873576">
        <w:rPr>
          <w:rFonts w:ascii="Times New Roman" w:eastAsia="PMingLiU" w:hAnsi="Times New Roman" w:cs="Times New Roman"/>
          <w:sz w:val="24"/>
          <w:szCs w:val="24"/>
        </w:rPr>
        <w:t>4</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Elliott, W. </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2006</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Are investors influenced by Pro Forma emphasis and reconciliations in earnings announcements? </w:t>
      </w:r>
      <w:r w:rsidR="00181591">
        <w:rPr>
          <w:rFonts w:ascii="Times New Roman" w:eastAsia="PMingLiU" w:hAnsi="Times New Roman" w:cs="Times New Roman"/>
          <w:i/>
          <w:sz w:val="24"/>
          <w:szCs w:val="24"/>
        </w:rPr>
        <w:t>The Accounting Review</w:t>
      </w:r>
      <w:r w:rsidR="00BB511D">
        <w:rPr>
          <w:rFonts w:ascii="Times New Roman" w:eastAsia="PMingLiU" w:hAnsi="Times New Roman" w:cs="Times New Roman"/>
          <w:i/>
          <w:sz w:val="24"/>
          <w:szCs w:val="24"/>
        </w:rPr>
        <w:t>, 81</w:t>
      </w:r>
      <w:r w:rsidR="00181591">
        <w:rPr>
          <w:rFonts w:ascii="Times New Roman" w:eastAsia="PMingLiU" w:hAnsi="Times New Roman" w:cs="Times New Roman"/>
          <w:sz w:val="24"/>
          <w:szCs w:val="24"/>
        </w:rPr>
        <w:t>(1), 113-133.</w:t>
      </w:r>
    </w:p>
    <w:p w:rsidR="00BA3EC7" w:rsidRDefault="00D63B44">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873576">
        <w:rPr>
          <w:rFonts w:ascii="Times New Roman" w:eastAsia="PMingLiU" w:hAnsi="Times New Roman" w:cs="Times New Roman"/>
          <w:sz w:val="24"/>
          <w:szCs w:val="24"/>
        </w:rPr>
        <w:t>5</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Elliott, W.B., </w:t>
      </w:r>
      <w:proofErr w:type="spellStart"/>
      <w:r w:rsidR="00181591">
        <w:rPr>
          <w:rFonts w:ascii="Times New Roman" w:eastAsia="PMingLiU" w:hAnsi="Times New Roman" w:cs="Times New Roman"/>
          <w:sz w:val="24"/>
          <w:szCs w:val="24"/>
        </w:rPr>
        <w:t>Krische</w:t>
      </w:r>
      <w:proofErr w:type="spellEnd"/>
      <w:r w:rsidR="00181591">
        <w:rPr>
          <w:rFonts w:ascii="Times New Roman" w:eastAsia="PMingLiU" w:hAnsi="Times New Roman" w:cs="Times New Roman"/>
          <w:sz w:val="24"/>
          <w:szCs w:val="24"/>
        </w:rPr>
        <w:t xml:space="preserve">, S.D., </w:t>
      </w:r>
      <w:r w:rsidR="00BB511D">
        <w:rPr>
          <w:rFonts w:ascii="Times New Roman" w:eastAsia="PMingLiU" w:hAnsi="Times New Roman" w:cs="Times New Roman"/>
          <w:sz w:val="24"/>
          <w:szCs w:val="24"/>
        </w:rPr>
        <w:t xml:space="preserve">&amp; </w:t>
      </w:r>
      <w:proofErr w:type="spellStart"/>
      <w:r w:rsidR="00181591">
        <w:rPr>
          <w:rFonts w:ascii="Times New Roman" w:eastAsia="PMingLiU" w:hAnsi="Times New Roman" w:cs="Times New Roman"/>
          <w:sz w:val="24"/>
          <w:szCs w:val="24"/>
        </w:rPr>
        <w:t>Peecher</w:t>
      </w:r>
      <w:proofErr w:type="spellEnd"/>
      <w:r w:rsidR="00181591">
        <w:rPr>
          <w:rFonts w:ascii="Times New Roman" w:eastAsia="PMingLiU" w:hAnsi="Times New Roman" w:cs="Times New Roman"/>
          <w:sz w:val="24"/>
          <w:szCs w:val="24"/>
        </w:rPr>
        <w:t>, M.E.</w:t>
      </w:r>
      <w:r w:rsidR="00BB511D">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2010</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Expected mispricing: The joint influence of accounting transparency and investor base. </w:t>
      </w:r>
      <w:r w:rsidR="00181591">
        <w:rPr>
          <w:rFonts w:ascii="Times New Roman" w:eastAsia="PMingLiU" w:hAnsi="Times New Roman" w:cs="Times New Roman"/>
          <w:i/>
          <w:sz w:val="24"/>
          <w:szCs w:val="24"/>
        </w:rPr>
        <w:t>Journal of Accounting Research</w:t>
      </w:r>
      <w:r w:rsidR="00BB511D">
        <w:rPr>
          <w:rFonts w:ascii="Times New Roman" w:eastAsia="PMingLiU" w:hAnsi="Times New Roman" w:cs="Times New Roman"/>
          <w:i/>
          <w:sz w:val="24"/>
          <w:szCs w:val="24"/>
        </w:rPr>
        <w:t>, 48</w:t>
      </w:r>
      <w:r w:rsidR="00181591">
        <w:rPr>
          <w:rFonts w:ascii="Times New Roman" w:eastAsia="PMingLiU" w:hAnsi="Times New Roman" w:cs="Times New Roman"/>
          <w:sz w:val="24"/>
          <w:szCs w:val="24"/>
        </w:rPr>
        <w:t>(2), 343-381.</w:t>
      </w:r>
    </w:p>
    <w:p w:rsidR="00141821" w:rsidRDefault="00BD08C5" w:rsidP="00141821">
      <w:pPr>
        <w:widowControl w:val="0"/>
        <w:spacing w:before="120" w:after="120"/>
        <w:ind w:left="567" w:right="20" w:hanging="567"/>
        <w:jc w:val="both"/>
        <w:rPr>
          <w:rFonts w:ascii="Times New Roman" w:eastAsia="PMingLiU" w:hAnsi="Times New Roman" w:cs="Times New Roman"/>
          <w:sz w:val="24"/>
          <w:szCs w:val="24"/>
        </w:rPr>
      </w:pPr>
      <w:r w:rsidRPr="00826EC6">
        <w:rPr>
          <w:rFonts w:ascii="Times New Roman" w:eastAsia="PMingLiU" w:hAnsi="Times New Roman" w:cs="Times New Roman"/>
          <w:sz w:val="24"/>
          <w:szCs w:val="24"/>
        </w:rPr>
        <w:t>[3</w:t>
      </w:r>
      <w:r w:rsidR="00873576">
        <w:rPr>
          <w:rFonts w:ascii="Times New Roman" w:eastAsia="PMingLiU" w:hAnsi="Times New Roman" w:cs="Times New Roman"/>
          <w:sz w:val="24"/>
          <w:szCs w:val="24"/>
        </w:rPr>
        <w:t>6</w:t>
      </w:r>
      <w:r w:rsidRPr="00826EC6">
        <w:rPr>
          <w:rFonts w:ascii="Times New Roman" w:eastAsia="PMingLiU" w:hAnsi="Times New Roman" w:cs="Times New Roman"/>
          <w:sz w:val="24"/>
          <w:szCs w:val="24"/>
        </w:rPr>
        <w:t>]</w:t>
      </w:r>
      <w:r w:rsidRPr="00826EC6">
        <w:rPr>
          <w:rFonts w:ascii="Times New Roman" w:eastAsia="PMingLiU" w:hAnsi="Times New Roman" w:cs="Times New Roman"/>
          <w:sz w:val="24"/>
          <w:szCs w:val="24"/>
        </w:rPr>
        <w:tab/>
      </w:r>
      <w:r w:rsidR="00141821" w:rsidRPr="00826EC6">
        <w:rPr>
          <w:rFonts w:ascii="Times New Roman" w:eastAsia="PMingLiU" w:hAnsi="Times New Roman" w:cs="Times New Roman"/>
          <w:sz w:val="24"/>
          <w:szCs w:val="24"/>
        </w:rPr>
        <w:t xml:space="preserve">Frederickson, J., &amp; Miller, J. (2004). The effects of Pro Forma earnings disclosures on analysts' and nonprofessional investors' equity valuation judgments. </w:t>
      </w:r>
      <w:r w:rsidR="00141821" w:rsidRPr="00826EC6">
        <w:rPr>
          <w:rFonts w:ascii="Times New Roman" w:eastAsia="PMingLiU" w:hAnsi="Times New Roman" w:cs="Times New Roman"/>
          <w:i/>
          <w:sz w:val="24"/>
          <w:szCs w:val="24"/>
        </w:rPr>
        <w:t>The Accounting Review, 79</w:t>
      </w:r>
      <w:r w:rsidR="00141821" w:rsidRPr="00826EC6">
        <w:rPr>
          <w:rFonts w:ascii="Times New Roman" w:eastAsia="PMingLiU" w:hAnsi="Times New Roman" w:cs="Times New Roman"/>
          <w:sz w:val="24"/>
          <w:szCs w:val="24"/>
        </w:rPr>
        <w:t>(3), 667-686.</w:t>
      </w:r>
      <w:r w:rsidR="00141821">
        <w:rPr>
          <w:rFonts w:ascii="Times New Roman" w:eastAsia="PMingLiU" w:hAnsi="Times New Roman" w:cs="Times New Roman"/>
          <w:sz w:val="24"/>
          <w:szCs w:val="24"/>
        </w:rPr>
        <w:t xml:space="preserve"> </w:t>
      </w:r>
    </w:p>
    <w:p w:rsidR="00BA3EC7" w:rsidRDefault="000C7867">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873576">
        <w:rPr>
          <w:rFonts w:ascii="Times New Roman" w:eastAsia="PMingLiU" w:hAnsi="Times New Roman" w:cs="Times New Roman"/>
          <w:sz w:val="24"/>
          <w:szCs w:val="24"/>
        </w:rPr>
        <w:t>7</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Graham, J.R., Harvey, C.R.</w:t>
      </w:r>
      <w:r w:rsidR="00BB511D">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w:t>
      </w:r>
      <w:proofErr w:type="spellStart"/>
      <w:r w:rsidR="00181591">
        <w:rPr>
          <w:rFonts w:ascii="Times New Roman" w:eastAsia="PMingLiU" w:hAnsi="Times New Roman" w:cs="Times New Roman"/>
          <w:sz w:val="24"/>
          <w:szCs w:val="24"/>
        </w:rPr>
        <w:t>Rajgopal</w:t>
      </w:r>
      <w:proofErr w:type="spellEnd"/>
      <w:r w:rsidR="00181591">
        <w:rPr>
          <w:rFonts w:ascii="Times New Roman" w:eastAsia="PMingLiU" w:hAnsi="Times New Roman" w:cs="Times New Roman"/>
          <w:sz w:val="24"/>
          <w:szCs w:val="24"/>
        </w:rPr>
        <w:t>, S.</w:t>
      </w:r>
      <w:r w:rsidR="00BB511D">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2005</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economic implications of corporate financial reporting. </w:t>
      </w:r>
      <w:r w:rsidR="00181591">
        <w:rPr>
          <w:rFonts w:ascii="Times New Roman" w:eastAsia="PMingLiU" w:hAnsi="Times New Roman" w:cs="Times New Roman"/>
          <w:i/>
          <w:sz w:val="24"/>
          <w:szCs w:val="24"/>
        </w:rPr>
        <w:t>Journal of Accounting and Economics</w:t>
      </w:r>
      <w:r w:rsidR="00BB511D">
        <w:rPr>
          <w:rFonts w:ascii="Times New Roman" w:eastAsia="PMingLiU" w:hAnsi="Times New Roman" w:cs="Times New Roman"/>
          <w:i/>
          <w:sz w:val="24"/>
          <w:szCs w:val="24"/>
        </w:rPr>
        <w:t>, 40</w:t>
      </w:r>
      <w:r w:rsidR="00181591">
        <w:rPr>
          <w:rFonts w:ascii="Times New Roman" w:eastAsia="PMingLiU" w:hAnsi="Times New Roman" w:cs="Times New Roman"/>
          <w:sz w:val="24"/>
          <w:szCs w:val="24"/>
        </w:rPr>
        <w:t>(1), 3-73.</w:t>
      </w:r>
    </w:p>
    <w:p w:rsidR="00BA3EC7" w:rsidRDefault="0006315C">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873576">
        <w:rPr>
          <w:rFonts w:ascii="Times New Roman" w:eastAsia="PMingLiU" w:hAnsi="Times New Roman" w:cs="Times New Roman"/>
          <w:sz w:val="24"/>
          <w:szCs w:val="24"/>
        </w:rPr>
        <w:t>8</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Hassan, O.A.G., Romilly, P., </w:t>
      </w:r>
      <w:proofErr w:type="spellStart"/>
      <w:r w:rsidR="00181591">
        <w:rPr>
          <w:rFonts w:ascii="Times New Roman" w:eastAsia="PMingLiU" w:hAnsi="Times New Roman" w:cs="Times New Roman"/>
          <w:sz w:val="24"/>
          <w:szCs w:val="24"/>
        </w:rPr>
        <w:t>Giorgioni</w:t>
      </w:r>
      <w:proofErr w:type="spellEnd"/>
      <w:r w:rsidR="00181591">
        <w:rPr>
          <w:rFonts w:ascii="Times New Roman" w:eastAsia="PMingLiU" w:hAnsi="Times New Roman" w:cs="Times New Roman"/>
          <w:sz w:val="24"/>
          <w:szCs w:val="24"/>
        </w:rPr>
        <w:t xml:space="preserve">, G., </w:t>
      </w:r>
      <w:r w:rsidR="00BB511D">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Power, D.</w:t>
      </w:r>
      <w:r w:rsidR="00BB511D">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2009</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value relevance of disclosure: Evidence from the emerging capital market of Egypt. </w:t>
      </w:r>
      <w:r w:rsidR="00181591">
        <w:rPr>
          <w:rFonts w:ascii="Times New Roman" w:eastAsia="PMingLiU" w:hAnsi="Times New Roman" w:cs="Times New Roman"/>
          <w:i/>
          <w:sz w:val="24"/>
          <w:szCs w:val="24"/>
        </w:rPr>
        <w:t>The International Journal of Accounting</w:t>
      </w:r>
      <w:r w:rsidR="00BB511D">
        <w:rPr>
          <w:rFonts w:ascii="Times New Roman" w:eastAsia="PMingLiU" w:hAnsi="Times New Roman" w:cs="Times New Roman"/>
          <w:i/>
          <w:sz w:val="24"/>
          <w:szCs w:val="24"/>
        </w:rPr>
        <w:t>, 44</w:t>
      </w:r>
      <w:r w:rsidR="00181591">
        <w:rPr>
          <w:rFonts w:ascii="Times New Roman" w:eastAsia="PMingLiU" w:hAnsi="Times New Roman" w:cs="Times New Roman"/>
          <w:sz w:val="24"/>
          <w:szCs w:val="24"/>
        </w:rPr>
        <w:t>(1), 3-73.</w:t>
      </w:r>
    </w:p>
    <w:p w:rsidR="00BA3EC7" w:rsidRDefault="00E70C3F">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[3</w:t>
      </w:r>
      <w:r w:rsidR="00873576">
        <w:rPr>
          <w:rFonts w:ascii="Times New Roman" w:eastAsia="PMingLiU" w:hAnsi="Times New Roman" w:cs="Times New Roman"/>
          <w:sz w:val="24"/>
          <w:szCs w:val="24"/>
        </w:rPr>
        <w:t>9</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Healy, P.M.,</w:t>
      </w:r>
      <w:r w:rsidR="00BB511D">
        <w:rPr>
          <w:rFonts w:ascii="Times New Roman" w:eastAsia="PMingLiU" w:hAnsi="Times New Roman" w:cs="Times New Roman"/>
          <w:sz w:val="24"/>
          <w:szCs w:val="24"/>
        </w:rPr>
        <w:t xml:space="preserve"> &amp;</w:t>
      </w:r>
      <w:r w:rsidR="00181591">
        <w:rPr>
          <w:rFonts w:ascii="Times New Roman" w:eastAsia="PMingLiU" w:hAnsi="Times New Roman" w:cs="Times New Roman"/>
          <w:sz w:val="24"/>
          <w:szCs w:val="24"/>
        </w:rPr>
        <w:t xml:space="preserve"> Palepu, K.G.</w:t>
      </w:r>
      <w:r w:rsidR="00BB511D">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1993</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effect of firms' financial disclosure strategies on stock prices. </w:t>
      </w:r>
      <w:r w:rsidR="00181591">
        <w:rPr>
          <w:rFonts w:ascii="Times New Roman" w:eastAsia="PMingLiU" w:hAnsi="Times New Roman" w:cs="Times New Roman"/>
          <w:i/>
          <w:sz w:val="24"/>
          <w:szCs w:val="24"/>
        </w:rPr>
        <w:t>Accounting Horizons</w:t>
      </w:r>
      <w:r w:rsidR="00BB511D">
        <w:rPr>
          <w:rFonts w:ascii="Times New Roman" w:eastAsia="PMingLiU" w:hAnsi="Times New Roman" w:cs="Times New Roman"/>
          <w:i/>
          <w:sz w:val="24"/>
          <w:szCs w:val="24"/>
        </w:rPr>
        <w:t>, 7</w:t>
      </w:r>
      <w:r w:rsidR="00181591">
        <w:rPr>
          <w:rFonts w:ascii="Times New Roman" w:eastAsia="PMingLiU" w:hAnsi="Times New Roman" w:cs="Times New Roman"/>
          <w:sz w:val="24"/>
          <w:szCs w:val="24"/>
        </w:rPr>
        <w:t>(1), 79-102.</w:t>
      </w:r>
    </w:p>
    <w:p w:rsidR="00BA3EC7" w:rsidRDefault="00BC160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w:t>
      </w:r>
      <w:r w:rsidR="00873576">
        <w:rPr>
          <w:rFonts w:ascii="Times New Roman" w:eastAsia="PMingLiU" w:hAnsi="Times New Roman" w:cs="Times New Roman"/>
          <w:sz w:val="24"/>
          <w:szCs w:val="24"/>
        </w:rPr>
        <w:t>40</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Healy, P.M.</w:t>
      </w:r>
      <w:r w:rsidR="00BB511D">
        <w:rPr>
          <w:rFonts w:ascii="Times New Roman" w:eastAsia="PMingLiU" w:hAnsi="Times New Roman" w:cs="Times New Roman"/>
          <w:sz w:val="24"/>
          <w:szCs w:val="24"/>
        </w:rPr>
        <w:t xml:space="preserve">, &amp; </w:t>
      </w:r>
      <w:r w:rsidR="00181591">
        <w:rPr>
          <w:rFonts w:ascii="Times New Roman" w:eastAsia="PMingLiU" w:hAnsi="Times New Roman" w:cs="Times New Roman"/>
          <w:sz w:val="24"/>
          <w:szCs w:val="24"/>
        </w:rPr>
        <w:t>Palepu, K.G.</w:t>
      </w:r>
      <w:r w:rsidR="00BB511D">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2001</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Information asymmetry, corporate disclosure, and the capital markets: A review of the empirical disclosure literature. </w:t>
      </w:r>
      <w:r w:rsidR="00181591">
        <w:rPr>
          <w:rFonts w:ascii="Times New Roman" w:eastAsia="PMingLiU" w:hAnsi="Times New Roman" w:cs="Times New Roman"/>
          <w:i/>
          <w:sz w:val="24"/>
          <w:szCs w:val="24"/>
        </w:rPr>
        <w:t>Journal of Accounting and Economics</w:t>
      </w:r>
      <w:r w:rsidR="00BB511D">
        <w:rPr>
          <w:rFonts w:ascii="Times New Roman" w:eastAsia="PMingLiU" w:hAnsi="Times New Roman" w:cs="Times New Roman"/>
          <w:i/>
          <w:sz w:val="24"/>
          <w:szCs w:val="24"/>
        </w:rPr>
        <w:t>, 31</w:t>
      </w:r>
      <w:r w:rsidR="00181591">
        <w:rPr>
          <w:rFonts w:ascii="Times New Roman" w:eastAsia="PMingLiU" w:hAnsi="Times New Roman" w:cs="Times New Roman"/>
          <w:sz w:val="24"/>
          <w:szCs w:val="24"/>
        </w:rPr>
        <w:t>(1), 405-440.</w:t>
      </w:r>
    </w:p>
    <w:p w:rsidR="00BA3EC7" w:rsidRDefault="00431A4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w:t>
      </w:r>
      <w:r w:rsidR="00873576">
        <w:rPr>
          <w:rFonts w:ascii="Times New Roman" w:eastAsia="PMingLiU" w:hAnsi="Times New Roman" w:cs="Times New Roman"/>
          <w:sz w:val="24"/>
          <w:szCs w:val="24"/>
        </w:rPr>
        <w:t>1</w:t>
      </w:r>
      <w:r w:rsidR="008174D2">
        <w:rPr>
          <w:rFonts w:ascii="Times New Roman" w:eastAsia="PMingLiU" w:hAnsi="Times New Roman" w:cs="Times New Roman"/>
          <w:sz w:val="24"/>
          <w:szCs w:val="24"/>
        </w:rPr>
        <w:t>]</w:t>
      </w:r>
      <w:r w:rsidR="008174D2">
        <w:rPr>
          <w:rFonts w:ascii="Times New Roman" w:eastAsia="PMingLiU" w:hAnsi="Times New Roman" w:cs="Times New Roman"/>
          <w:sz w:val="24"/>
          <w:szCs w:val="24"/>
        </w:rPr>
        <w:tab/>
      </w:r>
      <w:proofErr w:type="spellStart"/>
      <w:r w:rsidR="00181591">
        <w:rPr>
          <w:rFonts w:ascii="Times New Roman" w:eastAsia="PMingLiU" w:hAnsi="Times New Roman" w:cs="Times New Roman"/>
          <w:sz w:val="24"/>
          <w:szCs w:val="24"/>
        </w:rPr>
        <w:t>Hirshleifer</w:t>
      </w:r>
      <w:proofErr w:type="spellEnd"/>
      <w:r w:rsidR="00181591">
        <w:rPr>
          <w:rFonts w:ascii="Times New Roman" w:eastAsia="PMingLiU" w:hAnsi="Times New Roman" w:cs="Times New Roman"/>
          <w:sz w:val="24"/>
          <w:szCs w:val="24"/>
        </w:rPr>
        <w:t>, D</w:t>
      </w:r>
      <w:r w:rsidR="00BB511D">
        <w:rPr>
          <w:rFonts w:ascii="Times New Roman" w:eastAsia="PMingLiU" w:hAnsi="Times New Roman" w:cs="Times New Roman"/>
          <w:sz w:val="24"/>
          <w:szCs w:val="24"/>
        </w:rPr>
        <w:t xml:space="preserve">., &amp; </w:t>
      </w:r>
      <w:r w:rsidR="00181591">
        <w:rPr>
          <w:rFonts w:ascii="Times New Roman" w:eastAsia="PMingLiU" w:hAnsi="Times New Roman" w:cs="Times New Roman"/>
          <w:sz w:val="24"/>
          <w:szCs w:val="24"/>
        </w:rPr>
        <w:t>Teoh, S.H.</w:t>
      </w:r>
      <w:r w:rsidR="00BB511D">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2003</w:t>
      </w:r>
      <w:r w:rsidR="00BB511D">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Limited attention, information disclosure, and financial reporting. </w:t>
      </w:r>
      <w:r w:rsidR="00181591">
        <w:rPr>
          <w:rFonts w:ascii="Times New Roman" w:eastAsia="PMingLiU" w:hAnsi="Times New Roman" w:cs="Times New Roman"/>
          <w:i/>
          <w:sz w:val="24"/>
          <w:szCs w:val="24"/>
        </w:rPr>
        <w:t>Journal of Accounting and Economics</w:t>
      </w:r>
      <w:r w:rsidR="00BB511D">
        <w:rPr>
          <w:rFonts w:ascii="Times New Roman" w:eastAsia="PMingLiU" w:hAnsi="Times New Roman" w:cs="Times New Roman"/>
          <w:i/>
          <w:sz w:val="24"/>
          <w:szCs w:val="24"/>
        </w:rPr>
        <w:t>, 36</w:t>
      </w:r>
      <w:r w:rsidR="00181591">
        <w:rPr>
          <w:rFonts w:ascii="Times New Roman" w:eastAsia="PMingLiU" w:hAnsi="Times New Roman" w:cs="Times New Roman"/>
          <w:sz w:val="24"/>
          <w:szCs w:val="24"/>
        </w:rPr>
        <w:t>(1), 337-386.</w:t>
      </w:r>
    </w:p>
    <w:p w:rsidR="00BA3EC7" w:rsidRDefault="00815324">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w:t>
      </w:r>
      <w:r w:rsidR="00873576">
        <w:rPr>
          <w:rFonts w:ascii="Times New Roman" w:eastAsia="PMingLiU" w:hAnsi="Times New Roman" w:cs="Times New Roman"/>
          <w:sz w:val="24"/>
          <w:szCs w:val="24"/>
        </w:rPr>
        <w:t>2</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Huang, Q.</w:t>
      </w:r>
      <w:r w:rsidR="00F37FD7">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w:t>
      </w:r>
      <w:proofErr w:type="spellStart"/>
      <w:r w:rsidR="00181591">
        <w:rPr>
          <w:rFonts w:ascii="Times New Roman" w:eastAsia="PMingLiU" w:hAnsi="Times New Roman" w:cs="Times New Roman"/>
          <w:sz w:val="24"/>
          <w:szCs w:val="24"/>
        </w:rPr>
        <w:t>Skantz</w:t>
      </w:r>
      <w:proofErr w:type="spellEnd"/>
      <w:r w:rsidR="00181591">
        <w:rPr>
          <w:rFonts w:ascii="Times New Roman" w:eastAsia="PMingLiU" w:hAnsi="Times New Roman" w:cs="Times New Roman"/>
          <w:sz w:val="24"/>
          <w:szCs w:val="24"/>
        </w:rPr>
        <w:t>, T.R.</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2016</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informativeness of pro forma and street earnings: an examination of information asymmetry around earnings announcements. </w:t>
      </w:r>
      <w:r w:rsidR="00181591">
        <w:rPr>
          <w:rFonts w:ascii="Times New Roman" w:eastAsia="PMingLiU" w:hAnsi="Times New Roman" w:cs="Times New Roman"/>
          <w:i/>
          <w:sz w:val="24"/>
          <w:szCs w:val="24"/>
        </w:rPr>
        <w:t>Review of Accounting Studies</w:t>
      </w:r>
      <w:r w:rsidR="00F37FD7">
        <w:rPr>
          <w:rFonts w:ascii="Times New Roman" w:eastAsia="PMingLiU" w:hAnsi="Times New Roman" w:cs="Times New Roman"/>
          <w:i/>
          <w:sz w:val="24"/>
          <w:szCs w:val="24"/>
        </w:rPr>
        <w:t>, 21</w:t>
      </w:r>
      <w:r w:rsidR="00181591">
        <w:rPr>
          <w:rFonts w:ascii="Times New Roman" w:eastAsia="PMingLiU" w:hAnsi="Times New Roman" w:cs="Times New Roman"/>
          <w:sz w:val="24"/>
          <w:szCs w:val="24"/>
        </w:rPr>
        <w:t>(1), 98-250.</w:t>
      </w:r>
    </w:p>
    <w:p w:rsidR="00BA3EC7" w:rsidRDefault="0095790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w:t>
      </w:r>
      <w:r w:rsidR="00873576">
        <w:rPr>
          <w:rFonts w:ascii="Times New Roman" w:eastAsia="PMingLiU" w:hAnsi="Times New Roman" w:cs="Times New Roman"/>
          <w:sz w:val="24"/>
          <w:szCs w:val="24"/>
        </w:rPr>
        <w:t>3</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Isidro, H.</w:t>
      </w:r>
      <w:r w:rsidR="00F37FD7">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Marques, A.C.</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2013</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effects of compensation and board quality on non-GAAP disclosures in Europe. </w:t>
      </w:r>
      <w:r w:rsidR="00181591">
        <w:rPr>
          <w:rFonts w:ascii="Times New Roman" w:eastAsia="PMingLiU" w:hAnsi="Times New Roman" w:cs="Times New Roman"/>
          <w:i/>
          <w:sz w:val="24"/>
          <w:szCs w:val="24"/>
        </w:rPr>
        <w:t>The International Journal of Accounting</w:t>
      </w:r>
      <w:r w:rsidR="00F37FD7">
        <w:rPr>
          <w:rFonts w:ascii="Times New Roman" w:eastAsia="PMingLiU" w:hAnsi="Times New Roman" w:cs="Times New Roman"/>
          <w:i/>
          <w:sz w:val="24"/>
          <w:szCs w:val="24"/>
        </w:rPr>
        <w:t>, 48</w:t>
      </w:r>
      <w:r w:rsidR="00181591">
        <w:rPr>
          <w:rFonts w:ascii="Times New Roman" w:eastAsia="PMingLiU" w:hAnsi="Times New Roman" w:cs="Times New Roman"/>
          <w:sz w:val="24"/>
          <w:szCs w:val="24"/>
        </w:rPr>
        <w:t>(3), 289-317.</w:t>
      </w:r>
    </w:p>
    <w:p w:rsidR="00BA3EC7" w:rsidRDefault="00EB0B5B">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w:t>
      </w:r>
      <w:r w:rsidR="00873576">
        <w:rPr>
          <w:rFonts w:ascii="Times New Roman" w:eastAsia="PMingLiU" w:hAnsi="Times New Roman" w:cs="Times New Roman"/>
          <w:sz w:val="24"/>
          <w:szCs w:val="24"/>
        </w:rPr>
        <w:t>4</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Isidro, H.</w:t>
      </w:r>
      <w:r w:rsidR="00F37FD7">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Marques, A.</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2015</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role of institutional and economic factors in the strategic use of non-GAAP disclosures to beat earnings benchmarks. </w:t>
      </w:r>
      <w:r w:rsidR="00181591">
        <w:rPr>
          <w:rFonts w:ascii="Times New Roman" w:eastAsia="PMingLiU" w:hAnsi="Times New Roman" w:cs="Times New Roman"/>
          <w:i/>
          <w:sz w:val="24"/>
          <w:szCs w:val="24"/>
        </w:rPr>
        <w:t>European Accounting Review</w:t>
      </w:r>
      <w:r w:rsidR="00F37FD7">
        <w:rPr>
          <w:rFonts w:ascii="Times New Roman" w:eastAsia="PMingLiU" w:hAnsi="Times New Roman" w:cs="Times New Roman"/>
          <w:i/>
          <w:sz w:val="24"/>
          <w:szCs w:val="24"/>
        </w:rPr>
        <w:t>, 24</w:t>
      </w:r>
      <w:r w:rsidR="00181591">
        <w:rPr>
          <w:rFonts w:ascii="Times New Roman" w:eastAsia="PMingLiU" w:hAnsi="Times New Roman" w:cs="Times New Roman"/>
          <w:sz w:val="24"/>
          <w:szCs w:val="24"/>
        </w:rPr>
        <w:t>(1), 95-128.</w:t>
      </w:r>
    </w:p>
    <w:p w:rsidR="00BA3EC7" w:rsidRPr="0077028C" w:rsidRDefault="00431A49">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w:t>
      </w:r>
      <w:r w:rsidR="00873576">
        <w:rPr>
          <w:rFonts w:ascii="Times New Roman" w:eastAsia="PMingLiU" w:hAnsi="Times New Roman" w:cs="Times New Roman"/>
          <w:sz w:val="24"/>
          <w:szCs w:val="24"/>
        </w:rPr>
        <w:t>5</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Jennings, R.,</w:t>
      </w:r>
      <w:r w:rsidR="00F37FD7">
        <w:rPr>
          <w:rFonts w:ascii="Times New Roman" w:eastAsia="PMingLiU" w:hAnsi="Times New Roman" w:cs="Times New Roman"/>
          <w:sz w:val="24"/>
          <w:szCs w:val="24"/>
        </w:rPr>
        <w:t xml:space="preserve"> &amp;</w:t>
      </w:r>
      <w:r w:rsidR="00181591">
        <w:rPr>
          <w:rFonts w:ascii="Times New Roman" w:eastAsia="PMingLiU" w:hAnsi="Times New Roman" w:cs="Times New Roman"/>
          <w:sz w:val="24"/>
          <w:szCs w:val="24"/>
        </w:rPr>
        <w:t xml:space="preserve"> Marques, A.</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2011</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The joint effects of Corporate Governance and regulation on the disclosure of manager</w:t>
      </w:r>
      <w:r w:rsidR="00181591">
        <w:rPr>
          <w:rFonts w:ascii="Cambria Math" w:eastAsia="PMingLiU" w:hAnsi="Cambria Math" w:cs="Cambria Math"/>
          <w:sz w:val="24"/>
          <w:szCs w:val="24"/>
        </w:rPr>
        <w:t>‐</w:t>
      </w:r>
      <w:r w:rsidR="00181591">
        <w:rPr>
          <w:rFonts w:ascii="Times New Roman" w:eastAsia="PMingLiU" w:hAnsi="Times New Roman" w:cs="Times New Roman"/>
          <w:sz w:val="24"/>
          <w:szCs w:val="24"/>
        </w:rPr>
        <w:t>adjusted non</w:t>
      </w:r>
      <w:r w:rsidR="00181591">
        <w:rPr>
          <w:rFonts w:ascii="Cambria Math" w:eastAsia="PMingLiU" w:hAnsi="Cambria Math" w:cs="Cambria Math"/>
          <w:sz w:val="24"/>
          <w:szCs w:val="24"/>
        </w:rPr>
        <w:t>‐</w:t>
      </w:r>
      <w:r w:rsidR="00181591">
        <w:rPr>
          <w:rFonts w:ascii="Times New Roman" w:eastAsia="PMingLiU" w:hAnsi="Times New Roman" w:cs="Times New Roman"/>
          <w:sz w:val="24"/>
          <w:szCs w:val="24"/>
        </w:rPr>
        <w:t xml:space="preserve">GAAP earnings in the US. </w:t>
      </w:r>
      <w:r w:rsidR="00181591">
        <w:rPr>
          <w:rFonts w:ascii="Times New Roman" w:eastAsia="PMingLiU" w:hAnsi="Times New Roman" w:cs="Times New Roman"/>
          <w:i/>
          <w:sz w:val="24"/>
          <w:szCs w:val="24"/>
        </w:rPr>
        <w:t xml:space="preserve">Journal </w:t>
      </w:r>
      <w:r w:rsidR="00181591" w:rsidRPr="0077028C">
        <w:rPr>
          <w:rFonts w:ascii="Times New Roman" w:eastAsia="PMingLiU" w:hAnsi="Times New Roman" w:cs="Times New Roman"/>
          <w:i/>
          <w:sz w:val="24"/>
          <w:szCs w:val="24"/>
        </w:rPr>
        <w:lastRenderedPageBreak/>
        <w:t>of Business Finance &amp; Accounting</w:t>
      </w:r>
      <w:r w:rsidR="00F37FD7" w:rsidRPr="0077028C">
        <w:rPr>
          <w:rFonts w:ascii="Times New Roman" w:eastAsia="PMingLiU" w:hAnsi="Times New Roman" w:cs="Times New Roman"/>
          <w:i/>
          <w:sz w:val="24"/>
          <w:szCs w:val="24"/>
        </w:rPr>
        <w:t>, 38</w:t>
      </w:r>
      <w:r w:rsidR="00181591" w:rsidRPr="0077028C">
        <w:rPr>
          <w:rFonts w:ascii="Times New Roman" w:eastAsia="PMingLiU" w:hAnsi="Times New Roman" w:cs="Times New Roman"/>
          <w:sz w:val="24"/>
          <w:szCs w:val="24"/>
        </w:rPr>
        <w:t>(3-4), 364-394.</w:t>
      </w:r>
    </w:p>
    <w:p w:rsidR="00BA3EC7" w:rsidRPr="0077028C" w:rsidRDefault="00B11990">
      <w:pPr>
        <w:widowControl w:val="0"/>
        <w:spacing w:before="120" w:after="120"/>
        <w:ind w:left="567" w:right="20" w:hanging="567"/>
        <w:jc w:val="both"/>
        <w:rPr>
          <w:rFonts w:ascii="Times New Roman" w:eastAsia="PMingLiU" w:hAnsi="Times New Roman" w:cs="Times New Roman"/>
          <w:sz w:val="24"/>
          <w:szCs w:val="24"/>
        </w:rPr>
      </w:pPr>
      <w:r w:rsidRPr="0077028C">
        <w:rPr>
          <w:rFonts w:ascii="Times New Roman" w:eastAsia="PMingLiU" w:hAnsi="Times New Roman" w:cs="Times New Roman"/>
          <w:sz w:val="24"/>
          <w:szCs w:val="24"/>
        </w:rPr>
        <w:t>[4</w:t>
      </w:r>
      <w:r w:rsidR="0077028C" w:rsidRPr="0077028C">
        <w:rPr>
          <w:rFonts w:ascii="Times New Roman" w:eastAsia="PMingLiU" w:hAnsi="Times New Roman" w:cs="Times New Roman"/>
          <w:sz w:val="24"/>
          <w:szCs w:val="24"/>
        </w:rPr>
        <w:t>6</w:t>
      </w:r>
      <w:r w:rsidRPr="0077028C">
        <w:rPr>
          <w:rFonts w:ascii="Times New Roman" w:eastAsia="PMingLiU" w:hAnsi="Times New Roman" w:cs="Times New Roman"/>
          <w:sz w:val="24"/>
          <w:szCs w:val="24"/>
        </w:rPr>
        <w:t>]</w:t>
      </w:r>
      <w:r w:rsidRPr="0077028C">
        <w:rPr>
          <w:rFonts w:ascii="Times New Roman" w:eastAsia="PMingLiU" w:hAnsi="Times New Roman" w:cs="Times New Roman"/>
          <w:sz w:val="24"/>
          <w:szCs w:val="24"/>
        </w:rPr>
        <w:tab/>
      </w:r>
      <w:r w:rsidR="00181591" w:rsidRPr="0077028C">
        <w:rPr>
          <w:rFonts w:ascii="Times New Roman" w:eastAsia="PMingLiU" w:hAnsi="Times New Roman" w:cs="Times New Roman"/>
          <w:sz w:val="24"/>
          <w:szCs w:val="24"/>
        </w:rPr>
        <w:t xml:space="preserve">Johnson, W., </w:t>
      </w:r>
      <w:r w:rsidR="00F37FD7" w:rsidRPr="0077028C">
        <w:rPr>
          <w:rFonts w:ascii="Times New Roman" w:eastAsia="PMingLiU" w:hAnsi="Times New Roman" w:cs="Times New Roman"/>
          <w:sz w:val="24"/>
          <w:szCs w:val="24"/>
        </w:rPr>
        <w:t xml:space="preserve">&amp; </w:t>
      </w:r>
      <w:r w:rsidR="00181591" w:rsidRPr="0077028C">
        <w:rPr>
          <w:rFonts w:ascii="Times New Roman" w:eastAsia="PMingLiU" w:hAnsi="Times New Roman" w:cs="Times New Roman"/>
          <w:sz w:val="24"/>
          <w:szCs w:val="24"/>
        </w:rPr>
        <w:t>Schwartz, W.</w:t>
      </w:r>
      <w:r w:rsidR="00F37FD7" w:rsidRPr="0077028C">
        <w:rPr>
          <w:rFonts w:ascii="Times New Roman" w:eastAsia="PMingLiU" w:hAnsi="Times New Roman" w:cs="Times New Roman"/>
          <w:sz w:val="24"/>
          <w:szCs w:val="24"/>
        </w:rPr>
        <w:t xml:space="preserve"> (</w:t>
      </w:r>
      <w:r w:rsidR="00181591" w:rsidRPr="0077028C">
        <w:rPr>
          <w:rFonts w:ascii="Times New Roman" w:eastAsia="PMingLiU" w:hAnsi="Times New Roman" w:cs="Times New Roman"/>
          <w:sz w:val="24"/>
          <w:szCs w:val="24"/>
        </w:rPr>
        <w:t>2005</w:t>
      </w:r>
      <w:r w:rsidR="00F37FD7" w:rsidRPr="0077028C">
        <w:rPr>
          <w:rFonts w:ascii="Times New Roman" w:eastAsia="PMingLiU" w:hAnsi="Times New Roman" w:cs="Times New Roman"/>
          <w:sz w:val="24"/>
          <w:szCs w:val="24"/>
        </w:rPr>
        <w:t>)</w:t>
      </w:r>
      <w:r w:rsidR="00181591" w:rsidRPr="0077028C">
        <w:rPr>
          <w:rFonts w:ascii="Times New Roman" w:eastAsia="PMingLiU" w:hAnsi="Times New Roman" w:cs="Times New Roman"/>
          <w:sz w:val="24"/>
          <w:szCs w:val="24"/>
        </w:rPr>
        <w:t xml:space="preserve">. Are investors mislead by “Pro Forma” earnings? </w:t>
      </w:r>
      <w:r w:rsidR="00181591" w:rsidRPr="0077028C">
        <w:rPr>
          <w:rFonts w:ascii="Times New Roman" w:eastAsia="PMingLiU" w:hAnsi="Times New Roman" w:cs="Times New Roman"/>
          <w:i/>
          <w:sz w:val="24"/>
          <w:szCs w:val="24"/>
        </w:rPr>
        <w:t>Contemporary Accounting Research</w:t>
      </w:r>
      <w:r w:rsidR="00F37FD7" w:rsidRPr="0077028C">
        <w:rPr>
          <w:rFonts w:ascii="Times New Roman" w:eastAsia="PMingLiU" w:hAnsi="Times New Roman" w:cs="Times New Roman"/>
          <w:i/>
          <w:sz w:val="24"/>
          <w:szCs w:val="24"/>
        </w:rPr>
        <w:t>, 22</w:t>
      </w:r>
      <w:r w:rsidR="00181591" w:rsidRPr="0077028C">
        <w:rPr>
          <w:rFonts w:ascii="Times New Roman" w:eastAsia="PMingLiU" w:hAnsi="Times New Roman" w:cs="Times New Roman"/>
          <w:sz w:val="24"/>
          <w:szCs w:val="24"/>
        </w:rPr>
        <w:t>(4), 915-963.</w:t>
      </w:r>
    </w:p>
    <w:p w:rsidR="00DE2077" w:rsidRDefault="000D7E69">
      <w:pPr>
        <w:widowControl w:val="0"/>
        <w:spacing w:before="120" w:after="120"/>
        <w:ind w:left="567" w:right="20" w:hanging="567"/>
        <w:jc w:val="both"/>
        <w:rPr>
          <w:rFonts w:ascii="Times New Roman" w:eastAsia="PMingLiU" w:hAnsi="Times New Roman" w:cs="Times New Roman"/>
          <w:sz w:val="24"/>
          <w:szCs w:val="24"/>
        </w:rPr>
      </w:pPr>
      <w:r w:rsidRPr="0077028C">
        <w:rPr>
          <w:rFonts w:ascii="Times New Roman" w:eastAsia="PMingLiU" w:hAnsi="Times New Roman" w:cs="Times New Roman"/>
          <w:sz w:val="24"/>
          <w:szCs w:val="24"/>
        </w:rPr>
        <w:t>[47]</w:t>
      </w:r>
      <w:r w:rsidRPr="0077028C">
        <w:rPr>
          <w:rFonts w:ascii="Times New Roman" w:eastAsia="PMingLiU" w:hAnsi="Times New Roman" w:cs="Times New Roman"/>
          <w:sz w:val="24"/>
          <w:szCs w:val="24"/>
        </w:rPr>
        <w:tab/>
      </w:r>
      <w:r w:rsidR="00DE2077" w:rsidRPr="0077028C">
        <w:rPr>
          <w:rFonts w:ascii="Times New Roman" w:eastAsia="PMingLiU" w:hAnsi="Times New Roman" w:cs="Times New Roman"/>
          <w:sz w:val="24"/>
          <w:szCs w:val="24"/>
        </w:rPr>
        <w:t>Klein, L. S., O’Brien, T. J., &amp; Peters, S. R. (2002). Debt vs. equity and asymmetric information: A review</w:t>
      </w:r>
      <w:r w:rsidR="00DE2077" w:rsidRPr="00DE2077">
        <w:rPr>
          <w:rFonts w:ascii="Times New Roman" w:eastAsia="PMingLiU" w:hAnsi="Times New Roman" w:cs="Times New Roman"/>
          <w:sz w:val="24"/>
          <w:szCs w:val="24"/>
        </w:rPr>
        <w:t xml:space="preserve">. </w:t>
      </w:r>
      <w:r w:rsidR="00DE2077" w:rsidRPr="00F94EAD">
        <w:rPr>
          <w:rFonts w:ascii="Times New Roman" w:eastAsia="PMingLiU" w:hAnsi="Times New Roman" w:cs="Times New Roman"/>
          <w:i/>
          <w:sz w:val="24"/>
          <w:szCs w:val="24"/>
        </w:rPr>
        <w:t>Financial Review, 37</w:t>
      </w:r>
      <w:r w:rsidR="00DE2077" w:rsidRPr="00DE2077">
        <w:rPr>
          <w:rFonts w:ascii="Times New Roman" w:eastAsia="PMingLiU" w:hAnsi="Times New Roman" w:cs="Times New Roman"/>
          <w:sz w:val="24"/>
          <w:szCs w:val="24"/>
        </w:rPr>
        <w:t>(3), 317-349.</w:t>
      </w:r>
    </w:p>
    <w:p w:rsidR="00BA3EC7" w:rsidRDefault="004A476C">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[48]</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Kyung, H., Lee, H.</w:t>
      </w:r>
      <w:r w:rsidR="00F37FD7">
        <w:rPr>
          <w:rFonts w:ascii="Times New Roman" w:eastAsia="PMingLiU" w:hAnsi="Times New Roman" w:cs="Times New Roman"/>
          <w:sz w:val="24"/>
          <w:szCs w:val="24"/>
        </w:rPr>
        <w:t xml:space="preserve">, &amp; </w:t>
      </w:r>
      <w:r w:rsidR="00181591">
        <w:rPr>
          <w:rFonts w:ascii="Times New Roman" w:eastAsia="PMingLiU" w:hAnsi="Times New Roman" w:cs="Times New Roman"/>
          <w:sz w:val="24"/>
          <w:szCs w:val="24"/>
        </w:rPr>
        <w:t>Marquardt, C.</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2019</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effect of voluntary clawback adoption on non-GAAP reporting. </w:t>
      </w:r>
      <w:r w:rsidR="00181591">
        <w:rPr>
          <w:rFonts w:ascii="Times New Roman" w:eastAsia="PMingLiU" w:hAnsi="Times New Roman" w:cs="Times New Roman"/>
          <w:i/>
          <w:sz w:val="24"/>
          <w:szCs w:val="24"/>
        </w:rPr>
        <w:t>Journal of Accounting and Economics</w:t>
      </w:r>
      <w:r w:rsidR="00F37FD7">
        <w:rPr>
          <w:rFonts w:ascii="Times New Roman" w:eastAsia="PMingLiU" w:hAnsi="Times New Roman" w:cs="Times New Roman"/>
          <w:i/>
          <w:sz w:val="24"/>
          <w:szCs w:val="24"/>
        </w:rPr>
        <w:t>, 67</w:t>
      </w:r>
      <w:r w:rsidR="00181591">
        <w:rPr>
          <w:rFonts w:ascii="Times New Roman" w:eastAsia="PMingLiU" w:hAnsi="Times New Roman" w:cs="Times New Roman"/>
          <w:sz w:val="24"/>
          <w:szCs w:val="24"/>
        </w:rPr>
        <w:t>(1), 175-201.</w:t>
      </w:r>
    </w:p>
    <w:p w:rsidR="00BA3EC7" w:rsidRDefault="00410E7E">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[49]</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Lamont, O.A., </w:t>
      </w:r>
      <w:r w:rsidR="00F37FD7">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Thaler, R.H.</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2003</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Can the market add and subtract? Mispricing in tech stock carve-outs. </w:t>
      </w:r>
      <w:r w:rsidR="00181591">
        <w:rPr>
          <w:rFonts w:ascii="Times New Roman" w:eastAsia="PMingLiU" w:hAnsi="Times New Roman" w:cs="Times New Roman"/>
          <w:i/>
          <w:sz w:val="24"/>
          <w:szCs w:val="24"/>
        </w:rPr>
        <w:t>Journal of Political Economy</w:t>
      </w:r>
      <w:r w:rsidR="00F37FD7">
        <w:rPr>
          <w:rFonts w:ascii="Times New Roman" w:eastAsia="PMingLiU" w:hAnsi="Times New Roman" w:cs="Times New Roman"/>
          <w:i/>
          <w:sz w:val="24"/>
          <w:szCs w:val="24"/>
        </w:rPr>
        <w:t>, 111</w:t>
      </w:r>
      <w:r w:rsidR="00181591">
        <w:rPr>
          <w:rFonts w:ascii="Times New Roman" w:eastAsia="PMingLiU" w:hAnsi="Times New Roman" w:cs="Times New Roman"/>
          <w:sz w:val="24"/>
          <w:szCs w:val="24"/>
        </w:rPr>
        <w:t>(2), 227-268.</w:t>
      </w:r>
    </w:p>
    <w:p w:rsidR="00294850" w:rsidRDefault="000D26B3">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[50]</w:t>
      </w:r>
      <w:r>
        <w:rPr>
          <w:rFonts w:ascii="Times New Roman" w:eastAsia="PMingLiU" w:hAnsi="Times New Roman" w:cs="Times New Roman"/>
          <w:sz w:val="24"/>
          <w:szCs w:val="24"/>
        </w:rPr>
        <w:tab/>
      </w:r>
      <w:r w:rsidR="00294850" w:rsidRPr="00294850">
        <w:rPr>
          <w:rFonts w:ascii="Times New Roman" w:eastAsia="PMingLiU" w:hAnsi="Times New Roman" w:cs="Times New Roman"/>
          <w:sz w:val="24"/>
          <w:szCs w:val="24"/>
        </w:rPr>
        <w:t xml:space="preserve">Landsman, W. R., Miller, B. L., &amp; Yeh, S. (2007). Implications of components of income excluded from pro forma earnings for future profitability and equity valuation. </w:t>
      </w:r>
      <w:r w:rsidR="00294850" w:rsidRPr="00F94EAD">
        <w:rPr>
          <w:rFonts w:ascii="Times New Roman" w:eastAsia="PMingLiU" w:hAnsi="Times New Roman" w:cs="Times New Roman"/>
          <w:i/>
          <w:sz w:val="24"/>
          <w:szCs w:val="24"/>
        </w:rPr>
        <w:t>Journal of Business Finance &amp; Accounting, 34</w:t>
      </w:r>
      <w:r w:rsidR="00294850" w:rsidRPr="00294850">
        <w:rPr>
          <w:rFonts w:ascii="Times New Roman" w:eastAsia="PMingLiU" w:hAnsi="Times New Roman" w:cs="Times New Roman"/>
          <w:sz w:val="24"/>
          <w:szCs w:val="24"/>
        </w:rPr>
        <w:t>(3‐4), 650-675.</w:t>
      </w:r>
    </w:p>
    <w:p w:rsidR="00BA3EC7" w:rsidRDefault="00694C1F">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[51]</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Lee, C., Myers, J., </w:t>
      </w:r>
      <w:r w:rsidR="00F37FD7">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Swaminathan, B.</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1999</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What is the intrinsic value of the Dow? </w:t>
      </w:r>
      <w:r w:rsidR="00181591">
        <w:rPr>
          <w:rFonts w:ascii="Times New Roman" w:eastAsia="PMingLiU" w:hAnsi="Times New Roman" w:cs="Times New Roman"/>
          <w:i/>
          <w:sz w:val="24"/>
          <w:szCs w:val="24"/>
        </w:rPr>
        <w:t>Journal of Finance</w:t>
      </w:r>
      <w:r w:rsidR="00F37FD7">
        <w:rPr>
          <w:rFonts w:ascii="Times New Roman" w:eastAsia="PMingLiU" w:hAnsi="Times New Roman" w:cs="Times New Roman"/>
          <w:i/>
          <w:sz w:val="24"/>
          <w:szCs w:val="24"/>
        </w:rPr>
        <w:t>, 54</w:t>
      </w:r>
      <w:r w:rsidR="00181591">
        <w:rPr>
          <w:rFonts w:ascii="Times New Roman" w:eastAsia="PMingLiU" w:hAnsi="Times New Roman" w:cs="Times New Roman"/>
          <w:sz w:val="24"/>
          <w:szCs w:val="24"/>
        </w:rPr>
        <w:t>(5), 1693-1741.</w:t>
      </w:r>
    </w:p>
    <w:p w:rsidR="00BA3EC7" w:rsidRDefault="00D5198D">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[52]</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Lee, C.M.</w:t>
      </w:r>
      <w:r w:rsidR="00F37FD7">
        <w:rPr>
          <w:rFonts w:ascii="Times New Roman" w:eastAsia="PMingLiU" w:hAnsi="Times New Roman" w:cs="Times New Roman"/>
          <w:sz w:val="24"/>
          <w:szCs w:val="24"/>
        </w:rPr>
        <w:t>, &amp;</w:t>
      </w:r>
      <w:r w:rsidR="00181591">
        <w:rPr>
          <w:rFonts w:ascii="Times New Roman" w:eastAsia="PMingLiU" w:hAnsi="Times New Roman" w:cs="Times New Roman"/>
          <w:sz w:val="24"/>
          <w:szCs w:val="24"/>
        </w:rPr>
        <w:t xml:space="preserve"> Swaminathan, B.</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1999</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Valuing the Dow: A bottom-up approach. </w:t>
      </w:r>
      <w:r w:rsidR="00181591">
        <w:rPr>
          <w:rFonts w:ascii="Times New Roman" w:eastAsia="PMingLiU" w:hAnsi="Times New Roman" w:cs="Times New Roman"/>
          <w:i/>
          <w:sz w:val="24"/>
          <w:szCs w:val="24"/>
        </w:rPr>
        <w:t>Financial Analysts Journal</w:t>
      </w:r>
      <w:r w:rsidR="00F37FD7">
        <w:rPr>
          <w:rFonts w:ascii="Times New Roman" w:eastAsia="PMingLiU" w:hAnsi="Times New Roman" w:cs="Times New Roman"/>
          <w:i/>
          <w:sz w:val="24"/>
          <w:szCs w:val="24"/>
        </w:rPr>
        <w:t>, 55</w:t>
      </w:r>
      <w:r w:rsidR="00181591">
        <w:rPr>
          <w:rFonts w:ascii="Times New Roman" w:eastAsia="PMingLiU" w:hAnsi="Times New Roman" w:cs="Times New Roman"/>
          <w:sz w:val="24"/>
          <w:szCs w:val="24"/>
        </w:rPr>
        <w:t>(5), 4-23.</w:t>
      </w:r>
    </w:p>
    <w:p w:rsidR="00BA3EC7" w:rsidRDefault="009675DD">
      <w:pPr>
        <w:widowControl w:val="0"/>
        <w:spacing w:before="120" w:after="120"/>
        <w:ind w:left="567" w:right="20" w:hanging="567"/>
        <w:jc w:val="both"/>
        <w:rPr>
          <w:rFonts w:ascii="Times New Roman" w:eastAsia="PMingLiU" w:hAnsi="Times New Roman" w:cs="Times New Roman"/>
          <w:sz w:val="24"/>
          <w:szCs w:val="24"/>
        </w:rPr>
      </w:pPr>
      <w:r w:rsidRPr="00240072">
        <w:rPr>
          <w:rFonts w:ascii="Times New Roman" w:eastAsia="PMingLiU" w:hAnsi="Times New Roman" w:cs="Times New Roman"/>
          <w:sz w:val="24"/>
          <w:szCs w:val="24"/>
        </w:rPr>
        <w:t>[53]</w:t>
      </w:r>
      <w:r w:rsidRPr="00240072">
        <w:rPr>
          <w:rFonts w:ascii="Times New Roman" w:eastAsia="PMingLiU" w:hAnsi="Times New Roman" w:cs="Times New Roman"/>
          <w:sz w:val="24"/>
          <w:szCs w:val="24"/>
        </w:rPr>
        <w:tab/>
      </w:r>
      <w:r w:rsidR="00181591" w:rsidRPr="00240072">
        <w:rPr>
          <w:rFonts w:ascii="Times New Roman" w:eastAsia="PMingLiU" w:hAnsi="Times New Roman" w:cs="Times New Roman"/>
          <w:sz w:val="24"/>
          <w:szCs w:val="24"/>
        </w:rPr>
        <w:t>Lev, B.</w:t>
      </w:r>
      <w:r w:rsidR="00F37FD7" w:rsidRPr="00240072">
        <w:rPr>
          <w:rFonts w:ascii="Times New Roman" w:eastAsia="PMingLiU" w:hAnsi="Times New Roman" w:cs="Times New Roman"/>
          <w:sz w:val="24"/>
          <w:szCs w:val="24"/>
        </w:rPr>
        <w:t xml:space="preserve"> (</w:t>
      </w:r>
      <w:r w:rsidR="00181591" w:rsidRPr="00240072">
        <w:rPr>
          <w:rFonts w:ascii="Times New Roman" w:eastAsia="PMingLiU" w:hAnsi="Times New Roman" w:cs="Times New Roman"/>
          <w:sz w:val="24"/>
          <w:szCs w:val="24"/>
        </w:rPr>
        <w:t>1992</w:t>
      </w:r>
      <w:r w:rsidR="00F37FD7" w:rsidRPr="00240072">
        <w:rPr>
          <w:rFonts w:ascii="Times New Roman" w:eastAsia="PMingLiU" w:hAnsi="Times New Roman" w:cs="Times New Roman"/>
          <w:sz w:val="24"/>
          <w:szCs w:val="24"/>
        </w:rPr>
        <w:t>)</w:t>
      </w:r>
      <w:r w:rsidR="00181591" w:rsidRPr="00240072">
        <w:rPr>
          <w:rFonts w:ascii="Times New Roman" w:eastAsia="PMingLiU" w:hAnsi="Times New Roman" w:cs="Times New Roman"/>
          <w:sz w:val="24"/>
          <w:szCs w:val="24"/>
        </w:rPr>
        <w:t xml:space="preserve">. Information disclosure strategy. </w:t>
      </w:r>
      <w:r w:rsidR="00181591" w:rsidRPr="00240072">
        <w:rPr>
          <w:rFonts w:ascii="Times New Roman" w:eastAsia="PMingLiU" w:hAnsi="Times New Roman" w:cs="Times New Roman"/>
          <w:i/>
          <w:sz w:val="24"/>
          <w:szCs w:val="24"/>
        </w:rPr>
        <w:t>California Management Review</w:t>
      </w:r>
      <w:r w:rsidR="00F37FD7" w:rsidRPr="00240072">
        <w:rPr>
          <w:rFonts w:ascii="Times New Roman" w:eastAsia="PMingLiU" w:hAnsi="Times New Roman" w:cs="Times New Roman"/>
          <w:i/>
          <w:sz w:val="24"/>
          <w:szCs w:val="24"/>
        </w:rPr>
        <w:t>, 34</w:t>
      </w:r>
      <w:r w:rsidR="00181591" w:rsidRPr="00240072">
        <w:rPr>
          <w:rFonts w:ascii="Times New Roman" w:eastAsia="PMingLiU" w:hAnsi="Times New Roman" w:cs="Times New Roman"/>
          <w:sz w:val="24"/>
          <w:szCs w:val="24"/>
        </w:rPr>
        <w:t>(4), 9-32.</w:t>
      </w:r>
    </w:p>
    <w:p w:rsidR="00BA3EC7" w:rsidRPr="008D1DD8" w:rsidRDefault="00A54ABE">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[54]</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Leung, E.</w:t>
      </w:r>
      <w:r w:rsidR="00F37FD7">
        <w:rPr>
          <w:rFonts w:ascii="Times New Roman" w:eastAsia="PMingLiU" w:hAnsi="Times New Roman" w:cs="Times New Roman"/>
          <w:sz w:val="24"/>
          <w:szCs w:val="24"/>
        </w:rPr>
        <w:t xml:space="preserve">, &amp; </w:t>
      </w:r>
      <w:proofErr w:type="spellStart"/>
      <w:r w:rsidR="00181591">
        <w:rPr>
          <w:rFonts w:ascii="Times New Roman" w:eastAsia="PMingLiU" w:hAnsi="Times New Roman" w:cs="Times New Roman"/>
          <w:sz w:val="24"/>
          <w:szCs w:val="24"/>
        </w:rPr>
        <w:t>Veenman</w:t>
      </w:r>
      <w:proofErr w:type="spellEnd"/>
      <w:r w:rsidR="00181591">
        <w:rPr>
          <w:rFonts w:ascii="Times New Roman" w:eastAsia="PMingLiU" w:hAnsi="Times New Roman" w:cs="Times New Roman"/>
          <w:sz w:val="24"/>
          <w:szCs w:val="24"/>
        </w:rPr>
        <w:t>, D.</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2018</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Non</w:t>
      </w:r>
      <w:r w:rsidR="00181591">
        <w:rPr>
          <w:rFonts w:ascii="Cambria Math" w:eastAsia="PMingLiU" w:hAnsi="Cambria Math" w:cs="Cambria Math"/>
          <w:sz w:val="24"/>
          <w:szCs w:val="24"/>
        </w:rPr>
        <w:t>‐</w:t>
      </w:r>
      <w:r w:rsidR="00181591">
        <w:rPr>
          <w:rFonts w:ascii="Times New Roman" w:eastAsia="PMingLiU" w:hAnsi="Times New Roman" w:cs="Times New Roman"/>
          <w:sz w:val="24"/>
          <w:szCs w:val="24"/>
        </w:rPr>
        <w:t xml:space="preserve">GAAP earnings disclosure in loss firms. </w:t>
      </w:r>
      <w:r w:rsidR="00181591">
        <w:rPr>
          <w:rFonts w:ascii="Times New Roman" w:eastAsia="PMingLiU" w:hAnsi="Times New Roman" w:cs="Times New Roman"/>
          <w:i/>
          <w:sz w:val="24"/>
          <w:szCs w:val="24"/>
        </w:rPr>
        <w:t xml:space="preserve">Journal </w:t>
      </w:r>
      <w:r w:rsidR="00181591" w:rsidRPr="008D1DD8">
        <w:rPr>
          <w:rFonts w:ascii="Times New Roman" w:eastAsia="PMingLiU" w:hAnsi="Times New Roman" w:cs="Times New Roman"/>
          <w:i/>
          <w:sz w:val="24"/>
          <w:szCs w:val="24"/>
        </w:rPr>
        <w:t>of Accounting Research</w:t>
      </w:r>
      <w:r w:rsidR="00F37FD7" w:rsidRPr="008D1DD8">
        <w:rPr>
          <w:rFonts w:ascii="Times New Roman" w:eastAsia="PMingLiU" w:hAnsi="Times New Roman" w:cs="Times New Roman"/>
          <w:i/>
          <w:sz w:val="24"/>
          <w:szCs w:val="24"/>
        </w:rPr>
        <w:t>, 56</w:t>
      </w:r>
      <w:r w:rsidR="00181591" w:rsidRPr="008D1DD8">
        <w:rPr>
          <w:rFonts w:ascii="Times New Roman" w:eastAsia="PMingLiU" w:hAnsi="Times New Roman" w:cs="Times New Roman"/>
          <w:sz w:val="24"/>
          <w:szCs w:val="24"/>
        </w:rPr>
        <w:t>(4), 1083-1137.</w:t>
      </w:r>
    </w:p>
    <w:p w:rsidR="00BA3EC7" w:rsidRPr="008D1DD8" w:rsidRDefault="00D221F3">
      <w:pPr>
        <w:widowControl w:val="0"/>
        <w:spacing w:before="120" w:after="120"/>
        <w:ind w:left="567" w:right="20" w:hanging="567"/>
        <w:jc w:val="both"/>
        <w:rPr>
          <w:rFonts w:ascii="Times New Roman" w:eastAsia="PMingLiU" w:hAnsi="Times New Roman" w:cs="Times New Roman"/>
          <w:sz w:val="24"/>
          <w:szCs w:val="24"/>
        </w:rPr>
      </w:pPr>
      <w:r w:rsidRPr="008D1DD8">
        <w:rPr>
          <w:rFonts w:ascii="Times New Roman" w:eastAsia="PMingLiU" w:hAnsi="Times New Roman" w:cs="Times New Roman"/>
          <w:sz w:val="24"/>
          <w:szCs w:val="24"/>
        </w:rPr>
        <w:t>[55]</w:t>
      </w:r>
      <w:r w:rsidRPr="008D1DD8">
        <w:rPr>
          <w:rFonts w:ascii="Times New Roman" w:eastAsia="PMingLiU" w:hAnsi="Times New Roman" w:cs="Times New Roman"/>
          <w:sz w:val="24"/>
          <w:szCs w:val="24"/>
        </w:rPr>
        <w:tab/>
      </w:r>
      <w:proofErr w:type="spellStart"/>
      <w:r w:rsidR="00181591" w:rsidRPr="008D1DD8">
        <w:rPr>
          <w:rFonts w:ascii="Times New Roman" w:eastAsia="PMingLiU" w:hAnsi="Times New Roman" w:cs="Times New Roman"/>
          <w:sz w:val="24"/>
          <w:szCs w:val="24"/>
        </w:rPr>
        <w:t>Lougee</w:t>
      </w:r>
      <w:proofErr w:type="spellEnd"/>
      <w:r w:rsidR="00181591" w:rsidRPr="008D1DD8">
        <w:rPr>
          <w:rFonts w:ascii="Times New Roman" w:eastAsia="PMingLiU" w:hAnsi="Times New Roman" w:cs="Times New Roman"/>
          <w:sz w:val="24"/>
          <w:szCs w:val="24"/>
        </w:rPr>
        <w:t>, B.A.</w:t>
      </w:r>
      <w:r w:rsidR="00F37FD7" w:rsidRPr="008D1DD8">
        <w:rPr>
          <w:rFonts w:ascii="Times New Roman" w:eastAsia="PMingLiU" w:hAnsi="Times New Roman" w:cs="Times New Roman"/>
          <w:sz w:val="24"/>
          <w:szCs w:val="24"/>
        </w:rPr>
        <w:t xml:space="preserve">, &amp; </w:t>
      </w:r>
      <w:r w:rsidR="00181591" w:rsidRPr="008D1DD8">
        <w:rPr>
          <w:rFonts w:ascii="Times New Roman" w:eastAsia="PMingLiU" w:hAnsi="Times New Roman" w:cs="Times New Roman"/>
          <w:sz w:val="24"/>
          <w:szCs w:val="24"/>
        </w:rPr>
        <w:t>Marquardt, C.A.</w:t>
      </w:r>
      <w:r w:rsidR="00F37FD7" w:rsidRPr="008D1DD8">
        <w:rPr>
          <w:rFonts w:ascii="Times New Roman" w:eastAsia="PMingLiU" w:hAnsi="Times New Roman" w:cs="Times New Roman"/>
          <w:sz w:val="24"/>
          <w:szCs w:val="24"/>
        </w:rPr>
        <w:t xml:space="preserve"> (</w:t>
      </w:r>
      <w:r w:rsidR="00181591" w:rsidRPr="008D1DD8">
        <w:rPr>
          <w:rFonts w:ascii="Times New Roman" w:eastAsia="PMingLiU" w:hAnsi="Times New Roman" w:cs="Times New Roman"/>
          <w:sz w:val="24"/>
          <w:szCs w:val="24"/>
        </w:rPr>
        <w:t>2004</w:t>
      </w:r>
      <w:r w:rsidR="00F37FD7" w:rsidRPr="008D1DD8">
        <w:rPr>
          <w:rFonts w:ascii="Times New Roman" w:eastAsia="PMingLiU" w:hAnsi="Times New Roman" w:cs="Times New Roman"/>
          <w:sz w:val="24"/>
          <w:szCs w:val="24"/>
        </w:rPr>
        <w:t>)</w:t>
      </w:r>
      <w:r w:rsidR="00181591" w:rsidRPr="008D1DD8">
        <w:rPr>
          <w:rFonts w:ascii="Times New Roman" w:eastAsia="PMingLiU" w:hAnsi="Times New Roman" w:cs="Times New Roman"/>
          <w:sz w:val="24"/>
          <w:szCs w:val="24"/>
        </w:rPr>
        <w:t xml:space="preserve">. Earnings informativeness and strategic disclosure: An empirical examination of “pro forma” earnings. </w:t>
      </w:r>
      <w:r w:rsidR="00181591" w:rsidRPr="008D1DD8">
        <w:rPr>
          <w:rFonts w:ascii="Times New Roman" w:eastAsia="PMingLiU" w:hAnsi="Times New Roman" w:cs="Times New Roman"/>
          <w:i/>
          <w:sz w:val="24"/>
          <w:szCs w:val="24"/>
        </w:rPr>
        <w:t>Accounting Review</w:t>
      </w:r>
      <w:r w:rsidR="00F37FD7" w:rsidRPr="008D1DD8">
        <w:rPr>
          <w:rFonts w:ascii="Times New Roman" w:eastAsia="PMingLiU" w:hAnsi="Times New Roman" w:cs="Times New Roman"/>
          <w:i/>
          <w:sz w:val="24"/>
          <w:szCs w:val="24"/>
        </w:rPr>
        <w:t>, 79</w:t>
      </w:r>
      <w:r w:rsidR="00181591" w:rsidRPr="008D1DD8">
        <w:rPr>
          <w:rFonts w:ascii="Times New Roman" w:eastAsia="PMingLiU" w:hAnsi="Times New Roman" w:cs="Times New Roman"/>
          <w:sz w:val="24"/>
          <w:szCs w:val="24"/>
        </w:rPr>
        <w:t>(3), 769-795.</w:t>
      </w:r>
    </w:p>
    <w:p w:rsidR="00DE5910" w:rsidRPr="008D1DD8" w:rsidRDefault="00341BAF">
      <w:pPr>
        <w:widowControl w:val="0"/>
        <w:spacing w:before="120" w:after="120"/>
        <w:ind w:left="567" w:right="20" w:hanging="567"/>
        <w:jc w:val="both"/>
        <w:rPr>
          <w:rFonts w:ascii="Times New Roman" w:eastAsia="PMingLiU" w:hAnsi="Times New Roman" w:cs="Times New Roman"/>
          <w:sz w:val="24"/>
          <w:szCs w:val="24"/>
        </w:rPr>
      </w:pPr>
      <w:r w:rsidRPr="008D1DD8">
        <w:rPr>
          <w:rFonts w:ascii="Times New Roman" w:eastAsia="PMingLiU" w:hAnsi="Times New Roman" w:cs="Times New Roman"/>
          <w:sz w:val="24"/>
          <w:szCs w:val="24"/>
        </w:rPr>
        <w:t>[5</w:t>
      </w:r>
      <w:r w:rsidR="0020189E" w:rsidRPr="008D1DD8">
        <w:rPr>
          <w:rFonts w:ascii="Times New Roman" w:eastAsia="PMingLiU" w:hAnsi="Times New Roman" w:cs="Times New Roman"/>
          <w:sz w:val="24"/>
          <w:szCs w:val="24"/>
        </w:rPr>
        <w:t>6</w:t>
      </w:r>
      <w:r w:rsidRPr="008D1DD8">
        <w:rPr>
          <w:rFonts w:ascii="Times New Roman" w:eastAsia="PMingLiU" w:hAnsi="Times New Roman" w:cs="Times New Roman"/>
          <w:sz w:val="24"/>
          <w:szCs w:val="24"/>
        </w:rPr>
        <w:t>]</w:t>
      </w:r>
      <w:r w:rsidRPr="008D1DD8">
        <w:rPr>
          <w:rFonts w:ascii="Times New Roman" w:eastAsia="PMingLiU" w:hAnsi="Times New Roman" w:cs="Times New Roman"/>
          <w:sz w:val="24"/>
          <w:szCs w:val="24"/>
        </w:rPr>
        <w:tab/>
      </w:r>
      <w:r w:rsidR="00DE5910" w:rsidRPr="008D1DD8">
        <w:rPr>
          <w:rFonts w:ascii="Times New Roman" w:eastAsia="PMingLiU" w:hAnsi="Times New Roman" w:cs="Times New Roman"/>
          <w:sz w:val="24"/>
          <w:szCs w:val="24"/>
        </w:rPr>
        <w:t xml:space="preserve">Moeller, S. B., </w:t>
      </w:r>
      <w:proofErr w:type="spellStart"/>
      <w:r w:rsidR="00DE5910" w:rsidRPr="008D1DD8">
        <w:rPr>
          <w:rFonts w:ascii="Times New Roman" w:eastAsia="PMingLiU" w:hAnsi="Times New Roman" w:cs="Times New Roman"/>
          <w:sz w:val="24"/>
          <w:szCs w:val="24"/>
        </w:rPr>
        <w:t>Schlingemann</w:t>
      </w:r>
      <w:proofErr w:type="spellEnd"/>
      <w:r w:rsidR="00DE5910" w:rsidRPr="008D1DD8">
        <w:rPr>
          <w:rFonts w:ascii="Times New Roman" w:eastAsia="PMingLiU" w:hAnsi="Times New Roman" w:cs="Times New Roman"/>
          <w:sz w:val="24"/>
          <w:szCs w:val="24"/>
        </w:rPr>
        <w:t xml:space="preserve">, F. P., &amp; </w:t>
      </w:r>
      <w:proofErr w:type="spellStart"/>
      <w:r w:rsidR="00DE5910" w:rsidRPr="008D1DD8">
        <w:rPr>
          <w:rFonts w:ascii="Times New Roman" w:eastAsia="PMingLiU" w:hAnsi="Times New Roman" w:cs="Times New Roman"/>
          <w:sz w:val="24"/>
          <w:szCs w:val="24"/>
        </w:rPr>
        <w:t>Stulz</w:t>
      </w:r>
      <w:proofErr w:type="spellEnd"/>
      <w:r w:rsidR="00DE5910" w:rsidRPr="008D1DD8">
        <w:rPr>
          <w:rFonts w:ascii="Times New Roman" w:eastAsia="PMingLiU" w:hAnsi="Times New Roman" w:cs="Times New Roman"/>
          <w:sz w:val="24"/>
          <w:szCs w:val="24"/>
        </w:rPr>
        <w:t xml:space="preserve">, R. M. (2004). Firm size and the gains from acquisitions. </w:t>
      </w:r>
      <w:r w:rsidR="00DE5910" w:rsidRPr="008D1DD8">
        <w:rPr>
          <w:rFonts w:ascii="Times New Roman" w:eastAsia="PMingLiU" w:hAnsi="Times New Roman" w:cs="Times New Roman"/>
          <w:i/>
          <w:sz w:val="24"/>
          <w:szCs w:val="24"/>
        </w:rPr>
        <w:t xml:space="preserve">Journal of </w:t>
      </w:r>
      <w:r w:rsidR="00181ECE" w:rsidRPr="008D1DD8">
        <w:rPr>
          <w:rFonts w:ascii="Times New Roman" w:eastAsia="PMingLiU" w:hAnsi="Times New Roman" w:cs="Times New Roman"/>
          <w:i/>
          <w:sz w:val="24"/>
          <w:szCs w:val="24"/>
        </w:rPr>
        <w:t>F</w:t>
      </w:r>
      <w:r w:rsidR="00DE5910" w:rsidRPr="008D1DD8">
        <w:rPr>
          <w:rFonts w:ascii="Times New Roman" w:eastAsia="PMingLiU" w:hAnsi="Times New Roman" w:cs="Times New Roman"/>
          <w:i/>
          <w:sz w:val="24"/>
          <w:szCs w:val="24"/>
        </w:rPr>
        <w:t xml:space="preserve">inancial </w:t>
      </w:r>
      <w:r w:rsidR="00181ECE" w:rsidRPr="008D1DD8">
        <w:rPr>
          <w:rFonts w:ascii="Times New Roman" w:eastAsia="PMingLiU" w:hAnsi="Times New Roman" w:cs="Times New Roman"/>
          <w:i/>
          <w:sz w:val="24"/>
          <w:szCs w:val="24"/>
        </w:rPr>
        <w:t>E</w:t>
      </w:r>
      <w:r w:rsidR="00DE5910" w:rsidRPr="008D1DD8">
        <w:rPr>
          <w:rFonts w:ascii="Times New Roman" w:eastAsia="PMingLiU" w:hAnsi="Times New Roman" w:cs="Times New Roman"/>
          <w:i/>
          <w:sz w:val="24"/>
          <w:szCs w:val="24"/>
        </w:rPr>
        <w:t>conomics, 73</w:t>
      </w:r>
      <w:r w:rsidR="00DE5910" w:rsidRPr="008D1DD8">
        <w:rPr>
          <w:rFonts w:ascii="Times New Roman" w:eastAsia="PMingLiU" w:hAnsi="Times New Roman" w:cs="Times New Roman"/>
          <w:sz w:val="24"/>
          <w:szCs w:val="24"/>
        </w:rPr>
        <w:t>(2), 201-228.</w:t>
      </w:r>
    </w:p>
    <w:p w:rsidR="0007708B" w:rsidRPr="008D1DD8" w:rsidRDefault="00251096">
      <w:pPr>
        <w:widowControl w:val="0"/>
        <w:spacing w:before="120" w:after="120"/>
        <w:ind w:left="567" w:right="20" w:hanging="567"/>
        <w:jc w:val="both"/>
        <w:rPr>
          <w:rFonts w:ascii="Times New Roman" w:eastAsia="PMingLiU" w:hAnsi="Times New Roman" w:cs="Times New Roman"/>
          <w:sz w:val="24"/>
          <w:szCs w:val="24"/>
        </w:rPr>
      </w:pPr>
      <w:r w:rsidRPr="008D1DD8">
        <w:rPr>
          <w:rFonts w:ascii="Times New Roman" w:eastAsia="PMingLiU" w:hAnsi="Times New Roman" w:cs="Times New Roman"/>
          <w:sz w:val="24"/>
          <w:szCs w:val="24"/>
        </w:rPr>
        <w:t>[</w:t>
      </w:r>
      <w:r w:rsidR="008D1DD8" w:rsidRPr="008D1DD8">
        <w:rPr>
          <w:rFonts w:ascii="Times New Roman" w:eastAsia="PMingLiU" w:hAnsi="Times New Roman" w:cs="Times New Roman"/>
          <w:sz w:val="24"/>
          <w:szCs w:val="24"/>
        </w:rPr>
        <w:t>57</w:t>
      </w:r>
      <w:r w:rsidRPr="008D1DD8">
        <w:rPr>
          <w:rFonts w:ascii="Times New Roman" w:eastAsia="PMingLiU" w:hAnsi="Times New Roman" w:cs="Times New Roman"/>
          <w:sz w:val="24"/>
          <w:szCs w:val="24"/>
        </w:rPr>
        <w:t>]</w:t>
      </w:r>
      <w:r w:rsidRPr="008D1DD8">
        <w:rPr>
          <w:rFonts w:ascii="Times New Roman" w:eastAsia="PMingLiU" w:hAnsi="Times New Roman" w:cs="Times New Roman"/>
          <w:sz w:val="24"/>
          <w:szCs w:val="24"/>
        </w:rPr>
        <w:tab/>
      </w:r>
      <w:r w:rsidR="0007708B" w:rsidRPr="008D1DD8">
        <w:rPr>
          <w:rFonts w:ascii="Times New Roman" w:eastAsia="PMingLiU" w:hAnsi="Times New Roman" w:cs="Times New Roman"/>
          <w:sz w:val="24"/>
          <w:szCs w:val="24"/>
        </w:rPr>
        <w:t xml:space="preserve">Myers, S.C., &amp; </w:t>
      </w:r>
      <w:proofErr w:type="spellStart"/>
      <w:r w:rsidR="0007708B" w:rsidRPr="008D1DD8">
        <w:rPr>
          <w:rFonts w:ascii="Times New Roman" w:eastAsia="PMingLiU" w:hAnsi="Times New Roman" w:cs="Times New Roman"/>
          <w:sz w:val="24"/>
          <w:szCs w:val="24"/>
        </w:rPr>
        <w:t>Majluf</w:t>
      </w:r>
      <w:proofErr w:type="spellEnd"/>
      <w:r w:rsidR="0007708B" w:rsidRPr="008D1DD8">
        <w:rPr>
          <w:rFonts w:ascii="Times New Roman" w:eastAsia="PMingLiU" w:hAnsi="Times New Roman" w:cs="Times New Roman"/>
          <w:sz w:val="24"/>
          <w:szCs w:val="24"/>
        </w:rPr>
        <w:t xml:space="preserve">, N.S. (1984). Corporate financing and investment decisions when firms have information that investors do not have. </w:t>
      </w:r>
      <w:r w:rsidR="0007708B" w:rsidRPr="008D1DD8">
        <w:rPr>
          <w:rFonts w:ascii="Times New Roman" w:eastAsia="PMingLiU" w:hAnsi="Times New Roman" w:cs="Times New Roman"/>
          <w:i/>
          <w:sz w:val="24"/>
          <w:szCs w:val="24"/>
        </w:rPr>
        <w:t>Journal of Financial Economics</w:t>
      </w:r>
      <w:r w:rsidR="0007708B" w:rsidRPr="008D1DD8">
        <w:rPr>
          <w:rFonts w:ascii="Times New Roman" w:eastAsia="PMingLiU" w:hAnsi="Times New Roman" w:cs="Times New Roman"/>
          <w:sz w:val="24"/>
          <w:szCs w:val="24"/>
        </w:rPr>
        <w:t xml:space="preserve">, </w:t>
      </w:r>
      <w:r w:rsidR="0007708B" w:rsidRPr="008D1DD8">
        <w:rPr>
          <w:rFonts w:ascii="Times New Roman" w:eastAsia="PMingLiU" w:hAnsi="Times New Roman" w:cs="Times New Roman"/>
          <w:i/>
          <w:sz w:val="24"/>
          <w:szCs w:val="24"/>
        </w:rPr>
        <w:t>13</w:t>
      </w:r>
      <w:r w:rsidR="0007708B" w:rsidRPr="008D1DD8">
        <w:rPr>
          <w:rFonts w:ascii="Times New Roman" w:eastAsia="PMingLiU" w:hAnsi="Times New Roman" w:cs="Times New Roman"/>
          <w:sz w:val="24"/>
          <w:szCs w:val="24"/>
        </w:rPr>
        <w:t>(2),</w:t>
      </w:r>
      <w:r w:rsidR="006B7CA8" w:rsidRPr="008D1DD8">
        <w:rPr>
          <w:rFonts w:ascii="Times New Roman" w:eastAsia="PMingLiU" w:hAnsi="Times New Roman" w:cs="Times New Roman"/>
          <w:sz w:val="24"/>
          <w:szCs w:val="24"/>
        </w:rPr>
        <w:t xml:space="preserve"> </w:t>
      </w:r>
      <w:r w:rsidR="0007708B" w:rsidRPr="008D1DD8">
        <w:rPr>
          <w:rFonts w:ascii="Times New Roman" w:eastAsia="PMingLiU" w:hAnsi="Times New Roman" w:cs="Times New Roman"/>
          <w:sz w:val="24"/>
          <w:szCs w:val="24"/>
        </w:rPr>
        <w:t>187-221.</w:t>
      </w:r>
    </w:p>
    <w:p w:rsidR="00BA3EC7" w:rsidRDefault="00D74360">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[5</w:t>
      </w:r>
      <w:r w:rsidR="008D1DD8">
        <w:rPr>
          <w:rFonts w:ascii="Times New Roman" w:eastAsia="PMingLiU" w:hAnsi="Times New Roman" w:cs="Times New Roman"/>
          <w:sz w:val="24"/>
          <w:szCs w:val="24"/>
        </w:rPr>
        <w:t>8</w:t>
      </w:r>
      <w:r>
        <w:rPr>
          <w:rFonts w:ascii="Times New Roman" w:eastAsia="PMingLiU" w:hAnsi="Times New Roman" w:cs="Times New Roman"/>
          <w:sz w:val="24"/>
          <w:szCs w:val="24"/>
        </w:rPr>
        <w:t>]</w:t>
      </w:r>
      <w:r>
        <w:rPr>
          <w:rFonts w:ascii="Times New Roman" w:eastAsia="PMingLiU" w:hAnsi="Times New Roman" w:cs="Times New Roman"/>
          <w:sz w:val="24"/>
          <w:szCs w:val="24"/>
        </w:rPr>
        <w:tab/>
      </w:r>
      <w:proofErr w:type="spellStart"/>
      <w:r w:rsidR="00181591">
        <w:rPr>
          <w:rFonts w:ascii="Times New Roman" w:eastAsia="PMingLiU" w:hAnsi="Times New Roman" w:cs="Times New Roman"/>
          <w:sz w:val="24"/>
          <w:szCs w:val="24"/>
        </w:rPr>
        <w:t>Sadka</w:t>
      </w:r>
      <w:proofErr w:type="spellEnd"/>
      <w:r w:rsidR="00181591">
        <w:rPr>
          <w:rFonts w:ascii="Times New Roman" w:eastAsia="PMingLiU" w:hAnsi="Times New Roman" w:cs="Times New Roman"/>
          <w:sz w:val="24"/>
          <w:szCs w:val="24"/>
        </w:rPr>
        <w:t xml:space="preserve">, R., </w:t>
      </w:r>
      <w:r w:rsidR="00F37FD7">
        <w:rPr>
          <w:rFonts w:ascii="Times New Roman" w:eastAsia="PMingLiU" w:hAnsi="Times New Roman" w:cs="Times New Roman"/>
          <w:sz w:val="24"/>
          <w:szCs w:val="24"/>
        </w:rPr>
        <w:t xml:space="preserve">&amp; </w:t>
      </w:r>
      <w:proofErr w:type="spellStart"/>
      <w:r w:rsidR="00181591">
        <w:rPr>
          <w:rFonts w:ascii="Times New Roman" w:eastAsia="PMingLiU" w:hAnsi="Times New Roman" w:cs="Times New Roman"/>
          <w:sz w:val="24"/>
          <w:szCs w:val="24"/>
        </w:rPr>
        <w:t>Scherbina</w:t>
      </w:r>
      <w:proofErr w:type="spellEnd"/>
      <w:r w:rsidR="00181591">
        <w:rPr>
          <w:rFonts w:ascii="Times New Roman" w:eastAsia="PMingLiU" w:hAnsi="Times New Roman" w:cs="Times New Roman"/>
          <w:sz w:val="24"/>
          <w:szCs w:val="24"/>
        </w:rPr>
        <w:t>, A.</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2007</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Analyst disagreement, mispricing, and liquidity. </w:t>
      </w:r>
      <w:r w:rsidR="00181591">
        <w:rPr>
          <w:rFonts w:ascii="Times New Roman" w:eastAsia="PMingLiU" w:hAnsi="Times New Roman" w:cs="Times New Roman"/>
          <w:i/>
          <w:sz w:val="24"/>
          <w:szCs w:val="24"/>
        </w:rPr>
        <w:t>Journal of Finance</w:t>
      </w:r>
      <w:r w:rsidR="00F37FD7">
        <w:rPr>
          <w:rFonts w:ascii="Times New Roman" w:eastAsia="PMingLiU" w:hAnsi="Times New Roman" w:cs="Times New Roman"/>
          <w:i/>
          <w:sz w:val="24"/>
          <w:szCs w:val="24"/>
        </w:rPr>
        <w:t>, 62</w:t>
      </w:r>
      <w:r w:rsidR="00181591">
        <w:rPr>
          <w:rFonts w:ascii="Times New Roman" w:eastAsia="PMingLiU" w:hAnsi="Times New Roman" w:cs="Times New Roman"/>
          <w:sz w:val="24"/>
          <w:szCs w:val="24"/>
        </w:rPr>
        <w:t>(5), 2367-2403.</w:t>
      </w:r>
    </w:p>
    <w:p w:rsidR="00BA3EC7" w:rsidRDefault="00163CA1">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w:t>
      </w:r>
      <w:r w:rsidR="006905A4">
        <w:rPr>
          <w:rFonts w:ascii="Times New Roman" w:eastAsia="PMingLiU" w:hAnsi="Times New Roman" w:cs="Times New Roman"/>
          <w:sz w:val="24"/>
          <w:szCs w:val="24"/>
        </w:rPr>
        <w:t>59</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Sawicki, J., </w:t>
      </w:r>
      <w:r w:rsidR="00F37FD7">
        <w:rPr>
          <w:rFonts w:ascii="Times New Roman" w:eastAsia="PMingLiU" w:hAnsi="Times New Roman" w:cs="Times New Roman"/>
          <w:sz w:val="24"/>
          <w:szCs w:val="24"/>
        </w:rPr>
        <w:t xml:space="preserve">&amp; </w:t>
      </w:r>
      <w:r w:rsidR="00181591">
        <w:rPr>
          <w:rFonts w:ascii="Times New Roman" w:eastAsia="PMingLiU" w:hAnsi="Times New Roman" w:cs="Times New Roman"/>
          <w:sz w:val="24"/>
          <w:szCs w:val="24"/>
        </w:rPr>
        <w:t>Shrestha, K.</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2014</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w:t>
      </w:r>
      <w:proofErr w:type="spellStart"/>
      <w:r w:rsidR="00181591">
        <w:rPr>
          <w:rFonts w:ascii="Times New Roman" w:eastAsia="PMingLiU" w:hAnsi="Times New Roman" w:cs="Times New Roman"/>
          <w:sz w:val="24"/>
          <w:szCs w:val="24"/>
        </w:rPr>
        <w:t>Misvaluation</w:t>
      </w:r>
      <w:proofErr w:type="spellEnd"/>
      <w:r w:rsidR="00181591">
        <w:rPr>
          <w:rFonts w:ascii="Times New Roman" w:eastAsia="PMingLiU" w:hAnsi="Times New Roman" w:cs="Times New Roman"/>
          <w:sz w:val="24"/>
          <w:szCs w:val="24"/>
        </w:rPr>
        <w:t xml:space="preserve"> and insider trading incentives for accrual</w:t>
      </w:r>
      <w:r w:rsidR="00181591">
        <w:rPr>
          <w:rFonts w:ascii="Cambria Math" w:eastAsia="PMingLiU" w:hAnsi="Cambria Math" w:cs="Cambria Math"/>
          <w:sz w:val="24"/>
          <w:szCs w:val="24"/>
        </w:rPr>
        <w:t>‐</w:t>
      </w:r>
      <w:r w:rsidR="00181591">
        <w:rPr>
          <w:rFonts w:ascii="Times New Roman" w:eastAsia="PMingLiU" w:hAnsi="Times New Roman" w:cs="Times New Roman"/>
          <w:sz w:val="24"/>
          <w:szCs w:val="24"/>
        </w:rPr>
        <w:t xml:space="preserve">based and real earnings management. </w:t>
      </w:r>
      <w:r w:rsidR="00181591">
        <w:rPr>
          <w:rFonts w:ascii="Times New Roman" w:eastAsia="PMingLiU" w:hAnsi="Times New Roman" w:cs="Times New Roman"/>
          <w:i/>
          <w:sz w:val="24"/>
          <w:szCs w:val="24"/>
        </w:rPr>
        <w:t>Journal of Business Finance &amp; Accounting</w:t>
      </w:r>
      <w:r w:rsidR="00F37FD7">
        <w:rPr>
          <w:rFonts w:ascii="Times New Roman" w:eastAsia="PMingLiU" w:hAnsi="Times New Roman" w:cs="Times New Roman"/>
          <w:i/>
          <w:sz w:val="24"/>
          <w:szCs w:val="24"/>
        </w:rPr>
        <w:t>, 41</w:t>
      </w:r>
      <w:r w:rsidR="00181591">
        <w:rPr>
          <w:rFonts w:ascii="Times New Roman" w:eastAsia="PMingLiU" w:hAnsi="Times New Roman" w:cs="Times New Roman"/>
          <w:sz w:val="24"/>
          <w:szCs w:val="24"/>
        </w:rPr>
        <w:t>(7-8), 926-949.</w:t>
      </w:r>
    </w:p>
    <w:p w:rsidR="00BA3EC7" w:rsidRDefault="00DD63BA">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[6</w:t>
      </w:r>
      <w:r w:rsidR="006905A4">
        <w:rPr>
          <w:rFonts w:ascii="Times New Roman" w:eastAsia="PMingLiU" w:hAnsi="Times New Roman" w:cs="Times New Roman"/>
          <w:sz w:val="24"/>
          <w:szCs w:val="24"/>
        </w:rPr>
        <w:t>0</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Shiller, R.J.</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2003</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From efficient markets theory to </w:t>
      </w:r>
      <w:proofErr w:type="spellStart"/>
      <w:r w:rsidR="00181591">
        <w:rPr>
          <w:rFonts w:ascii="Times New Roman" w:eastAsia="PMingLiU" w:hAnsi="Times New Roman" w:cs="Times New Roman"/>
          <w:sz w:val="24"/>
          <w:szCs w:val="24"/>
        </w:rPr>
        <w:t>behavioral</w:t>
      </w:r>
      <w:proofErr w:type="spellEnd"/>
      <w:r w:rsidR="00181591">
        <w:rPr>
          <w:rFonts w:ascii="Times New Roman" w:eastAsia="PMingLiU" w:hAnsi="Times New Roman" w:cs="Times New Roman"/>
          <w:sz w:val="24"/>
          <w:szCs w:val="24"/>
        </w:rPr>
        <w:t xml:space="preserve"> finance. </w:t>
      </w:r>
      <w:r w:rsidR="00181591">
        <w:rPr>
          <w:rFonts w:ascii="Times New Roman" w:eastAsia="PMingLiU" w:hAnsi="Times New Roman" w:cs="Times New Roman"/>
          <w:i/>
          <w:sz w:val="24"/>
          <w:szCs w:val="24"/>
        </w:rPr>
        <w:t>Journal of Economic Perspectives</w:t>
      </w:r>
      <w:r w:rsidR="00F37FD7">
        <w:rPr>
          <w:rFonts w:ascii="Times New Roman" w:eastAsia="PMingLiU" w:hAnsi="Times New Roman" w:cs="Times New Roman"/>
          <w:i/>
          <w:sz w:val="24"/>
          <w:szCs w:val="24"/>
        </w:rPr>
        <w:t>, 17</w:t>
      </w:r>
      <w:r w:rsidR="00181591">
        <w:rPr>
          <w:rFonts w:ascii="Times New Roman" w:eastAsia="PMingLiU" w:hAnsi="Times New Roman" w:cs="Times New Roman"/>
          <w:sz w:val="24"/>
          <w:szCs w:val="24"/>
        </w:rPr>
        <w:t>(1), 83-104.</w:t>
      </w:r>
    </w:p>
    <w:p w:rsidR="00BA3EC7" w:rsidRDefault="00CD169D">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[6</w:t>
      </w:r>
      <w:r w:rsidR="006B072E">
        <w:rPr>
          <w:rFonts w:ascii="Times New Roman" w:eastAsia="PMingLiU" w:hAnsi="Times New Roman" w:cs="Times New Roman"/>
          <w:sz w:val="24"/>
          <w:szCs w:val="24"/>
        </w:rPr>
        <w:t>1</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 xml:space="preserve">Shleifer, A., </w:t>
      </w:r>
      <w:r w:rsidR="00F37FD7">
        <w:rPr>
          <w:rFonts w:ascii="Times New Roman" w:eastAsia="PMingLiU" w:hAnsi="Times New Roman" w:cs="Times New Roman"/>
          <w:sz w:val="24"/>
          <w:szCs w:val="24"/>
        </w:rPr>
        <w:t xml:space="preserve">&amp; </w:t>
      </w:r>
      <w:proofErr w:type="spellStart"/>
      <w:r w:rsidR="00181591">
        <w:rPr>
          <w:rFonts w:ascii="Times New Roman" w:eastAsia="PMingLiU" w:hAnsi="Times New Roman" w:cs="Times New Roman"/>
          <w:sz w:val="24"/>
          <w:szCs w:val="24"/>
        </w:rPr>
        <w:t>Vishny</w:t>
      </w:r>
      <w:proofErr w:type="spellEnd"/>
      <w:r w:rsidR="00181591">
        <w:rPr>
          <w:rFonts w:ascii="Times New Roman" w:eastAsia="PMingLiU" w:hAnsi="Times New Roman" w:cs="Times New Roman"/>
          <w:sz w:val="24"/>
          <w:szCs w:val="24"/>
        </w:rPr>
        <w:t>, R.W.</w:t>
      </w:r>
      <w:r w:rsidR="00F37FD7">
        <w:rPr>
          <w:rFonts w:ascii="Times New Roman" w:eastAsia="PMingLiU" w:hAnsi="Times New Roman" w:cs="Times New Roman"/>
          <w:sz w:val="24"/>
          <w:szCs w:val="24"/>
        </w:rPr>
        <w:t xml:space="preserve"> (1</w:t>
      </w:r>
      <w:r w:rsidR="00181591">
        <w:rPr>
          <w:rFonts w:ascii="Times New Roman" w:eastAsia="PMingLiU" w:hAnsi="Times New Roman" w:cs="Times New Roman"/>
          <w:sz w:val="24"/>
          <w:szCs w:val="24"/>
        </w:rPr>
        <w:t>997</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limits of arbitrage.  </w:t>
      </w:r>
      <w:r w:rsidR="00181591">
        <w:rPr>
          <w:rFonts w:ascii="Times New Roman" w:eastAsia="PMingLiU" w:hAnsi="Times New Roman" w:cs="Times New Roman"/>
          <w:i/>
          <w:sz w:val="24"/>
          <w:szCs w:val="24"/>
        </w:rPr>
        <w:t>Journal of Finance</w:t>
      </w:r>
      <w:r w:rsidR="00F37FD7">
        <w:rPr>
          <w:rFonts w:ascii="Times New Roman" w:eastAsia="PMingLiU" w:hAnsi="Times New Roman" w:cs="Times New Roman"/>
          <w:i/>
          <w:sz w:val="24"/>
          <w:szCs w:val="24"/>
        </w:rPr>
        <w:t>, 52</w:t>
      </w:r>
      <w:r w:rsidR="00181591">
        <w:rPr>
          <w:rFonts w:ascii="Times New Roman" w:eastAsia="PMingLiU" w:hAnsi="Times New Roman" w:cs="Times New Roman"/>
          <w:sz w:val="24"/>
          <w:szCs w:val="24"/>
        </w:rPr>
        <w:t>(1), 35-55.</w:t>
      </w:r>
    </w:p>
    <w:p w:rsidR="00BA3EC7" w:rsidRPr="0093520F" w:rsidRDefault="00246317">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lastRenderedPageBreak/>
        <w:t>[6</w:t>
      </w:r>
      <w:r w:rsidR="0093520F">
        <w:rPr>
          <w:rFonts w:ascii="Times New Roman" w:eastAsia="PMingLiU" w:hAnsi="Times New Roman" w:cs="Times New Roman"/>
          <w:sz w:val="24"/>
          <w:szCs w:val="24"/>
        </w:rPr>
        <w:t>2</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Venter, E.R., Emanuel, D.</w:t>
      </w:r>
      <w:r w:rsidR="00F37FD7">
        <w:rPr>
          <w:rFonts w:ascii="Times New Roman" w:eastAsia="PMingLiU" w:hAnsi="Times New Roman" w:cs="Times New Roman"/>
          <w:sz w:val="24"/>
          <w:szCs w:val="24"/>
        </w:rPr>
        <w:t xml:space="preserve">, &amp; </w:t>
      </w:r>
      <w:proofErr w:type="spellStart"/>
      <w:r w:rsidR="00181591">
        <w:rPr>
          <w:rFonts w:ascii="Times New Roman" w:eastAsia="PMingLiU" w:hAnsi="Times New Roman" w:cs="Times New Roman"/>
          <w:sz w:val="24"/>
          <w:szCs w:val="24"/>
        </w:rPr>
        <w:t>Cahan</w:t>
      </w:r>
      <w:proofErr w:type="spellEnd"/>
      <w:r w:rsidR="00181591">
        <w:rPr>
          <w:rFonts w:ascii="Times New Roman" w:eastAsia="PMingLiU" w:hAnsi="Times New Roman" w:cs="Times New Roman"/>
          <w:sz w:val="24"/>
          <w:szCs w:val="24"/>
        </w:rPr>
        <w:t>, S.F.</w:t>
      </w:r>
      <w:r w:rsidR="00F37FD7">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2014</w:t>
      </w:r>
      <w:r w:rsidR="00F37FD7">
        <w:rPr>
          <w:rFonts w:ascii="Times New Roman" w:eastAsia="PMingLiU" w:hAnsi="Times New Roman" w:cs="Times New Roman"/>
          <w:sz w:val="24"/>
          <w:szCs w:val="24"/>
        </w:rPr>
        <w:t>)</w:t>
      </w:r>
      <w:r w:rsidR="00181591">
        <w:rPr>
          <w:rFonts w:ascii="Times New Roman" w:eastAsia="PMingLiU" w:hAnsi="Times New Roman" w:cs="Times New Roman"/>
          <w:sz w:val="24"/>
          <w:szCs w:val="24"/>
        </w:rPr>
        <w:t>. The value relevance of mandatory non</w:t>
      </w:r>
      <w:r w:rsidR="00181591">
        <w:rPr>
          <w:rFonts w:ascii="Cambria Math" w:eastAsia="PMingLiU" w:hAnsi="Cambria Math" w:cs="Cambria Math"/>
          <w:sz w:val="24"/>
          <w:szCs w:val="24"/>
        </w:rPr>
        <w:t>‐</w:t>
      </w:r>
      <w:r w:rsidR="00181591" w:rsidRPr="0093520F">
        <w:rPr>
          <w:rFonts w:ascii="Times New Roman" w:eastAsia="PMingLiU" w:hAnsi="Times New Roman" w:cs="Times New Roman"/>
          <w:sz w:val="24"/>
          <w:szCs w:val="24"/>
        </w:rPr>
        <w:t xml:space="preserve">GAAP earnings. </w:t>
      </w:r>
      <w:r w:rsidR="00181591" w:rsidRPr="0093520F">
        <w:rPr>
          <w:rFonts w:ascii="Times New Roman" w:eastAsia="PMingLiU" w:hAnsi="Times New Roman" w:cs="Times New Roman"/>
          <w:i/>
          <w:sz w:val="24"/>
          <w:szCs w:val="24"/>
        </w:rPr>
        <w:t>Abacus</w:t>
      </w:r>
      <w:r w:rsidR="00F37FD7" w:rsidRPr="0093520F">
        <w:rPr>
          <w:rFonts w:ascii="Times New Roman" w:eastAsia="PMingLiU" w:hAnsi="Times New Roman" w:cs="Times New Roman"/>
          <w:i/>
          <w:sz w:val="24"/>
          <w:szCs w:val="24"/>
        </w:rPr>
        <w:t>, 50</w:t>
      </w:r>
      <w:r w:rsidR="00181591" w:rsidRPr="0093520F">
        <w:rPr>
          <w:rFonts w:ascii="Times New Roman" w:eastAsia="PMingLiU" w:hAnsi="Times New Roman" w:cs="Times New Roman"/>
          <w:sz w:val="24"/>
          <w:szCs w:val="24"/>
        </w:rPr>
        <w:t>(1), 1-24.</w:t>
      </w:r>
    </w:p>
    <w:p w:rsidR="00BA3EC7" w:rsidRPr="0093520F" w:rsidRDefault="00DA7A21">
      <w:pPr>
        <w:widowControl w:val="0"/>
        <w:spacing w:before="120" w:after="120"/>
        <w:ind w:left="567" w:right="20" w:hanging="567"/>
        <w:jc w:val="both"/>
        <w:rPr>
          <w:rFonts w:ascii="Times New Roman" w:eastAsia="PMingLiU" w:hAnsi="Times New Roman" w:cs="Times New Roman"/>
          <w:sz w:val="24"/>
          <w:szCs w:val="24"/>
        </w:rPr>
      </w:pPr>
      <w:r w:rsidRPr="0093520F">
        <w:rPr>
          <w:rFonts w:ascii="Times New Roman" w:eastAsia="PMingLiU" w:hAnsi="Times New Roman" w:cs="Times New Roman"/>
          <w:sz w:val="24"/>
          <w:szCs w:val="24"/>
        </w:rPr>
        <w:t>[6</w:t>
      </w:r>
      <w:r w:rsidR="0093520F" w:rsidRPr="0093520F">
        <w:rPr>
          <w:rFonts w:ascii="Times New Roman" w:eastAsia="PMingLiU" w:hAnsi="Times New Roman" w:cs="Times New Roman"/>
          <w:sz w:val="24"/>
          <w:szCs w:val="24"/>
        </w:rPr>
        <w:t>3</w:t>
      </w:r>
      <w:r w:rsidR="005F228D" w:rsidRPr="0093520F">
        <w:rPr>
          <w:rFonts w:ascii="Times New Roman" w:eastAsia="PMingLiU" w:hAnsi="Times New Roman" w:cs="Times New Roman"/>
          <w:sz w:val="24"/>
          <w:szCs w:val="24"/>
        </w:rPr>
        <w:t>]</w:t>
      </w:r>
      <w:r w:rsidR="005F228D" w:rsidRPr="0093520F">
        <w:rPr>
          <w:rFonts w:ascii="Times New Roman" w:eastAsia="PMingLiU" w:hAnsi="Times New Roman" w:cs="Times New Roman"/>
          <w:sz w:val="24"/>
          <w:szCs w:val="24"/>
        </w:rPr>
        <w:tab/>
      </w:r>
      <w:r w:rsidR="00181591" w:rsidRPr="0093520F">
        <w:rPr>
          <w:rFonts w:ascii="Times New Roman" w:eastAsia="PMingLiU" w:hAnsi="Times New Roman" w:cs="Times New Roman"/>
          <w:sz w:val="24"/>
          <w:szCs w:val="24"/>
        </w:rPr>
        <w:t>Weil, J.</w:t>
      </w:r>
      <w:r w:rsidR="00F37FD7" w:rsidRPr="0093520F">
        <w:rPr>
          <w:rFonts w:ascii="Times New Roman" w:eastAsia="PMingLiU" w:hAnsi="Times New Roman" w:cs="Times New Roman"/>
          <w:sz w:val="24"/>
          <w:szCs w:val="24"/>
        </w:rPr>
        <w:t xml:space="preserve"> (</w:t>
      </w:r>
      <w:r w:rsidR="00181591" w:rsidRPr="0093520F">
        <w:rPr>
          <w:rFonts w:ascii="Times New Roman" w:eastAsia="PMingLiU" w:hAnsi="Times New Roman" w:cs="Times New Roman"/>
          <w:sz w:val="24"/>
          <w:szCs w:val="24"/>
        </w:rPr>
        <w:t>2001</w:t>
      </w:r>
      <w:r w:rsidR="00F37FD7" w:rsidRPr="0093520F">
        <w:rPr>
          <w:rFonts w:ascii="Times New Roman" w:eastAsia="PMingLiU" w:hAnsi="Times New Roman" w:cs="Times New Roman"/>
          <w:sz w:val="24"/>
          <w:szCs w:val="24"/>
        </w:rPr>
        <w:t>)</w:t>
      </w:r>
      <w:r w:rsidR="00181591" w:rsidRPr="0093520F">
        <w:rPr>
          <w:rFonts w:ascii="Times New Roman" w:eastAsia="PMingLiU" w:hAnsi="Times New Roman" w:cs="Times New Roman"/>
          <w:sz w:val="24"/>
          <w:szCs w:val="24"/>
        </w:rPr>
        <w:t xml:space="preserve">. Companies pollute earnings reports leaving P/E ratios hard to calculate. </w:t>
      </w:r>
      <w:r w:rsidR="00181591" w:rsidRPr="0093520F">
        <w:rPr>
          <w:rFonts w:ascii="Times New Roman" w:eastAsia="PMingLiU" w:hAnsi="Times New Roman" w:cs="Times New Roman"/>
          <w:i/>
          <w:sz w:val="24"/>
          <w:szCs w:val="24"/>
        </w:rPr>
        <w:t>The Wall Street Journal</w:t>
      </w:r>
      <w:r w:rsidR="00181591" w:rsidRPr="0093520F">
        <w:rPr>
          <w:rFonts w:ascii="Times New Roman" w:eastAsia="PMingLiU" w:hAnsi="Times New Roman" w:cs="Times New Roman"/>
          <w:sz w:val="24"/>
          <w:szCs w:val="24"/>
        </w:rPr>
        <w:t>, August 21, 2001.</w:t>
      </w:r>
    </w:p>
    <w:p w:rsidR="00BA3EC7" w:rsidRPr="00D550F5" w:rsidRDefault="00950A72">
      <w:pPr>
        <w:widowControl w:val="0"/>
        <w:spacing w:before="120" w:after="120"/>
        <w:ind w:left="567" w:right="20" w:hanging="567"/>
        <w:jc w:val="both"/>
        <w:rPr>
          <w:rFonts w:ascii="Times New Roman" w:eastAsia="PMingLiU" w:hAnsi="Times New Roman" w:cs="Times New Roman"/>
          <w:sz w:val="24"/>
          <w:szCs w:val="24"/>
        </w:rPr>
      </w:pPr>
      <w:r w:rsidRPr="0093520F">
        <w:rPr>
          <w:rFonts w:ascii="Times New Roman" w:eastAsia="PMingLiU" w:hAnsi="Times New Roman" w:cs="Times New Roman"/>
          <w:sz w:val="24"/>
          <w:szCs w:val="24"/>
        </w:rPr>
        <w:t>[6</w:t>
      </w:r>
      <w:r w:rsidR="0093520F" w:rsidRPr="0093520F">
        <w:rPr>
          <w:rFonts w:ascii="Times New Roman" w:eastAsia="PMingLiU" w:hAnsi="Times New Roman" w:cs="Times New Roman"/>
          <w:sz w:val="24"/>
          <w:szCs w:val="24"/>
        </w:rPr>
        <w:t>4</w:t>
      </w:r>
      <w:r w:rsidRPr="0093520F">
        <w:rPr>
          <w:rFonts w:ascii="Times New Roman" w:eastAsia="PMingLiU" w:hAnsi="Times New Roman" w:cs="Times New Roman"/>
          <w:sz w:val="24"/>
          <w:szCs w:val="24"/>
        </w:rPr>
        <w:t>]</w:t>
      </w:r>
      <w:r w:rsidRPr="0093520F">
        <w:rPr>
          <w:rFonts w:ascii="Times New Roman" w:eastAsia="PMingLiU" w:hAnsi="Times New Roman" w:cs="Times New Roman"/>
          <w:sz w:val="24"/>
          <w:szCs w:val="24"/>
        </w:rPr>
        <w:tab/>
      </w:r>
      <w:r w:rsidR="00181591" w:rsidRPr="0093520F">
        <w:rPr>
          <w:rFonts w:ascii="Times New Roman" w:eastAsia="PMingLiU" w:hAnsi="Times New Roman" w:cs="Times New Roman"/>
          <w:sz w:val="24"/>
          <w:szCs w:val="24"/>
        </w:rPr>
        <w:t>Whipple</w:t>
      </w:r>
      <w:r w:rsidR="00181591" w:rsidRPr="00376653">
        <w:rPr>
          <w:rFonts w:ascii="Times New Roman" w:eastAsia="PMingLiU" w:hAnsi="Times New Roman" w:cs="Times New Roman"/>
          <w:sz w:val="24"/>
          <w:szCs w:val="24"/>
        </w:rPr>
        <w:t>, B.C.</w:t>
      </w:r>
      <w:r w:rsidR="00376653">
        <w:rPr>
          <w:rFonts w:ascii="Times New Roman" w:eastAsia="PMingLiU" w:hAnsi="Times New Roman" w:cs="Times New Roman"/>
          <w:sz w:val="24"/>
          <w:szCs w:val="24"/>
        </w:rPr>
        <w:t xml:space="preserve"> (20</w:t>
      </w:r>
      <w:r w:rsidR="002663BA">
        <w:rPr>
          <w:rFonts w:ascii="Times New Roman" w:eastAsia="PMingLiU" w:hAnsi="Times New Roman" w:cs="Times New Roman"/>
          <w:sz w:val="24"/>
          <w:szCs w:val="24"/>
        </w:rPr>
        <w:t>15</w:t>
      </w:r>
      <w:r w:rsidR="00376653">
        <w:rPr>
          <w:rFonts w:ascii="Times New Roman" w:eastAsia="PMingLiU" w:hAnsi="Times New Roman" w:cs="Times New Roman"/>
          <w:sz w:val="24"/>
          <w:szCs w:val="24"/>
        </w:rPr>
        <w:t xml:space="preserve">). </w:t>
      </w:r>
      <w:r w:rsidR="00181591" w:rsidRPr="00376653">
        <w:rPr>
          <w:rFonts w:ascii="Times New Roman" w:eastAsia="PMingLiU" w:hAnsi="Times New Roman" w:cs="Times New Roman"/>
          <w:sz w:val="24"/>
          <w:szCs w:val="24"/>
        </w:rPr>
        <w:t xml:space="preserve">The great unknown: Why exclude “other” Items from non-GAAP earnings </w:t>
      </w:r>
      <w:r w:rsidR="00181591" w:rsidRPr="00D550F5">
        <w:rPr>
          <w:rFonts w:ascii="Times New Roman" w:eastAsia="PMingLiU" w:hAnsi="Times New Roman" w:cs="Times New Roman"/>
          <w:sz w:val="24"/>
          <w:szCs w:val="24"/>
        </w:rPr>
        <w:t xml:space="preserve">calculations in the post-Reg G world? Available at SSRN: https://ssrn.com/abstract=2480663 </w:t>
      </w:r>
    </w:p>
    <w:p w:rsidR="003A763C" w:rsidRDefault="0093520F" w:rsidP="003A763C">
      <w:pPr>
        <w:widowControl w:val="0"/>
        <w:spacing w:before="120" w:after="120"/>
        <w:ind w:left="567" w:right="20" w:hanging="567"/>
        <w:jc w:val="both"/>
        <w:rPr>
          <w:rFonts w:ascii="Times New Roman" w:eastAsia="PMingLiU" w:hAnsi="Times New Roman" w:cs="Times New Roman"/>
          <w:sz w:val="24"/>
          <w:szCs w:val="24"/>
        </w:rPr>
      </w:pPr>
      <w:r w:rsidRPr="00D550F5">
        <w:rPr>
          <w:rFonts w:ascii="Times New Roman" w:eastAsia="PMingLiU" w:hAnsi="Times New Roman" w:cs="Times New Roman"/>
          <w:sz w:val="24"/>
          <w:szCs w:val="24"/>
        </w:rPr>
        <w:t>[65]</w:t>
      </w:r>
      <w:r w:rsidRPr="00D550F5">
        <w:rPr>
          <w:rFonts w:ascii="Times New Roman" w:eastAsia="PMingLiU" w:hAnsi="Times New Roman" w:cs="Times New Roman"/>
          <w:sz w:val="24"/>
          <w:szCs w:val="24"/>
        </w:rPr>
        <w:tab/>
      </w:r>
      <w:proofErr w:type="spellStart"/>
      <w:r w:rsidR="003A763C" w:rsidRPr="00D550F5">
        <w:rPr>
          <w:rFonts w:ascii="Times New Roman" w:eastAsia="PMingLiU" w:hAnsi="Times New Roman" w:cs="Times New Roman"/>
          <w:sz w:val="24"/>
          <w:szCs w:val="24"/>
        </w:rPr>
        <w:t>Wurgler</w:t>
      </w:r>
      <w:proofErr w:type="spellEnd"/>
      <w:r w:rsidR="003A763C" w:rsidRPr="00D550F5">
        <w:rPr>
          <w:rFonts w:ascii="Times New Roman" w:eastAsia="PMingLiU" w:hAnsi="Times New Roman" w:cs="Times New Roman"/>
          <w:sz w:val="24"/>
          <w:szCs w:val="24"/>
        </w:rPr>
        <w:t>, J</w:t>
      </w:r>
      <w:r w:rsidR="003A763C" w:rsidRPr="00D550F5">
        <w:rPr>
          <w:rFonts w:ascii="Times New Roman" w:eastAsia="PMingLiU" w:hAnsi="Times New Roman" w:cs="Times New Roman"/>
          <w:sz w:val="24"/>
          <w:szCs w:val="24"/>
        </w:rPr>
        <w:t>.</w:t>
      </w:r>
      <w:r w:rsidR="003A763C" w:rsidRPr="00D550F5">
        <w:rPr>
          <w:rFonts w:ascii="Times New Roman" w:eastAsia="PMingLiU" w:hAnsi="Times New Roman" w:cs="Times New Roman"/>
          <w:sz w:val="24"/>
          <w:szCs w:val="24"/>
        </w:rPr>
        <w:t xml:space="preserve"> </w:t>
      </w:r>
      <w:r w:rsidR="003A763C" w:rsidRPr="00D550F5">
        <w:rPr>
          <w:rFonts w:ascii="Times New Roman" w:eastAsia="PMingLiU" w:hAnsi="Times New Roman" w:cs="Times New Roman"/>
          <w:sz w:val="24"/>
          <w:szCs w:val="24"/>
        </w:rPr>
        <w:t>(</w:t>
      </w:r>
      <w:r w:rsidR="003A763C" w:rsidRPr="00D550F5">
        <w:rPr>
          <w:rFonts w:ascii="Times New Roman" w:eastAsia="PMingLiU" w:hAnsi="Times New Roman" w:cs="Times New Roman"/>
          <w:sz w:val="24"/>
          <w:szCs w:val="24"/>
        </w:rPr>
        <w:t>2011</w:t>
      </w:r>
      <w:r w:rsidR="003A763C" w:rsidRPr="00D550F5">
        <w:rPr>
          <w:rFonts w:ascii="Times New Roman" w:eastAsia="PMingLiU" w:hAnsi="Times New Roman" w:cs="Times New Roman"/>
          <w:sz w:val="24"/>
          <w:szCs w:val="24"/>
        </w:rPr>
        <w:t>).</w:t>
      </w:r>
      <w:r w:rsidR="003A763C" w:rsidRPr="00D550F5">
        <w:rPr>
          <w:rFonts w:ascii="Times New Roman" w:eastAsia="PMingLiU" w:hAnsi="Times New Roman" w:cs="Times New Roman"/>
          <w:sz w:val="24"/>
          <w:szCs w:val="24"/>
        </w:rPr>
        <w:t xml:space="preserve"> On the Economic Consequences of Index-Linked Investing, in Gerald</w:t>
      </w:r>
      <w:r w:rsidR="003A763C" w:rsidRPr="00D550F5">
        <w:rPr>
          <w:rFonts w:ascii="Times New Roman" w:eastAsia="PMingLiU" w:hAnsi="Times New Roman" w:cs="Times New Roman"/>
          <w:sz w:val="24"/>
          <w:szCs w:val="24"/>
        </w:rPr>
        <w:t xml:space="preserve"> </w:t>
      </w:r>
      <w:r w:rsidR="003A763C" w:rsidRPr="00D550F5">
        <w:rPr>
          <w:rFonts w:ascii="Times New Roman" w:eastAsia="PMingLiU" w:hAnsi="Times New Roman" w:cs="Times New Roman"/>
          <w:sz w:val="24"/>
          <w:szCs w:val="24"/>
        </w:rPr>
        <w:t>Rosenfeld,</w:t>
      </w:r>
      <w:r w:rsidR="003A763C" w:rsidRPr="003A763C">
        <w:rPr>
          <w:rFonts w:ascii="Times New Roman" w:eastAsia="PMingLiU" w:hAnsi="Times New Roman" w:cs="Times New Roman"/>
          <w:sz w:val="24"/>
          <w:szCs w:val="24"/>
        </w:rPr>
        <w:t xml:space="preserve"> Jay W. Lorsch, and Rakesh Khurana, eds.: </w:t>
      </w:r>
      <w:r w:rsidR="003A763C" w:rsidRPr="002D05A7">
        <w:rPr>
          <w:rFonts w:ascii="Times New Roman" w:eastAsia="PMingLiU" w:hAnsi="Times New Roman" w:cs="Times New Roman"/>
          <w:i/>
          <w:sz w:val="24"/>
          <w:szCs w:val="24"/>
        </w:rPr>
        <w:t>Challenges to Business in the Twenty–First</w:t>
      </w:r>
      <w:r w:rsidR="003A763C" w:rsidRPr="002D05A7">
        <w:rPr>
          <w:rFonts w:ascii="Times New Roman" w:eastAsia="PMingLiU" w:hAnsi="Times New Roman" w:cs="Times New Roman"/>
          <w:i/>
          <w:sz w:val="24"/>
          <w:szCs w:val="24"/>
        </w:rPr>
        <w:t xml:space="preserve"> </w:t>
      </w:r>
      <w:r w:rsidR="003A763C" w:rsidRPr="002D05A7">
        <w:rPr>
          <w:rFonts w:ascii="Times New Roman" w:eastAsia="PMingLiU" w:hAnsi="Times New Roman" w:cs="Times New Roman"/>
          <w:i/>
          <w:sz w:val="24"/>
          <w:szCs w:val="24"/>
        </w:rPr>
        <w:t>Century</w:t>
      </w:r>
      <w:r w:rsidR="003A763C" w:rsidRPr="003A763C">
        <w:rPr>
          <w:rFonts w:ascii="Times New Roman" w:eastAsia="PMingLiU" w:hAnsi="Times New Roman" w:cs="Times New Roman"/>
          <w:sz w:val="24"/>
          <w:szCs w:val="24"/>
        </w:rPr>
        <w:t xml:space="preserve"> (American Academy of Arts and Sciences, Cambridge, MA).</w:t>
      </w:r>
      <w:r w:rsidR="003A763C" w:rsidRPr="003A763C">
        <w:rPr>
          <w:rFonts w:ascii="Times New Roman" w:eastAsia="PMingLiU" w:hAnsi="Times New Roman" w:cs="Times New Roman"/>
          <w:sz w:val="24"/>
          <w:szCs w:val="24"/>
        </w:rPr>
        <w:t xml:space="preserve"> </w:t>
      </w:r>
    </w:p>
    <w:p w:rsidR="00BA3EC7" w:rsidRDefault="00781F5E" w:rsidP="003A763C">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[6</w:t>
      </w:r>
      <w:r w:rsidR="00D550F5">
        <w:rPr>
          <w:rFonts w:ascii="Times New Roman" w:eastAsia="PMingLiU" w:hAnsi="Times New Roman" w:cs="Times New Roman"/>
          <w:sz w:val="24"/>
          <w:szCs w:val="24"/>
        </w:rPr>
        <w:t>6</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sidRPr="00376653">
        <w:rPr>
          <w:rFonts w:ascii="Times New Roman" w:eastAsia="PMingLiU" w:hAnsi="Times New Roman" w:cs="Times New Roman"/>
          <w:sz w:val="24"/>
          <w:szCs w:val="24"/>
        </w:rPr>
        <w:t xml:space="preserve">Yang, F., </w:t>
      </w:r>
      <w:r w:rsidR="00D13184" w:rsidRPr="00376653">
        <w:rPr>
          <w:rFonts w:ascii="Times New Roman" w:eastAsia="PMingLiU" w:hAnsi="Times New Roman" w:cs="Times New Roman"/>
          <w:sz w:val="24"/>
          <w:szCs w:val="24"/>
        </w:rPr>
        <w:t xml:space="preserve">&amp; </w:t>
      </w:r>
      <w:proofErr w:type="spellStart"/>
      <w:r w:rsidR="00181591" w:rsidRPr="00376653">
        <w:rPr>
          <w:rFonts w:ascii="Times New Roman" w:eastAsia="PMingLiU" w:hAnsi="Times New Roman" w:cs="Times New Roman"/>
          <w:sz w:val="24"/>
          <w:szCs w:val="24"/>
        </w:rPr>
        <w:t>Morck</w:t>
      </w:r>
      <w:proofErr w:type="spellEnd"/>
      <w:r w:rsidR="00181591" w:rsidRPr="00376653">
        <w:rPr>
          <w:rFonts w:ascii="Times New Roman" w:eastAsia="PMingLiU" w:hAnsi="Times New Roman" w:cs="Times New Roman"/>
          <w:sz w:val="24"/>
          <w:szCs w:val="24"/>
        </w:rPr>
        <w:t>, R.</w:t>
      </w:r>
      <w:r w:rsidR="00D13184" w:rsidRPr="00376653">
        <w:rPr>
          <w:rFonts w:ascii="Times New Roman" w:eastAsia="PMingLiU" w:hAnsi="Times New Roman" w:cs="Times New Roman"/>
          <w:sz w:val="24"/>
          <w:szCs w:val="24"/>
        </w:rPr>
        <w:t xml:space="preserve"> (</w:t>
      </w:r>
      <w:r w:rsidR="00181591" w:rsidRPr="00376653">
        <w:rPr>
          <w:rFonts w:ascii="Times New Roman" w:eastAsia="PMingLiU" w:hAnsi="Times New Roman" w:cs="Times New Roman"/>
          <w:sz w:val="24"/>
          <w:szCs w:val="24"/>
        </w:rPr>
        <w:t>2001</w:t>
      </w:r>
      <w:r w:rsidR="00D13184" w:rsidRPr="00376653">
        <w:rPr>
          <w:rFonts w:ascii="Times New Roman" w:eastAsia="PMingLiU" w:hAnsi="Times New Roman" w:cs="Times New Roman"/>
          <w:sz w:val="24"/>
          <w:szCs w:val="24"/>
        </w:rPr>
        <w:t>)</w:t>
      </w:r>
      <w:r w:rsidR="00181591" w:rsidRPr="00376653">
        <w:rPr>
          <w:rFonts w:ascii="Times New Roman" w:eastAsia="PMingLiU" w:hAnsi="Times New Roman" w:cs="Times New Roman"/>
          <w:sz w:val="24"/>
          <w:szCs w:val="24"/>
        </w:rPr>
        <w:t>. The mysterious growing value of S&amp;P 500 membership. Working Paper.</w:t>
      </w:r>
      <w:r w:rsidR="00376653" w:rsidRPr="00376653">
        <w:rPr>
          <w:rFonts w:ascii="Times New Roman" w:eastAsia="PMingLiU" w:hAnsi="Times New Roman" w:cs="Times New Roman"/>
          <w:sz w:val="24"/>
          <w:szCs w:val="24"/>
        </w:rPr>
        <w:t xml:space="preserve"> </w:t>
      </w:r>
      <w:r w:rsidR="00376653" w:rsidRPr="00F94EAD">
        <w:rPr>
          <w:rFonts w:ascii="Times New Roman" w:eastAsia="PMingLiU" w:hAnsi="Times New Roman" w:cs="Times New Roman"/>
          <w:sz w:val="24"/>
          <w:szCs w:val="24"/>
        </w:rPr>
        <w:t xml:space="preserve">Available at NBER: </w:t>
      </w:r>
      <w:hyperlink r:id="rId13" w:history="1">
        <w:r w:rsidR="00376653" w:rsidRPr="00F94EAD">
          <w:rPr>
            <w:rFonts w:ascii="Times New Roman" w:eastAsia="PMingLiU" w:hAnsi="Times New Roman" w:cs="Times New Roman"/>
            <w:sz w:val="24"/>
            <w:szCs w:val="24"/>
          </w:rPr>
          <w:t>https://www.nber.org/papers/w8654</w:t>
        </w:r>
      </w:hyperlink>
    </w:p>
    <w:p w:rsidR="00BA3EC7" w:rsidRDefault="007900CB">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[6</w:t>
      </w:r>
      <w:r w:rsidR="00D550F5">
        <w:rPr>
          <w:rFonts w:ascii="Times New Roman" w:eastAsia="PMingLiU" w:hAnsi="Times New Roman" w:cs="Times New Roman"/>
          <w:sz w:val="24"/>
          <w:szCs w:val="24"/>
        </w:rPr>
        <w:t>7</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Zhang, X.F.</w:t>
      </w:r>
      <w:r w:rsidR="00D13184">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2006</w:t>
      </w:r>
      <w:r w:rsidR="00D13184">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Information uncertainty and analyst forecast </w:t>
      </w:r>
      <w:proofErr w:type="spellStart"/>
      <w:r w:rsidR="00181591">
        <w:rPr>
          <w:rFonts w:ascii="Times New Roman" w:eastAsia="PMingLiU" w:hAnsi="Times New Roman" w:cs="Times New Roman"/>
          <w:sz w:val="24"/>
          <w:szCs w:val="24"/>
        </w:rPr>
        <w:t>behavior</w:t>
      </w:r>
      <w:proofErr w:type="spellEnd"/>
      <w:r w:rsidR="00181591">
        <w:rPr>
          <w:rFonts w:ascii="Times New Roman" w:eastAsia="PMingLiU" w:hAnsi="Times New Roman" w:cs="Times New Roman"/>
          <w:sz w:val="24"/>
          <w:szCs w:val="24"/>
        </w:rPr>
        <w:t xml:space="preserve">. </w:t>
      </w:r>
      <w:r w:rsidR="00181591">
        <w:rPr>
          <w:rFonts w:ascii="Times New Roman" w:eastAsia="PMingLiU" w:hAnsi="Times New Roman" w:cs="Times New Roman"/>
          <w:i/>
          <w:sz w:val="24"/>
          <w:szCs w:val="24"/>
        </w:rPr>
        <w:t>Contemporary Accounting Research</w:t>
      </w:r>
      <w:r w:rsidR="00D13184">
        <w:rPr>
          <w:rFonts w:ascii="Times New Roman" w:eastAsia="PMingLiU" w:hAnsi="Times New Roman" w:cs="Times New Roman"/>
          <w:i/>
          <w:sz w:val="24"/>
          <w:szCs w:val="24"/>
        </w:rPr>
        <w:t>, 23</w:t>
      </w:r>
      <w:r w:rsidR="00181591">
        <w:rPr>
          <w:rFonts w:ascii="Times New Roman" w:eastAsia="PMingLiU" w:hAnsi="Times New Roman" w:cs="Times New Roman"/>
          <w:sz w:val="24"/>
          <w:szCs w:val="24"/>
        </w:rPr>
        <w:t>(2), 565-590.</w:t>
      </w:r>
    </w:p>
    <w:p w:rsidR="00BA3EC7" w:rsidRDefault="00A75EEC">
      <w:pPr>
        <w:widowControl w:val="0"/>
        <w:spacing w:before="120" w:after="120"/>
        <w:ind w:left="567" w:right="20" w:hanging="567"/>
        <w:jc w:val="both"/>
        <w:rPr>
          <w:rFonts w:ascii="Times New Roman" w:eastAsia="PMingLiU" w:hAnsi="Times New Roman" w:cs="Times New Roman"/>
          <w:sz w:val="24"/>
          <w:szCs w:val="24"/>
        </w:rPr>
      </w:pPr>
      <w:r>
        <w:rPr>
          <w:rFonts w:ascii="Times New Roman" w:eastAsia="PMingLiU" w:hAnsi="Times New Roman" w:cs="Times New Roman"/>
          <w:sz w:val="24"/>
          <w:szCs w:val="24"/>
        </w:rPr>
        <w:t>[6</w:t>
      </w:r>
      <w:r w:rsidR="00D550F5">
        <w:rPr>
          <w:rFonts w:ascii="Times New Roman" w:eastAsia="PMingLiU" w:hAnsi="Times New Roman" w:cs="Times New Roman"/>
          <w:sz w:val="24"/>
          <w:szCs w:val="24"/>
        </w:rPr>
        <w:t>8</w:t>
      </w:r>
      <w:r>
        <w:rPr>
          <w:rFonts w:ascii="Times New Roman" w:eastAsia="PMingLiU" w:hAnsi="Times New Roman" w:cs="Times New Roman"/>
          <w:sz w:val="24"/>
          <w:szCs w:val="24"/>
        </w:rPr>
        <w:t>]</w:t>
      </w:r>
      <w:r>
        <w:rPr>
          <w:rFonts w:ascii="Times New Roman" w:eastAsia="PMingLiU" w:hAnsi="Times New Roman" w:cs="Times New Roman"/>
          <w:sz w:val="24"/>
          <w:szCs w:val="24"/>
        </w:rPr>
        <w:tab/>
      </w:r>
      <w:r w:rsidR="00181591">
        <w:rPr>
          <w:rFonts w:ascii="Times New Roman" w:eastAsia="PMingLiU" w:hAnsi="Times New Roman" w:cs="Times New Roman"/>
          <w:sz w:val="24"/>
          <w:szCs w:val="24"/>
        </w:rPr>
        <w:t>Zhang, H.,</w:t>
      </w:r>
      <w:r w:rsidR="00D13184">
        <w:rPr>
          <w:rFonts w:ascii="Times New Roman" w:eastAsia="PMingLiU" w:hAnsi="Times New Roman" w:cs="Times New Roman"/>
          <w:sz w:val="24"/>
          <w:szCs w:val="24"/>
        </w:rPr>
        <w:t xml:space="preserve"> &amp;</w:t>
      </w:r>
      <w:r w:rsidR="00181591">
        <w:rPr>
          <w:rFonts w:ascii="Times New Roman" w:eastAsia="PMingLiU" w:hAnsi="Times New Roman" w:cs="Times New Roman"/>
          <w:sz w:val="24"/>
          <w:szCs w:val="24"/>
        </w:rPr>
        <w:t xml:space="preserve"> Zheng, L.</w:t>
      </w:r>
      <w:r w:rsidR="00D13184">
        <w:rPr>
          <w:rFonts w:ascii="Times New Roman" w:eastAsia="PMingLiU" w:hAnsi="Times New Roman" w:cs="Times New Roman"/>
          <w:sz w:val="24"/>
          <w:szCs w:val="24"/>
        </w:rPr>
        <w:t xml:space="preserve"> (</w:t>
      </w:r>
      <w:r w:rsidR="00181591">
        <w:rPr>
          <w:rFonts w:ascii="Times New Roman" w:eastAsia="PMingLiU" w:hAnsi="Times New Roman" w:cs="Times New Roman"/>
          <w:sz w:val="24"/>
          <w:szCs w:val="24"/>
        </w:rPr>
        <w:t>2011</w:t>
      </w:r>
      <w:r w:rsidR="00D13184">
        <w:rPr>
          <w:rFonts w:ascii="Times New Roman" w:eastAsia="PMingLiU" w:hAnsi="Times New Roman" w:cs="Times New Roman"/>
          <w:sz w:val="24"/>
          <w:szCs w:val="24"/>
        </w:rPr>
        <w:t>)</w:t>
      </w:r>
      <w:r w:rsidR="00181591">
        <w:rPr>
          <w:rFonts w:ascii="Times New Roman" w:eastAsia="PMingLiU" w:hAnsi="Times New Roman" w:cs="Times New Roman"/>
          <w:sz w:val="24"/>
          <w:szCs w:val="24"/>
        </w:rPr>
        <w:t xml:space="preserve">. The valuation impact of reconciling pro forma earnings to GAAP earnings. </w:t>
      </w:r>
      <w:r w:rsidR="00181591">
        <w:rPr>
          <w:rFonts w:ascii="Times New Roman" w:eastAsia="PMingLiU" w:hAnsi="Times New Roman" w:cs="Times New Roman"/>
          <w:i/>
          <w:sz w:val="24"/>
          <w:szCs w:val="24"/>
        </w:rPr>
        <w:t>Journal of Accounting and Economics</w:t>
      </w:r>
      <w:r w:rsidR="00D13184">
        <w:rPr>
          <w:rFonts w:ascii="Times New Roman" w:eastAsia="PMingLiU" w:hAnsi="Times New Roman" w:cs="Times New Roman"/>
          <w:i/>
          <w:sz w:val="24"/>
          <w:szCs w:val="24"/>
        </w:rPr>
        <w:t>, 51</w:t>
      </w:r>
      <w:r w:rsidR="00181591">
        <w:rPr>
          <w:rFonts w:ascii="Times New Roman" w:eastAsia="PMingLiU" w:hAnsi="Times New Roman" w:cs="Times New Roman"/>
          <w:sz w:val="24"/>
          <w:szCs w:val="24"/>
        </w:rPr>
        <w:t>(1), 186-202.</w:t>
      </w:r>
    </w:p>
    <w:p w:rsidR="00BA3EC7" w:rsidRDefault="00BA3EC7">
      <w:pPr>
        <w:widowControl w:val="0"/>
        <w:spacing w:before="120" w:after="120"/>
        <w:ind w:left="567" w:right="20" w:hanging="567"/>
        <w:jc w:val="both"/>
        <w:rPr>
          <w:rFonts w:ascii="Times New Roman" w:hAnsi="Times New Roman" w:cs="Times New Roman"/>
          <w:sz w:val="24"/>
          <w:szCs w:val="24"/>
        </w:rPr>
      </w:pPr>
    </w:p>
    <w:p w:rsidR="00BA3EC7" w:rsidRDefault="00BA3EC7">
      <w:pPr>
        <w:widowControl w:val="0"/>
        <w:spacing w:before="120" w:after="120"/>
        <w:ind w:left="567" w:right="20" w:hanging="567"/>
        <w:jc w:val="both"/>
        <w:rPr>
          <w:rFonts w:ascii="Times New Roman" w:hAnsi="Times New Roman" w:cs="Times New Roman"/>
          <w:sz w:val="24"/>
          <w:szCs w:val="24"/>
        </w:rPr>
      </w:pPr>
    </w:p>
    <w:p w:rsidR="00BA3EC7" w:rsidRDefault="00BA3EC7">
      <w:pPr>
        <w:widowControl w:val="0"/>
        <w:spacing w:before="120" w:after="120"/>
        <w:ind w:left="567" w:right="20" w:hanging="567"/>
        <w:jc w:val="both"/>
        <w:rPr>
          <w:rFonts w:ascii="Times New Roman" w:hAnsi="Times New Roman" w:cs="Times New Roman"/>
          <w:sz w:val="24"/>
          <w:szCs w:val="24"/>
        </w:rPr>
        <w:sectPr w:rsidR="00BA3EC7">
          <w:footerReference w:type="default" r:id="rId14"/>
          <w:pgSz w:w="11906" w:h="16838"/>
          <w:pgMar w:top="1440" w:right="1440" w:bottom="1440" w:left="1440" w:header="0" w:footer="708" w:gutter="0"/>
          <w:cols w:space="720"/>
          <w:formProt w:val="0"/>
          <w:docGrid w:linePitch="360" w:charSpace="4096"/>
        </w:sectPr>
      </w:pPr>
    </w:p>
    <w:p w:rsidR="00B9661D" w:rsidRDefault="00181591" w:rsidP="00B9661D">
      <w:pPr>
        <w:pStyle w:val="tableform"/>
        <w:spacing w:before="0" w:line="240" w:lineRule="auto"/>
        <w:ind w:left="0" w:hanging="851"/>
        <w:rPr>
          <w:rStyle w:val="SubtleEmphasis"/>
          <w:i w:val="0"/>
          <w:color w:val="auto"/>
        </w:rPr>
      </w:pPr>
      <w:r>
        <w:rPr>
          <w:rStyle w:val="SubtleEmphasis"/>
          <w:i w:val="0"/>
          <w:color w:val="auto"/>
        </w:rPr>
        <w:lastRenderedPageBreak/>
        <w:t xml:space="preserve"> </w:t>
      </w:r>
      <w:r w:rsidR="00B9661D" w:rsidRPr="00712300">
        <w:rPr>
          <w:rStyle w:val="SubtleEmphasis"/>
          <w:color w:val="auto"/>
        </w:rPr>
        <w:t>Table 1. Descriptive statistics</w:t>
      </w:r>
    </w:p>
    <w:tbl>
      <w:tblPr>
        <w:tblW w:w="10893" w:type="dxa"/>
        <w:tblInd w:w="-917" w:type="dxa"/>
        <w:tblLook w:val="04A0" w:firstRow="1" w:lastRow="0" w:firstColumn="1" w:lastColumn="0" w:noHBand="0" w:noVBand="1"/>
      </w:tblPr>
      <w:tblGrid>
        <w:gridCol w:w="1167"/>
        <w:gridCol w:w="960"/>
        <w:gridCol w:w="960"/>
        <w:gridCol w:w="960"/>
        <w:gridCol w:w="960"/>
        <w:gridCol w:w="960"/>
        <w:gridCol w:w="960"/>
        <w:gridCol w:w="1084"/>
        <w:gridCol w:w="962"/>
        <w:gridCol w:w="960"/>
        <w:gridCol w:w="960"/>
      </w:tblGrid>
      <w:tr w:rsidR="00B9661D" w:rsidRPr="008D6541" w:rsidTr="00233609">
        <w:trPr>
          <w:trHeight w:val="300"/>
        </w:trPr>
        <w:tc>
          <w:tcPr>
            <w:tcW w:w="10893" w:type="dxa"/>
            <w:gridSpan w:val="11"/>
            <w:tcBorders>
              <w:top w:val="nil"/>
              <w:left w:val="nil"/>
              <w:bottom w:val="single" w:sz="4" w:space="0" w:color="auto"/>
              <w:right w:val="nil"/>
            </w:tcBorders>
            <w:shd w:val="clear" w:color="auto" w:fill="auto"/>
            <w:noWrap/>
            <w:vAlign w:val="bottom"/>
          </w:tcPr>
          <w:p w:rsidR="00B9661D" w:rsidRPr="008D6541" w:rsidRDefault="00B9661D" w:rsidP="00233609">
            <w:pPr>
              <w:spacing w:after="0"/>
              <w:jc w:val="both"/>
              <w:rPr>
                <w:rFonts w:ascii="Times New Roman" w:hAnsi="Times New Roman" w:cs="Times New Roman"/>
              </w:rPr>
            </w:pPr>
            <w:r w:rsidRPr="008D6541">
              <w:rPr>
                <w:rFonts w:ascii="Times New Roman" w:eastAsia="Times New Roman" w:hAnsi="Times New Roman" w:cs="Times New Roman"/>
              </w:rPr>
              <w:t>This table shows descriptive statistics for the market-to-book (</w:t>
            </w:r>
            <w:r w:rsidRPr="008D6541">
              <w:rPr>
                <w:rFonts w:ascii="Times New Roman" w:eastAsia="Times New Roman" w:hAnsi="Times New Roman" w:cs="Times New Roman"/>
                <w:i/>
              </w:rPr>
              <w:t>MTB</w:t>
            </w:r>
            <w:r w:rsidRPr="008D6541">
              <w:rPr>
                <w:rFonts w:ascii="Times New Roman" w:eastAsia="Times New Roman" w:hAnsi="Times New Roman" w:cs="Times New Roman"/>
              </w:rPr>
              <w:t xml:space="preserve">) ratio, the </w:t>
            </w:r>
            <w:r>
              <w:rPr>
                <w:rFonts w:ascii="Times New Roman" w:eastAsia="Times New Roman" w:hAnsi="Times New Roman" w:cs="Times New Roman"/>
              </w:rPr>
              <w:t>two</w:t>
            </w:r>
            <w:r w:rsidRPr="008D6541">
              <w:rPr>
                <w:rFonts w:ascii="Times New Roman" w:eastAsia="Times New Roman" w:hAnsi="Times New Roman" w:cs="Times New Roman"/>
              </w:rPr>
              <w:t xml:space="preserve"> pro forma measures, and the control variables used in our regression models. The sample period of firm-quarter observations is from Q1</w:t>
            </w:r>
            <w:r>
              <w:rPr>
                <w:rFonts w:ascii="Times New Roman" w:eastAsia="Times New Roman" w:hAnsi="Times New Roman" w:cs="Times New Roman"/>
              </w:rPr>
              <w:t>/</w:t>
            </w:r>
            <w:r w:rsidRPr="008D6541">
              <w:rPr>
                <w:rFonts w:ascii="Times New Roman" w:eastAsia="Times New Roman" w:hAnsi="Times New Roman" w:cs="Times New Roman"/>
              </w:rPr>
              <w:t>2011 to Q1</w:t>
            </w:r>
            <w:r>
              <w:rPr>
                <w:rFonts w:ascii="Times New Roman" w:eastAsia="Times New Roman" w:hAnsi="Times New Roman" w:cs="Times New Roman"/>
              </w:rPr>
              <w:t>/</w:t>
            </w:r>
            <w:r w:rsidRPr="008D6541">
              <w:rPr>
                <w:rFonts w:ascii="Times New Roman" w:eastAsia="Times New Roman" w:hAnsi="Times New Roman" w:cs="Times New Roman"/>
              </w:rPr>
              <w:t xml:space="preserve">2017. </w:t>
            </w:r>
            <w:r w:rsidRPr="008D6541">
              <w:rPr>
                <w:rFonts w:ascii="Times New Roman" w:eastAsia="Times New Roman" w:hAnsi="Times New Roman" w:cs="Times New Roman"/>
                <w:i/>
              </w:rPr>
              <w:t>MTB</w:t>
            </w:r>
            <w:r w:rsidRPr="008D6541">
              <w:rPr>
                <w:rFonts w:ascii="Times New Roman" w:eastAsia="Times New Roman" w:hAnsi="Times New Roman" w:cs="Times New Roman"/>
              </w:rPr>
              <w:t xml:space="preserve"> is the market-to-book ratio, </w:t>
            </w:r>
            <w:r w:rsidRPr="008D6541">
              <w:rPr>
                <w:rFonts w:ascii="Times New Roman" w:eastAsia="Times New Roman" w:hAnsi="Times New Roman" w:cs="Times New Roman"/>
                <w:i/>
              </w:rPr>
              <w:t>EPS_PF</w:t>
            </w:r>
            <w:r w:rsidRPr="008D6541">
              <w:rPr>
                <w:rFonts w:ascii="Times New Roman" w:eastAsia="Times New Roman" w:hAnsi="Times New Roman" w:cs="Times New Roman"/>
              </w:rPr>
              <w:t xml:space="preserve"> is a dummy variable taking the value of 1 if a firm discloses pro forma earnings in a given quarter, and 0 otherwise, </w:t>
            </w:r>
            <w:r w:rsidRPr="008D6541">
              <w:rPr>
                <w:rFonts w:ascii="Times New Roman" w:eastAsia="Times New Roman" w:hAnsi="Times New Roman" w:cs="Times New Roman"/>
                <w:i/>
              </w:rPr>
              <w:t>EPS_MB</w:t>
            </w:r>
            <w:r w:rsidRPr="008D6541">
              <w:rPr>
                <w:rFonts w:ascii="Times New Roman" w:eastAsia="Times New Roman" w:hAnsi="Times New Roman" w:cs="Times New Roman"/>
              </w:rPr>
              <w:t xml:space="preserve"> is a dummy variable taking the value of 1 if a firm discloses pro forma earnings in a given quarter that meet or beat analyst earnings </w:t>
            </w:r>
            <w:r w:rsidRPr="004B2D18">
              <w:rPr>
                <w:rFonts w:ascii="Times New Roman" w:eastAsia="Times New Roman" w:hAnsi="Times New Roman" w:cs="Times New Roman"/>
              </w:rPr>
              <w:t xml:space="preserve">forecasts while GAAP operating profit falls short of forecasts, and 0 otherwise, </w:t>
            </w:r>
            <w:r w:rsidRPr="004B2D18">
              <w:rPr>
                <w:rFonts w:ascii="Times New Roman" w:eastAsia="Times New Roman" w:hAnsi="Times New Roman" w:cs="Times New Roman"/>
                <w:i/>
              </w:rPr>
              <w:t>DISP</w:t>
            </w:r>
            <w:r w:rsidRPr="004B2D18">
              <w:rPr>
                <w:rFonts w:ascii="Times New Roman" w:eastAsia="Times New Roman" w:hAnsi="Times New Roman" w:cs="Times New Roman"/>
              </w:rPr>
              <w:t xml:space="preserve"> is the standard deviation of analyst earnings forecasts scaled by the consensus mean earnings forecast, </w:t>
            </w:r>
            <w:r w:rsidRPr="004B2D18">
              <w:rPr>
                <w:rFonts w:ascii="Times New Roman" w:eastAsia="Times New Roman" w:hAnsi="Times New Roman" w:cs="Times New Roman"/>
                <w:i/>
              </w:rPr>
              <w:t>SIZE</w:t>
            </w:r>
            <w:r w:rsidRPr="004B2D18">
              <w:rPr>
                <w:rFonts w:ascii="Times New Roman" w:eastAsia="Times New Roman" w:hAnsi="Times New Roman" w:cs="Times New Roman"/>
              </w:rPr>
              <w:t xml:space="preserve"> is firm size measured as market value of equity, </w:t>
            </w:r>
            <w:r w:rsidRPr="004B2D18">
              <w:rPr>
                <w:rFonts w:ascii="Times New Roman" w:eastAsia="Times New Roman" w:hAnsi="Times New Roman" w:cs="Times New Roman"/>
                <w:i/>
              </w:rPr>
              <w:t>LEV</w:t>
            </w:r>
            <w:r w:rsidRPr="004B2D18">
              <w:rPr>
                <w:rFonts w:ascii="Times New Roman" w:eastAsia="Times New Roman" w:hAnsi="Times New Roman" w:cs="Times New Roman"/>
              </w:rPr>
              <w:t xml:space="preserve"> is leverage measured as total debt to total equity, </w:t>
            </w:r>
            <w:r w:rsidRPr="004B2D18">
              <w:rPr>
                <w:rFonts w:ascii="Times New Roman" w:eastAsia="Times New Roman" w:hAnsi="Times New Roman" w:cs="Times New Roman"/>
                <w:i/>
              </w:rPr>
              <w:t>VOLA</w:t>
            </w:r>
            <w:r w:rsidRPr="004B2D18">
              <w:rPr>
                <w:rFonts w:ascii="Times New Roman" w:eastAsia="Times New Roman" w:hAnsi="Times New Roman" w:cs="Times New Roman"/>
              </w:rPr>
              <w:t xml:space="preserve"> is the firm’s average return on assets volatility over the past</w:t>
            </w:r>
            <w:r w:rsidRPr="008D6541">
              <w:rPr>
                <w:rFonts w:ascii="Times New Roman" w:eastAsia="Times New Roman" w:hAnsi="Times New Roman" w:cs="Times New Roman"/>
              </w:rPr>
              <w:t xml:space="preserve"> 5 years, </w:t>
            </w:r>
            <w:r w:rsidRPr="008D6541">
              <w:rPr>
                <w:rFonts w:ascii="Times New Roman" w:eastAsia="Times New Roman" w:hAnsi="Times New Roman" w:cs="Times New Roman"/>
                <w:i/>
              </w:rPr>
              <w:t>AF</w:t>
            </w:r>
            <w:r w:rsidRPr="008D6541">
              <w:rPr>
                <w:rFonts w:ascii="Times New Roman" w:eastAsia="Times New Roman" w:hAnsi="Times New Roman" w:cs="Times New Roman"/>
              </w:rPr>
              <w:t xml:space="preserve"> is the number of analysts following the firm. </w:t>
            </w:r>
            <w:r w:rsidRPr="008D6541">
              <w:rPr>
                <w:rFonts w:ascii="Times New Roman" w:hAnsi="Times New Roman" w:cs="Times New Roman"/>
              </w:rPr>
              <w:t xml:space="preserve">All of the firm-specific variables are </w:t>
            </w:r>
            <w:proofErr w:type="spellStart"/>
            <w:r w:rsidRPr="008D6541">
              <w:rPr>
                <w:rFonts w:ascii="Times New Roman" w:hAnsi="Times New Roman" w:cs="Times New Roman"/>
              </w:rPr>
              <w:t>winsorized</w:t>
            </w:r>
            <w:proofErr w:type="spellEnd"/>
            <w:r w:rsidRPr="008D6541">
              <w:rPr>
                <w:rFonts w:ascii="Times New Roman" w:hAnsi="Times New Roman" w:cs="Times New Roman"/>
              </w:rPr>
              <w:t xml:space="preserve"> at the 1% and 99% levels.</w:t>
            </w:r>
            <w:r w:rsidRPr="008D6541">
              <w:rPr>
                <w:rFonts w:ascii="Times New Roman" w:hAnsi="Times New Roman" w:cs="Times New Roman"/>
                <w:i/>
              </w:rPr>
              <w:t xml:space="preserve"> t</w:t>
            </w:r>
            <w:r w:rsidRPr="008D6541">
              <w:rPr>
                <w:rFonts w:ascii="Times New Roman" w:hAnsi="Times New Roman" w:cs="Times New Roman"/>
              </w:rPr>
              <w:t>-statistics are reported in parentheses under the estimation coefficient. ***, **, and * denote significance levels 1%, 5%, and 10%, respectively.</w:t>
            </w:r>
          </w:p>
          <w:p w:rsidR="00B9661D" w:rsidRPr="008D6541" w:rsidRDefault="00B9661D" w:rsidP="00233609">
            <w:pPr>
              <w:spacing w:after="0" w:line="240" w:lineRule="auto"/>
              <w:jc w:val="center"/>
              <w:rPr>
                <w:rFonts w:ascii="Times New Roman" w:eastAsia="Times New Roman" w:hAnsi="Times New Roman" w:cs="Times New Roman"/>
                <w:color w:val="000000"/>
              </w:rPr>
            </w:pPr>
          </w:p>
        </w:tc>
      </w:tr>
      <w:tr w:rsidR="00B9661D" w:rsidRPr="008D6541" w:rsidTr="00233609">
        <w:trPr>
          <w:trHeight w:val="300"/>
        </w:trPr>
        <w:tc>
          <w:tcPr>
            <w:tcW w:w="1167"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sz w:val="20"/>
                <w:szCs w:val="20"/>
              </w:rPr>
            </w:pP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Mean</w:t>
            </w: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Min</w:t>
            </w: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p25</w:t>
            </w: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Median</w:t>
            </w: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p75</w:t>
            </w: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Max</w:t>
            </w:r>
          </w:p>
        </w:tc>
        <w:tc>
          <w:tcPr>
            <w:tcW w:w="1084"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Skewness</w:t>
            </w:r>
          </w:p>
        </w:tc>
        <w:tc>
          <w:tcPr>
            <w:tcW w:w="962"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Kurtosis</w:t>
            </w: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St. dev.</w:t>
            </w:r>
          </w:p>
        </w:tc>
        <w:tc>
          <w:tcPr>
            <w:tcW w:w="960" w:type="dxa"/>
            <w:tcBorders>
              <w:top w:val="single" w:sz="4" w:space="0" w:color="auto"/>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Obs.</w:t>
            </w:r>
          </w:p>
        </w:tc>
      </w:tr>
      <w:tr w:rsidR="00B9661D" w:rsidRPr="008D6541" w:rsidTr="00233609">
        <w:trPr>
          <w:trHeight w:val="300"/>
        </w:trPr>
        <w:tc>
          <w:tcPr>
            <w:tcW w:w="1167" w:type="dxa"/>
            <w:tcBorders>
              <w:top w:val="single" w:sz="4" w:space="0" w:color="auto"/>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MTB</w:t>
            </w:r>
          </w:p>
        </w:tc>
        <w:tc>
          <w:tcPr>
            <w:tcW w:w="960"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4.516</w:t>
            </w:r>
          </w:p>
        </w:tc>
        <w:tc>
          <w:tcPr>
            <w:tcW w:w="960"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0.807</w:t>
            </w:r>
          </w:p>
        </w:tc>
        <w:tc>
          <w:tcPr>
            <w:tcW w:w="960"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2.279</w:t>
            </w:r>
          </w:p>
        </w:tc>
        <w:tc>
          <w:tcPr>
            <w:tcW w:w="960"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3.320</w:t>
            </w:r>
          </w:p>
        </w:tc>
        <w:tc>
          <w:tcPr>
            <w:tcW w:w="960"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5.090</w:t>
            </w:r>
          </w:p>
        </w:tc>
        <w:tc>
          <w:tcPr>
            <w:tcW w:w="960"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28.560</w:t>
            </w:r>
          </w:p>
        </w:tc>
        <w:tc>
          <w:tcPr>
            <w:tcW w:w="1084"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3.275</w:t>
            </w:r>
          </w:p>
        </w:tc>
        <w:tc>
          <w:tcPr>
            <w:tcW w:w="962"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16.526</w:t>
            </w:r>
          </w:p>
        </w:tc>
        <w:tc>
          <w:tcPr>
            <w:tcW w:w="960" w:type="dxa"/>
            <w:tcBorders>
              <w:top w:val="single" w:sz="4" w:space="0" w:color="auto"/>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4.245</w:t>
            </w:r>
          </w:p>
        </w:tc>
        <w:tc>
          <w:tcPr>
            <w:tcW w:w="960" w:type="dxa"/>
            <w:tcBorders>
              <w:top w:val="single" w:sz="4" w:space="0" w:color="auto"/>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r w:rsidR="00B9661D" w:rsidRPr="008D6541" w:rsidTr="00233609">
        <w:trPr>
          <w:trHeight w:val="300"/>
        </w:trPr>
        <w:tc>
          <w:tcPr>
            <w:tcW w:w="1167"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EPS_PF</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0.509</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1.000</w:t>
            </w:r>
          </w:p>
        </w:tc>
        <w:tc>
          <w:tcPr>
            <w:tcW w:w="1084"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-0.035</w:t>
            </w:r>
          </w:p>
        </w:tc>
        <w:tc>
          <w:tcPr>
            <w:tcW w:w="962"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1.001</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0.500</w:t>
            </w:r>
          </w:p>
        </w:tc>
        <w:tc>
          <w:tcPr>
            <w:tcW w:w="960"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r w:rsidR="00B9661D" w:rsidRPr="008D6541" w:rsidTr="00233609">
        <w:trPr>
          <w:trHeight w:val="300"/>
        </w:trPr>
        <w:tc>
          <w:tcPr>
            <w:tcW w:w="1167"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EPS_MB</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0.444</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1.000</w:t>
            </w:r>
          </w:p>
        </w:tc>
        <w:tc>
          <w:tcPr>
            <w:tcW w:w="1084"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0.224</w:t>
            </w:r>
          </w:p>
        </w:tc>
        <w:tc>
          <w:tcPr>
            <w:tcW w:w="962"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1.050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0.497</w:t>
            </w:r>
          </w:p>
        </w:tc>
        <w:tc>
          <w:tcPr>
            <w:tcW w:w="960"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r w:rsidR="00B9661D" w:rsidRPr="008D6541" w:rsidTr="00233609">
        <w:trPr>
          <w:trHeight w:val="300"/>
        </w:trPr>
        <w:tc>
          <w:tcPr>
            <w:tcW w:w="1167"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DISP</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0.500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0.241</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0.500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0.759</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1.000</w:t>
            </w:r>
          </w:p>
        </w:tc>
        <w:tc>
          <w:tcPr>
            <w:tcW w:w="1084"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0.000</w:t>
            </w:r>
          </w:p>
        </w:tc>
        <w:tc>
          <w:tcPr>
            <w:tcW w:w="962"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1.797</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0.299</w:t>
            </w:r>
          </w:p>
        </w:tc>
        <w:tc>
          <w:tcPr>
            <w:tcW w:w="960"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r w:rsidR="00B9661D" w:rsidRPr="008D6541" w:rsidTr="00233609">
        <w:trPr>
          <w:trHeight w:val="300"/>
        </w:trPr>
        <w:tc>
          <w:tcPr>
            <w:tcW w:w="1167"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SIZE</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11.777</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10.207</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11.303</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11.845</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12.250</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13.300</w:t>
            </w:r>
          </w:p>
        </w:tc>
        <w:tc>
          <w:tcPr>
            <w:tcW w:w="1084"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-0.109</w:t>
            </w:r>
          </w:p>
        </w:tc>
        <w:tc>
          <w:tcPr>
            <w:tcW w:w="962"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2.573</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0.657</w:t>
            </w:r>
          </w:p>
        </w:tc>
        <w:tc>
          <w:tcPr>
            <w:tcW w:w="960"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r w:rsidR="00B9661D" w:rsidRPr="008D6541" w:rsidTr="00233609">
        <w:trPr>
          <w:trHeight w:val="300"/>
        </w:trPr>
        <w:tc>
          <w:tcPr>
            <w:tcW w:w="1167"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LEV</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0.623</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-1.132</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-0.144</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0.406</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1.339</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3.040</w:t>
            </w:r>
          </w:p>
        </w:tc>
        <w:tc>
          <w:tcPr>
            <w:tcW w:w="1084"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0.578</w:t>
            </w:r>
          </w:p>
        </w:tc>
        <w:tc>
          <w:tcPr>
            <w:tcW w:w="962"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2.411</w:t>
            </w:r>
          </w:p>
        </w:tc>
        <w:tc>
          <w:tcPr>
            <w:tcW w:w="960" w:type="dxa"/>
            <w:tcBorders>
              <w:top w:val="nil"/>
              <w:left w:val="nil"/>
              <w:bottom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0.972</w:t>
            </w:r>
          </w:p>
        </w:tc>
        <w:tc>
          <w:tcPr>
            <w:tcW w:w="960" w:type="dxa"/>
            <w:tcBorders>
              <w:top w:val="nil"/>
              <w:left w:val="nil"/>
              <w:bottom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r w:rsidR="00B9661D" w:rsidRPr="008D6541" w:rsidTr="00233609">
        <w:trPr>
          <w:trHeight w:val="300"/>
        </w:trPr>
        <w:tc>
          <w:tcPr>
            <w:tcW w:w="1167" w:type="dxa"/>
            <w:tcBorders>
              <w:top w:val="nil"/>
              <w:left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VOLA</w:t>
            </w:r>
          </w:p>
        </w:tc>
        <w:tc>
          <w:tcPr>
            <w:tcW w:w="960"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0.664</w:t>
            </w:r>
          </w:p>
        </w:tc>
        <w:tc>
          <w:tcPr>
            <w:tcW w:w="960"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0.052</w:t>
            </w:r>
          </w:p>
        </w:tc>
        <w:tc>
          <w:tcPr>
            <w:tcW w:w="960"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0.298</w:t>
            </w:r>
          </w:p>
        </w:tc>
        <w:tc>
          <w:tcPr>
            <w:tcW w:w="960"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0.501</w:t>
            </w:r>
          </w:p>
        </w:tc>
        <w:tc>
          <w:tcPr>
            <w:tcW w:w="960"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0.902</w:t>
            </w:r>
          </w:p>
        </w:tc>
        <w:tc>
          <w:tcPr>
            <w:tcW w:w="960"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2.349</w:t>
            </w:r>
          </w:p>
        </w:tc>
        <w:tc>
          <w:tcPr>
            <w:tcW w:w="1084"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1.320</w:t>
            </w:r>
          </w:p>
        </w:tc>
        <w:tc>
          <w:tcPr>
            <w:tcW w:w="962"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4.416</w:t>
            </w:r>
          </w:p>
        </w:tc>
        <w:tc>
          <w:tcPr>
            <w:tcW w:w="960" w:type="dxa"/>
            <w:tcBorders>
              <w:top w:val="nil"/>
              <w:left w:val="nil"/>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0.516</w:t>
            </w:r>
          </w:p>
        </w:tc>
        <w:tc>
          <w:tcPr>
            <w:tcW w:w="960" w:type="dxa"/>
            <w:tcBorders>
              <w:top w:val="nil"/>
              <w:left w:val="nil"/>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r w:rsidR="00B9661D" w:rsidRPr="008D6541" w:rsidTr="00233609">
        <w:trPr>
          <w:trHeight w:val="300"/>
        </w:trPr>
        <w:tc>
          <w:tcPr>
            <w:tcW w:w="1167" w:type="dxa"/>
            <w:tcBorders>
              <w:top w:val="nil"/>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AF</w:t>
            </w:r>
          </w:p>
        </w:tc>
        <w:tc>
          <w:tcPr>
            <w:tcW w:w="960"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24.033</w:t>
            </w:r>
          </w:p>
        </w:tc>
        <w:tc>
          <w:tcPr>
            <w:tcW w:w="960"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8.000</w:t>
            </w:r>
          </w:p>
        </w:tc>
        <w:tc>
          <w:tcPr>
            <w:tcW w:w="960"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19.000</w:t>
            </w:r>
          </w:p>
        </w:tc>
        <w:tc>
          <w:tcPr>
            <w:tcW w:w="960"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23.000</w:t>
            </w:r>
          </w:p>
        </w:tc>
        <w:tc>
          <w:tcPr>
            <w:tcW w:w="960"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28.000</w:t>
            </w:r>
          </w:p>
        </w:tc>
        <w:tc>
          <w:tcPr>
            <w:tcW w:w="960"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51.000</w:t>
            </w:r>
          </w:p>
        </w:tc>
        <w:tc>
          <w:tcPr>
            <w:tcW w:w="1084"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0.979</w:t>
            </w:r>
          </w:p>
        </w:tc>
        <w:tc>
          <w:tcPr>
            <w:tcW w:w="962"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3.961</w:t>
            </w:r>
          </w:p>
        </w:tc>
        <w:tc>
          <w:tcPr>
            <w:tcW w:w="960" w:type="dxa"/>
            <w:tcBorders>
              <w:top w:val="nil"/>
              <w:left w:val="nil"/>
              <w:bottom w:val="single" w:sz="4" w:space="0" w:color="auto"/>
              <w:right w:val="nil"/>
            </w:tcBorders>
            <w:shd w:val="clear" w:color="auto" w:fill="auto"/>
            <w:noWrap/>
            <w:vAlign w:val="center"/>
          </w:tcPr>
          <w:p w:rsidR="00B9661D" w:rsidRPr="00A72D0C" w:rsidRDefault="00B9661D" w:rsidP="00233609">
            <w:pPr>
              <w:spacing w:after="0" w:line="240" w:lineRule="auto"/>
              <w:rPr>
                <w:rFonts w:ascii="Times New Roman" w:eastAsia="Times New Roman" w:hAnsi="Times New Roman" w:cs="Times New Roman"/>
                <w:color w:val="000000"/>
              </w:rPr>
            </w:pPr>
            <w:r w:rsidRPr="00A72D0C">
              <w:rPr>
                <w:rFonts w:ascii="Times New Roman" w:hAnsi="Times New Roman" w:cs="Times New Roman"/>
                <w:color w:val="000000"/>
              </w:rPr>
              <w:t>7.585</w:t>
            </w:r>
          </w:p>
        </w:tc>
        <w:tc>
          <w:tcPr>
            <w:tcW w:w="960" w:type="dxa"/>
            <w:tcBorders>
              <w:top w:val="nil"/>
              <w:left w:val="nil"/>
              <w:bottom w:val="single" w:sz="4" w:space="0" w:color="auto"/>
              <w:right w:val="nil"/>
            </w:tcBorders>
            <w:shd w:val="clear" w:color="auto" w:fill="auto"/>
            <w:noWrap/>
            <w:vAlign w:val="bottom"/>
            <w:hideMark/>
          </w:tcPr>
          <w:p w:rsidR="00B9661D" w:rsidRPr="008D6541" w:rsidRDefault="00B9661D" w:rsidP="00233609">
            <w:pPr>
              <w:spacing w:after="0" w:line="240" w:lineRule="auto"/>
              <w:rPr>
                <w:rFonts w:ascii="Times New Roman" w:eastAsia="Times New Roman" w:hAnsi="Times New Roman" w:cs="Times New Roman"/>
                <w:color w:val="000000"/>
              </w:rPr>
            </w:pPr>
            <w:r w:rsidRPr="008D6541">
              <w:rPr>
                <w:rFonts w:ascii="Times New Roman" w:eastAsia="Times New Roman" w:hAnsi="Times New Roman" w:cs="Times New Roman"/>
                <w:color w:val="000000"/>
              </w:rPr>
              <w:t>747</w:t>
            </w:r>
          </w:p>
        </w:tc>
      </w:tr>
    </w:tbl>
    <w:p w:rsidR="00B9661D" w:rsidRPr="008D6541" w:rsidRDefault="00B9661D" w:rsidP="00B9661D">
      <w:pPr>
        <w:ind w:left="-426" w:firstLine="426"/>
        <w:rPr>
          <w:rFonts w:ascii="Times New Roman" w:hAnsi="Times New Roman" w:cs="Times New Roman"/>
        </w:rPr>
      </w:pPr>
    </w:p>
    <w:p w:rsidR="00B9661D" w:rsidRPr="008D6541" w:rsidRDefault="00B9661D" w:rsidP="00B9661D">
      <w:pPr>
        <w:rPr>
          <w:rFonts w:ascii="Times New Roman" w:hAnsi="Times New Roman" w:cs="Times New Roman"/>
        </w:rPr>
      </w:pPr>
    </w:p>
    <w:p w:rsidR="00B9661D" w:rsidRPr="008D6541" w:rsidRDefault="00B9661D" w:rsidP="00B9661D">
      <w:pPr>
        <w:rPr>
          <w:rFonts w:ascii="Times New Roman" w:hAnsi="Times New Roman" w:cs="Times New Roman"/>
        </w:rPr>
      </w:pPr>
    </w:p>
    <w:p w:rsidR="00B9661D" w:rsidRPr="008D6541" w:rsidRDefault="00B9661D" w:rsidP="00B9661D">
      <w:pPr>
        <w:rPr>
          <w:rFonts w:ascii="Times New Roman" w:hAnsi="Times New Roman" w:cs="Times New Roman"/>
        </w:rPr>
      </w:pPr>
    </w:p>
    <w:p w:rsidR="00B9661D" w:rsidRPr="008D6541" w:rsidRDefault="00B9661D" w:rsidP="00B9661D">
      <w:pPr>
        <w:rPr>
          <w:rFonts w:ascii="Times New Roman" w:hAnsi="Times New Roman" w:cs="Times New Roman"/>
        </w:rPr>
      </w:pPr>
    </w:p>
    <w:p w:rsidR="00B9661D" w:rsidRPr="008D6541" w:rsidRDefault="00B9661D" w:rsidP="00B9661D">
      <w:pPr>
        <w:rPr>
          <w:rFonts w:ascii="Times New Roman" w:hAnsi="Times New Roman" w:cs="Times New Roman"/>
        </w:rPr>
      </w:pPr>
    </w:p>
    <w:p w:rsidR="00B9661D" w:rsidRPr="008D6541" w:rsidRDefault="00B9661D" w:rsidP="00B9661D">
      <w:pPr>
        <w:rPr>
          <w:rFonts w:ascii="Times New Roman" w:hAnsi="Times New Roman" w:cs="Times New Roman"/>
        </w:rPr>
      </w:pPr>
    </w:p>
    <w:p w:rsidR="00B9661D" w:rsidRPr="008D6541" w:rsidRDefault="00B9661D" w:rsidP="00B9661D">
      <w:pPr>
        <w:rPr>
          <w:rFonts w:ascii="Times New Roman" w:hAnsi="Times New Roman" w:cs="Times New Roman"/>
        </w:rPr>
      </w:pPr>
    </w:p>
    <w:p w:rsidR="00B9661D" w:rsidRPr="008D6541" w:rsidRDefault="00B9661D" w:rsidP="00B9661D">
      <w:pPr>
        <w:rPr>
          <w:rFonts w:ascii="Times New Roman" w:hAnsi="Times New Roman" w:cs="Times New Roman"/>
        </w:rPr>
        <w:sectPr w:rsidR="00B9661D" w:rsidRPr="008D6541" w:rsidSect="00233609">
          <w:footerReference w:type="default" r:id="rId15"/>
          <w:pgSz w:w="11906" w:h="16838"/>
          <w:pgMar w:top="1440" w:right="1440" w:bottom="1440" w:left="1440" w:header="708" w:footer="708" w:gutter="0"/>
          <w:cols w:space="708"/>
          <w:docGrid w:linePitch="360"/>
        </w:sectPr>
      </w:pPr>
    </w:p>
    <w:p w:rsidR="00B9661D" w:rsidRDefault="00B9661D" w:rsidP="00B9661D">
      <w:pPr>
        <w:pStyle w:val="tableform"/>
        <w:spacing w:before="0" w:line="240" w:lineRule="auto"/>
        <w:ind w:left="0" w:firstLine="0"/>
        <w:rPr>
          <w:rStyle w:val="SubtleEmphasis"/>
          <w:i w:val="0"/>
          <w:color w:val="auto"/>
        </w:rPr>
      </w:pPr>
    </w:p>
    <w:p w:rsidR="00B9661D" w:rsidRDefault="00B9661D" w:rsidP="00B9661D">
      <w:pPr>
        <w:pStyle w:val="tableform"/>
        <w:spacing w:before="0" w:line="240" w:lineRule="auto"/>
        <w:ind w:left="0" w:firstLine="0"/>
        <w:rPr>
          <w:rStyle w:val="SubtleEmphasis"/>
          <w:i w:val="0"/>
          <w:color w:val="auto"/>
        </w:rPr>
      </w:pPr>
      <w:r w:rsidRPr="001D62D2">
        <w:rPr>
          <w:rStyle w:val="SubtleEmphasis"/>
          <w:color w:val="auto"/>
        </w:rPr>
        <w:t>Table 2. Logistic regression for the effect of pro forma disclosures on overvaluation: baseline results</w:t>
      </w:r>
    </w:p>
    <w:p w:rsidR="00B9661D" w:rsidRPr="003F38FF" w:rsidRDefault="00B9661D" w:rsidP="00B9661D">
      <w:pPr>
        <w:pStyle w:val="tableform"/>
        <w:spacing w:before="0" w:line="240" w:lineRule="auto"/>
        <w:ind w:left="0" w:firstLine="0"/>
        <w:jc w:val="both"/>
        <w:rPr>
          <w:rStyle w:val="SubtleEmphasis"/>
          <w:b w:val="0"/>
          <w:i w:val="0"/>
          <w:color w:val="auto"/>
          <w:sz w:val="22"/>
        </w:rPr>
      </w:pPr>
      <w:r w:rsidRPr="003F38FF">
        <w:rPr>
          <w:rStyle w:val="SubtleEmphasis"/>
          <w:b w:val="0"/>
          <w:color w:val="auto"/>
          <w:sz w:val="22"/>
        </w:rPr>
        <w:t xml:space="preserve">This table shows the logistic regression results for the effect of pro forma disclosures on overvaluation for the baseline model. The sample period of firm-quarter observations is from Q1/2011 to Q1/2017. MTB is the market-to-book ratio, EPS_PF is a dummy variable taking the value of 1 if a firm discloses pro forma earnings in a given quarter, and 0 otherwise, EPS_MB is a dummy variable taking the value of 1 if a firm discloses pro forma earnings in a given quarter that meet or beat analyst earnings forecasts while GAAP operating profit falls short of forecasts, and 0 otherwise, DISP is the standard deviation of analyst earnings forecasts scaled by the consensus mean earnings forecast, SIZE is firm size measured as market value of equity, LEV is leverage measured as total debt to total equity, VOLA is the firm’s average return on assets volatility over the past 5 years, AF is the number of analysts following the firm. All of the firm-specific variables are </w:t>
      </w:r>
      <w:proofErr w:type="spellStart"/>
      <w:r w:rsidRPr="003F38FF">
        <w:rPr>
          <w:rStyle w:val="SubtleEmphasis"/>
          <w:b w:val="0"/>
          <w:color w:val="auto"/>
          <w:sz w:val="22"/>
        </w:rPr>
        <w:t>winsorized</w:t>
      </w:r>
      <w:proofErr w:type="spellEnd"/>
      <w:r w:rsidRPr="003F38FF">
        <w:rPr>
          <w:rStyle w:val="SubtleEmphasis"/>
          <w:b w:val="0"/>
          <w:color w:val="auto"/>
          <w:sz w:val="22"/>
        </w:rPr>
        <w:t xml:space="preserve"> at the 1% and 99% levels. z-statistics are reported in parentheses under the estimation coefficient. ***, **, and * denote significance levels 1%, 5%, and 10%, respectively.</w:t>
      </w:r>
    </w:p>
    <w:p w:rsidR="00B9661D" w:rsidRDefault="00B9661D" w:rsidP="00B9661D">
      <w:pPr>
        <w:jc w:val="both"/>
        <w:rPr>
          <w:rFonts w:ascii="Times New Roman" w:hAnsi="Times New Roman" w:cs="Times New Roman"/>
        </w:rPr>
      </w:pPr>
    </w:p>
    <w:tbl>
      <w:tblPr>
        <w:tblW w:w="9923" w:type="dxa"/>
        <w:tblLayout w:type="fixed"/>
        <w:tblLook w:val="04A0" w:firstRow="1" w:lastRow="0" w:firstColumn="1" w:lastColumn="0" w:noHBand="0" w:noVBand="1"/>
      </w:tblPr>
      <w:tblGrid>
        <w:gridCol w:w="2127"/>
        <w:gridCol w:w="1299"/>
        <w:gridCol w:w="1299"/>
        <w:gridCol w:w="1300"/>
        <w:gridCol w:w="1299"/>
        <w:gridCol w:w="1299"/>
        <w:gridCol w:w="1300"/>
      </w:tblGrid>
      <w:tr w:rsidR="00B9661D" w:rsidRPr="003F38FF" w:rsidTr="00233609">
        <w:trPr>
          <w:trHeight w:val="300"/>
        </w:trPr>
        <w:tc>
          <w:tcPr>
            <w:tcW w:w="7324" w:type="dxa"/>
            <w:gridSpan w:val="5"/>
            <w:tcBorders>
              <w:top w:val="single" w:sz="4" w:space="0" w:color="auto"/>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b/>
                <w:bCs/>
                <w:color w:val="000000"/>
                <w:sz w:val="20"/>
                <w:szCs w:val="20"/>
              </w:rPr>
              <w:t>Panel A: Most overvalued stocks</w:t>
            </w:r>
          </w:p>
        </w:tc>
        <w:tc>
          <w:tcPr>
            <w:tcW w:w="1299" w:type="dxa"/>
            <w:tcBorders>
              <w:top w:val="single" w:sz="4" w:space="0" w:color="auto"/>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300" w:type="dxa"/>
            <w:tcBorders>
              <w:top w:val="single" w:sz="4" w:space="0" w:color="auto"/>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r>
      <w:tr w:rsidR="00B9661D" w:rsidRPr="003F38FF" w:rsidTr="00233609">
        <w:trPr>
          <w:trHeight w:val="300"/>
        </w:trPr>
        <w:tc>
          <w:tcPr>
            <w:tcW w:w="2127"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b/>
                <w:bCs/>
                <w:color w:val="000000"/>
                <w:sz w:val="20"/>
                <w:szCs w:val="20"/>
              </w:rPr>
            </w:pP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w:t>
            </w: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w:t>
            </w:r>
          </w:p>
        </w:tc>
        <w:tc>
          <w:tcPr>
            <w:tcW w:w="1300"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w:t>
            </w: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w:t>
            </w: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(5)</w:t>
            </w:r>
          </w:p>
        </w:tc>
        <w:tc>
          <w:tcPr>
            <w:tcW w:w="1300"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(6)</w:t>
            </w:r>
          </w:p>
        </w:tc>
      </w:tr>
      <w:tr w:rsidR="00B9661D" w:rsidRPr="003F38FF" w:rsidTr="00233609">
        <w:trPr>
          <w:trHeight w:val="315"/>
        </w:trPr>
        <w:tc>
          <w:tcPr>
            <w:tcW w:w="2127"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Calibri" w:eastAsia="Times New Roman" w:hAnsi="Calibri" w:cs="Calibri"/>
                <w:color w:val="000000"/>
              </w:rPr>
            </w:pPr>
            <w:r w:rsidRPr="003F38FF">
              <w:rPr>
                <w:rFonts w:ascii="Calibri" w:eastAsia="Times New Roman" w:hAnsi="Calibri" w:cs="Calibri"/>
                <w:color w:val="000000"/>
              </w:rPr>
              <w:t> </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Highest MTB</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Highest MTB</w:t>
            </w:r>
          </w:p>
        </w:tc>
        <w:tc>
          <w:tcPr>
            <w:tcW w:w="1300"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Highest MTB</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Highest MTB</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Highest MTB</w:t>
            </w:r>
          </w:p>
        </w:tc>
        <w:tc>
          <w:tcPr>
            <w:tcW w:w="1300"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Highest MTB</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EPS_PF</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-0.673***</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-0.669***</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-0.918***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(-3.352)</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(-3.346)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(-4.061)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EPS_MB</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-0.586***</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-0.588***</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-0.748***</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(-3.200)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(-3.346)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(-3.621)</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DISPM</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-2.221***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-2.239***</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-2.385***</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-2.209***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-2.228***</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-2.352***</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(-6.920)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(-7.130)</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(-7.333)</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(-6.876)</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(-7.098)</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(-7.202)</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SIZE</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-0.078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-0.196</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-0.077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-0.058</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-0.203</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(-0.591)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(-0.429)</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(-1.508)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(-0.578)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(-0.416)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(-1.528)</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LEV</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0.902***</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0.925***</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0.901***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0.887***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0.911***</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0.881***</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(10.898)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(11.707)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(8.641)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(10.574)</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(11.413)</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(8.43)</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VOLA</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1.893***</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1.940***</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2.176***</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1.848***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1.899***</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2.095***</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(8.591)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(9.181)</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(8.69)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(8.874)</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(9.538)</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(8.998)</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AF</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0.003</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0.002</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-0.001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0.007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0.006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0.006</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(0.250)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(0.186)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(-0.051)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(0.729)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(0.626)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(0.511)</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Observations</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Fixed Effect</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No</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quarter</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 and quarter</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No</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quarter</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 and quarter</w:t>
            </w:r>
          </w:p>
        </w:tc>
      </w:tr>
      <w:tr w:rsidR="00B9661D" w:rsidRPr="003F38FF" w:rsidTr="00233609">
        <w:trPr>
          <w:trHeight w:val="315"/>
        </w:trPr>
        <w:tc>
          <w:tcPr>
            <w:tcW w:w="2127"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roofErr w:type="spellStart"/>
            <w:r w:rsidRPr="003F38FF">
              <w:rPr>
                <w:rFonts w:ascii="Times New Roman" w:eastAsia="Times New Roman" w:hAnsi="Times New Roman" w:cs="Times New Roman"/>
                <w:color w:val="000000"/>
                <w:sz w:val="20"/>
                <w:szCs w:val="20"/>
              </w:rPr>
              <w:t>StdErr_Cluster</w:t>
            </w:r>
            <w:proofErr w:type="spellEnd"/>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300"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300"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r>
      <w:tr w:rsidR="00B9661D" w:rsidRPr="003F38FF" w:rsidTr="00233609">
        <w:trPr>
          <w:trHeight w:val="300"/>
        </w:trPr>
        <w:tc>
          <w:tcPr>
            <w:tcW w:w="6025" w:type="dxa"/>
            <w:gridSpan w:val="4"/>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b/>
                <w:bCs/>
                <w:color w:val="000000"/>
                <w:sz w:val="20"/>
                <w:szCs w:val="20"/>
              </w:rPr>
              <w:t>Panel B: Least overvalued stocks</w:t>
            </w: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300"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r>
      <w:tr w:rsidR="00B9661D" w:rsidRPr="003F38FF" w:rsidTr="00233609">
        <w:trPr>
          <w:trHeight w:val="300"/>
        </w:trPr>
        <w:tc>
          <w:tcPr>
            <w:tcW w:w="2127" w:type="dxa"/>
            <w:tcBorders>
              <w:top w:val="nil"/>
              <w:left w:val="nil"/>
              <w:bottom w:val="nil"/>
              <w:right w:val="nil"/>
            </w:tcBorders>
            <w:shd w:val="clear" w:color="auto" w:fill="auto"/>
            <w:noWrap/>
          </w:tcPr>
          <w:p w:rsidR="00B9661D" w:rsidRPr="003F38FF" w:rsidRDefault="00B9661D" w:rsidP="00233609">
            <w:pPr>
              <w:spacing w:after="0" w:line="240" w:lineRule="auto"/>
              <w:rPr>
                <w:rFonts w:ascii="Calibri" w:eastAsia="Times New Roman" w:hAnsi="Calibri" w:cs="Calibri"/>
                <w:color w:val="000000"/>
              </w:rPr>
            </w:pP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w:t>
            </w: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(8)</w:t>
            </w:r>
          </w:p>
        </w:tc>
        <w:tc>
          <w:tcPr>
            <w:tcW w:w="1300"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(9)</w:t>
            </w: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(10)</w:t>
            </w:r>
          </w:p>
        </w:tc>
        <w:tc>
          <w:tcPr>
            <w:tcW w:w="1299"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(11)</w:t>
            </w:r>
          </w:p>
        </w:tc>
        <w:tc>
          <w:tcPr>
            <w:tcW w:w="1300" w:type="dxa"/>
            <w:tcBorders>
              <w:top w:val="nil"/>
              <w:left w:val="nil"/>
              <w:bottom w:val="nil"/>
              <w:right w:val="nil"/>
            </w:tcBorders>
            <w:shd w:val="clear" w:color="auto" w:fill="auto"/>
            <w:noWrap/>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(12)</w:t>
            </w:r>
          </w:p>
        </w:tc>
      </w:tr>
      <w:tr w:rsidR="00B9661D" w:rsidRPr="003F38FF" w:rsidTr="00233609">
        <w:trPr>
          <w:trHeight w:val="315"/>
        </w:trPr>
        <w:tc>
          <w:tcPr>
            <w:tcW w:w="2127"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Calibri" w:eastAsia="Times New Roman" w:hAnsi="Calibri" w:cs="Calibri"/>
                <w:color w:val="000000"/>
              </w:rPr>
            </w:pPr>
            <w:r w:rsidRPr="003F38FF">
              <w:rPr>
                <w:rFonts w:ascii="Calibri" w:eastAsia="Times New Roman" w:hAnsi="Calibri" w:cs="Calibri"/>
                <w:color w:val="000000"/>
              </w:rPr>
              <w:t> </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Lowest MTB</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Lowest MTB</w:t>
            </w:r>
          </w:p>
        </w:tc>
        <w:tc>
          <w:tcPr>
            <w:tcW w:w="1300"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Lowest MTB</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Lowest MTB</w:t>
            </w:r>
          </w:p>
        </w:tc>
        <w:tc>
          <w:tcPr>
            <w:tcW w:w="1299"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Lowest MTB</w:t>
            </w:r>
          </w:p>
        </w:tc>
        <w:tc>
          <w:tcPr>
            <w:tcW w:w="1300" w:type="dxa"/>
            <w:tcBorders>
              <w:top w:val="nil"/>
              <w:left w:val="nil"/>
              <w:bottom w:val="single" w:sz="8" w:space="0" w:color="auto"/>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Lowest MTB</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EPS_PF</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0.100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0.093</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0.293*</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(0.679)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(0.601)</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(1.907)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EPS_MB</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0.231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0.235</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0.408**</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(1.306)</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(1.277)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(2.109)</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DISPM</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2.889***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2.897***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3.062***</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2.948***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2.961***</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3.126***</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(11.402)</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(11.311)</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(10.214)</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(11.399)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(11.301)</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(10.214)</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SIZE</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0.077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0.072</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0.218**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0.071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0.066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0.207*</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(0.707)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(0.632)</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(1.990)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(0.654)</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(0.578)</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(1.887)</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lastRenderedPageBreak/>
              <w:t>LEV</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-0.440***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-0.449***</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-0.421***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-0.437***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-0.445***</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-0.419***</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(-6.980)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(-7.298)</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(-5.819)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(-6.943)</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(-7.297)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(-5.813)</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VOLA</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-1.948***</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-1.986***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-2.229***</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-1.954***</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-1.993***</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-2.224***</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(-4.410)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(-4.392)</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(-4.831)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(-4.511)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(-4.493)</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(-4.968)</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AF</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0.031**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0.033**</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0.040***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0.031**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0.033**</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0.040***</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(2.370)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(2.496)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(2.770)</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(2.431)</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(2.556)</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(2.760)</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Observations</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747</w:t>
            </w:r>
          </w:p>
        </w:tc>
      </w:tr>
      <w:tr w:rsidR="00B9661D" w:rsidRPr="003F38FF" w:rsidTr="00233609">
        <w:trPr>
          <w:trHeight w:val="300"/>
        </w:trPr>
        <w:tc>
          <w:tcPr>
            <w:tcW w:w="2127"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Fixed Effect</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No</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quarter</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 and quarter</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No</w:t>
            </w:r>
          </w:p>
        </w:tc>
        <w:tc>
          <w:tcPr>
            <w:tcW w:w="1299"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quarter</w:t>
            </w:r>
          </w:p>
        </w:tc>
        <w:tc>
          <w:tcPr>
            <w:tcW w:w="1300" w:type="dxa"/>
            <w:tcBorders>
              <w:top w:val="nil"/>
              <w:left w:val="nil"/>
              <w:bottom w:val="nil"/>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 and quarter</w:t>
            </w:r>
          </w:p>
        </w:tc>
      </w:tr>
      <w:tr w:rsidR="00B9661D" w:rsidRPr="003F38FF" w:rsidTr="00233609">
        <w:trPr>
          <w:trHeight w:val="315"/>
        </w:trPr>
        <w:tc>
          <w:tcPr>
            <w:tcW w:w="2127"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proofErr w:type="spellStart"/>
            <w:r w:rsidRPr="003F38FF">
              <w:rPr>
                <w:rFonts w:ascii="Times New Roman" w:eastAsia="Times New Roman" w:hAnsi="Times New Roman" w:cs="Times New Roman"/>
                <w:color w:val="000000"/>
                <w:sz w:val="20"/>
                <w:szCs w:val="20"/>
              </w:rPr>
              <w:t>StdErr_Cluster</w:t>
            </w:r>
            <w:proofErr w:type="spellEnd"/>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300"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299"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c>
          <w:tcPr>
            <w:tcW w:w="1300" w:type="dxa"/>
            <w:tcBorders>
              <w:top w:val="nil"/>
              <w:left w:val="nil"/>
              <w:bottom w:val="single" w:sz="8" w:space="0" w:color="000000"/>
              <w:right w:val="nil"/>
            </w:tcBorders>
            <w:shd w:val="clear" w:color="auto" w:fill="auto"/>
            <w:noWrap/>
            <w:hideMark/>
          </w:tcPr>
          <w:p w:rsidR="00B9661D" w:rsidRPr="003F38FF" w:rsidRDefault="00B9661D" w:rsidP="00233609">
            <w:pPr>
              <w:spacing w:after="0" w:line="240" w:lineRule="auto"/>
              <w:rPr>
                <w:rFonts w:ascii="Times New Roman" w:eastAsia="Times New Roman" w:hAnsi="Times New Roman" w:cs="Times New Roman"/>
                <w:color w:val="000000"/>
                <w:sz w:val="20"/>
                <w:szCs w:val="20"/>
              </w:rPr>
            </w:pPr>
            <w:r w:rsidRPr="003F38FF">
              <w:rPr>
                <w:rFonts w:ascii="Times New Roman" w:eastAsia="Times New Roman" w:hAnsi="Times New Roman" w:cs="Times New Roman"/>
                <w:color w:val="000000"/>
                <w:sz w:val="20"/>
                <w:szCs w:val="20"/>
              </w:rPr>
              <w:t>firm</w:t>
            </w:r>
          </w:p>
        </w:tc>
      </w:tr>
    </w:tbl>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jc w:val="both"/>
        <w:rPr>
          <w:rFonts w:ascii="Times New Roman" w:hAnsi="Times New Roman" w:cs="Times New Roman"/>
        </w:rPr>
      </w:pPr>
    </w:p>
    <w:p w:rsidR="00B9661D" w:rsidRDefault="00B9661D" w:rsidP="00B9661D">
      <w:pPr>
        <w:pStyle w:val="tableform"/>
        <w:sectPr w:rsidR="00B9661D" w:rsidSect="00233609">
          <w:pgSz w:w="11906" w:h="16838"/>
          <w:pgMar w:top="1440" w:right="851" w:bottom="1440" w:left="1135" w:header="708" w:footer="449" w:gutter="0"/>
          <w:cols w:space="708"/>
          <w:docGrid w:linePitch="360"/>
        </w:sectPr>
      </w:pPr>
    </w:p>
    <w:p w:rsidR="00B9661D" w:rsidRPr="001D62D2" w:rsidRDefault="00B9661D" w:rsidP="00B9661D">
      <w:pPr>
        <w:pStyle w:val="tableform"/>
        <w:spacing w:before="0" w:line="240" w:lineRule="auto"/>
        <w:ind w:left="0" w:right="-3" w:firstLine="0"/>
        <w:rPr>
          <w:rStyle w:val="SubtleEmphasis"/>
          <w:i w:val="0"/>
          <w:color w:val="auto"/>
        </w:rPr>
      </w:pPr>
      <w:r w:rsidRPr="001D62D2">
        <w:rPr>
          <w:rStyle w:val="SubtleEmphasis"/>
          <w:color w:val="auto"/>
        </w:rPr>
        <w:lastRenderedPageBreak/>
        <w:t>Table 3. Results for the effect of the interaction between analyst earnings forecast dispersion and pro forma disclosures on overvaluation</w:t>
      </w:r>
    </w:p>
    <w:p w:rsidR="00B9661D" w:rsidRDefault="00B9661D" w:rsidP="00B9661D">
      <w:pPr>
        <w:tabs>
          <w:tab w:val="left" w:pos="9498"/>
        </w:tabs>
        <w:spacing w:after="0"/>
        <w:ind w:right="-3"/>
        <w:jc w:val="both"/>
        <w:rPr>
          <w:rFonts w:ascii="Times New Roman" w:hAnsi="Times New Roman" w:cs="Times New Roman"/>
          <w:szCs w:val="18"/>
        </w:rPr>
      </w:pPr>
      <w:r w:rsidRPr="00C16FEA">
        <w:rPr>
          <w:rFonts w:ascii="Times New Roman" w:eastAsia="Times New Roman" w:hAnsi="Times New Roman" w:cs="Times New Roman"/>
          <w:szCs w:val="18"/>
        </w:rPr>
        <w:t xml:space="preserve">This table shows </w:t>
      </w:r>
      <w:r w:rsidRPr="00CA1BFB">
        <w:rPr>
          <w:rFonts w:ascii="Times New Roman" w:eastAsia="Times New Roman" w:hAnsi="Times New Roman" w:cs="Times New Roman"/>
          <w:szCs w:val="18"/>
        </w:rPr>
        <w:t>the logistic regression results for the effect of the interaction between analyst earnings forecast dispersion and pro forma disclosures on overvaluation</w:t>
      </w:r>
      <w:r w:rsidRPr="00C16FEA">
        <w:rPr>
          <w:rFonts w:ascii="Times New Roman" w:eastAsia="Times New Roman" w:hAnsi="Times New Roman" w:cs="Times New Roman"/>
          <w:szCs w:val="18"/>
        </w:rPr>
        <w:t xml:space="preserve">. The sample period of firm-quarter observations is from </w:t>
      </w:r>
      <w:r w:rsidRPr="008D6541">
        <w:rPr>
          <w:rFonts w:ascii="Times New Roman" w:eastAsia="Times New Roman" w:hAnsi="Times New Roman" w:cs="Times New Roman"/>
        </w:rPr>
        <w:t>Q1</w:t>
      </w:r>
      <w:r>
        <w:rPr>
          <w:rFonts w:ascii="Times New Roman" w:eastAsia="Times New Roman" w:hAnsi="Times New Roman" w:cs="Times New Roman"/>
        </w:rPr>
        <w:t>/</w:t>
      </w:r>
      <w:r w:rsidRPr="008D6541">
        <w:rPr>
          <w:rFonts w:ascii="Times New Roman" w:eastAsia="Times New Roman" w:hAnsi="Times New Roman" w:cs="Times New Roman"/>
        </w:rPr>
        <w:t>2011 to Q1</w:t>
      </w:r>
      <w:r>
        <w:rPr>
          <w:rFonts w:ascii="Times New Roman" w:eastAsia="Times New Roman" w:hAnsi="Times New Roman" w:cs="Times New Roman"/>
        </w:rPr>
        <w:t>/</w:t>
      </w:r>
      <w:r w:rsidRPr="008D6541">
        <w:rPr>
          <w:rFonts w:ascii="Times New Roman" w:eastAsia="Times New Roman" w:hAnsi="Times New Roman" w:cs="Times New Roman"/>
        </w:rPr>
        <w:t>2017</w:t>
      </w:r>
      <w:r w:rsidRPr="00C16FEA">
        <w:rPr>
          <w:rFonts w:ascii="Times New Roman" w:eastAsia="Times New Roman" w:hAnsi="Times New Roman" w:cs="Times New Roman"/>
          <w:szCs w:val="18"/>
        </w:rPr>
        <w:t xml:space="preserve">. </w:t>
      </w:r>
      <w:r w:rsidRPr="00C16FEA">
        <w:rPr>
          <w:rFonts w:ascii="Times New Roman" w:eastAsia="Times New Roman" w:hAnsi="Times New Roman" w:cs="Times New Roman"/>
          <w:i/>
          <w:szCs w:val="18"/>
        </w:rPr>
        <w:t>MTB</w:t>
      </w:r>
      <w:r w:rsidRPr="00C16FEA">
        <w:rPr>
          <w:rFonts w:ascii="Times New Roman" w:eastAsia="Times New Roman" w:hAnsi="Times New Roman" w:cs="Times New Roman"/>
          <w:szCs w:val="18"/>
        </w:rPr>
        <w:t xml:space="preserve"> is the market-to-book ratio, </w:t>
      </w:r>
      <w:r w:rsidRPr="00C16FEA">
        <w:rPr>
          <w:rFonts w:ascii="Times New Roman" w:eastAsia="Times New Roman" w:hAnsi="Times New Roman" w:cs="Times New Roman"/>
          <w:i/>
          <w:szCs w:val="18"/>
        </w:rPr>
        <w:t>EPS_PF</w:t>
      </w:r>
      <w:r w:rsidRPr="00C16FEA">
        <w:rPr>
          <w:rFonts w:ascii="Times New Roman" w:eastAsia="Times New Roman" w:hAnsi="Times New Roman" w:cs="Times New Roman"/>
          <w:szCs w:val="18"/>
        </w:rPr>
        <w:t xml:space="preserve"> is a dummy variable taking the value of 1 if a firm discloses pro forma earnings in a given quarter, and 0 otherwise, </w:t>
      </w:r>
      <w:r w:rsidRPr="00C16FEA">
        <w:rPr>
          <w:rFonts w:ascii="Times New Roman" w:eastAsia="Times New Roman" w:hAnsi="Times New Roman" w:cs="Times New Roman"/>
          <w:i/>
          <w:szCs w:val="18"/>
        </w:rPr>
        <w:t>EPS_MB</w:t>
      </w:r>
      <w:r w:rsidRPr="00C16FEA">
        <w:rPr>
          <w:rFonts w:ascii="Times New Roman" w:eastAsia="Times New Roman" w:hAnsi="Times New Roman" w:cs="Times New Roman"/>
          <w:szCs w:val="18"/>
        </w:rPr>
        <w:t xml:space="preserve"> is a dummy variable taking the value of 1 if a firm discloses pro forma earnings in a given quarter that meet or beat </w:t>
      </w:r>
      <w:r w:rsidRPr="004B2D18">
        <w:rPr>
          <w:rFonts w:ascii="Times New Roman" w:eastAsia="Times New Roman" w:hAnsi="Times New Roman" w:cs="Times New Roman"/>
          <w:szCs w:val="18"/>
        </w:rPr>
        <w:t xml:space="preserve">analyst earnings forecasts while GAAP operating profit falls short of forecasts, and 0 otherwise, </w:t>
      </w:r>
      <w:r w:rsidRPr="004B2D18">
        <w:rPr>
          <w:rFonts w:ascii="Times New Roman" w:eastAsia="Times New Roman" w:hAnsi="Times New Roman" w:cs="Times New Roman"/>
          <w:i/>
          <w:szCs w:val="18"/>
        </w:rPr>
        <w:t>DISP</w:t>
      </w:r>
      <w:r w:rsidRPr="004B2D18">
        <w:rPr>
          <w:rFonts w:ascii="Times New Roman" w:eastAsia="Times New Roman" w:hAnsi="Times New Roman" w:cs="Times New Roman"/>
          <w:szCs w:val="18"/>
        </w:rPr>
        <w:t xml:space="preserve"> is the standard deviation of analyst earnings forecasts scaled by the consensus mean earnings forecast, </w:t>
      </w:r>
      <w:r w:rsidRPr="004B2D18">
        <w:rPr>
          <w:rFonts w:ascii="Times New Roman" w:eastAsia="Times New Roman" w:hAnsi="Times New Roman" w:cs="Times New Roman"/>
          <w:i/>
          <w:szCs w:val="18"/>
        </w:rPr>
        <w:t>SIZE</w:t>
      </w:r>
      <w:r w:rsidRPr="004B2D18">
        <w:rPr>
          <w:rFonts w:ascii="Times New Roman" w:eastAsia="Times New Roman" w:hAnsi="Times New Roman" w:cs="Times New Roman"/>
          <w:szCs w:val="18"/>
        </w:rPr>
        <w:t xml:space="preserve"> is firm size measured as market value of equity, </w:t>
      </w:r>
      <w:r w:rsidRPr="004B2D18">
        <w:rPr>
          <w:rFonts w:ascii="Times New Roman" w:eastAsia="Times New Roman" w:hAnsi="Times New Roman" w:cs="Times New Roman"/>
          <w:i/>
          <w:szCs w:val="18"/>
        </w:rPr>
        <w:t>LEV</w:t>
      </w:r>
      <w:r w:rsidRPr="004B2D18">
        <w:rPr>
          <w:rFonts w:ascii="Times New Roman" w:eastAsia="Times New Roman" w:hAnsi="Times New Roman" w:cs="Times New Roman"/>
          <w:szCs w:val="18"/>
        </w:rPr>
        <w:t xml:space="preserve"> is leverage measured as total debt to total equity, </w:t>
      </w:r>
      <w:r w:rsidRPr="004B2D18">
        <w:rPr>
          <w:rFonts w:ascii="Times New Roman" w:eastAsia="Times New Roman" w:hAnsi="Times New Roman" w:cs="Times New Roman"/>
          <w:i/>
          <w:szCs w:val="18"/>
        </w:rPr>
        <w:t>VOLA</w:t>
      </w:r>
      <w:r w:rsidRPr="004B2D18">
        <w:rPr>
          <w:rFonts w:ascii="Times New Roman" w:eastAsia="Times New Roman" w:hAnsi="Times New Roman" w:cs="Times New Roman"/>
          <w:szCs w:val="18"/>
        </w:rPr>
        <w:t xml:space="preserve"> is the firm’s average return on assets volatility over the past 5 years, </w:t>
      </w:r>
      <w:r w:rsidRPr="004B2D18">
        <w:rPr>
          <w:rFonts w:ascii="Times New Roman" w:eastAsia="Times New Roman" w:hAnsi="Times New Roman" w:cs="Times New Roman"/>
          <w:i/>
          <w:szCs w:val="18"/>
        </w:rPr>
        <w:t>AF</w:t>
      </w:r>
      <w:r w:rsidRPr="004B2D18">
        <w:rPr>
          <w:rFonts w:ascii="Times New Roman" w:eastAsia="Times New Roman" w:hAnsi="Times New Roman" w:cs="Times New Roman"/>
          <w:szCs w:val="18"/>
        </w:rPr>
        <w:t xml:space="preserve"> is the number of analysts following the firm. </w:t>
      </w:r>
      <w:r w:rsidRPr="004B2D18">
        <w:rPr>
          <w:rFonts w:ascii="Times New Roman" w:hAnsi="Times New Roman" w:cs="Times New Roman"/>
          <w:szCs w:val="18"/>
        </w:rPr>
        <w:t>All of the firm-specific</w:t>
      </w:r>
      <w:r w:rsidRPr="00C16FEA">
        <w:rPr>
          <w:rFonts w:ascii="Times New Roman" w:hAnsi="Times New Roman" w:cs="Times New Roman"/>
          <w:szCs w:val="18"/>
        </w:rPr>
        <w:t xml:space="preserve"> variables are </w:t>
      </w:r>
      <w:proofErr w:type="spellStart"/>
      <w:r w:rsidRPr="00C16FEA">
        <w:rPr>
          <w:rFonts w:ascii="Times New Roman" w:hAnsi="Times New Roman" w:cs="Times New Roman"/>
          <w:szCs w:val="18"/>
        </w:rPr>
        <w:t>winsorized</w:t>
      </w:r>
      <w:proofErr w:type="spellEnd"/>
      <w:r w:rsidRPr="00C16FEA">
        <w:rPr>
          <w:rFonts w:ascii="Times New Roman" w:hAnsi="Times New Roman" w:cs="Times New Roman"/>
          <w:szCs w:val="18"/>
        </w:rPr>
        <w:t xml:space="preserve"> at the 1% and 99% levels.</w:t>
      </w:r>
      <w:r w:rsidRPr="00C16FEA">
        <w:rPr>
          <w:rFonts w:ascii="Times New Roman" w:hAnsi="Times New Roman" w:cs="Times New Roman"/>
          <w:i/>
          <w:szCs w:val="18"/>
        </w:rPr>
        <w:t xml:space="preserve"> z</w:t>
      </w:r>
      <w:r w:rsidRPr="00C16FEA">
        <w:rPr>
          <w:rFonts w:ascii="Times New Roman" w:hAnsi="Times New Roman" w:cs="Times New Roman"/>
          <w:szCs w:val="18"/>
        </w:rPr>
        <w:t>-statistics are reported in parentheses under the estimation coefficient. ***, **, and * denote significance levels 1%, 5%, and 10%, respectively.</w:t>
      </w:r>
    </w:p>
    <w:p w:rsidR="00B9661D" w:rsidRPr="00C16FEA" w:rsidRDefault="00B9661D" w:rsidP="00B9661D">
      <w:pPr>
        <w:spacing w:after="0"/>
        <w:ind w:right="706"/>
        <w:jc w:val="both"/>
        <w:rPr>
          <w:rFonts w:ascii="Times New Roman" w:hAnsi="Times New Roman" w:cs="Times New Roman"/>
          <w:szCs w:val="18"/>
        </w:rPr>
      </w:pPr>
    </w:p>
    <w:tbl>
      <w:tblPr>
        <w:tblW w:w="9957" w:type="dxa"/>
        <w:tblInd w:w="-34" w:type="dxa"/>
        <w:tblLook w:val="04A0" w:firstRow="1" w:lastRow="0" w:firstColumn="1" w:lastColumn="0" w:noHBand="0" w:noVBand="1"/>
      </w:tblPr>
      <w:tblGrid>
        <w:gridCol w:w="1748"/>
        <w:gridCol w:w="1301"/>
        <w:gridCol w:w="1301"/>
        <w:gridCol w:w="1213"/>
        <w:gridCol w:w="1117"/>
        <w:gridCol w:w="1301"/>
        <w:gridCol w:w="1976"/>
      </w:tblGrid>
      <w:tr w:rsidR="00B9661D" w:rsidRPr="007D1423" w:rsidTr="00233609">
        <w:trPr>
          <w:trHeight w:val="295"/>
        </w:trPr>
        <w:tc>
          <w:tcPr>
            <w:tcW w:w="9957" w:type="dxa"/>
            <w:gridSpan w:val="7"/>
            <w:tcBorders>
              <w:top w:val="single" w:sz="4" w:space="0" w:color="auto"/>
              <w:left w:val="nil"/>
              <w:right w:val="nil"/>
            </w:tcBorders>
            <w:shd w:val="clear" w:color="auto" w:fill="auto"/>
            <w:noWrap/>
            <w:vAlign w:val="bottom"/>
          </w:tcPr>
          <w:p w:rsidR="00B9661D" w:rsidRPr="007D1423" w:rsidRDefault="00B9661D" w:rsidP="00233609">
            <w:pPr>
              <w:spacing w:after="0"/>
              <w:rPr>
                <w:rFonts w:ascii="Times New Roman" w:eastAsia="Times New Roman" w:hAnsi="Times New Roman" w:cs="Times New Roman"/>
                <w:sz w:val="20"/>
                <w:szCs w:val="20"/>
              </w:rPr>
            </w:pPr>
            <w:r w:rsidRPr="002C1428">
              <w:rPr>
                <w:rFonts w:ascii="Times New Roman" w:eastAsia="Times New Roman" w:hAnsi="Times New Roman" w:cs="Times New Roman"/>
                <w:b/>
                <w:sz w:val="20"/>
                <w:szCs w:val="20"/>
              </w:rPr>
              <w:t>Panel A: Most overvalued stock</w:t>
            </w:r>
            <w:r>
              <w:rPr>
                <w:rFonts w:ascii="Times New Roman" w:eastAsia="Times New Roman" w:hAnsi="Times New Roman" w:cs="Times New Roman"/>
                <w:sz w:val="20"/>
                <w:szCs w:val="20"/>
              </w:rPr>
              <w:t>s</w:t>
            </w:r>
          </w:p>
        </w:tc>
      </w:tr>
      <w:tr w:rsidR="00B9661D" w:rsidRPr="007D1423" w:rsidTr="00233609">
        <w:trPr>
          <w:trHeight w:val="255"/>
        </w:trPr>
        <w:tc>
          <w:tcPr>
            <w:tcW w:w="1748" w:type="dxa"/>
            <w:tcBorders>
              <w:left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w:t>
            </w:r>
          </w:p>
        </w:tc>
        <w:tc>
          <w:tcPr>
            <w:tcW w:w="1301" w:type="dxa"/>
            <w:tcBorders>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w:t>
            </w:r>
          </w:p>
        </w:tc>
        <w:tc>
          <w:tcPr>
            <w:tcW w:w="1301" w:type="dxa"/>
            <w:tcBorders>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w:t>
            </w:r>
          </w:p>
        </w:tc>
        <w:tc>
          <w:tcPr>
            <w:tcW w:w="1213" w:type="dxa"/>
            <w:tcBorders>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w:t>
            </w:r>
          </w:p>
        </w:tc>
        <w:tc>
          <w:tcPr>
            <w:tcW w:w="1117" w:type="dxa"/>
            <w:tcBorders>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w:t>
            </w:r>
          </w:p>
        </w:tc>
        <w:tc>
          <w:tcPr>
            <w:tcW w:w="1301" w:type="dxa"/>
            <w:tcBorders>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w:t>
            </w:r>
          </w:p>
        </w:tc>
        <w:tc>
          <w:tcPr>
            <w:tcW w:w="1976" w:type="dxa"/>
            <w:tcBorders>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(6)</w:t>
            </w:r>
          </w:p>
        </w:tc>
      </w:tr>
      <w:tr w:rsidR="00B9661D" w:rsidRPr="007D1423" w:rsidTr="00233609">
        <w:trPr>
          <w:trHeight w:val="255"/>
        </w:trPr>
        <w:tc>
          <w:tcPr>
            <w:tcW w:w="1748" w:type="dxa"/>
            <w:tcBorders>
              <w:top w:val="nil"/>
              <w:left w:val="nil"/>
              <w:bottom w:val="single" w:sz="4" w:space="0" w:color="auto"/>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Highest MTB</w:t>
            </w:r>
          </w:p>
        </w:tc>
        <w:tc>
          <w:tcPr>
            <w:tcW w:w="1301"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Highest MTB</w:t>
            </w:r>
          </w:p>
        </w:tc>
        <w:tc>
          <w:tcPr>
            <w:tcW w:w="1213"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Highest MTB</w:t>
            </w:r>
          </w:p>
        </w:tc>
        <w:tc>
          <w:tcPr>
            <w:tcW w:w="1117"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Highest MTB</w:t>
            </w:r>
          </w:p>
        </w:tc>
        <w:tc>
          <w:tcPr>
            <w:tcW w:w="1301"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Highest MTB</w:t>
            </w:r>
          </w:p>
        </w:tc>
        <w:tc>
          <w:tcPr>
            <w:tcW w:w="1976"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Highest MTB</w:t>
            </w:r>
          </w:p>
        </w:tc>
      </w:tr>
      <w:tr w:rsidR="00B9661D" w:rsidRPr="007D1423" w:rsidTr="00233609">
        <w:trPr>
          <w:trHeight w:val="255"/>
        </w:trPr>
        <w:tc>
          <w:tcPr>
            <w:tcW w:w="1748" w:type="dxa"/>
            <w:tcBorders>
              <w:top w:val="single" w:sz="4" w:space="0" w:color="auto"/>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EPS_PF</w:t>
            </w:r>
          </w:p>
        </w:tc>
        <w:tc>
          <w:tcPr>
            <w:tcW w:w="1301" w:type="dxa"/>
            <w:tcBorders>
              <w:top w:val="single" w:sz="4" w:space="0" w:color="auto"/>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-2.325***</w:t>
            </w:r>
          </w:p>
        </w:tc>
        <w:tc>
          <w:tcPr>
            <w:tcW w:w="1301" w:type="dxa"/>
            <w:tcBorders>
              <w:top w:val="single" w:sz="4" w:space="0" w:color="auto"/>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-2.387***</w:t>
            </w:r>
          </w:p>
        </w:tc>
        <w:tc>
          <w:tcPr>
            <w:tcW w:w="1213" w:type="dxa"/>
            <w:tcBorders>
              <w:top w:val="single" w:sz="4" w:space="0" w:color="auto"/>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-2.739***</w:t>
            </w:r>
          </w:p>
        </w:tc>
        <w:tc>
          <w:tcPr>
            <w:tcW w:w="1117" w:type="dxa"/>
            <w:tcBorders>
              <w:top w:val="single" w:sz="4" w:space="0" w:color="auto"/>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single" w:sz="4" w:space="0" w:color="auto"/>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single" w:sz="4" w:space="0" w:color="auto"/>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(-8.057)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(-7.764)</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(-7.073)</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EPS_MB</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-2.006***</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-2.041***</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-2.308***</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(-8.607)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(-8.323)</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(-7.552)</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DISP</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-3.919***</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-3.998***</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-4.227***</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-3.390***</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-3.439***</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-3.696***</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(-9.007)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(-8.623)</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(-8.288)</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(-8.993)</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(-8.848)</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(-8.879)</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SIZE</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-0.026</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-0.007</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-0.102</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-0.031</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-0.008</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-0.120</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(-0.174)</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(-0.043)</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(-0.656)</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(-0.208)</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(-0.051)</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(-0.780)</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LEV</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0.959***</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0.982***</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0.974***</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0.913***</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0.936***</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0.924***</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(11.692)</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(11.997)</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(9.123)</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(10.934)</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(11.350)</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(8.595)</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VOLA</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1.870***</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1.910***</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2.147***</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1.842***</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1.886***</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2.083***</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(9.002)</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(9.520)</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(8.683)</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(9.208)</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(9.832)</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(9.053)</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AF</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0.006</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0.005</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0.002</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0.006</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0.006</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(0.520)</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(0.476)</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(0.148)</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(0.747)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(0.653)</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(0.540)</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EPS_PF*DISP</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3.610***</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3.736***</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3.859***</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(6.575)</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(6.430)</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(5.508)</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EPS_MB*DISP</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3.190***</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3.254***</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3.434***</w:t>
            </w:r>
          </w:p>
        </w:tc>
      </w:tr>
      <w:tr w:rsidR="00B9661D" w:rsidRPr="007D1423" w:rsidTr="00233609">
        <w:trPr>
          <w:trHeight w:val="255"/>
        </w:trPr>
        <w:tc>
          <w:tcPr>
            <w:tcW w:w="1748" w:type="dxa"/>
            <w:tcBorders>
              <w:top w:val="nil"/>
              <w:left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(6.436)</w:t>
            </w: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(6.143)</w:t>
            </w:r>
          </w:p>
        </w:tc>
        <w:tc>
          <w:tcPr>
            <w:tcW w:w="1976"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(5.501)</w:t>
            </w:r>
          </w:p>
        </w:tc>
      </w:tr>
      <w:tr w:rsidR="00B9661D" w:rsidRPr="007D1423" w:rsidTr="00233609">
        <w:trPr>
          <w:trHeight w:val="255"/>
        </w:trPr>
        <w:tc>
          <w:tcPr>
            <w:tcW w:w="1748" w:type="dxa"/>
            <w:tcBorders>
              <w:top w:val="nil"/>
              <w:left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Observations</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213"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117"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976"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r>
      <w:tr w:rsidR="00B9661D" w:rsidRPr="007D1423" w:rsidTr="00233609">
        <w:trPr>
          <w:trHeight w:val="255"/>
        </w:trPr>
        <w:tc>
          <w:tcPr>
            <w:tcW w:w="1748"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Fixed Effect</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No</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quarter</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 and quarter</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No</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quarter</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 and quarter</w:t>
            </w:r>
          </w:p>
        </w:tc>
      </w:tr>
      <w:tr w:rsidR="00B9661D" w:rsidRPr="007D1423" w:rsidTr="00233609">
        <w:trPr>
          <w:trHeight w:val="255"/>
        </w:trPr>
        <w:tc>
          <w:tcPr>
            <w:tcW w:w="1748"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roofErr w:type="spellStart"/>
            <w:r w:rsidRPr="007D1423">
              <w:rPr>
                <w:rFonts w:ascii="Times New Roman" w:eastAsia="Times New Roman" w:hAnsi="Times New Roman" w:cs="Times New Roman"/>
                <w:sz w:val="20"/>
                <w:szCs w:val="20"/>
              </w:rPr>
              <w:t>StdErr_Cluster</w:t>
            </w:r>
            <w:proofErr w:type="spellEnd"/>
          </w:p>
        </w:tc>
        <w:tc>
          <w:tcPr>
            <w:tcW w:w="1301"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301"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213"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117"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301"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976"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r>
      <w:tr w:rsidR="00B9661D" w:rsidRPr="007D1423" w:rsidTr="00233609">
        <w:trPr>
          <w:trHeight w:val="255"/>
        </w:trPr>
        <w:tc>
          <w:tcPr>
            <w:tcW w:w="9957" w:type="dxa"/>
            <w:gridSpan w:val="7"/>
            <w:tcBorders>
              <w:top w:val="single" w:sz="4" w:space="0" w:color="auto"/>
              <w:left w:val="nil"/>
            </w:tcBorders>
            <w:shd w:val="clear" w:color="auto" w:fill="auto"/>
            <w:noWrap/>
            <w:vAlign w:val="bottom"/>
          </w:tcPr>
          <w:p w:rsidR="00B9661D" w:rsidRPr="007D1423" w:rsidRDefault="00B9661D" w:rsidP="00233609">
            <w:pPr>
              <w:spacing w:after="0" w:line="240" w:lineRule="auto"/>
              <w:rPr>
                <w:rFonts w:ascii="Times New Roman" w:eastAsia="Times New Roman" w:hAnsi="Times New Roman" w:cs="Times New Roman"/>
                <w:sz w:val="20"/>
                <w:szCs w:val="20"/>
              </w:rPr>
            </w:pPr>
            <w:r w:rsidRPr="002C1428">
              <w:rPr>
                <w:rFonts w:ascii="Times New Roman" w:eastAsia="Times New Roman" w:hAnsi="Times New Roman" w:cs="Times New Roman"/>
                <w:b/>
                <w:sz w:val="20"/>
                <w:szCs w:val="20"/>
              </w:rPr>
              <w:t xml:space="preserve">Panel B: </w:t>
            </w:r>
            <w:r>
              <w:rPr>
                <w:rFonts w:ascii="Times New Roman" w:eastAsia="Times New Roman" w:hAnsi="Times New Roman" w:cs="Times New Roman"/>
                <w:b/>
                <w:sz w:val="20"/>
                <w:szCs w:val="20"/>
              </w:rPr>
              <w:t>Least</w:t>
            </w:r>
            <w:r w:rsidRPr="002C142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over</w:t>
            </w:r>
            <w:r w:rsidRPr="002C1428">
              <w:rPr>
                <w:rFonts w:ascii="Times New Roman" w:eastAsia="Times New Roman" w:hAnsi="Times New Roman" w:cs="Times New Roman"/>
                <w:b/>
                <w:sz w:val="20"/>
                <w:szCs w:val="20"/>
              </w:rPr>
              <w:t>valued stocks</w:t>
            </w:r>
          </w:p>
        </w:tc>
      </w:tr>
      <w:tr w:rsidR="00B9661D" w:rsidRPr="007D1423" w:rsidTr="00233609">
        <w:trPr>
          <w:trHeight w:val="255"/>
        </w:trPr>
        <w:tc>
          <w:tcPr>
            <w:tcW w:w="1748" w:type="dxa"/>
            <w:tcBorders>
              <w:left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r w:rsidRPr="007D1423">
              <w:rPr>
                <w:rFonts w:ascii="Times New Roman" w:eastAsia="Times New Roman" w:hAnsi="Times New Roman" w:cs="Times New Roman"/>
                <w:sz w:val="20"/>
                <w:szCs w:val="20"/>
              </w:rPr>
              <w:t>)</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7D1423">
              <w:rPr>
                <w:rFonts w:ascii="Times New Roman" w:eastAsia="Times New Roman" w:hAnsi="Times New Roman" w:cs="Times New Roman"/>
                <w:sz w:val="20"/>
                <w:szCs w:val="20"/>
              </w:rPr>
              <w:t>)</w:t>
            </w:r>
          </w:p>
        </w:tc>
        <w:tc>
          <w:tcPr>
            <w:tcW w:w="1213"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r w:rsidRPr="007D1423">
              <w:rPr>
                <w:rFonts w:ascii="Times New Roman" w:eastAsia="Times New Roman" w:hAnsi="Times New Roman" w:cs="Times New Roman"/>
                <w:sz w:val="20"/>
                <w:szCs w:val="20"/>
              </w:rPr>
              <w:t>)</w:t>
            </w:r>
          </w:p>
        </w:tc>
        <w:tc>
          <w:tcPr>
            <w:tcW w:w="1117"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Pr="007D1423">
              <w:rPr>
                <w:rFonts w:ascii="Times New Roman" w:eastAsia="Times New Roman" w:hAnsi="Times New Roman" w:cs="Times New Roman"/>
                <w:sz w:val="20"/>
                <w:szCs w:val="20"/>
              </w:rPr>
              <w:t>)</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Pr="007D1423">
              <w:rPr>
                <w:rFonts w:ascii="Times New Roman" w:eastAsia="Times New Roman" w:hAnsi="Times New Roman" w:cs="Times New Roman"/>
                <w:sz w:val="20"/>
                <w:szCs w:val="20"/>
              </w:rPr>
              <w:t>)</w:t>
            </w:r>
          </w:p>
        </w:tc>
        <w:tc>
          <w:tcPr>
            <w:tcW w:w="1976"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w:t>
            </w:r>
            <w:r>
              <w:rPr>
                <w:rFonts w:ascii="Times New Roman" w:eastAsia="Times New Roman" w:hAnsi="Times New Roman" w:cs="Times New Roman"/>
                <w:sz w:val="20"/>
                <w:szCs w:val="20"/>
              </w:rPr>
              <w:t>12</w:t>
            </w:r>
            <w:r w:rsidRPr="007D1423">
              <w:rPr>
                <w:rFonts w:ascii="Times New Roman" w:eastAsia="Times New Roman" w:hAnsi="Times New Roman" w:cs="Times New Roman"/>
                <w:sz w:val="20"/>
                <w:szCs w:val="20"/>
              </w:rPr>
              <w:t>)</w:t>
            </w:r>
          </w:p>
        </w:tc>
      </w:tr>
      <w:tr w:rsidR="00B9661D" w:rsidRPr="007D1423" w:rsidTr="00233609">
        <w:trPr>
          <w:trHeight w:val="255"/>
        </w:trPr>
        <w:tc>
          <w:tcPr>
            <w:tcW w:w="1748" w:type="dxa"/>
            <w:tcBorders>
              <w:top w:val="nil"/>
              <w:left w:val="nil"/>
              <w:bottom w:val="single" w:sz="4" w:space="0" w:color="auto"/>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xml:space="preserve">Lowest </w:t>
            </w:r>
          </w:p>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MTB</w:t>
            </w:r>
          </w:p>
        </w:tc>
        <w:tc>
          <w:tcPr>
            <w:tcW w:w="130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xml:space="preserve">Lowest </w:t>
            </w:r>
          </w:p>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MTB</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Lowest MTB</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Lowest MTB</w:t>
            </w:r>
          </w:p>
        </w:tc>
        <w:tc>
          <w:tcPr>
            <w:tcW w:w="130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xml:space="preserve">Lowest </w:t>
            </w:r>
          </w:p>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MTB</w:t>
            </w:r>
          </w:p>
        </w:tc>
        <w:tc>
          <w:tcPr>
            <w:tcW w:w="1976"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xml:space="preserve">Lowest </w:t>
            </w:r>
          </w:p>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MTB</w:t>
            </w:r>
          </w:p>
        </w:tc>
      </w:tr>
      <w:tr w:rsidR="00B9661D" w:rsidRPr="007D1423" w:rsidTr="00233609">
        <w:trPr>
          <w:trHeight w:val="255"/>
        </w:trPr>
        <w:tc>
          <w:tcPr>
            <w:tcW w:w="1748" w:type="dxa"/>
            <w:tcBorders>
              <w:top w:val="single" w:sz="4" w:space="0" w:color="auto"/>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single" w:sz="4" w:space="0" w:color="000000"/>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w:t>
            </w:r>
          </w:p>
        </w:tc>
        <w:tc>
          <w:tcPr>
            <w:tcW w:w="1301" w:type="dxa"/>
            <w:tcBorders>
              <w:top w:val="single" w:sz="4" w:space="0" w:color="000000"/>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w:t>
            </w:r>
          </w:p>
        </w:tc>
        <w:tc>
          <w:tcPr>
            <w:tcW w:w="1213" w:type="dxa"/>
            <w:tcBorders>
              <w:top w:val="single" w:sz="4" w:space="0" w:color="000000"/>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w:t>
            </w:r>
          </w:p>
        </w:tc>
        <w:tc>
          <w:tcPr>
            <w:tcW w:w="1117" w:type="dxa"/>
            <w:tcBorders>
              <w:top w:val="single" w:sz="4" w:space="0" w:color="000000"/>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w:t>
            </w:r>
          </w:p>
        </w:tc>
        <w:tc>
          <w:tcPr>
            <w:tcW w:w="1301" w:type="dxa"/>
            <w:tcBorders>
              <w:top w:val="single" w:sz="4" w:space="0" w:color="000000"/>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w:t>
            </w:r>
          </w:p>
        </w:tc>
        <w:tc>
          <w:tcPr>
            <w:tcW w:w="1976" w:type="dxa"/>
            <w:tcBorders>
              <w:top w:val="single" w:sz="4" w:space="0" w:color="000000"/>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 </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EPS_PF</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2.581***</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2.691***</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2.931***</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(5.571)</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(5.567)</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(5.734)</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EPS_MB</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2.691***</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2.798***</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3.078***</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(5.906)</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(5.822)</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(5.939)</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DISP</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5.267***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5.388***</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5.561***</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4.987***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5.082***</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5.322***</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(8.748)</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(8.586)</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(8.188)</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(9.894)</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(9.624)</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(9.251)</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SIZE</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0.018</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0.014</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0.135</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0.011</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-0.001</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0.124</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(0.155)</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(0.113)</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(1.096)</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(0.087)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(-0.012)</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(0.976)</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LEV</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-0.475***</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-0.488***</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-0.477***</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-0.456***</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-0.464***</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-0.445***</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(-7.763)</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(-7.792)</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(-6.402)</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(-7.384)</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(-7.352)</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(-5.981)</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VOLA</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-1.812***</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-1.851***</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-2.104***</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-1.887***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-1.925***</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-2.161***</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(-4.507)</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(-4.416)</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(-4.795)</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(-4.500)</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(-4.426)</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(-4.887)</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AF</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0.026**</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0.029**</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0.036***</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0.029**</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0.032**</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0.038***</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(2.095)</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(2.325)</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(2.588)</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(2.353)</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(2.563)</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(2.701)</w:t>
            </w: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EPS_PF*DISP</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-4.404***</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-4.602***</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-4.678***</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(-5.865)</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(-5.943)</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(-5.602)</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r>
      <w:tr w:rsidR="00B9661D" w:rsidRPr="007D1423" w:rsidTr="00233609">
        <w:trPr>
          <w:trHeight w:val="255"/>
        </w:trPr>
        <w:tc>
          <w:tcPr>
            <w:tcW w:w="1748" w:type="dxa"/>
            <w:tcBorders>
              <w:top w:val="nil"/>
              <w:left w:val="nil"/>
              <w:bottom w:val="nil"/>
              <w:right w:val="nil"/>
            </w:tcBorders>
            <w:shd w:val="clear" w:color="auto" w:fill="auto"/>
            <w:noWrap/>
            <w:vAlign w:val="bottom"/>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EPS_MB*DISP</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-4.536***</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-4.716***</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-4.926***</w:t>
            </w:r>
          </w:p>
        </w:tc>
      </w:tr>
      <w:tr w:rsidR="00B9661D" w:rsidRPr="007D1423" w:rsidTr="00233609">
        <w:trPr>
          <w:trHeight w:val="255"/>
        </w:trPr>
        <w:tc>
          <w:tcPr>
            <w:tcW w:w="1748" w:type="dxa"/>
            <w:tcBorders>
              <w:top w:val="nil"/>
              <w:left w:val="nil"/>
              <w:right w:val="nil"/>
            </w:tcBorders>
            <w:shd w:val="clear" w:color="auto" w:fill="auto"/>
            <w:noWrap/>
            <w:vAlign w:val="bottom"/>
            <w:hideMark/>
          </w:tcPr>
          <w:p w:rsidR="00B9661D" w:rsidRPr="007D1423" w:rsidRDefault="00B9661D" w:rsidP="00233609">
            <w:pPr>
              <w:spacing w:after="0" w:line="240" w:lineRule="auto"/>
              <w:jc w:val="center"/>
              <w:rPr>
                <w:rFonts w:ascii="Times New Roman" w:eastAsia="Times New Roman" w:hAnsi="Times New Roman" w:cs="Times New Roman"/>
                <w:sz w:val="20"/>
                <w:szCs w:val="20"/>
              </w:rPr>
            </w:pP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213"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
        </w:tc>
        <w:tc>
          <w:tcPr>
            <w:tcW w:w="1117"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(-5.709)</w:t>
            </w:r>
          </w:p>
        </w:tc>
        <w:tc>
          <w:tcPr>
            <w:tcW w:w="1301"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(-5.613)</w:t>
            </w:r>
          </w:p>
        </w:tc>
        <w:tc>
          <w:tcPr>
            <w:tcW w:w="1976" w:type="dxa"/>
            <w:tcBorders>
              <w:top w:val="nil"/>
              <w:left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(-5.330)</w:t>
            </w:r>
          </w:p>
        </w:tc>
      </w:tr>
      <w:tr w:rsidR="00B9661D" w:rsidRPr="007D1423" w:rsidTr="00233609">
        <w:trPr>
          <w:trHeight w:val="255"/>
        </w:trPr>
        <w:tc>
          <w:tcPr>
            <w:tcW w:w="1748"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Observations</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213"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117"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301"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c>
          <w:tcPr>
            <w:tcW w:w="1976" w:type="dxa"/>
            <w:tcBorders>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747</w:t>
            </w:r>
          </w:p>
        </w:tc>
      </w:tr>
      <w:tr w:rsidR="00B9661D" w:rsidRPr="007D1423" w:rsidTr="00233609">
        <w:trPr>
          <w:trHeight w:val="255"/>
        </w:trPr>
        <w:tc>
          <w:tcPr>
            <w:tcW w:w="1748"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Fixed Effect</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No</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quarter</w:t>
            </w:r>
          </w:p>
        </w:tc>
        <w:tc>
          <w:tcPr>
            <w:tcW w:w="1213"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 and quarter</w:t>
            </w:r>
          </w:p>
        </w:tc>
        <w:tc>
          <w:tcPr>
            <w:tcW w:w="1117"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No</w:t>
            </w:r>
          </w:p>
        </w:tc>
        <w:tc>
          <w:tcPr>
            <w:tcW w:w="1301"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quarter</w:t>
            </w:r>
          </w:p>
        </w:tc>
        <w:tc>
          <w:tcPr>
            <w:tcW w:w="1976" w:type="dxa"/>
            <w:tcBorders>
              <w:top w:val="nil"/>
              <w:left w:val="nil"/>
              <w:bottom w:val="nil"/>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 and quarter</w:t>
            </w:r>
          </w:p>
        </w:tc>
      </w:tr>
      <w:tr w:rsidR="00B9661D" w:rsidRPr="007D1423" w:rsidTr="00233609">
        <w:trPr>
          <w:trHeight w:val="255"/>
        </w:trPr>
        <w:tc>
          <w:tcPr>
            <w:tcW w:w="1748" w:type="dxa"/>
            <w:tcBorders>
              <w:top w:val="nil"/>
              <w:left w:val="nil"/>
              <w:bottom w:val="single" w:sz="4" w:space="0" w:color="auto"/>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proofErr w:type="spellStart"/>
            <w:r w:rsidRPr="007D1423">
              <w:rPr>
                <w:rFonts w:ascii="Times New Roman" w:eastAsia="Times New Roman" w:hAnsi="Times New Roman" w:cs="Times New Roman"/>
                <w:sz w:val="20"/>
                <w:szCs w:val="20"/>
              </w:rPr>
              <w:t>StdErr_Cluster</w:t>
            </w:r>
            <w:proofErr w:type="spellEnd"/>
          </w:p>
        </w:tc>
        <w:tc>
          <w:tcPr>
            <w:tcW w:w="1301" w:type="dxa"/>
            <w:tcBorders>
              <w:top w:val="nil"/>
              <w:left w:val="nil"/>
              <w:bottom w:val="single" w:sz="4" w:space="0" w:color="000000"/>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301" w:type="dxa"/>
            <w:tcBorders>
              <w:top w:val="nil"/>
              <w:left w:val="nil"/>
              <w:bottom w:val="single" w:sz="4" w:space="0" w:color="000000"/>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213" w:type="dxa"/>
            <w:tcBorders>
              <w:top w:val="nil"/>
              <w:left w:val="nil"/>
              <w:bottom w:val="single" w:sz="4" w:space="0" w:color="000000"/>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117" w:type="dxa"/>
            <w:tcBorders>
              <w:top w:val="nil"/>
              <w:left w:val="nil"/>
              <w:bottom w:val="single" w:sz="4" w:space="0" w:color="000000"/>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301" w:type="dxa"/>
            <w:tcBorders>
              <w:top w:val="nil"/>
              <w:left w:val="nil"/>
              <w:bottom w:val="single" w:sz="4" w:space="0" w:color="000000"/>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c>
          <w:tcPr>
            <w:tcW w:w="1976" w:type="dxa"/>
            <w:tcBorders>
              <w:top w:val="nil"/>
              <w:left w:val="nil"/>
              <w:bottom w:val="single" w:sz="4" w:space="0" w:color="000000"/>
              <w:right w:val="nil"/>
            </w:tcBorders>
            <w:shd w:val="clear" w:color="auto" w:fill="auto"/>
            <w:noWrap/>
            <w:hideMark/>
          </w:tcPr>
          <w:p w:rsidR="00B9661D" w:rsidRPr="007D1423" w:rsidRDefault="00B9661D" w:rsidP="00233609">
            <w:pPr>
              <w:spacing w:after="0" w:line="240" w:lineRule="auto"/>
              <w:rPr>
                <w:rFonts w:ascii="Times New Roman" w:eastAsia="Times New Roman" w:hAnsi="Times New Roman" w:cs="Times New Roman"/>
                <w:sz w:val="20"/>
                <w:szCs w:val="20"/>
              </w:rPr>
            </w:pPr>
            <w:r w:rsidRPr="007D1423">
              <w:rPr>
                <w:rFonts w:ascii="Times New Roman" w:eastAsia="Times New Roman" w:hAnsi="Times New Roman" w:cs="Times New Roman"/>
                <w:sz w:val="20"/>
                <w:szCs w:val="20"/>
              </w:rPr>
              <w:t>firm</w:t>
            </w:r>
          </w:p>
        </w:tc>
      </w:tr>
    </w:tbl>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pStyle w:val="tableform"/>
        <w:spacing w:before="0" w:line="240" w:lineRule="auto"/>
        <w:ind w:left="0" w:firstLine="0"/>
        <w:sectPr w:rsidR="00B9661D" w:rsidSect="00233609">
          <w:pgSz w:w="11906" w:h="16838"/>
          <w:pgMar w:top="1440" w:right="851" w:bottom="1440" w:left="1135" w:header="708" w:footer="449" w:gutter="0"/>
          <w:cols w:space="708"/>
          <w:docGrid w:linePitch="360"/>
        </w:sectPr>
      </w:pPr>
    </w:p>
    <w:p w:rsidR="00B9661D" w:rsidRPr="001D62D2" w:rsidRDefault="00B9661D" w:rsidP="00B9661D">
      <w:pPr>
        <w:pStyle w:val="tableform"/>
        <w:spacing w:before="0" w:line="240" w:lineRule="auto"/>
        <w:ind w:left="0" w:firstLine="0"/>
        <w:rPr>
          <w:rStyle w:val="SubtleEmphasis"/>
          <w:i w:val="0"/>
          <w:color w:val="auto"/>
        </w:rPr>
      </w:pPr>
      <w:r w:rsidRPr="001D62D2">
        <w:rPr>
          <w:rStyle w:val="SubtleEmphasis"/>
          <w:color w:val="auto"/>
        </w:rPr>
        <w:lastRenderedPageBreak/>
        <w:t xml:space="preserve">Table 4. The forward effect of pro forma earnings disclosure on overvaluation in the following </w:t>
      </w:r>
      <w:r>
        <w:rPr>
          <w:rStyle w:val="SubtleEmphasis"/>
          <w:color w:val="auto"/>
        </w:rPr>
        <w:t>q</w:t>
      </w:r>
      <w:r w:rsidRPr="001D62D2">
        <w:rPr>
          <w:rStyle w:val="SubtleEmphasis"/>
          <w:color w:val="auto"/>
        </w:rPr>
        <w:t>uarter</w:t>
      </w:r>
    </w:p>
    <w:p w:rsidR="00B9661D" w:rsidRDefault="00B9661D" w:rsidP="00B9661D">
      <w:pPr>
        <w:spacing w:before="120"/>
        <w:jc w:val="both"/>
        <w:rPr>
          <w:rFonts w:ascii="Times New Roman" w:hAnsi="Times New Roman" w:cs="Times New Roman"/>
        </w:rPr>
      </w:pPr>
      <w:r w:rsidRPr="008D6541">
        <w:rPr>
          <w:rFonts w:ascii="Times New Roman" w:hAnsi="Times New Roman" w:cs="Times New Roman"/>
        </w:rPr>
        <w:t xml:space="preserve">This table shows </w:t>
      </w:r>
      <w:r>
        <w:rPr>
          <w:rFonts w:ascii="Times New Roman" w:hAnsi="Times New Roman" w:cs="Times New Roman"/>
        </w:rPr>
        <w:t>the regression results for t</w:t>
      </w:r>
      <w:r w:rsidRPr="00CA1BFB">
        <w:rPr>
          <w:rFonts w:ascii="Times New Roman" w:hAnsi="Times New Roman" w:cs="Times New Roman"/>
        </w:rPr>
        <w:t>he forward effect of pro forma earnings disclosure on overvaluation in the following quarter</w:t>
      </w:r>
      <w:r w:rsidRPr="008D6541">
        <w:rPr>
          <w:rFonts w:ascii="Times New Roman" w:hAnsi="Times New Roman" w:cs="Times New Roman"/>
        </w:rPr>
        <w:t xml:space="preserve">. The sample period of firm-quarter observations is from </w:t>
      </w:r>
      <w:r w:rsidRPr="008D6541">
        <w:rPr>
          <w:rFonts w:ascii="Times New Roman" w:eastAsia="Times New Roman" w:hAnsi="Times New Roman" w:cs="Times New Roman"/>
        </w:rPr>
        <w:t>Q1</w:t>
      </w:r>
      <w:r>
        <w:rPr>
          <w:rFonts w:ascii="Times New Roman" w:eastAsia="Times New Roman" w:hAnsi="Times New Roman" w:cs="Times New Roman"/>
        </w:rPr>
        <w:t>/</w:t>
      </w:r>
      <w:r w:rsidRPr="008D6541">
        <w:rPr>
          <w:rFonts w:ascii="Times New Roman" w:eastAsia="Times New Roman" w:hAnsi="Times New Roman" w:cs="Times New Roman"/>
        </w:rPr>
        <w:t>2011 to Q1</w:t>
      </w:r>
      <w:r>
        <w:rPr>
          <w:rFonts w:ascii="Times New Roman" w:eastAsia="Times New Roman" w:hAnsi="Times New Roman" w:cs="Times New Roman"/>
        </w:rPr>
        <w:t>/</w:t>
      </w:r>
      <w:r w:rsidRPr="008D6541">
        <w:rPr>
          <w:rFonts w:ascii="Times New Roman" w:eastAsia="Times New Roman" w:hAnsi="Times New Roman" w:cs="Times New Roman"/>
        </w:rPr>
        <w:t>2017</w:t>
      </w:r>
      <w:r w:rsidRPr="008D6541">
        <w:rPr>
          <w:rFonts w:ascii="Times New Roman" w:hAnsi="Times New Roman" w:cs="Times New Roman"/>
        </w:rPr>
        <w:t xml:space="preserve">. </w:t>
      </w:r>
      <w:r w:rsidRPr="008D6541">
        <w:rPr>
          <w:rFonts w:ascii="Times New Roman" w:hAnsi="Times New Roman" w:cs="Times New Roman"/>
          <w:i/>
        </w:rPr>
        <w:t>MTB</w:t>
      </w:r>
      <w:r w:rsidRPr="008D6541">
        <w:rPr>
          <w:rFonts w:ascii="Times New Roman" w:hAnsi="Times New Roman" w:cs="Times New Roman"/>
        </w:rPr>
        <w:t xml:space="preserve"> is the market-to-book ratio, </w:t>
      </w:r>
      <w:r w:rsidRPr="008D6541">
        <w:rPr>
          <w:rFonts w:ascii="Times New Roman" w:hAnsi="Times New Roman" w:cs="Times New Roman"/>
          <w:i/>
        </w:rPr>
        <w:t>EPS_PF</w:t>
      </w:r>
      <w:r w:rsidRPr="008D6541">
        <w:rPr>
          <w:rFonts w:ascii="Times New Roman" w:hAnsi="Times New Roman" w:cs="Times New Roman"/>
        </w:rPr>
        <w:t xml:space="preserve"> is a dummy variable taking the value of 1 if a firm discloses pro forma earnings in a given quarter, and 0 otherwise, </w:t>
      </w:r>
      <w:r w:rsidRPr="008D6541">
        <w:rPr>
          <w:rFonts w:ascii="Times New Roman" w:hAnsi="Times New Roman" w:cs="Times New Roman"/>
          <w:i/>
        </w:rPr>
        <w:t>EPS_MB</w:t>
      </w:r>
      <w:r w:rsidRPr="008D6541">
        <w:rPr>
          <w:rFonts w:ascii="Times New Roman" w:hAnsi="Times New Roman" w:cs="Times New Roman"/>
        </w:rPr>
        <w:t xml:space="preserve"> is a dummy variable taking the value of 1 if a firm discloses pro forma earnings in a given quarter that meet or beat analyst earnings forecasts while GAAP </w:t>
      </w:r>
      <w:r w:rsidRPr="004B2D18">
        <w:rPr>
          <w:rFonts w:ascii="Times New Roman" w:hAnsi="Times New Roman" w:cs="Times New Roman"/>
        </w:rPr>
        <w:t xml:space="preserve">operating profit falls short of forecasts, and 0 otherwise, </w:t>
      </w:r>
      <w:r w:rsidRPr="004B2D18">
        <w:rPr>
          <w:rFonts w:ascii="Times New Roman" w:hAnsi="Times New Roman" w:cs="Times New Roman"/>
          <w:i/>
        </w:rPr>
        <w:t>DISP</w:t>
      </w:r>
      <w:r w:rsidRPr="004B2D18">
        <w:rPr>
          <w:rFonts w:ascii="Times New Roman" w:hAnsi="Times New Roman" w:cs="Times New Roman"/>
        </w:rPr>
        <w:t xml:space="preserve"> is the standard deviation of analyst earnings forecasts scaled by the consensus mean earnings forecast, </w:t>
      </w:r>
      <w:r w:rsidRPr="004B2D18">
        <w:rPr>
          <w:rFonts w:ascii="Times New Roman" w:hAnsi="Times New Roman" w:cs="Times New Roman"/>
          <w:i/>
        </w:rPr>
        <w:t>SIZE</w:t>
      </w:r>
      <w:r w:rsidRPr="004B2D18">
        <w:rPr>
          <w:rFonts w:ascii="Times New Roman" w:hAnsi="Times New Roman" w:cs="Times New Roman"/>
        </w:rPr>
        <w:t xml:space="preserve"> is firm size measured as market value of equity, </w:t>
      </w:r>
      <w:r w:rsidRPr="004B2D18">
        <w:rPr>
          <w:rFonts w:ascii="Times New Roman" w:hAnsi="Times New Roman" w:cs="Times New Roman"/>
          <w:i/>
        </w:rPr>
        <w:t>LEV</w:t>
      </w:r>
      <w:r w:rsidRPr="004B2D18">
        <w:rPr>
          <w:rFonts w:ascii="Times New Roman" w:hAnsi="Times New Roman" w:cs="Times New Roman"/>
        </w:rPr>
        <w:t xml:space="preserve"> is leverage measured as total debt to total equity, </w:t>
      </w:r>
      <w:r w:rsidRPr="004B2D18">
        <w:rPr>
          <w:rFonts w:ascii="Times New Roman" w:hAnsi="Times New Roman" w:cs="Times New Roman"/>
          <w:i/>
        </w:rPr>
        <w:t>VOLA</w:t>
      </w:r>
      <w:r w:rsidRPr="004B2D18">
        <w:rPr>
          <w:rFonts w:ascii="Times New Roman" w:hAnsi="Times New Roman" w:cs="Times New Roman"/>
        </w:rPr>
        <w:t xml:space="preserve"> is the firm’s average return on assets volatility over the past 5 years, </w:t>
      </w:r>
      <w:r w:rsidRPr="004B2D18">
        <w:rPr>
          <w:rFonts w:ascii="Times New Roman" w:hAnsi="Times New Roman" w:cs="Times New Roman"/>
          <w:i/>
        </w:rPr>
        <w:t>AF</w:t>
      </w:r>
      <w:r w:rsidRPr="004B2D18">
        <w:rPr>
          <w:rFonts w:ascii="Times New Roman" w:hAnsi="Times New Roman" w:cs="Times New Roman"/>
        </w:rPr>
        <w:t xml:space="preserve"> is the number of analysts following the firm. All of the firm-specific variables are</w:t>
      </w:r>
      <w:r w:rsidRPr="008D6541">
        <w:rPr>
          <w:rFonts w:ascii="Times New Roman" w:hAnsi="Times New Roman" w:cs="Times New Roman"/>
        </w:rPr>
        <w:t xml:space="preserve"> </w:t>
      </w:r>
      <w:proofErr w:type="spellStart"/>
      <w:r w:rsidRPr="008D6541">
        <w:rPr>
          <w:rFonts w:ascii="Times New Roman" w:hAnsi="Times New Roman" w:cs="Times New Roman"/>
        </w:rPr>
        <w:t>winsorized</w:t>
      </w:r>
      <w:proofErr w:type="spellEnd"/>
      <w:r w:rsidRPr="008D6541">
        <w:rPr>
          <w:rFonts w:ascii="Times New Roman" w:hAnsi="Times New Roman" w:cs="Times New Roman"/>
        </w:rPr>
        <w:t xml:space="preserve"> at the 1% and 99% levels.</w:t>
      </w:r>
      <w:r>
        <w:rPr>
          <w:rFonts w:ascii="Times New Roman" w:hAnsi="Times New Roman" w:cs="Times New Roman"/>
          <w:i/>
        </w:rPr>
        <w:t xml:space="preserve"> z</w:t>
      </w:r>
      <w:r w:rsidRPr="008D6541">
        <w:rPr>
          <w:rFonts w:ascii="Times New Roman" w:hAnsi="Times New Roman" w:cs="Times New Roman"/>
        </w:rPr>
        <w:t>-statistics are reported in parentheses under the estimation coefficient. ***, **, and * denote significance levels 1%, 5%, and 10%, respectively.</w:t>
      </w:r>
    </w:p>
    <w:tbl>
      <w:tblPr>
        <w:tblpPr w:leftFromText="180" w:rightFromText="180" w:vertAnchor="page" w:horzAnchor="margin" w:tblpY="5986"/>
        <w:tblW w:w="10173" w:type="dxa"/>
        <w:tblLayout w:type="fixed"/>
        <w:tblLook w:val="04A0" w:firstRow="1" w:lastRow="0" w:firstColumn="1" w:lastColumn="0" w:noHBand="0" w:noVBand="1"/>
      </w:tblPr>
      <w:tblGrid>
        <w:gridCol w:w="1526"/>
        <w:gridCol w:w="1291"/>
        <w:gridCol w:w="1420"/>
        <w:gridCol w:w="1683"/>
        <w:gridCol w:w="1156"/>
        <w:gridCol w:w="1419"/>
        <w:gridCol w:w="1678"/>
      </w:tblGrid>
      <w:tr w:rsidR="00B9661D" w:rsidRPr="00FE020F" w:rsidTr="00233609">
        <w:trPr>
          <w:trHeight w:val="255"/>
        </w:trPr>
        <w:tc>
          <w:tcPr>
            <w:tcW w:w="1526"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 </w:t>
            </w:r>
          </w:p>
        </w:tc>
        <w:tc>
          <w:tcPr>
            <w:tcW w:w="1291"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w:t>
            </w:r>
          </w:p>
        </w:tc>
        <w:tc>
          <w:tcPr>
            <w:tcW w:w="1420"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w:t>
            </w:r>
          </w:p>
        </w:tc>
        <w:tc>
          <w:tcPr>
            <w:tcW w:w="1683"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(3)</w:t>
            </w:r>
          </w:p>
        </w:tc>
        <w:tc>
          <w:tcPr>
            <w:tcW w:w="1156"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(4)</w:t>
            </w:r>
          </w:p>
        </w:tc>
        <w:tc>
          <w:tcPr>
            <w:tcW w:w="1419"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w:t>
            </w:r>
          </w:p>
        </w:tc>
        <w:tc>
          <w:tcPr>
            <w:tcW w:w="1678"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(6)</w:t>
            </w:r>
          </w:p>
        </w:tc>
      </w:tr>
      <w:tr w:rsidR="00B9661D" w:rsidRPr="00FE020F" w:rsidTr="00233609">
        <w:trPr>
          <w:trHeight w:val="255"/>
        </w:trPr>
        <w:tc>
          <w:tcPr>
            <w:tcW w:w="1526"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MTB_Q</w:t>
            </w:r>
            <w:r w:rsidRPr="00FE020F">
              <w:rPr>
                <w:rFonts w:ascii="Times New Roman" w:eastAsia="Times New Roman" w:hAnsi="Times New Roman" w:cs="Times New Roman"/>
                <w:sz w:val="20"/>
                <w:szCs w:val="20"/>
                <w:vertAlign w:val="subscript"/>
              </w:rPr>
              <w:t>t+1</w:t>
            </w:r>
          </w:p>
        </w:tc>
        <w:tc>
          <w:tcPr>
            <w:tcW w:w="1420"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MTB_Q</w:t>
            </w:r>
            <w:r w:rsidRPr="00FE020F">
              <w:rPr>
                <w:rFonts w:ascii="Times New Roman" w:eastAsia="Times New Roman" w:hAnsi="Times New Roman" w:cs="Times New Roman"/>
                <w:sz w:val="20"/>
                <w:szCs w:val="20"/>
                <w:vertAlign w:val="subscript"/>
              </w:rPr>
              <w:t>t+1</w:t>
            </w:r>
          </w:p>
        </w:tc>
        <w:tc>
          <w:tcPr>
            <w:tcW w:w="1683"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MTB_Q</w:t>
            </w:r>
            <w:r w:rsidRPr="00FE020F">
              <w:rPr>
                <w:rFonts w:ascii="Times New Roman" w:eastAsia="Times New Roman" w:hAnsi="Times New Roman" w:cs="Times New Roman"/>
                <w:sz w:val="20"/>
                <w:szCs w:val="20"/>
                <w:vertAlign w:val="subscript"/>
              </w:rPr>
              <w:t>t+1</w:t>
            </w:r>
          </w:p>
        </w:tc>
        <w:tc>
          <w:tcPr>
            <w:tcW w:w="1156"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MTB_Q</w:t>
            </w:r>
            <w:r w:rsidRPr="00FE020F">
              <w:rPr>
                <w:rFonts w:ascii="Times New Roman" w:eastAsia="Times New Roman" w:hAnsi="Times New Roman" w:cs="Times New Roman"/>
                <w:sz w:val="20"/>
                <w:szCs w:val="20"/>
                <w:vertAlign w:val="subscript"/>
              </w:rPr>
              <w:t>t+1</w:t>
            </w:r>
          </w:p>
        </w:tc>
        <w:tc>
          <w:tcPr>
            <w:tcW w:w="1419"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MTB_Q</w:t>
            </w:r>
            <w:r w:rsidRPr="00FE020F">
              <w:rPr>
                <w:rFonts w:ascii="Times New Roman" w:eastAsia="Times New Roman" w:hAnsi="Times New Roman" w:cs="Times New Roman"/>
                <w:sz w:val="20"/>
                <w:szCs w:val="20"/>
                <w:vertAlign w:val="subscript"/>
              </w:rPr>
              <w:t>t+1</w:t>
            </w:r>
          </w:p>
        </w:tc>
        <w:tc>
          <w:tcPr>
            <w:tcW w:w="1678"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MTB_Q</w:t>
            </w:r>
            <w:r w:rsidRPr="00FE020F">
              <w:rPr>
                <w:rFonts w:ascii="Times New Roman" w:eastAsia="Times New Roman" w:hAnsi="Times New Roman" w:cs="Times New Roman"/>
                <w:sz w:val="20"/>
                <w:szCs w:val="20"/>
                <w:vertAlign w:val="subscript"/>
              </w:rPr>
              <w:t>t+1</w:t>
            </w:r>
          </w:p>
        </w:tc>
      </w:tr>
      <w:tr w:rsidR="00B9661D" w:rsidRPr="00FE020F" w:rsidTr="00233609">
        <w:trPr>
          <w:trHeight w:val="255"/>
        </w:trPr>
        <w:tc>
          <w:tcPr>
            <w:tcW w:w="1526"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EPS</w:t>
            </w:r>
            <w:r>
              <w:rPr>
                <w:rFonts w:ascii="Times New Roman" w:eastAsia="Times New Roman" w:hAnsi="Times New Roman" w:cs="Times New Roman"/>
                <w:sz w:val="20"/>
                <w:szCs w:val="20"/>
              </w:rPr>
              <w:t>_</w:t>
            </w:r>
            <w:r w:rsidRPr="00FE020F">
              <w:rPr>
                <w:rFonts w:ascii="Times New Roman" w:eastAsia="Times New Roman" w:hAnsi="Times New Roman" w:cs="Times New Roman"/>
                <w:sz w:val="20"/>
                <w:szCs w:val="20"/>
              </w:rPr>
              <w:t>PF</w:t>
            </w:r>
          </w:p>
        </w:tc>
        <w:tc>
          <w:tcPr>
            <w:tcW w:w="1291"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-0.648***</w:t>
            </w:r>
          </w:p>
        </w:tc>
        <w:tc>
          <w:tcPr>
            <w:tcW w:w="1420"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-0.748***</w:t>
            </w:r>
          </w:p>
        </w:tc>
        <w:tc>
          <w:tcPr>
            <w:tcW w:w="1683"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-1.127***</w:t>
            </w:r>
          </w:p>
        </w:tc>
        <w:tc>
          <w:tcPr>
            <w:tcW w:w="1156"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9"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678"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(-2.863)</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(-3.104)</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(-4.276)</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EPS_MB</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-0.864***</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-0.953***</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-1.214***</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(-4.407)</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(-4.172)</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(-4.673)</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-1.921***</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-1.984***</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-2.008***</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-2.018***</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-2.081***</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-2.082***</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(-5.083)</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(-5.255)</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(-5.533)</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(-5.427)</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(-5.573)</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(-5.962)</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0.408**</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0.345**</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0.119</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0.416**</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0.352**</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0.139</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(2.501)</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(2.268)</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(0.685)</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(2.558)</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(2.338)</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(0.818)</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2.389***</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2.414***</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2.226***</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2.375***</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2.398***</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2.213***</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(8.160)</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(8.363)</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(8.354)</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(8.337)</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(8.542)</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(8.528)</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VOLA</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1.549***</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1.532***</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1.625***</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1.559***</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1.541***</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1.604***</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(8.531)</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(8.597)</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(9.250)</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(8.269)</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(8.452)</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(8.657)</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AF</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0.033***</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0.038***</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0.030***</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0.033***</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0.039***</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0.034***</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(3.354)</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(4.410)</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(3.317)</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(2.970)</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(3.934)</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(3.164)</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Observations</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715</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715</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715</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715</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715</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715</w:t>
            </w:r>
          </w:p>
        </w:tc>
      </w:tr>
      <w:tr w:rsidR="00B9661D" w:rsidRPr="00FE020F" w:rsidTr="00233609">
        <w:trPr>
          <w:trHeight w:val="255"/>
        </w:trPr>
        <w:tc>
          <w:tcPr>
            <w:tcW w:w="152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Fixed Effect</w:t>
            </w:r>
          </w:p>
        </w:tc>
        <w:tc>
          <w:tcPr>
            <w:tcW w:w="1291"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No</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quarter</w:t>
            </w:r>
          </w:p>
        </w:tc>
        <w:tc>
          <w:tcPr>
            <w:tcW w:w="1683"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 and quarter</w:t>
            </w:r>
          </w:p>
        </w:tc>
        <w:tc>
          <w:tcPr>
            <w:tcW w:w="115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No</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quarter</w:t>
            </w:r>
          </w:p>
        </w:tc>
        <w:tc>
          <w:tcPr>
            <w:tcW w:w="167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 and quarter</w:t>
            </w:r>
          </w:p>
        </w:tc>
      </w:tr>
      <w:tr w:rsidR="00B9661D" w:rsidRPr="00FE020F" w:rsidTr="00233609">
        <w:trPr>
          <w:trHeight w:val="255"/>
        </w:trPr>
        <w:tc>
          <w:tcPr>
            <w:tcW w:w="1526"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roofErr w:type="spellStart"/>
            <w:r w:rsidRPr="00FE020F">
              <w:rPr>
                <w:rFonts w:ascii="Times New Roman" w:eastAsia="Times New Roman" w:hAnsi="Times New Roman" w:cs="Times New Roman"/>
                <w:sz w:val="20"/>
                <w:szCs w:val="20"/>
              </w:rPr>
              <w:t>StdErr_Cluster</w:t>
            </w:r>
            <w:proofErr w:type="spellEnd"/>
          </w:p>
        </w:tc>
        <w:tc>
          <w:tcPr>
            <w:tcW w:w="1291"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420"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683"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156"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419"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678"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r>
    </w:tbl>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spacing w:after="0"/>
        <w:jc w:val="both"/>
        <w:rPr>
          <w:rFonts w:ascii="Times New Roman" w:hAnsi="Times New Roman" w:cs="Times New Roman"/>
          <w:sz w:val="18"/>
          <w:szCs w:val="18"/>
        </w:rPr>
      </w:pPr>
    </w:p>
    <w:p w:rsidR="00B9661D" w:rsidRDefault="00B9661D" w:rsidP="00B9661D">
      <w:pPr>
        <w:pStyle w:val="tableform"/>
        <w:spacing w:before="0"/>
        <w:ind w:left="851" w:hanging="851"/>
        <w:jc w:val="both"/>
        <w:rPr>
          <w:sz w:val="22"/>
          <w:szCs w:val="22"/>
        </w:rPr>
        <w:sectPr w:rsidR="00B9661D" w:rsidSect="00233609">
          <w:pgSz w:w="11906" w:h="16838"/>
          <w:pgMar w:top="1440" w:right="851" w:bottom="1440" w:left="1135" w:header="708" w:footer="449" w:gutter="0"/>
          <w:cols w:space="708"/>
          <w:docGrid w:linePitch="360"/>
        </w:sectPr>
      </w:pPr>
    </w:p>
    <w:p w:rsidR="00B9661D" w:rsidRPr="001D62D2" w:rsidRDefault="00B9661D" w:rsidP="00B9661D">
      <w:pPr>
        <w:pStyle w:val="tableform"/>
        <w:spacing w:before="0" w:line="240" w:lineRule="auto"/>
        <w:ind w:left="0" w:firstLine="0"/>
        <w:jc w:val="both"/>
        <w:rPr>
          <w:rStyle w:val="SubtleEmphasis"/>
          <w:i w:val="0"/>
          <w:color w:val="auto"/>
        </w:rPr>
      </w:pPr>
      <w:r w:rsidRPr="001D62D2">
        <w:rPr>
          <w:rStyle w:val="SubtleEmphasis"/>
          <w:color w:val="auto"/>
        </w:rPr>
        <w:lastRenderedPageBreak/>
        <w:t>Table 5. Logistic regression for the effect of pro forma disclosures on overvaluation: baseline results using Tobin’s Q</w:t>
      </w:r>
    </w:p>
    <w:p w:rsidR="00B9661D" w:rsidRPr="0049386C" w:rsidRDefault="00B9661D" w:rsidP="00B9661D">
      <w:pPr>
        <w:jc w:val="both"/>
        <w:rPr>
          <w:rFonts w:ascii="Times New Roman" w:hAnsi="Times New Roman" w:cs="Times New Roman"/>
          <w:sz w:val="24"/>
        </w:rPr>
      </w:pPr>
      <w:r w:rsidRPr="0049386C">
        <w:rPr>
          <w:rFonts w:ascii="Times New Roman" w:hAnsi="Times New Roman" w:cs="Times New Roman"/>
          <w:sz w:val="24"/>
        </w:rPr>
        <w:t xml:space="preserve">This table shows the logistic regression results for the effect of pro forma disclosures on overvaluation for the baseline model using Tobin’s Q instead of </w:t>
      </w:r>
      <w:r w:rsidRPr="0049386C">
        <w:rPr>
          <w:rFonts w:ascii="Times New Roman" w:hAnsi="Times New Roman" w:cs="Times New Roman"/>
          <w:i/>
          <w:sz w:val="24"/>
        </w:rPr>
        <w:t>MTB</w:t>
      </w:r>
      <w:r w:rsidRPr="0049386C">
        <w:rPr>
          <w:rFonts w:ascii="Times New Roman" w:hAnsi="Times New Roman" w:cs="Times New Roman"/>
          <w:sz w:val="24"/>
        </w:rPr>
        <w:t xml:space="preserve">. The sample period of firm-quarter observations is from </w:t>
      </w:r>
      <w:r w:rsidRPr="008D6541">
        <w:rPr>
          <w:rFonts w:ascii="Times New Roman" w:eastAsia="Times New Roman" w:hAnsi="Times New Roman" w:cs="Times New Roman"/>
        </w:rPr>
        <w:t>Q1</w:t>
      </w:r>
      <w:r>
        <w:rPr>
          <w:rFonts w:ascii="Times New Roman" w:eastAsia="Times New Roman" w:hAnsi="Times New Roman" w:cs="Times New Roman"/>
        </w:rPr>
        <w:t>/</w:t>
      </w:r>
      <w:r w:rsidRPr="008D6541">
        <w:rPr>
          <w:rFonts w:ascii="Times New Roman" w:eastAsia="Times New Roman" w:hAnsi="Times New Roman" w:cs="Times New Roman"/>
        </w:rPr>
        <w:t>2011 to Q1</w:t>
      </w:r>
      <w:r>
        <w:rPr>
          <w:rFonts w:ascii="Times New Roman" w:eastAsia="Times New Roman" w:hAnsi="Times New Roman" w:cs="Times New Roman"/>
        </w:rPr>
        <w:t>/</w:t>
      </w:r>
      <w:r w:rsidRPr="008D6541">
        <w:rPr>
          <w:rFonts w:ascii="Times New Roman" w:eastAsia="Times New Roman" w:hAnsi="Times New Roman" w:cs="Times New Roman"/>
        </w:rPr>
        <w:t>2017</w:t>
      </w:r>
      <w:r w:rsidRPr="0049386C">
        <w:rPr>
          <w:rFonts w:ascii="Times New Roman" w:hAnsi="Times New Roman" w:cs="Times New Roman"/>
          <w:sz w:val="24"/>
        </w:rPr>
        <w:t xml:space="preserve">. </w:t>
      </w:r>
      <w:r w:rsidRPr="0049386C">
        <w:rPr>
          <w:rFonts w:ascii="Times New Roman" w:hAnsi="Times New Roman" w:cs="Times New Roman"/>
          <w:i/>
          <w:sz w:val="24"/>
        </w:rPr>
        <w:t>EPS_PF</w:t>
      </w:r>
      <w:r w:rsidRPr="0049386C">
        <w:rPr>
          <w:rFonts w:ascii="Times New Roman" w:hAnsi="Times New Roman" w:cs="Times New Roman"/>
          <w:sz w:val="24"/>
        </w:rPr>
        <w:t xml:space="preserve"> is a dummy variable taking the value of 1 if a firm discloses pro forma earnings in a given quarter, and 0 otherwise, </w:t>
      </w:r>
      <w:r w:rsidRPr="0049386C">
        <w:rPr>
          <w:rFonts w:ascii="Times New Roman" w:hAnsi="Times New Roman" w:cs="Times New Roman"/>
          <w:i/>
          <w:sz w:val="24"/>
        </w:rPr>
        <w:t>EPS_MB</w:t>
      </w:r>
      <w:r w:rsidRPr="0049386C">
        <w:rPr>
          <w:rFonts w:ascii="Times New Roman" w:hAnsi="Times New Roman" w:cs="Times New Roman"/>
          <w:sz w:val="24"/>
        </w:rPr>
        <w:t xml:space="preserve"> is a dummy variable taking the value of 1 if a firm discloses pro forma earnings in a given quarter that meet or beat analyst earnings forecasts while GAAP operating profit falls short of forecasts, and 0 otherwise, </w:t>
      </w:r>
      <w:r w:rsidRPr="0049386C">
        <w:rPr>
          <w:rFonts w:ascii="Times New Roman" w:hAnsi="Times New Roman" w:cs="Times New Roman"/>
          <w:i/>
          <w:sz w:val="24"/>
        </w:rPr>
        <w:t>DISP</w:t>
      </w:r>
      <w:r w:rsidRPr="0049386C">
        <w:rPr>
          <w:rFonts w:ascii="Times New Roman" w:hAnsi="Times New Roman" w:cs="Times New Roman"/>
          <w:sz w:val="24"/>
        </w:rPr>
        <w:t xml:space="preserve"> is the standard deviation of analyst earnings forecasts scaled by the consensus mean earnings forecast, </w:t>
      </w:r>
      <w:r w:rsidRPr="0049386C">
        <w:rPr>
          <w:rFonts w:ascii="Times New Roman" w:hAnsi="Times New Roman" w:cs="Times New Roman"/>
          <w:i/>
          <w:sz w:val="24"/>
        </w:rPr>
        <w:t>SIZE</w:t>
      </w:r>
      <w:r w:rsidRPr="0049386C">
        <w:rPr>
          <w:rFonts w:ascii="Times New Roman" w:hAnsi="Times New Roman" w:cs="Times New Roman"/>
          <w:sz w:val="24"/>
        </w:rPr>
        <w:t xml:space="preserve"> is firm size measured as market value of equity, </w:t>
      </w:r>
      <w:r w:rsidRPr="0049386C">
        <w:rPr>
          <w:rFonts w:ascii="Times New Roman" w:hAnsi="Times New Roman" w:cs="Times New Roman"/>
          <w:i/>
          <w:sz w:val="24"/>
        </w:rPr>
        <w:t>LEV</w:t>
      </w:r>
      <w:r w:rsidRPr="0049386C">
        <w:rPr>
          <w:rFonts w:ascii="Times New Roman" w:hAnsi="Times New Roman" w:cs="Times New Roman"/>
          <w:sz w:val="24"/>
        </w:rPr>
        <w:t xml:space="preserve"> is leverage measured as total debt to total equity, </w:t>
      </w:r>
      <w:r w:rsidRPr="0049386C">
        <w:rPr>
          <w:rFonts w:ascii="Times New Roman" w:hAnsi="Times New Roman" w:cs="Times New Roman"/>
          <w:i/>
          <w:sz w:val="24"/>
        </w:rPr>
        <w:t>VOLA</w:t>
      </w:r>
      <w:r w:rsidRPr="0049386C">
        <w:rPr>
          <w:rFonts w:ascii="Times New Roman" w:hAnsi="Times New Roman" w:cs="Times New Roman"/>
          <w:sz w:val="24"/>
        </w:rPr>
        <w:t xml:space="preserve"> is the firm’s average return on assets volatility over the past 5 years, </w:t>
      </w:r>
      <w:r w:rsidRPr="0049386C">
        <w:rPr>
          <w:rFonts w:ascii="Times New Roman" w:hAnsi="Times New Roman" w:cs="Times New Roman"/>
          <w:i/>
          <w:sz w:val="24"/>
        </w:rPr>
        <w:t>AF</w:t>
      </w:r>
      <w:r w:rsidRPr="0049386C">
        <w:rPr>
          <w:rFonts w:ascii="Times New Roman" w:hAnsi="Times New Roman" w:cs="Times New Roman"/>
          <w:sz w:val="24"/>
        </w:rPr>
        <w:t xml:space="preserve"> is the number of analysts following the firm. All of the firm-specific variables are </w:t>
      </w:r>
      <w:proofErr w:type="spellStart"/>
      <w:r w:rsidRPr="0049386C">
        <w:rPr>
          <w:rFonts w:ascii="Times New Roman" w:hAnsi="Times New Roman" w:cs="Times New Roman"/>
          <w:sz w:val="24"/>
        </w:rPr>
        <w:t>winsorized</w:t>
      </w:r>
      <w:proofErr w:type="spellEnd"/>
      <w:r w:rsidRPr="0049386C">
        <w:rPr>
          <w:rFonts w:ascii="Times New Roman" w:hAnsi="Times New Roman" w:cs="Times New Roman"/>
          <w:sz w:val="24"/>
        </w:rPr>
        <w:t xml:space="preserve"> at the 1% and 99% levels.</w:t>
      </w:r>
      <w:r w:rsidRPr="0049386C">
        <w:rPr>
          <w:rFonts w:ascii="Times New Roman" w:hAnsi="Times New Roman" w:cs="Times New Roman"/>
          <w:i/>
          <w:sz w:val="24"/>
        </w:rPr>
        <w:t xml:space="preserve"> z</w:t>
      </w:r>
      <w:r w:rsidRPr="0049386C">
        <w:rPr>
          <w:rFonts w:ascii="Times New Roman" w:hAnsi="Times New Roman" w:cs="Times New Roman"/>
          <w:sz w:val="24"/>
        </w:rPr>
        <w:t>-statistics are reported in parentheses under the estimation</w:t>
      </w:r>
    </w:p>
    <w:tbl>
      <w:tblPr>
        <w:tblW w:w="9769" w:type="dxa"/>
        <w:tblInd w:w="108" w:type="dxa"/>
        <w:tblLook w:val="04A0" w:firstRow="1" w:lastRow="0" w:firstColumn="1" w:lastColumn="0" w:noHBand="0" w:noVBand="1"/>
      </w:tblPr>
      <w:tblGrid>
        <w:gridCol w:w="2840"/>
        <w:gridCol w:w="1129"/>
        <w:gridCol w:w="1160"/>
        <w:gridCol w:w="1160"/>
        <w:gridCol w:w="1160"/>
        <w:gridCol w:w="1160"/>
        <w:gridCol w:w="1160"/>
      </w:tblGrid>
      <w:tr w:rsidR="00B9661D" w:rsidRPr="00804E3A" w:rsidTr="00233609">
        <w:trPr>
          <w:trHeight w:val="255"/>
        </w:trPr>
        <w:tc>
          <w:tcPr>
            <w:tcW w:w="3969" w:type="dxa"/>
            <w:gridSpan w:val="2"/>
            <w:tcBorders>
              <w:top w:val="single" w:sz="4" w:space="0" w:color="auto"/>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b/>
                <w:bCs/>
                <w:sz w:val="20"/>
                <w:szCs w:val="20"/>
              </w:rPr>
            </w:pPr>
            <w:r w:rsidRPr="00804E3A">
              <w:rPr>
                <w:rFonts w:ascii="Times New Roman" w:eastAsia="Times New Roman" w:hAnsi="Times New Roman" w:cs="Times New Roman"/>
                <w:b/>
                <w:bCs/>
                <w:sz w:val="20"/>
                <w:szCs w:val="20"/>
              </w:rPr>
              <w:t>Panel A: Most overvalued stocks</w:t>
            </w:r>
          </w:p>
        </w:tc>
        <w:tc>
          <w:tcPr>
            <w:tcW w:w="1160" w:type="dxa"/>
            <w:tcBorders>
              <w:top w:val="single" w:sz="4" w:space="0" w:color="auto"/>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b/>
                <w:bCs/>
                <w:sz w:val="20"/>
                <w:szCs w:val="20"/>
              </w:rPr>
            </w:pPr>
          </w:p>
        </w:tc>
        <w:tc>
          <w:tcPr>
            <w:tcW w:w="1160" w:type="dxa"/>
            <w:tcBorders>
              <w:top w:val="single" w:sz="4" w:space="0" w:color="auto"/>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r>
      <w:tr w:rsidR="00B9661D" w:rsidRPr="00804E3A" w:rsidTr="00233609">
        <w:trPr>
          <w:trHeight w:val="255"/>
        </w:trPr>
        <w:tc>
          <w:tcPr>
            <w:tcW w:w="2840" w:type="dxa"/>
            <w:tcBorders>
              <w:left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29"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(5)</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w:t>
            </w:r>
          </w:p>
        </w:tc>
      </w:tr>
      <w:tr w:rsidR="00B9661D" w:rsidRPr="00804E3A" w:rsidTr="00233609">
        <w:trPr>
          <w:trHeight w:val="255"/>
        </w:trPr>
        <w:tc>
          <w:tcPr>
            <w:tcW w:w="2840" w:type="dxa"/>
            <w:tcBorders>
              <w:top w:val="nil"/>
              <w:left w:val="nil"/>
              <w:bottom w:val="single" w:sz="4" w:space="0" w:color="auto"/>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r>
      <w:tr w:rsidR="00B9661D" w:rsidRPr="00804E3A" w:rsidTr="00233609">
        <w:trPr>
          <w:trHeight w:val="255"/>
        </w:trPr>
        <w:tc>
          <w:tcPr>
            <w:tcW w:w="2840" w:type="dxa"/>
            <w:tcBorders>
              <w:top w:val="single" w:sz="4" w:space="0" w:color="auto"/>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8A29AA">
              <w:rPr>
                <w:rFonts w:ascii="Times New Roman" w:eastAsia="Times New Roman" w:hAnsi="Times New Roman" w:cs="Times New Roman"/>
                <w:sz w:val="20"/>
                <w:szCs w:val="20"/>
              </w:rPr>
              <w:t>EP</w:t>
            </w:r>
            <w:r>
              <w:rPr>
                <w:rFonts w:ascii="Times New Roman" w:eastAsia="Times New Roman" w:hAnsi="Times New Roman" w:cs="Times New Roman"/>
                <w:sz w:val="20"/>
                <w:szCs w:val="20"/>
              </w:rPr>
              <w:t>S_PF</w:t>
            </w:r>
          </w:p>
        </w:tc>
        <w:tc>
          <w:tcPr>
            <w:tcW w:w="1129"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-1.099***</w:t>
            </w:r>
          </w:p>
        </w:tc>
        <w:tc>
          <w:tcPr>
            <w:tcW w:w="1160"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-1.145***</w:t>
            </w:r>
          </w:p>
        </w:tc>
        <w:tc>
          <w:tcPr>
            <w:tcW w:w="1160"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-1.585***</w:t>
            </w:r>
          </w:p>
        </w:tc>
        <w:tc>
          <w:tcPr>
            <w:tcW w:w="1160"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804E3A"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(-6.633)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(-6.900)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(-10.308)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EPS_MB</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-0.889***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-0.935***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-1.221***</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(-4.787)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(-4.983)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(-6.201)</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-2.586***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-2.620***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-3.006***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-2.548***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-2.578***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-2.895***</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804E3A"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r w:rsidRPr="00804E3A">
              <w:rPr>
                <w:rFonts w:ascii="Times New Roman" w:eastAsia="Times New Roman" w:hAnsi="Times New Roman" w:cs="Times New Roman"/>
                <w:sz w:val="20"/>
                <w:szCs w:val="20"/>
              </w:rPr>
              <w:t>(-7.782)</w:t>
            </w: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r w:rsidRPr="00804E3A">
              <w:rPr>
                <w:rFonts w:ascii="Times New Roman" w:eastAsia="Times New Roman" w:hAnsi="Times New Roman" w:cs="Times New Roman"/>
                <w:sz w:val="20"/>
                <w:szCs w:val="20"/>
              </w:rPr>
              <w:t>(-7.768)</w:t>
            </w: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r w:rsidRPr="00804E3A">
              <w:rPr>
                <w:rFonts w:ascii="Times New Roman" w:eastAsia="Times New Roman" w:hAnsi="Times New Roman" w:cs="Times New Roman"/>
                <w:sz w:val="20"/>
                <w:szCs w:val="20"/>
              </w:rPr>
              <w:t>(-8.590)</w:t>
            </w: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r w:rsidRPr="00804E3A">
              <w:rPr>
                <w:rFonts w:ascii="Times New Roman" w:eastAsia="Times New Roman" w:hAnsi="Times New Roman" w:cs="Times New Roman"/>
                <w:sz w:val="20"/>
                <w:szCs w:val="20"/>
              </w:rPr>
              <w:t>(-7.168)</w:t>
            </w: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r w:rsidRPr="00804E3A">
              <w:rPr>
                <w:rFonts w:ascii="Times New Roman" w:eastAsia="Times New Roman" w:hAnsi="Times New Roman" w:cs="Times New Roman"/>
                <w:sz w:val="20"/>
                <w:szCs w:val="20"/>
              </w:rPr>
              <w:t>(-7.095)</w:t>
            </w: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r w:rsidRPr="00804E3A">
              <w:rPr>
                <w:rFonts w:ascii="Times New Roman" w:eastAsia="Times New Roman" w:hAnsi="Times New Roman" w:cs="Times New Roman"/>
                <w:sz w:val="20"/>
                <w:szCs w:val="20"/>
              </w:rPr>
              <w:t>(-7.558)</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0.346***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0.359***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0.241*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0.341***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0.353***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0.245*</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(2.886)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(3.141)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(1.860)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(2.925)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(3.199)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(1.916)</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-0.759***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-0.785***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-0.953***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-0.779***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-0.801***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-0.959***</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(-8.779)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(-9.057)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(-9.103)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(-9.365)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(-9.613)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(-9.468)</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VOLA</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1.348***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1.372***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1.692***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1.282***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1.312***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1.552***</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(6.287)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(6.337)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(7.051)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(6.305)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(6.350)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(6.811)</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AF</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0.002</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(0.072)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(0.178)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(-0.525)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(0.490)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(0.597)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(0.175)</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Observations</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Fixed Effect</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r>
      <w:tr w:rsidR="00B9661D" w:rsidRPr="00804E3A" w:rsidTr="00233609">
        <w:trPr>
          <w:trHeight w:val="255"/>
        </w:trPr>
        <w:tc>
          <w:tcPr>
            <w:tcW w:w="2840" w:type="dxa"/>
            <w:tcBorders>
              <w:top w:val="nil"/>
              <w:left w:val="nil"/>
              <w:bottom w:val="single" w:sz="4" w:space="0" w:color="000000"/>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proofErr w:type="spellStart"/>
            <w:r w:rsidRPr="0049386C">
              <w:rPr>
                <w:rFonts w:ascii="Times New Roman" w:eastAsia="Times New Roman" w:hAnsi="Times New Roman" w:cs="Times New Roman"/>
                <w:sz w:val="20"/>
                <w:szCs w:val="20"/>
              </w:rPr>
              <w:t>StdErr_Cluster</w:t>
            </w:r>
            <w:proofErr w:type="spellEnd"/>
          </w:p>
        </w:tc>
        <w:tc>
          <w:tcPr>
            <w:tcW w:w="1129"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r>
      <w:tr w:rsidR="00B9661D" w:rsidRPr="00804E3A" w:rsidTr="00233609">
        <w:trPr>
          <w:trHeight w:val="255"/>
        </w:trPr>
        <w:tc>
          <w:tcPr>
            <w:tcW w:w="3969" w:type="dxa"/>
            <w:gridSpan w:val="2"/>
            <w:tcBorders>
              <w:top w:val="nil"/>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b/>
                <w:bCs/>
                <w:sz w:val="20"/>
                <w:szCs w:val="20"/>
              </w:rPr>
            </w:pPr>
            <w:r w:rsidRPr="00804E3A">
              <w:rPr>
                <w:rFonts w:ascii="Times New Roman" w:eastAsia="Times New Roman" w:hAnsi="Times New Roman" w:cs="Times New Roman"/>
                <w:b/>
                <w:bCs/>
                <w:sz w:val="20"/>
                <w:szCs w:val="20"/>
              </w:rPr>
              <w:t>Panel B: Least overvalued stocks</w:t>
            </w:r>
          </w:p>
        </w:tc>
        <w:tc>
          <w:tcPr>
            <w:tcW w:w="1160" w:type="dxa"/>
            <w:tcBorders>
              <w:top w:val="nil"/>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b/>
                <w:bCs/>
                <w:sz w:val="20"/>
                <w:szCs w:val="20"/>
              </w:rPr>
            </w:pPr>
          </w:p>
        </w:tc>
        <w:tc>
          <w:tcPr>
            <w:tcW w:w="1160" w:type="dxa"/>
            <w:tcBorders>
              <w:top w:val="nil"/>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r>
      <w:tr w:rsidR="00B9661D" w:rsidRPr="00804E3A" w:rsidTr="00233609">
        <w:trPr>
          <w:trHeight w:val="255"/>
        </w:trPr>
        <w:tc>
          <w:tcPr>
            <w:tcW w:w="2840" w:type="dxa"/>
            <w:tcBorders>
              <w:left w:val="nil"/>
              <w:right w:val="nil"/>
            </w:tcBorders>
            <w:shd w:val="clear" w:color="auto" w:fill="auto"/>
            <w:noWrap/>
            <w:vAlign w:val="bottom"/>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29"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w:t>
            </w:r>
            <w:r>
              <w:rPr>
                <w:rFonts w:ascii="Times New Roman" w:eastAsia="Times New Roman" w:hAnsi="Times New Roman" w:cs="Times New Roman"/>
                <w:sz w:val="20"/>
                <w:szCs w:val="20"/>
              </w:rPr>
              <w:t>7</w:t>
            </w:r>
            <w:r w:rsidRPr="0049386C">
              <w:rPr>
                <w:rFonts w:ascii="Times New Roman" w:eastAsia="Times New Roman" w:hAnsi="Times New Roman" w:cs="Times New Roman"/>
                <w:sz w:val="20"/>
                <w:szCs w:val="20"/>
              </w:rPr>
              <w:t>)</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49386C">
              <w:rPr>
                <w:rFonts w:ascii="Times New Roman" w:eastAsia="Times New Roman" w:hAnsi="Times New Roman" w:cs="Times New Roman"/>
                <w:sz w:val="20"/>
                <w:szCs w:val="20"/>
              </w:rPr>
              <w:t>)</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r w:rsidRPr="0049386C">
              <w:rPr>
                <w:rFonts w:ascii="Times New Roman" w:eastAsia="Times New Roman" w:hAnsi="Times New Roman" w:cs="Times New Roman"/>
                <w:sz w:val="20"/>
                <w:szCs w:val="20"/>
              </w:rPr>
              <w:t>)</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Pr="0049386C">
              <w:rPr>
                <w:rFonts w:ascii="Times New Roman" w:eastAsia="Times New Roman" w:hAnsi="Times New Roman" w:cs="Times New Roman"/>
                <w:sz w:val="20"/>
                <w:szCs w:val="20"/>
              </w:rPr>
              <w:t>)</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Pr="0049386C">
              <w:rPr>
                <w:rFonts w:ascii="Times New Roman" w:eastAsia="Times New Roman" w:hAnsi="Times New Roman" w:cs="Times New Roman"/>
                <w:sz w:val="20"/>
                <w:szCs w:val="20"/>
              </w:rPr>
              <w:t>)</w:t>
            </w:r>
          </w:p>
        </w:tc>
        <w:tc>
          <w:tcPr>
            <w:tcW w:w="1160"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49386C">
              <w:rPr>
                <w:rFonts w:ascii="Times New Roman" w:eastAsia="Times New Roman" w:hAnsi="Times New Roman" w:cs="Times New Roman"/>
                <w:sz w:val="20"/>
                <w:szCs w:val="20"/>
              </w:rPr>
              <w:t>)</w:t>
            </w:r>
          </w:p>
        </w:tc>
      </w:tr>
      <w:tr w:rsidR="00B9661D" w:rsidRPr="00804E3A" w:rsidTr="00233609">
        <w:trPr>
          <w:trHeight w:val="255"/>
        </w:trPr>
        <w:tc>
          <w:tcPr>
            <w:tcW w:w="2840" w:type="dxa"/>
            <w:tcBorders>
              <w:top w:val="nil"/>
              <w:left w:val="nil"/>
              <w:bottom w:val="single" w:sz="4" w:space="0" w:color="auto"/>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60"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r>
      <w:tr w:rsidR="00B9661D" w:rsidRPr="00804E3A" w:rsidTr="00233609">
        <w:trPr>
          <w:trHeight w:val="255"/>
        </w:trPr>
        <w:tc>
          <w:tcPr>
            <w:tcW w:w="2840" w:type="dxa"/>
            <w:tcBorders>
              <w:top w:val="single" w:sz="4" w:space="0" w:color="auto"/>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w:t>
            </w:r>
            <w:r>
              <w:rPr>
                <w:rFonts w:ascii="Times New Roman" w:eastAsia="Times New Roman" w:hAnsi="Times New Roman" w:cs="Times New Roman"/>
                <w:sz w:val="20"/>
                <w:szCs w:val="20"/>
              </w:rPr>
              <w:t>_</w:t>
            </w:r>
            <w:r w:rsidRPr="008A29AA">
              <w:rPr>
                <w:rFonts w:ascii="Times New Roman" w:eastAsia="Times New Roman" w:hAnsi="Times New Roman" w:cs="Times New Roman"/>
                <w:sz w:val="20"/>
                <w:szCs w:val="20"/>
              </w:rPr>
              <w:t>PF</w:t>
            </w:r>
          </w:p>
        </w:tc>
        <w:tc>
          <w:tcPr>
            <w:tcW w:w="1129"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0.306</w:t>
            </w:r>
          </w:p>
        </w:tc>
        <w:tc>
          <w:tcPr>
            <w:tcW w:w="1160"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0.271</w:t>
            </w:r>
          </w:p>
        </w:tc>
        <w:tc>
          <w:tcPr>
            <w:tcW w:w="1160"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0.478**</w:t>
            </w:r>
          </w:p>
        </w:tc>
        <w:tc>
          <w:tcPr>
            <w:tcW w:w="1160"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single" w:sz="4" w:space="0" w:color="auto"/>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804E3A"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(1.629)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(1.400)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(2.388)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EPS_MB</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0.099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0.065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0.129</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804E3A" w:rsidRDefault="00B9661D" w:rsidP="00233609">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(0.433)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(0.274)</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(0.478)</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8A29AA">
              <w:rPr>
                <w:rFonts w:ascii="Times New Roman" w:eastAsia="Times New Roman" w:hAnsi="Times New Roman" w:cs="Times New Roman"/>
                <w:sz w:val="20"/>
                <w:szCs w:val="20"/>
              </w:rPr>
              <w:t>DISP</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3.885***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4.012***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4.361***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3.845***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3.969***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4.257***</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(11.048)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(11.025)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(9.693)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(10.802)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(10.785)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(9.559)</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-0.489***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-0.544***</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-0.366***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-0.475***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-0.532***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-0.359**</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(-4.192)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(-4.330)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(-2.632)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(-3.979)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(-4.101)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(-2.498)</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1.316***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1.424***</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1.606***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1.322***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1.432***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1.612***</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(9.965)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(9.036)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(8.868)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(9.911)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(9.031)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(8.748)</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VOLA</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-2.607***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-2.725***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-3.055***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-2.562***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-2.682***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-2.959***</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(-6.607)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(-6.152)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(-6.598)</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(-6.626)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(-6.190)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(-6.702)</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AF</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-0.001</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-0.006</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0.002</w:t>
            </w:r>
          </w:p>
        </w:tc>
      </w:tr>
      <w:tr w:rsidR="00B9661D" w:rsidRPr="00804E3A" w:rsidTr="00233609">
        <w:trPr>
          <w:trHeight w:val="255"/>
        </w:trPr>
        <w:tc>
          <w:tcPr>
            <w:tcW w:w="2840"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(-0.243)</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(-0.039)</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(0.382)</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(-0.435)</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(-0.210)</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(0.121)</w:t>
            </w:r>
          </w:p>
        </w:tc>
      </w:tr>
      <w:tr w:rsidR="00B9661D" w:rsidRPr="00804E3A" w:rsidTr="00233609">
        <w:trPr>
          <w:trHeight w:val="255"/>
        </w:trPr>
        <w:tc>
          <w:tcPr>
            <w:tcW w:w="284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Observations</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r>
      <w:tr w:rsidR="00B9661D" w:rsidRPr="00804E3A" w:rsidTr="00233609">
        <w:trPr>
          <w:trHeight w:val="255"/>
        </w:trPr>
        <w:tc>
          <w:tcPr>
            <w:tcW w:w="284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Fixed Effect</w:t>
            </w:r>
          </w:p>
        </w:tc>
        <w:tc>
          <w:tcPr>
            <w:tcW w:w="1129"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60"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r>
      <w:tr w:rsidR="00B9661D" w:rsidRPr="00804E3A" w:rsidTr="00233609">
        <w:trPr>
          <w:trHeight w:val="255"/>
        </w:trPr>
        <w:tc>
          <w:tcPr>
            <w:tcW w:w="284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roofErr w:type="spellStart"/>
            <w:r w:rsidRPr="0049386C">
              <w:rPr>
                <w:rFonts w:ascii="Times New Roman" w:eastAsia="Times New Roman" w:hAnsi="Times New Roman" w:cs="Times New Roman"/>
                <w:sz w:val="20"/>
                <w:szCs w:val="20"/>
              </w:rPr>
              <w:t>StdErr_Cluster</w:t>
            </w:r>
            <w:proofErr w:type="spellEnd"/>
          </w:p>
        </w:tc>
        <w:tc>
          <w:tcPr>
            <w:tcW w:w="1129"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60"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r>
    </w:tbl>
    <w:p w:rsidR="00B9661D" w:rsidRDefault="00B9661D" w:rsidP="00B9661D">
      <w:pPr>
        <w:pStyle w:val="tableform"/>
        <w:rPr>
          <w:sz w:val="18"/>
          <w:szCs w:val="18"/>
        </w:rPr>
        <w:sectPr w:rsidR="00B9661D" w:rsidSect="00233609">
          <w:pgSz w:w="11906" w:h="16838"/>
          <w:pgMar w:top="1440" w:right="851" w:bottom="1440" w:left="1135" w:header="708" w:footer="449" w:gutter="0"/>
          <w:cols w:space="708"/>
          <w:docGrid w:linePitch="360"/>
        </w:sectPr>
      </w:pPr>
    </w:p>
    <w:p w:rsidR="00B9661D" w:rsidRPr="001D62D2" w:rsidRDefault="00B9661D" w:rsidP="00B9661D">
      <w:pPr>
        <w:pStyle w:val="tableform"/>
        <w:spacing w:before="0" w:line="240" w:lineRule="auto"/>
        <w:ind w:left="0" w:right="-3" w:firstLine="0"/>
        <w:jc w:val="both"/>
        <w:rPr>
          <w:rStyle w:val="SubtleEmphasis"/>
          <w:i w:val="0"/>
          <w:color w:val="auto"/>
        </w:rPr>
      </w:pPr>
      <w:r w:rsidRPr="001D62D2">
        <w:rPr>
          <w:rStyle w:val="SubtleEmphasis"/>
          <w:color w:val="auto"/>
        </w:rPr>
        <w:lastRenderedPageBreak/>
        <w:t>Table 6. Results for the effect of the interaction between analyst earnings forecast dispersion and pro forma disclosures on overvaluation using Tobin’s Q</w:t>
      </w:r>
    </w:p>
    <w:p w:rsidR="00B9661D" w:rsidRDefault="00B9661D" w:rsidP="00B9661D">
      <w:pPr>
        <w:spacing w:after="0"/>
        <w:ind w:right="-3"/>
        <w:jc w:val="both"/>
        <w:rPr>
          <w:rFonts w:ascii="Times New Roman" w:hAnsi="Times New Roman" w:cs="Times New Roman"/>
          <w:szCs w:val="18"/>
        </w:rPr>
      </w:pPr>
      <w:r w:rsidRPr="00C16FEA">
        <w:rPr>
          <w:rFonts w:ascii="Times New Roman" w:eastAsia="Times New Roman" w:hAnsi="Times New Roman" w:cs="Times New Roman"/>
          <w:szCs w:val="18"/>
        </w:rPr>
        <w:t xml:space="preserve">This table shows </w:t>
      </w:r>
      <w:r w:rsidRPr="00CA1BFB">
        <w:rPr>
          <w:rFonts w:ascii="Times New Roman" w:eastAsia="Times New Roman" w:hAnsi="Times New Roman" w:cs="Times New Roman"/>
          <w:szCs w:val="18"/>
        </w:rPr>
        <w:t>the logistic regression results for the effect of the interaction between analyst earnings forecast dispersion and pro forma disclosures on overvaluation</w:t>
      </w:r>
      <w:r>
        <w:rPr>
          <w:rFonts w:ascii="Times New Roman" w:eastAsia="Times New Roman" w:hAnsi="Times New Roman" w:cs="Times New Roman"/>
          <w:szCs w:val="18"/>
        </w:rPr>
        <w:t xml:space="preserve"> using Tobin’s Q instead of </w:t>
      </w:r>
      <w:r w:rsidRPr="0049386C">
        <w:rPr>
          <w:rFonts w:ascii="Times New Roman" w:eastAsia="Times New Roman" w:hAnsi="Times New Roman" w:cs="Times New Roman"/>
          <w:i/>
          <w:szCs w:val="18"/>
        </w:rPr>
        <w:t>MTB</w:t>
      </w:r>
      <w:r w:rsidRPr="00C16FEA">
        <w:rPr>
          <w:rFonts w:ascii="Times New Roman" w:eastAsia="Times New Roman" w:hAnsi="Times New Roman" w:cs="Times New Roman"/>
          <w:szCs w:val="18"/>
        </w:rPr>
        <w:t xml:space="preserve">. The sample period of firm-quarter observations is from </w:t>
      </w:r>
      <w:r w:rsidRPr="008D6541">
        <w:rPr>
          <w:rFonts w:ascii="Times New Roman" w:eastAsia="Times New Roman" w:hAnsi="Times New Roman" w:cs="Times New Roman"/>
        </w:rPr>
        <w:t>Q1</w:t>
      </w:r>
      <w:r>
        <w:rPr>
          <w:rFonts w:ascii="Times New Roman" w:eastAsia="Times New Roman" w:hAnsi="Times New Roman" w:cs="Times New Roman"/>
        </w:rPr>
        <w:t>/</w:t>
      </w:r>
      <w:r w:rsidRPr="008D6541">
        <w:rPr>
          <w:rFonts w:ascii="Times New Roman" w:eastAsia="Times New Roman" w:hAnsi="Times New Roman" w:cs="Times New Roman"/>
        </w:rPr>
        <w:t>2011 to Q1</w:t>
      </w:r>
      <w:r>
        <w:rPr>
          <w:rFonts w:ascii="Times New Roman" w:eastAsia="Times New Roman" w:hAnsi="Times New Roman" w:cs="Times New Roman"/>
        </w:rPr>
        <w:t>/</w:t>
      </w:r>
      <w:r w:rsidRPr="008D6541">
        <w:rPr>
          <w:rFonts w:ascii="Times New Roman" w:eastAsia="Times New Roman" w:hAnsi="Times New Roman" w:cs="Times New Roman"/>
        </w:rPr>
        <w:t>2017</w:t>
      </w:r>
      <w:r w:rsidRPr="00C16FEA">
        <w:rPr>
          <w:rFonts w:ascii="Times New Roman" w:eastAsia="Times New Roman" w:hAnsi="Times New Roman" w:cs="Times New Roman"/>
          <w:szCs w:val="18"/>
        </w:rPr>
        <w:t xml:space="preserve">. </w:t>
      </w:r>
      <w:r w:rsidRPr="00C16FEA">
        <w:rPr>
          <w:rFonts w:ascii="Times New Roman" w:eastAsia="Times New Roman" w:hAnsi="Times New Roman" w:cs="Times New Roman"/>
          <w:i/>
          <w:szCs w:val="18"/>
        </w:rPr>
        <w:t>EPS_PF</w:t>
      </w:r>
      <w:r w:rsidRPr="00C16FEA">
        <w:rPr>
          <w:rFonts w:ascii="Times New Roman" w:eastAsia="Times New Roman" w:hAnsi="Times New Roman" w:cs="Times New Roman"/>
          <w:szCs w:val="18"/>
        </w:rPr>
        <w:t xml:space="preserve"> is a dummy variable taking the value of 1 if a firm discloses pro forma earnings in a given quarter, and 0 otherwise, </w:t>
      </w:r>
      <w:r w:rsidRPr="00C16FEA">
        <w:rPr>
          <w:rFonts w:ascii="Times New Roman" w:eastAsia="Times New Roman" w:hAnsi="Times New Roman" w:cs="Times New Roman"/>
          <w:i/>
          <w:szCs w:val="18"/>
        </w:rPr>
        <w:t>EPS_MB</w:t>
      </w:r>
      <w:r w:rsidRPr="00C16FEA">
        <w:rPr>
          <w:rFonts w:ascii="Times New Roman" w:eastAsia="Times New Roman" w:hAnsi="Times New Roman" w:cs="Times New Roman"/>
          <w:szCs w:val="18"/>
        </w:rPr>
        <w:t xml:space="preserve"> is a dummy variable taking the value of 1 if a firm discloses pro forma earnings in a given quarter that meet or beat </w:t>
      </w:r>
      <w:r w:rsidRPr="004B2D18">
        <w:rPr>
          <w:rFonts w:ascii="Times New Roman" w:eastAsia="Times New Roman" w:hAnsi="Times New Roman" w:cs="Times New Roman"/>
          <w:szCs w:val="18"/>
        </w:rPr>
        <w:t xml:space="preserve">analyst earnings forecasts while GAAP operating profit falls short of forecasts, and 0 otherwise, </w:t>
      </w:r>
      <w:r w:rsidRPr="004B2D18">
        <w:rPr>
          <w:rFonts w:ascii="Times New Roman" w:eastAsia="Times New Roman" w:hAnsi="Times New Roman" w:cs="Times New Roman"/>
          <w:i/>
          <w:szCs w:val="18"/>
        </w:rPr>
        <w:t>DISP</w:t>
      </w:r>
      <w:r w:rsidRPr="004B2D18">
        <w:rPr>
          <w:rFonts w:ascii="Times New Roman" w:eastAsia="Times New Roman" w:hAnsi="Times New Roman" w:cs="Times New Roman"/>
          <w:szCs w:val="18"/>
        </w:rPr>
        <w:t xml:space="preserve"> is the standard deviation of analyst earnings forecasts scaled by the consensus mean earnings forecast, </w:t>
      </w:r>
      <w:r w:rsidRPr="004B2D18">
        <w:rPr>
          <w:rFonts w:ascii="Times New Roman" w:eastAsia="Times New Roman" w:hAnsi="Times New Roman" w:cs="Times New Roman"/>
          <w:i/>
          <w:szCs w:val="18"/>
        </w:rPr>
        <w:t>SIZE</w:t>
      </w:r>
      <w:r w:rsidRPr="004B2D18">
        <w:rPr>
          <w:rFonts w:ascii="Times New Roman" w:eastAsia="Times New Roman" w:hAnsi="Times New Roman" w:cs="Times New Roman"/>
          <w:szCs w:val="18"/>
        </w:rPr>
        <w:t xml:space="preserve"> is firm size measured as market value of equity, </w:t>
      </w:r>
      <w:r w:rsidRPr="004B2D18">
        <w:rPr>
          <w:rFonts w:ascii="Times New Roman" w:eastAsia="Times New Roman" w:hAnsi="Times New Roman" w:cs="Times New Roman"/>
          <w:i/>
          <w:szCs w:val="18"/>
        </w:rPr>
        <w:t>LEV</w:t>
      </w:r>
      <w:r w:rsidRPr="004B2D18">
        <w:rPr>
          <w:rFonts w:ascii="Times New Roman" w:eastAsia="Times New Roman" w:hAnsi="Times New Roman" w:cs="Times New Roman"/>
          <w:szCs w:val="18"/>
        </w:rPr>
        <w:t xml:space="preserve"> is leverage measured as total debt to total equity, </w:t>
      </w:r>
      <w:r w:rsidRPr="004B2D18">
        <w:rPr>
          <w:rFonts w:ascii="Times New Roman" w:eastAsia="Times New Roman" w:hAnsi="Times New Roman" w:cs="Times New Roman"/>
          <w:i/>
          <w:szCs w:val="18"/>
        </w:rPr>
        <w:t>VOLA</w:t>
      </w:r>
      <w:r w:rsidRPr="004B2D18">
        <w:rPr>
          <w:rFonts w:ascii="Times New Roman" w:eastAsia="Times New Roman" w:hAnsi="Times New Roman" w:cs="Times New Roman"/>
          <w:szCs w:val="18"/>
        </w:rPr>
        <w:t xml:space="preserve"> is the firm’s average return on assets volatility over the past 5 years, </w:t>
      </w:r>
      <w:r w:rsidRPr="004B2D18">
        <w:rPr>
          <w:rFonts w:ascii="Times New Roman" w:eastAsia="Times New Roman" w:hAnsi="Times New Roman" w:cs="Times New Roman"/>
          <w:i/>
          <w:szCs w:val="18"/>
        </w:rPr>
        <w:t>AF</w:t>
      </w:r>
      <w:r w:rsidRPr="004B2D18">
        <w:rPr>
          <w:rFonts w:ascii="Times New Roman" w:eastAsia="Times New Roman" w:hAnsi="Times New Roman" w:cs="Times New Roman"/>
          <w:szCs w:val="18"/>
        </w:rPr>
        <w:t xml:space="preserve"> is the number of analysts following the firm. </w:t>
      </w:r>
      <w:r w:rsidRPr="004B2D18">
        <w:rPr>
          <w:rFonts w:ascii="Times New Roman" w:hAnsi="Times New Roman" w:cs="Times New Roman"/>
          <w:szCs w:val="18"/>
        </w:rPr>
        <w:t>All of the firm-specific</w:t>
      </w:r>
      <w:r w:rsidRPr="00C16FEA">
        <w:rPr>
          <w:rFonts w:ascii="Times New Roman" w:hAnsi="Times New Roman" w:cs="Times New Roman"/>
          <w:szCs w:val="18"/>
        </w:rPr>
        <w:t xml:space="preserve"> variables are </w:t>
      </w:r>
      <w:proofErr w:type="spellStart"/>
      <w:r w:rsidRPr="00C16FEA">
        <w:rPr>
          <w:rFonts w:ascii="Times New Roman" w:hAnsi="Times New Roman" w:cs="Times New Roman"/>
          <w:szCs w:val="18"/>
        </w:rPr>
        <w:t>winsorized</w:t>
      </w:r>
      <w:proofErr w:type="spellEnd"/>
      <w:r w:rsidRPr="00C16FEA">
        <w:rPr>
          <w:rFonts w:ascii="Times New Roman" w:hAnsi="Times New Roman" w:cs="Times New Roman"/>
          <w:szCs w:val="18"/>
        </w:rPr>
        <w:t xml:space="preserve"> at the 1% and 99% levels.</w:t>
      </w:r>
      <w:r w:rsidRPr="00C16FEA">
        <w:rPr>
          <w:rFonts w:ascii="Times New Roman" w:hAnsi="Times New Roman" w:cs="Times New Roman"/>
          <w:i/>
          <w:szCs w:val="18"/>
        </w:rPr>
        <w:t xml:space="preserve"> z</w:t>
      </w:r>
      <w:r w:rsidRPr="00C16FEA">
        <w:rPr>
          <w:rFonts w:ascii="Times New Roman" w:hAnsi="Times New Roman" w:cs="Times New Roman"/>
          <w:szCs w:val="18"/>
        </w:rPr>
        <w:t>-statistics are reported in parentheses under the estimation coefficient. ***, **, and * denote significance levels 1%, 5%, and 10%, respectively.</w:t>
      </w:r>
    </w:p>
    <w:p w:rsidR="00B9661D" w:rsidRDefault="00B9661D" w:rsidP="00B9661D">
      <w:pPr>
        <w:ind w:right="-3"/>
      </w:pPr>
    </w:p>
    <w:tbl>
      <w:tblPr>
        <w:tblW w:w="9958" w:type="dxa"/>
        <w:tblInd w:w="108" w:type="dxa"/>
        <w:tblLook w:val="04A0" w:firstRow="1" w:lastRow="0" w:firstColumn="1" w:lastColumn="0" w:noHBand="0" w:noVBand="1"/>
      </w:tblPr>
      <w:tblGrid>
        <w:gridCol w:w="3119"/>
        <w:gridCol w:w="1134"/>
        <w:gridCol w:w="1141"/>
        <w:gridCol w:w="1141"/>
        <w:gridCol w:w="1141"/>
        <w:gridCol w:w="1141"/>
        <w:gridCol w:w="1141"/>
      </w:tblGrid>
      <w:tr w:rsidR="00B9661D" w:rsidRPr="006D274E" w:rsidTr="00233609">
        <w:trPr>
          <w:trHeight w:val="255"/>
        </w:trPr>
        <w:tc>
          <w:tcPr>
            <w:tcW w:w="4253" w:type="dxa"/>
            <w:gridSpan w:val="2"/>
            <w:tcBorders>
              <w:top w:val="single" w:sz="4" w:space="0" w:color="auto"/>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b/>
                <w:bCs/>
                <w:sz w:val="20"/>
                <w:szCs w:val="20"/>
              </w:rPr>
            </w:pPr>
            <w:r w:rsidRPr="006D274E">
              <w:rPr>
                <w:rFonts w:ascii="Times New Roman" w:eastAsia="Times New Roman" w:hAnsi="Times New Roman" w:cs="Times New Roman"/>
                <w:b/>
                <w:bCs/>
                <w:sz w:val="20"/>
                <w:szCs w:val="20"/>
              </w:rPr>
              <w:t>Panel A: Most overvalued stocks</w:t>
            </w:r>
          </w:p>
        </w:tc>
        <w:tc>
          <w:tcPr>
            <w:tcW w:w="1141" w:type="dxa"/>
            <w:tcBorders>
              <w:top w:val="single" w:sz="4" w:space="0" w:color="auto"/>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b/>
                <w:bCs/>
                <w:sz w:val="20"/>
                <w:szCs w:val="20"/>
              </w:rPr>
            </w:pPr>
          </w:p>
        </w:tc>
        <w:tc>
          <w:tcPr>
            <w:tcW w:w="1141" w:type="dxa"/>
            <w:tcBorders>
              <w:top w:val="single" w:sz="4" w:space="0" w:color="auto"/>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single" w:sz="4" w:space="0" w:color="auto"/>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single" w:sz="4" w:space="0" w:color="auto"/>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single" w:sz="4" w:space="0" w:color="auto"/>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left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34"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w:t>
            </w:r>
          </w:p>
        </w:tc>
        <w:tc>
          <w:tcPr>
            <w:tcW w:w="1141"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w:t>
            </w:r>
          </w:p>
        </w:tc>
        <w:tc>
          <w:tcPr>
            <w:tcW w:w="1141"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w:t>
            </w:r>
          </w:p>
        </w:tc>
        <w:tc>
          <w:tcPr>
            <w:tcW w:w="1141"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w:t>
            </w:r>
          </w:p>
        </w:tc>
        <w:tc>
          <w:tcPr>
            <w:tcW w:w="1141"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(5)</w:t>
            </w:r>
          </w:p>
        </w:tc>
        <w:tc>
          <w:tcPr>
            <w:tcW w:w="1141" w:type="dxa"/>
            <w:tcBorders>
              <w:left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w:t>
            </w:r>
          </w:p>
        </w:tc>
      </w:tr>
      <w:tr w:rsidR="00B9661D" w:rsidRPr="006D274E" w:rsidTr="00233609">
        <w:trPr>
          <w:trHeight w:val="255"/>
        </w:trPr>
        <w:tc>
          <w:tcPr>
            <w:tcW w:w="3119" w:type="dxa"/>
            <w:tcBorders>
              <w:top w:val="nil"/>
              <w:left w:val="nil"/>
              <w:bottom w:val="single" w:sz="4" w:space="0" w:color="auto"/>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single" w:sz="4" w:space="0" w:color="auto"/>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Highest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r>
      <w:tr w:rsidR="00B9661D" w:rsidRPr="006D274E" w:rsidTr="00233609">
        <w:trPr>
          <w:trHeight w:val="255"/>
        </w:trPr>
        <w:tc>
          <w:tcPr>
            <w:tcW w:w="3119" w:type="dxa"/>
            <w:tcBorders>
              <w:top w:val="single" w:sz="4" w:space="0" w:color="auto"/>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EPS_PF</w:t>
            </w:r>
          </w:p>
        </w:tc>
        <w:tc>
          <w:tcPr>
            <w:tcW w:w="1134"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-2.188***</w:t>
            </w:r>
          </w:p>
        </w:tc>
        <w:tc>
          <w:tcPr>
            <w:tcW w:w="1141"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-2.345***</w:t>
            </w:r>
          </w:p>
        </w:tc>
        <w:tc>
          <w:tcPr>
            <w:tcW w:w="1141"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-2.882***</w:t>
            </w:r>
          </w:p>
        </w:tc>
        <w:tc>
          <w:tcPr>
            <w:tcW w:w="1141" w:type="dxa"/>
            <w:tcBorders>
              <w:top w:val="single" w:sz="4" w:space="0" w:color="auto"/>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single" w:sz="4" w:space="0" w:color="auto"/>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single" w:sz="4" w:space="0" w:color="auto"/>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6D274E"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(-5.459)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(-5.758)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EPS_MB</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-2.059***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-2.220***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-2.596***</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(-5.884)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(-6.033)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(-7.121)</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DISP</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-3.769***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-3.917***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-4.414***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-3.657***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-3.797***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-4.199***</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(-7.972)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(-8.177)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(-8.720)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(-8.266)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(-8.165)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(-8.693)</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SIZE</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0.410***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0.424***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0.327**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0.418***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0.435***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0.344**</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(3.107)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(3.365)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(2.226)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(3.280)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(3.604)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(2.406)</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LEV</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-0.784***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-0.820***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-0.966***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-0.822***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-0.861***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-1.007***</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(-9.197)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(-9.875)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(-9.326)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(-10.235)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(-10.965)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(-9.862)</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VOLA</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1.339***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1.375***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1.684***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1.306***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1.348***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1.580***</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(6.594)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(6.632)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(7.393)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(6.549)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(6.657)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(7.140)</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AF</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0.001</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(0.076)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(0.152)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(-0.537)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(0.420)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(0.493)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(0.074)</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EPS_PF*DISP</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2.551***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2.766***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2.919***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6D274E"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(3.606)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(3.720)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(3.451)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EPS_BM*DISP</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2.820***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3.057***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3.228***</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(3.962)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(3.921)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(3.985)</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Observations</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Fixed Effect</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r>
      <w:tr w:rsidR="00B9661D" w:rsidRPr="006D274E" w:rsidTr="00233609">
        <w:trPr>
          <w:trHeight w:val="255"/>
        </w:trPr>
        <w:tc>
          <w:tcPr>
            <w:tcW w:w="3119" w:type="dxa"/>
            <w:tcBorders>
              <w:top w:val="nil"/>
              <w:left w:val="nil"/>
              <w:bottom w:val="single" w:sz="4" w:space="0" w:color="000000"/>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proofErr w:type="spellStart"/>
            <w:r w:rsidRPr="0049386C">
              <w:rPr>
                <w:rFonts w:ascii="Times New Roman" w:eastAsia="Times New Roman" w:hAnsi="Times New Roman" w:cs="Times New Roman"/>
                <w:sz w:val="20"/>
                <w:szCs w:val="20"/>
              </w:rPr>
              <w:t>StdErr_Cluster</w:t>
            </w:r>
            <w:proofErr w:type="spellEnd"/>
          </w:p>
        </w:tc>
        <w:tc>
          <w:tcPr>
            <w:tcW w:w="1134"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r>
      <w:tr w:rsidR="00B9661D" w:rsidRPr="006D274E" w:rsidTr="00233609">
        <w:trPr>
          <w:trHeight w:val="255"/>
        </w:trPr>
        <w:tc>
          <w:tcPr>
            <w:tcW w:w="4253" w:type="dxa"/>
            <w:gridSpan w:val="2"/>
            <w:tcBorders>
              <w:top w:val="nil"/>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b/>
                <w:bCs/>
                <w:sz w:val="20"/>
                <w:szCs w:val="20"/>
              </w:rPr>
            </w:pPr>
            <w:r w:rsidRPr="006D274E">
              <w:rPr>
                <w:rFonts w:ascii="Times New Roman" w:eastAsia="Times New Roman" w:hAnsi="Times New Roman" w:cs="Times New Roman"/>
                <w:b/>
                <w:bCs/>
                <w:sz w:val="20"/>
                <w:szCs w:val="20"/>
              </w:rPr>
              <w:t>Panel B: Least overvalued stocks</w:t>
            </w:r>
          </w:p>
        </w:tc>
        <w:tc>
          <w:tcPr>
            <w:tcW w:w="1141" w:type="dxa"/>
            <w:tcBorders>
              <w:top w:val="nil"/>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b/>
                <w:bCs/>
                <w:sz w:val="20"/>
                <w:szCs w:val="20"/>
              </w:rPr>
            </w:pPr>
          </w:p>
        </w:tc>
        <w:tc>
          <w:tcPr>
            <w:tcW w:w="1141" w:type="dxa"/>
            <w:tcBorders>
              <w:top w:val="nil"/>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right w:val="nil"/>
            </w:tcBorders>
            <w:shd w:val="clear" w:color="auto" w:fill="auto"/>
            <w:noWrap/>
            <w:vAlign w:val="bottom"/>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34" w:type="dxa"/>
            <w:tcBorders>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6D274E">
              <w:rPr>
                <w:rFonts w:ascii="Times New Roman" w:eastAsia="Times New Roman" w:hAnsi="Times New Roman" w:cs="Times New Roman"/>
                <w:sz w:val="20"/>
                <w:szCs w:val="20"/>
              </w:rPr>
              <w:t>(7</w:t>
            </w:r>
            <w:r w:rsidRPr="0049386C">
              <w:rPr>
                <w:rFonts w:ascii="Times New Roman" w:eastAsia="Times New Roman" w:hAnsi="Times New Roman" w:cs="Times New Roman"/>
                <w:sz w:val="20"/>
                <w:szCs w:val="20"/>
              </w:rPr>
              <w:t>)</w:t>
            </w:r>
          </w:p>
        </w:tc>
        <w:tc>
          <w:tcPr>
            <w:tcW w:w="1141" w:type="dxa"/>
            <w:tcBorders>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w:t>
            </w:r>
            <w:r w:rsidRPr="006D274E">
              <w:rPr>
                <w:rFonts w:ascii="Times New Roman" w:eastAsia="Times New Roman" w:hAnsi="Times New Roman" w:cs="Times New Roman"/>
                <w:sz w:val="20"/>
                <w:szCs w:val="20"/>
              </w:rPr>
              <w:t>8</w:t>
            </w:r>
            <w:r w:rsidRPr="0049386C">
              <w:rPr>
                <w:rFonts w:ascii="Times New Roman" w:eastAsia="Times New Roman" w:hAnsi="Times New Roman" w:cs="Times New Roman"/>
                <w:sz w:val="20"/>
                <w:szCs w:val="20"/>
              </w:rPr>
              <w:t>)</w:t>
            </w:r>
          </w:p>
        </w:tc>
        <w:tc>
          <w:tcPr>
            <w:tcW w:w="1141" w:type="dxa"/>
            <w:tcBorders>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6D274E">
              <w:rPr>
                <w:rFonts w:ascii="Times New Roman" w:eastAsia="Times New Roman" w:hAnsi="Times New Roman" w:cs="Times New Roman"/>
                <w:sz w:val="20"/>
                <w:szCs w:val="20"/>
              </w:rPr>
              <w:t>(9</w:t>
            </w:r>
            <w:r w:rsidRPr="0049386C">
              <w:rPr>
                <w:rFonts w:ascii="Times New Roman" w:eastAsia="Times New Roman" w:hAnsi="Times New Roman" w:cs="Times New Roman"/>
                <w:sz w:val="20"/>
                <w:szCs w:val="20"/>
              </w:rPr>
              <w:t>)</w:t>
            </w:r>
          </w:p>
        </w:tc>
        <w:tc>
          <w:tcPr>
            <w:tcW w:w="1141" w:type="dxa"/>
            <w:tcBorders>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6D274E">
              <w:rPr>
                <w:rFonts w:ascii="Times New Roman" w:eastAsia="Times New Roman" w:hAnsi="Times New Roman" w:cs="Times New Roman"/>
                <w:sz w:val="20"/>
                <w:szCs w:val="20"/>
              </w:rPr>
              <w:t>(10</w:t>
            </w:r>
            <w:r w:rsidRPr="0049386C">
              <w:rPr>
                <w:rFonts w:ascii="Times New Roman" w:eastAsia="Times New Roman" w:hAnsi="Times New Roman" w:cs="Times New Roman"/>
                <w:sz w:val="20"/>
                <w:szCs w:val="20"/>
              </w:rPr>
              <w:t>)</w:t>
            </w:r>
          </w:p>
        </w:tc>
        <w:tc>
          <w:tcPr>
            <w:tcW w:w="1141" w:type="dxa"/>
            <w:tcBorders>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r w:rsidRPr="0049386C">
              <w:rPr>
                <w:rFonts w:ascii="Times New Roman" w:eastAsia="Times New Roman" w:hAnsi="Times New Roman" w:cs="Times New Roman"/>
                <w:sz w:val="20"/>
                <w:szCs w:val="20"/>
              </w:rPr>
              <w:t>)</w:t>
            </w:r>
          </w:p>
        </w:tc>
        <w:tc>
          <w:tcPr>
            <w:tcW w:w="1141" w:type="dxa"/>
            <w:tcBorders>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49386C">
              <w:rPr>
                <w:rFonts w:ascii="Times New Roman" w:eastAsia="Times New Roman" w:hAnsi="Times New Roman" w:cs="Times New Roman"/>
                <w:sz w:val="20"/>
                <w:szCs w:val="20"/>
              </w:rPr>
              <w:t>)</w:t>
            </w:r>
          </w:p>
        </w:tc>
      </w:tr>
      <w:tr w:rsidR="00B9661D" w:rsidRPr="006D274E" w:rsidTr="00233609">
        <w:trPr>
          <w:trHeight w:val="255"/>
        </w:trPr>
        <w:tc>
          <w:tcPr>
            <w:tcW w:w="3119" w:type="dxa"/>
            <w:tcBorders>
              <w:top w:val="nil"/>
              <w:left w:val="nil"/>
              <w:bottom w:val="single" w:sz="4" w:space="0" w:color="auto"/>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34"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c>
          <w:tcPr>
            <w:tcW w:w="1141" w:type="dxa"/>
            <w:tcBorders>
              <w:top w:val="nil"/>
              <w:left w:val="nil"/>
              <w:bottom w:val="nil"/>
              <w:right w:val="nil"/>
            </w:tcBorders>
            <w:shd w:val="clear" w:color="auto" w:fill="auto"/>
            <w:noWrap/>
            <w:hideMark/>
          </w:tcPr>
          <w:p w:rsidR="00B9661D"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Lowest</w:t>
            </w:r>
          </w:p>
          <w:p w:rsidR="00B9661D" w:rsidRPr="0049386C" w:rsidRDefault="00B9661D" w:rsidP="00233609">
            <w:pPr>
              <w:spacing w:after="0" w:line="240" w:lineRule="auto"/>
              <w:rPr>
                <w:rFonts w:ascii="Times New Roman" w:eastAsia="Times New Roman" w:hAnsi="Times New Roman" w:cs="Times New Roman"/>
                <w:sz w:val="20"/>
                <w:szCs w:val="20"/>
              </w:rPr>
            </w:pPr>
            <w:r w:rsidRPr="00EC43E6">
              <w:rPr>
                <w:rFonts w:ascii="Times New Roman" w:eastAsia="Times New Roman" w:hAnsi="Times New Roman" w:cs="Times New Roman"/>
                <w:sz w:val="20"/>
                <w:szCs w:val="20"/>
              </w:rPr>
              <w:t>TQ</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000000"/>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41" w:type="dxa"/>
            <w:tcBorders>
              <w:top w:val="single" w:sz="4" w:space="0" w:color="000000"/>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41" w:type="dxa"/>
            <w:tcBorders>
              <w:top w:val="single" w:sz="4" w:space="0" w:color="000000"/>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41" w:type="dxa"/>
            <w:tcBorders>
              <w:top w:val="single" w:sz="4" w:space="0" w:color="000000"/>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41" w:type="dxa"/>
            <w:tcBorders>
              <w:top w:val="single" w:sz="4" w:space="0" w:color="000000"/>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c>
          <w:tcPr>
            <w:tcW w:w="1141" w:type="dxa"/>
            <w:tcBorders>
              <w:top w:val="single" w:sz="4" w:space="0" w:color="000000"/>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 </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EPS_PF</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0.483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0.424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0.502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6D274E"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(0.997)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(0.828)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(0.815)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EPS_MB</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0.289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0.240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0.269</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(0.604)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(0.484)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(0.450)</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DISP</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4.057***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4.159***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4.383***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3.989***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4.101***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4.362***</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(11.016)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(10.062)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(10.138)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(12.227)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(12.252)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(11.658)</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SIZE</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-0.498***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-0.551***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-0.368**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-0.486***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-0.541***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-0.368**</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(-4.267)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(-4.451)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(-2.524)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(-4.054)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(-4.198)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(-2.421)</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LEV</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1.317***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1.424***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1.605***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1.326***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1.435***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1.614***</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(9.996)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(9.062)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(8.794)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(10.181)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(9.221)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(8.967)</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VOLA</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-2.599***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-2.718***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-3.054***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-2.561***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-2.679***</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-2.958***</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(-6.660)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(-6.234)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(-6.650)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(-6.644)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(-6.226)</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(-6.732)</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AF</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-0.005</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0.003</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(-0.202)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(-0.011)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(0.387)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(-0.387)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(-0.168)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(0.152)</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EPS_PF*DISP</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-0.327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-0.281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-0.043</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6D274E"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(-0.388)</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(-0.312)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(-0.041)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EPS_BM*DISP</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-0.360</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-0.331</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-0.263</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6D274E" w:rsidRDefault="00B9661D" w:rsidP="00233609">
            <w:pPr>
              <w:spacing w:after="0" w:line="240" w:lineRule="auto"/>
              <w:rPr>
                <w:rFonts w:ascii="Times New Roman" w:eastAsia="Times New Roman" w:hAnsi="Times New Roman" w:cs="Times New Roman"/>
                <w:sz w:val="20"/>
                <w:szCs w:val="20"/>
              </w:rPr>
            </w:pP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(-0.424)</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(-0.372)</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(-0.248)</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Observations</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747</w:t>
            </w:r>
          </w:p>
        </w:tc>
      </w:tr>
      <w:tr w:rsidR="00B9661D" w:rsidRPr="006D274E" w:rsidTr="00233609">
        <w:trPr>
          <w:trHeight w:val="255"/>
        </w:trPr>
        <w:tc>
          <w:tcPr>
            <w:tcW w:w="3119" w:type="dxa"/>
            <w:tcBorders>
              <w:top w:val="nil"/>
              <w:left w:val="nil"/>
              <w:bottom w:val="nil"/>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Fixed Effect</w:t>
            </w:r>
          </w:p>
        </w:tc>
        <w:tc>
          <w:tcPr>
            <w:tcW w:w="1134"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No</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quarter</w:t>
            </w:r>
          </w:p>
        </w:tc>
        <w:tc>
          <w:tcPr>
            <w:tcW w:w="1141" w:type="dxa"/>
            <w:tcBorders>
              <w:top w:val="nil"/>
              <w:left w:val="nil"/>
              <w:bottom w:val="nil"/>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 and quarter</w:t>
            </w:r>
          </w:p>
        </w:tc>
      </w:tr>
      <w:tr w:rsidR="00B9661D" w:rsidRPr="006D274E" w:rsidTr="00233609">
        <w:trPr>
          <w:trHeight w:val="255"/>
        </w:trPr>
        <w:tc>
          <w:tcPr>
            <w:tcW w:w="3119" w:type="dxa"/>
            <w:tcBorders>
              <w:top w:val="nil"/>
              <w:left w:val="nil"/>
              <w:bottom w:val="single" w:sz="4" w:space="0" w:color="000000"/>
              <w:right w:val="nil"/>
            </w:tcBorders>
            <w:shd w:val="clear" w:color="auto" w:fill="auto"/>
            <w:noWrap/>
            <w:vAlign w:val="bottom"/>
            <w:hideMark/>
          </w:tcPr>
          <w:p w:rsidR="00B9661D" w:rsidRPr="0049386C" w:rsidRDefault="00B9661D" w:rsidP="00233609">
            <w:pPr>
              <w:spacing w:after="0" w:line="240" w:lineRule="auto"/>
              <w:rPr>
                <w:rFonts w:ascii="Times New Roman" w:eastAsia="Times New Roman" w:hAnsi="Times New Roman" w:cs="Times New Roman"/>
                <w:sz w:val="20"/>
                <w:szCs w:val="20"/>
              </w:rPr>
            </w:pPr>
            <w:proofErr w:type="spellStart"/>
            <w:r w:rsidRPr="0049386C">
              <w:rPr>
                <w:rFonts w:ascii="Times New Roman" w:eastAsia="Times New Roman" w:hAnsi="Times New Roman" w:cs="Times New Roman"/>
                <w:sz w:val="20"/>
                <w:szCs w:val="20"/>
              </w:rPr>
              <w:t>StdErr_Cluster</w:t>
            </w:r>
            <w:proofErr w:type="spellEnd"/>
          </w:p>
        </w:tc>
        <w:tc>
          <w:tcPr>
            <w:tcW w:w="1134"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c>
          <w:tcPr>
            <w:tcW w:w="1141" w:type="dxa"/>
            <w:tcBorders>
              <w:top w:val="nil"/>
              <w:left w:val="nil"/>
              <w:bottom w:val="single" w:sz="4" w:space="0" w:color="000000"/>
              <w:right w:val="nil"/>
            </w:tcBorders>
            <w:shd w:val="clear" w:color="auto" w:fill="auto"/>
            <w:noWrap/>
            <w:hideMark/>
          </w:tcPr>
          <w:p w:rsidR="00B9661D" w:rsidRPr="0049386C" w:rsidRDefault="00B9661D" w:rsidP="00233609">
            <w:pPr>
              <w:spacing w:after="0" w:line="240" w:lineRule="auto"/>
              <w:rPr>
                <w:rFonts w:ascii="Times New Roman" w:eastAsia="Times New Roman" w:hAnsi="Times New Roman" w:cs="Times New Roman"/>
                <w:sz w:val="20"/>
                <w:szCs w:val="20"/>
              </w:rPr>
            </w:pPr>
            <w:r w:rsidRPr="0049386C">
              <w:rPr>
                <w:rFonts w:ascii="Times New Roman" w:eastAsia="Times New Roman" w:hAnsi="Times New Roman" w:cs="Times New Roman"/>
                <w:sz w:val="20"/>
                <w:szCs w:val="20"/>
              </w:rPr>
              <w:t>firm</w:t>
            </w:r>
          </w:p>
        </w:tc>
      </w:tr>
    </w:tbl>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Default="00B9661D" w:rsidP="00B9661D"/>
    <w:p w:rsidR="00B9661D" w:rsidRPr="001D62D2" w:rsidRDefault="00B9661D" w:rsidP="00B9661D">
      <w:pPr>
        <w:pStyle w:val="tableform"/>
        <w:spacing w:before="0" w:line="240" w:lineRule="auto"/>
        <w:ind w:left="0" w:firstLine="0"/>
        <w:rPr>
          <w:rStyle w:val="SubtleEmphasis"/>
          <w:i w:val="0"/>
          <w:color w:val="auto"/>
        </w:rPr>
      </w:pPr>
      <w:r w:rsidRPr="00712300">
        <w:lastRenderedPageBreak/>
        <w:t xml:space="preserve">Table </w:t>
      </w:r>
      <w:r>
        <w:t>7</w:t>
      </w:r>
      <w:r w:rsidRPr="00712300">
        <w:t xml:space="preserve">. </w:t>
      </w:r>
      <w:r w:rsidRPr="001D62D2">
        <w:rPr>
          <w:rStyle w:val="SubtleEmphasis"/>
          <w:color w:val="auto"/>
        </w:rPr>
        <w:t>Logistic regres</w:t>
      </w:r>
      <w:r>
        <w:rPr>
          <w:rStyle w:val="SubtleEmphasis"/>
          <w:color w:val="auto"/>
        </w:rPr>
        <w:t xml:space="preserve">sion for the effect on overvaluation of pro forma earnings disclosures that beat reported quarterly GAAP operating earnings </w:t>
      </w:r>
    </w:p>
    <w:p w:rsidR="00B9661D" w:rsidRDefault="00B9661D" w:rsidP="00B9661D">
      <w:pPr>
        <w:spacing w:before="120"/>
        <w:jc w:val="both"/>
        <w:rPr>
          <w:rFonts w:ascii="Times New Roman" w:hAnsi="Times New Roman" w:cs="Times New Roman"/>
        </w:rPr>
      </w:pPr>
      <w:r w:rsidRPr="001D62D2">
        <w:rPr>
          <w:rFonts w:ascii="Times New Roman" w:hAnsi="Times New Roman" w:cs="Times New Roman"/>
        </w:rPr>
        <w:t xml:space="preserve">This table shows the logistic regression results for the effect of pro forma disclosures on overvaluation for the baseline model. The sample period of firm-quarter observations is from Q1/2011 to Q1/2017. MTB is the market-to-book ratio, </w:t>
      </w:r>
      <w:proofErr w:type="spellStart"/>
      <w:r w:rsidRPr="00A76168">
        <w:rPr>
          <w:rFonts w:ascii="Times New Roman" w:hAnsi="Times New Roman" w:cs="Times New Roman"/>
        </w:rPr>
        <w:t>EPS_GAAPBeat</w:t>
      </w:r>
      <w:proofErr w:type="spellEnd"/>
      <w:r w:rsidRPr="00A76168">
        <w:rPr>
          <w:rFonts w:ascii="Times New Roman" w:hAnsi="Times New Roman" w:cs="Times New Roman"/>
        </w:rPr>
        <w:t xml:space="preserve"> </w:t>
      </w:r>
      <w:r w:rsidRPr="001D62D2">
        <w:rPr>
          <w:rFonts w:ascii="Times New Roman" w:hAnsi="Times New Roman" w:cs="Times New Roman"/>
        </w:rPr>
        <w:t xml:space="preserve">is a dummy variable taking the value of 1 if a firm discloses pro forma earnings in a given quarter that </w:t>
      </w:r>
      <w:r>
        <w:rPr>
          <w:rFonts w:ascii="Times New Roman" w:hAnsi="Times New Roman" w:cs="Times New Roman"/>
        </w:rPr>
        <w:t>are higher than their reported quarterly</w:t>
      </w:r>
      <w:r w:rsidRPr="001D62D2">
        <w:rPr>
          <w:rFonts w:ascii="Times New Roman" w:hAnsi="Times New Roman" w:cs="Times New Roman"/>
        </w:rPr>
        <w:t xml:space="preserve"> GAAP operating profit, and 0 otherwise, DISP is the standard deviation of analyst earnings forecasts scaled by the consensus mean earnings forecast, SIZE is firm size measured as market value of equity, LEV is leverage measured as total debt to total equity, VOLA is the firm’s average return on assets volatility over the past 5 years, AF is the number of analysts following the firm. All of the firm-specific variables are </w:t>
      </w:r>
      <w:proofErr w:type="spellStart"/>
      <w:r w:rsidRPr="001D62D2">
        <w:rPr>
          <w:rFonts w:ascii="Times New Roman" w:hAnsi="Times New Roman" w:cs="Times New Roman"/>
        </w:rPr>
        <w:t>winsorized</w:t>
      </w:r>
      <w:proofErr w:type="spellEnd"/>
      <w:r w:rsidRPr="001D62D2">
        <w:rPr>
          <w:rFonts w:ascii="Times New Roman" w:hAnsi="Times New Roman" w:cs="Times New Roman"/>
        </w:rPr>
        <w:t xml:space="preserve"> at the 1% and 99% levels. z-statistics are reported in parentheses under the estimation</w:t>
      </w:r>
      <w:r>
        <w:rPr>
          <w:rFonts w:ascii="Times New Roman" w:hAnsi="Times New Roman" w:cs="Times New Roman"/>
        </w:rPr>
        <w:t>.</w:t>
      </w:r>
    </w:p>
    <w:tbl>
      <w:tblPr>
        <w:tblpPr w:leftFromText="180" w:rightFromText="180" w:vertAnchor="page" w:horzAnchor="margin" w:tblpY="4987"/>
        <w:tblW w:w="10047" w:type="dxa"/>
        <w:tblLayout w:type="fixed"/>
        <w:tblLook w:val="04A0" w:firstRow="1" w:lastRow="0" w:firstColumn="1" w:lastColumn="0" w:noHBand="0" w:noVBand="1"/>
      </w:tblPr>
      <w:tblGrid>
        <w:gridCol w:w="1668"/>
        <w:gridCol w:w="1417"/>
        <w:gridCol w:w="1420"/>
        <w:gridCol w:w="1415"/>
        <w:gridCol w:w="1292"/>
        <w:gridCol w:w="1419"/>
        <w:gridCol w:w="1416"/>
      </w:tblGrid>
      <w:tr w:rsidR="00B9661D" w:rsidRPr="00FE020F" w:rsidTr="00233609">
        <w:trPr>
          <w:trHeight w:val="255"/>
        </w:trPr>
        <w:tc>
          <w:tcPr>
            <w:tcW w:w="1668"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 </w:t>
            </w:r>
          </w:p>
        </w:tc>
        <w:tc>
          <w:tcPr>
            <w:tcW w:w="1417"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(1)</w:t>
            </w:r>
          </w:p>
        </w:tc>
        <w:tc>
          <w:tcPr>
            <w:tcW w:w="1420"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(2)</w:t>
            </w:r>
          </w:p>
        </w:tc>
        <w:tc>
          <w:tcPr>
            <w:tcW w:w="1415"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(3)</w:t>
            </w:r>
          </w:p>
        </w:tc>
        <w:tc>
          <w:tcPr>
            <w:tcW w:w="1292"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(4)</w:t>
            </w:r>
          </w:p>
        </w:tc>
        <w:tc>
          <w:tcPr>
            <w:tcW w:w="1419"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(5)</w:t>
            </w:r>
          </w:p>
        </w:tc>
        <w:tc>
          <w:tcPr>
            <w:tcW w:w="1416" w:type="dxa"/>
            <w:tcBorders>
              <w:top w:val="single" w:sz="4" w:space="0" w:color="000000"/>
              <w:left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(6)</w:t>
            </w:r>
          </w:p>
        </w:tc>
      </w:tr>
      <w:tr w:rsidR="00B9661D" w:rsidRPr="00FE020F" w:rsidTr="00233609">
        <w:trPr>
          <w:trHeight w:val="255"/>
        </w:trPr>
        <w:tc>
          <w:tcPr>
            <w:tcW w:w="1668"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2C1428">
              <w:rPr>
                <w:rFonts w:ascii="Times New Roman" w:eastAsia="Times New Roman" w:hAnsi="Times New Roman" w:cs="Times New Roman"/>
                <w:sz w:val="20"/>
                <w:szCs w:val="20"/>
              </w:rPr>
              <w:t>Highest MTB</w:t>
            </w:r>
          </w:p>
        </w:tc>
        <w:tc>
          <w:tcPr>
            <w:tcW w:w="1420"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2C1428">
              <w:rPr>
                <w:rFonts w:ascii="Times New Roman" w:eastAsia="Times New Roman" w:hAnsi="Times New Roman" w:cs="Times New Roman"/>
                <w:sz w:val="20"/>
                <w:szCs w:val="20"/>
              </w:rPr>
              <w:t>Highest MTB</w:t>
            </w:r>
          </w:p>
        </w:tc>
        <w:tc>
          <w:tcPr>
            <w:tcW w:w="1415"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2C1428">
              <w:rPr>
                <w:rFonts w:ascii="Times New Roman" w:eastAsia="Times New Roman" w:hAnsi="Times New Roman" w:cs="Times New Roman"/>
                <w:sz w:val="20"/>
                <w:szCs w:val="20"/>
              </w:rPr>
              <w:t>Highest MTB</w:t>
            </w:r>
          </w:p>
        </w:tc>
        <w:tc>
          <w:tcPr>
            <w:tcW w:w="1292"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w:t>
            </w:r>
            <w:r w:rsidRPr="002C1428">
              <w:rPr>
                <w:rFonts w:ascii="Times New Roman" w:eastAsia="Times New Roman" w:hAnsi="Times New Roman" w:cs="Times New Roman"/>
                <w:sz w:val="20"/>
                <w:szCs w:val="20"/>
              </w:rPr>
              <w:t>est MTB</w:t>
            </w:r>
          </w:p>
        </w:tc>
        <w:tc>
          <w:tcPr>
            <w:tcW w:w="1419"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w:t>
            </w:r>
            <w:r w:rsidRPr="002C1428">
              <w:rPr>
                <w:rFonts w:ascii="Times New Roman" w:eastAsia="Times New Roman" w:hAnsi="Times New Roman" w:cs="Times New Roman"/>
                <w:sz w:val="20"/>
                <w:szCs w:val="20"/>
              </w:rPr>
              <w:t>est MTB</w:t>
            </w:r>
          </w:p>
        </w:tc>
        <w:tc>
          <w:tcPr>
            <w:tcW w:w="1416" w:type="dxa"/>
            <w:tcBorders>
              <w:top w:val="nil"/>
              <w:left w:val="nil"/>
              <w:bottom w:val="single" w:sz="4" w:space="0" w:color="auto"/>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Low</w:t>
            </w:r>
            <w:r w:rsidRPr="002C1428">
              <w:rPr>
                <w:rFonts w:ascii="Times New Roman" w:eastAsia="Times New Roman" w:hAnsi="Times New Roman" w:cs="Times New Roman"/>
                <w:sz w:val="20"/>
                <w:szCs w:val="20"/>
              </w:rPr>
              <w:t>est MTB</w:t>
            </w:r>
          </w:p>
        </w:tc>
      </w:tr>
      <w:tr w:rsidR="00B9661D" w:rsidRPr="00FE020F" w:rsidTr="00233609">
        <w:trPr>
          <w:trHeight w:val="255"/>
        </w:trPr>
        <w:tc>
          <w:tcPr>
            <w:tcW w:w="1668" w:type="dxa"/>
            <w:tcBorders>
              <w:top w:val="single" w:sz="4" w:space="0" w:color="auto"/>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roofErr w:type="spellStart"/>
            <w:r w:rsidRPr="00FE020F">
              <w:rPr>
                <w:rFonts w:ascii="Times New Roman" w:eastAsia="Times New Roman" w:hAnsi="Times New Roman" w:cs="Times New Roman"/>
                <w:sz w:val="20"/>
                <w:szCs w:val="20"/>
              </w:rPr>
              <w:t>EPS</w:t>
            </w:r>
            <w:r>
              <w:rPr>
                <w:rFonts w:ascii="Times New Roman" w:eastAsia="Times New Roman" w:hAnsi="Times New Roman" w:cs="Times New Roman"/>
                <w:sz w:val="20"/>
                <w:szCs w:val="20"/>
              </w:rPr>
              <w:t>_GAAPBeat</w:t>
            </w:r>
            <w:proofErr w:type="spellEnd"/>
          </w:p>
        </w:tc>
        <w:tc>
          <w:tcPr>
            <w:tcW w:w="1417" w:type="dxa"/>
            <w:tcBorders>
              <w:top w:val="single" w:sz="4" w:space="0" w:color="auto"/>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-0.845***</w:t>
            </w:r>
          </w:p>
        </w:tc>
        <w:tc>
          <w:tcPr>
            <w:tcW w:w="1420" w:type="dxa"/>
            <w:tcBorders>
              <w:top w:val="single" w:sz="4" w:space="0" w:color="auto"/>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-0.850***</w:t>
            </w:r>
          </w:p>
        </w:tc>
        <w:tc>
          <w:tcPr>
            <w:tcW w:w="1415" w:type="dxa"/>
            <w:tcBorders>
              <w:top w:val="single" w:sz="4" w:space="0" w:color="auto"/>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-1.104***</w:t>
            </w:r>
          </w:p>
        </w:tc>
        <w:tc>
          <w:tcPr>
            <w:tcW w:w="1292" w:type="dxa"/>
            <w:tcBorders>
              <w:top w:val="single" w:sz="4" w:space="0" w:color="auto"/>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0.392**</w:t>
            </w:r>
          </w:p>
        </w:tc>
        <w:tc>
          <w:tcPr>
            <w:tcW w:w="1419" w:type="dxa"/>
            <w:tcBorders>
              <w:top w:val="single" w:sz="4" w:space="0" w:color="auto"/>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0.390**</w:t>
            </w:r>
          </w:p>
        </w:tc>
        <w:tc>
          <w:tcPr>
            <w:tcW w:w="1416" w:type="dxa"/>
            <w:tcBorders>
              <w:top w:val="single" w:sz="4" w:space="0" w:color="auto"/>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0.558***</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(-4.916)</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(-4.950)</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(-5.154)</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(2.436)</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(2.365)</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(3.377)</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w:t>
            </w: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-2.304***</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-2.326***</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-2.505***</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3.028***</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3.038***</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3.213***</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(-7.348)</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(-7.512)</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(-7.807)</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(11.404)</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(11.269)</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(10.334)</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SIZE</w:t>
            </w: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-0.068</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-0.056</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-0.204</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0.063</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0.059</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0.204*</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(-0.514)</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(-0.400)</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(-1.541)</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(0.573)</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(0.513)</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(1.836)</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w:t>
            </w: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0.919***</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0.942***</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0.926***</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-0.452***</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-0.460***</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-0.442***</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(11.216)</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(11.940)</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(8.959)</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(-7.443)</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(-7.628)</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(-6.091)</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VOLA</w:t>
            </w: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1.894***</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1.944***</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2.171***</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-1.989***</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-2.025***</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-2.267***</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(9.208)</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(9.778)</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(9.080)</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(-4.636)</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(-4.603)</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(-5.056)</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AF</w:t>
            </w: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0.001</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0.001</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-0.000</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0.034***</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0.036***</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0.043***</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(0.132)</w:t>
            </w:r>
          </w:p>
        </w:tc>
        <w:tc>
          <w:tcPr>
            <w:tcW w:w="1420"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(0.072)</w:t>
            </w:r>
          </w:p>
        </w:tc>
        <w:tc>
          <w:tcPr>
            <w:tcW w:w="1415" w:type="dxa"/>
            <w:tcBorders>
              <w:top w:val="nil"/>
              <w:left w:val="nil"/>
              <w:bottom w:val="nil"/>
              <w:right w:val="nil"/>
            </w:tcBorders>
            <w:shd w:val="clear" w:color="auto" w:fill="auto"/>
            <w:noWrap/>
            <w:hideMark/>
          </w:tcPr>
          <w:p w:rsidR="00B9661D" w:rsidRPr="00EE5368" w:rsidRDefault="00B9661D" w:rsidP="00233609">
            <w:pPr>
              <w:spacing w:after="0" w:line="240" w:lineRule="auto"/>
              <w:rPr>
                <w:rFonts w:ascii="Times New Roman" w:eastAsia="Times New Roman" w:hAnsi="Times New Roman" w:cs="Times New Roman"/>
                <w:sz w:val="20"/>
                <w:szCs w:val="20"/>
              </w:rPr>
            </w:pPr>
            <w:r w:rsidRPr="00EE5368">
              <w:rPr>
                <w:rFonts w:ascii="Times New Roman" w:hAnsi="Times New Roman" w:cs="Times New Roman"/>
                <w:sz w:val="20"/>
                <w:szCs w:val="20"/>
              </w:rPr>
              <w:t>(-0.041)</w:t>
            </w:r>
          </w:p>
        </w:tc>
        <w:tc>
          <w:tcPr>
            <w:tcW w:w="1292"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(2.624)</w:t>
            </w:r>
          </w:p>
        </w:tc>
        <w:tc>
          <w:tcPr>
            <w:tcW w:w="1419"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(2.721)</w:t>
            </w:r>
          </w:p>
        </w:tc>
        <w:tc>
          <w:tcPr>
            <w:tcW w:w="1416" w:type="dxa"/>
            <w:tcBorders>
              <w:top w:val="nil"/>
              <w:left w:val="nil"/>
              <w:bottom w:val="nil"/>
              <w:right w:val="nil"/>
            </w:tcBorders>
            <w:shd w:val="clear" w:color="auto" w:fill="auto"/>
            <w:noWrap/>
            <w:vAlign w:val="bottom"/>
            <w:hideMark/>
          </w:tcPr>
          <w:p w:rsidR="00B9661D" w:rsidRPr="00EE5368" w:rsidRDefault="00B9661D" w:rsidP="00233609">
            <w:pPr>
              <w:spacing w:after="0" w:line="240" w:lineRule="auto"/>
              <w:rPr>
                <w:rFonts w:ascii="Times New Roman" w:hAnsi="Times New Roman" w:cs="Times New Roman"/>
                <w:sz w:val="20"/>
                <w:szCs w:val="20"/>
              </w:rPr>
            </w:pPr>
            <w:r w:rsidRPr="00EE5368">
              <w:rPr>
                <w:rFonts w:ascii="Times New Roman" w:hAnsi="Times New Roman" w:cs="Times New Roman"/>
                <w:sz w:val="20"/>
                <w:szCs w:val="20"/>
              </w:rPr>
              <w:t>(2.880)</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Observations</w:t>
            </w:r>
          </w:p>
        </w:tc>
        <w:tc>
          <w:tcPr>
            <w:tcW w:w="1417"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c>
          <w:tcPr>
            <w:tcW w:w="1415"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c>
          <w:tcPr>
            <w:tcW w:w="1292"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c>
          <w:tcPr>
            <w:tcW w:w="141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747</w:t>
            </w:r>
          </w:p>
        </w:tc>
      </w:tr>
      <w:tr w:rsidR="00B9661D" w:rsidRPr="00FE020F" w:rsidTr="00233609">
        <w:trPr>
          <w:trHeight w:val="255"/>
        </w:trPr>
        <w:tc>
          <w:tcPr>
            <w:tcW w:w="1668"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Fixed Effect</w:t>
            </w:r>
          </w:p>
        </w:tc>
        <w:tc>
          <w:tcPr>
            <w:tcW w:w="1417"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No</w:t>
            </w:r>
          </w:p>
        </w:tc>
        <w:tc>
          <w:tcPr>
            <w:tcW w:w="1420"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quarter</w:t>
            </w:r>
          </w:p>
        </w:tc>
        <w:tc>
          <w:tcPr>
            <w:tcW w:w="1415"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 and quarter</w:t>
            </w:r>
          </w:p>
        </w:tc>
        <w:tc>
          <w:tcPr>
            <w:tcW w:w="1292"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No</w:t>
            </w:r>
          </w:p>
        </w:tc>
        <w:tc>
          <w:tcPr>
            <w:tcW w:w="1419"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quarter</w:t>
            </w:r>
          </w:p>
        </w:tc>
        <w:tc>
          <w:tcPr>
            <w:tcW w:w="1416" w:type="dxa"/>
            <w:tcBorders>
              <w:top w:val="nil"/>
              <w:left w:val="nil"/>
              <w:bottom w:val="nil"/>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 and quarter</w:t>
            </w:r>
          </w:p>
        </w:tc>
      </w:tr>
      <w:tr w:rsidR="00B9661D" w:rsidRPr="00FE020F" w:rsidTr="00233609">
        <w:trPr>
          <w:trHeight w:val="255"/>
        </w:trPr>
        <w:tc>
          <w:tcPr>
            <w:tcW w:w="1668"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proofErr w:type="spellStart"/>
            <w:r w:rsidRPr="00FE020F">
              <w:rPr>
                <w:rFonts w:ascii="Times New Roman" w:eastAsia="Times New Roman" w:hAnsi="Times New Roman" w:cs="Times New Roman"/>
                <w:sz w:val="20"/>
                <w:szCs w:val="20"/>
              </w:rPr>
              <w:t>StdErr_Cluster</w:t>
            </w:r>
            <w:proofErr w:type="spellEnd"/>
          </w:p>
        </w:tc>
        <w:tc>
          <w:tcPr>
            <w:tcW w:w="1417"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420"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415"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292"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419"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c>
          <w:tcPr>
            <w:tcW w:w="1416" w:type="dxa"/>
            <w:tcBorders>
              <w:top w:val="nil"/>
              <w:left w:val="nil"/>
              <w:bottom w:val="single" w:sz="4" w:space="0" w:color="000000"/>
              <w:right w:val="nil"/>
            </w:tcBorders>
            <w:shd w:val="clear" w:color="auto" w:fill="auto"/>
            <w:noWrap/>
            <w:hideMark/>
          </w:tcPr>
          <w:p w:rsidR="00B9661D" w:rsidRPr="00FE020F" w:rsidRDefault="00B9661D" w:rsidP="00233609">
            <w:pPr>
              <w:spacing w:after="0" w:line="240" w:lineRule="auto"/>
              <w:rPr>
                <w:rFonts w:ascii="Times New Roman" w:eastAsia="Times New Roman" w:hAnsi="Times New Roman" w:cs="Times New Roman"/>
                <w:sz w:val="20"/>
                <w:szCs w:val="20"/>
              </w:rPr>
            </w:pPr>
            <w:r w:rsidRPr="00FE020F">
              <w:rPr>
                <w:rFonts w:ascii="Times New Roman" w:eastAsia="Times New Roman" w:hAnsi="Times New Roman" w:cs="Times New Roman"/>
                <w:sz w:val="20"/>
                <w:szCs w:val="20"/>
              </w:rPr>
              <w:t>firm</w:t>
            </w:r>
          </w:p>
        </w:tc>
      </w:tr>
    </w:tbl>
    <w:p w:rsidR="00B9661D" w:rsidRDefault="00B9661D" w:rsidP="00B9661D"/>
    <w:p w:rsidR="00B9661D" w:rsidRDefault="00B9661D" w:rsidP="00B9661D"/>
    <w:p w:rsidR="00B9661D" w:rsidRDefault="00B9661D" w:rsidP="00B9661D"/>
    <w:p w:rsidR="00B9661D" w:rsidRDefault="00B9661D" w:rsidP="00B9661D"/>
    <w:p w:rsidR="00B9661D" w:rsidRDefault="00B9661D" w:rsidP="00B9661D">
      <w:pPr>
        <w:sectPr w:rsidR="00B9661D" w:rsidSect="00233609">
          <w:pgSz w:w="11906" w:h="16838"/>
          <w:pgMar w:top="1440" w:right="851" w:bottom="1440" w:left="1135" w:header="708" w:footer="449" w:gutter="0"/>
          <w:cols w:space="708"/>
          <w:docGrid w:linePitch="360"/>
        </w:sectPr>
      </w:pPr>
    </w:p>
    <w:p w:rsidR="00B9661D" w:rsidRPr="00803A14" w:rsidRDefault="00B9661D" w:rsidP="00B9661D">
      <w:pPr>
        <w:keepNext/>
        <w:keepLines/>
        <w:spacing w:after="0"/>
        <w:outlineLvl w:val="0"/>
        <w:rPr>
          <w:rFonts w:ascii="Times New Roman" w:eastAsia="PMingLiU" w:hAnsi="Times New Roman" w:cs="Times New Roman"/>
          <w:b/>
          <w:bCs/>
          <w:iCs/>
          <w:color w:val="FF0000"/>
          <w:sz w:val="24"/>
          <w:szCs w:val="24"/>
        </w:rPr>
      </w:pPr>
      <w:r w:rsidRPr="00803A14">
        <w:rPr>
          <w:rFonts w:ascii="Times New Roman" w:eastAsia="PMingLiU" w:hAnsi="Times New Roman" w:cs="Times New Roman"/>
          <w:b/>
          <w:bCs/>
          <w:iCs/>
          <w:sz w:val="24"/>
          <w:szCs w:val="24"/>
        </w:rPr>
        <w:lastRenderedPageBreak/>
        <w:t xml:space="preserve">Table 8. Logistic regression for the effect of </w:t>
      </w:r>
      <w:r w:rsidRPr="00803A14">
        <w:rPr>
          <w:rFonts w:ascii="Times New Roman" w:eastAsia="PMingLiU" w:hAnsi="Times New Roman" w:cs="Times New Roman"/>
          <w:b/>
          <w:bCs/>
          <w:i/>
          <w:iCs/>
          <w:sz w:val="24"/>
          <w:szCs w:val="24"/>
        </w:rPr>
        <w:t>Pos</w:t>
      </w:r>
      <w:r>
        <w:rPr>
          <w:rFonts w:ascii="Times New Roman" w:eastAsia="PMingLiU" w:hAnsi="Times New Roman" w:cs="Times New Roman"/>
          <w:b/>
          <w:bCs/>
          <w:i/>
          <w:iCs/>
          <w:sz w:val="24"/>
          <w:szCs w:val="24"/>
        </w:rPr>
        <w:t>itive</w:t>
      </w:r>
      <w:r w:rsidRPr="00803A14">
        <w:rPr>
          <w:rFonts w:ascii="Times New Roman" w:eastAsia="PMingLiU" w:hAnsi="Times New Roman" w:cs="Times New Roman"/>
          <w:b/>
          <w:bCs/>
          <w:i/>
          <w:iCs/>
          <w:sz w:val="24"/>
          <w:szCs w:val="24"/>
        </w:rPr>
        <w:t xml:space="preserve"> Exclusions</w:t>
      </w:r>
      <w:r w:rsidRPr="00803A14">
        <w:rPr>
          <w:rFonts w:ascii="Times New Roman" w:eastAsia="PMingLiU" w:hAnsi="Times New Roman" w:cs="Times New Roman"/>
          <w:b/>
          <w:bCs/>
          <w:iCs/>
          <w:sz w:val="24"/>
          <w:szCs w:val="24"/>
        </w:rPr>
        <w:t xml:space="preserve"> on overvaluation</w:t>
      </w:r>
    </w:p>
    <w:p w:rsidR="00B9661D" w:rsidRPr="00803A14" w:rsidRDefault="00B9661D" w:rsidP="00B9661D">
      <w:pPr>
        <w:ind w:right="-3"/>
        <w:jc w:val="both"/>
        <w:rPr>
          <w:rFonts w:ascii="Times New Roman" w:eastAsia="PMingLiU" w:hAnsi="Times New Roman" w:cs="Times New Roman"/>
        </w:rPr>
      </w:pPr>
      <w:r w:rsidRPr="00803A14">
        <w:rPr>
          <w:rFonts w:ascii="Times New Roman" w:eastAsia="PMingLiU" w:hAnsi="Times New Roman" w:cs="Times New Roman"/>
        </w:rPr>
        <w:t>This table shows the logistic regression results for the effect of Positive (income-increasing) Exclusions on overvaluation. Panel A, Panel B, and Panel C show the results for Total Exclusions, Other Exclusions, and Special Items, respectively. The sample period of firm-quarter observations is from Q1/2011 to Q1/2017. MTB is the market-to-book ratio, EPS_MB*</w:t>
      </w:r>
      <w:proofErr w:type="spellStart"/>
      <w:r w:rsidRPr="00803A14">
        <w:rPr>
          <w:rFonts w:ascii="Times New Roman" w:eastAsia="PMingLiU" w:hAnsi="Times New Roman" w:cs="Times New Roman"/>
        </w:rPr>
        <w:t>TEPos</w:t>
      </w:r>
      <w:proofErr w:type="spellEnd"/>
      <w:r w:rsidRPr="00803A14">
        <w:rPr>
          <w:rFonts w:ascii="Times New Roman" w:eastAsia="PMingLiU" w:hAnsi="Times New Roman" w:cs="Times New Roman"/>
        </w:rPr>
        <w:t xml:space="preserve"> (EPS_MB*</w:t>
      </w:r>
      <w:proofErr w:type="spellStart"/>
      <w:r w:rsidRPr="00803A14">
        <w:rPr>
          <w:rFonts w:ascii="Times New Roman" w:eastAsia="PMingLiU" w:hAnsi="Times New Roman" w:cs="Times New Roman"/>
        </w:rPr>
        <w:t>OEPos</w:t>
      </w:r>
      <w:proofErr w:type="spellEnd"/>
      <w:r w:rsidRPr="00803A14">
        <w:rPr>
          <w:rFonts w:ascii="Times New Roman" w:eastAsia="PMingLiU" w:hAnsi="Times New Roman" w:cs="Times New Roman"/>
        </w:rPr>
        <w:t>, EPS_MB*</w:t>
      </w:r>
      <w:proofErr w:type="spellStart"/>
      <w:r w:rsidRPr="00803A14">
        <w:rPr>
          <w:rFonts w:ascii="Times New Roman" w:eastAsia="PMingLiU" w:hAnsi="Times New Roman" w:cs="Times New Roman"/>
        </w:rPr>
        <w:t>SIPos</w:t>
      </w:r>
      <w:proofErr w:type="spellEnd"/>
      <w:r w:rsidRPr="00803A14">
        <w:rPr>
          <w:rFonts w:ascii="Times New Roman" w:eastAsia="PMingLiU" w:hAnsi="Times New Roman" w:cs="Times New Roman"/>
        </w:rPr>
        <w:t xml:space="preserve">) is a dummy variable taking the value of 1 if a firm discloses pro forma earnings in a given quarter that meet or beat analyst earnings forecasts using income-increasing Total Exclusions (Other Exclusions, Special Items), and 0 otherwise. Control variables are included but not reported for brevity. Definitions see Table 1. All of the firm-specific variables are </w:t>
      </w:r>
      <w:proofErr w:type="spellStart"/>
      <w:r w:rsidRPr="00803A14">
        <w:rPr>
          <w:rFonts w:ascii="Times New Roman" w:eastAsia="PMingLiU" w:hAnsi="Times New Roman" w:cs="Times New Roman"/>
        </w:rPr>
        <w:t>winsorized</w:t>
      </w:r>
      <w:proofErr w:type="spellEnd"/>
      <w:r w:rsidRPr="00803A14">
        <w:rPr>
          <w:rFonts w:ascii="Times New Roman" w:eastAsia="PMingLiU" w:hAnsi="Times New Roman" w:cs="Times New Roman"/>
        </w:rPr>
        <w:t xml:space="preserve"> at the 1% and 99% levels. z-statistics are reported in parentheses under the estimation coefficient. ***, **, and * denote significance levels 1%, 5%, and 10%, respectively.</w:t>
      </w:r>
    </w:p>
    <w:tbl>
      <w:tblPr>
        <w:tblW w:w="9923" w:type="dxa"/>
        <w:tblLayout w:type="fixed"/>
        <w:tblLook w:val="04A0" w:firstRow="1" w:lastRow="0" w:firstColumn="1" w:lastColumn="0" w:noHBand="0" w:noVBand="1"/>
      </w:tblPr>
      <w:tblGrid>
        <w:gridCol w:w="2748"/>
        <w:gridCol w:w="1195"/>
        <w:gridCol w:w="1196"/>
        <w:gridCol w:w="1196"/>
        <w:gridCol w:w="1196"/>
        <w:gridCol w:w="1196"/>
        <w:gridCol w:w="1196"/>
      </w:tblGrid>
      <w:tr w:rsidR="00B9661D" w:rsidRPr="00803A14" w:rsidTr="00233609">
        <w:trPr>
          <w:trHeight w:val="367"/>
        </w:trPr>
        <w:tc>
          <w:tcPr>
            <w:tcW w:w="5139" w:type="dxa"/>
            <w:gridSpan w:val="3"/>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xml:space="preserve">Panel A: </w:t>
            </w:r>
            <w:r>
              <w:rPr>
                <w:rFonts w:ascii="Times New Roman" w:eastAsia="Times New Roman" w:hAnsi="Times New Roman" w:cs="Times New Roman"/>
                <w:b/>
                <w:bCs/>
                <w:color w:val="000000"/>
                <w:sz w:val="20"/>
                <w:szCs w:val="20"/>
              </w:rPr>
              <w:t>Total Exclusions</w:t>
            </w:r>
          </w:p>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w:t>
            </w: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w:t>
            </w: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w:t>
            </w: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w:t>
            </w:r>
          </w:p>
        </w:tc>
      </w:tr>
      <w:tr w:rsidR="00B9661D" w:rsidRPr="00803A14" w:rsidTr="00233609">
        <w:trPr>
          <w:trHeight w:val="300"/>
        </w:trPr>
        <w:tc>
          <w:tcPr>
            <w:tcW w:w="2748"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p>
        </w:tc>
        <w:tc>
          <w:tcPr>
            <w:tcW w:w="1195"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(1)</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(2)</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(3)</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(4)</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(5)</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(6)</w:t>
            </w:r>
          </w:p>
        </w:tc>
      </w:tr>
      <w:tr w:rsidR="00B9661D" w:rsidRPr="00803A14" w:rsidTr="00233609">
        <w:trPr>
          <w:trHeight w:val="315"/>
        </w:trPr>
        <w:tc>
          <w:tcPr>
            <w:tcW w:w="2748"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Calibri" w:eastAsia="Times New Roman" w:hAnsi="Calibri" w:cs="Calibri"/>
                <w:color w:val="000000"/>
              </w:rPr>
            </w:pPr>
            <w:r w:rsidRPr="00803A14">
              <w:rPr>
                <w:rFonts w:ascii="Calibri" w:eastAsia="Times New Roman" w:hAnsi="Calibri" w:cs="Calibri"/>
                <w:color w:val="000000"/>
              </w:rPr>
              <w:t> </w:t>
            </w:r>
          </w:p>
        </w:tc>
        <w:tc>
          <w:tcPr>
            <w:tcW w:w="1195"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r>
      <w:tr w:rsidR="00B9661D" w:rsidRPr="00803A14" w:rsidTr="00233609">
        <w:trPr>
          <w:trHeight w:val="300"/>
        </w:trPr>
        <w:tc>
          <w:tcPr>
            <w:tcW w:w="2748"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7235E">
              <w:rPr>
                <w:rFonts w:ascii="Times New Roman" w:eastAsia="Times New Roman" w:hAnsi="Times New Roman" w:cs="Times New Roman"/>
                <w:color w:val="000000"/>
                <w:sz w:val="20"/>
                <w:szCs w:val="20"/>
              </w:rPr>
              <w:t>EPS_MB*</w:t>
            </w:r>
            <w:proofErr w:type="spellStart"/>
            <w:r w:rsidRPr="0087235E">
              <w:rPr>
                <w:rFonts w:ascii="Times New Roman" w:eastAsia="Times New Roman" w:hAnsi="Times New Roman" w:cs="Times New Roman"/>
                <w:color w:val="000000"/>
                <w:sz w:val="20"/>
                <w:szCs w:val="20"/>
              </w:rPr>
              <w:t>TEPos</w:t>
            </w:r>
            <w:proofErr w:type="spellEnd"/>
          </w:p>
        </w:tc>
        <w:tc>
          <w:tcPr>
            <w:tcW w:w="1195"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-0.394</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-0.356</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-0.211</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0.633**</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0.550*</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0.561</w:t>
            </w:r>
          </w:p>
        </w:tc>
      </w:tr>
      <w:tr w:rsidR="00B9661D" w:rsidRPr="00803A14" w:rsidTr="00233609">
        <w:trPr>
          <w:trHeight w:val="300"/>
        </w:trPr>
        <w:tc>
          <w:tcPr>
            <w:tcW w:w="2748"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(-0.912)</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(-0.882)</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(-0.420)</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(2.015)</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(1.666)</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(1.333)</w:t>
            </w:r>
          </w:p>
        </w:tc>
      </w:tr>
      <w:tr w:rsidR="00B9661D" w:rsidRPr="00803A14" w:rsidTr="00233609">
        <w:trPr>
          <w:trHeight w:val="300"/>
        </w:trPr>
        <w:tc>
          <w:tcPr>
            <w:tcW w:w="5139" w:type="dxa"/>
            <w:gridSpan w:val="3"/>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xml:space="preserve">Panel B: </w:t>
            </w:r>
            <w:r>
              <w:rPr>
                <w:rFonts w:ascii="Times New Roman" w:eastAsia="Times New Roman" w:hAnsi="Times New Roman" w:cs="Times New Roman"/>
                <w:b/>
                <w:bCs/>
                <w:color w:val="000000"/>
                <w:sz w:val="20"/>
                <w:szCs w:val="20"/>
              </w:rPr>
              <w:t>Other Exclusions</w:t>
            </w:r>
          </w:p>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w:t>
            </w: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sz w:val="20"/>
                <w:szCs w:val="20"/>
              </w:rPr>
            </w:pP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sz w:val="20"/>
                <w:szCs w:val="20"/>
              </w:rPr>
            </w:pP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sz w:val="20"/>
                <w:szCs w:val="20"/>
              </w:rPr>
            </w:pPr>
          </w:p>
        </w:tc>
        <w:tc>
          <w:tcPr>
            <w:tcW w:w="1196" w:type="dxa"/>
            <w:tcBorders>
              <w:top w:val="single" w:sz="8" w:space="0" w:color="auto"/>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sz w:val="20"/>
                <w:szCs w:val="20"/>
              </w:rPr>
            </w:pPr>
          </w:p>
        </w:tc>
      </w:tr>
      <w:tr w:rsidR="00B9661D" w:rsidRPr="00803A14" w:rsidTr="00233609">
        <w:trPr>
          <w:trHeight w:val="300"/>
        </w:trPr>
        <w:tc>
          <w:tcPr>
            <w:tcW w:w="2748"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(7)</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(8)</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(9)</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(10)</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(11)</w:t>
            </w:r>
          </w:p>
        </w:tc>
        <w:tc>
          <w:tcPr>
            <w:tcW w:w="1196"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(12)</w:t>
            </w:r>
          </w:p>
        </w:tc>
      </w:tr>
      <w:tr w:rsidR="00B9661D" w:rsidRPr="00803A14" w:rsidTr="00233609">
        <w:trPr>
          <w:trHeight w:val="315"/>
        </w:trPr>
        <w:tc>
          <w:tcPr>
            <w:tcW w:w="2748"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Calibri" w:eastAsia="Times New Roman" w:hAnsi="Calibri" w:cs="Calibri"/>
                <w:color w:val="000000"/>
              </w:rPr>
            </w:pPr>
            <w:r w:rsidRPr="00803A14">
              <w:rPr>
                <w:rFonts w:ascii="Calibri" w:eastAsia="Times New Roman" w:hAnsi="Calibri" w:cs="Calibri"/>
                <w:color w:val="000000"/>
              </w:rPr>
              <w:t> </w:t>
            </w:r>
          </w:p>
        </w:tc>
        <w:tc>
          <w:tcPr>
            <w:tcW w:w="1195"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c>
          <w:tcPr>
            <w:tcW w:w="1196" w:type="dxa"/>
            <w:tcBorders>
              <w:top w:val="nil"/>
              <w:left w:val="nil"/>
              <w:bottom w:val="single" w:sz="8" w:space="0" w:color="auto"/>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r>
      <w:tr w:rsidR="00B9661D" w:rsidRPr="00803A14" w:rsidTr="00233609">
        <w:trPr>
          <w:trHeight w:val="300"/>
        </w:trPr>
        <w:tc>
          <w:tcPr>
            <w:tcW w:w="2748"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EPS_MB*</w:t>
            </w:r>
            <w:proofErr w:type="spellStart"/>
            <w:r>
              <w:rPr>
                <w:rFonts w:ascii="Times New Roman" w:eastAsia="Times New Roman" w:hAnsi="Times New Roman" w:cs="Times New Roman"/>
                <w:color w:val="000000"/>
                <w:sz w:val="20"/>
                <w:szCs w:val="20"/>
              </w:rPr>
              <w:t>O</w:t>
            </w:r>
            <w:r w:rsidRPr="0087235E">
              <w:rPr>
                <w:rFonts w:ascii="Times New Roman" w:eastAsia="Times New Roman" w:hAnsi="Times New Roman" w:cs="Times New Roman"/>
                <w:color w:val="000000"/>
                <w:sz w:val="20"/>
                <w:szCs w:val="20"/>
              </w:rPr>
              <w:t>EPos</w:t>
            </w:r>
            <w:proofErr w:type="spellEnd"/>
          </w:p>
        </w:tc>
        <w:tc>
          <w:tcPr>
            <w:tcW w:w="1195"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0.834***</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1.121***</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1.233***</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-1.030***</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-1.080***</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-1.338***</w:t>
            </w:r>
          </w:p>
        </w:tc>
      </w:tr>
      <w:tr w:rsidR="00B9661D" w:rsidRPr="00803A14" w:rsidTr="00233609">
        <w:trPr>
          <w:trHeight w:val="300"/>
        </w:trPr>
        <w:tc>
          <w:tcPr>
            <w:tcW w:w="2748" w:type="dxa"/>
            <w:tcBorders>
              <w:top w:val="nil"/>
              <w:left w:val="nil"/>
              <w:bottom w:val="nil"/>
              <w:right w:val="nil"/>
            </w:tcBorders>
            <w:shd w:val="clear" w:color="auto" w:fill="auto"/>
            <w:noWrap/>
            <w:hideMark/>
          </w:tcPr>
          <w:p w:rsidR="00B9661D" w:rsidRPr="00803A14" w:rsidRDefault="00B9661D" w:rsidP="00233609">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(2.695)</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(2.697)</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(3.131)</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(-3.194)</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(-3.196)</w:t>
            </w:r>
          </w:p>
        </w:tc>
        <w:tc>
          <w:tcPr>
            <w:tcW w:w="1196" w:type="dxa"/>
            <w:tcBorders>
              <w:top w:val="nil"/>
              <w:left w:val="nil"/>
              <w:bottom w:val="nil"/>
              <w:right w:val="nil"/>
            </w:tcBorders>
            <w:shd w:val="clear" w:color="auto" w:fill="auto"/>
            <w:noWrap/>
            <w:hideMark/>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(-2.991)</w:t>
            </w:r>
          </w:p>
        </w:tc>
      </w:tr>
      <w:tr w:rsidR="00B9661D" w:rsidRPr="00803A14" w:rsidTr="00233609">
        <w:trPr>
          <w:trHeight w:val="315"/>
        </w:trPr>
        <w:tc>
          <w:tcPr>
            <w:tcW w:w="2748" w:type="dxa"/>
            <w:tcBorders>
              <w:top w:val="single" w:sz="12"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b/>
                <w:bCs/>
                <w:color w:val="000000"/>
                <w:sz w:val="20"/>
                <w:szCs w:val="20"/>
              </w:rPr>
            </w:pPr>
            <w:r w:rsidRPr="00803A14">
              <w:rPr>
                <w:rFonts w:ascii="Times New Roman" w:eastAsia="Times New Roman" w:hAnsi="Times New Roman" w:cs="Times New Roman"/>
                <w:b/>
                <w:bCs/>
                <w:color w:val="000000"/>
                <w:sz w:val="20"/>
                <w:szCs w:val="20"/>
              </w:rPr>
              <w:t xml:space="preserve">Panel </w:t>
            </w:r>
            <w:r>
              <w:rPr>
                <w:rFonts w:ascii="Times New Roman" w:eastAsia="Times New Roman" w:hAnsi="Times New Roman" w:cs="Times New Roman"/>
                <w:b/>
                <w:bCs/>
                <w:color w:val="000000"/>
                <w:sz w:val="20"/>
                <w:szCs w:val="20"/>
              </w:rPr>
              <w:t>C</w:t>
            </w:r>
            <w:r w:rsidRPr="00803A14">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Special Items</w:t>
            </w:r>
          </w:p>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5" w:type="dxa"/>
            <w:tcBorders>
              <w:top w:val="single" w:sz="12"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6" w:type="dxa"/>
            <w:tcBorders>
              <w:top w:val="single" w:sz="12"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6" w:type="dxa"/>
            <w:tcBorders>
              <w:top w:val="single" w:sz="12"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6" w:type="dxa"/>
            <w:tcBorders>
              <w:top w:val="single" w:sz="12"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6" w:type="dxa"/>
            <w:tcBorders>
              <w:top w:val="single" w:sz="12"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6" w:type="dxa"/>
            <w:tcBorders>
              <w:top w:val="single" w:sz="12"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r>
      <w:tr w:rsidR="00B9661D" w:rsidRPr="00803A14" w:rsidTr="00233609">
        <w:trPr>
          <w:trHeight w:val="315"/>
        </w:trPr>
        <w:tc>
          <w:tcPr>
            <w:tcW w:w="2748" w:type="dxa"/>
            <w:tcBorders>
              <w:top w:val="nil"/>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5" w:type="dxa"/>
            <w:tcBorders>
              <w:top w:val="nil"/>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196" w:type="dxa"/>
            <w:tcBorders>
              <w:top w:val="nil"/>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96" w:type="dxa"/>
            <w:tcBorders>
              <w:top w:val="nil"/>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96" w:type="dxa"/>
            <w:tcBorders>
              <w:top w:val="nil"/>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196" w:type="dxa"/>
            <w:tcBorders>
              <w:top w:val="nil"/>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196" w:type="dxa"/>
            <w:tcBorders>
              <w:top w:val="nil"/>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B9661D" w:rsidRPr="00803A14" w:rsidTr="00233609">
        <w:trPr>
          <w:trHeight w:val="315"/>
        </w:trPr>
        <w:tc>
          <w:tcPr>
            <w:tcW w:w="2748"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
        </w:tc>
        <w:tc>
          <w:tcPr>
            <w:tcW w:w="1195"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Highest MTB</w:t>
            </w:r>
          </w:p>
        </w:tc>
        <w:tc>
          <w:tcPr>
            <w:tcW w:w="1196"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c>
          <w:tcPr>
            <w:tcW w:w="1196"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c>
          <w:tcPr>
            <w:tcW w:w="1196"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Lowest MTB</w:t>
            </w:r>
          </w:p>
        </w:tc>
      </w:tr>
      <w:tr w:rsidR="00B9661D" w:rsidRPr="00803A14" w:rsidTr="00233609">
        <w:trPr>
          <w:trHeight w:val="315"/>
        </w:trPr>
        <w:tc>
          <w:tcPr>
            <w:tcW w:w="2748" w:type="dxa"/>
            <w:tcBorders>
              <w:top w:val="single" w:sz="8" w:space="0" w:color="auto"/>
              <w:left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EPS_MB*</w:t>
            </w:r>
            <w:proofErr w:type="spellStart"/>
            <w:r>
              <w:rPr>
                <w:rFonts w:ascii="Times New Roman" w:eastAsia="Times New Roman" w:hAnsi="Times New Roman" w:cs="Times New Roman"/>
                <w:color w:val="000000"/>
                <w:sz w:val="20"/>
                <w:szCs w:val="20"/>
              </w:rPr>
              <w:t>SI</w:t>
            </w:r>
            <w:r w:rsidRPr="0087235E">
              <w:rPr>
                <w:rFonts w:ascii="Times New Roman" w:eastAsia="Times New Roman" w:hAnsi="Times New Roman" w:cs="Times New Roman"/>
                <w:color w:val="000000"/>
                <w:sz w:val="20"/>
                <w:szCs w:val="20"/>
              </w:rPr>
              <w:t>Pos</w:t>
            </w:r>
            <w:proofErr w:type="spellEnd"/>
          </w:p>
        </w:tc>
        <w:tc>
          <w:tcPr>
            <w:tcW w:w="1195" w:type="dxa"/>
            <w:tcBorders>
              <w:top w:val="single" w:sz="8" w:space="0" w:color="auto"/>
              <w:left w:val="nil"/>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-0.702**</w:t>
            </w:r>
          </w:p>
        </w:tc>
        <w:tc>
          <w:tcPr>
            <w:tcW w:w="1196" w:type="dxa"/>
            <w:tcBorders>
              <w:top w:val="single" w:sz="8" w:space="0" w:color="auto"/>
              <w:left w:val="nil"/>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-0.924**</w:t>
            </w:r>
          </w:p>
        </w:tc>
        <w:tc>
          <w:tcPr>
            <w:tcW w:w="1196" w:type="dxa"/>
            <w:tcBorders>
              <w:top w:val="single" w:sz="8" w:space="0" w:color="auto"/>
              <w:left w:val="nil"/>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-1.235**</w:t>
            </w:r>
          </w:p>
        </w:tc>
        <w:tc>
          <w:tcPr>
            <w:tcW w:w="1196" w:type="dxa"/>
            <w:tcBorders>
              <w:top w:val="single" w:sz="8" w:space="0" w:color="auto"/>
              <w:left w:val="nil"/>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0.925***</w:t>
            </w:r>
          </w:p>
        </w:tc>
        <w:tc>
          <w:tcPr>
            <w:tcW w:w="1196" w:type="dxa"/>
            <w:tcBorders>
              <w:top w:val="single" w:sz="8" w:space="0" w:color="auto"/>
              <w:left w:val="nil"/>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1.014***</w:t>
            </w:r>
          </w:p>
        </w:tc>
        <w:tc>
          <w:tcPr>
            <w:tcW w:w="1196" w:type="dxa"/>
            <w:tcBorders>
              <w:top w:val="single" w:sz="8" w:space="0" w:color="auto"/>
              <w:left w:val="nil"/>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1.130***</w:t>
            </w:r>
          </w:p>
        </w:tc>
      </w:tr>
      <w:tr w:rsidR="00B9661D" w:rsidRPr="00803A14" w:rsidTr="00233609">
        <w:trPr>
          <w:trHeight w:val="315"/>
        </w:trPr>
        <w:tc>
          <w:tcPr>
            <w:tcW w:w="2748" w:type="dxa"/>
            <w:tcBorders>
              <w:top w:val="nil"/>
              <w:left w:val="nil"/>
              <w:bottom w:val="single" w:sz="8" w:space="0" w:color="auto"/>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sz w:val="20"/>
                <w:szCs w:val="20"/>
              </w:rPr>
            </w:pPr>
          </w:p>
        </w:tc>
        <w:tc>
          <w:tcPr>
            <w:tcW w:w="1195" w:type="dxa"/>
            <w:tcBorders>
              <w:top w:val="nil"/>
              <w:left w:val="nil"/>
              <w:bottom w:val="single" w:sz="8" w:space="0" w:color="auto"/>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(-2.200)</w:t>
            </w:r>
          </w:p>
        </w:tc>
        <w:tc>
          <w:tcPr>
            <w:tcW w:w="1196" w:type="dxa"/>
            <w:tcBorders>
              <w:top w:val="nil"/>
              <w:left w:val="nil"/>
              <w:bottom w:val="single" w:sz="8" w:space="0" w:color="auto"/>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(-2.245)</w:t>
            </w:r>
          </w:p>
        </w:tc>
        <w:tc>
          <w:tcPr>
            <w:tcW w:w="1196" w:type="dxa"/>
            <w:tcBorders>
              <w:top w:val="nil"/>
              <w:left w:val="nil"/>
              <w:bottom w:val="single" w:sz="8" w:space="0" w:color="auto"/>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(-2.367)</w:t>
            </w:r>
          </w:p>
        </w:tc>
        <w:tc>
          <w:tcPr>
            <w:tcW w:w="1196" w:type="dxa"/>
            <w:tcBorders>
              <w:top w:val="nil"/>
              <w:left w:val="nil"/>
              <w:bottom w:val="single" w:sz="8" w:space="0" w:color="auto"/>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(3.414)</w:t>
            </w:r>
          </w:p>
        </w:tc>
        <w:tc>
          <w:tcPr>
            <w:tcW w:w="1196" w:type="dxa"/>
            <w:tcBorders>
              <w:top w:val="nil"/>
              <w:left w:val="nil"/>
              <w:bottom w:val="single" w:sz="8" w:space="0" w:color="auto"/>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(3.492)</w:t>
            </w:r>
          </w:p>
        </w:tc>
        <w:tc>
          <w:tcPr>
            <w:tcW w:w="1196" w:type="dxa"/>
            <w:tcBorders>
              <w:top w:val="nil"/>
              <w:left w:val="nil"/>
              <w:bottom w:val="single" w:sz="8" w:space="0" w:color="auto"/>
              <w:right w:val="nil"/>
            </w:tcBorders>
            <w:shd w:val="clear" w:color="auto" w:fill="auto"/>
            <w:noWrap/>
          </w:tcPr>
          <w:p w:rsidR="00B9661D" w:rsidRPr="0087235E" w:rsidRDefault="00B9661D" w:rsidP="00233609">
            <w:pPr>
              <w:spacing w:after="0" w:line="240" w:lineRule="auto"/>
              <w:rPr>
                <w:rFonts w:ascii="Times New Roman" w:eastAsia="Times New Roman" w:hAnsi="Times New Roman" w:cs="Times New Roman"/>
                <w:sz w:val="20"/>
                <w:szCs w:val="20"/>
              </w:rPr>
            </w:pPr>
            <w:r w:rsidRPr="0087235E">
              <w:rPr>
                <w:rFonts w:ascii="Times New Roman" w:eastAsia="Times New Roman" w:hAnsi="Times New Roman" w:cs="Times New Roman"/>
                <w:sz w:val="20"/>
                <w:szCs w:val="20"/>
              </w:rPr>
              <w:t>(3.257)</w:t>
            </w:r>
          </w:p>
        </w:tc>
      </w:tr>
      <w:tr w:rsidR="00B9661D" w:rsidRPr="00803A14" w:rsidTr="00233609">
        <w:trPr>
          <w:trHeight w:val="315"/>
        </w:trPr>
        <w:tc>
          <w:tcPr>
            <w:tcW w:w="2748" w:type="dxa"/>
            <w:tcBorders>
              <w:top w:val="single" w:sz="8"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Observations</w:t>
            </w:r>
          </w:p>
        </w:tc>
        <w:tc>
          <w:tcPr>
            <w:tcW w:w="1195" w:type="dxa"/>
            <w:tcBorders>
              <w:top w:val="single" w:sz="8"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747</w:t>
            </w:r>
          </w:p>
        </w:tc>
        <w:tc>
          <w:tcPr>
            <w:tcW w:w="1196" w:type="dxa"/>
            <w:tcBorders>
              <w:top w:val="single" w:sz="8"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747</w:t>
            </w:r>
          </w:p>
        </w:tc>
        <w:tc>
          <w:tcPr>
            <w:tcW w:w="1196" w:type="dxa"/>
            <w:tcBorders>
              <w:top w:val="single" w:sz="8"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747</w:t>
            </w:r>
          </w:p>
        </w:tc>
        <w:tc>
          <w:tcPr>
            <w:tcW w:w="1196" w:type="dxa"/>
            <w:tcBorders>
              <w:top w:val="single" w:sz="8"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747</w:t>
            </w:r>
          </w:p>
        </w:tc>
        <w:tc>
          <w:tcPr>
            <w:tcW w:w="1196" w:type="dxa"/>
            <w:tcBorders>
              <w:top w:val="single" w:sz="8"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747</w:t>
            </w:r>
          </w:p>
        </w:tc>
        <w:tc>
          <w:tcPr>
            <w:tcW w:w="1196" w:type="dxa"/>
            <w:tcBorders>
              <w:top w:val="single" w:sz="8" w:space="0" w:color="auto"/>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747</w:t>
            </w:r>
          </w:p>
        </w:tc>
      </w:tr>
      <w:tr w:rsidR="00B9661D" w:rsidRPr="00803A14" w:rsidTr="00233609">
        <w:trPr>
          <w:trHeight w:val="315"/>
        </w:trPr>
        <w:tc>
          <w:tcPr>
            <w:tcW w:w="2748"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Control variables</w:t>
            </w:r>
          </w:p>
        </w:tc>
        <w:tc>
          <w:tcPr>
            <w:tcW w:w="1195"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Yes</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Yes</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Yes</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Yes</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Yes</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Yes</w:t>
            </w:r>
          </w:p>
        </w:tc>
      </w:tr>
      <w:tr w:rsidR="00B9661D" w:rsidRPr="00803A14" w:rsidTr="00233609">
        <w:trPr>
          <w:trHeight w:val="315"/>
        </w:trPr>
        <w:tc>
          <w:tcPr>
            <w:tcW w:w="2748"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Fixed Effect</w:t>
            </w:r>
          </w:p>
        </w:tc>
        <w:tc>
          <w:tcPr>
            <w:tcW w:w="1195"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No</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quarter</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 and quarter</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No</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quarter</w:t>
            </w:r>
          </w:p>
        </w:tc>
        <w:tc>
          <w:tcPr>
            <w:tcW w:w="1196" w:type="dxa"/>
            <w:tcBorders>
              <w:top w:val="nil"/>
              <w:left w:val="nil"/>
              <w:bottom w:val="nil"/>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 and quarter</w:t>
            </w:r>
          </w:p>
        </w:tc>
      </w:tr>
      <w:tr w:rsidR="00B9661D" w:rsidRPr="00803A14" w:rsidTr="00233609">
        <w:trPr>
          <w:trHeight w:val="315"/>
        </w:trPr>
        <w:tc>
          <w:tcPr>
            <w:tcW w:w="2748" w:type="dxa"/>
            <w:tcBorders>
              <w:top w:val="nil"/>
              <w:left w:val="nil"/>
              <w:bottom w:val="single" w:sz="8" w:space="0" w:color="000000"/>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proofErr w:type="spellStart"/>
            <w:r w:rsidRPr="00803A14">
              <w:rPr>
                <w:rFonts w:ascii="Times New Roman" w:eastAsia="Times New Roman" w:hAnsi="Times New Roman" w:cs="Times New Roman"/>
                <w:color w:val="000000"/>
                <w:sz w:val="20"/>
                <w:szCs w:val="20"/>
              </w:rPr>
              <w:t>StdErr_Cluster</w:t>
            </w:r>
            <w:proofErr w:type="spellEnd"/>
          </w:p>
        </w:tc>
        <w:tc>
          <w:tcPr>
            <w:tcW w:w="1195" w:type="dxa"/>
            <w:tcBorders>
              <w:top w:val="nil"/>
              <w:left w:val="nil"/>
              <w:bottom w:val="single" w:sz="8" w:space="0" w:color="000000"/>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w:t>
            </w:r>
          </w:p>
        </w:tc>
        <w:tc>
          <w:tcPr>
            <w:tcW w:w="1196" w:type="dxa"/>
            <w:tcBorders>
              <w:top w:val="nil"/>
              <w:left w:val="nil"/>
              <w:bottom w:val="single" w:sz="8" w:space="0" w:color="000000"/>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w:t>
            </w:r>
          </w:p>
        </w:tc>
        <w:tc>
          <w:tcPr>
            <w:tcW w:w="1196" w:type="dxa"/>
            <w:tcBorders>
              <w:top w:val="nil"/>
              <w:left w:val="nil"/>
              <w:bottom w:val="single" w:sz="8" w:space="0" w:color="000000"/>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w:t>
            </w:r>
          </w:p>
        </w:tc>
        <w:tc>
          <w:tcPr>
            <w:tcW w:w="1196" w:type="dxa"/>
            <w:tcBorders>
              <w:top w:val="nil"/>
              <w:left w:val="nil"/>
              <w:bottom w:val="single" w:sz="8" w:space="0" w:color="000000"/>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w:t>
            </w:r>
          </w:p>
        </w:tc>
        <w:tc>
          <w:tcPr>
            <w:tcW w:w="1196" w:type="dxa"/>
            <w:tcBorders>
              <w:top w:val="nil"/>
              <w:left w:val="nil"/>
              <w:bottom w:val="single" w:sz="8" w:space="0" w:color="000000"/>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w:t>
            </w:r>
          </w:p>
        </w:tc>
        <w:tc>
          <w:tcPr>
            <w:tcW w:w="1196" w:type="dxa"/>
            <w:tcBorders>
              <w:top w:val="nil"/>
              <w:left w:val="nil"/>
              <w:bottom w:val="single" w:sz="8" w:space="0" w:color="000000"/>
              <w:right w:val="nil"/>
            </w:tcBorders>
            <w:shd w:val="clear" w:color="auto" w:fill="auto"/>
            <w:noWrap/>
          </w:tcPr>
          <w:p w:rsidR="00B9661D" w:rsidRPr="00803A14" w:rsidRDefault="00B9661D" w:rsidP="00233609">
            <w:pPr>
              <w:spacing w:after="0" w:line="240" w:lineRule="auto"/>
              <w:rPr>
                <w:rFonts w:ascii="Times New Roman" w:eastAsia="Times New Roman" w:hAnsi="Times New Roman" w:cs="Times New Roman"/>
                <w:color w:val="000000"/>
                <w:sz w:val="20"/>
                <w:szCs w:val="20"/>
              </w:rPr>
            </w:pPr>
            <w:r w:rsidRPr="00803A14">
              <w:rPr>
                <w:rFonts w:ascii="Times New Roman" w:eastAsia="Times New Roman" w:hAnsi="Times New Roman" w:cs="Times New Roman"/>
                <w:color w:val="000000"/>
                <w:sz w:val="20"/>
                <w:szCs w:val="20"/>
              </w:rPr>
              <w:t>firm</w:t>
            </w:r>
          </w:p>
        </w:tc>
      </w:tr>
    </w:tbl>
    <w:p w:rsidR="00B9661D" w:rsidRPr="00803A14" w:rsidRDefault="00B9661D" w:rsidP="00B9661D">
      <w:pPr>
        <w:rPr>
          <w:rFonts w:ascii="Calibri" w:eastAsia="PMingLiU" w:hAnsi="Calibri" w:cs="Times New Roman"/>
        </w:rPr>
        <w:sectPr w:rsidR="00B9661D" w:rsidRPr="00803A14" w:rsidSect="00233609">
          <w:pgSz w:w="11906" w:h="16838"/>
          <w:pgMar w:top="1440" w:right="851" w:bottom="1440" w:left="1135" w:header="708" w:footer="449" w:gutter="0"/>
          <w:cols w:space="708"/>
          <w:docGrid w:linePitch="360"/>
        </w:sectPr>
      </w:pPr>
    </w:p>
    <w:p w:rsidR="00B9661D" w:rsidRDefault="00B9661D" w:rsidP="001F767A">
      <w:pPr>
        <w:pStyle w:val="tableform"/>
        <w:spacing w:before="0" w:after="120" w:line="240" w:lineRule="auto"/>
        <w:ind w:left="0" w:right="20" w:hanging="851"/>
      </w:pPr>
    </w:p>
    <w:p w:rsidR="00BA3EC7" w:rsidRDefault="00B9661D" w:rsidP="00F94EAD">
      <w:pPr>
        <w:tabs>
          <w:tab w:val="left" w:pos="1826"/>
        </w:tabs>
      </w:pPr>
      <w:r>
        <w:tab/>
      </w:r>
    </w:p>
    <w:sectPr w:rsidR="00BA3EC7">
      <w:footerReference w:type="default" r:id="rId16"/>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592" w:rsidRDefault="004D4592">
      <w:pPr>
        <w:spacing w:after="0" w:line="240" w:lineRule="auto"/>
      </w:pPr>
      <w:r>
        <w:separator/>
      </w:r>
    </w:p>
  </w:endnote>
  <w:endnote w:type="continuationSeparator" w:id="0">
    <w:p w:rsidR="004D4592" w:rsidRDefault="004D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87229"/>
      <w:docPartObj>
        <w:docPartGallery w:val="Page Numbers (Bottom of Page)"/>
        <w:docPartUnique/>
      </w:docPartObj>
    </w:sdtPr>
    <w:sdtContent>
      <w:p w:rsidR="00233609" w:rsidRDefault="00233609">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p w:rsidR="00233609" w:rsidRDefault="00233609">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36785"/>
      <w:docPartObj>
        <w:docPartGallery w:val="Page Numbers (Bottom of Page)"/>
        <w:docPartUnique/>
      </w:docPartObj>
    </w:sdtPr>
    <w:sdtContent>
      <w:p w:rsidR="00233609" w:rsidRDefault="00233609">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20</w:t>
        </w:r>
        <w:r>
          <w:rPr>
            <w:rFonts w:ascii="Times New Roman" w:hAnsi="Times New Roman" w:cs="Times New Roman"/>
            <w:sz w:val="24"/>
            <w:szCs w:val="24"/>
          </w:rPr>
          <w:fldChar w:fldCharType="end"/>
        </w:r>
      </w:p>
      <w:p w:rsidR="00233609" w:rsidRDefault="0023360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94680"/>
      <w:docPartObj>
        <w:docPartGallery w:val="Page Numbers (Bottom of Page)"/>
        <w:docPartUnique/>
      </w:docPartObj>
    </w:sdtPr>
    <w:sdtContent>
      <w:p w:rsidR="00233609" w:rsidRDefault="00233609">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34</w:t>
        </w:r>
        <w:r>
          <w:rPr>
            <w:rFonts w:ascii="Times New Roman" w:hAnsi="Times New Roman" w:cs="Times New Roman"/>
            <w:sz w:val="24"/>
            <w:szCs w:val="24"/>
          </w:rPr>
          <w:fldChar w:fldCharType="end"/>
        </w:r>
      </w:p>
      <w:p w:rsidR="00233609" w:rsidRDefault="00233609">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15947"/>
      <w:docPartObj>
        <w:docPartGallery w:val="Page Numbers (Bottom of Page)"/>
        <w:docPartUnique/>
      </w:docPartObj>
    </w:sdtPr>
    <w:sdtContent>
      <w:p w:rsidR="00233609" w:rsidRDefault="00233609">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55</w:t>
        </w:r>
        <w:r>
          <w:rPr>
            <w:rFonts w:ascii="Times New Roman" w:hAnsi="Times New Roman" w:cs="Times New Roman"/>
            <w:sz w:val="24"/>
            <w:szCs w:val="24"/>
          </w:rPr>
          <w:fldChar w:fldCharType="end"/>
        </w:r>
      </w:p>
      <w:p w:rsidR="00233609" w:rsidRDefault="00233609">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24208"/>
      <w:docPartObj>
        <w:docPartGallery w:val="Page Numbers (Bottom of Page)"/>
        <w:docPartUnique/>
      </w:docPartObj>
    </w:sdtPr>
    <w:sdtContent>
      <w:p w:rsidR="00233609" w:rsidRDefault="00233609">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57</w:t>
        </w:r>
        <w:r>
          <w:rPr>
            <w:rFonts w:ascii="Times New Roman" w:hAnsi="Times New Roman" w:cs="Times New Roman"/>
            <w:sz w:val="24"/>
            <w:szCs w:val="24"/>
          </w:rPr>
          <w:fldChar w:fldCharType="end"/>
        </w:r>
      </w:p>
      <w:p w:rsidR="00233609" w:rsidRDefault="0023360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592" w:rsidRDefault="004D4592">
      <w:r>
        <w:separator/>
      </w:r>
    </w:p>
  </w:footnote>
  <w:footnote w:type="continuationSeparator" w:id="0">
    <w:p w:rsidR="004D4592" w:rsidRDefault="004D4592">
      <w:r>
        <w:continuationSeparator/>
      </w:r>
    </w:p>
  </w:footnote>
  <w:footnote w:id="1">
    <w:p w:rsidR="007D5A45" w:rsidRDefault="007D5A45">
      <w:pPr>
        <w:pStyle w:val="FootnoteText"/>
        <w:jc w:val="both"/>
      </w:pPr>
      <w:r>
        <w:rPr>
          <w:rStyle w:val="FootnoteCharacters"/>
        </w:rPr>
        <w:footnoteRef/>
      </w:r>
      <w:r>
        <w:rPr>
          <w:rFonts w:ascii="Times New Roman" w:hAnsi="Times New Roman" w:cs="Times New Roman"/>
          <w:sz w:val="22"/>
          <w:szCs w:val="22"/>
        </w:rPr>
        <w:t xml:space="preserve"> See recent press coverage, e.g. Tatyana </w:t>
      </w:r>
      <w:proofErr w:type="spellStart"/>
      <w:r>
        <w:rPr>
          <w:rFonts w:ascii="Times New Roman" w:hAnsi="Times New Roman" w:cs="Times New Roman"/>
          <w:sz w:val="22"/>
          <w:szCs w:val="22"/>
        </w:rPr>
        <w:t>Shumsky</w:t>
      </w:r>
      <w:proofErr w:type="spellEnd"/>
      <w:r>
        <w:rPr>
          <w:rFonts w:ascii="Times New Roman" w:hAnsi="Times New Roman" w:cs="Times New Roman"/>
          <w:sz w:val="22"/>
          <w:szCs w:val="22"/>
        </w:rPr>
        <w:t xml:space="preserve"> and Theo Francis, “Accounting choices blur profit picture”, </w:t>
      </w:r>
      <w:r>
        <w:rPr>
          <w:rFonts w:ascii="Times New Roman" w:hAnsi="Times New Roman" w:cs="Times New Roman"/>
          <w:i/>
          <w:sz w:val="22"/>
          <w:szCs w:val="22"/>
        </w:rPr>
        <w:t>The Wall Street Journal</w:t>
      </w:r>
      <w:r>
        <w:rPr>
          <w:rFonts w:ascii="Times New Roman" w:hAnsi="Times New Roman" w:cs="Times New Roman"/>
          <w:sz w:val="22"/>
          <w:szCs w:val="22"/>
        </w:rPr>
        <w:t xml:space="preserve">, June 28, 2016; Tatyana </w:t>
      </w:r>
      <w:proofErr w:type="spellStart"/>
      <w:r>
        <w:rPr>
          <w:rFonts w:ascii="Times New Roman" w:hAnsi="Times New Roman" w:cs="Times New Roman"/>
          <w:sz w:val="22"/>
          <w:szCs w:val="22"/>
        </w:rPr>
        <w:t>Shumsky</w:t>
      </w:r>
      <w:proofErr w:type="spellEnd"/>
      <w:r>
        <w:rPr>
          <w:rFonts w:ascii="Times New Roman" w:hAnsi="Times New Roman" w:cs="Times New Roman"/>
          <w:sz w:val="22"/>
          <w:szCs w:val="22"/>
        </w:rPr>
        <w:t xml:space="preserve">, “Firms say goodbye to prettied-up financial reports”, </w:t>
      </w:r>
      <w:r>
        <w:rPr>
          <w:rFonts w:ascii="Times New Roman" w:hAnsi="Times New Roman" w:cs="Times New Roman"/>
          <w:i/>
          <w:sz w:val="22"/>
          <w:szCs w:val="22"/>
        </w:rPr>
        <w:t>The Wall Street Journal</w:t>
      </w:r>
      <w:r>
        <w:rPr>
          <w:rFonts w:ascii="Times New Roman" w:hAnsi="Times New Roman" w:cs="Times New Roman"/>
          <w:sz w:val="22"/>
          <w:szCs w:val="22"/>
        </w:rPr>
        <w:t>, August 29, 2016. Black et al. (2017a</w:t>
      </w:r>
      <w:r w:rsidR="004A5F33">
        <w:rPr>
          <w:rFonts w:ascii="Times New Roman" w:hAnsi="Times New Roman" w:cs="Times New Roman"/>
          <w:sz w:val="22"/>
          <w:szCs w:val="22"/>
        </w:rPr>
        <w:t xml:space="preserve"> [12]</w:t>
      </w:r>
      <w:r>
        <w:rPr>
          <w:rFonts w:ascii="Times New Roman" w:hAnsi="Times New Roman" w:cs="Times New Roman"/>
          <w:sz w:val="22"/>
          <w:szCs w:val="22"/>
        </w:rPr>
        <w:t>, 2018b</w:t>
      </w:r>
      <w:r w:rsidR="00231ADA">
        <w:rPr>
          <w:rFonts w:ascii="Times New Roman" w:hAnsi="Times New Roman" w:cs="Times New Roman"/>
          <w:sz w:val="22"/>
          <w:szCs w:val="22"/>
        </w:rPr>
        <w:t xml:space="preserve"> [15]</w:t>
      </w:r>
      <w:r>
        <w:rPr>
          <w:rFonts w:ascii="Times New Roman" w:hAnsi="Times New Roman" w:cs="Times New Roman"/>
          <w:sz w:val="22"/>
          <w:szCs w:val="22"/>
        </w:rPr>
        <w:t>) also find that while stricter regulations have curbed the use of pro forma earnings disclosures, their use is still widespread. Bentley et al. (2018)</w:t>
      </w:r>
      <w:r w:rsidR="00A06D99">
        <w:rPr>
          <w:rFonts w:ascii="Times New Roman" w:hAnsi="Times New Roman" w:cs="Times New Roman"/>
          <w:sz w:val="22"/>
          <w:szCs w:val="22"/>
        </w:rPr>
        <w:t xml:space="preserve"> [8]</w:t>
      </w:r>
      <w:r>
        <w:rPr>
          <w:rFonts w:ascii="Times New Roman" w:hAnsi="Times New Roman" w:cs="Times New Roman"/>
          <w:sz w:val="22"/>
          <w:szCs w:val="22"/>
        </w:rPr>
        <w:t xml:space="preserve"> also report a substantial increase in recent years.</w:t>
      </w:r>
    </w:p>
  </w:footnote>
  <w:footnote w:id="2">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Sid Verma,</w:t>
      </w:r>
      <w:r>
        <w:t xml:space="preserve"> </w:t>
      </w:r>
      <w:r>
        <w:rPr>
          <w:rFonts w:ascii="Times New Roman" w:hAnsi="Times New Roman" w:cs="Times New Roman"/>
          <w:sz w:val="22"/>
          <w:szCs w:val="22"/>
        </w:rPr>
        <w:t xml:space="preserve">“‘Irrational Exuberance’ May Rule the Roost in Stock Markets”, </w:t>
      </w:r>
      <w:r>
        <w:rPr>
          <w:rFonts w:ascii="Times New Roman" w:hAnsi="Times New Roman" w:cs="Times New Roman"/>
          <w:i/>
          <w:sz w:val="22"/>
          <w:szCs w:val="22"/>
        </w:rPr>
        <w:t>Bloomberg.com</w:t>
      </w:r>
      <w:r>
        <w:rPr>
          <w:rFonts w:ascii="Times New Roman" w:hAnsi="Times New Roman" w:cs="Times New Roman"/>
          <w:sz w:val="22"/>
          <w:szCs w:val="22"/>
        </w:rPr>
        <w:t xml:space="preserve">, November 14, 2017; Adam Shell, “Dow tops 23,000 for first time as stock market rally gains speed”, </w:t>
      </w:r>
      <w:r>
        <w:rPr>
          <w:rFonts w:ascii="Times New Roman" w:hAnsi="Times New Roman" w:cs="Times New Roman"/>
          <w:i/>
          <w:sz w:val="22"/>
          <w:szCs w:val="22"/>
        </w:rPr>
        <w:t>www.usatoday.com</w:t>
      </w:r>
      <w:r>
        <w:rPr>
          <w:rFonts w:ascii="Times New Roman" w:hAnsi="Times New Roman" w:cs="Times New Roman"/>
          <w:sz w:val="22"/>
          <w:szCs w:val="22"/>
        </w:rPr>
        <w:t>, October 17, 2017.</w:t>
      </w:r>
    </w:p>
  </w:footnote>
  <w:footnote w:id="3">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 xml:space="preserve">Tracy Alloway, “Goldman Sachs Says Corporate America Has Quietly Re-levered”, </w:t>
      </w:r>
      <w:r>
        <w:rPr>
          <w:rFonts w:ascii="Times New Roman" w:hAnsi="Times New Roman" w:cs="Times New Roman"/>
          <w:i/>
          <w:sz w:val="22"/>
          <w:szCs w:val="22"/>
        </w:rPr>
        <w:t>Bloomberg.com</w:t>
      </w:r>
      <w:r>
        <w:rPr>
          <w:rFonts w:ascii="Times New Roman" w:hAnsi="Times New Roman" w:cs="Times New Roman"/>
          <w:sz w:val="22"/>
          <w:szCs w:val="22"/>
        </w:rPr>
        <w:t xml:space="preserve">, November 10, 2015; Mike Cherney and Ian Stumpf, “U.S. firms shoulder rising debt”, </w:t>
      </w:r>
      <w:r>
        <w:rPr>
          <w:rFonts w:ascii="Times New Roman" w:hAnsi="Times New Roman" w:cs="Times New Roman"/>
          <w:i/>
          <w:sz w:val="22"/>
          <w:szCs w:val="22"/>
        </w:rPr>
        <w:t>The Wall Street Journal</w:t>
      </w:r>
      <w:r>
        <w:rPr>
          <w:rFonts w:ascii="Times New Roman" w:hAnsi="Times New Roman" w:cs="Times New Roman"/>
          <w:sz w:val="22"/>
          <w:szCs w:val="22"/>
        </w:rPr>
        <w:t>, May 3, 2015.</w:t>
      </w:r>
    </w:p>
  </w:footnote>
  <w:footnote w:id="4">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 xml:space="preserve">Ben Eisen and </w:t>
      </w:r>
      <w:proofErr w:type="spellStart"/>
      <w:r>
        <w:rPr>
          <w:rFonts w:ascii="Times New Roman" w:hAnsi="Times New Roman" w:cs="Times New Roman"/>
          <w:sz w:val="22"/>
          <w:szCs w:val="22"/>
        </w:rPr>
        <w:t>Akane</w:t>
      </w:r>
      <w:proofErr w:type="spellEnd"/>
      <w:r>
        <w:rPr>
          <w:rFonts w:ascii="Times New Roman" w:hAnsi="Times New Roman" w:cs="Times New Roman"/>
          <w:sz w:val="22"/>
          <w:szCs w:val="22"/>
        </w:rPr>
        <w:t xml:space="preserve"> Otani, “Record Buybacks Help Steady Wobbly Market”,</w:t>
      </w:r>
      <w:r>
        <w:t xml:space="preserve"> </w:t>
      </w:r>
      <w:r>
        <w:rPr>
          <w:rFonts w:ascii="Times New Roman" w:hAnsi="Times New Roman" w:cs="Times New Roman"/>
          <w:i/>
          <w:sz w:val="22"/>
          <w:szCs w:val="22"/>
        </w:rPr>
        <w:t xml:space="preserve">The Wall Street Journal, </w:t>
      </w:r>
      <w:r>
        <w:rPr>
          <w:rFonts w:ascii="Times New Roman" w:hAnsi="Times New Roman" w:cs="Times New Roman"/>
          <w:sz w:val="22"/>
          <w:szCs w:val="22"/>
        </w:rPr>
        <w:t>May 10, 2018</w:t>
      </w:r>
    </w:p>
  </w:footnote>
  <w:footnote w:id="5">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 xml:space="preserve">Sarah Krouse, “ETFs Now Have $1 Trillion More Than Hedge Funds”, </w:t>
      </w:r>
      <w:r>
        <w:rPr>
          <w:rFonts w:ascii="Times New Roman" w:hAnsi="Times New Roman" w:cs="Times New Roman"/>
          <w:i/>
          <w:sz w:val="22"/>
          <w:szCs w:val="22"/>
        </w:rPr>
        <w:t xml:space="preserve">The Wall Street Journal, </w:t>
      </w:r>
      <w:r>
        <w:rPr>
          <w:rFonts w:ascii="Times New Roman" w:hAnsi="Times New Roman" w:cs="Times New Roman"/>
          <w:sz w:val="22"/>
          <w:szCs w:val="22"/>
        </w:rPr>
        <w:t xml:space="preserve">August 1, 2017; Justin Fox, “Mutual Funds Ate the Stock Market. Now ETFs Are Doing It.”, </w:t>
      </w:r>
      <w:r>
        <w:rPr>
          <w:rFonts w:ascii="Times New Roman" w:hAnsi="Times New Roman" w:cs="Times New Roman"/>
          <w:i/>
          <w:sz w:val="22"/>
          <w:szCs w:val="22"/>
        </w:rPr>
        <w:t>Bloomberg.com</w:t>
      </w:r>
      <w:r>
        <w:rPr>
          <w:rFonts w:ascii="Times New Roman" w:hAnsi="Times New Roman" w:cs="Times New Roman"/>
          <w:sz w:val="22"/>
          <w:szCs w:val="22"/>
        </w:rPr>
        <w:t>, May 16, 2017.</w:t>
      </w:r>
    </w:p>
  </w:footnote>
  <w:footnote w:id="6">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 xml:space="preserve">According to Nasdaq.com (January 13, 2018), there are six ETFs on the Dow Jones Index. But its constituents can individually be included in a multitude of different ETFs. For instance, Apple Inc. alone is included in 143 ETF’s top 15 holdings, while Microsoft Inc. is part of 132 ETF’s top 15 holdings (see </w:t>
      </w:r>
      <w:r>
        <w:rPr>
          <w:rFonts w:ascii="Times New Roman" w:hAnsi="Times New Roman" w:cs="Times New Roman"/>
          <w:i/>
          <w:sz w:val="22"/>
          <w:szCs w:val="22"/>
        </w:rPr>
        <w:t xml:space="preserve">ETFdb.com, </w:t>
      </w:r>
      <w:r>
        <w:rPr>
          <w:rFonts w:ascii="Times New Roman" w:hAnsi="Times New Roman" w:cs="Times New Roman"/>
          <w:sz w:val="22"/>
          <w:szCs w:val="22"/>
        </w:rPr>
        <w:t>as of January 13, 2018). Hence shares of the 30 Dow Jones firms face demand from a variety of sources to be included in different indexes. This substantially increases purchases of shares to monotonically satisfy index-inclusion, with less regard to valuation in the purchases.</w:t>
      </w:r>
    </w:p>
  </w:footnote>
  <w:footnote w:id="7">
    <w:p w:rsidR="007D5A45" w:rsidRDefault="007D5A45">
      <w:pPr>
        <w:pStyle w:val="FootnoteText"/>
      </w:pPr>
      <w:r>
        <w:rPr>
          <w:rStyle w:val="FootnoteCharacters"/>
        </w:rPr>
        <w:footnoteRef/>
      </w:r>
      <w:r>
        <w:t xml:space="preserve"> </w:t>
      </w:r>
      <w:r>
        <w:rPr>
          <w:rFonts w:ascii="Times New Roman" w:hAnsi="Times New Roman" w:cs="Times New Roman"/>
          <w:sz w:val="22"/>
          <w:szCs w:val="22"/>
        </w:rPr>
        <w:t xml:space="preserve">Donal </w:t>
      </w:r>
      <w:proofErr w:type="spellStart"/>
      <w:r>
        <w:rPr>
          <w:rFonts w:ascii="Times New Roman" w:hAnsi="Times New Roman" w:cs="Times New Roman"/>
          <w:sz w:val="22"/>
          <w:szCs w:val="22"/>
        </w:rPr>
        <w:t>O’Mahoney</w:t>
      </w:r>
      <w:proofErr w:type="spellEnd"/>
      <w:r>
        <w:rPr>
          <w:rFonts w:ascii="Times New Roman" w:hAnsi="Times New Roman" w:cs="Times New Roman"/>
          <w:sz w:val="22"/>
          <w:szCs w:val="22"/>
        </w:rPr>
        <w:t>, “Central bank policies distort market signals”, ft.com, March 9, 2016.</w:t>
      </w:r>
    </w:p>
  </w:footnote>
  <w:footnote w:id="8">
    <w:p w:rsidR="007D5A45" w:rsidRDefault="007D5A45">
      <w:pPr>
        <w:pStyle w:val="FootnoteText"/>
        <w:jc w:val="both"/>
      </w:pPr>
      <w:r>
        <w:rPr>
          <w:rStyle w:val="FootnoteCharacters"/>
        </w:rPr>
        <w:footnoteRef/>
      </w:r>
      <w:r>
        <w:rPr>
          <w:rFonts w:ascii="Times New Roman" w:hAnsi="Times New Roman" w:cs="Times New Roman"/>
          <w:sz w:val="22"/>
          <w:szCs w:val="22"/>
        </w:rPr>
        <w:t xml:space="preserve"> Studies find that when there is higher uncertainty, analysts become more optimistic in their forecasts and the forecasts tend to be higher overall (e.g. </w:t>
      </w:r>
      <w:proofErr w:type="spellStart"/>
      <w:r>
        <w:rPr>
          <w:rFonts w:ascii="Times New Roman" w:hAnsi="Times New Roman" w:cs="Times New Roman"/>
          <w:sz w:val="22"/>
          <w:szCs w:val="22"/>
        </w:rPr>
        <w:t>Ackert</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Athanassakos</w:t>
      </w:r>
      <w:proofErr w:type="spellEnd"/>
      <w:r>
        <w:rPr>
          <w:rFonts w:ascii="Times New Roman" w:hAnsi="Times New Roman" w:cs="Times New Roman"/>
          <w:sz w:val="22"/>
          <w:szCs w:val="22"/>
        </w:rPr>
        <w:t xml:space="preserve">, 1997 [1]; </w:t>
      </w:r>
      <w:proofErr w:type="spellStart"/>
      <w:r>
        <w:rPr>
          <w:rFonts w:ascii="Times New Roman" w:hAnsi="Times New Roman" w:cs="Times New Roman"/>
          <w:sz w:val="22"/>
          <w:szCs w:val="22"/>
        </w:rPr>
        <w:t>Athanassakos</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Kalimipalli</w:t>
      </w:r>
      <w:proofErr w:type="spellEnd"/>
      <w:r>
        <w:rPr>
          <w:rFonts w:ascii="Times New Roman" w:hAnsi="Times New Roman" w:cs="Times New Roman"/>
          <w:sz w:val="22"/>
          <w:szCs w:val="22"/>
        </w:rPr>
        <w:t>, 2003 [3]).</w:t>
      </w:r>
    </w:p>
  </w:footnote>
  <w:footnote w:id="9">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Consistent with prior research (e.g. Brown et al., 2012</w:t>
      </w:r>
      <w:r w:rsidR="005B601F">
        <w:rPr>
          <w:rFonts w:ascii="Times New Roman" w:hAnsi="Times New Roman" w:cs="Times New Roman"/>
          <w:sz w:val="22"/>
          <w:szCs w:val="22"/>
        </w:rPr>
        <w:t xml:space="preserve"> [21]</w:t>
      </w:r>
      <w:r>
        <w:rPr>
          <w:rFonts w:ascii="Times New Roman" w:hAnsi="Times New Roman" w:cs="Times New Roman"/>
          <w:sz w:val="22"/>
          <w:szCs w:val="22"/>
        </w:rPr>
        <w:t>; Black et al, 2018a</w:t>
      </w:r>
      <w:r w:rsidR="00364927">
        <w:rPr>
          <w:rFonts w:ascii="Times New Roman" w:hAnsi="Times New Roman" w:cs="Times New Roman"/>
          <w:sz w:val="22"/>
          <w:szCs w:val="22"/>
        </w:rPr>
        <w:t xml:space="preserve"> [14]</w:t>
      </w:r>
      <w:r>
        <w:rPr>
          <w:rFonts w:ascii="Times New Roman" w:hAnsi="Times New Roman" w:cs="Times New Roman"/>
          <w:sz w:val="22"/>
          <w:szCs w:val="22"/>
        </w:rPr>
        <w:t>) I use the terms ‘pro forma’, ‘pro-forma’, ‘proforma’, ‘earnings excluding’, ‘net income excluding’, ‘adjusted net income’, ‘adjusted loss’, ‘cash earnings’, ‘earnings before’, ‘free cash flow’, ‘normalized EPS’, ‘normalized earnings’, ‘recurring earnings’, ‘distributable cash flow’, ‘GAAP one-time adjusted’, ‘GAAP adjusted’, or ‘cash loss’.</w:t>
      </w:r>
      <w:r>
        <w:t xml:space="preserve"> </w:t>
      </w:r>
    </w:p>
  </w:footnote>
  <w:footnote w:id="10">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 xml:space="preserve">Other studies use a similar approach to identify overvalued (undervalued) firms (e.g. Sawicki and </w:t>
      </w:r>
      <w:proofErr w:type="spellStart"/>
      <w:r>
        <w:rPr>
          <w:rFonts w:ascii="Times New Roman" w:hAnsi="Times New Roman" w:cs="Times New Roman"/>
          <w:sz w:val="22"/>
          <w:szCs w:val="22"/>
        </w:rPr>
        <w:t>Shreshta</w:t>
      </w:r>
      <w:proofErr w:type="spellEnd"/>
      <w:r>
        <w:rPr>
          <w:rFonts w:ascii="Times New Roman" w:hAnsi="Times New Roman" w:cs="Times New Roman"/>
          <w:sz w:val="22"/>
          <w:szCs w:val="22"/>
        </w:rPr>
        <w:t>, 2014</w:t>
      </w:r>
      <w:r w:rsidR="0047752F">
        <w:rPr>
          <w:rFonts w:ascii="Times New Roman" w:hAnsi="Times New Roman" w:cs="Times New Roman"/>
          <w:sz w:val="22"/>
          <w:szCs w:val="22"/>
        </w:rPr>
        <w:t xml:space="preserve"> [</w:t>
      </w:r>
      <w:r w:rsidR="006905A4">
        <w:rPr>
          <w:rFonts w:ascii="Times New Roman" w:hAnsi="Times New Roman" w:cs="Times New Roman"/>
          <w:sz w:val="22"/>
          <w:szCs w:val="22"/>
        </w:rPr>
        <w:t>59</w:t>
      </w:r>
      <w:r w:rsidR="0047752F">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Badertscher</w:t>
      </w:r>
      <w:proofErr w:type="spellEnd"/>
      <w:r>
        <w:rPr>
          <w:rFonts w:ascii="Times New Roman" w:hAnsi="Times New Roman" w:cs="Times New Roman"/>
          <w:sz w:val="22"/>
          <w:szCs w:val="22"/>
        </w:rPr>
        <w:t>, 2011</w:t>
      </w:r>
      <w:r w:rsidR="00A311BF">
        <w:rPr>
          <w:rFonts w:ascii="Times New Roman" w:hAnsi="Times New Roman" w:cs="Times New Roman"/>
          <w:sz w:val="22"/>
          <w:szCs w:val="22"/>
        </w:rPr>
        <w:t xml:space="preserve"> [4]</w:t>
      </w:r>
      <w:r>
        <w:rPr>
          <w:rFonts w:ascii="Times New Roman" w:hAnsi="Times New Roman" w:cs="Times New Roman"/>
          <w:sz w:val="22"/>
          <w:szCs w:val="22"/>
        </w:rPr>
        <w:t>).</w:t>
      </w:r>
    </w:p>
  </w:footnote>
  <w:footnote w:id="11">
    <w:p w:rsidR="007D5A45" w:rsidRDefault="007D5A45" w:rsidP="00F94EAD">
      <w:pPr>
        <w:pStyle w:val="FootnoteText"/>
        <w:jc w:val="both"/>
      </w:pPr>
      <w:r>
        <w:rPr>
          <w:rStyle w:val="FootnoteCharacters"/>
        </w:rPr>
        <w:footnoteRef/>
      </w:r>
      <w:r>
        <w:t xml:space="preserve"> </w:t>
      </w:r>
      <w:r>
        <w:rPr>
          <w:rFonts w:ascii="Times New Roman" w:hAnsi="Times New Roman" w:cs="Times New Roman"/>
          <w:sz w:val="22"/>
          <w:szCs w:val="22"/>
        </w:rPr>
        <w:t xml:space="preserve">Initially I also examined a third proxy pro forma earnings disclosure often used in the literature, </w:t>
      </w:r>
      <w:proofErr w:type="spellStart"/>
      <w:r>
        <w:rPr>
          <w:rFonts w:ascii="Times New Roman" w:hAnsi="Times New Roman" w:cs="Times New Roman"/>
          <w:i/>
          <w:sz w:val="22"/>
          <w:szCs w:val="22"/>
        </w:rPr>
        <w:t>EPS_</w:t>
      </w:r>
      <w:r>
        <w:rPr>
          <w:rFonts w:ascii="Times New Roman" w:hAnsi="Times New Roman" w:cs="Times New Roman"/>
          <w:i/>
          <w:sz w:val="22"/>
          <w:szCs w:val="22"/>
          <w:vertAlign w:val="subscript"/>
        </w:rPr>
        <w:t>Profit</w:t>
      </w:r>
      <w:proofErr w:type="spellEnd"/>
      <w:r>
        <w:rPr>
          <w:rFonts w:ascii="Times New Roman" w:hAnsi="Times New Roman" w:cs="Times New Roman"/>
          <w:sz w:val="22"/>
          <w:szCs w:val="22"/>
        </w:rPr>
        <w:t>. This measures whether the pro forma earnings number provided turns an operating GAAP loss into a pro forma profit. After the data collection process, however, it turned out that only in 5 quarters out of 747 firms disclosed pro forma earnings that turned an operating GAAP loss into a pro forma profit. This variable was therefore dropped from the analysis.</w:t>
      </w:r>
    </w:p>
  </w:footnote>
  <w:footnote w:id="12">
    <w:p w:rsidR="007D5A45" w:rsidRDefault="007D5A45">
      <w:pPr>
        <w:pStyle w:val="FootnoteText"/>
        <w:jc w:val="both"/>
      </w:pPr>
      <w:r>
        <w:rPr>
          <w:rStyle w:val="FootnoteCharacters"/>
        </w:rPr>
        <w:footnoteRef/>
      </w:r>
      <w:r>
        <w:t xml:space="preserve"> </w:t>
      </w:r>
      <w:r>
        <w:rPr>
          <w:rFonts w:ascii="Times New Roman" w:hAnsi="Times New Roman" w:cs="Times New Roman"/>
          <w:sz w:val="22"/>
          <w:szCs w:val="22"/>
        </w:rPr>
        <w:t xml:space="preserve">The sample ends in Q1 </w:t>
      </w:r>
      <w:proofErr w:type="gramStart"/>
      <w:r>
        <w:rPr>
          <w:rFonts w:ascii="Times New Roman" w:hAnsi="Times New Roman" w:cs="Times New Roman"/>
          <w:sz w:val="22"/>
          <w:szCs w:val="22"/>
        </w:rPr>
        <w:t>2017,</w:t>
      </w:r>
      <w:proofErr w:type="gramEnd"/>
      <w:r>
        <w:rPr>
          <w:rFonts w:ascii="Times New Roman" w:hAnsi="Times New Roman" w:cs="Times New Roman"/>
          <w:sz w:val="22"/>
          <w:szCs w:val="22"/>
        </w:rPr>
        <w:t xml:space="preserve"> thus I do not have observations for Q2 2017 to calculate Q1</w:t>
      </w:r>
      <w:r>
        <w:rPr>
          <w:rFonts w:ascii="Times New Roman" w:hAnsi="Times New Roman" w:cs="Times New Roman"/>
          <w:sz w:val="22"/>
          <w:szCs w:val="22"/>
          <w:vertAlign w:val="subscript"/>
        </w:rPr>
        <w:t xml:space="preserve">t+1 </w:t>
      </w:r>
      <w:r>
        <w:rPr>
          <w:rFonts w:ascii="Times New Roman" w:hAnsi="Times New Roman" w:cs="Times New Roman"/>
          <w:sz w:val="22"/>
          <w:szCs w:val="22"/>
        </w:rPr>
        <w:t>for 2017.</w:t>
      </w:r>
    </w:p>
  </w:footnote>
  <w:footnote w:id="13">
    <w:p w:rsidR="007D5A45" w:rsidRDefault="007D5A45" w:rsidP="00F94EAD">
      <w:pPr>
        <w:pStyle w:val="FootnoteText"/>
        <w:jc w:val="both"/>
      </w:pPr>
      <w:r>
        <w:rPr>
          <w:rStyle w:val="FootnoteCharacters"/>
        </w:rPr>
        <w:footnoteRef/>
      </w:r>
      <w:r>
        <w:t xml:space="preserve"> </w:t>
      </w:r>
      <w:r>
        <w:rPr>
          <w:rFonts w:ascii="Times New Roman" w:hAnsi="Times New Roman" w:cs="Times New Roman"/>
          <w:sz w:val="22"/>
          <w:szCs w:val="22"/>
        </w:rPr>
        <w:t>Prior studies suggest that when pro forma earnings are higher than GAAP earnings investors may be misled and overestimate actual performance (see e.g. Bhattacharya et al.</w:t>
      </w:r>
      <w:r w:rsidR="005B601F">
        <w:rPr>
          <w:rFonts w:ascii="Times New Roman" w:hAnsi="Times New Roman" w:cs="Times New Roman"/>
          <w:sz w:val="22"/>
          <w:szCs w:val="22"/>
        </w:rPr>
        <w:t xml:space="preserve">, </w:t>
      </w:r>
      <w:r>
        <w:rPr>
          <w:rFonts w:ascii="Times New Roman" w:hAnsi="Times New Roman" w:cs="Times New Roman"/>
          <w:sz w:val="22"/>
          <w:szCs w:val="22"/>
        </w:rPr>
        <w:t>2007</w:t>
      </w:r>
      <w:r w:rsidR="005B601F">
        <w:rPr>
          <w:rFonts w:ascii="Times New Roman" w:hAnsi="Times New Roman" w:cs="Times New Roman"/>
          <w:sz w:val="22"/>
          <w:szCs w:val="22"/>
        </w:rPr>
        <w:t xml:space="preserve"> [10]</w:t>
      </w:r>
      <w:r>
        <w:rPr>
          <w:rFonts w:ascii="Times New Roman" w:hAnsi="Times New Roman" w:cs="Times New Roman"/>
          <w:sz w:val="22"/>
          <w:szCs w:val="22"/>
        </w:rPr>
        <w:t>; Doyle et al. (2003</w:t>
      </w:r>
      <w:r w:rsidR="00EC1355">
        <w:rPr>
          <w:rFonts w:ascii="Times New Roman" w:hAnsi="Times New Roman" w:cs="Times New Roman"/>
          <w:sz w:val="22"/>
          <w:szCs w:val="22"/>
        </w:rPr>
        <w:t xml:space="preserve"> [3</w:t>
      </w:r>
      <w:r w:rsidR="00873576">
        <w:rPr>
          <w:rFonts w:ascii="Times New Roman" w:hAnsi="Times New Roman" w:cs="Times New Roman"/>
          <w:sz w:val="22"/>
          <w:szCs w:val="22"/>
        </w:rPr>
        <w:t>2</w:t>
      </w:r>
      <w:r w:rsidR="00EC1355">
        <w:rPr>
          <w:rFonts w:ascii="Times New Roman" w:hAnsi="Times New Roman" w:cs="Times New Roman"/>
          <w:sz w:val="22"/>
          <w:szCs w:val="22"/>
        </w:rPr>
        <w:t>]</w:t>
      </w:r>
      <w:r>
        <w:rPr>
          <w:rFonts w:ascii="Times New Roman" w:hAnsi="Times New Roman" w:cs="Times New Roman"/>
          <w:sz w:val="22"/>
          <w:szCs w:val="22"/>
        </w:rPr>
        <w:t>, 2013</w:t>
      </w:r>
      <w:r w:rsidR="00DB3317">
        <w:rPr>
          <w:rFonts w:ascii="Times New Roman" w:hAnsi="Times New Roman" w:cs="Times New Roman"/>
          <w:sz w:val="22"/>
          <w:szCs w:val="22"/>
        </w:rPr>
        <w:t xml:space="preserve"> [3</w:t>
      </w:r>
      <w:r w:rsidR="00873576">
        <w:rPr>
          <w:rFonts w:ascii="Times New Roman" w:hAnsi="Times New Roman" w:cs="Times New Roman"/>
          <w:sz w:val="22"/>
          <w:szCs w:val="22"/>
        </w:rPr>
        <w:t>3</w:t>
      </w:r>
      <w:r w:rsidR="00DB3317">
        <w:rPr>
          <w:rFonts w:ascii="Times New Roman" w:hAnsi="Times New Roman" w:cs="Times New Roman"/>
          <w:sz w:val="22"/>
          <w:szCs w:val="22"/>
        </w:rPr>
        <w:t>]</w:t>
      </w:r>
      <w:r>
        <w:rPr>
          <w:rFonts w:ascii="Times New Roman" w:hAnsi="Times New Roman" w:cs="Times New Roman"/>
          <w:sz w:val="22"/>
          <w:szCs w:val="22"/>
        </w:rPr>
        <w:t xml:space="preserve">). </w:t>
      </w:r>
    </w:p>
  </w:footnote>
  <w:footnote w:id="14">
    <w:p w:rsidR="007D5A45" w:rsidRDefault="007D5A45">
      <w:pPr>
        <w:pStyle w:val="FootnoteText"/>
        <w:jc w:val="both"/>
      </w:pPr>
      <w:r>
        <w:rPr>
          <w:rStyle w:val="FootnoteCharacters"/>
        </w:rPr>
        <w:footnoteRef/>
      </w:r>
      <w:r>
        <w:t xml:space="preserve"> </w:t>
      </w:r>
      <w:r>
        <w:rPr>
          <w:rFonts w:ascii="Times New Roman" w:hAnsi="Times New Roman" w:cs="Times New Roman"/>
          <w:i/>
          <w:sz w:val="22"/>
          <w:szCs w:val="22"/>
        </w:rPr>
        <w:t>Special Items</w:t>
      </w:r>
      <w:r>
        <w:rPr>
          <w:rFonts w:ascii="Times New Roman" w:hAnsi="Times New Roman" w:cs="Times New Roman"/>
          <w:sz w:val="22"/>
          <w:szCs w:val="22"/>
        </w:rPr>
        <w:t xml:space="preserve"> are items such as restructuring charges or asset write-downs, while </w:t>
      </w:r>
      <w:r w:rsidRPr="00F94EAD">
        <w:rPr>
          <w:rFonts w:ascii="Times New Roman" w:hAnsi="Times New Roman" w:cs="Times New Roman"/>
          <w:sz w:val="22"/>
          <w:szCs w:val="22"/>
        </w:rPr>
        <w:t>Other Exclusions</w:t>
      </w:r>
      <w:r>
        <w:rPr>
          <w:rFonts w:ascii="Times New Roman" w:hAnsi="Times New Roman" w:cs="Times New Roman"/>
          <w:sz w:val="22"/>
          <w:szCs w:val="22"/>
        </w:rPr>
        <w:t xml:space="preserve"> include items such as goodwill amortization, stock compensation expense, or legal settlement costs (see Doyle et al., 2003</w:t>
      </w:r>
      <w:r w:rsidR="00717249">
        <w:rPr>
          <w:rFonts w:ascii="Times New Roman" w:hAnsi="Times New Roman" w:cs="Times New Roman"/>
          <w:sz w:val="22"/>
          <w:szCs w:val="22"/>
        </w:rPr>
        <w:t xml:space="preserve"> [31]</w:t>
      </w:r>
      <w:r>
        <w:rPr>
          <w:rFonts w:ascii="Times New Roman" w:hAnsi="Times New Roman" w:cs="Times New Roman"/>
          <w:sz w:val="22"/>
          <w:szCs w:val="22"/>
        </w:rPr>
        <w:t>; Landsman et al., 2007</w:t>
      </w:r>
      <w:r w:rsidR="000112C3">
        <w:rPr>
          <w:rFonts w:ascii="Times New Roman" w:hAnsi="Times New Roman" w:cs="Times New Roman"/>
          <w:sz w:val="22"/>
          <w:szCs w:val="22"/>
        </w:rPr>
        <w:t xml:space="preserve"> [50]</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37C"/>
    <w:multiLevelType w:val="multilevel"/>
    <w:tmpl w:val="64AED5C6"/>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2989"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21DEB"/>
    <w:multiLevelType w:val="hybridMultilevel"/>
    <w:tmpl w:val="00647B2C"/>
    <w:lvl w:ilvl="0" w:tplc="15BAFD3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06DF"/>
    <w:multiLevelType w:val="multilevel"/>
    <w:tmpl w:val="9EAA5726"/>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3" w15:restartNumberingAfterBreak="0">
    <w:nsid w:val="13C402AB"/>
    <w:multiLevelType w:val="hybridMultilevel"/>
    <w:tmpl w:val="7C740814"/>
    <w:lvl w:ilvl="0" w:tplc="A8241E2A">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B397E"/>
    <w:multiLevelType w:val="hybridMultilevel"/>
    <w:tmpl w:val="E4C87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17ED6"/>
    <w:multiLevelType w:val="multilevel"/>
    <w:tmpl w:val="7932F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1F309F"/>
    <w:multiLevelType w:val="hybridMultilevel"/>
    <w:tmpl w:val="7DBAC612"/>
    <w:lvl w:ilvl="0" w:tplc="E5C686B0">
      <w:numFmt w:val="bullet"/>
      <w:lvlText w:val=""/>
      <w:lvlJc w:val="left"/>
      <w:pPr>
        <w:ind w:left="1125" w:hanging="405"/>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34421E"/>
    <w:multiLevelType w:val="hybridMultilevel"/>
    <w:tmpl w:val="85A8E778"/>
    <w:lvl w:ilvl="0" w:tplc="B8D693E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06FB3"/>
    <w:multiLevelType w:val="hybridMultilevel"/>
    <w:tmpl w:val="0B82F308"/>
    <w:lvl w:ilvl="0" w:tplc="B5284F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B407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5F5784"/>
    <w:multiLevelType w:val="hybridMultilevel"/>
    <w:tmpl w:val="91C24114"/>
    <w:lvl w:ilvl="0" w:tplc="46C2F44C">
      <w:numFmt w:val="bullet"/>
      <w:lvlText w:val="-"/>
      <w:lvlJc w:val="left"/>
      <w:pPr>
        <w:ind w:left="810" w:hanging="360"/>
      </w:pPr>
      <w:rPr>
        <w:rFonts w:ascii="Times New Roman" w:eastAsiaTheme="minorEastAsia"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9E91760"/>
    <w:multiLevelType w:val="hybridMultilevel"/>
    <w:tmpl w:val="D2188FAA"/>
    <w:lvl w:ilvl="0" w:tplc="C8CE0A4E">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135F7"/>
    <w:multiLevelType w:val="hybridMultilevel"/>
    <w:tmpl w:val="253E3DB8"/>
    <w:lvl w:ilvl="0" w:tplc="3A02EDAA">
      <w:start w:val="16"/>
      <w:numFmt w:val="bullet"/>
      <w:lvlText w:val=""/>
      <w:lvlJc w:val="left"/>
      <w:pPr>
        <w:ind w:left="1080" w:hanging="360"/>
      </w:pPr>
      <w:rPr>
        <w:rFonts w:ascii="Wingdings" w:eastAsiaTheme="minorEastAsia" w:hAnsi="Wingdings"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160655"/>
    <w:multiLevelType w:val="hybridMultilevel"/>
    <w:tmpl w:val="99CEDDA8"/>
    <w:lvl w:ilvl="0" w:tplc="18C80C34">
      <w:numFmt w:val="bullet"/>
      <w:lvlText w:val=""/>
      <w:lvlJc w:val="left"/>
      <w:pPr>
        <w:ind w:left="846" w:hanging="360"/>
      </w:pPr>
      <w:rPr>
        <w:rFonts w:ascii="Wingdings" w:eastAsiaTheme="minorEastAsia" w:hAnsi="Wingdings" w:cs="Times New Roman"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4" w15:restartNumberingAfterBreak="0">
    <w:nsid w:val="2E0B09C0"/>
    <w:multiLevelType w:val="hybridMultilevel"/>
    <w:tmpl w:val="9C226DFC"/>
    <w:lvl w:ilvl="0" w:tplc="3DFEC636">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F44B1A"/>
    <w:multiLevelType w:val="hybridMultilevel"/>
    <w:tmpl w:val="D19CF3B0"/>
    <w:lvl w:ilvl="0" w:tplc="3482EF24">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6471EC"/>
    <w:multiLevelType w:val="hybridMultilevel"/>
    <w:tmpl w:val="B5F61B0E"/>
    <w:lvl w:ilvl="0" w:tplc="7DF80EA8">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D91327"/>
    <w:multiLevelType w:val="multilevel"/>
    <w:tmpl w:val="17821B3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4968AC"/>
    <w:multiLevelType w:val="multilevel"/>
    <w:tmpl w:val="9CC6D866"/>
    <w:lvl w:ilvl="0">
      <w:start w:val="4"/>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15:restartNumberingAfterBreak="0">
    <w:nsid w:val="477C34FA"/>
    <w:multiLevelType w:val="hybridMultilevel"/>
    <w:tmpl w:val="C8062D20"/>
    <w:lvl w:ilvl="0" w:tplc="9530D53A">
      <w:start w:val="2"/>
      <w:numFmt w:val="bullet"/>
      <w:lvlText w:val=""/>
      <w:lvlJc w:val="left"/>
      <w:pPr>
        <w:ind w:left="786" w:hanging="360"/>
      </w:pPr>
      <w:rPr>
        <w:rFonts w:ascii="Wingdings" w:eastAsiaTheme="minorEastAsia" w:hAnsi="Wingding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8035B85"/>
    <w:multiLevelType w:val="multilevel"/>
    <w:tmpl w:val="A44A2AF4"/>
    <w:lvl w:ilvl="0">
      <w:start w:val="4"/>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1" w15:restartNumberingAfterBreak="0">
    <w:nsid w:val="491E3F86"/>
    <w:multiLevelType w:val="hybridMultilevel"/>
    <w:tmpl w:val="13CE455A"/>
    <w:lvl w:ilvl="0" w:tplc="DC287D44">
      <w:start w:val="2"/>
      <w:numFmt w:val="bullet"/>
      <w:lvlText w:val=""/>
      <w:lvlJc w:val="left"/>
      <w:pPr>
        <w:ind w:left="720" w:hanging="360"/>
      </w:pPr>
      <w:rPr>
        <w:rFonts w:ascii="Wingdings" w:eastAsiaTheme="maj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F764A"/>
    <w:multiLevelType w:val="hybridMultilevel"/>
    <w:tmpl w:val="CF302242"/>
    <w:lvl w:ilvl="0" w:tplc="5D9A56C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36FFF"/>
    <w:multiLevelType w:val="hybridMultilevel"/>
    <w:tmpl w:val="72D23F5E"/>
    <w:lvl w:ilvl="0" w:tplc="395CC6D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837F6"/>
    <w:multiLevelType w:val="hybridMultilevel"/>
    <w:tmpl w:val="10DE8D8A"/>
    <w:lvl w:ilvl="0" w:tplc="85F82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ED3530"/>
    <w:multiLevelType w:val="hybridMultilevel"/>
    <w:tmpl w:val="5026326A"/>
    <w:lvl w:ilvl="0" w:tplc="1338A028">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35B4E"/>
    <w:multiLevelType w:val="hybridMultilevel"/>
    <w:tmpl w:val="3F867118"/>
    <w:lvl w:ilvl="0" w:tplc="8B3ABB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A31379"/>
    <w:multiLevelType w:val="hybridMultilevel"/>
    <w:tmpl w:val="11DA393A"/>
    <w:lvl w:ilvl="0" w:tplc="C706E1AC">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95B37"/>
    <w:multiLevelType w:val="multilevel"/>
    <w:tmpl w:val="2F30CB02"/>
    <w:lvl w:ilvl="0">
      <w:start w:val="3"/>
      <w:numFmt w:val="decimal"/>
      <w:lvlText w:val="%1."/>
      <w:lvlJc w:val="left"/>
      <w:pPr>
        <w:ind w:left="390" w:hanging="39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C840446"/>
    <w:multiLevelType w:val="hybridMultilevel"/>
    <w:tmpl w:val="6D2214F8"/>
    <w:lvl w:ilvl="0" w:tplc="BC8A8936">
      <w:start w:val="2"/>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07723"/>
    <w:multiLevelType w:val="hybridMultilevel"/>
    <w:tmpl w:val="39969EF2"/>
    <w:lvl w:ilvl="0" w:tplc="1668F3A2">
      <w:start w:val="16"/>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D740A7"/>
    <w:multiLevelType w:val="hybridMultilevel"/>
    <w:tmpl w:val="B2A26C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33099"/>
    <w:multiLevelType w:val="multilevel"/>
    <w:tmpl w:val="454CC57A"/>
    <w:lvl w:ilvl="0">
      <w:start w:val="3"/>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2989"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6B724FCD"/>
    <w:multiLevelType w:val="multilevel"/>
    <w:tmpl w:val="4C6AE8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0BB745B"/>
    <w:multiLevelType w:val="hybridMultilevel"/>
    <w:tmpl w:val="0D3C1890"/>
    <w:lvl w:ilvl="0" w:tplc="6706C60A">
      <w:start w:val="2"/>
      <w:numFmt w:val="bullet"/>
      <w:lvlText w:val=""/>
      <w:lvlJc w:val="left"/>
      <w:pPr>
        <w:ind w:left="720" w:hanging="360"/>
      </w:pPr>
      <w:rPr>
        <w:rFonts w:ascii="Wingdings" w:eastAsiaTheme="maj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E02F6"/>
    <w:multiLevelType w:val="hybridMultilevel"/>
    <w:tmpl w:val="1A4E6A0C"/>
    <w:lvl w:ilvl="0" w:tplc="A2705130">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71611"/>
    <w:multiLevelType w:val="hybridMultilevel"/>
    <w:tmpl w:val="F84885CC"/>
    <w:lvl w:ilvl="0" w:tplc="DD0A766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5A34FB7"/>
    <w:multiLevelType w:val="hybridMultilevel"/>
    <w:tmpl w:val="CA629968"/>
    <w:lvl w:ilvl="0" w:tplc="AC7E04A0">
      <w:numFmt w:val="bullet"/>
      <w:lvlText w:val=""/>
      <w:lvlJc w:val="left"/>
      <w:pPr>
        <w:ind w:left="786" w:hanging="360"/>
      </w:pPr>
      <w:rPr>
        <w:rFonts w:ascii="Wingdings" w:eastAsiaTheme="minorEastAsia" w:hAnsi="Wingding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6526AAC"/>
    <w:multiLevelType w:val="hybridMultilevel"/>
    <w:tmpl w:val="E57684FC"/>
    <w:lvl w:ilvl="0" w:tplc="6D38962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8"/>
  </w:num>
  <w:num w:numId="4">
    <w:abstractNumId w:val="32"/>
  </w:num>
  <w:num w:numId="5">
    <w:abstractNumId w:val="18"/>
  </w:num>
  <w:num w:numId="6">
    <w:abstractNumId w:val="2"/>
  </w:num>
  <w:num w:numId="7">
    <w:abstractNumId w:val="9"/>
  </w:num>
  <w:num w:numId="8">
    <w:abstractNumId w:val="24"/>
  </w:num>
  <w:num w:numId="9">
    <w:abstractNumId w:val="17"/>
  </w:num>
  <w:num w:numId="10">
    <w:abstractNumId w:val="25"/>
  </w:num>
  <w:num w:numId="11">
    <w:abstractNumId w:val="0"/>
  </w:num>
  <w:num w:numId="12">
    <w:abstractNumId w:val="1"/>
  </w:num>
  <w:num w:numId="13">
    <w:abstractNumId w:val="38"/>
  </w:num>
  <w:num w:numId="14">
    <w:abstractNumId w:val="6"/>
  </w:num>
  <w:num w:numId="15">
    <w:abstractNumId w:val="7"/>
  </w:num>
  <w:num w:numId="16">
    <w:abstractNumId w:val="4"/>
  </w:num>
  <w:num w:numId="17">
    <w:abstractNumId w:val="14"/>
  </w:num>
  <w:num w:numId="18">
    <w:abstractNumId w:val="30"/>
  </w:num>
  <w:num w:numId="19">
    <w:abstractNumId w:val="12"/>
  </w:num>
  <w:num w:numId="20">
    <w:abstractNumId w:val="16"/>
  </w:num>
  <w:num w:numId="21">
    <w:abstractNumId w:val="10"/>
  </w:num>
  <w:num w:numId="22">
    <w:abstractNumId w:val="11"/>
  </w:num>
  <w:num w:numId="23">
    <w:abstractNumId w:val="8"/>
  </w:num>
  <w:num w:numId="24">
    <w:abstractNumId w:val="15"/>
  </w:num>
  <w:num w:numId="25">
    <w:abstractNumId w:val="13"/>
  </w:num>
  <w:num w:numId="26">
    <w:abstractNumId w:val="23"/>
  </w:num>
  <w:num w:numId="27">
    <w:abstractNumId w:val="3"/>
  </w:num>
  <w:num w:numId="28">
    <w:abstractNumId w:val="27"/>
  </w:num>
  <w:num w:numId="29">
    <w:abstractNumId w:val="20"/>
  </w:num>
  <w:num w:numId="30">
    <w:abstractNumId w:val="0"/>
    <w:lvlOverride w:ilvl="0">
      <w:startOverride w:val="4"/>
    </w:lvlOverride>
    <w:lvlOverride w:ilvl="1">
      <w:startOverride w:val="1"/>
    </w:lvlOverride>
  </w:num>
  <w:num w:numId="31">
    <w:abstractNumId w:val="0"/>
    <w:lvlOverride w:ilvl="0">
      <w:startOverride w:val="4"/>
    </w:lvlOverride>
    <w:lvlOverride w:ilvl="1">
      <w:startOverride w:val="1"/>
    </w:lvlOverride>
  </w:num>
  <w:num w:numId="32">
    <w:abstractNumId w:val="0"/>
    <w:lvlOverride w:ilvl="0">
      <w:startOverride w:val="4"/>
    </w:lvlOverride>
    <w:lvlOverride w:ilvl="1">
      <w:startOverride w:val="1"/>
    </w:lvlOverride>
  </w:num>
  <w:num w:numId="33">
    <w:abstractNumId w:val="26"/>
  </w:num>
  <w:num w:numId="34">
    <w:abstractNumId w:val="31"/>
  </w:num>
  <w:num w:numId="35">
    <w:abstractNumId w:val="34"/>
  </w:num>
  <w:num w:numId="36">
    <w:abstractNumId w:val="19"/>
  </w:num>
  <w:num w:numId="37">
    <w:abstractNumId w:val="36"/>
  </w:num>
  <w:num w:numId="38">
    <w:abstractNumId w:val="21"/>
  </w:num>
  <w:num w:numId="39">
    <w:abstractNumId w:val="35"/>
  </w:num>
  <w:num w:numId="40">
    <w:abstractNumId w:val="29"/>
  </w:num>
  <w:num w:numId="41">
    <w:abstractNumId w:val="22"/>
  </w:num>
  <w:num w:numId="42">
    <w:abstractNumId w:val="0"/>
    <w:lvlOverride w:ilvl="0">
      <w:startOverride w:val="2"/>
    </w:lvlOverride>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EC7"/>
    <w:rsid w:val="000065F8"/>
    <w:rsid w:val="00006730"/>
    <w:rsid w:val="000112C3"/>
    <w:rsid w:val="000131A6"/>
    <w:rsid w:val="0003775B"/>
    <w:rsid w:val="00062CB1"/>
    <w:rsid w:val="0006315C"/>
    <w:rsid w:val="00074010"/>
    <w:rsid w:val="0007708B"/>
    <w:rsid w:val="0009185C"/>
    <w:rsid w:val="00095307"/>
    <w:rsid w:val="000A0359"/>
    <w:rsid w:val="000A33C7"/>
    <w:rsid w:val="000A35B8"/>
    <w:rsid w:val="000B17B5"/>
    <w:rsid w:val="000C2973"/>
    <w:rsid w:val="000C2BE0"/>
    <w:rsid w:val="000C41AF"/>
    <w:rsid w:val="000C7867"/>
    <w:rsid w:val="000C7C7C"/>
    <w:rsid w:val="000D221A"/>
    <w:rsid w:val="000D26B3"/>
    <w:rsid w:val="000D2A24"/>
    <w:rsid w:val="000D4FD4"/>
    <w:rsid w:val="000D77D8"/>
    <w:rsid w:val="000D7E69"/>
    <w:rsid w:val="000E7A56"/>
    <w:rsid w:val="000F76A5"/>
    <w:rsid w:val="00111ABC"/>
    <w:rsid w:val="001129C3"/>
    <w:rsid w:val="0011554E"/>
    <w:rsid w:val="00116060"/>
    <w:rsid w:val="00123294"/>
    <w:rsid w:val="001272AA"/>
    <w:rsid w:val="00141821"/>
    <w:rsid w:val="00143DAE"/>
    <w:rsid w:val="001537E9"/>
    <w:rsid w:val="00156E1E"/>
    <w:rsid w:val="00157AA5"/>
    <w:rsid w:val="0016132C"/>
    <w:rsid w:val="00163CA1"/>
    <w:rsid w:val="0017133B"/>
    <w:rsid w:val="00171F2E"/>
    <w:rsid w:val="00177546"/>
    <w:rsid w:val="00181591"/>
    <w:rsid w:val="00181ECE"/>
    <w:rsid w:val="00194132"/>
    <w:rsid w:val="001948E8"/>
    <w:rsid w:val="001A0703"/>
    <w:rsid w:val="001A404E"/>
    <w:rsid w:val="001B2451"/>
    <w:rsid w:val="001B2DAE"/>
    <w:rsid w:val="001B5097"/>
    <w:rsid w:val="001B5914"/>
    <w:rsid w:val="001C0071"/>
    <w:rsid w:val="001C1470"/>
    <w:rsid w:val="001C4468"/>
    <w:rsid w:val="001E22F6"/>
    <w:rsid w:val="001E25E6"/>
    <w:rsid w:val="001E26D8"/>
    <w:rsid w:val="001E480D"/>
    <w:rsid w:val="001E7A6C"/>
    <w:rsid w:val="001F767A"/>
    <w:rsid w:val="0020189E"/>
    <w:rsid w:val="00204ECA"/>
    <w:rsid w:val="002103B1"/>
    <w:rsid w:val="00214D62"/>
    <w:rsid w:val="00231ADA"/>
    <w:rsid w:val="00233609"/>
    <w:rsid w:val="002342D5"/>
    <w:rsid w:val="00240072"/>
    <w:rsid w:val="002406EB"/>
    <w:rsid w:val="00246317"/>
    <w:rsid w:val="00251096"/>
    <w:rsid w:val="00252973"/>
    <w:rsid w:val="00261DA1"/>
    <w:rsid w:val="002663BA"/>
    <w:rsid w:val="002703E3"/>
    <w:rsid w:val="0028142E"/>
    <w:rsid w:val="00281DFA"/>
    <w:rsid w:val="002879B7"/>
    <w:rsid w:val="00292E07"/>
    <w:rsid w:val="00294850"/>
    <w:rsid w:val="002A12A6"/>
    <w:rsid w:val="002A6F03"/>
    <w:rsid w:val="002C7CFF"/>
    <w:rsid w:val="002D05A7"/>
    <w:rsid w:val="002D3805"/>
    <w:rsid w:val="002E21B2"/>
    <w:rsid w:val="002E7744"/>
    <w:rsid w:val="002F0B55"/>
    <w:rsid w:val="002F41E6"/>
    <w:rsid w:val="0030161B"/>
    <w:rsid w:val="003119DF"/>
    <w:rsid w:val="00313557"/>
    <w:rsid w:val="00320B47"/>
    <w:rsid w:val="003273E6"/>
    <w:rsid w:val="003351FB"/>
    <w:rsid w:val="00341BAF"/>
    <w:rsid w:val="00341CD9"/>
    <w:rsid w:val="00363F85"/>
    <w:rsid w:val="00364927"/>
    <w:rsid w:val="00373079"/>
    <w:rsid w:val="00376653"/>
    <w:rsid w:val="00384C1F"/>
    <w:rsid w:val="00392DA9"/>
    <w:rsid w:val="003A763C"/>
    <w:rsid w:val="003B27BE"/>
    <w:rsid w:val="003C6AE3"/>
    <w:rsid w:val="003E6DDA"/>
    <w:rsid w:val="003F37B4"/>
    <w:rsid w:val="003F7C3B"/>
    <w:rsid w:val="0040048C"/>
    <w:rsid w:val="00405FD7"/>
    <w:rsid w:val="00410E7E"/>
    <w:rsid w:val="00423262"/>
    <w:rsid w:val="00431A49"/>
    <w:rsid w:val="0043343A"/>
    <w:rsid w:val="00435EFB"/>
    <w:rsid w:val="00451036"/>
    <w:rsid w:val="004515F4"/>
    <w:rsid w:val="00453A0A"/>
    <w:rsid w:val="00456E59"/>
    <w:rsid w:val="00460E11"/>
    <w:rsid w:val="00473937"/>
    <w:rsid w:val="0047752F"/>
    <w:rsid w:val="00484818"/>
    <w:rsid w:val="00484C31"/>
    <w:rsid w:val="00492C54"/>
    <w:rsid w:val="004A2B7B"/>
    <w:rsid w:val="004A476C"/>
    <w:rsid w:val="004A5D45"/>
    <w:rsid w:val="004A5F33"/>
    <w:rsid w:val="004B255F"/>
    <w:rsid w:val="004B3298"/>
    <w:rsid w:val="004B435F"/>
    <w:rsid w:val="004C7F6E"/>
    <w:rsid w:val="004D4592"/>
    <w:rsid w:val="004D5066"/>
    <w:rsid w:val="004E2521"/>
    <w:rsid w:val="004E6D31"/>
    <w:rsid w:val="004F43DA"/>
    <w:rsid w:val="004F5430"/>
    <w:rsid w:val="00501F9C"/>
    <w:rsid w:val="00504769"/>
    <w:rsid w:val="00506427"/>
    <w:rsid w:val="005110B4"/>
    <w:rsid w:val="00516727"/>
    <w:rsid w:val="0051726E"/>
    <w:rsid w:val="005223E2"/>
    <w:rsid w:val="00523FB6"/>
    <w:rsid w:val="00556657"/>
    <w:rsid w:val="005604A7"/>
    <w:rsid w:val="00566FB3"/>
    <w:rsid w:val="005805F4"/>
    <w:rsid w:val="00580876"/>
    <w:rsid w:val="00581096"/>
    <w:rsid w:val="005816D8"/>
    <w:rsid w:val="00584A04"/>
    <w:rsid w:val="00587A72"/>
    <w:rsid w:val="00590B56"/>
    <w:rsid w:val="005A10DB"/>
    <w:rsid w:val="005A3A8E"/>
    <w:rsid w:val="005B3B30"/>
    <w:rsid w:val="005B3BA4"/>
    <w:rsid w:val="005B44A4"/>
    <w:rsid w:val="005B601F"/>
    <w:rsid w:val="005B7780"/>
    <w:rsid w:val="005D7A5A"/>
    <w:rsid w:val="005F1D42"/>
    <w:rsid w:val="005F228D"/>
    <w:rsid w:val="005F2DA1"/>
    <w:rsid w:val="006074ED"/>
    <w:rsid w:val="00622517"/>
    <w:rsid w:val="0063425A"/>
    <w:rsid w:val="00636B48"/>
    <w:rsid w:val="00645D85"/>
    <w:rsid w:val="0065252D"/>
    <w:rsid w:val="00653E14"/>
    <w:rsid w:val="00661968"/>
    <w:rsid w:val="00680683"/>
    <w:rsid w:val="00681A75"/>
    <w:rsid w:val="00681FCF"/>
    <w:rsid w:val="006857EF"/>
    <w:rsid w:val="00686BEC"/>
    <w:rsid w:val="006905A4"/>
    <w:rsid w:val="00691EDC"/>
    <w:rsid w:val="00694C1F"/>
    <w:rsid w:val="006964C7"/>
    <w:rsid w:val="006B072E"/>
    <w:rsid w:val="006B268B"/>
    <w:rsid w:val="006B7CA8"/>
    <w:rsid w:val="006C7304"/>
    <w:rsid w:val="006D2D74"/>
    <w:rsid w:val="006D4BBF"/>
    <w:rsid w:val="006D5136"/>
    <w:rsid w:val="006E0B53"/>
    <w:rsid w:val="006E235E"/>
    <w:rsid w:val="006E6FAE"/>
    <w:rsid w:val="006F1575"/>
    <w:rsid w:val="006F370A"/>
    <w:rsid w:val="006F4261"/>
    <w:rsid w:val="006F60E4"/>
    <w:rsid w:val="00700EE3"/>
    <w:rsid w:val="00701CB9"/>
    <w:rsid w:val="00710ECC"/>
    <w:rsid w:val="00713A44"/>
    <w:rsid w:val="00716088"/>
    <w:rsid w:val="00717249"/>
    <w:rsid w:val="00725476"/>
    <w:rsid w:val="00727933"/>
    <w:rsid w:val="00735567"/>
    <w:rsid w:val="007453A2"/>
    <w:rsid w:val="007468A4"/>
    <w:rsid w:val="00750036"/>
    <w:rsid w:val="00751EFA"/>
    <w:rsid w:val="007629D9"/>
    <w:rsid w:val="00767E57"/>
    <w:rsid w:val="0077028C"/>
    <w:rsid w:val="00770C9C"/>
    <w:rsid w:val="00772D66"/>
    <w:rsid w:val="007804AF"/>
    <w:rsid w:val="00780F73"/>
    <w:rsid w:val="00781F5E"/>
    <w:rsid w:val="0078399F"/>
    <w:rsid w:val="007845C5"/>
    <w:rsid w:val="00784C94"/>
    <w:rsid w:val="007900CB"/>
    <w:rsid w:val="007A3E0D"/>
    <w:rsid w:val="007B00C4"/>
    <w:rsid w:val="007B0F18"/>
    <w:rsid w:val="007B2735"/>
    <w:rsid w:val="007D5A45"/>
    <w:rsid w:val="007E1C55"/>
    <w:rsid w:val="007E5E7B"/>
    <w:rsid w:val="008129ED"/>
    <w:rsid w:val="00815324"/>
    <w:rsid w:val="00815FD5"/>
    <w:rsid w:val="00816848"/>
    <w:rsid w:val="008174D2"/>
    <w:rsid w:val="008248A6"/>
    <w:rsid w:val="00826EC6"/>
    <w:rsid w:val="00826F2D"/>
    <w:rsid w:val="008415A4"/>
    <w:rsid w:val="00852ECC"/>
    <w:rsid w:val="00855258"/>
    <w:rsid w:val="00873576"/>
    <w:rsid w:val="00895556"/>
    <w:rsid w:val="00896D07"/>
    <w:rsid w:val="008B056E"/>
    <w:rsid w:val="008B42DC"/>
    <w:rsid w:val="008C1591"/>
    <w:rsid w:val="008C69D0"/>
    <w:rsid w:val="008D1DD8"/>
    <w:rsid w:val="008D40EF"/>
    <w:rsid w:val="008D7AEF"/>
    <w:rsid w:val="008F14AC"/>
    <w:rsid w:val="008F43E1"/>
    <w:rsid w:val="008F492A"/>
    <w:rsid w:val="00912CFC"/>
    <w:rsid w:val="00914531"/>
    <w:rsid w:val="00930A4A"/>
    <w:rsid w:val="0093127E"/>
    <w:rsid w:val="00933E07"/>
    <w:rsid w:val="0093520F"/>
    <w:rsid w:val="00937EAC"/>
    <w:rsid w:val="00950A72"/>
    <w:rsid w:val="00957909"/>
    <w:rsid w:val="009675DD"/>
    <w:rsid w:val="00971C48"/>
    <w:rsid w:val="0097740A"/>
    <w:rsid w:val="00980EC9"/>
    <w:rsid w:val="0098635C"/>
    <w:rsid w:val="009928DB"/>
    <w:rsid w:val="00996C33"/>
    <w:rsid w:val="00996ED0"/>
    <w:rsid w:val="009A3046"/>
    <w:rsid w:val="009B26F0"/>
    <w:rsid w:val="009B6BF9"/>
    <w:rsid w:val="009E44AF"/>
    <w:rsid w:val="009F0187"/>
    <w:rsid w:val="009F6335"/>
    <w:rsid w:val="009F76E0"/>
    <w:rsid w:val="00A05556"/>
    <w:rsid w:val="00A06D99"/>
    <w:rsid w:val="00A2097B"/>
    <w:rsid w:val="00A2438C"/>
    <w:rsid w:val="00A24DDC"/>
    <w:rsid w:val="00A311BF"/>
    <w:rsid w:val="00A3474C"/>
    <w:rsid w:val="00A36734"/>
    <w:rsid w:val="00A367B1"/>
    <w:rsid w:val="00A4489A"/>
    <w:rsid w:val="00A54815"/>
    <w:rsid w:val="00A54ABE"/>
    <w:rsid w:val="00A60291"/>
    <w:rsid w:val="00A60A6D"/>
    <w:rsid w:val="00A60CA4"/>
    <w:rsid w:val="00A7222E"/>
    <w:rsid w:val="00A75EEC"/>
    <w:rsid w:val="00A90AF6"/>
    <w:rsid w:val="00A924B0"/>
    <w:rsid w:val="00A948FD"/>
    <w:rsid w:val="00A97987"/>
    <w:rsid w:val="00AA5C22"/>
    <w:rsid w:val="00AB1213"/>
    <w:rsid w:val="00AB385A"/>
    <w:rsid w:val="00AB46CD"/>
    <w:rsid w:val="00AD7F2F"/>
    <w:rsid w:val="00B107B8"/>
    <w:rsid w:val="00B11990"/>
    <w:rsid w:val="00B2574E"/>
    <w:rsid w:val="00B26E07"/>
    <w:rsid w:val="00B35690"/>
    <w:rsid w:val="00B377E3"/>
    <w:rsid w:val="00B428B6"/>
    <w:rsid w:val="00B53269"/>
    <w:rsid w:val="00B61215"/>
    <w:rsid w:val="00B72893"/>
    <w:rsid w:val="00B775A7"/>
    <w:rsid w:val="00B92EEA"/>
    <w:rsid w:val="00B93EBC"/>
    <w:rsid w:val="00B9661D"/>
    <w:rsid w:val="00BA3EC7"/>
    <w:rsid w:val="00BB0F1D"/>
    <w:rsid w:val="00BB511D"/>
    <w:rsid w:val="00BB75D8"/>
    <w:rsid w:val="00BC1609"/>
    <w:rsid w:val="00BC4530"/>
    <w:rsid w:val="00BD08C5"/>
    <w:rsid w:val="00BD1EF1"/>
    <w:rsid w:val="00BD3CFF"/>
    <w:rsid w:val="00BE4F45"/>
    <w:rsid w:val="00C22D68"/>
    <w:rsid w:val="00C458BA"/>
    <w:rsid w:val="00C61BD5"/>
    <w:rsid w:val="00C61DDB"/>
    <w:rsid w:val="00C647D2"/>
    <w:rsid w:val="00C6786D"/>
    <w:rsid w:val="00C80F51"/>
    <w:rsid w:val="00C9106A"/>
    <w:rsid w:val="00CA3F91"/>
    <w:rsid w:val="00CA49DD"/>
    <w:rsid w:val="00CA551C"/>
    <w:rsid w:val="00CB0B7A"/>
    <w:rsid w:val="00CB2D71"/>
    <w:rsid w:val="00CB4BAC"/>
    <w:rsid w:val="00CC4FF9"/>
    <w:rsid w:val="00CC5EAA"/>
    <w:rsid w:val="00CC63D2"/>
    <w:rsid w:val="00CD1650"/>
    <w:rsid w:val="00CD169D"/>
    <w:rsid w:val="00CE5C55"/>
    <w:rsid w:val="00D030CF"/>
    <w:rsid w:val="00D13184"/>
    <w:rsid w:val="00D221F3"/>
    <w:rsid w:val="00D5198D"/>
    <w:rsid w:val="00D550F5"/>
    <w:rsid w:val="00D63B44"/>
    <w:rsid w:val="00D63FCD"/>
    <w:rsid w:val="00D67B12"/>
    <w:rsid w:val="00D74360"/>
    <w:rsid w:val="00D83BA3"/>
    <w:rsid w:val="00D86D47"/>
    <w:rsid w:val="00D91C69"/>
    <w:rsid w:val="00D92375"/>
    <w:rsid w:val="00D9767E"/>
    <w:rsid w:val="00DA7A21"/>
    <w:rsid w:val="00DB3317"/>
    <w:rsid w:val="00DB731F"/>
    <w:rsid w:val="00DC190E"/>
    <w:rsid w:val="00DC2430"/>
    <w:rsid w:val="00DD63BA"/>
    <w:rsid w:val="00DE02CE"/>
    <w:rsid w:val="00DE2077"/>
    <w:rsid w:val="00DE28B4"/>
    <w:rsid w:val="00DE5910"/>
    <w:rsid w:val="00DF63DC"/>
    <w:rsid w:val="00E008A6"/>
    <w:rsid w:val="00E057DA"/>
    <w:rsid w:val="00E16230"/>
    <w:rsid w:val="00E218D8"/>
    <w:rsid w:val="00E26E04"/>
    <w:rsid w:val="00E45447"/>
    <w:rsid w:val="00E45F80"/>
    <w:rsid w:val="00E53DD1"/>
    <w:rsid w:val="00E70C3F"/>
    <w:rsid w:val="00E77F4C"/>
    <w:rsid w:val="00E952E7"/>
    <w:rsid w:val="00EA4348"/>
    <w:rsid w:val="00EB0B5B"/>
    <w:rsid w:val="00EB195A"/>
    <w:rsid w:val="00EB3BAA"/>
    <w:rsid w:val="00EC1355"/>
    <w:rsid w:val="00EC721D"/>
    <w:rsid w:val="00EE4ED6"/>
    <w:rsid w:val="00EF03B7"/>
    <w:rsid w:val="00EF551D"/>
    <w:rsid w:val="00EF61C1"/>
    <w:rsid w:val="00F029C8"/>
    <w:rsid w:val="00F02BB7"/>
    <w:rsid w:val="00F15082"/>
    <w:rsid w:val="00F153D1"/>
    <w:rsid w:val="00F234DA"/>
    <w:rsid w:val="00F37FD7"/>
    <w:rsid w:val="00F44394"/>
    <w:rsid w:val="00F5215A"/>
    <w:rsid w:val="00F565D2"/>
    <w:rsid w:val="00F70E1E"/>
    <w:rsid w:val="00F74C77"/>
    <w:rsid w:val="00F8327F"/>
    <w:rsid w:val="00F843CF"/>
    <w:rsid w:val="00F92E33"/>
    <w:rsid w:val="00F94EAD"/>
    <w:rsid w:val="00FA240F"/>
    <w:rsid w:val="00FA6297"/>
    <w:rsid w:val="00FD2D19"/>
    <w:rsid w:val="00FE09A7"/>
    <w:rsid w:val="00FE793A"/>
    <w:rsid w:val="00FE7B6C"/>
    <w:rsid w:val="00FF455C"/>
  </w:rsids>
  <m:mathPr>
    <m:mathFont m:val="Cambria Math"/>
    <m:brkBin m:val="before"/>
    <m:brkBinSub m:val="--"/>
    <m:smallFrac m:val="0"/>
    <m:dispDef/>
    <m:lMargin m:val="0"/>
    <m:rMargin m:val="0"/>
    <m:defJc m:val="centerGroup"/>
    <m:wrapIndent m:val="1440"/>
    <m:intLim m:val="subSup"/>
    <m:naryLim m:val="undOvr"/>
  </m:mathPr>
  <w:themeFontLang w:val="en-GB"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F76BA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BA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BA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6BA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6BA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6B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6B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B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6B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D2FA1"/>
    <w:rPr>
      <w:i/>
      <w:iCs/>
      <w:color w:val="808080" w:themeColor="text1" w:themeTint="7F"/>
    </w:rPr>
  </w:style>
  <w:style w:type="character" w:customStyle="1" w:styleId="TitleChar">
    <w:name w:val="Title Char"/>
    <w:basedOn w:val="DefaultParagraphFont"/>
    <w:link w:val="Title"/>
    <w:uiPriority w:val="10"/>
    <w:qFormat/>
    <w:rsid w:val="00424F91"/>
    <w:rPr>
      <w:rFonts w:asciiTheme="majorHAnsi" w:eastAsiaTheme="majorEastAsia" w:hAnsiTheme="majorHAnsi" w:cstheme="majorBidi"/>
      <w:color w:val="17365D" w:themeColor="text2" w:themeShade="BF"/>
      <w:spacing w:val="5"/>
      <w:kern w:val="2"/>
      <w:sz w:val="52"/>
      <w:szCs w:val="52"/>
    </w:rPr>
  </w:style>
  <w:style w:type="character" w:customStyle="1" w:styleId="FootnoteTextChar">
    <w:name w:val="Footnote Text Char"/>
    <w:basedOn w:val="DefaultParagraphFont"/>
    <w:link w:val="FootnoteText"/>
    <w:uiPriority w:val="99"/>
    <w:qFormat/>
    <w:rsid w:val="0087566B"/>
    <w:rPr>
      <w:sz w:val="20"/>
      <w:szCs w:val="20"/>
    </w:rPr>
  </w:style>
  <w:style w:type="character" w:customStyle="1" w:styleId="FootnoteCharacters">
    <w:name w:val="Footnote Characters"/>
    <w:basedOn w:val="DefaultParagraphFont"/>
    <w:uiPriority w:val="99"/>
    <w:unhideWhenUsed/>
    <w:qFormat/>
    <w:rsid w:val="0087566B"/>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C73CE6"/>
    <w:rPr>
      <w:rFonts w:ascii="Tahoma" w:hAnsi="Tahoma" w:cs="Tahoma"/>
      <w:sz w:val="16"/>
      <w:szCs w:val="16"/>
    </w:rPr>
  </w:style>
  <w:style w:type="character" w:customStyle="1" w:styleId="HeaderChar">
    <w:name w:val="Header Char"/>
    <w:basedOn w:val="DefaultParagraphFont"/>
    <w:link w:val="Header"/>
    <w:uiPriority w:val="99"/>
    <w:qFormat/>
    <w:rsid w:val="0040773A"/>
  </w:style>
  <w:style w:type="character" w:customStyle="1" w:styleId="FooterChar">
    <w:name w:val="Footer Char"/>
    <w:basedOn w:val="DefaultParagraphFont"/>
    <w:link w:val="Footer"/>
    <w:uiPriority w:val="99"/>
    <w:qFormat/>
    <w:rsid w:val="0040773A"/>
  </w:style>
  <w:style w:type="character" w:customStyle="1" w:styleId="Heading1Char">
    <w:name w:val="Heading 1 Char"/>
    <w:basedOn w:val="DefaultParagraphFont"/>
    <w:link w:val="Heading1"/>
    <w:uiPriority w:val="9"/>
    <w:qFormat/>
    <w:rsid w:val="00F76B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F76B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F76B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sid w:val="00F76B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F76B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F76B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F76B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F76B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F76BA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qFormat/>
    <w:rsid w:val="006C2EA8"/>
    <w:rPr>
      <w:color w:val="808080"/>
    </w:rPr>
  </w:style>
  <w:style w:type="character" w:customStyle="1" w:styleId="InternetLink">
    <w:name w:val="Internet Link"/>
    <w:basedOn w:val="DefaultParagraphFont"/>
    <w:uiPriority w:val="99"/>
    <w:unhideWhenUsed/>
    <w:rsid w:val="00B6177F"/>
    <w:rPr>
      <w:color w:val="0000FF"/>
      <w:u w:val="single"/>
    </w:rPr>
  </w:style>
  <w:style w:type="character" w:styleId="FollowedHyperlink">
    <w:name w:val="FollowedHyperlink"/>
    <w:basedOn w:val="DefaultParagraphFont"/>
    <w:uiPriority w:val="99"/>
    <w:semiHidden/>
    <w:unhideWhenUsed/>
    <w:qFormat/>
    <w:rsid w:val="00B6177F"/>
    <w:rPr>
      <w:color w:val="800080"/>
      <w:u w:val="single"/>
    </w:rPr>
  </w:style>
  <w:style w:type="character" w:styleId="CommentReference">
    <w:name w:val="annotation reference"/>
    <w:basedOn w:val="DefaultParagraphFont"/>
    <w:uiPriority w:val="99"/>
    <w:semiHidden/>
    <w:unhideWhenUsed/>
    <w:qFormat/>
    <w:rsid w:val="00D77C52"/>
    <w:rPr>
      <w:sz w:val="16"/>
      <w:szCs w:val="16"/>
    </w:rPr>
  </w:style>
  <w:style w:type="character" w:customStyle="1" w:styleId="CommentTextChar">
    <w:name w:val="Comment Text Char"/>
    <w:basedOn w:val="DefaultParagraphFont"/>
    <w:link w:val="CommentText"/>
    <w:uiPriority w:val="99"/>
    <w:semiHidden/>
    <w:qFormat/>
    <w:rsid w:val="00D77C52"/>
    <w:rPr>
      <w:sz w:val="20"/>
      <w:szCs w:val="20"/>
    </w:rPr>
  </w:style>
  <w:style w:type="character" w:customStyle="1" w:styleId="CommentSubjectChar">
    <w:name w:val="Comment Subject Char"/>
    <w:basedOn w:val="CommentTextChar"/>
    <w:link w:val="CommentSubject"/>
    <w:uiPriority w:val="99"/>
    <w:semiHidden/>
    <w:qFormat/>
    <w:rsid w:val="00D77C52"/>
    <w:rPr>
      <w:b/>
      <w:bCs/>
      <w:sz w:val="20"/>
      <w:szCs w:val="20"/>
    </w:rPr>
  </w:style>
  <w:style w:type="character" w:customStyle="1" w:styleId="apple-converted-space">
    <w:name w:val="apple-converted-space"/>
    <w:basedOn w:val="DefaultParagraphFont"/>
    <w:qFormat/>
    <w:rsid w:val="00C057E1"/>
  </w:style>
  <w:style w:type="character" w:customStyle="1" w:styleId="forTableChar">
    <w:name w:val="forTable Char"/>
    <w:basedOn w:val="Heading1Char"/>
    <w:qFormat/>
    <w:rsid w:val="009D525A"/>
    <w:rPr>
      <w:rFonts w:ascii="Times New Roman" w:eastAsiaTheme="majorEastAsia" w:hAnsi="Times New Roman" w:cs="Times New Roman"/>
      <w:b/>
      <w:bCs/>
      <w:color w:val="365F91" w:themeColor="accent1" w:themeShade="BF"/>
      <w:sz w:val="24"/>
      <w:szCs w:val="24"/>
    </w:rPr>
  </w:style>
  <w:style w:type="character" w:customStyle="1" w:styleId="DateChar">
    <w:name w:val="Date Char"/>
    <w:basedOn w:val="DefaultParagraphFont"/>
    <w:link w:val="Date"/>
    <w:uiPriority w:val="99"/>
    <w:semiHidden/>
    <w:qFormat/>
    <w:rsid w:val="00B14DA4"/>
  </w:style>
  <w:style w:type="character" w:customStyle="1" w:styleId="tableformChar">
    <w:name w:val="tableform Char"/>
    <w:basedOn w:val="forTableChar"/>
    <w:qFormat/>
    <w:rsid w:val="008D6541"/>
    <w:rPr>
      <w:rFonts w:ascii="Times New Roman" w:eastAsiaTheme="majorEastAsia" w:hAnsi="Times New Roman" w:cs="Times New Roman"/>
      <w:b/>
      <w:bCs/>
      <w:color w:val="365F91" w:themeColor="accent1" w:themeShade="BF"/>
      <w:sz w:val="24"/>
      <w:szCs w:val="24"/>
    </w:rPr>
  </w:style>
  <w:style w:type="character" w:customStyle="1" w:styleId="sec3Char">
    <w:name w:val="sec3 Char"/>
    <w:basedOn w:val="Heading3Char"/>
    <w:qFormat/>
    <w:rsid w:val="004E2C64"/>
    <w:rPr>
      <w:rFonts w:ascii="Times New Roman" w:eastAsiaTheme="majorEastAsia" w:hAnsi="Times New Roman" w:cs="Times New Roman"/>
      <w:b w:val="0"/>
      <w:bCs/>
      <w:i/>
      <w:color w:val="4F81BD" w:themeColor="accent1"/>
      <w:sz w:val="26"/>
      <w:szCs w:val="26"/>
    </w:rPr>
  </w:style>
  <w:style w:type="character" w:customStyle="1" w:styleId="s1Char">
    <w:name w:val="s1 Char"/>
    <w:basedOn w:val="Heading1Char"/>
    <w:qFormat/>
    <w:rsid w:val="009F30E4"/>
    <w:rPr>
      <w:rFonts w:ascii="Times New Roman" w:eastAsiaTheme="majorEastAsia" w:hAnsi="Times New Roman" w:cs="Times New Roman"/>
      <w:b/>
      <w:bCs/>
      <w:color w:val="365F91" w:themeColor="accent1" w:themeShade="BF"/>
      <w:sz w:val="28"/>
      <w:szCs w:val="28"/>
    </w:rPr>
  </w:style>
  <w:style w:type="character" w:customStyle="1" w:styleId="s2Char">
    <w:name w:val="s2 Char"/>
    <w:basedOn w:val="Heading2Char"/>
    <w:qFormat/>
    <w:rsid w:val="009F30E4"/>
    <w:rPr>
      <w:rFonts w:ascii="Times New Roman" w:eastAsiaTheme="majorEastAsia" w:hAnsi="Times New Roman" w:cs="Times New Roman"/>
      <w:b w:val="0"/>
      <w:bCs/>
      <w:color w:val="4F81BD" w:themeColor="accent1"/>
      <w:sz w:val="26"/>
      <w:szCs w:val="26"/>
    </w:rPr>
  </w:style>
  <w:style w:type="character" w:customStyle="1" w:styleId="ListLabel1">
    <w:name w:val="ListLabel 1"/>
    <w:qFormat/>
    <w:rPr>
      <w:rFonts w:eastAsia="PMingLiU"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rPr>
  </w:style>
  <w:style w:type="character" w:customStyle="1" w:styleId="ListLabel6">
    <w:name w:val="ListLabel 6"/>
    <w:qFormat/>
    <w:rPr>
      <w:rFonts w:eastAsia="PMingLiU"/>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PMingLiU"/>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PMingLiU"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PMingLiU"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PMingLiU"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PMingLiU"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PMingLiU" w:cs="Times New Roman"/>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PMingLiU"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PMingLiU"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PMingLiU"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PMingLiU"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PMingLiU"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PMingLiU" w:cs="Times New Roman"/>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PMingLiU" w:cs="Times New Roman"/>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PMingLiU" w:cs="Times New Roman"/>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PMingLiU"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rFonts w:eastAsia="PMingLiU" w:cs="Times New Roman"/>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PMingLiU" w:cs="Times New Roman"/>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PMingLiU"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PMingLiU" w:cs="Times New Roman"/>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PMingLiU"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PMingLiU" w:cs="Times New Roman"/>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b w:val="0"/>
    </w:rPr>
  </w:style>
  <w:style w:type="character" w:customStyle="1" w:styleId="ListLabel98">
    <w:name w:val="ListLabel 98"/>
    <w:qFormat/>
    <w:rPr>
      <w:rFonts w:eastAsia="PMingLiU" w:cs="Times New Roman"/>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Times New Roman" w:eastAsia="PMingLiU" w:hAnsi="Times New Roman" w:cs="Times New Roman"/>
      <w:sz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ascii="Times New Roman" w:hAnsi="Times New Roman" w:cs="Times New Roman"/>
      <w:lang w:val="en-U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A5567E"/>
    <w:pPr>
      <w:ind w:left="720"/>
      <w:contextualSpacing/>
    </w:pPr>
  </w:style>
  <w:style w:type="paragraph" w:styleId="Title">
    <w:name w:val="Title"/>
    <w:basedOn w:val="Normal"/>
    <w:next w:val="Normal"/>
    <w:link w:val="TitleChar"/>
    <w:uiPriority w:val="10"/>
    <w:qFormat/>
    <w:rsid w:val="00424F9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FootnoteText">
    <w:name w:val="footnote text"/>
    <w:basedOn w:val="Normal"/>
    <w:link w:val="FootnoteTextChar"/>
    <w:uiPriority w:val="99"/>
    <w:unhideWhenUsed/>
    <w:rsid w:val="0087566B"/>
    <w:pPr>
      <w:spacing w:after="0" w:line="240" w:lineRule="auto"/>
    </w:pPr>
    <w:rPr>
      <w:sz w:val="20"/>
      <w:szCs w:val="20"/>
    </w:rPr>
  </w:style>
  <w:style w:type="paragraph" w:styleId="BalloonText">
    <w:name w:val="Balloon Text"/>
    <w:basedOn w:val="Normal"/>
    <w:link w:val="BalloonTextChar"/>
    <w:uiPriority w:val="99"/>
    <w:semiHidden/>
    <w:unhideWhenUsed/>
    <w:qFormat/>
    <w:rsid w:val="00C73CE6"/>
    <w:pPr>
      <w:spacing w:after="0" w:line="240" w:lineRule="auto"/>
    </w:pPr>
    <w:rPr>
      <w:rFonts w:ascii="Tahoma" w:hAnsi="Tahoma" w:cs="Tahoma"/>
      <w:sz w:val="16"/>
      <w:szCs w:val="16"/>
    </w:rPr>
  </w:style>
  <w:style w:type="paragraph" w:styleId="Header">
    <w:name w:val="header"/>
    <w:basedOn w:val="Normal"/>
    <w:link w:val="HeaderChar"/>
    <w:uiPriority w:val="99"/>
    <w:unhideWhenUsed/>
    <w:rsid w:val="0040773A"/>
    <w:pPr>
      <w:tabs>
        <w:tab w:val="center" w:pos="4513"/>
        <w:tab w:val="right" w:pos="9026"/>
      </w:tabs>
      <w:spacing w:after="0" w:line="240" w:lineRule="auto"/>
    </w:pPr>
  </w:style>
  <w:style w:type="paragraph" w:styleId="Footer">
    <w:name w:val="footer"/>
    <w:basedOn w:val="Normal"/>
    <w:link w:val="FooterChar"/>
    <w:uiPriority w:val="99"/>
    <w:unhideWhenUsed/>
    <w:rsid w:val="0040773A"/>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D77C5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77C52"/>
    <w:rPr>
      <w:b/>
      <w:bCs/>
    </w:rPr>
  </w:style>
  <w:style w:type="paragraph" w:styleId="NormalWeb">
    <w:name w:val="Normal (Web)"/>
    <w:basedOn w:val="Normal"/>
    <w:uiPriority w:val="99"/>
    <w:unhideWhenUsed/>
    <w:qFormat/>
    <w:rsid w:val="00506171"/>
    <w:pPr>
      <w:spacing w:beforeAutospacing="1" w:afterAutospacing="1" w:line="240" w:lineRule="auto"/>
    </w:pPr>
    <w:rPr>
      <w:rFonts w:ascii="Times" w:hAnsi="Times" w:cs="Times New Roman"/>
      <w:sz w:val="20"/>
      <w:szCs w:val="20"/>
      <w:lang w:eastAsia="en-US"/>
    </w:rPr>
  </w:style>
  <w:style w:type="paragraph" w:styleId="Revision">
    <w:name w:val="Revision"/>
    <w:uiPriority w:val="99"/>
    <w:semiHidden/>
    <w:qFormat/>
    <w:rsid w:val="008106A2"/>
  </w:style>
  <w:style w:type="paragraph" w:customStyle="1" w:styleId="forTable">
    <w:name w:val="forTable"/>
    <w:basedOn w:val="Heading1"/>
    <w:qFormat/>
    <w:rsid w:val="009D525A"/>
    <w:pPr>
      <w:numPr>
        <w:numId w:val="0"/>
      </w:numPr>
      <w:ind w:left="432" w:hanging="432"/>
    </w:pPr>
    <w:rPr>
      <w:rFonts w:ascii="Times New Roman" w:hAnsi="Times New Roman" w:cs="Times New Roman"/>
      <w:color w:val="auto"/>
      <w:sz w:val="24"/>
      <w:szCs w:val="24"/>
    </w:rPr>
  </w:style>
  <w:style w:type="paragraph" w:customStyle="1" w:styleId="suggested-citation">
    <w:name w:val="suggested-citation"/>
    <w:basedOn w:val="Normal"/>
    <w:qFormat/>
    <w:rsid w:val="00B7082A"/>
    <w:pPr>
      <w:spacing w:beforeAutospacing="1"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qFormat/>
    <w:rsid w:val="00B14DA4"/>
  </w:style>
  <w:style w:type="paragraph" w:styleId="NoSpacing">
    <w:name w:val="No Spacing"/>
    <w:uiPriority w:val="1"/>
    <w:qFormat/>
    <w:rsid w:val="008D6541"/>
  </w:style>
  <w:style w:type="paragraph" w:customStyle="1" w:styleId="tableform">
    <w:name w:val="tableform"/>
    <w:basedOn w:val="forTable"/>
    <w:qFormat/>
    <w:rsid w:val="008D6541"/>
  </w:style>
  <w:style w:type="paragraph" w:customStyle="1" w:styleId="sec3">
    <w:name w:val="sec3"/>
    <w:basedOn w:val="Heading3"/>
    <w:qFormat/>
    <w:rsid w:val="004E2C64"/>
    <w:pPr>
      <w:numPr>
        <w:ilvl w:val="0"/>
        <w:numId w:val="0"/>
      </w:numPr>
      <w:ind w:left="993" w:hanging="993"/>
    </w:pPr>
    <w:rPr>
      <w:rFonts w:ascii="Times New Roman" w:hAnsi="Times New Roman" w:cs="Times New Roman"/>
      <w:b w:val="0"/>
      <w:i/>
      <w:color w:val="auto"/>
      <w:sz w:val="26"/>
      <w:szCs w:val="26"/>
    </w:rPr>
  </w:style>
  <w:style w:type="paragraph" w:customStyle="1" w:styleId="s1">
    <w:name w:val="s1"/>
    <w:basedOn w:val="Heading1"/>
    <w:qFormat/>
    <w:rsid w:val="009F30E4"/>
    <w:pPr>
      <w:numPr>
        <w:numId w:val="0"/>
      </w:numPr>
      <w:spacing w:before="0" w:line="480" w:lineRule="auto"/>
      <w:ind w:left="426" w:hanging="426"/>
    </w:pPr>
    <w:rPr>
      <w:rFonts w:ascii="Times New Roman" w:hAnsi="Times New Roman" w:cs="Times New Roman"/>
      <w:color w:val="auto"/>
    </w:rPr>
  </w:style>
  <w:style w:type="paragraph" w:customStyle="1" w:styleId="s2">
    <w:name w:val="s2"/>
    <w:basedOn w:val="Heading2"/>
    <w:qFormat/>
    <w:rsid w:val="009F30E4"/>
    <w:pPr>
      <w:numPr>
        <w:ilvl w:val="0"/>
        <w:numId w:val="0"/>
      </w:numPr>
      <w:spacing w:before="120" w:after="120" w:line="480" w:lineRule="auto"/>
    </w:pPr>
    <w:rPr>
      <w:rFonts w:ascii="Times New Roman" w:hAnsi="Times New Roman" w:cs="Times New Roman"/>
      <w:b w:val="0"/>
      <w:color w:val="auto"/>
    </w:rPr>
  </w:style>
  <w:style w:type="table" w:styleId="TableGrid">
    <w:name w:val="Table Grid"/>
    <w:basedOn w:val="TableNormal"/>
    <w:uiPriority w:val="59"/>
    <w:rsid w:val="00206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848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4818"/>
    <w:rPr>
      <w:sz w:val="20"/>
      <w:szCs w:val="20"/>
    </w:rPr>
  </w:style>
  <w:style w:type="character" w:styleId="EndnoteReference">
    <w:name w:val="endnote reference"/>
    <w:basedOn w:val="DefaultParagraphFont"/>
    <w:uiPriority w:val="99"/>
    <w:semiHidden/>
    <w:unhideWhenUsed/>
    <w:rsid w:val="00484818"/>
    <w:rPr>
      <w:vertAlign w:val="superscript"/>
    </w:rPr>
  </w:style>
  <w:style w:type="character" w:styleId="FootnoteReference">
    <w:name w:val="footnote reference"/>
    <w:basedOn w:val="DefaultParagraphFont"/>
    <w:uiPriority w:val="99"/>
    <w:unhideWhenUsed/>
    <w:rsid w:val="00484818"/>
    <w:rPr>
      <w:vertAlign w:val="superscript"/>
    </w:rPr>
  </w:style>
  <w:style w:type="character" w:styleId="Hyperlink">
    <w:name w:val="Hyperlink"/>
    <w:basedOn w:val="DefaultParagraphFont"/>
    <w:uiPriority w:val="99"/>
    <w:unhideWhenUsed/>
    <w:rsid w:val="00376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lorian.meier@uwe.ac.uk" TargetMode="External"/><Relationship Id="rId13" Type="http://schemas.openxmlformats.org/officeDocument/2006/relationships/hyperlink" Target="https://www.nber.org/papers/w86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papers.cfm?abstract_id=28758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sol3/papers.cfm?abstract_id=234314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8D55-AB11-49F0-97F0-A19A2C9A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14015</Words>
  <Characters>79888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2019-11-26T12:20:00Z</dcterms:created>
  <dcterms:modified xsi:type="dcterms:W3CDTF">2019-12-31T14:39:00Z</dcterms:modified>
  <dc:language/>
</cp:coreProperties>
</file>