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DEB3" w14:textId="3E2B9921" w:rsidR="006A71C1" w:rsidRPr="009642F7" w:rsidRDefault="006A71C1" w:rsidP="006A71C1">
      <w:pPr>
        <w:snapToGrid w:val="0"/>
        <w:spacing w:line="300" w:lineRule="auto"/>
        <w:jc w:val="both"/>
        <w:rPr>
          <w:rFonts w:ascii="Times New Roman" w:hAnsi="Times New Roman" w:cs="Times New Roman"/>
          <w:b/>
          <w:sz w:val="36"/>
        </w:rPr>
      </w:pPr>
      <w:bookmarkStart w:id="0" w:name="OLE_LINK54"/>
      <w:r w:rsidRPr="009642F7">
        <w:rPr>
          <w:rFonts w:ascii="Times New Roman" w:hAnsi="Times New Roman" w:cs="Times New Roman"/>
          <w:b/>
          <w:sz w:val="36"/>
        </w:rPr>
        <w:t>Media Coverage and the Incidence of Financial Restatements in Taiwan</w:t>
      </w:r>
    </w:p>
    <w:bookmarkEnd w:id="0"/>
    <w:p w14:paraId="00A128C3" w14:textId="77777777" w:rsidR="00141FBC" w:rsidRPr="009642F7" w:rsidRDefault="00141FBC">
      <w:pPr>
        <w:rPr>
          <w:rFonts w:ascii="Times New Roman" w:hAnsi="Times New Roman" w:cs="Times New Roman"/>
        </w:rPr>
      </w:pPr>
    </w:p>
    <w:p w14:paraId="41A56900" w14:textId="77777777" w:rsidR="00141FBC" w:rsidRPr="009642F7" w:rsidRDefault="00141FBC" w:rsidP="00C0131F">
      <w:pPr>
        <w:jc w:val="center"/>
        <w:rPr>
          <w:rFonts w:ascii="Times New Roman" w:hAnsi="Times New Roman" w:cs="Times New Roman"/>
          <w:b/>
          <w:sz w:val="32"/>
        </w:rPr>
      </w:pPr>
      <w:r w:rsidRPr="009642F7">
        <w:rPr>
          <w:rFonts w:ascii="Times New Roman" w:hAnsi="Times New Roman" w:cs="Times New Roman"/>
          <w:b/>
          <w:sz w:val="32"/>
        </w:rPr>
        <w:t>Abstract</w:t>
      </w:r>
    </w:p>
    <w:p w14:paraId="01BA0CA2" w14:textId="67DDBD50" w:rsidR="000A6080" w:rsidRPr="009642F7" w:rsidRDefault="00DA5E1B" w:rsidP="000A6080">
      <w:pPr>
        <w:jc w:val="both"/>
        <w:rPr>
          <w:rFonts w:ascii="Times New Roman" w:hAnsi="Times New Roman" w:cs="Times New Roman"/>
        </w:rPr>
      </w:pPr>
      <w:bookmarkStart w:id="1" w:name="OLE_LINK53"/>
      <w:bookmarkStart w:id="2" w:name="OLE_LINK55"/>
      <w:r w:rsidRPr="009642F7">
        <w:rPr>
          <w:rFonts w:ascii="Times New Roman" w:hAnsi="Times New Roman" w:cs="Times New Roman"/>
        </w:rPr>
        <w:t xml:space="preserve">This study investigates the impact of media coverage on the </w:t>
      </w:r>
      <w:r w:rsidR="00AC3F36" w:rsidRPr="009642F7">
        <w:rPr>
          <w:rFonts w:ascii="Times New Roman" w:hAnsi="Times New Roman" w:cs="Times New Roman"/>
        </w:rPr>
        <w:t xml:space="preserve">incidence </w:t>
      </w:r>
      <w:r w:rsidRPr="009642F7">
        <w:rPr>
          <w:rFonts w:ascii="Times New Roman" w:hAnsi="Times New Roman" w:cs="Times New Roman"/>
        </w:rPr>
        <w:t xml:space="preserve">of financial restatements </w:t>
      </w:r>
      <w:r w:rsidR="000A6080" w:rsidRPr="009642F7">
        <w:rPr>
          <w:rFonts w:ascii="Times New Roman" w:hAnsi="Times New Roman" w:cs="Times New Roman"/>
        </w:rPr>
        <w:t>by testing</w:t>
      </w:r>
      <w:r w:rsidRPr="009642F7">
        <w:rPr>
          <w:rFonts w:ascii="Times New Roman" w:hAnsi="Times New Roman" w:cs="Times New Roman"/>
        </w:rPr>
        <w:t xml:space="preserve"> two competing hypotheses: the media monitoring hypothesis and the media pressure hypothesis. The media monitoring hypothesis suggests a negative relationship between media coverage and financial restatements, as media acts as an external monitor, </w:t>
      </w:r>
      <w:r w:rsidR="00AC3F36" w:rsidRPr="009642F7">
        <w:rPr>
          <w:rFonts w:ascii="Times New Roman" w:hAnsi="Times New Roman" w:cs="Times New Roman"/>
        </w:rPr>
        <w:t>improving the quality of financial reporting</w:t>
      </w:r>
      <w:r w:rsidRPr="009642F7">
        <w:rPr>
          <w:rFonts w:ascii="Times New Roman" w:hAnsi="Times New Roman" w:cs="Times New Roman"/>
        </w:rPr>
        <w:t xml:space="preserve">. The media pressure hypothesis posits a positive relationship, as media coverage can induce short-term performance pressure on managers, leading to </w:t>
      </w:r>
      <w:r w:rsidR="000A6080" w:rsidRPr="009642F7">
        <w:rPr>
          <w:rFonts w:ascii="Times New Roman" w:hAnsi="Times New Roman" w:cs="Times New Roman"/>
        </w:rPr>
        <w:t>opportunistic earnings manipulation</w:t>
      </w:r>
      <w:r w:rsidRPr="009642F7">
        <w:rPr>
          <w:rFonts w:ascii="Times New Roman" w:hAnsi="Times New Roman" w:cs="Times New Roman"/>
        </w:rPr>
        <w:t xml:space="preserve"> and restatements.</w:t>
      </w:r>
      <w:r w:rsidR="000A6080" w:rsidRPr="009642F7">
        <w:rPr>
          <w:rFonts w:ascii="Times New Roman" w:hAnsi="Times New Roman" w:cs="Times New Roman"/>
        </w:rPr>
        <w:t xml:space="preserve"> Analyzing a sample of Taiwan</w:t>
      </w:r>
      <w:r w:rsidR="00AC5747" w:rsidRPr="009642F7">
        <w:rPr>
          <w:rFonts w:ascii="Times New Roman" w:hAnsi="Times New Roman" w:cs="Times New Roman"/>
        </w:rPr>
        <w:t>-</w:t>
      </w:r>
      <w:r w:rsidR="000A6080" w:rsidRPr="009642F7">
        <w:rPr>
          <w:rFonts w:ascii="Times New Roman" w:hAnsi="Times New Roman" w:cs="Times New Roman"/>
        </w:rPr>
        <w:t xml:space="preserve">listed companies from 2000 to 2021, our overall findings support for the media pressure hypothesis, indicating that higher media </w:t>
      </w:r>
      <w:r w:rsidR="00AC3F36" w:rsidRPr="009642F7">
        <w:rPr>
          <w:rFonts w:ascii="Times New Roman" w:hAnsi="Times New Roman" w:cs="Times New Roman"/>
        </w:rPr>
        <w:t>coverage</w:t>
      </w:r>
      <w:r w:rsidR="000A6080" w:rsidRPr="009642F7">
        <w:rPr>
          <w:rFonts w:ascii="Times New Roman" w:hAnsi="Times New Roman" w:cs="Times New Roman"/>
        </w:rPr>
        <w:t xml:space="preserve"> increases the likelihood of </w:t>
      </w:r>
      <w:r w:rsidR="00AC3F36" w:rsidRPr="009642F7">
        <w:rPr>
          <w:rFonts w:ascii="Times New Roman" w:hAnsi="Times New Roman" w:cs="Times New Roman"/>
        </w:rPr>
        <w:t xml:space="preserve">financial </w:t>
      </w:r>
      <w:r w:rsidR="000A6080" w:rsidRPr="009642F7">
        <w:rPr>
          <w:rFonts w:ascii="Times New Roman" w:hAnsi="Times New Roman" w:cs="Times New Roman"/>
        </w:rPr>
        <w:t xml:space="preserve">restatements. </w:t>
      </w:r>
      <w:r w:rsidR="00AC3F36" w:rsidRPr="009642F7">
        <w:rPr>
          <w:rFonts w:ascii="Times New Roman" w:hAnsi="Times New Roman" w:cs="Times New Roman"/>
        </w:rPr>
        <w:t>F</w:t>
      </w:r>
      <w:r w:rsidR="000A6080" w:rsidRPr="009642F7">
        <w:rPr>
          <w:rFonts w:ascii="Times New Roman" w:hAnsi="Times New Roman" w:cs="Times New Roman"/>
        </w:rPr>
        <w:t xml:space="preserve">urther results </w:t>
      </w:r>
      <w:r w:rsidR="00AC5747" w:rsidRPr="009642F7">
        <w:rPr>
          <w:rFonts w:ascii="Times New Roman" w:hAnsi="Times New Roman" w:cs="Times New Roman"/>
        </w:rPr>
        <w:t>suggest</w:t>
      </w:r>
      <w:r w:rsidR="000A6080" w:rsidRPr="009642F7">
        <w:rPr>
          <w:rFonts w:ascii="Times New Roman" w:hAnsi="Times New Roman" w:cs="Times New Roman"/>
        </w:rPr>
        <w:t xml:space="preserve"> that the positive impact of media coverage on restatements is mitigated by the presence of foreign institutional investors acting as </w:t>
      </w:r>
      <w:r w:rsidR="00AC5747" w:rsidRPr="009642F7">
        <w:rPr>
          <w:rFonts w:ascii="Times New Roman" w:hAnsi="Times New Roman" w:cs="Times New Roman"/>
        </w:rPr>
        <w:t xml:space="preserve">substitution </w:t>
      </w:r>
      <w:r w:rsidR="000A6080" w:rsidRPr="009642F7">
        <w:rPr>
          <w:rFonts w:ascii="Times New Roman" w:hAnsi="Times New Roman" w:cs="Times New Roman"/>
        </w:rPr>
        <w:t xml:space="preserve">governance monitors. </w:t>
      </w:r>
      <w:r w:rsidR="00AC5747" w:rsidRPr="009642F7">
        <w:rPr>
          <w:rFonts w:ascii="Times New Roman" w:hAnsi="Times New Roman" w:cs="Times New Roman"/>
        </w:rPr>
        <w:t>W</w:t>
      </w:r>
      <w:r w:rsidR="000A6080" w:rsidRPr="009642F7">
        <w:rPr>
          <w:rFonts w:ascii="Times New Roman" w:hAnsi="Times New Roman" w:cs="Times New Roman"/>
        </w:rPr>
        <w:t xml:space="preserve">e also show that the positive impact of media coverage on restatements </w:t>
      </w:r>
      <w:r w:rsidR="00AC3F36" w:rsidRPr="009642F7">
        <w:rPr>
          <w:rFonts w:ascii="Times New Roman" w:hAnsi="Times New Roman" w:cs="Times New Roman"/>
        </w:rPr>
        <w:t>is</w:t>
      </w:r>
      <w:r w:rsidR="000A6080" w:rsidRPr="009642F7">
        <w:rPr>
          <w:rFonts w:ascii="Times New Roman" w:hAnsi="Times New Roman" w:cs="Times New Roman"/>
        </w:rPr>
        <w:t xml:space="preserve"> more evident among firms with high coverage of directors</w:t>
      </w:r>
      <w:r w:rsidR="00AC5747" w:rsidRPr="009642F7">
        <w:rPr>
          <w:rFonts w:ascii="Times New Roman" w:hAnsi="Times New Roman" w:cs="Times New Roman"/>
        </w:rPr>
        <w:t>’</w:t>
      </w:r>
      <w:r w:rsidR="000A6080" w:rsidRPr="009642F7">
        <w:rPr>
          <w:rFonts w:ascii="Times New Roman" w:hAnsi="Times New Roman" w:cs="Times New Roman"/>
        </w:rPr>
        <w:t xml:space="preserve"> and officers</w:t>
      </w:r>
      <w:r w:rsidR="00AC5747" w:rsidRPr="009642F7">
        <w:rPr>
          <w:rFonts w:ascii="Times New Roman" w:hAnsi="Times New Roman" w:cs="Times New Roman"/>
        </w:rPr>
        <w:t>’</w:t>
      </w:r>
      <w:r w:rsidR="000A6080" w:rsidRPr="009642F7">
        <w:rPr>
          <w:rFonts w:ascii="Times New Roman" w:hAnsi="Times New Roman" w:cs="Times New Roman"/>
        </w:rPr>
        <w:t xml:space="preserve"> liability insurance, </w:t>
      </w:r>
      <w:r w:rsidR="000A6080" w:rsidRPr="009642F7">
        <w:rPr>
          <w:rFonts w:ascii="Times New Roman" w:hAnsi="Times New Roman" w:cs="Times New Roman" w:hint="eastAsia"/>
        </w:rPr>
        <w:t>s</w:t>
      </w:r>
      <w:r w:rsidR="000A6080" w:rsidRPr="009642F7">
        <w:rPr>
          <w:rFonts w:ascii="Times New Roman" w:hAnsi="Times New Roman" w:cs="Times New Roman"/>
        </w:rPr>
        <w:t xml:space="preserve">erving as a </w:t>
      </w:r>
      <w:r w:rsidR="00AC5747" w:rsidRPr="009642F7">
        <w:rPr>
          <w:rFonts w:ascii="Times New Roman" w:hAnsi="Times New Roman" w:cs="Times New Roman"/>
        </w:rPr>
        <w:t>complementary</w:t>
      </w:r>
      <w:r w:rsidR="000A6080" w:rsidRPr="009642F7">
        <w:rPr>
          <w:rFonts w:ascii="Times New Roman" w:hAnsi="Times New Roman" w:cs="Times New Roman"/>
        </w:rPr>
        <w:t xml:space="preserve"> mechanism to amplify the media-driven short-term performance pressure on managers. Th</w:t>
      </w:r>
      <w:r w:rsidR="00AC3F36" w:rsidRPr="009642F7">
        <w:rPr>
          <w:rFonts w:ascii="Times New Roman" w:hAnsi="Times New Roman" w:cs="Times New Roman"/>
        </w:rPr>
        <w:t>is</w:t>
      </w:r>
      <w:r w:rsidR="000A6080" w:rsidRPr="009642F7">
        <w:rPr>
          <w:rFonts w:ascii="Times New Roman" w:hAnsi="Times New Roman" w:cs="Times New Roman"/>
        </w:rPr>
        <w:t xml:space="preserve"> study expands our knowledge of financial restatements and underscores the significance of acknowledging the </w:t>
      </w:r>
      <w:r w:rsidR="00AC3F36" w:rsidRPr="009642F7">
        <w:rPr>
          <w:rFonts w:ascii="Times New Roman" w:hAnsi="Times New Roman" w:cs="Times New Roman"/>
        </w:rPr>
        <w:t>role</w:t>
      </w:r>
      <w:r w:rsidR="000A6080" w:rsidRPr="009642F7">
        <w:rPr>
          <w:rFonts w:ascii="Times New Roman" w:hAnsi="Times New Roman" w:cs="Times New Roman"/>
        </w:rPr>
        <w:t xml:space="preserve"> of media </w:t>
      </w:r>
      <w:r w:rsidR="00AC3F36" w:rsidRPr="009642F7">
        <w:rPr>
          <w:rFonts w:ascii="Times New Roman" w:hAnsi="Times New Roman" w:cs="Times New Roman"/>
        </w:rPr>
        <w:t>in</w:t>
      </w:r>
      <w:r w:rsidR="000A6080" w:rsidRPr="009642F7">
        <w:rPr>
          <w:rFonts w:ascii="Times New Roman" w:hAnsi="Times New Roman" w:cs="Times New Roman"/>
        </w:rPr>
        <w:t xml:space="preserve"> short-term market pressure and the quality of financial reporting.</w:t>
      </w:r>
    </w:p>
    <w:bookmarkEnd w:id="1"/>
    <w:p w14:paraId="59834372" w14:textId="77777777" w:rsidR="00141FBC" w:rsidRPr="009642F7" w:rsidRDefault="00141FBC">
      <w:pPr>
        <w:rPr>
          <w:rFonts w:ascii="Times New Roman" w:hAnsi="Times New Roman" w:cs="Times New Roman"/>
        </w:rPr>
      </w:pPr>
    </w:p>
    <w:p w14:paraId="1BBF46C8" w14:textId="77777777" w:rsidR="00CB0481" w:rsidRPr="009642F7" w:rsidRDefault="00141FBC">
      <w:pPr>
        <w:rPr>
          <w:rFonts w:ascii="Times New Roman" w:hAnsi="Times New Roman" w:cs="Times New Roman"/>
          <w:b/>
        </w:rPr>
      </w:pPr>
      <w:r w:rsidRPr="009642F7">
        <w:rPr>
          <w:rFonts w:ascii="Times New Roman" w:hAnsi="Times New Roman" w:cs="Times New Roman"/>
          <w:b/>
        </w:rPr>
        <w:t xml:space="preserve">Keywords: </w:t>
      </w:r>
      <w:r w:rsidR="00C0131F" w:rsidRPr="009642F7">
        <w:rPr>
          <w:rFonts w:ascii="Times New Roman" w:hAnsi="Times New Roman" w:cs="Times New Roman"/>
          <w:b/>
        </w:rPr>
        <w:t xml:space="preserve">Media Coverage, </w:t>
      </w:r>
      <w:r w:rsidRPr="009642F7">
        <w:rPr>
          <w:rFonts w:ascii="Times New Roman" w:hAnsi="Times New Roman" w:cs="Times New Roman"/>
          <w:b/>
        </w:rPr>
        <w:t xml:space="preserve">Financial </w:t>
      </w:r>
      <w:r w:rsidR="00C0131F" w:rsidRPr="009642F7">
        <w:rPr>
          <w:rFonts w:ascii="Times New Roman" w:hAnsi="Times New Roman" w:cs="Times New Roman"/>
          <w:b/>
        </w:rPr>
        <w:t>R</w:t>
      </w:r>
      <w:r w:rsidRPr="009642F7">
        <w:rPr>
          <w:rFonts w:ascii="Times New Roman" w:hAnsi="Times New Roman" w:cs="Times New Roman"/>
          <w:b/>
        </w:rPr>
        <w:t xml:space="preserve">estatements, Corporate </w:t>
      </w:r>
      <w:r w:rsidR="00C0131F" w:rsidRPr="009642F7">
        <w:rPr>
          <w:rFonts w:ascii="Times New Roman" w:hAnsi="Times New Roman" w:cs="Times New Roman"/>
          <w:b/>
        </w:rPr>
        <w:t>G</w:t>
      </w:r>
      <w:r w:rsidRPr="009642F7">
        <w:rPr>
          <w:rFonts w:ascii="Times New Roman" w:hAnsi="Times New Roman" w:cs="Times New Roman"/>
          <w:b/>
        </w:rPr>
        <w:t xml:space="preserve">overnance, </w:t>
      </w:r>
      <w:r w:rsidR="000A6080" w:rsidRPr="009642F7">
        <w:rPr>
          <w:rFonts w:ascii="Times New Roman" w:hAnsi="Times New Roman" w:cs="Times New Roman"/>
          <w:b/>
        </w:rPr>
        <w:t>Short-term Pressure</w:t>
      </w:r>
    </w:p>
    <w:p w14:paraId="140B3363" w14:textId="77777777" w:rsidR="00141FBC" w:rsidRPr="009642F7" w:rsidRDefault="00141FBC">
      <w:pPr>
        <w:rPr>
          <w:rFonts w:ascii="Times New Roman" w:hAnsi="Times New Roman" w:cs="Times New Roman"/>
          <w:b/>
        </w:rPr>
      </w:pPr>
      <w:r w:rsidRPr="009642F7">
        <w:rPr>
          <w:rFonts w:ascii="Times New Roman" w:hAnsi="Times New Roman" w:cs="Times New Roman"/>
          <w:b/>
        </w:rPr>
        <w:t xml:space="preserve">JEL classifications: </w:t>
      </w:r>
      <w:r w:rsidR="00AC3F36" w:rsidRPr="009642F7">
        <w:rPr>
          <w:rFonts w:ascii="Times New Roman" w:hAnsi="Times New Roman" w:cs="Times New Roman"/>
          <w:b/>
        </w:rPr>
        <w:t xml:space="preserve">G14, G34, L82, </w:t>
      </w:r>
      <w:r w:rsidRPr="009642F7">
        <w:rPr>
          <w:rFonts w:ascii="Times New Roman" w:hAnsi="Times New Roman" w:cs="Times New Roman"/>
          <w:b/>
        </w:rPr>
        <w:t>M41</w:t>
      </w:r>
    </w:p>
    <w:bookmarkEnd w:id="2"/>
    <w:p w14:paraId="0CBF1072" w14:textId="77777777" w:rsidR="00141FBC" w:rsidRPr="009642F7" w:rsidRDefault="00141FBC">
      <w:pPr>
        <w:rPr>
          <w:rFonts w:ascii="Times New Roman" w:hAnsi="Times New Roman" w:cs="Times New Roman"/>
        </w:rPr>
      </w:pPr>
    </w:p>
    <w:p w14:paraId="18E690BA" w14:textId="77777777" w:rsidR="00141FBC" w:rsidRPr="009642F7" w:rsidRDefault="00141FBC">
      <w:pPr>
        <w:rPr>
          <w:rFonts w:ascii="Times New Roman" w:hAnsi="Times New Roman" w:cs="Times New Roman"/>
        </w:rPr>
      </w:pPr>
    </w:p>
    <w:p w14:paraId="604AE298" w14:textId="77777777" w:rsidR="00141FBC" w:rsidRPr="009642F7" w:rsidRDefault="00141FBC">
      <w:pPr>
        <w:rPr>
          <w:rFonts w:ascii="Times New Roman" w:hAnsi="Times New Roman" w:cs="Times New Roman"/>
        </w:rPr>
      </w:pPr>
      <w:r w:rsidRPr="009642F7">
        <w:rPr>
          <w:rFonts w:ascii="Times New Roman" w:hAnsi="Times New Roman" w:cs="Times New Roman"/>
        </w:rPr>
        <w:br w:type="page"/>
      </w:r>
    </w:p>
    <w:p w14:paraId="581F299E" w14:textId="77777777" w:rsidR="00141FBC" w:rsidRPr="009642F7" w:rsidRDefault="00141FBC">
      <w:pPr>
        <w:rPr>
          <w:rFonts w:ascii="Times New Roman" w:hAnsi="Times New Roman" w:cs="Times New Roman"/>
          <w:b/>
          <w:sz w:val="32"/>
        </w:rPr>
      </w:pPr>
      <w:r w:rsidRPr="009642F7">
        <w:rPr>
          <w:rFonts w:ascii="Times New Roman" w:hAnsi="Times New Roman" w:cs="Times New Roman"/>
          <w:b/>
          <w:sz w:val="32"/>
        </w:rPr>
        <w:lastRenderedPageBreak/>
        <w:t>1. Introduction</w:t>
      </w:r>
    </w:p>
    <w:p w14:paraId="3E8C7348" w14:textId="1D8FCEB1" w:rsidR="008F779F" w:rsidRPr="009642F7" w:rsidRDefault="00AC5747" w:rsidP="0072738B">
      <w:pPr>
        <w:ind w:firstLineChars="200" w:firstLine="480"/>
        <w:jc w:val="both"/>
        <w:rPr>
          <w:rFonts w:ascii="Times New Roman" w:hAnsi="Times New Roman" w:cs="Times New Roman"/>
        </w:rPr>
      </w:pPr>
      <w:r w:rsidRPr="009642F7">
        <w:rPr>
          <w:rFonts w:ascii="Times New Roman" w:hAnsi="Times New Roman" w:cs="Times New Roman"/>
        </w:rPr>
        <w:t>A firm’s financial statement</w:t>
      </w:r>
      <w:r w:rsidR="002D5565" w:rsidRPr="009642F7">
        <w:rPr>
          <w:rFonts w:ascii="Times New Roman" w:hAnsi="Times New Roman" w:cs="Times New Roman"/>
        </w:rPr>
        <w:t xml:space="preserve"> is widely regarded as the main information source utilized by diverse stakeholders within the financial market to analyze the firm</w:t>
      </w:r>
      <w:r w:rsidRPr="009642F7">
        <w:rPr>
          <w:rFonts w:ascii="Times New Roman" w:hAnsi="Times New Roman" w:cs="Times New Roman"/>
        </w:rPr>
        <w:t>’</w:t>
      </w:r>
      <w:r w:rsidR="002D5565" w:rsidRPr="009642F7">
        <w:rPr>
          <w:rFonts w:ascii="Times New Roman" w:hAnsi="Times New Roman" w:cs="Times New Roman"/>
        </w:rPr>
        <w:t xml:space="preserve">s operations, activities, financial position, and business performance. </w:t>
      </w:r>
      <w:r w:rsidR="002D5565" w:rsidRPr="009642F7">
        <w:rPr>
          <w:rFonts w:ascii="Times New Roman" w:hAnsi="Times New Roman" w:cs="Times New Roman" w:hint="eastAsia"/>
        </w:rPr>
        <w:t>Therefore</w:t>
      </w:r>
      <w:r w:rsidR="0072738B" w:rsidRPr="009642F7">
        <w:rPr>
          <w:rFonts w:ascii="Times New Roman" w:hAnsi="Times New Roman" w:cs="Times New Roman"/>
        </w:rPr>
        <w:t>, it is crucial for companies to prioritize the production of high-quality financial statements to ensure the accuracy and reliability of the information provided.</w:t>
      </w:r>
      <w:r w:rsidR="0072738B" w:rsidRPr="009642F7">
        <w:rPr>
          <w:rFonts w:ascii="Times New Roman" w:hAnsi="Times New Roman" w:cs="Times New Roman" w:hint="eastAsia"/>
        </w:rPr>
        <w:t xml:space="preserve"> </w:t>
      </w:r>
      <w:r w:rsidR="002D5565" w:rsidRPr="009642F7">
        <w:rPr>
          <w:rFonts w:ascii="Times New Roman" w:hAnsi="Times New Roman" w:cs="Times New Roman" w:hint="eastAsia"/>
        </w:rPr>
        <w:t>However, the</w:t>
      </w:r>
      <w:r w:rsidR="002D5565" w:rsidRPr="009642F7">
        <w:rPr>
          <w:rFonts w:ascii="Times New Roman" w:hAnsi="Times New Roman" w:cs="Times New Roman"/>
        </w:rPr>
        <w:t xml:space="preserve"> Generally Accepted Accounting Principles (GAAP) provide companies with a degree of flexibility in selecting accounting policies, which can create opportunities for </w:t>
      </w:r>
      <w:r w:rsidR="003B3F95" w:rsidRPr="009642F7">
        <w:rPr>
          <w:rFonts w:ascii="Times New Roman" w:hAnsi="Times New Roman" w:cs="Times New Roman" w:hint="eastAsia"/>
        </w:rPr>
        <w:t>their managers</w:t>
      </w:r>
      <w:r w:rsidR="002D5565" w:rsidRPr="009642F7">
        <w:rPr>
          <w:rFonts w:ascii="Times New Roman" w:hAnsi="Times New Roman" w:cs="Times New Roman"/>
        </w:rPr>
        <w:t xml:space="preserve"> to manipulate their financial statements and engage in window-dressing practices</w:t>
      </w:r>
      <w:r w:rsidR="003B3F95" w:rsidRPr="009642F7">
        <w:rPr>
          <w:rFonts w:ascii="Times New Roman" w:hAnsi="Times New Roman" w:cs="Times New Roman" w:hint="eastAsia"/>
        </w:rPr>
        <w:t>, thereby</w:t>
      </w:r>
      <w:r w:rsidR="003B3F95" w:rsidRPr="009642F7">
        <w:rPr>
          <w:rFonts w:ascii="Times New Roman" w:hAnsi="Times New Roman" w:cs="Times New Roman"/>
        </w:rPr>
        <w:t xml:space="preserve"> increas</w:t>
      </w:r>
      <w:r w:rsidR="003B3F95" w:rsidRPr="009642F7">
        <w:rPr>
          <w:rFonts w:ascii="Times New Roman" w:hAnsi="Times New Roman" w:cs="Times New Roman" w:hint="eastAsia"/>
        </w:rPr>
        <w:t>ing</w:t>
      </w:r>
      <w:r w:rsidR="003B3F95" w:rsidRPr="009642F7">
        <w:rPr>
          <w:rFonts w:ascii="Times New Roman" w:hAnsi="Times New Roman" w:cs="Times New Roman"/>
        </w:rPr>
        <w:t xml:space="preserve"> the likelihood of financial restatements being issued at a later period</w:t>
      </w:r>
      <w:r w:rsidR="003B3F95" w:rsidRPr="009642F7">
        <w:rPr>
          <w:rFonts w:ascii="Times New Roman" w:hAnsi="Times New Roman" w:cs="Times New Roman" w:hint="eastAsia"/>
        </w:rPr>
        <w:t xml:space="preserve"> (</w:t>
      </w:r>
      <w:r w:rsidR="003B3F95" w:rsidRPr="009642F7">
        <w:rPr>
          <w:rFonts w:ascii="Times New Roman" w:hAnsi="Times New Roman" w:cs="Times New Roman"/>
        </w:rPr>
        <w:t>Hasnan, Mohd Razali, &amp; Mohamed Hussain, 2020</w:t>
      </w:r>
      <w:r w:rsidR="003B3F95" w:rsidRPr="009642F7">
        <w:rPr>
          <w:rFonts w:ascii="Times New Roman" w:hAnsi="Times New Roman" w:cs="Times New Roman" w:hint="eastAsia"/>
        </w:rPr>
        <w:t>)</w:t>
      </w:r>
      <w:r w:rsidR="00A76FF2" w:rsidRPr="009642F7">
        <w:rPr>
          <w:rStyle w:val="FootnoteReference"/>
          <w:rFonts w:ascii="Times New Roman" w:hAnsi="Times New Roman" w:cs="Times New Roman"/>
        </w:rPr>
        <w:footnoteReference w:id="1"/>
      </w:r>
      <w:r w:rsidR="002D5565" w:rsidRPr="009642F7">
        <w:rPr>
          <w:rFonts w:ascii="Times New Roman" w:hAnsi="Times New Roman" w:cs="Times New Roman"/>
        </w:rPr>
        <w:t>.</w:t>
      </w:r>
      <w:r w:rsidR="003B3F95" w:rsidRPr="009642F7">
        <w:rPr>
          <w:rFonts w:ascii="Times New Roman" w:hAnsi="Times New Roman" w:cs="Times New Roman" w:hint="eastAsia"/>
        </w:rPr>
        <w:t xml:space="preserve"> </w:t>
      </w:r>
    </w:p>
    <w:p w14:paraId="2D2F65AD" w14:textId="77777777" w:rsidR="0005441C" w:rsidRPr="009642F7" w:rsidRDefault="008F779F" w:rsidP="0005441C">
      <w:pPr>
        <w:ind w:firstLineChars="200" w:firstLine="480"/>
        <w:jc w:val="both"/>
        <w:rPr>
          <w:rFonts w:ascii="Times New Roman" w:hAnsi="Times New Roman" w:cs="Times New Roman"/>
        </w:rPr>
      </w:pPr>
      <w:r w:rsidRPr="009642F7">
        <w:rPr>
          <w:rFonts w:ascii="Times New Roman" w:hAnsi="Times New Roman" w:cs="Times New Roman"/>
        </w:rPr>
        <w:t>The aftermath of the highly publicized Enron scandal in 2001 has led to a significant increase in research focused on examining the factors influencing the occurrence of financial restatements, which serves as an indicator of information reporting quality.</w:t>
      </w:r>
      <w:r w:rsidR="0025003E" w:rsidRPr="009642F7">
        <w:rPr>
          <w:rFonts w:ascii="Times New Roman" w:hAnsi="Times New Roman" w:cs="Times New Roman" w:hint="eastAsia"/>
        </w:rPr>
        <w:t xml:space="preserve"> </w:t>
      </w:r>
      <w:r w:rsidR="003C46E7" w:rsidRPr="009642F7">
        <w:rPr>
          <w:rFonts w:ascii="Times New Roman" w:hAnsi="Times New Roman" w:cs="Times New Roman"/>
        </w:rPr>
        <w:t>Previous literature has identified various determinants of financial restatements, including corporate governance mechanisms such as board structure (Nahar Abdullah, Zalina Mohamad Yusof, &amp; Naimi Mohamad Nor, 2010; Zhizhong, Juan, Yanzhi, &amp; Wenli, 2011; Huang &amp; Scholz, 2012; Hasnan, Mohd Razali, &amp; Mohamed Hussain, 2020; Habib, Bhuiyan, &amp; Wu, 2021), institutional ownership (Chen, Weng, and Chien, 2018), and directors and officers liability insurance (Weng, Chen, and Chi, 2017). Additionally, firm-specific characteristics such as firm age, operating performance, firm leverage, and corporate liquidity have also been identified as determinants (Hasnan, Mohd Razali, &amp; Mohamed Hussain, 2020). Other managerial characteristics, such as managerial overconfidence (Presley &amp; Abbott, 2013) and the financial expertise of CFOs (Aier, Comprix, Gunlock, &amp; Lee, 2005), have also been found to be associated with the occurrence of financial restatements.</w:t>
      </w:r>
      <w:r w:rsidR="003C46E7" w:rsidRPr="009642F7">
        <w:rPr>
          <w:rFonts w:ascii="Times New Roman" w:hAnsi="Times New Roman" w:cs="Times New Roman" w:hint="eastAsia"/>
        </w:rPr>
        <w:t xml:space="preserve"> </w:t>
      </w:r>
      <w:r w:rsidR="0005441C" w:rsidRPr="009642F7">
        <w:rPr>
          <w:rFonts w:ascii="Times New Roman" w:hAnsi="Times New Roman" w:cs="Times New Roman"/>
        </w:rPr>
        <w:t>While the aforementioned studies have provided valuable insights into the determinants of financial restatements, one significant factor that has received relatively little attention is the role of the media.</w:t>
      </w:r>
      <w:r w:rsidR="006328FB" w:rsidRPr="009642F7">
        <w:rPr>
          <w:rFonts w:ascii="Times New Roman" w:hAnsi="Times New Roman" w:cs="Times New Roman" w:hint="eastAsia"/>
        </w:rPr>
        <w:t xml:space="preserve"> </w:t>
      </w:r>
      <w:r w:rsidR="006328FB" w:rsidRPr="009642F7">
        <w:rPr>
          <w:rFonts w:ascii="Times New Roman" w:hAnsi="Times New Roman" w:cs="Times New Roman"/>
        </w:rPr>
        <w:t xml:space="preserve">This study aims to fill this </w:t>
      </w:r>
      <w:r w:rsidR="006328FB" w:rsidRPr="009642F7">
        <w:rPr>
          <w:rFonts w:ascii="Times New Roman" w:hAnsi="Times New Roman" w:cs="Times New Roman" w:hint="eastAsia"/>
        </w:rPr>
        <w:t>gap</w:t>
      </w:r>
      <w:r w:rsidR="006328FB" w:rsidRPr="009642F7">
        <w:rPr>
          <w:rFonts w:ascii="Times New Roman" w:hAnsi="Times New Roman" w:cs="Times New Roman"/>
        </w:rPr>
        <w:t xml:space="preserve"> by examining how media coverage affects the </w:t>
      </w:r>
      <w:r w:rsidR="006328FB" w:rsidRPr="009642F7">
        <w:rPr>
          <w:rFonts w:ascii="Times New Roman" w:hAnsi="Times New Roman" w:cs="Times New Roman" w:hint="eastAsia"/>
        </w:rPr>
        <w:t>i</w:t>
      </w:r>
      <w:r w:rsidR="006328FB" w:rsidRPr="009642F7">
        <w:rPr>
          <w:rFonts w:ascii="Times New Roman" w:hAnsi="Times New Roman" w:cs="Times New Roman"/>
        </w:rPr>
        <w:t>ncidence of financial restatements.</w:t>
      </w:r>
    </w:p>
    <w:p w14:paraId="0E5C737E" w14:textId="1DFB1D32" w:rsidR="004815BD" w:rsidRPr="009642F7" w:rsidRDefault="00382D8B" w:rsidP="00C323C7">
      <w:pPr>
        <w:ind w:firstLineChars="200" w:firstLine="480"/>
        <w:jc w:val="both"/>
        <w:rPr>
          <w:rFonts w:ascii="Times New Roman" w:hAnsi="Times New Roman" w:cs="Times New Roman"/>
        </w:rPr>
      </w:pPr>
      <w:r w:rsidRPr="009642F7">
        <w:rPr>
          <w:rFonts w:ascii="Times New Roman" w:hAnsi="Times New Roman" w:cs="Times New Roman"/>
        </w:rPr>
        <w:t xml:space="preserve">The mixed theoretical predictions regarding the relation between media coverage and the incidence of financial restatements motivate our empirical investigation. </w:t>
      </w:r>
      <w:r w:rsidR="009A0FF6" w:rsidRPr="009642F7">
        <w:rPr>
          <w:rFonts w:ascii="Times New Roman" w:hAnsi="Times New Roman" w:cs="Times New Roman"/>
        </w:rPr>
        <w:t xml:space="preserve">On </w:t>
      </w:r>
      <w:r w:rsidR="005202FE" w:rsidRPr="009642F7">
        <w:rPr>
          <w:rFonts w:ascii="Times New Roman" w:hAnsi="Times New Roman" w:cs="Times New Roman" w:hint="eastAsia"/>
        </w:rPr>
        <w:t xml:space="preserve">the </w:t>
      </w:r>
      <w:r w:rsidR="009A0FF6" w:rsidRPr="009642F7">
        <w:rPr>
          <w:rFonts w:ascii="Times New Roman" w:hAnsi="Times New Roman" w:cs="Times New Roman"/>
        </w:rPr>
        <w:t xml:space="preserve">one hand, </w:t>
      </w:r>
      <w:r w:rsidR="003C2176" w:rsidRPr="009642F7">
        <w:rPr>
          <w:rFonts w:ascii="Times New Roman" w:hAnsi="Times New Roman" w:cs="Times New Roman"/>
        </w:rPr>
        <w:t>media assumes a significant function as a governance mechanism by virtue of its capacity to collect, compile, disseminate, and amplify information pertaining to organizations, thereby facilitating the identification and public exposure of managerial opportunism and irregularities.</w:t>
      </w:r>
      <w:r w:rsidR="003C2176" w:rsidRPr="009642F7">
        <w:rPr>
          <w:rFonts w:ascii="Times New Roman" w:hAnsi="Times New Roman" w:cs="Times New Roman" w:hint="eastAsia"/>
        </w:rPr>
        <w:t xml:space="preserve"> </w:t>
      </w:r>
      <w:r w:rsidR="006B5D9B" w:rsidRPr="009642F7">
        <w:rPr>
          <w:rFonts w:ascii="Times New Roman" w:hAnsi="Times New Roman" w:cs="Times New Roman" w:hint="eastAsia"/>
        </w:rPr>
        <w:t>(</w:t>
      </w:r>
      <w:r w:rsidR="006B5D9B" w:rsidRPr="009642F7">
        <w:rPr>
          <w:rFonts w:ascii="Times New Roman" w:hAnsi="Times New Roman" w:cs="Times New Roman"/>
        </w:rPr>
        <w:t>Peña-Martel, Pérez-Alemán, &amp; Santana-Martín, 2018</w:t>
      </w:r>
      <w:r w:rsidR="005202FE" w:rsidRPr="009642F7">
        <w:rPr>
          <w:rFonts w:ascii="Times New Roman" w:hAnsi="Times New Roman" w:cs="Times New Roman" w:hint="eastAsia"/>
        </w:rPr>
        <w:t>;</w:t>
      </w:r>
      <w:r w:rsidR="005202FE" w:rsidRPr="009642F7">
        <w:rPr>
          <w:rFonts w:ascii="Times New Roman" w:hAnsi="Times New Roman" w:cs="Times New Roman"/>
        </w:rPr>
        <w:t xml:space="preserve"> Chen, Cheng, Li, &amp; Zhao</w:t>
      </w:r>
      <w:r w:rsidR="005202FE" w:rsidRPr="009642F7">
        <w:rPr>
          <w:rFonts w:ascii="Times New Roman" w:hAnsi="Times New Roman" w:cs="Times New Roman" w:hint="eastAsia"/>
        </w:rPr>
        <w:t xml:space="preserve">, </w:t>
      </w:r>
      <w:r w:rsidR="005202FE" w:rsidRPr="009642F7">
        <w:rPr>
          <w:rFonts w:ascii="Times New Roman" w:hAnsi="Times New Roman" w:cs="Times New Roman"/>
        </w:rPr>
        <w:t>2021</w:t>
      </w:r>
      <w:r w:rsidR="006B5D9B" w:rsidRPr="009642F7">
        <w:rPr>
          <w:rFonts w:ascii="Times New Roman" w:hAnsi="Times New Roman" w:cs="Times New Roman" w:hint="eastAsia"/>
        </w:rPr>
        <w:t>)</w:t>
      </w:r>
      <w:r w:rsidR="006B5D9B" w:rsidRPr="009642F7">
        <w:rPr>
          <w:rFonts w:ascii="Times New Roman" w:hAnsi="Times New Roman" w:cs="Times New Roman"/>
        </w:rPr>
        <w:t>.</w:t>
      </w:r>
      <w:r w:rsidR="006B5D9B" w:rsidRPr="009642F7">
        <w:rPr>
          <w:rFonts w:ascii="Times New Roman" w:hAnsi="Times New Roman" w:cs="Times New Roman" w:hint="eastAsia"/>
        </w:rPr>
        <w:t xml:space="preserve"> Evidently, p</w:t>
      </w:r>
      <w:r w:rsidR="009A0FF6" w:rsidRPr="009642F7">
        <w:rPr>
          <w:rFonts w:ascii="Times New Roman" w:hAnsi="Times New Roman" w:cs="Times New Roman"/>
        </w:rPr>
        <w:t xml:space="preserve">rior literature </w:t>
      </w:r>
      <w:r w:rsidR="006D7398" w:rsidRPr="009642F7">
        <w:rPr>
          <w:rFonts w:ascii="Times New Roman" w:hAnsi="Times New Roman" w:cs="Times New Roman" w:hint="eastAsia"/>
        </w:rPr>
        <w:t>ha</w:t>
      </w:r>
      <w:r w:rsidR="00834563" w:rsidRPr="009642F7">
        <w:rPr>
          <w:rFonts w:ascii="Times New Roman" w:hAnsi="Times New Roman" w:cs="Times New Roman"/>
        </w:rPr>
        <w:t>s</w:t>
      </w:r>
      <w:r w:rsidR="006D7398" w:rsidRPr="009642F7">
        <w:rPr>
          <w:rFonts w:ascii="Times New Roman" w:hAnsi="Times New Roman" w:cs="Times New Roman" w:hint="eastAsia"/>
        </w:rPr>
        <w:t xml:space="preserve"> </w:t>
      </w:r>
      <w:r w:rsidR="009A0FF6" w:rsidRPr="009642F7">
        <w:rPr>
          <w:rFonts w:ascii="Times New Roman" w:hAnsi="Times New Roman" w:cs="Times New Roman" w:hint="eastAsia"/>
        </w:rPr>
        <w:t>found</w:t>
      </w:r>
      <w:r w:rsidR="009A0FF6" w:rsidRPr="009642F7">
        <w:rPr>
          <w:rFonts w:ascii="Times New Roman" w:hAnsi="Times New Roman" w:cs="Times New Roman"/>
        </w:rPr>
        <w:t xml:space="preserve"> that media </w:t>
      </w:r>
      <w:r w:rsidR="006B5D9B" w:rsidRPr="009642F7">
        <w:rPr>
          <w:rFonts w:ascii="Times New Roman" w:hAnsi="Times New Roman" w:cs="Times New Roman"/>
        </w:rPr>
        <w:t>facilitate public monitoring by</w:t>
      </w:r>
      <w:r w:rsidR="006B5D9B" w:rsidRPr="009642F7">
        <w:rPr>
          <w:rFonts w:ascii="Times New Roman" w:hAnsi="Times New Roman" w:cs="Times New Roman" w:hint="eastAsia"/>
        </w:rPr>
        <w:t xml:space="preserve"> </w:t>
      </w:r>
      <w:r w:rsidR="006B5D9B" w:rsidRPr="009642F7">
        <w:rPr>
          <w:rFonts w:ascii="Times New Roman" w:hAnsi="Times New Roman" w:cs="Times New Roman"/>
        </w:rPr>
        <w:t xml:space="preserve">alleviating </w:t>
      </w:r>
      <w:r w:rsidR="006B5D9B" w:rsidRPr="009642F7">
        <w:rPr>
          <w:rFonts w:ascii="Times New Roman" w:hAnsi="Times New Roman" w:cs="Times New Roman" w:hint="eastAsia"/>
        </w:rPr>
        <w:t xml:space="preserve">managerial </w:t>
      </w:r>
      <w:r w:rsidR="006B5D9B" w:rsidRPr="009642F7">
        <w:rPr>
          <w:rFonts w:ascii="Times New Roman" w:hAnsi="Times New Roman" w:cs="Times New Roman"/>
        </w:rPr>
        <w:t>agency problems</w:t>
      </w:r>
      <w:r w:rsidR="009A0FF6" w:rsidRPr="009642F7">
        <w:rPr>
          <w:rFonts w:ascii="Times New Roman" w:hAnsi="Times New Roman" w:cs="Times New Roman"/>
        </w:rPr>
        <w:t xml:space="preserve"> through </w:t>
      </w:r>
      <w:r w:rsidR="003C2176" w:rsidRPr="009642F7">
        <w:rPr>
          <w:rFonts w:ascii="Times New Roman" w:hAnsi="Times New Roman" w:cs="Times New Roman"/>
        </w:rPr>
        <w:t>discovering</w:t>
      </w:r>
      <w:r w:rsidR="009A0FF6" w:rsidRPr="009642F7">
        <w:rPr>
          <w:rFonts w:ascii="Times New Roman" w:hAnsi="Times New Roman" w:cs="Times New Roman"/>
        </w:rPr>
        <w:t xml:space="preserve"> and </w:t>
      </w:r>
      <w:r w:rsidR="003C2176" w:rsidRPr="009642F7">
        <w:rPr>
          <w:rFonts w:ascii="Times New Roman" w:hAnsi="Times New Roman" w:cs="Times New Roman"/>
        </w:rPr>
        <w:t>uncovering</w:t>
      </w:r>
      <w:r w:rsidR="009A0FF6" w:rsidRPr="009642F7">
        <w:rPr>
          <w:rFonts w:ascii="Times New Roman" w:hAnsi="Times New Roman" w:cs="Times New Roman"/>
        </w:rPr>
        <w:t xml:space="preserve"> governance </w:t>
      </w:r>
      <w:r w:rsidR="003C2176" w:rsidRPr="009642F7">
        <w:rPr>
          <w:rFonts w:ascii="Times New Roman" w:hAnsi="Times New Roman" w:cs="Times New Roman"/>
        </w:rPr>
        <w:t>infractions</w:t>
      </w:r>
      <w:r w:rsidR="009A0FF6" w:rsidRPr="009642F7">
        <w:rPr>
          <w:rFonts w:ascii="Times New Roman" w:hAnsi="Times New Roman" w:cs="Times New Roman"/>
        </w:rPr>
        <w:t xml:space="preserve"> (Dyck et al., 2008)</w:t>
      </w:r>
      <w:r w:rsidR="003C79B5" w:rsidRPr="009642F7">
        <w:rPr>
          <w:rFonts w:ascii="Times New Roman" w:hAnsi="Times New Roman" w:cs="Times New Roman" w:hint="eastAsia"/>
        </w:rPr>
        <w:t>,</w:t>
      </w:r>
      <w:r w:rsidR="009A0FF6" w:rsidRPr="009642F7">
        <w:rPr>
          <w:rFonts w:ascii="Times New Roman" w:hAnsi="Times New Roman" w:cs="Times New Roman"/>
        </w:rPr>
        <w:t xml:space="preserve"> </w:t>
      </w:r>
      <w:r w:rsidR="003C79B5" w:rsidRPr="009642F7">
        <w:rPr>
          <w:rFonts w:ascii="Times New Roman" w:hAnsi="Times New Roman" w:cs="Times New Roman"/>
        </w:rPr>
        <w:t xml:space="preserve">deterring </w:t>
      </w:r>
      <w:r w:rsidR="009A0FF6" w:rsidRPr="009642F7">
        <w:rPr>
          <w:rFonts w:ascii="Times New Roman" w:hAnsi="Times New Roman" w:cs="Times New Roman"/>
        </w:rPr>
        <w:t>accounting fraud (Miller, 2006; Dyck et al., 2010)</w:t>
      </w:r>
      <w:r w:rsidR="003C79B5" w:rsidRPr="009642F7">
        <w:rPr>
          <w:rFonts w:ascii="Times New Roman" w:hAnsi="Times New Roman" w:cs="Times New Roman" w:hint="eastAsia"/>
        </w:rPr>
        <w:t xml:space="preserve">, </w:t>
      </w:r>
      <w:r w:rsidR="003C79B5" w:rsidRPr="009642F7">
        <w:rPr>
          <w:rFonts w:ascii="Times New Roman" w:hAnsi="Times New Roman" w:cs="Times New Roman"/>
        </w:rPr>
        <w:t>curb</w:t>
      </w:r>
      <w:r w:rsidR="003C79B5" w:rsidRPr="009642F7">
        <w:rPr>
          <w:rFonts w:ascii="Times New Roman" w:hAnsi="Times New Roman" w:cs="Times New Roman" w:hint="eastAsia"/>
        </w:rPr>
        <w:t>ing earnings management (</w:t>
      </w:r>
      <w:r w:rsidR="003C79B5" w:rsidRPr="009642F7">
        <w:rPr>
          <w:rFonts w:ascii="Times New Roman" w:hAnsi="Times New Roman" w:cs="Times New Roman"/>
        </w:rPr>
        <w:t>Chen, Cheng, Li, &amp; Zhao</w:t>
      </w:r>
      <w:r w:rsidR="003C79B5" w:rsidRPr="009642F7">
        <w:rPr>
          <w:rFonts w:ascii="Times New Roman" w:hAnsi="Times New Roman" w:cs="Times New Roman" w:hint="eastAsia"/>
        </w:rPr>
        <w:t xml:space="preserve">, </w:t>
      </w:r>
      <w:r w:rsidR="003C79B5" w:rsidRPr="009642F7">
        <w:rPr>
          <w:rFonts w:ascii="Times New Roman" w:hAnsi="Times New Roman" w:cs="Times New Roman"/>
        </w:rPr>
        <w:t>2021</w:t>
      </w:r>
      <w:r w:rsidR="003C79B5" w:rsidRPr="009642F7">
        <w:rPr>
          <w:rFonts w:ascii="Times New Roman" w:hAnsi="Times New Roman" w:cs="Times New Roman" w:hint="eastAsia"/>
        </w:rPr>
        <w:t>)</w:t>
      </w:r>
      <w:r w:rsidR="00F31A29" w:rsidRPr="009642F7">
        <w:rPr>
          <w:rFonts w:ascii="Times New Roman" w:hAnsi="Times New Roman" w:cs="Times New Roman" w:hint="eastAsia"/>
        </w:rPr>
        <w:t xml:space="preserve">, </w:t>
      </w:r>
      <w:r w:rsidR="00F31A29" w:rsidRPr="009642F7">
        <w:rPr>
          <w:rFonts w:ascii="Times New Roman" w:hAnsi="Times New Roman" w:cs="Times New Roman" w:hint="eastAsia"/>
        </w:rPr>
        <w:lastRenderedPageBreak/>
        <w:t xml:space="preserve">and improving </w:t>
      </w:r>
      <w:r w:rsidR="00F31A29" w:rsidRPr="009642F7">
        <w:rPr>
          <w:rFonts w:ascii="Times New Roman" w:hAnsi="Times New Roman" w:cs="Times New Roman"/>
        </w:rPr>
        <w:t xml:space="preserve">firms’ financial reporting </w:t>
      </w:r>
      <w:r w:rsidR="003C2176" w:rsidRPr="009642F7">
        <w:rPr>
          <w:rFonts w:ascii="Times New Roman" w:hAnsi="Times New Roman" w:cs="Times New Roman"/>
        </w:rPr>
        <w:t>soundness</w:t>
      </w:r>
      <w:r w:rsidR="00F31A29" w:rsidRPr="009642F7">
        <w:rPr>
          <w:rFonts w:ascii="Times New Roman" w:hAnsi="Times New Roman" w:cs="Times New Roman" w:hint="eastAsia"/>
        </w:rPr>
        <w:t xml:space="preserve"> (Chen, Martin, and Zhang, 2017</w:t>
      </w:r>
      <w:r w:rsidR="00C323C7" w:rsidRPr="009642F7">
        <w:rPr>
          <w:rFonts w:ascii="Times New Roman" w:hAnsi="Times New Roman" w:cs="Times New Roman" w:hint="eastAsia"/>
        </w:rPr>
        <w:t xml:space="preserve">; </w:t>
      </w:r>
      <w:r w:rsidR="00C323C7" w:rsidRPr="009642F7">
        <w:rPr>
          <w:rFonts w:ascii="Times New Roman" w:hAnsi="Times New Roman" w:cs="Times New Roman"/>
        </w:rPr>
        <w:t>Cahan</w:t>
      </w:r>
      <w:r w:rsidR="00C323C7" w:rsidRPr="009642F7">
        <w:rPr>
          <w:rFonts w:ascii="Times New Roman" w:hAnsi="Times New Roman" w:cs="Times New Roman" w:hint="eastAsia"/>
        </w:rPr>
        <w:t xml:space="preserve">, </w:t>
      </w:r>
      <w:r w:rsidR="00C323C7" w:rsidRPr="009642F7">
        <w:rPr>
          <w:rFonts w:ascii="Times New Roman" w:hAnsi="Times New Roman" w:cs="Times New Roman"/>
        </w:rPr>
        <w:t xml:space="preserve">Chen, </w:t>
      </w:r>
      <w:r w:rsidR="00C323C7" w:rsidRPr="009642F7">
        <w:rPr>
          <w:rFonts w:ascii="Times New Roman" w:hAnsi="Times New Roman" w:cs="Times New Roman" w:hint="eastAsia"/>
        </w:rPr>
        <w:t>&amp;</w:t>
      </w:r>
      <w:r w:rsidR="00C323C7" w:rsidRPr="009642F7">
        <w:rPr>
          <w:rFonts w:ascii="Times New Roman" w:hAnsi="Times New Roman" w:cs="Times New Roman"/>
        </w:rPr>
        <w:t xml:space="preserve"> Wang</w:t>
      </w:r>
      <w:r w:rsidR="00C323C7" w:rsidRPr="009642F7">
        <w:rPr>
          <w:rFonts w:ascii="Times New Roman" w:hAnsi="Times New Roman" w:cs="Times New Roman" w:hint="eastAsia"/>
        </w:rPr>
        <w:t>, 2020</w:t>
      </w:r>
      <w:r w:rsidR="00F31A29" w:rsidRPr="009642F7">
        <w:rPr>
          <w:rFonts w:ascii="Times New Roman" w:hAnsi="Times New Roman" w:cs="Times New Roman" w:hint="eastAsia"/>
        </w:rPr>
        <w:t>)</w:t>
      </w:r>
      <w:r w:rsidR="00F31A29" w:rsidRPr="009642F7">
        <w:rPr>
          <w:rFonts w:ascii="Times New Roman" w:hAnsi="Times New Roman" w:cs="Times New Roman"/>
        </w:rPr>
        <w:t>.</w:t>
      </w:r>
      <w:r w:rsidR="009A0FF6" w:rsidRPr="009642F7">
        <w:rPr>
          <w:rFonts w:ascii="Times New Roman" w:hAnsi="Times New Roman" w:cs="Times New Roman"/>
        </w:rPr>
        <w:t xml:space="preserve"> </w:t>
      </w:r>
      <w:r w:rsidR="004815BD" w:rsidRPr="009642F7">
        <w:rPr>
          <w:rFonts w:ascii="Times New Roman" w:hAnsi="Times New Roman" w:cs="Times New Roman"/>
        </w:rPr>
        <w:t>The available evidence suggests that companies with greater media coverage are subject to increased scrutiny, which helps to detect any management attempts to manipulate reported earnings in order to meet analysts</w:t>
      </w:r>
      <w:r w:rsidR="00AC5747" w:rsidRPr="009642F7">
        <w:rPr>
          <w:rFonts w:ascii="Times New Roman" w:hAnsi="Times New Roman" w:cs="Times New Roman"/>
        </w:rPr>
        <w:t>’</w:t>
      </w:r>
      <w:r w:rsidR="004815BD" w:rsidRPr="009642F7">
        <w:rPr>
          <w:rFonts w:ascii="Times New Roman" w:hAnsi="Times New Roman" w:cs="Times New Roman"/>
        </w:rPr>
        <w:t xml:space="preserve"> forecasts, ultimately leading to the occurrence of financial restatements. Drawing from the agency perspective, we propose our first hypothesis,</w:t>
      </w:r>
      <w:r w:rsidR="004815BD" w:rsidRPr="009642F7">
        <w:rPr>
          <w:rFonts w:ascii="Times New Roman" w:hAnsi="Times New Roman" w:cs="Times New Roman"/>
          <w:i/>
        </w:rPr>
        <w:t xml:space="preserve"> the media monitoring hypothesis</w:t>
      </w:r>
      <w:r w:rsidR="004815BD" w:rsidRPr="009642F7">
        <w:rPr>
          <w:rFonts w:ascii="Times New Roman" w:hAnsi="Times New Roman" w:cs="Times New Roman"/>
        </w:rPr>
        <w:t xml:space="preserve">, which posits a significant negative relationship between media coverage and the </w:t>
      </w:r>
      <w:r w:rsidR="004815BD" w:rsidRPr="009642F7">
        <w:rPr>
          <w:rFonts w:ascii="Times New Roman" w:hAnsi="Times New Roman" w:cs="Times New Roman" w:hint="eastAsia"/>
        </w:rPr>
        <w:t>i</w:t>
      </w:r>
      <w:r w:rsidR="004815BD" w:rsidRPr="009642F7">
        <w:rPr>
          <w:rFonts w:ascii="Times New Roman" w:hAnsi="Times New Roman" w:cs="Times New Roman"/>
        </w:rPr>
        <w:t>ncidence of financial restatements.</w:t>
      </w:r>
    </w:p>
    <w:p w14:paraId="0BC773DB" w14:textId="33A75374" w:rsidR="00C323C7" w:rsidRPr="009642F7" w:rsidRDefault="005202FE" w:rsidP="00C323C7">
      <w:pPr>
        <w:ind w:firstLineChars="200" w:firstLine="480"/>
        <w:jc w:val="both"/>
        <w:rPr>
          <w:rFonts w:ascii="Times New Roman" w:hAnsi="Times New Roman" w:cs="Times New Roman"/>
        </w:rPr>
      </w:pPr>
      <w:r w:rsidRPr="009642F7">
        <w:rPr>
          <w:rFonts w:ascii="Times New Roman" w:hAnsi="Times New Roman" w:cs="Times New Roman"/>
        </w:rPr>
        <w:t xml:space="preserve">On the other hand, </w:t>
      </w:r>
      <w:r w:rsidR="00DD7ECC" w:rsidRPr="009642F7">
        <w:rPr>
          <w:rFonts w:ascii="Times New Roman" w:hAnsi="Times New Roman" w:cs="Times New Roman"/>
        </w:rPr>
        <w:t>it is worth considering that the influence of media on financial restatements may operate in a different manner. The pressures exerted by the capital market, driven by media coverage, could potentially lead managers to engage in accounting</w:t>
      </w:r>
      <w:r w:rsidR="00834563" w:rsidRPr="009642F7">
        <w:rPr>
          <w:rFonts w:ascii="Times New Roman" w:hAnsi="Times New Roman" w:cs="Times New Roman"/>
        </w:rPr>
        <w:t>-</w:t>
      </w:r>
      <w:r w:rsidR="00DD7ECC" w:rsidRPr="009642F7">
        <w:rPr>
          <w:rFonts w:ascii="Times New Roman" w:hAnsi="Times New Roman" w:cs="Times New Roman"/>
        </w:rPr>
        <w:t xml:space="preserve">fraudulent activities, ultimately increasing the likelihood of financial restatements (Chen, Cheng, Li, &amp; Zhao, 2021). In an attempt to attract greater attention from stock market investors, media outlets tend to focus on earnings-related news, particularly negative earnings surprises or consecutive earnings declines, which can amplify the downward reactions in the stock market. </w:t>
      </w:r>
      <w:r w:rsidR="002626D2" w:rsidRPr="009642F7">
        <w:rPr>
          <w:rFonts w:ascii="Times New Roman" w:hAnsi="Times New Roman" w:cs="Times New Roman"/>
        </w:rPr>
        <w:t xml:space="preserve">Since the managers’ compensation packages usually are tied to the stock price or financial performance of the firm, there is a possibility that </w:t>
      </w:r>
      <w:r w:rsidR="00DC5C2E" w:rsidRPr="009642F7">
        <w:rPr>
          <w:rFonts w:ascii="Times New Roman" w:hAnsi="Times New Roman" w:cs="Times New Roman"/>
        </w:rPr>
        <w:t>they</w:t>
      </w:r>
      <w:r w:rsidR="002626D2" w:rsidRPr="009642F7">
        <w:rPr>
          <w:rFonts w:ascii="Times New Roman" w:hAnsi="Times New Roman" w:cs="Times New Roman"/>
        </w:rPr>
        <w:t xml:space="preserve"> may adopt a short-term focus and engage in opportunistic earnings manipulations to avoid negative media coverage</w:t>
      </w:r>
      <w:r w:rsidR="00DC5C2E" w:rsidRPr="009642F7">
        <w:rPr>
          <w:rFonts w:ascii="Times New Roman" w:hAnsi="Times New Roman" w:cs="Times New Roman"/>
        </w:rPr>
        <w:t xml:space="preserve"> (Dai, Shen, &amp; Zhang, 2021; Goldman, Martel, &amp; Schneemeier, 2022)</w:t>
      </w:r>
      <w:r w:rsidR="002626D2" w:rsidRPr="009642F7">
        <w:rPr>
          <w:rFonts w:ascii="Times New Roman" w:hAnsi="Times New Roman" w:cs="Times New Roman"/>
        </w:rPr>
        <w:t xml:space="preserve">. </w:t>
      </w:r>
      <w:r w:rsidR="00DC5C2E" w:rsidRPr="009642F7">
        <w:rPr>
          <w:rFonts w:ascii="Times New Roman" w:hAnsi="Times New Roman" w:cs="Times New Roman"/>
        </w:rPr>
        <w:t xml:space="preserve">Taken together, </w:t>
      </w:r>
      <w:r w:rsidR="001B08C0" w:rsidRPr="009642F7">
        <w:rPr>
          <w:rFonts w:ascii="Times New Roman" w:hAnsi="Times New Roman" w:cs="Times New Roman" w:hint="eastAsia"/>
        </w:rPr>
        <w:t>the</w:t>
      </w:r>
      <w:r w:rsidR="001B08C0" w:rsidRPr="009642F7">
        <w:rPr>
          <w:rFonts w:ascii="Times New Roman" w:hAnsi="Times New Roman" w:cs="Times New Roman"/>
        </w:rPr>
        <w:t xml:space="preserve"> pressure from media reporting can create a situation where managers feel compelled to prioritize short-term performance, leading to the manipulation of earnings.</w:t>
      </w:r>
      <w:r w:rsidR="001B08C0" w:rsidRPr="009642F7">
        <w:rPr>
          <w:rFonts w:ascii="Times New Roman" w:hAnsi="Times New Roman" w:cs="Times New Roman" w:hint="eastAsia"/>
        </w:rPr>
        <w:t xml:space="preserve"> </w:t>
      </w:r>
      <w:r w:rsidR="00C323C7" w:rsidRPr="009642F7">
        <w:rPr>
          <w:rFonts w:ascii="Times New Roman" w:hAnsi="Times New Roman" w:cs="Times New Roman"/>
        </w:rPr>
        <w:t>Drawing from the perspective of short-term performance pressure, we propose our second hypothesis,</w:t>
      </w:r>
      <w:r w:rsidR="00C323C7" w:rsidRPr="009642F7">
        <w:rPr>
          <w:rFonts w:ascii="Times New Roman" w:hAnsi="Times New Roman" w:cs="Times New Roman"/>
          <w:i/>
        </w:rPr>
        <w:t xml:space="preserve"> the media pressure hypothesis</w:t>
      </w:r>
      <w:r w:rsidR="00C323C7" w:rsidRPr="009642F7">
        <w:rPr>
          <w:rFonts w:ascii="Times New Roman" w:hAnsi="Times New Roman" w:cs="Times New Roman"/>
        </w:rPr>
        <w:t>, which posits a significant positive relationship between media coverage and the incidence of financial restatements.</w:t>
      </w:r>
    </w:p>
    <w:p w14:paraId="7DB44C2E" w14:textId="1FCA442A" w:rsidR="00543669" w:rsidRPr="009642F7" w:rsidRDefault="00543669" w:rsidP="001D2B1B">
      <w:pPr>
        <w:ind w:firstLineChars="200" w:firstLine="480"/>
        <w:jc w:val="both"/>
        <w:rPr>
          <w:rFonts w:ascii="Times New Roman" w:hAnsi="Times New Roman" w:cs="Times New Roman"/>
          <w:noProof/>
          <w:szCs w:val="21"/>
        </w:rPr>
      </w:pPr>
      <w:r w:rsidRPr="009642F7">
        <w:rPr>
          <w:rFonts w:ascii="Times New Roman" w:hAnsi="Times New Roman" w:cs="Times New Roman" w:hint="eastAsia"/>
        </w:rPr>
        <w:t xml:space="preserve">To test these two </w:t>
      </w:r>
      <w:r w:rsidRPr="009642F7">
        <w:rPr>
          <w:rFonts w:ascii="Times New Roman" w:hAnsi="Times New Roman" w:cs="Times New Roman"/>
        </w:rPr>
        <w:t>competiti</w:t>
      </w:r>
      <w:r w:rsidRPr="009642F7">
        <w:rPr>
          <w:rFonts w:ascii="Times New Roman" w:hAnsi="Times New Roman" w:cs="Times New Roman" w:hint="eastAsia"/>
        </w:rPr>
        <w:t xml:space="preserve">ve hypotheses, we </w:t>
      </w:r>
      <w:r w:rsidRPr="009642F7">
        <w:rPr>
          <w:rFonts w:ascii="Times New Roman" w:hAnsi="Times New Roman" w:cs="Times New Roman"/>
        </w:rPr>
        <w:t xml:space="preserve">analyzed a sample of </w:t>
      </w:r>
      <w:r w:rsidRPr="009642F7">
        <w:rPr>
          <w:rFonts w:ascii="Times New Roman" w:hAnsi="Times New Roman" w:cs="Times New Roman" w:hint="eastAsia"/>
        </w:rPr>
        <w:t>Taiwan</w:t>
      </w:r>
      <w:r w:rsidR="00834563" w:rsidRPr="009642F7">
        <w:rPr>
          <w:rFonts w:ascii="Times New Roman" w:hAnsi="Times New Roman" w:cs="Times New Roman"/>
        </w:rPr>
        <w:t>-</w:t>
      </w:r>
      <w:r w:rsidRPr="009642F7">
        <w:rPr>
          <w:rFonts w:ascii="Times New Roman" w:hAnsi="Times New Roman" w:cs="Times New Roman"/>
        </w:rPr>
        <w:t>listed companies</w:t>
      </w:r>
      <w:r w:rsidRPr="009642F7">
        <w:rPr>
          <w:rFonts w:ascii="Times New Roman" w:hAnsi="Times New Roman" w:cs="Times New Roman" w:hint="eastAsia"/>
        </w:rPr>
        <w:t xml:space="preserve"> </w:t>
      </w:r>
      <w:r w:rsidRPr="009642F7">
        <w:rPr>
          <w:rFonts w:ascii="Times New Roman" w:hAnsi="Times New Roman" w:cs="Times New Roman"/>
          <w:noProof/>
          <w:szCs w:val="21"/>
        </w:rPr>
        <w:t>during the period of 2000</w:t>
      </w:r>
      <w:r w:rsidRPr="009642F7">
        <w:rPr>
          <w:rFonts w:ascii="Times New Roman" w:hAnsi="Times New Roman" w:cs="Times New Roman"/>
          <w:bCs/>
          <w:noProof/>
        </w:rPr>
        <w:t>−</w:t>
      </w:r>
      <w:r w:rsidRPr="009642F7">
        <w:rPr>
          <w:rFonts w:ascii="Times New Roman" w:hAnsi="Times New Roman" w:cs="Times New Roman"/>
          <w:noProof/>
          <w:szCs w:val="21"/>
        </w:rPr>
        <w:t>2021</w:t>
      </w:r>
      <w:r w:rsidRPr="009642F7">
        <w:rPr>
          <w:rFonts w:ascii="Times New Roman" w:hAnsi="Times New Roman" w:cs="Times New Roman" w:hint="eastAsia"/>
          <w:noProof/>
          <w:szCs w:val="21"/>
        </w:rPr>
        <w:t xml:space="preserve">. </w:t>
      </w:r>
      <w:r w:rsidR="001D2B1B" w:rsidRPr="009642F7">
        <w:rPr>
          <w:rFonts w:ascii="Times New Roman" w:hAnsi="Times New Roman" w:cs="Times New Roman"/>
          <w:noProof/>
          <w:szCs w:val="21"/>
        </w:rPr>
        <w:t>In August 2002, the Taiwan Stock Exchange (TWSE) introduced the Market Observation Post System (MOPS) with the objective of facilitating comprehensive, accurate, and timely online disclosure of financial outcomes, risk, and other material information by TWSE-listed companies. The MOPS system serves as a guide, ensuring that companies provide transparent and up-to-date information to investors.</w:t>
      </w:r>
      <w:r w:rsidR="001D2B1B" w:rsidRPr="009642F7">
        <w:rPr>
          <w:rFonts w:ascii="Times New Roman" w:hAnsi="Times New Roman" w:cs="Times New Roman" w:hint="eastAsia"/>
          <w:noProof/>
          <w:szCs w:val="21"/>
        </w:rPr>
        <w:t xml:space="preserve"> Furthermore, </w:t>
      </w:r>
      <w:r w:rsidR="00834563" w:rsidRPr="009642F7">
        <w:rPr>
          <w:rFonts w:ascii="Times New Roman" w:hAnsi="Times New Roman" w:cs="Times New Roman"/>
          <w:noProof/>
          <w:szCs w:val="21"/>
        </w:rPr>
        <w:t xml:space="preserve">according to Reporters Without Borders, </w:t>
      </w:r>
      <w:bookmarkStart w:id="3" w:name="OLE_LINK71"/>
      <w:r w:rsidR="00834563" w:rsidRPr="009642F7">
        <w:rPr>
          <w:rFonts w:ascii="Times New Roman" w:hAnsi="Times New Roman" w:cs="Times New Roman"/>
          <w:noProof/>
          <w:szCs w:val="21"/>
        </w:rPr>
        <w:t>Taiwan is renowned for its robust media landscape, as evidenced by its high ranking (2nd in Asia) for press freedom in 2019</w:t>
      </w:r>
      <w:bookmarkEnd w:id="3"/>
      <w:r w:rsidR="001D2B1B" w:rsidRPr="009642F7">
        <w:rPr>
          <w:rFonts w:ascii="Times New Roman" w:hAnsi="Times New Roman" w:cs="Times New Roman"/>
          <w:noProof/>
          <w:szCs w:val="21"/>
        </w:rPr>
        <w:t>. The mass media in Taiwan plays a vital role in disseminating information to the public. With its extensive reach and influence, the media serves as a crucial channel for companies to communicate their financial information and updates to a wide audience.</w:t>
      </w:r>
      <w:r w:rsidR="001D2B1B" w:rsidRPr="009642F7">
        <w:rPr>
          <w:rFonts w:ascii="Times New Roman" w:hAnsi="Times New Roman" w:cs="Times New Roman" w:hint="eastAsia"/>
          <w:noProof/>
          <w:szCs w:val="21"/>
        </w:rPr>
        <w:t xml:space="preserve"> </w:t>
      </w:r>
      <w:r w:rsidR="001D2B1B" w:rsidRPr="009642F7">
        <w:rPr>
          <w:rFonts w:ascii="Times New Roman" w:hAnsi="Times New Roman" w:cs="Times New Roman"/>
          <w:noProof/>
          <w:szCs w:val="21"/>
        </w:rPr>
        <w:t>The combination of the MOPS system</w:t>
      </w:r>
      <w:r w:rsidR="00AC5747" w:rsidRPr="009642F7">
        <w:rPr>
          <w:rFonts w:ascii="Times New Roman" w:hAnsi="Times New Roman" w:cs="Times New Roman"/>
          <w:noProof/>
          <w:szCs w:val="21"/>
        </w:rPr>
        <w:t>’</w:t>
      </w:r>
      <w:r w:rsidR="001D2B1B" w:rsidRPr="009642F7">
        <w:rPr>
          <w:rFonts w:ascii="Times New Roman" w:hAnsi="Times New Roman" w:cs="Times New Roman"/>
          <w:noProof/>
          <w:szCs w:val="21"/>
        </w:rPr>
        <w:t>s guidance on disclosure and the influential role of the media creates a context in which companies are motivated to uphold transparency, not only to comply with regulations but also to meet the expectations of investors and maintain a transparent market environment</w:t>
      </w:r>
      <w:r w:rsidR="00E65750" w:rsidRPr="009642F7">
        <w:rPr>
          <w:rFonts w:ascii="Times New Roman" w:hAnsi="Times New Roman" w:cs="Times New Roman"/>
          <w:noProof/>
          <w:szCs w:val="21"/>
        </w:rPr>
        <w:t xml:space="preserve"> for Taiwan</w:t>
      </w:r>
      <w:r w:rsidR="001D2B1B" w:rsidRPr="009642F7">
        <w:rPr>
          <w:rFonts w:ascii="Times New Roman" w:hAnsi="Times New Roman" w:cs="Times New Roman"/>
          <w:noProof/>
          <w:szCs w:val="21"/>
        </w:rPr>
        <w:t>.</w:t>
      </w:r>
      <w:r w:rsidR="00E65750" w:rsidRPr="009642F7">
        <w:rPr>
          <w:rFonts w:ascii="Times New Roman" w:hAnsi="Times New Roman" w:cs="Times New Roman"/>
          <w:noProof/>
          <w:szCs w:val="21"/>
        </w:rPr>
        <w:t xml:space="preserve"> Therefore, analyzing media coverage in Taiwan provides unique opportunities to allow researchers to examine the different channels through which financial information is disseminated and explore their influence on financial restatements.</w:t>
      </w:r>
    </w:p>
    <w:p w14:paraId="08DB86B0" w14:textId="2803642D" w:rsidR="00852AAB" w:rsidRPr="009642F7" w:rsidRDefault="00163A19" w:rsidP="00163A19">
      <w:pPr>
        <w:jc w:val="both"/>
        <w:rPr>
          <w:rFonts w:ascii="Times New Roman" w:hAnsi="Times New Roman" w:cs="Times New Roman"/>
        </w:rPr>
      </w:pPr>
      <w:r w:rsidRPr="009642F7">
        <w:rPr>
          <w:rFonts w:ascii="Times New Roman" w:hAnsi="Times New Roman" w:cs="Times New Roman" w:hint="eastAsia"/>
          <w:noProof/>
          <w:szCs w:val="21"/>
        </w:rPr>
        <w:t xml:space="preserve">    </w:t>
      </w:r>
      <w:r w:rsidR="009578AA" w:rsidRPr="009642F7">
        <w:rPr>
          <w:rFonts w:ascii="Times New Roman" w:hAnsi="Times New Roman" w:cs="Times New Roman"/>
          <w:noProof/>
          <w:szCs w:val="21"/>
        </w:rPr>
        <w:t xml:space="preserve">To </w:t>
      </w:r>
      <w:r w:rsidRPr="009642F7">
        <w:rPr>
          <w:rFonts w:ascii="Times New Roman" w:hAnsi="Times New Roman" w:cs="Times New Roman"/>
          <w:noProof/>
          <w:szCs w:val="21"/>
        </w:rPr>
        <w:t xml:space="preserve">empirically </w:t>
      </w:r>
      <w:r w:rsidR="009578AA" w:rsidRPr="009642F7">
        <w:rPr>
          <w:rFonts w:ascii="Times New Roman" w:hAnsi="Times New Roman" w:cs="Times New Roman"/>
          <w:noProof/>
          <w:szCs w:val="21"/>
        </w:rPr>
        <w:t xml:space="preserve">evaluate the impact of media coverage on the occurrence of financial restatements, </w:t>
      </w:r>
      <w:r w:rsidR="00334FA1" w:rsidRPr="009642F7">
        <w:rPr>
          <w:rFonts w:ascii="Times New Roman" w:hAnsi="Times New Roman" w:cs="Times New Roman"/>
          <w:noProof/>
          <w:szCs w:val="21"/>
        </w:rPr>
        <w:t xml:space="preserve">the mesurement of firms' comprehensive media coverage is determined by taking the </w:t>
      </w:r>
      <w:r w:rsidR="00334FA1" w:rsidRPr="009642F7">
        <w:rPr>
          <w:rFonts w:ascii="Times New Roman" w:hAnsi="Times New Roman" w:cs="Times New Roman"/>
          <w:noProof/>
          <w:szCs w:val="21"/>
        </w:rPr>
        <w:lastRenderedPageBreak/>
        <w:t xml:space="preserve">natural logarithm of the sum of one and the total count of press-initiated news articles pertaining to a particular firm during a given year. </w:t>
      </w:r>
      <w:r w:rsidR="009578AA" w:rsidRPr="009642F7">
        <w:rPr>
          <w:rFonts w:ascii="Times New Roman" w:hAnsi="Times New Roman" w:cs="Times New Roman"/>
          <w:noProof/>
          <w:szCs w:val="21"/>
        </w:rPr>
        <w:t>(</w:t>
      </w:r>
      <w:r w:rsidR="009578AA" w:rsidRPr="009642F7">
        <w:rPr>
          <w:rFonts w:ascii="Times New Roman" w:hAnsi="Times New Roman" w:cs="Times New Roman"/>
        </w:rPr>
        <w:t>Fang and Peress, 2009</w:t>
      </w:r>
      <w:r w:rsidR="009578AA" w:rsidRPr="009642F7">
        <w:rPr>
          <w:rFonts w:ascii="Times New Roman" w:hAnsi="Times New Roman" w:cs="Times New Roman"/>
          <w:noProof/>
          <w:szCs w:val="21"/>
        </w:rPr>
        <w:t xml:space="preserve">). </w:t>
      </w:r>
      <w:r w:rsidR="009578AA" w:rsidRPr="009642F7">
        <w:rPr>
          <w:rFonts w:ascii="Times New Roman" w:hAnsi="Times New Roman" w:cs="Times New Roman"/>
        </w:rPr>
        <w:t xml:space="preserve">Following prior studies (e.g., Aier, Comprix, Gunlock, &amp; Lee, 2005), we define the incidence of financial restatements as an indicator variable equal to one, if there is at least one restatement in a </w:t>
      </w:r>
      <w:r w:rsidR="009578AA" w:rsidRPr="009642F7">
        <w:rPr>
          <w:rFonts w:ascii="Times New Roman" w:hAnsi="Times New Roman" w:cs="Times New Roman"/>
          <w:noProof/>
          <w:szCs w:val="21"/>
        </w:rPr>
        <w:t xml:space="preserve">specific </w:t>
      </w:r>
      <w:r w:rsidR="009578AA" w:rsidRPr="009642F7">
        <w:rPr>
          <w:rFonts w:ascii="Times New Roman" w:hAnsi="Times New Roman" w:cs="Times New Roman"/>
        </w:rPr>
        <w:t>year, and zero otherwise.</w:t>
      </w:r>
      <w:r w:rsidR="00852AAB" w:rsidRPr="009642F7">
        <w:rPr>
          <w:rFonts w:ascii="Times New Roman" w:hAnsi="Times New Roman" w:cs="Times New Roman"/>
        </w:rPr>
        <w:t xml:space="preserve"> The key findings of our Probit models reveal a positive and statistically significant relationship between media coverage in the current year and the occurrence of financial restatements in the subsequent year, even after accounting for other known factors that influence restatements. </w:t>
      </w:r>
      <w:r w:rsidRPr="009642F7">
        <w:rPr>
          <w:rFonts w:ascii="Times New Roman" w:hAnsi="Times New Roman" w:cs="Times New Roman"/>
        </w:rPr>
        <w:t>The robustness analysis further confirms the positive association between media coverage and financial restatements. Specifically, when considering excess media coverage</w:t>
      </w:r>
      <w:r w:rsidRPr="009642F7">
        <w:rPr>
          <w:rFonts w:ascii="Times New Roman" w:hAnsi="Times New Roman" w:cs="Times New Roman" w:hint="eastAsia"/>
        </w:rPr>
        <w:t>,</w:t>
      </w:r>
      <w:r w:rsidRPr="009642F7">
        <w:rPr>
          <w:rFonts w:ascii="Times New Roman" w:hAnsi="Times New Roman" w:cs="Times New Roman"/>
        </w:rPr>
        <w:t xml:space="preserve"> adjusted by firm size and industry effects, as the primary explanatory variable, alternative sub-sample periods, and estimating the Logistic </w:t>
      </w:r>
      <w:r w:rsidR="005D6405" w:rsidRPr="009642F7">
        <w:rPr>
          <w:rFonts w:ascii="Times New Roman" w:hAnsi="Times New Roman" w:cs="Times New Roman"/>
        </w:rPr>
        <w:t>M</w:t>
      </w:r>
      <w:r w:rsidRPr="009642F7">
        <w:rPr>
          <w:rFonts w:ascii="Times New Roman" w:hAnsi="Times New Roman" w:cs="Times New Roman"/>
        </w:rPr>
        <w:t xml:space="preserve">odel, the positive relationship remains consistent and robust across these different specifications. Overall, our results </w:t>
      </w:r>
      <w:r w:rsidR="00852AAB" w:rsidRPr="009642F7">
        <w:rPr>
          <w:rFonts w:ascii="Times New Roman" w:hAnsi="Times New Roman" w:cs="Times New Roman"/>
        </w:rPr>
        <w:t xml:space="preserve">align with the media pressure hypothesis, which suggests that higher media coverage exerts short-term performance pressure on managers. As a result, </w:t>
      </w:r>
      <w:bookmarkStart w:id="4" w:name="OLE_LINK8"/>
      <w:r w:rsidR="00852AAB" w:rsidRPr="009642F7">
        <w:rPr>
          <w:rFonts w:ascii="Times New Roman" w:hAnsi="Times New Roman" w:cs="Times New Roman"/>
        </w:rPr>
        <w:t>companies that receive greater media attention are more likely to engage in earnings restatements.</w:t>
      </w:r>
    </w:p>
    <w:p w14:paraId="68CAB8B8" w14:textId="4852BA6B" w:rsidR="00EF6C2C" w:rsidRPr="009642F7" w:rsidRDefault="00243D97" w:rsidP="00EF6C2C">
      <w:pPr>
        <w:ind w:firstLineChars="200" w:firstLine="480"/>
        <w:jc w:val="both"/>
        <w:rPr>
          <w:rFonts w:ascii="Times New Roman" w:hAnsi="Times New Roman" w:cs="Times New Roman"/>
        </w:rPr>
      </w:pPr>
      <w:bookmarkStart w:id="5" w:name="OLE_LINK46"/>
      <w:bookmarkEnd w:id="4"/>
      <w:r w:rsidRPr="009642F7">
        <w:rPr>
          <w:rFonts w:ascii="Times New Roman" w:hAnsi="Times New Roman" w:cs="Times New Roman"/>
        </w:rPr>
        <w:t xml:space="preserve">Next, we consider whether </w:t>
      </w:r>
      <w:r w:rsidR="00834563" w:rsidRPr="009642F7">
        <w:rPr>
          <w:rFonts w:ascii="Times New Roman" w:hAnsi="Times New Roman" w:cs="Times New Roman"/>
        </w:rPr>
        <w:t>foreign institutional investors and D&amp;O insurance coverage</w:t>
      </w:r>
      <w:r w:rsidRPr="009642F7">
        <w:rPr>
          <w:rFonts w:ascii="Times New Roman" w:hAnsi="Times New Roman" w:cs="Times New Roman"/>
        </w:rPr>
        <w:t xml:space="preserve"> play a </w:t>
      </w:r>
      <w:bookmarkStart w:id="6" w:name="OLE_LINK72"/>
      <w:r w:rsidRPr="009642F7">
        <w:rPr>
          <w:rFonts w:ascii="Times New Roman" w:hAnsi="Times New Roman" w:cs="Times New Roman"/>
        </w:rPr>
        <w:t>substitution</w:t>
      </w:r>
      <w:bookmarkEnd w:id="6"/>
      <w:r w:rsidRPr="009642F7">
        <w:rPr>
          <w:rFonts w:ascii="Times New Roman" w:hAnsi="Times New Roman" w:cs="Times New Roman"/>
        </w:rPr>
        <w:t xml:space="preserve"> role or </w:t>
      </w:r>
      <w:bookmarkStart w:id="7" w:name="OLE_LINK73"/>
      <w:r w:rsidRPr="009642F7">
        <w:rPr>
          <w:rFonts w:ascii="Times New Roman" w:hAnsi="Times New Roman" w:cs="Times New Roman"/>
        </w:rPr>
        <w:t>complementary</w:t>
      </w:r>
      <w:bookmarkEnd w:id="7"/>
      <w:r w:rsidRPr="009642F7">
        <w:rPr>
          <w:rFonts w:ascii="Times New Roman" w:hAnsi="Times New Roman" w:cs="Times New Roman"/>
        </w:rPr>
        <w:t xml:space="preserve"> role relative to </w:t>
      </w:r>
      <w:r w:rsidR="00C16BC4" w:rsidRPr="009642F7">
        <w:rPr>
          <w:rFonts w:ascii="Times New Roman" w:hAnsi="Times New Roman" w:cs="Times New Roman" w:hint="eastAsia"/>
        </w:rPr>
        <w:t>media coverage</w:t>
      </w:r>
      <w:r w:rsidRPr="009642F7">
        <w:rPr>
          <w:rFonts w:ascii="Times New Roman" w:hAnsi="Times New Roman" w:cs="Times New Roman"/>
        </w:rPr>
        <w:t xml:space="preserve"> in affecting </w:t>
      </w:r>
      <w:r w:rsidR="008D74A6" w:rsidRPr="009642F7">
        <w:rPr>
          <w:rFonts w:ascii="Times New Roman" w:hAnsi="Times New Roman" w:cs="Times New Roman"/>
        </w:rPr>
        <w:t>fin</w:t>
      </w:r>
      <w:r w:rsidR="008D74A6" w:rsidRPr="009642F7">
        <w:rPr>
          <w:rFonts w:ascii="Times New Roman" w:hAnsi="Times New Roman" w:cs="Times New Roman"/>
          <w:noProof/>
          <w:szCs w:val="21"/>
        </w:rPr>
        <w:t>ancial restatements</w:t>
      </w:r>
      <w:r w:rsidRPr="009642F7">
        <w:rPr>
          <w:rFonts w:ascii="Times New Roman" w:hAnsi="Times New Roman" w:cs="Times New Roman"/>
        </w:rPr>
        <w:t>.</w:t>
      </w:r>
      <w:r w:rsidR="008D74A6" w:rsidRPr="009642F7">
        <w:rPr>
          <w:rFonts w:ascii="Times New Roman" w:hAnsi="Times New Roman" w:cs="Times New Roman"/>
        </w:rPr>
        <w:t xml:space="preserve"> First, </w:t>
      </w:r>
      <w:r w:rsidR="00EF6C2C" w:rsidRPr="009642F7">
        <w:rPr>
          <w:rFonts w:ascii="Times New Roman" w:hAnsi="Times New Roman" w:cs="Times New Roman"/>
        </w:rPr>
        <w:t>we find that the positive impact of media coverage on financial restatements is more pronounced when foreign institutional investors</w:t>
      </w:r>
      <w:r w:rsidR="00AC5747" w:rsidRPr="009642F7">
        <w:rPr>
          <w:rFonts w:ascii="Times New Roman" w:hAnsi="Times New Roman" w:cs="Times New Roman"/>
        </w:rPr>
        <w:t>’</w:t>
      </w:r>
      <w:r w:rsidR="00EF6C2C" w:rsidRPr="009642F7">
        <w:rPr>
          <w:rFonts w:ascii="Times New Roman" w:hAnsi="Times New Roman" w:cs="Times New Roman"/>
        </w:rPr>
        <w:t xml:space="preserve"> ownership is low and less prominent when their ownership is high. This suggests that foreign institutional investors may serve as a </w:t>
      </w:r>
      <w:r w:rsidR="00834563" w:rsidRPr="009642F7">
        <w:rPr>
          <w:rFonts w:ascii="Times New Roman" w:hAnsi="Times New Roman" w:cs="Times New Roman"/>
        </w:rPr>
        <w:t>substitution</w:t>
      </w:r>
      <w:r w:rsidR="00EF6C2C" w:rsidRPr="009642F7">
        <w:rPr>
          <w:rFonts w:ascii="Times New Roman" w:hAnsi="Times New Roman" w:cs="Times New Roman"/>
        </w:rPr>
        <w:t xml:space="preserve"> governance mechanism by acting as external monitors to restrain managerial earnings manipulation (Chen, Weng, and Chien, 2018). Their presence reduces the media-induced short-term pressure on managerial behavior, leading to a decrease in the likelihood of financial restatements. Second, we also find that the positive effect of media coverage on financial restatements is more </w:t>
      </w:r>
      <w:bookmarkStart w:id="8" w:name="OLE_LINK74"/>
      <w:r w:rsidR="00EF6C2C" w:rsidRPr="009642F7">
        <w:rPr>
          <w:rFonts w:ascii="Times New Roman" w:hAnsi="Times New Roman" w:cs="Times New Roman"/>
        </w:rPr>
        <w:t xml:space="preserve">prominent </w:t>
      </w:r>
      <w:bookmarkEnd w:id="8"/>
      <w:r w:rsidR="00EF6C2C" w:rsidRPr="009642F7">
        <w:rPr>
          <w:rFonts w:ascii="Times New Roman" w:hAnsi="Times New Roman" w:cs="Times New Roman"/>
        </w:rPr>
        <w:t>when managers have relatively higher levels of excess coverage of the directors</w:t>
      </w:r>
      <w:r w:rsidR="00834563" w:rsidRPr="009642F7">
        <w:rPr>
          <w:rFonts w:ascii="Times New Roman" w:hAnsi="Times New Roman" w:cs="Times New Roman"/>
        </w:rPr>
        <w:t>’</w:t>
      </w:r>
      <w:r w:rsidR="00EF6C2C" w:rsidRPr="009642F7">
        <w:rPr>
          <w:rFonts w:ascii="Times New Roman" w:hAnsi="Times New Roman" w:cs="Times New Roman"/>
        </w:rPr>
        <w:t xml:space="preserve"> and officers</w:t>
      </w:r>
      <w:r w:rsidR="00834563" w:rsidRPr="009642F7">
        <w:rPr>
          <w:rFonts w:ascii="Times New Roman" w:hAnsi="Times New Roman" w:cs="Times New Roman"/>
        </w:rPr>
        <w:t>’</w:t>
      </w:r>
      <w:r w:rsidR="00EF6C2C" w:rsidRPr="009642F7">
        <w:rPr>
          <w:rFonts w:ascii="Times New Roman" w:hAnsi="Times New Roman" w:cs="Times New Roman"/>
        </w:rPr>
        <w:t xml:space="preserve"> liability insurance (D&amp;O insurance), whereas it is less pronounced when their coverage is lower. This finding implies that D&amp;O insurance coverage plays a </w:t>
      </w:r>
      <w:r w:rsidR="00834563" w:rsidRPr="009642F7">
        <w:rPr>
          <w:rFonts w:ascii="Times New Roman" w:hAnsi="Times New Roman" w:cs="Times New Roman"/>
        </w:rPr>
        <w:t>complementary</w:t>
      </w:r>
      <w:r w:rsidR="00EF6C2C" w:rsidRPr="009642F7">
        <w:rPr>
          <w:rFonts w:ascii="Times New Roman" w:hAnsi="Times New Roman" w:cs="Times New Roman"/>
        </w:rPr>
        <w:t xml:space="preserve"> role by </w:t>
      </w:r>
      <w:r w:rsidR="00834563" w:rsidRPr="009642F7">
        <w:rPr>
          <w:rFonts w:ascii="Times New Roman" w:hAnsi="Times New Roman" w:cs="Times New Roman"/>
        </w:rPr>
        <w:t>strengthening</w:t>
      </w:r>
      <w:r w:rsidR="00EF6C2C" w:rsidRPr="009642F7">
        <w:rPr>
          <w:rFonts w:ascii="Times New Roman" w:hAnsi="Times New Roman" w:cs="Times New Roman"/>
        </w:rPr>
        <w:t xml:space="preserve"> the media-driven short-term performance pressure. The interactive effect between D&amp;O insurance and media coverage encourages managers to misstate reported earnings, contributing to the increased likelihood of financial restatements (Weng, Chen, and Chi, 2017). Overall, these findings suggest that </w:t>
      </w:r>
      <w:bookmarkStart w:id="9" w:name="OLE_LINK75"/>
      <w:r w:rsidR="00EF6C2C" w:rsidRPr="009642F7">
        <w:rPr>
          <w:rFonts w:ascii="Times New Roman" w:hAnsi="Times New Roman" w:cs="Times New Roman"/>
        </w:rPr>
        <w:t>foreign institutional investors and D&amp;O insurance coverage</w:t>
      </w:r>
      <w:bookmarkEnd w:id="9"/>
      <w:r w:rsidR="00EF6C2C" w:rsidRPr="009642F7">
        <w:rPr>
          <w:rFonts w:ascii="Times New Roman" w:hAnsi="Times New Roman" w:cs="Times New Roman"/>
        </w:rPr>
        <w:t xml:space="preserve"> act as </w:t>
      </w:r>
      <w:r w:rsidR="00834563" w:rsidRPr="009642F7">
        <w:rPr>
          <w:rFonts w:ascii="Times New Roman" w:hAnsi="Times New Roman" w:cs="Times New Roman"/>
        </w:rPr>
        <w:t xml:space="preserve">substitution and </w:t>
      </w:r>
      <w:r w:rsidR="00EF6C2C" w:rsidRPr="009642F7">
        <w:rPr>
          <w:rFonts w:ascii="Times New Roman" w:hAnsi="Times New Roman" w:cs="Times New Roman"/>
        </w:rPr>
        <w:t>complementary mechanisms, respectively, in relation to media-driven short-term pressure on managerial behavior regarding financial restatements. These insights shed light on the complex interplay between media, corporate governance mechanisms, and the occurrence of restatements, providing valuable insights for understanding and improving corporate governance practices.</w:t>
      </w:r>
    </w:p>
    <w:bookmarkEnd w:id="5"/>
    <w:p w14:paraId="441D602E" w14:textId="47B586A0" w:rsidR="00AC487B" w:rsidRPr="009642F7" w:rsidRDefault="007D65C9" w:rsidP="007D65C9">
      <w:pPr>
        <w:ind w:firstLineChars="200" w:firstLine="480"/>
        <w:jc w:val="both"/>
        <w:rPr>
          <w:rFonts w:ascii="Times New Roman" w:hAnsi="Times New Roman" w:cs="Times New Roman"/>
        </w:rPr>
      </w:pPr>
      <w:r w:rsidRPr="009642F7">
        <w:rPr>
          <w:rFonts w:ascii="Times New Roman" w:hAnsi="Times New Roman" w:cs="Times New Roman"/>
        </w:rPr>
        <w:t xml:space="preserve">The main contribution of our study is to complement the existing literature by examining the impact of various factors on the occurrence of financial restatements. Previous studies have identified several determinants of financial restatements, including corporate governance mechanisms (Nahar Abdullah, Zalina Mohamad Yusof, &amp; Naimi Mohamad Nor, 2010; Zhizhong, Juan, Yanzhi, &amp; Wenli, 2011; Huang &amp; Scholz, 2012; Hasnan, Mohd Razali, &amp; Mohamed Hussain, 2020; Habib, Bhuiyan, &amp; Wu, 2021), managerial overconfidence (Presley &amp; Abbott, 2013), firm-specific characteristics such </w:t>
      </w:r>
      <w:r w:rsidRPr="009642F7">
        <w:rPr>
          <w:rFonts w:ascii="Times New Roman" w:hAnsi="Times New Roman" w:cs="Times New Roman"/>
        </w:rPr>
        <w:lastRenderedPageBreak/>
        <w:t>as firm age, operating performance, firm leverage, and corporate liquidity (Hasnan, Mohd Razali, &amp; Mohamed Hussain, 2020), CFOs</w:t>
      </w:r>
      <w:r w:rsidR="00AC5747" w:rsidRPr="009642F7">
        <w:rPr>
          <w:rFonts w:ascii="Times New Roman" w:hAnsi="Times New Roman" w:cs="Times New Roman"/>
        </w:rPr>
        <w:t>’</w:t>
      </w:r>
      <w:r w:rsidRPr="009642F7">
        <w:rPr>
          <w:rFonts w:ascii="Times New Roman" w:hAnsi="Times New Roman" w:cs="Times New Roman"/>
        </w:rPr>
        <w:t xml:space="preserve"> financial expertise (Aier, Comprix, Gunlock, &amp; Lee, 2005), the presence of female directors on the board (Abbott, Parker, &amp; Presley, 2012)</w:t>
      </w:r>
      <w:r w:rsidR="00AC487B" w:rsidRPr="009642F7">
        <w:rPr>
          <w:rFonts w:ascii="Times New Roman" w:hAnsi="Times New Roman" w:cs="Times New Roman"/>
        </w:rPr>
        <w:t>, institutional investor ownership (Chen, Weng, and Chien, 2018), and directors and officers liability insurance (Weng, Chen, and Chi, 2017)</w:t>
      </w:r>
      <w:r w:rsidRPr="009642F7">
        <w:rPr>
          <w:rFonts w:ascii="Times New Roman" w:hAnsi="Times New Roman" w:cs="Times New Roman"/>
        </w:rPr>
        <w:t>. However, little attention has been given to the influence of media as an additional monitoring mechanism or the excessive short-term pressure exerted by the media on managerial financial restatement behaviors. By focusing on this less</w:t>
      </w:r>
      <w:r w:rsidR="00834563" w:rsidRPr="009642F7">
        <w:rPr>
          <w:rFonts w:ascii="Times New Roman" w:hAnsi="Times New Roman" w:cs="Times New Roman"/>
        </w:rPr>
        <w:t>-</w:t>
      </w:r>
      <w:r w:rsidRPr="009642F7">
        <w:rPr>
          <w:rFonts w:ascii="Times New Roman" w:hAnsi="Times New Roman" w:cs="Times New Roman"/>
        </w:rPr>
        <w:t>explored topic, our study aims to fill this literature gap.</w:t>
      </w:r>
    </w:p>
    <w:p w14:paraId="35FFAFC9" w14:textId="2694DB14" w:rsidR="007D65C9" w:rsidRPr="009642F7" w:rsidRDefault="007D65C9" w:rsidP="007D65C9">
      <w:pPr>
        <w:ind w:firstLineChars="200" w:firstLine="480"/>
        <w:jc w:val="both"/>
        <w:rPr>
          <w:rFonts w:ascii="Times New Roman" w:hAnsi="Times New Roman" w:cs="Times New Roman"/>
        </w:rPr>
      </w:pPr>
      <w:r w:rsidRPr="009642F7">
        <w:rPr>
          <w:rFonts w:ascii="Times New Roman" w:hAnsi="Times New Roman" w:cs="Times New Roman"/>
        </w:rPr>
        <w:t>Two recent studies closely relate</w:t>
      </w:r>
      <w:r w:rsidR="00834563" w:rsidRPr="009642F7">
        <w:rPr>
          <w:rFonts w:ascii="Times New Roman" w:hAnsi="Times New Roman" w:cs="Times New Roman"/>
        </w:rPr>
        <w:t>d</w:t>
      </w:r>
      <w:r w:rsidRPr="009642F7">
        <w:rPr>
          <w:rFonts w:ascii="Times New Roman" w:hAnsi="Times New Roman" w:cs="Times New Roman"/>
        </w:rPr>
        <w:t xml:space="preserve"> to our work. Chen, Cheng, Li, &amp; Zhao (2021) examined a sample of US firms from 2000 to 2016 and </w:t>
      </w:r>
      <w:bookmarkStart w:id="10" w:name="OLE_LINK10"/>
      <w:r w:rsidRPr="009642F7">
        <w:rPr>
          <w:rFonts w:ascii="Times New Roman" w:hAnsi="Times New Roman" w:cs="Times New Roman"/>
        </w:rPr>
        <w:t xml:space="preserve">discovered </w:t>
      </w:r>
      <w:bookmarkEnd w:id="10"/>
      <w:r w:rsidR="00E265D0" w:rsidRPr="009642F7">
        <w:rPr>
          <w:rFonts w:ascii="Times New Roman" w:hAnsi="Times New Roman" w:cs="Times New Roman"/>
        </w:rPr>
        <w:t>an inverse correlation between the level of media coverage and the occurrence of both accrual-based and real earnings management activities.</w:t>
      </w:r>
      <w:r w:rsidRPr="009642F7">
        <w:rPr>
          <w:rFonts w:ascii="Times New Roman" w:hAnsi="Times New Roman" w:cs="Times New Roman"/>
        </w:rPr>
        <w:t xml:space="preserve"> Their findings suggest that </w:t>
      </w:r>
      <w:r w:rsidR="00E265D0" w:rsidRPr="009642F7">
        <w:rPr>
          <w:rFonts w:ascii="Times New Roman" w:hAnsi="Times New Roman" w:cs="Times New Roman"/>
        </w:rPr>
        <w:t>the media assumes the role of an external monitoring mechanism, effectively discouraging managers from engaging in opportunistic earnings management practices</w:t>
      </w:r>
      <w:r w:rsidRPr="009642F7">
        <w:rPr>
          <w:rFonts w:ascii="Times New Roman" w:hAnsi="Times New Roman" w:cs="Times New Roman"/>
        </w:rPr>
        <w:t>. Similarly, Alkebsee &amp; Habib (2021) analyzed a sample of Chinese listed companies over the period 2011–2015 and demonstrated a negative and significant relationship between media coverage and financial restatements. This indicates that firms with higher media coverage benefit from stronger external corporate governance mechanisms and engage less in financial restatements. Both of these studies share a common theme, which is highlighting the monitoring role of the media in a firm</w:t>
      </w:r>
      <w:r w:rsidR="00AC5747" w:rsidRPr="009642F7">
        <w:rPr>
          <w:rFonts w:ascii="Times New Roman" w:hAnsi="Times New Roman" w:cs="Times New Roman"/>
        </w:rPr>
        <w:t>’</w:t>
      </w:r>
      <w:r w:rsidRPr="009642F7">
        <w:rPr>
          <w:rFonts w:ascii="Times New Roman" w:hAnsi="Times New Roman" w:cs="Times New Roman"/>
        </w:rPr>
        <w:t>s financial reporting quality</w:t>
      </w:r>
      <w:r w:rsidR="007A42CD" w:rsidRPr="009642F7">
        <w:rPr>
          <w:rFonts w:ascii="Times New Roman" w:hAnsi="Times New Roman" w:cs="Times New Roman" w:hint="eastAsia"/>
        </w:rPr>
        <w:t xml:space="preserve"> and generating a negative relation between media coverage and the</w:t>
      </w:r>
      <w:r w:rsidR="007A42CD" w:rsidRPr="009642F7">
        <w:rPr>
          <w:rFonts w:ascii="Times New Roman" w:hAnsi="Times New Roman" w:cs="Times New Roman"/>
        </w:rPr>
        <w:t xml:space="preserve"> occurrence of financial restatements.</w:t>
      </w:r>
      <w:r w:rsidR="007A42CD" w:rsidRPr="009642F7">
        <w:rPr>
          <w:rFonts w:ascii="Times New Roman" w:hAnsi="Times New Roman" w:cs="Times New Roman" w:hint="eastAsia"/>
        </w:rPr>
        <w:t xml:space="preserve"> </w:t>
      </w:r>
      <w:r w:rsidRPr="009642F7">
        <w:rPr>
          <w:rFonts w:ascii="Times New Roman" w:hAnsi="Times New Roman" w:cs="Times New Roman"/>
        </w:rPr>
        <w:t xml:space="preserve">However, our study specifically </w:t>
      </w:r>
      <w:r w:rsidR="007A42CD" w:rsidRPr="009642F7">
        <w:rPr>
          <w:rFonts w:ascii="Times New Roman" w:hAnsi="Times New Roman" w:cs="Times New Roman" w:hint="eastAsia"/>
        </w:rPr>
        <w:t xml:space="preserve">generates an alternative economic implication that media coverage has a positive effect on the </w:t>
      </w:r>
      <w:r w:rsidR="007A42CD" w:rsidRPr="009642F7">
        <w:rPr>
          <w:rFonts w:ascii="Times New Roman" w:hAnsi="Times New Roman" w:cs="Times New Roman"/>
        </w:rPr>
        <w:t>occurrence of financial restatements</w:t>
      </w:r>
      <w:r w:rsidR="007A42CD" w:rsidRPr="009642F7">
        <w:rPr>
          <w:rFonts w:ascii="Times New Roman" w:hAnsi="Times New Roman" w:cs="Times New Roman" w:hint="eastAsia"/>
        </w:rPr>
        <w:t xml:space="preserve"> and thus </w:t>
      </w:r>
      <w:r w:rsidRPr="009642F7">
        <w:rPr>
          <w:rFonts w:ascii="Times New Roman" w:hAnsi="Times New Roman" w:cs="Times New Roman"/>
        </w:rPr>
        <w:t>highlights the influence of media</w:t>
      </w:r>
      <w:r w:rsidR="00AC5747" w:rsidRPr="009642F7">
        <w:rPr>
          <w:rFonts w:ascii="Times New Roman" w:hAnsi="Times New Roman" w:cs="Times New Roman"/>
        </w:rPr>
        <w:t>’</w:t>
      </w:r>
      <w:r w:rsidRPr="009642F7">
        <w:rPr>
          <w:rFonts w:ascii="Times New Roman" w:hAnsi="Times New Roman" w:cs="Times New Roman"/>
        </w:rPr>
        <w:t xml:space="preserve">s excessive short-term pressure on managerial financial restatements in Taiwan. </w:t>
      </w:r>
      <w:r w:rsidR="00AA2A50" w:rsidRPr="009642F7">
        <w:rPr>
          <w:rFonts w:ascii="Times New Roman" w:hAnsi="Times New Roman" w:cs="Times New Roman"/>
        </w:rPr>
        <w:t>It is noteworthy to mention that in 2019, Taiwan secured the second position in Asia in terms of press freedom, as assessed by the organization Reporters Without Borders.</w:t>
      </w:r>
      <w:r w:rsidRPr="009642F7">
        <w:rPr>
          <w:rFonts w:ascii="Times New Roman" w:hAnsi="Times New Roman" w:cs="Times New Roman"/>
        </w:rPr>
        <w:t xml:space="preserve">. This unique environment of high level of media press freedom in Taiwan may </w:t>
      </w:r>
      <w:r w:rsidR="00EF6C2C" w:rsidRPr="009642F7">
        <w:rPr>
          <w:rFonts w:ascii="Times New Roman" w:hAnsi="Times New Roman" w:cs="Times New Roman"/>
        </w:rPr>
        <w:t xml:space="preserve">be key driver that </w:t>
      </w:r>
      <w:r w:rsidR="00AC487B" w:rsidRPr="009642F7">
        <w:rPr>
          <w:rFonts w:ascii="Times New Roman" w:hAnsi="Times New Roman" w:cs="Times New Roman"/>
        </w:rPr>
        <w:t>impose</w:t>
      </w:r>
      <w:r w:rsidR="00EF6C2C" w:rsidRPr="009642F7">
        <w:rPr>
          <w:rFonts w:ascii="Times New Roman" w:hAnsi="Times New Roman" w:cs="Times New Roman"/>
        </w:rPr>
        <w:t>s</w:t>
      </w:r>
      <w:r w:rsidR="00AC487B" w:rsidRPr="009642F7">
        <w:rPr>
          <w:rFonts w:ascii="Times New Roman" w:hAnsi="Times New Roman" w:cs="Times New Roman"/>
        </w:rPr>
        <w:t xml:space="preserve"> short-term market pressure on managers to engage in opportunistic earnings manipulation activities, thereby leading to a high likelihood of financial restatements in the future.</w:t>
      </w:r>
    </w:p>
    <w:p w14:paraId="2D077B27" w14:textId="77898B02" w:rsidR="00E23BCF" w:rsidRPr="009642F7" w:rsidRDefault="00E23BCF" w:rsidP="00E23BCF">
      <w:pPr>
        <w:ind w:firstLineChars="200" w:firstLine="480"/>
        <w:jc w:val="both"/>
        <w:rPr>
          <w:rFonts w:ascii="Times New Roman" w:hAnsi="Times New Roman" w:cs="Times New Roman"/>
        </w:rPr>
      </w:pPr>
      <w:r w:rsidRPr="009642F7">
        <w:rPr>
          <w:rFonts w:ascii="Times New Roman" w:hAnsi="Times New Roman" w:cs="Times New Roman"/>
        </w:rPr>
        <w:t>The structure of this paper is outlined as follows. Section 2 provides a review of the relevant literature and presents the development of our hypotheses. In Section 3, we provide a detailed description of our data, define the variables used in our analysis, and outline the empirical methodology employed. The main findings of our study are presented in Section 4. Section 5 offers a supplementary analysis that examines the mediating effects of institutional investor ownership and directors</w:t>
      </w:r>
      <w:r w:rsidR="00834563" w:rsidRPr="009642F7">
        <w:rPr>
          <w:rFonts w:ascii="Times New Roman" w:hAnsi="Times New Roman" w:cs="Times New Roman"/>
        </w:rPr>
        <w:t>’</w:t>
      </w:r>
      <w:r w:rsidRPr="009642F7">
        <w:rPr>
          <w:rFonts w:ascii="Times New Roman" w:hAnsi="Times New Roman" w:cs="Times New Roman"/>
        </w:rPr>
        <w:t xml:space="preserve"> and officers</w:t>
      </w:r>
      <w:r w:rsidR="00834563" w:rsidRPr="009642F7">
        <w:rPr>
          <w:rFonts w:ascii="Times New Roman" w:hAnsi="Times New Roman" w:cs="Times New Roman"/>
        </w:rPr>
        <w:t>’</w:t>
      </w:r>
      <w:r w:rsidRPr="009642F7">
        <w:rPr>
          <w:rFonts w:ascii="Times New Roman" w:hAnsi="Times New Roman" w:cs="Times New Roman"/>
        </w:rPr>
        <w:t xml:space="preserve"> liability insurance. Finally, Section </w:t>
      </w:r>
      <w:r w:rsidR="00E06799" w:rsidRPr="009642F7">
        <w:rPr>
          <w:rFonts w:ascii="Times New Roman" w:hAnsi="Times New Roman" w:cs="Times New Roman"/>
        </w:rPr>
        <w:t>6</w:t>
      </w:r>
      <w:r w:rsidRPr="009642F7">
        <w:rPr>
          <w:rFonts w:ascii="Times New Roman" w:hAnsi="Times New Roman" w:cs="Times New Roman"/>
        </w:rPr>
        <w:t xml:space="preserve"> concludes the paper.</w:t>
      </w:r>
    </w:p>
    <w:p w14:paraId="130C4570" w14:textId="77777777" w:rsidR="00E23BCF" w:rsidRPr="009642F7" w:rsidRDefault="00E23BCF" w:rsidP="00E23BCF">
      <w:pPr>
        <w:ind w:firstLineChars="200" w:firstLine="480"/>
        <w:jc w:val="both"/>
        <w:rPr>
          <w:rFonts w:ascii="Times New Roman" w:hAnsi="Times New Roman" w:cs="Times New Roman"/>
        </w:rPr>
      </w:pPr>
    </w:p>
    <w:p w14:paraId="58D08AFD" w14:textId="77777777" w:rsidR="006A71C1" w:rsidRPr="009642F7" w:rsidRDefault="006A71C1" w:rsidP="006A71C1">
      <w:pPr>
        <w:rPr>
          <w:rFonts w:ascii="Times New Roman" w:hAnsi="Times New Roman" w:cs="Times New Roman"/>
          <w:b/>
          <w:sz w:val="32"/>
        </w:rPr>
      </w:pPr>
      <w:r w:rsidRPr="009642F7">
        <w:rPr>
          <w:rFonts w:ascii="Times New Roman" w:hAnsi="Times New Roman" w:cs="Times New Roman"/>
          <w:b/>
          <w:sz w:val="32"/>
        </w:rPr>
        <w:t>2. Hypothesis Development</w:t>
      </w:r>
    </w:p>
    <w:p w14:paraId="5370F9AE" w14:textId="77777777" w:rsidR="00EF6C2C" w:rsidRPr="009642F7" w:rsidRDefault="00EF6C2C" w:rsidP="00EF6C2C">
      <w:pPr>
        <w:ind w:firstLineChars="200" w:firstLine="480"/>
        <w:jc w:val="both"/>
        <w:rPr>
          <w:rFonts w:ascii="Times New Roman" w:hAnsi="Times New Roman" w:cs="Times New Roman"/>
        </w:rPr>
      </w:pPr>
      <w:r w:rsidRPr="009642F7">
        <w:rPr>
          <w:rFonts w:ascii="Times New Roman" w:hAnsi="Times New Roman" w:cs="Times New Roman"/>
        </w:rPr>
        <w:t xml:space="preserve">In our theoretical framework, we propose two </w:t>
      </w:r>
      <w:bookmarkStart w:id="11" w:name="OLE_LINK76"/>
      <w:r w:rsidRPr="009642F7">
        <w:rPr>
          <w:rFonts w:ascii="Times New Roman" w:hAnsi="Times New Roman" w:cs="Times New Roman"/>
        </w:rPr>
        <w:t>mutually exclusive hypotheses</w:t>
      </w:r>
      <w:bookmarkEnd w:id="11"/>
      <w:r w:rsidRPr="009642F7">
        <w:rPr>
          <w:rFonts w:ascii="Times New Roman" w:hAnsi="Times New Roman" w:cs="Times New Roman"/>
        </w:rPr>
        <w:t xml:space="preserve">: </w:t>
      </w:r>
      <w:r w:rsidRPr="009642F7">
        <w:rPr>
          <w:rFonts w:ascii="Times New Roman" w:hAnsi="Times New Roman" w:cs="Times New Roman"/>
          <w:i/>
        </w:rPr>
        <w:t>the media monitoring hypothesis</w:t>
      </w:r>
      <w:r w:rsidRPr="009642F7">
        <w:rPr>
          <w:rFonts w:ascii="Times New Roman" w:hAnsi="Times New Roman" w:cs="Times New Roman"/>
        </w:rPr>
        <w:t xml:space="preserve"> and </w:t>
      </w:r>
      <w:r w:rsidRPr="009642F7">
        <w:rPr>
          <w:rFonts w:ascii="Times New Roman" w:hAnsi="Times New Roman" w:cs="Times New Roman"/>
          <w:i/>
        </w:rPr>
        <w:t>the media pressure hypothesis</w:t>
      </w:r>
      <w:r w:rsidRPr="009642F7">
        <w:rPr>
          <w:rFonts w:ascii="Times New Roman" w:hAnsi="Times New Roman" w:cs="Times New Roman"/>
        </w:rPr>
        <w:t>. These hypotheses provide contrasting explanations for the potential effects of media coverage on the occurrence of financial restatements.</w:t>
      </w:r>
    </w:p>
    <w:p w14:paraId="30276606" w14:textId="77777777" w:rsidR="00AE4265" w:rsidRPr="009642F7" w:rsidRDefault="00AE4265" w:rsidP="00AE4265">
      <w:pPr>
        <w:jc w:val="both"/>
        <w:rPr>
          <w:rFonts w:ascii="Times New Roman" w:hAnsi="Times New Roman" w:cs="Times New Roman"/>
          <w:sz w:val="28"/>
        </w:rPr>
      </w:pPr>
    </w:p>
    <w:p w14:paraId="7281B78A" w14:textId="77777777" w:rsidR="006A71C1" w:rsidRPr="009642F7" w:rsidRDefault="006A71C1" w:rsidP="00AE4265">
      <w:pPr>
        <w:jc w:val="both"/>
        <w:rPr>
          <w:rFonts w:ascii="Times New Roman" w:hAnsi="Times New Roman" w:cs="Times New Roman"/>
          <w:b/>
          <w:sz w:val="28"/>
          <w:szCs w:val="28"/>
        </w:rPr>
      </w:pPr>
      <w:r w:rsidRPr="009642F7">
        <w:rPr>
          <w:rFonts w:ascii="Times New Roman" w:hAnsi="Times New Roman" w:cs="Times New Roman"/>
          <w:b/>
          <w:sz w:val="28"/>
          <w:szCs w:val="28"/>
        </w:rPr>
        <w:lastRenderedPageBreak/>
        <w:t xml:space="preserve">2.1 </w:t>
      </w:r>
      <w:r w:rsidR="00AE4265" w:rsidRPr="009642F7">
        <w:rPr>
          <w:rFonts w:ascii="Times New Roman" w:hAnsi="Times New Roman" w:cs="Times New Roman"/>
          <w:b/>
          <w:sz w:val="28"/>
          <w:szCs w:val="28"/>
        </w:rPr>
        <w:t>Media Monitoring</w:t>
      </w:r>
      <w:r w:rsidR="005244E4" w:rsidRPr="009642F7">
        <w:rPr>
          <w:rFonts w:ascii="Times New Roman" w:hAnsi="Times New Roman" w:cs="Times New Roman"/>
          <w:b/>
          <w:sz w:val="28"/>
          <w:szCs w:val="28"/>
        </w:rPr>
        <w:t xml:space="preserve"> </w:t>
      </w:r>
      <w:r w:rsidR="00AE4265" w:rsidRPr="009642F7">
        <w:rPr>
          <w:rFonts w:ascii="Times New Roman" w:hAnsi="Times New Roman" w:cs="Times New Roman"/>
          <w:b/>
          <w:sz w:val="28"/>
          <w:szCs w:val="28"/>
        </w:rPr>
        <w:t>H</w:t>
      </w:r>
      <w:r w:rsidR="005244E4" w:rsidRPr="009642F7">
        <w:rPr>
          <w:rFonts w:ascii="Times New Roman" w:hAnsi="Times New Roman" w:cs="Times New Roman"/>
          <w:b/>
          <w:sz w:val="28"/>
          <w:szCs w:val="28"/>
        </w:rPr>
        <w:t>ypothesis</w:t>
      </w:r>
    </w:p>
    <w:p w14:paraId="756B0E48" w14:textId="39DAA1A8" w:rsidR="005244E4" w:rsidRPr="009642F7" w:rsidRDefault="005244E4" w:rsidP="00AE4265">
      <w:pPr>
        <w:jc w:val="both"/>
        <w:rPr>
          <w:rFonts w:ascii="Times New Roman" w:hAnsi="Times New Roman" w:cs="Times New Roman"/>
        </w:rPr>
      </w:pPr>
      <w:r w:rsidRPr="009642F7">
        <w:rPr>
          <w:rFonts w:ascii="Times New Roman" w:hAnsi="Times New Roman" w:cs="Times New Roman"/>
        </w:rPr>
        <w:t xml:space="preserve">    </w:t>
      </w:r>
      <w:r w:rsidR="00AE4265" w:rsidRPr="009642F7">
        <w:rPr>
          <w:rFonts w:ascii="Times New Roman" w:hAnsi="Times New Roman" w:cs="Times New Roman"/>
        </w:rPr>
        <w:t xml:space="preserve">The media monitoring hypothesis predicts that media coverage can have a negative effect on the incidence of financial restatements. </w:t>
      </w:r>
      <w:r w:rsidR="00AA2A50" w:rsidRPr="009642F7">
        <w:rPr>
          <w:rFonts w:ascii="Times New Roman" w:hAnsi="Times New Roman" w:cs="Times New Roman"/>
        </w:rPr>
        <w:t>This hypothesis is grounded in recent research that has documented the advantageous outcomes resulting from the media's role as a monitoring mechanism, which effectively enhances corporate governance and consequently improves the quality of information disclosure at the firm level.</w:t>
      </w:r>
      <w:r w:rsidR="00AE4265" w:rsidRPr="009642F7">
        <w:rPr>
          <w:rFonts w:ascii="Times New Roman" w:hAnsi="Times New Roman" w:cs="Times New Roman"/>
        </w:rPr>
        <w:t xml:space="preserve"> Consequently, </w:t>
      </w:r>
      <w:r w:rsidR="006829CE" w:rsidRPr="009642F7">
        <w:rPr>
          <w:rFonts w:ascii="Times New Roman" w:hAnsi="Times New Roman" w:cs="Times New Roman"/>
        </w:rPr>
        <w:t>it is expected that firms with higher media coverage will have a lower incidence of financial restatements.</w:t>
      </w:r>
    </w:p>
    <w:p w14:paraId="270FE8C1" w14:textId="0E2F332D" w:rsidR="00D65D79" w:rsidRPr="009642F7" w:rsidRDefault="00D65D79" w:rsidP="00D65D79">
      <w:pPr>
        <w:ind w:firstLineChars="200" w:firstLine="480"/>
        <w:jc w:val="both"/>
        <w:rPr>
          <w:rFonts w:ascii="Times New Roman" w:hAnsi="Times New Roman" w:cs="Times New Roman"/>
        </w:rPr>
      </w:pPr>
      <w:r w:rsidRPr="009642F7">
        <w:rPr>
          <w:rFonts w:ascii="Times New Roman" w:hAnsi="Times New Roman" w:cs="Times New Roman"/>
        </w:rPr>
        <w:t>The existing body of literature has extensively explored the role of media as an external monitor in enhancing corporate governance practices within firms. Numerous studies have highlighted the significance of media in this regard (Dyck &amp; Zingales, 2002; Dyck et al., 2010; Gillan, 2006; Miller, 2006; Core et al., 2008; Kuhnen &amp; Niessen, 2012; Dyck et al., 2008; Joe et al., 2009; Bednar, 2012; Choi, Lee, &amp; Park, 2013; Liu &amp; McConnell, 2013; Dai, Parwada, &amp; Zhang, 2015; Wang &amp; Ye, 2015; Dang, Dang, Moshirian, Nguyen, and Zhang, 2019; An, Chen, Naiker, &amp; Wang, 2020; Cheng, Jiang, &amp; Song, 2020; Gao, Wang, Wang, Wu, &amp; Dong, 2020; Chen, Cheng, Li, &amp; Zhao, 2021; Berlinger, Keresztúri, Lublóy, &amp; Tamásné, 2022). For instance, media outlets have been found to exert governance pressure on firm managers, encouraging socially acceptable behavior (Dyck &amp; Zingales, 2002), improving governance structures (Dyck et al., 2008), deterring accounting fraud (Miller, 2006; Dyck et al., 2010), influencing capital allocation decisions (Liu &amp; McConnell, 2013), impacting corporate leverage adjustments (Dang, Dang, Moshirian, Nguyen, and Zhang, 2019), reducing firms</w:t>
      </w:r>
      <w:r w:rsidR="00AC5747" w:rsidRPr="009642F7">
        <w:rPr>
          <w:rFonts w:ascii="Times New Roman" w:hAnsi="Times New Roman" w:cs="Times New Roman"/>
        </w:rPr>
        <w:t>’</w:t>
      </w:r>
      <w:r w:rsidRPr="009642F7">
        <w:rPr>
          <w:rFonts w:ascii="Times New Roman" w:hAnsi="Times New Roman" w:cs="Times New Roman"/>
        </w:rPr>
        <w:t xml:space="preserve"> cost of debt (Gao, Wang, Wang, Wu, &amp; Dong, 2020), decreasing the likelihood of firms withholding </w:t>
      </w:r>
      <w:r w:rsidRPr="009642F7">
        <w:rPr>
          <w:rFonts w:ascii="Times New Roman" w:hAnsi="Times New Roman" w:cs="Times New Roman" w:hint="eastAsia"/>
        </w:rPr>
        <w:t>bad</w:t>
      </w:r>
      <w:r w:rsidRPr="009642F7">
        <w:rPr>
          <w:rFonts w:ascii="Times New Roman" w:hAnsi="Times New Roman" w:cs="Times New Roman"/>
        </w:rPr>
        <w:t xml:space="preserve"> news (An, Chen, Naiker, &amp; Wang, 2020), and mitigating managers</w:t>
      </w:r>
      <w:r w:rsidR="00AC5747" w:rsidRPr="009642F7">
        <w:rPr>
          <w:rFonts w:ascii="Times New Roman" w:hAnsi="Times New Roman" w:cs="Times New Roman"/>
        </w:rPr>
        <w:t>’</w:t>
      </w:r>
      <w:r w:rsidRPr="009642F7">
        <w:rPr>
          <w:rFonts w:ascii="Times New Roman" w:hAnsi="Times New Roman" w:cs="Times New Roman"/>
        </w:rPr>
        <w:t xml:space="preserve"> opportunistic earnings management behaviors (Chen, Cheng, Li, &amp; Zhao, 2021).</w:t>
      </w:r>
    </w:p>
    <w:p w14:paraId="2860ECB0" w14:textId="77777777" w:rsidR="00B2181F" w:rsidRPr="009642F7" w:rsidRDefault="00D65D79" w:rsidP="006829CE">
      <w:pPr>
        <w:jc w:val="both"/>
        <w:rPr>
          <w:rFonts w:ascii="Times New Roman" w:hAnsi="Times New Roman" w:cs="Times New Roman"/>
        </w:rPr>
      </w:pPr>
      <w:r w:rsidRPr="009642F7">
        <w:rPr>
          <w:rFonts w:ascii="Times New Roman" w:hAnsi="Times New Roman" w:cs="Times New Roman" w:hint="eastAsia"/>
        </w:rPr>
        <w:t xml:space="preserve">    </w:t>
      </w:r>
      <w:r w:rsidR="006829CE" w:rsidRPr="009642F7">
        <w:rPr>
          <w:rFonts w:ascii="Times New Roman" w:hAnsi="Times New Roman" w:cs="Times New Roman"/>
        </w:rPr>
        <w:t>These studies collectively support the notion that media coverage can serve as an effective external monitoring mechanism, fostering better corporate governance practices and being expected to reduce the occurrence of financial restatements. By shedding light on the positive influence of media monitoring, these findings highlight the importance of media as a tool for promoting transparency and integrity in financial reporting.</w:t>
      </w:r>
      <w:r w:rsidR="006829CE" w:rsidRPr="009642F7">
        <w:rPr>
          <w:rFonts w:ascii="Times New Roman" w:hAnsi="Times New Roman" w:cs="Times New Roman" w:hint="eastAsia"/>
        </w:rPr>
        <w:t xml:space="preserve"> We</w:t>
      </w:r>
      <w:r w:rsidR="006829CE" w:rsidRPr="009642F7">
        <w:rPr>
          <w:rFonts w:ascii="Times New Roman" w:hAnsi="Times New Roman" w:cs="Times New Roman"/>
        </w:rPr>
        <w:t xml:space="preserve"> develop the media monitoring hypothesis as follows:</w:t>
      </w:r>
    </w:p>
    <w:p w14:paraId="2964D4BC" w14:textId="77777777" w:rsidR="006829CE" w:rsidRPr="009642F7" w:rsidRDefault="006829CE" w:rsidP="006829CE">
      <w:pPr>
        <w:jc w:val="both"/>
        <w:rPr>
          <w:rFonts w:ascii="Times New Roman" w:hAnsi="Times New Roman" w:cs="Times New Roman"/>
          <w:b/>
        </w:rPr>
      </w:pPr>
      <w:r w:rsidRPr="009642F7">
        <w:rPr>
          <w:rFonts w:ascii="Times New Roman" w:hAnsi="Times New Roman" w:cs="Times New Roman"/>
          <w:b/>
        </w:rPr>
        <w:t>The media monitoring hypothesis (H1): The media coverage is negatively related to the incidence of financial restatements, ceteris paribus.</w:t>
      </w:r>
    </w:p>
    <w:p w14:paraId="1C41FE00" w14:textId="77777777" w:rsidR="00B2181F" w:rsidRPr="009642F7" w:rsidRDefault="00B2181F" w:rsidP="00B2181F">
      <w:pPr>
        <w:jc w:val="both"/>
        <w:rPr>
          <w:rFonts w:ascii="Times New Roman" w:hAnsi="Times New Roman" w:cs="Times New Roman"/>
        </w:rPr>
      </w:pPr>
    </w:p>
    <w:p w14:paraId="2ABA0757" w14:textId="77777777" w:rsidR="001353EE" w:rsidRPr="009642F7" w:rsidRDefault="001353EE" w:rsidP="001353EE">
      <w:pPr>
        <w:jc w:val="both"/>
        <w:rPr>
          <w:rFonts w:ascii="Times New Roman" w:hAnsi="Times New Roman" w:cs="Times New Roman"/>
          <w:b/>
          <w:sz w:val="28"/>
          <w:szCs w:val="28"/>
        </w:rPr>
      </w:pPr>
      <w:r w:rsidRPr="009642F7">
        <w:rPr>
          <w:rFonts w:ascii="Times New Roman" w:hAnsi="Times New Roman" w:cs="Times New Roman"/>
          <w:b/>
          <w:sz w:val="28"/>
          <w:szCs w:val="28"/>
        </w:rPr>
        <w:t>2.2 Media Pressure Hypothesis</w:t>
      </w:r>
    </w:p>
    <w:p w14:paraId="3DB85711" w14:textId="6CD4D5DD" w:rsidR="00D06EF2" w:rsidRPr="009642F7" w:rsidRDefault="00D06EF2" w:rsidP="00D06EF2">
      <w:pPr>
        <w:jc w:val="both"/>
        <w:rPr>
          <w:rFonts w:ascii="Times New Roman" w:hAnsi="Times New Roman" w:cs="Times New Roman"/>
        </w:rPr>
      </w:pPr>
      <w:r w:rsidRPr="009642F7">
        <w:rPr>
          <w:rFonts w:ascii="Times New Roman" w:hAnsi="Times New Roman" w:cs="Times New Roman" w:hint="eastAsia"/>
        </w:rPr>
        <w:t xml:space="preserve">    </w:t>
      </w:r>
      <w:bookmarkStart w:id="12" w:name="OLE_LINK30"/>
      <w:bookmarkStart w:id="13" w:name="OLE_LINK81"/>
      <w:r w:rsidRPr="009642F7">
        <w:rPr>
          <w:rFonts w:ascii="Times New Roman" w:hAnsi="Times New Roman" w:cs="Times New Roman" w:hint="eastAsia"/>
        </w:rPr>
        <w:t>T</w:t>
      </w:r>
      <w:r w:rsidRPr="009642F7">
        <w:rPr>
          <w:rFonts w:ascii="Times New Roman" w:hAnsi="Times New Roman" w:cs="Times New Roman"/>
        </w:rPr>
        <w:t xml:space="preserve">he media pressure hypothesis suggests that </w:t>
      </w:r>
      <w:r w:rsidR="0032419A" w:rsidRPr="009642F7">
        <w:rPr>
          <w:rFonts w:ascii="Times New Roman" w:hAnsi="Times New Roman" w:cs="Times New Roman"/>
        </w:rPr>
        <w:t>an increase in media coverage creates a situation where managers experience heightened performance pressure in the short term.</w:t>
      </w:r>
      <w:bookmarkEnd w:id="12"/>
      <w:r w:rsidRPr="009642F7">
        <w:rPr>
          <w:rFonts w:ascii="Times New Roman" w:hAnsi="Times New Roman" w:cs="Times New Roman"/>
        </w:rPr>
        <w:t xml:space="preserve"> Due to managers’ compensation and career concerns, this pressure can create incentives for </w:t>
      </w:r>
      <w:r w:rsidRPr="009642F7">
        <w:rPr>
          <w:rFonts w:ascii="Times New Roman" w:hAnsi="Times New Roman" w:cs="Times New Roman" w:hint="eastAsia"/>
        </w:rPr>
        <w:t>m</w:t>
      </w:r>
      <w:r w:rsidRPr="009642F7">
        <w:rPr>
          <w:rFonts w:ascii="Times New Roman" w:hAnsi="Times New Roman" w:cs="Times New Roman"/>
        </w:rPr>
        <w:t>anagers to manipulate reported earnings or engage in aggressive accounting practices to meet short-term expectations and maintain a positive public image. Accordingly, under the media pressure hypothesis, higher media coverage would be associated with a higher likelihood of financial restatements.</w:t>
      </w:r>
      <w:r w:rsidRPr="009642F7">
        <w:rPr>
          <w:rFonts w:ascii="Times New Roman" w:hAnsi="Times New Roman" w:cs="Times New Roman" w:hint="eastAsia"/>
        </w:rPr>
        <w:t xml:space="preserve"> </w:t>
      </w:r>
      <w:r w:rsidRPr="009642F7">
        <w:rPr>
          <w:rFonts w:ascii="Times New Roman" w:hAnsi="Times New Roman" w:cs="Times New Roman"/>
        </w:rPr>
        <w:t>Several studies have explored the influence of media on corporate behavior and financial reporting integrity, providing support for this hypothesis</w:t>
      </w:r>
      <w:bookmarkEnd w:id="13"/>
      <w:r w:rsidRPr="009642F7">
        <w:rPr>
          <w:rFonts w:ascii="Times New Roman" w:hAnsi="Times New Roman" w:cs="Times New Roman"/>
        </w:rPr>
        <w:t>.</w:t>
      </w:r>
    </w:p>
    <w:p w14:paraId="63F1056F" w14:textId="5B935584" w:rsidR="008E0E9E" w:rsidRPr="009642F7" w:rsidRDefault="00D06EF2" w:rsidP="00D06EF2">
      <w:pPr>
        <w:jc w:val="both"/>
        <w:rPr>
          <w:rFonts w:ascii="Times New Roman" w:hAnsi="Times New Roman" w:cs="Times New Roman"/>
        </w:rPr>
      </w:pPr>
      <w:r w:rsidRPr="009642F7">
        <w:rPr>
          <w:rFonts w:ascii="Times New Roman" w:hAnsi="Times New Roman" w:cs="Times New Roman" w:hint="eastAsia"/>
        </w:rPr>
        <w:lastRenderedPageBreak/>
        <w:t xml:space="preserve"> </w:t>
      </w:r>
      <w:r w:rsidRPr="009642F7">
        <w:rPr>
          <w:rFonts w:ascii="Times New Roman" w:hAnsi="Times New Roman" w:cs="Times New Roman"/>
        </w:rPr>
        <w:t xml:space="preserve">   As suggested by Chen, Cheng, Li, and Zhao (2021), the pressures exerted by the capital market, driven by media coverage, can lead managers to engage in accounting fraudulent activities (i.e., earnings management). This aligns with the notion that media outlets, in their pursuit of attracting attention from stock market investors, tend to focus on earnings-related news, especially negative earnings surprises or consecutive declines. The amplified negative reactions in the stock market can further contribute to the pressure faced by managers.</w:t>
      </w:r>
      <w:r w:rsidR="001A279D" w:rsidRPr="009642F7">
        <w:rPr>
          <w:rFonts w:ascii="Times New Roman" w:hAnsi="Times New Roman" w:cs="Times New Roman"/>
        </w:rPr>
        <w:t xml:space="preserve"> </w:t>
      </w:r>
      <w:r w:rsidR="008E0E9E" w:rsidRPr="009642F7">
        <w:rPr>
          <w:rFonts w:ascii="Times New Roman" w:hAnsi="Times New Roman" w:cs="Times New Roman"/>
        </w:rPr>
        <w:t>Given that managers</w:t>
      </w:r>
      <w:r w:rsidR="00AC5747" w:rsidRPr="009642F7">
        <w:rPr>
          <w:rFonts w:ascii="Times New Roman" w:hAnsi="Times New Roman" w:cs="Times New Roman"/>
        </w:rPr>
        <w:t>’</w:t>
      </w:r>
      <w:r w:rsidR="008E0E9E" w:rsidRPr="009642F7">
        <w:rPr>
          <w:rFonts w:ascii="Times New Roman" w:hAnsi="Times New Roman" w:cs="Times New Roman"/>
        </w:rPr>
        <w:t xml:space="preserve"> compensation and career prospects are often tied to stock prices, the fear of negative media coverage can push them to </w:t>
      </w:r>
      <w:r w:rsidR="007277D5" w:rsidRPr="009642F7">
        <w:rPr>
          <w:rFonts w:ascii="Times New Roman" w:hAnsi="Times New Roman" w:cs="Times New Roman"/>
        </w:rPr>
        <w:t>become</w:t>
      </w:r>
      <w:r w:rsidR="008E0E9E" w:rsidRPr="009642F7">
        <w:rPr>
          <w:rFonts w:ascii="Times New Roman" w:hAnsi="Times New Roman" w:cs="Times New Roman"/>
        </w:rPr>
        <w:t xml:space="preserve"> a short-term</w:t>
      </w:r>
      <w:r w:rsidR="007277D5" w:rsidRPr="009642F7">
        <w:rPr>
          <w:rFonts w:ascii="Times New Roman" w:hAnsi="Times New Roman" w:cs="Times New Roman"/>
        </w:rPr>
        <w:t>ism</w:t>
      </w:r>
      <w:r w:rsidR="008E0E9E" w:rsidRPr="009642F7">
        <w:rPr>
          <w:rFonts w:ascii="Times New Roman" w:hAnsi="Times New Roman" w:cs="Times New Roman"/>
        </w:rPr>
        <w:t>. In an attempt to avoid negative publicity, managers may resort to inflating earnings through earnings management practices. This could involve manipulating accounting figures or engaging in other activities aimed at presenting a more favorable financial picture in the short term</w:t>
      </w:r>
      <w:r w:rsidR="007277D5" w:rsidRPr="009642F7">
        <w:rPr>
          <w:rFonts w:ascii="Times New Roman" w:hAnsi="Times New Roman" w:cs="Times New Roman" w:hint="eastAsia"/>
        </w:rPr>
        <w:t xml:space="preserve"> (</w:t>
      </w:r>
      <w:r w:rsidR="007277D5" w:rsidRPr="009642F7">
        <w:rPr>
          <w:rFonts w:ascii="Times New Roman" w:hAnsi="Times New Roman" w:cs="Times New Roman"/>
        </w:rPr>
        <w:t>Dai, Shen, &amp; Zhang, 2021; Goldman, Martel, &amp; Schneemeier, 2022</w:t>
      </w:r>
      <w:r w:rsidR="007277D5" w:rsidRPr="009642F7">
        <w:rPr>
          <w:rFonts w:ascii="Times New Roman" w:hAnsi="Times New Roman" w:cs="Times New Roman" w:hint="eastAsia"/>
        </w:rPr>
        <w:t>)</w:t>
      </w:r>
      <w:r w:rsidR="008E0E9E" w:rsidRPr="009642F7">
        <w:rPr>
          <w:rFonts w:ascii="Times New Roman" w:hAnsi="Times New Roman" w:cs="Times New Roman"/>
        </w:rPr>
        <w:t>.</w:t>
      </w:r>
    </w:p>
    <w:p w14:paraId="306A607F" w14:textId="77777777" w:rsidR="006829CE" w:rsidRPr="009642F7" w:rsidRDefault="001A279D" w:rsidP="006829CE">
      <w:pPr>
        <w:jc w:val="both"/>
        <w:rPr>
          <w:rFonts w:ascii="Times New Roman" w:hAnsi="Times New Roman" w:cs="Times New Roman"/>
        </w:rPr>
      </w:pPr>
      <w:r w:rsidRPr="009642F7">
        <w:rPr>
          <w:rFonts w:ascii="Times New Roman" w:hAnsi="Times New Roman" w:cs="Times New Roman" w:hint="eastAsia"/>
        </w:rPr>
        <w:t xml:space="preserve"> </w:t>
      </w:r>
      <w:r w:rsidRPr="009642F7">
        <w:rPr>
          <w:rFonts w:ascii="Times New Roman" w:hAnsi="Times New Roman" w:cs="Times New Roman"/>
        </w:rPr>
        <w:t xml:space="preserve">   Drawing upon these perspectives, the media pressure hypothesis emphasizes that media coverage exerts pressure on managers to prioritize short-term performance, ultimately increasing the likelihood of financial restatements. Therefore, </w:t>
      </w:r>
      <w:r w:rsidR="006829CE" w:rsidRPr="009642F7">
        <w:rPr>
          <w:rFonts w:ascii="Times New Roman" w:hAnsi="Times New Roman" w:cs="Times New Roman"/>
        </w:rPr>
        <w:t>w</w:t>
      </w:r>
      <w:r w:rsidR="006829CE" w:rsidRPr="009642F7">
        <w:rPr>
          <w:rFonts w:ascii="Times New Roman" w:hAnsi="Times New Roman" w:cs="Times New Roman" w:hint="eastAsia"/>
        </w:rPr>
        <w:t>e</w:t>
      </w:r>
      <w:r w:rsidR="006829CE" w:rsidRPr="009642F7">
        <w:rPr>
          <w:rFonts w:ascii="Times New Roman" w:hAnsi="Times New Roman" w:cs="Times New Roman"/>
        </w:rPr>
        <w:t xml:space="preserve"> develop the media pressure hypothesis as follows:</w:t>
      </w:r>
    </w:p>
    <w:p w14:paraId="0F9F7BCE" w14:textId="77777777" w:rsidR="002B7F08" w:rsidRPr="009642F7" w:rsidRDefault="006829CE" w:rsidP="002B7F08">
      <w:pPr>
        <w:jc w:val="both"/>
        <w:rPr>
          <w:rFonts w:ascii="Times New Roman" w:hAnsi="Times New Roman" w:cs="Times New Roman"/>
          <w:b/>
        </w:rPr>
      </w:pPr>
      <w:r w:rsidRPr="009642F7">
        <w:rPr>
          <w:rFonts w:ascii="Times New Roman" w:hAnsi="Times New Roman" w:cs="Times New Roman"/>
          <w:b/>
        </w:rPr>
        <w:t>The media pressure hypothesis (H</w:t>
      </w:r>
      <w:r w:rsidR="009C6F99" w:rsidRPr="009642F7">
        <w:rPr>
          <w:rFonts w:ascii="Times New Roman" w:hAnsi="Times New Roman" w:cs="Times New Roman"/>
          <w:b/>
        </w:rPr>
        <w:t>2</w:t>
      </w:r>
      <w:r w:rsidRPr="009642F7">
        <w:rPr>
          <w:rFonts w:ascii="Times New Roman" w:hAnsi="Times New Roman" w:cs="Times New Roman"/>
          <w:b/>
        </w:rPr>
        <w:t>): The media coverage is positively related to the incidence of financial restatements, ceteris paribus.</w:t>
      </w:r>
    </w:p>
    <w:p w14:paraId="3BD59DC0" w14:textId="77777777" w:rsidR="002B7F08" w:rsidRPr="009642F7" w:rsidRDefault="002B7F08" w:rsidP="002B7F08">
      <w:pPr>
        <w:jc w:val="both"/>
        <w:rPr>
          <w:rFonts w:ascii="Times New Roman" w:hAnsi="Times New Roman" w:cs="Times New Roman"/>
          <w:b/>
        </w:rPr>
      </w:pPr>
    </w:p>
    <w:p w14:paraId="4485210F" w14:textId="745D56BE" w:rsidR="00141FBC" w:rsidRPr="009642F7" w:rsidRDefault="00EA1C58" w:rsidP="002B7F08">
      <w:pPr>
        <w:jc w:val="both"/>
        <w:rPr>
          <w:rFonts w:ascii="Times New Roman" w:hAnsi="Times New Roman" w:cs="Times New Roman"/>
          <w:b/>
          <w:sz w:val="32"/>
        </w:rPr>
      </w:pPr>
      <w:r w:rsidRPr="009642F7">
        <w:rPr>
          <w:rFonts w:ascii="Times New Roman" w:hAnsi="Times New Roman" w:cs="Times New Roman"/>
          <w:b/>
          <w:sz w:val="32"/>
        </w:rPr>
        <w:t>3</w:t>
      </w:r>
      <w:r w:rsidR="00141FBC" w:rsidRPr="009642F7">
        <w:rPr>
          <w:rFonts w:ascii="Times New Roman" w:hAnsi="Times New Roman" w:cs="Times New Roman"/>
          <w:b/>
          <w:sz w:val="32"/>
        </w:rPr>
        <w:t xml:space="preserve">. Sample and </w:t>
      </w:r>
      <w:r w:rsidR="00412A49" w:rsidRPr="009642F7">
        <w:rPr>
          <w:rFonts w:ascii="Times New Roman" w:hAnsi="Times New Roman" w:cs="Times New Roman"/>
          <w:b/>
          <w:sz w:val="32"/>
        </w:rPr>
        <w:t>Methodology</w:t>
      </w:r>
    </w:p>
    <w:p w14:paraId="425214A4" w14:textId="77777777" w:rsidR="00750EAA" w:rsidRPr="009642F7" w:rsidRDefault="00EA1C58">
      <w:pPr>
        <w:rPr>
          <w:rFonts w:ascii="Times New Roman" w:hAnsi="Times New Roman" w:cs="Times New Roman"/>
          <w:b/>
          <w:sz w:val="28"/>
        </w:rPr>
      </w:pPr>
      <w:r w:rsidRPr="009642F7">
        <w:rPr>
          <w:rFonts w:ascii="Times New Roman" w:hAnsi="Times New Roman" w:cs="Times New Roman"/>
          <w:b/>
          <w:sz w:val="28"/>
        </w:rPr>
        <w:t>3</w:t>
      </w:r>
      <w:r w:rsidR="00750EAA" w:rsidRPr="009642F7">
        <w:rPr>
          <w:rFonts w:ascii="Times New Roman" w:hAnsi="Times New Roman" w:cs="Times New Roman"/>
          <w:b/>
          <w:sz w:val="28"/>
        </w:rPr>
        <w:t>.1 Sample Collect</w:t>
      </w:r>
      <w:r w:rsidR="00C0131F" w:rsidRPr="009642F7">
        <w:rPr>
          <w:rFonts w:ascii="Times New Roman" w:hAnsi="Times New Roman" w:cs="Times New Roman"/>
          <w:b/>
          <w:sz w:val="28"/>
        </w:rPr>
        <w:t>i</w:t>
      </w:r>
      <w:r w:rsidR="00750EAA" w:rsidRPr="009642F7">
        <w:rPr>
          <w:rFonts w:ascii="Times New Roman" w:hAnsi="Times New Roman" w:cs="Times New Roman"/>
          <w:b/>
          <w:sz w:val="28"/>
        </w:rPr>
        <w:t>on</w:t>
      </w:r>
    </w:p>
    <w:p w14:paraId="28C685CC" w14:textId="2D8374B2" w:rsidR="00C16BC4" w:rsidRPr="009642F7" w:rsidRDefault="0032419A" w:rsidP="00DA341A">
      <w:pPr>
        <w:ind w:firstLine="480"/>
        <w:jc w:val="both"/>
        <w:rPr>
          <w:rFonts w:ascii="Times New Roman" w:hAnsi="Times New Roman" w:cs="Times New Roman"/>
          <w:noProof/>
          <w:szCs w:val="21"/>
        </w:rPr>
      </w:pPr>
      <w:r w:rsidRPr="009642F7">
        <w:rPr>
          <w:rFonts w:ascii="Times New Roman" w:hAnsi="Times New Roman" w:cs="Times New Roman"/>
          <w:noProof/>
          <w:szCs w:val="21"/>
        </w:rPr>
        <w:t>The scope of this study encompasses stocks listed on the Taiwan Stock Exchange (TWSE) and the Taipei Exchange (TPEx) within the timeframe of 2000 to 2021. Data regarding media coverage of publicly listed firms is collected from five prominent daily mass media sources in Taiwan, namely Commercial Times, Economic Daily News, DigiTimes, Wealth Magazine, and MoneyDJ.</w:t>
      </w:r>
      <w:r w:rsidR="00DA341A" w:rsidRPr="009642F7">
        <w:rPr>
          <w:rFonts w:ascii="Times New Roman" w:hAnsi="Times New Roman" w:cs="Times New Roman"/>
          <w:noProof/>
          <w:szCs w:val="21"/>
        </w:rPr>
        <w:t xml:space="preserve"> To ensure data accuracy, </w:t>
      </w:r>
      <w:r w:rsidR="00CA421D" w:rsidRPr="009642F7">
        <w:rPr>
          <w:rFonts w:ascii="Times New Roman" w:hAnsi="Times New Roman" w:cs="Times New Roman"/>
          <w:noProof/>
          <w:szCs w:val="21"/>
        </w:rPr>
        <w:t>the sample used in this study excludes stocks in the financial industries with two-digit industrial codes 28, 58, and 60.</w:t>
      </w:r>
      <w:r w:rsidR="00DA341A" w:rsidRPr="009642F7">
        <w:rPr>
          <w:rFonts w:ascii="Times New Roman" w:hAnsi="Times New Roman" w:cs="Times New Roman" w:hint="eastAsia"/>
          <w:noProof/>
          <w:szCs w:val="21"/>
        </w:rPr>
        <w:t xml:space="preserve"> </w:t>
      </w:r>
      <w:r w:rsidR="00DA341A" w:rsidRPr="009642F7">
        <w:rPr>
          <w:rFonts w:ascii="Times New Roman" w:hAnsi="Times New Roman" w:cs="Times New Roman"/>
          <w:noProof/>
          <w:szCs w:val="21"/>
        </w:rPr>
        <w:t xml:space="preserve">In addition, </w:t>
      </w:r>
      <w:r w:rsidR="004D1E79" w:rsidRPr="009642F7">
        <w:rPr>
          <w:rFonts w:ascii="Times New Roman" w:hAnsi="Times New Roman" w:cs="Times New Roman"/>
          <w:noProof/>
          <w:szCs w:val="21"/>
        </w:rPr>
        <w:t>we</w:t>
      </w:r>
      <w:r w:rsidR="00DA341A" w:rsidRPr="009642F7">
        <w:rPr>
          <w:rFonts w:ascii="Times New Roman" w:hAnsi="Times New Roman" w:cs="Times New Roman"/>
          <w:noProof/>
          <w:szCs w:val="21"/>
        </w:rPr>
        <w:t xml:space="preserve"> identify firms that have announced financial restatements by searching the Taiwan Economic Journal (TEJ) restatements database. Ultimately, the final dataset comprises 30,079 firm-year observations, providing data on media coverage and firm-level financial restatements. All relevant variables considered in the study are obtained from the Taiwan Economic Journal (TEJ) database.</w:t>
      </w:r>
    </w:p>
    <w:p w14:paraId="1774E321" w14:textId="77777777" w:rsidR="00DA341A" w:rsidRPr="009642F7" w:rsidRDefault="00DA341A" w:rsidP="00DA341A">
      <w:pPr>
        <w:ind w:firstLine="480"/>
        <w:jc w:val="both"/>
        <w:rPr>
          <w:rFonts w:ascii="Times New Roman" w:hAnsi="Times New Roman" w:cs="Times New Roman"/>
          <w:noProof/>
          <w:szCs w:val="21"/>
        </w:rPr>
      </w:pPr>
    </w:p>
    <w:p w14:paraId="51A09695" w14:textId="77777777" w:rsidR="003E12ED" w:rsidRPr="009642F7" w:rsidRDefault="00EA1C58" w:rsidP="003E12ED">
      <w:pPr>
        <w:rPr>
          <w:rFonts w:ascii="Times New Roman" w:hAnsi="Times New Roman" w:cs="Times New Roman"/>
          <w:b/>
          <w:sz w:val="28"/>
        </w:rPr>
      </w:pPr>
      <w:r w:rsidRPr="009642F7">
        <w:rPr>
          <w:rFonts w:ascii="Times New Roman" w:hAnsi="Times New Roman" w:cs="Times New Roman"/>
          <w:b/>
          <w:sz w:val="28"/>
        </w:rPr>
        <w:t>3</w:t>
      </w:r>
      <w:r w:rsidR="003E12ED" w:rsidRPr="009642F7">
        <w:rPr>
          <w:rFonts w:ascii="Times New Roman" w:hAnsi="Times New Roman" w:cs="Times New Roman"/>
          <w:b/>
          <w:sz w:val="28"/>
        </w:rPr>
        <w:t>.2 Variable Definition</w:t>
      </w:r>
    </w:p>
    <w:p w14:paraId="18BDC4FF" w14:textId="77777777" w:rsidR="003E12ED" w:rsidRPr="009642F7" w:rsidRDefault="00EA1C58">
      <w:pPr>
        <w:rPr>
          <w:rFonts w:ascii="Times New Roman" w:hAnsi="Times New Roman" w:cs="Times New Roman"/>
          <w:b/>
          <w:i/>
        </w:rPr>
      </w:pPr>
      <w:r w:rsidRPr="009642F7">
        <w:rPr>
          <w:rFonts w:ascii="Times New Roman" w:hAnsi="Times New Roman" w:cs="Times New Roman"/>
          <w:b/>
          <w:i/>
        </w:rPr>
        <w:t>3.</w:t>
      </w:r>
      <w:r w:rsidR="003E12ED" w:rsidRPr="009642F7">
        <w:rPr>
          <w:rFonts w:ascii="Times New Roman" w:hAnsi="Times New Roman" w:cs="Times New Roman"/>
          <w:b/>
          <w:i/>
        </w:rPr>
        <w:t xml:space="preserve">2.1 </w:t>
      </w:r>
      <w:r w:rsidR="005124D7" w:rsidRPr="009642F7">
        <w:rPr>
          <w:rFonts w:ascii="Times New Roman" w:hAnsi="Times New Roman" w:cs="Times New Roman"/>
          <w:b/>
          <w:i/>
        </w:rPr>
        <w:t>The Incidence of Financial Restatements</w:t>
      </w:r>
    </w:p>
    <w:p w14:paraId="4D6124A7" w14:textId="7278B638" w:rsidR="00DA341A" w:rsidRPr="009642F7" w:rsidRDefault="00C76B7C" w:rsidP="002B7F08">
      <w:pPr>
        <w:ind w:firstLineChars="200" w:firstLine="480"/>
        <w:jc w:val="both"/>
        <w:rPr>
          <w:rFonts w:ascii="Times New Roman" w:hAnsi="Times New Roman" w:cs="Times New Roman"/>
        </w:rPr>
      </w:pPr>
      <w:r w:rsidRPr="009642F7">
        <w:rPr>
          <w:rFonts w:ascii="Times New Roman" w:hAnsi="Times New Roman" w:cs="Times New Roman"/>
        </w:rPr>
        <w:t xml:space="preserve">To measure the occurrence of financial restatements, </w:t>
      </w:r>
      <w:r w:rsidR="004D1E79" w:rsidRPr="009642F7">
        <w:rPr>
          <w:rFonts w:ascii="Times New Roman" w:hAnsi="Times New Roman" w:cs="Times New Roman"/>
        </w:rPr>
        <w:t>we</w:t>
      </w:r>
      <w:r w:rsidRPr="009642F7">
        <w:rPr>
          <w:rFonts w:ascii="Times New Roman" w:hAnsi="Times New Roman" w:cs="Times New Roman"/>
        </w:rPr>
        <w:t xml:space="preserve"> adopt a methodology consistent with previous studies such as Chen, Elder, and Hsieh (2011) and Weng, Chen, and Chi (2017). </w:t>
      </w:r>
      <w:r w:rsidR="00FF6FAE" w:rsidRPr="009642F7">
        <w:rPr>
          <w:rFonts w:ascii="Times New Roman" w:hAnsi="Times New Roman" w:cs="Times New Roman"/>
        </w:rPr>
        <w:t>We</w:t>
      </w:r>
      <w:r w:rsidRPr="009642F7">
        <w:rPr>
          <w:rFonts w:ascii="Times New Roman" w:hAnsi="Times New Roman" w:cs="Times New Roman"/>
        </w:rPr>
        <w:t xml:space="preserve"> employ a binary variable named “</w:t>
      </w:r>
      <w:r w:rsidRPr="009642F7">
        <w:rPr>
          <w:rFonts w:ascii="Times New Roman" w:hAnsi="Times New Roman" w:cs="Times New Roman"/>
          <w:i/>
        </w:rPr>
        <w:t>Restat</w:t>
      </w:r>
      <w:r w:rsidRPr="009642F7">
        <w:rPr>
          <w:rFonts w:ascii="Times New Roman" w:hAnsi="Times New Roman" w:cs="Times New Roman"/>
        </w:rPr>
        <w:t xml:space="preserve">” as an indicator, which takes a value of one if there is at least one reported restatement in a specific year, and zero if no restatements are recorded. This binary variable enables the study to categorize the presence or absence of financial restatements, facilitating further analysis and examination of the relationship between media coverage and the incidence of financial </w:t>
      </w:r>
      <w:r w:rsidRPr="009642F7">
        <w:rPr>
          <w:rFonts w:ascii="Times New Roman" w:hAnsi="Times New Roman" w:cs="Times New Roman"/>
        </w:rPr>
        <w:lastRenderedPageBreak/>
        <w:t xml:space="preserve">restatements. By utilizing this approach, </w:t>
      </w:r>
      <w:r w:rsidR="004D1E79" w:rsidRPr="009642F7">
        <w:rPr>
          <w:rFonts w:ascii="Times New Roman" w:hAnsi="Times New Roman" w:cs="Times New Roman"/>
        </w:rPr>
        <w:t>we</w:t>
      </w:r>
      <w:r w:rsidRPr="009642F7">
        <w:rPr>
          <w:rFonts w:ascii="Times New Roman" w:hAnsi="Times New Roman" w:cs="Times New Roman"/>
        </w:rPr>
        <w:t xml:space="preserve"> can explore the potential impact of media coverage on the likelihood of financial restatements.</w:t>
      </w:r>
    </w:p>
    <w:p w14:paraId="0437796A" w14:textId="77777777" w:rsidR="005124D7" w:rsidRPr="009642F7" w:rsidRDefault="00EA1C58">
      <w:pPr>
        <w:rPr>
          <w:rFonts w:ascii="Times New Roman" w:hAnsi="Times New Roman" w:cs="Times New Roman"/>
          <w:b/>
          <w:i/>
        </w:rPr>
      </w:pPr>
      <w:r w:rsidRPr="009642F7">
        <w:rPr>
          <w:rFonts w:ascii="Times New Roman" w:hAnsi="Times New Roman" w:cs="Times New Roman"/>
          <w:b/>
          <w:i/>
        </w:rPr>
        <w:t>3</w:t>
      </w:r>
      <w:r w:rsidR="005124D7" w:rsidRPr="009642F7">
        <w:rPr>
          <w:rFonts w:ascii="Times New Roman" w:hAnsi="Times New Roman" w:cs="Times New Roman"/>
          <w:b/>
          <w:i/>
        </w:rPr>
        <w:t>.2.2 Media Coverage</w:t>
      </w:r>
    </w:p>
    <w:p w14:paraId="3EFD070E" w14:textId="439372C0" w:rsidR="005124D7" w:rsidRPr="009642F7" w:rsidRDefault="00920FA4" w:rsidP="003E12ED">
      <w:pPr>
        <w:ind w:firstLineChars="200" w:firstLine="480"/>
        <w:jc w:val="both"/>
        <w:rPr>
          <w:rFonts w:ascii="Times New Roman" w:hAnsi="Times New Roman" w:cs="Times New Roman"/>
        </w:rPr>
      </w:pPr>
      <w:r w:rsidRPr="009642F7">
        <w:rPr>
          <w:rFonts w:ascii="Times New Roman" w:hAnsi="Times New Roman" w:cs="Times New Roman"/>
        </w:rPr>
        <w:t xml:space="preserve">Following the approach outlined by Fang and Peress (2009), </w:t>
      </w:r>
      <w:bookmarkStart w:id="14" w:name="OLE_LINK34"/>
      <w:r w:rsidRPr="009642F7">
        <w:rPr>
          <w:rFonts w:ascii="Times New Roman" w:hAnsi="Times New Roman" w:cs="Times New Roman"/>
        </w:rPr>
        <w:t xml:space="preserve">we adopt the number of mass media articles related to a particular stock during a specific year as a proxy for </w:t>
      </w:r>
      <w:bookmarkEnd w:id="14"/>
      <w:r w:rsidR="00CA421D" w:rsidRPr="009642F7">
        <w:rPr>
          <w:rFonts w:ascii="Times New Roman" w:hAnsi="Times New Roman" w:cs="Times New Roman"/>
        </w:rPr>
        <w:t xml:space="preserve">overall media coverage of a stock </w:t>
      </w:r>
      <w:r w:rsidRPr="009642F7">
        <w:rPr>
          <w:rFonts w:ascii="Times New Roman" w:hAnsi="Times New Roman" w:cs="Times New Roman"/>
        </w:rPr>
        <w:t xml:space="preserve">(referred to as </w:t>
      </w:r>
      <w:r w:rsidRPr="009642F7">
        <w:rPr>
          <w:rFonts w:ascii="Times New Roman" w:hAnsi="Times New Roman" w:cs="Times New Roman"/>
          <w:i/>
        </w:rPr>
        <w:t>Media</w:t>
      </w:r>
      <w:r w:rsidRPr="009642F7">
        <w:rPr>
          <w:rFonts w:ascii="Times New Roman" w:hAnsi="Times New Roman" w:cs="Times New Roman"/>
        </w:rPr>
        <w:t xml:space="preserve">). To collect this data, we performed a systematic search in the TEJ database, focusing on articles published by major Taiwan mass media outlets that mentioned the firms included in our sample. The TEJ database includes five prominent daily mass media sources in Taiwan: the Commercial Times, Economic Daily News, DigiTimes, Wealth Magazine, and MoneyDJ. </w:t>
      </w:r>
      <w:r w:rsidR="00CA421D" w:rsidRPr="009642F7">
        <w:rPr>
          <w:rFonts w:ascii="Times New Roman" w:hAnsi="Times New Roman" w:cs="Times New Roman"/>
        </w:rPr>
        <w:t>To quantify the overall media coverage of firms, we utilize the natural logarithm of the sum of one and the total count of press-initiated news articles published about a firm within a specific year</w:t>
      </w:r>
      <w:r w:rsidRPr="009642F7">
        <w:rPr>
          <w:rFonts w:ascii="Times New Roman" w:hAnsi="Times New Roman" w:cs="Times New Roman"/>
        </w:rPr>
        <w:t xml:space="preserve">, </w:t>
      </w:r>
      <w:bookmarkStart w:id="15" w:name="OLE_LINK77"/>
      <w:r w:rsidR="00CA421D" w:rsidRPr="009642F7">
        <w:rPr>
          <w:rFonts w:ascii="Times New Roman" w:hAnsi="Times New Roman" w:cs="Times New Roman"/>
        </w:rPr>
        <w:t>and</w:t>
      </w:r>
      <w:r w:rsidRPr="009642F7">
        <w:rPr>
          <w:rFonts w:ascii="Times New Roman" w:hAnsi="Times New Roman" w:cs="Times New Roman"/>
        </w:rPr>
        <w:t xml:space="preserve"> aim to capture the extent of media attention </w:t>
      </w:r>
      <w:r w:rsidR="00CA5A37" w:rsidRPr="009642F7">
        <w:rPr>
          <w:rFonts w:ascii="Times New Roman" w:hAnsi="Times New Roman" w:cs="Times New Roman"/>
        </w:rPr>
        <w:t>each stock receives</w:t>
      </w:r>
      <w:r w:rsidRPr="009642F7">
        <w:rPr>
          <w:rFonts w:ascii="Times New Roman" w:hAnsi="Times New Roman" w:cs="Times New Roman"/>
        </w:rPr>
        <w:t xml:space="preserve"> in our analysis.</w:t>
      </w:r>
      <w:bookmarkEnd w:id="15"/>
    </w:p>
    <w:p w14:paraId="0C046D12" w14:textId="77777777" w:rsidR="005124D7" w:rsidRPr="009642F7" w:rsidRDefault="00EA1C58" w:rsidP="005124D7">
      <w:pPr>
        <w:rPr>
          <w:rFonts w:ascii="Times New Roman" w:hAnsi="Times New Roman" w:cs="Times New Roman"/>
          <w:b/>
          <w:i/>
        </w:rPr>
      </w:pPr>
      <w:r w:rsidRPr="009642F7">
        <w:rPr>
          <w:rFonts w:ascii="Times New Roman" w:hAnsi="Times New Roman" w:cs="Times New Roman"/>
          <w:b/>
          <w:i/>
        </w:rPr>
        <w:t>3</w:t>
      </w:r>
      <w:r w:rsidR="005124D7" w:rsidRPr="009642F7">
        <w:rPr>
          <w:rFonts w:ascii="Times New Roman" w:hAnsi="Times New Roman" w:cs="Times New Roman"/>
          <w:b/>
          <w:i/>
        </w:rPr>
        <w:t>.2.3 Other Control Variables</w:t>
      </w:r>
    </w:p>
    <w:p w14:paraId="633C3636" w14:textId="77777777" w:rsidR="00C76B7C" w:rsidRPr="009642F7" w:rsidRDefault="00C76B7C" w:rsidP="00C76B7C">
      <w:pPr>
        <w:ind w:firstLine="480"/>
        <w:jc w:val="both"/>
        <w:rPr>
          <w:rFonts w:ascii="Times New Roman" w:hAnsi="Times New Roman" w:cs="Times New Roman"/>
        </w:rPr>
      </w:pPr>
      <w:bookmarkStart w:id="16" w:name="OLE_LINK35"/>
      <w:r w:rsidRPr="009642F7">
        <w:rPr>
          <w:rFonts w:ascii="Times New Roman" w:hAnsi="Times New Roman" w:cs="Times New Roman"/>
        </w:rPr>
        <w:t>Consistent with previous research, our analysis incorporates a comprehensive set of firm-specific and corporate governance characteristics that may influence the relationship between media coverage and the incidence of financial restatements. These variables encompass the book value of total assets (</w:t>
      </w:r>
      <w:r w:rsidRPr="009642F7">
        <w:rPr>
          <w:rFonts w:ascii="Times New Roman" w:hAnsi="Times New Roman" w:cs="Times New Roman"/>
          <w:i/>
        </w:rPr>
        <w:t>TA</w:t>
      </w:r>
      <w:r w:rsidRPr="009642F7">
        <w:rPr>
          <w:rFonts w:ascii="Times New Roman" w:hAnsi="Times New Roman" w:cs="Times New Roman"/>
        </w:rPr>
        <w:t>), Tobin's Q ratio (</w:t>
      </w:r>
      <w:r w:rsidRPr="009642F7">
        <w:rPr>
          <w:rFonts w:ascii="Times New Roman" w:hAnsi="Times New Roman" w:cs="Times New Roman"/>
          <w:i/>
        </w:rPr>
        <w:t>TobinQ</w:t>
      </w:r>
      <w:r w:rsidRPr="009642F7">
        <w:rPr>
          <w:rFonts w:ascii="Times New Roman" w:hAnsi="Times New Roman" w:cs="Times New Roman"/>
        </w:rPr>
        <w:t>), sales growth (</w:t>
      </w:r>
      <w:r w:rsidRPr="009642F7">
        <w:rPr>
          <w:rFonts w:ascii="Times New Roman" w:hAnsi="Times New Roman" w:cs="Times New Roman"/>
          <w:i/>
        </w:rPr>
        <w:t>SG</w:t>
      </w:r>
      <w:r w:rsidRPr="009642F7">
        <w:rPr>
          <w:rFonts w:ascii="Times New Roman" w:hAnsi="Times New Roman" w:cs="Times New Roman"/>
        </w:rPr>
        <w:t>), total debt to total assets ratio (</w:t>
      </w:r>
      <w:r w:rsidRPr="009642F7">
        <w:rPr>
          <w:rFonts w:ascii="Times New Roman" w:hAnsi="Times New Roman" w:cs="Times New Roman"/>
          <w:i/>
        </w:rPr>
        <w:t>DEBT</w:t>
      </w:r>
      <w:r w:rsidRPr="009642F7">
        <w:rPr>
          <w:rFonts w:ascii="Times New Roman" w:hAnsi="Times New Roman" w:cs="Times New Roman"/>
        </w:rPr>
        <w:t>), return on assets (</w:t>
      </w:r>
      <w:r w:rsidRPr="009642F7">
        <w:rPr>
          <w:rFonts w:ascii="Times New Roman" w:hAnsi="Times New Roman" w:cs="Times New Roman"/>
          <w:i/>
        </w:rPr>
        <w:t>ROA</w:t>
      </w:r>
      <w:r w:rsidRPr="009642F7">
        <w:rPr>
          <w:rFonts w:ascii="Times New Roman" w:hAnsi="Times New Roman" w:cs="Times New Roman"/>
        </w:rPr>
        <w:t>), dividend yield (</w:t>
      </w:r>
      <w:r w:rsidRPr="009642F7">
        <w:rPr>
          <w:rFonts w:ascii="Times New Roman" w:hAnsi="Times New Roman" w:cs="Times New Roman"/>
          <w:i/>
        </w:rPr>
        <w:t>DIV</w:t>
      </w:r>
      <w:r w:rsidRPr="009642F7">
        <w:rPr>
          <w:rFonts w:ascii="Times New Roman" w:hAnsi="Times New Roman" w:cs="Times New Roman"/>
        </w:rPr>
        <w:t>), board size (</w:t>
      </w:r>
      <w:r w:rsidRPr="009642F7">
        <w:rPr>
          <w:rFonts w:ascii="Times New Roman" w:hAnsi="Times New Roman" w:cs="Times New Roman"/>
          <w:i/>
        </w:rPr>
        <w:t>BSIZE</w:t>
      </w:r>
      <w:r w:rsidRPr="009642F7">
        <w:rPr>
          <w:rFonts w:ascii="Times New Roman" w:hAnsi="Times New Roman" w:cs="Times New Roman"/>
        </w:rPr>
        <w:t>), board independence (</w:t>
      </w:r>
      <w:r w:rsidRPr="009642F7">
        <w:rPr>
          <w:rFonts w:ascii="Times New Roman" w:hAnsi="Times New Roman" w:cs="Times New Roman"/>
          <w:i/>
        </w:rPr>
        <w:t>BIND</w:t>
      </w:r>
      <w:r w:rsidRPr="009642F7">
        <w:rPr>
          <w:rFonts w:ascii="Times New Roman" w:hAnsi="Times New Roman" w:cs="Times New Roman"/>
        </w:rPr>
        <w:t>), percentage of shares held by the board of directors (</w:t>
      </w:r>
      <w:r w:rsidRPr="009642F7">
        <w:rPr>
          <w:rFonts w:ascii="Times New Roman" w:hAnsi="Times New Roman" w:cs="Times New Roman"/>
          <w:i/>
        </w:rPr>
        <w:t>BOR</w:t>
      </w:r>
      <w:r w:rsidRPr="009642F7">
        <w:rPr>
          <w:rFonts w:ascii="Times New Roman" w:hAnsi="Times New Roman" w:cs="Times New Roman"/>
        </w:rPr>
        <w:t>), percentage of shares held by the top 10 largest shareholders (</w:t>
      </w:r>
      <w:r w:rsidRPr="009642F7">
        <w:rPr>
          <w:rFonts w:ascii="Times New Roman" w:hAnsi="Times New Roman" w:cs="Times New Roman"/>
          <w:i/>
        </w:rPr>
        <w:t>BLOCK</w:t>
      </w:r>
      <w:r w:rsidRPr="009642F7">
        <w:rPr>
          <w:rFonts w:ascii="Times New Roman" w:hAnsi="Times New Roman" w:cs="Times New Roman"/>
        </w:rPr>
        <w:t>), excess control rights (</w:t>
      </w:r>
      <w:r w:rsidRPr="009642F7">
        <w:rPr>
          <w:rFonts w:ascii="Times New Roman" w:hAnsi="Times New Roman" w:cs="Times New Roman"/>
          <w:i/>
        </w:rPr>
        <w:t>XCR</w:t>
      </w:r>
      <w:r w:rsidRPr="009642F7">
        <w:rPr>
          <w:rFonts w:ascii="Times New Roman" w:hAnsi="Times New Roman" w:cs="Times New Roman"/>
        </w:rPr>
        <w:t>) based on the calculations by Cubbin and Leech (1983), and the percentage of directors holding top management positions relative to the board size (</w:t>
      </w:r>
      <w:r w:rsidRPr="009642F7">
        <w:rPr>
          <w:rFonts w:ascii="Times New Roman" w:hAnsi="Times New Roman" w:cs="Times New Roman"/>
          <w:i/>
        </w:rPr>
        <w:t>BDUAL</w:t>
      </w:r>
      <w:r w:rsidRPr="009642F7">
        <w:rPr>
          <w:rFonts w:ascii="Times New Roman" w:hAnsi="Times New Roman" w:cs="Times New Roman"/>
        </w:rPr>
        <w:t>). All firm-level control variables are measured at the end of the respective year or over the course of the year. By including these factors in our analysis, we aim to account for potential confounding variables and enhance the robustness of our findings concerning the relationship between media coverage and financial restatements.</w:t>
      </w:r>
    </w:p>
    <w:p w14:paraId="17F8B42D" w14:textId="77777777" w:rsidR="00C76B7C" w:rsidRPr="009642F7" w:rsidRDefault="00C76B7C" w:rsidP="00C76B7C">
      <w:pPr>
        <w:ind w:firstLine="480"/>
        <w:jc w:val="both"/>
        <w:rPr>
          <w:rFonts w:ascii="Times New Roman" w:hAnsi="Times New Roman" w:cs="Times New Roman"/>
        </w:rPr>
      </w:pPr>
    </w:p>
    <w:bookmarkEnd w:id="16"/>
    <w:p w14:paraId="3F43538F" w14:textId="77777777" w:rsidR="00EA1C58" w:rsidRPr="009642F7" w:rsidRDefault="00EA1C58" w:rsidP="00EA1C58">
      <w:pPr>
        <w:rPr>
          <w:rFonts w:ascii="Times New Roman" w:hAnsi="Times New Roman" w:cs="Times New Roman"/>
          <w:b/>
          <w:sz w:val="28"/>
        </w:rPr>
      </w:pPr>
      <w:r w:rsidRPr="009642F7">
        <w:rPr>
          <w:rFonts w:ascii="Times New Roman" w:hAnsi="Times New Roman" w:cs="Times New Roman"/>
          <w:b/>
          <w:sz w:val="28"/>
        </w:rPr>
        <w:t>3.3 Summary Statistics</w:t>
      </w:r>
    </w:p>
    <w:p w14:paraId="24E3732E" w14:textId="49577D94" w:rsidR="007016AD" w:rsidRDefault="003D051D" w:rsidP="007016AD">
      <w:pPr>
        <w:jc w:val="both"/>
        <w:rPr>
          <w:rFonts w:ascii="Times New Roman" w:hAnsi="Times New Roman" w:cs="Times New Roman"/>
        </w:rPr>
      </w:pPr>
      <w:r w:rsidRPr="009642F7">
        <w:rPr>
          <w:rFonts w:ascii="Times New Roman" w:hAnsi="Times New Roman" w:cs="Times New Roman"/>
        </w:rPr>
        <w:tab/>
      </w:r>
      <w:bookmarkStart w:id="17" w:name="OLE_LINK59"/>
      <w:r w:rsidR="007016AD" w:rsidRPr="009642F7">
        <w:rPr>
          <w:rFonts w:ascii="Times New Roman" w:hAnsi="Times New Roman" w:cs="Times New Roman"/>
        </w:rPr>
        <w:t xml:space="preserve">Table 1 presents the summary statistics for the main variables utilized in this study. The sample consists of approximately 30,079 firm-year observations of TWSE/TPEx stocks spanning from 2000 to 2021. The mean (median) values for the dependent variable Restat indicate a low percentage of restating firms, with values of 3.913% (0.000%), which aligns with the findings of Weng et al. (2017). Regarding the independent variable Media, the mean (median) values are 36.742 (25.000), suggesting that the firms listed in Taiwan receive considerable media attention in the sample year. </w:t>
      </w:r>
    </w:p>
    <w:p w14:paraId="08CBBCD8" w14:textId="5264FB5E" w:rsidR="006E50F3" w:rsidRDefault="006E50F3" w:rsidP="006E50F3">
      <w:pPr>
        <w:snapToGrid w:val="0"/>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&lt;&lt;Insert Table 1 Here&gt;&gt;</w:t>
      </w:r>
    </w:p>
    <w:p w14:paraId="44C66D93" w14:textId="38D12234" w:rsidR="007016AD" w:rsidRPr="009642F7" w:rsidRDefault="007016AD" w:rsidP="007016AD">
      <w:pPr>
        <w:jc w:val="both"/>
        <w:rPr>
          <w:rFonts w:ascii="Times New Roman" w:hAnsi="Times New Roman" w:cs="Times New Roman"/>
        </w:rPr>
      </w:pPr>
      <w:r w:rsidRPr="009642F7">
        <w:rPr>
          <w:rFonts w:ascii="Times New Roman" w:hAnsi="Times New Roman" w:cs="Times New Roman"/>
        </w:rPr>
        <w:t xml:space="preserve">    To examine the correlation among the regression variables, a correlation analysis is conducted, and the focus is placed on the correlation coefficients presented in Table 2. The results reveal a positive and significant association between the dummy variable for financial restatement (</w:t>
      </w:r>
      <w:r w:rsidRPr="009642F7">
        <w:rPr>
          <w:rFonts w:ascii="Times New Roman" w:hAnsi="Times New Roman" w:cs="Times New Roman"/>
          <w:i/>
        </w:rPr>
        <w:t>Restat</w:t>
      </w:r>
      <w:r w:rsidRPr="009642F7">
        <w:rPr>
          <w:rFonts w:ascii="Times New Roman" w:hAnsi="Times New Roman" w:cs="Times New Roman"/>
        </w:rPr>
        <w:t>) and both Media coverage (</w:t>
      </w:r>
      <w:r w:rsidRPr="009642F7">
        <w:rPr>
          <w:rFonts w:ascii="Times New Roman" w:hAnsi="Times New Roman" w:cs="Times New Roman"/>
          <w:i/>
        </w:rPr>
        <w:t>Media</w:t>
      </w:r>
      <w:r w:rsidRPr="009642F7">
        <w:rPr>
          <w:rFonts w:ascii="Times New Roman" w:hAnsi="Times New Roman" w:cs="Times New Roman"/>
        </w:rPr>
        <w:t>) and excess media coverage (</w:t>
      </w:r>
      <w:r w:rsidRPr="009642F7">
        <w:rPr>
          <w:rFonts w:ascii="Times New Roman" w:hAnsi="Times New Roman" w:cs="Times New Roman"/>
          <w:i/>
        </w:rPr>
        <w:t>XMedia</w:t>
      </w:r>
      <w:r w:rsidRPr="009642F7">
        <w:rPr>
          <w:rFonts w:ascii="Times New Roman" w:hAnsi="Times New Roman" w:cs="Times New Roman"/>
        </w:rPr>
        <w:t>). This implies that firms experiencing excessive media attention are more likely to restate their financial reports. The findings also indicate that firms with higher total assets (</w:t>
      </w:r>
      <w:r w:rsidRPr="009642F7">
        <w:rPr>
          <w:rFonts w:ascii="Times New Roman" w:hAnsi="Times New Roman" w:cs="Times New Roman"/>
          <w:i/>
        </w:rPr>
        <w:t>TA</w:t>
      </w:r>
      <w:r w:rsidRPr="009642F7">
        <w:rPr>
          <w:rFonts w:ascii="Times New Roman" w:hAnsi="Times New Roman" w:cs="Times New Roman"/>
        </w:rPr>
        <w:t>), total debt (</w:t>
      </w:r>
      <w:r w:rsidRPr="009642F7">
        <w:rPr>
          <w:rFonts w:ascii="Times New Roman" w:hAnsi="Times New Roman" w:cs="Times New Roman"/>
          <w:i/>
        </w:rPr>
        <w:t>DEBT</w:t>
      </w:r>
      <w:r w:rsidRPr="009642F7">
        <w:rPr>
          <w:rFonts w:ascii="Times New Roman" w:hAnsi="Times New Roman" w:cs="Times New Roman"/>
        </w:rPr>
        <w:t>), board size (</w:t>
      </w:r>
      <w:r w:rsidRPr="009642F7">
        <w:rPr>
          <w:rFonts w:ascii="Times New Roman" w:hAnsi="Times New Roman" w:cs="Times New Roman"/>
          <w:i/>
        </w:rPr>
        <w:t>BSIZE</w:t>
      </w:r>
      <w:r w:rsidRPr="009642F7">
        <w:rPr>
          <w:rFonts w:ascii="Times New Roman" w:hAnsi="Times New Roman" w:cs="Times New Roman"/>
        </w:rPr>
        <w:t xml:space="preserve">), </w:t>
      </w:r>
      <w:r w:rsidRPr="009642F7">
        <w:rPr>
          <w:rFonts w:ascii="Times New Roman" w:hAnsi="Times New Roman" w:cs="Times New Roman"/>
        </w:rPr>
        <w:lastRenderedPageBreak/>
        <w:t>percentage of directors holding top management positions relative to the board size (</w:t>
      </w:r>
      <w:r w:rsidRPr="009642F7">
        <w:rPr>
          <w:rFonts w:ascii="Times New Roman" w:hAnsi="Times New Roman" w:cs="Times New Roman"/>
          <w:i/>
        </w:rPr>
        <w:t>BDUAL</w:t>
      </w:r>
      <w:r w:rsidRPr="009642F7">
        <w:rPr>
          <w:rFonts w:ascii="Times New Roman" w:hAnsi="Times New Roman" w:cs="Times New Roman"/>
        </w:rPr>
        <w:t>), and lower Tobin's Q ratio (</w:t>
      </w:r>
      <w:r w:rsidRPr="009642F7">
        <w:rPr>
          <w:rFonts w:ascii="Times New Roman" w:hAnsi="Times New Roman" w:cs="Times New Roman"/>
          <w:i/>
        </w:rPr>
        <w:t>TobinQ</w:t>
      </w:r>
      <w:r w:rsidRPr="009642F7">
        <w:rPr>
          <w:rFonts w:ascii="Times New Roman" w:hAnsi="Times New Roman" w:cs="Times New Roman"/>
        </w:rPr>
        <w:t>), return on assets (</w:t>
      </w:r>
      <w:r w:rsidRPr="009642F7">
        <w:rPr>
          <w:rFonts w:ascii="Times New Roman" w:hAnsi="Times New Roman" w:cs="Times New Roman"/>
          <w:i/>
        </w:rPr>
        <w:t>ROA</w:t>
      </w:r>
      <w:r w:rsidRPr="009642F7">
        <w:rPr>
          <w:rFonts w:ascii="Times New Roman" w:hAnsi="Times New Roman" w:cs="Times New Roman"/>
        </w:rPr>
        <w:t>), board independence (</w:t>
      </w:r>
      <w:r w:rsidRPr="009642F7">
        <w:rPr>
          <w:rFonts w:ascii="Times New Roman" w:hAnsi="Times New Roman" w:cs="Times New Roman"/>
          <w:i/>
        </w:rPr>
        <w:t>BIND</w:t>
      </w:r>
      <w:r w:rsidRPr="009642F7">
        <w:rPr>
          <w:rFonts w:ascii="Times New Roman" w:hAnsi="Times New Roman" w:cs="Times New Roman"/>
        </w:rPr>
        <w:t>), percentage of shares held by the top 10 largest shareholders (</w:t>
      </w:r>
      <w:r w:rsidRPr="009642F7">
        <w:rPr>
          <w:rFonts w:ascii="Times New Roman" w:hAnsi="Times New Roman" w:cs="Times New Roman"/>
          <w:i/>
        </w:rPr>
        <w:t>BLOCK</w:t>
      </w:r>
      <w:r w:rsidRPr="009642F7">
        <w:rPr>
          <w:rFonts w:ascii="Times New Roman" w:hAnsi="Times New Roman" w:cs="Times New Roman"/>
        </w:rPr>
        <w:t>), and excess control rights (</w:t>
      </w:r>
      <w:r w:rsidRPr="009642F7">
        <w:rPr>
          <w:rFonts w:ascii="Times New Roman" w:hAnsi="Times New Roman" w:cs="Times New Roman"/>
          <w:i/>
        </w:rPr>
        <w:t>XCR</w:t>
      </w:r>
      <w:r w:rsidRPr="009642F7">
        <w:rPr>
          <w:rFonts w:ascii="Times New Roman" w:hAnsi="Times New Roman" w:cs="Times New Roman"/>
        </w:rPr>
        <w:t>) have a propensity to modify their financial statements.</w:t>
      </w:r>
    </w:p>
    <w:p w14:paraId="037EA4C5" w14:textId="4A7A1CAA" w:rsidR="0000046E" w:rsidRPr="009642F7" w:rsidRDefault="007016AD" w:rsidP="007016AD">
      <w:pPr>
        <w:jc w:val="both"/>
        <w:rPr>
          <w:rFonts w:ascii="Times New Roman" w:hAnsi="Times New Roman" w:cs="Times New Roman"/>
        </w:rPr>
      </w:pPr>
      <w:r w:rsidRPr="009642F7">
        <w:rPr>
          <w:rFonts w:ascii="Times New Roman" w:hAnsi="Times New Roman" w:cs="Times New Roman"/>
        </w:rPr>
        <w:t xml:space="preserve">    In summary, these preliminary results support the media pressure hypothesis, which posits that firms facing excessive media coverage are more inclined to engage in aggressive accounting practices. Consequently, further analysis will carefully explore how these variables impact the relationship between </w:t>
      </w:r>
      <w:r w:rsidRPr="009642F7">
        <w:rPr>
          <w:rFonts w:ascii="Times New Roman" w:hAnsi="Times New Roman" w:cs="Times New Roman"/>
          <w:i/>
        </w:rPr>
        <w:t>Media</w:t>
      </w:r>
      <w:r w:rsidRPr="009642F7">
        <w:rPr>
          <w:rFonts w:ascii="Times New Roman" w:hAnsi="Times New Roman" w:cs="Times New Roman"/>
        </w:rPr>
        <w:t xml:space="preserve"> and financial restatements.</w:t>
      </w:r>
    </w:p>
    <w:bookmarkEnd w:id="17"/>
    <w:p w14:paraId="1EB444CB" w14:textId="77777777" w:rsidR="006E50F3" w:rsidRDefault="001F69C3" w:rsidP="006E50F3">
      <w:pPr>
        <w:snapToGrid w:val="0"/>
        <w:spacing w:line="360" w:lineRule="auto"/>
        <w:jc w:val="center"/>
        <w:rPr>
          <w:rFonts w:ascii="Times New Roman" w:hAnsi="Times New Roman" w:cs="Times New Roman"/>
          <w:b/>
          <w:noProof/>
          <w:sz w:val="28"/>
          <w:szCs w:val="28"/>
        </w:rPr>
      </w:pPr>
      <w:r w:rsidRPr="009642F7">
        <w:rPr>
          <w:rFonts w:ascii="Times New Roman" w:hAnsi="Times New Roman" w:cs="Times New Roman"/>
        </w:rPr>
        <w:tab/>
      </w:r>
      <w:r w:rsidR="006E50F3">
        <w:rPr>
          <w:rFonts w:ascii="Times New Roman" w:hAnsi="Times New Roman" w:cs="Times New Roman"/>
          <w:b/>
          <w:noProof/>
          <w:sz w:val="28"/>
          <w:szCs w:val="28"/>
        </w:rPr>
        <w:t>&lt;&lt;Insert Table 2 Here&gt;&gt;</w:t>
      </w:r>
    </w:p>
    <w:p w14:paraId="6F735999" w14:textId="178245E6" w:rsidR="00412A49" w:rsidRPr="009642F7" w:rsidRDefault="00EA1C58" w:rsidP="00412A49">
      <w:pPr>
        <w:rPr>
          <w:rFonts w:ascii="Times New Roman" w:hAnsi="Times New Roman" w:cs="Times New Roman"/>
          <w:b/>
          <w:sz w:val="32"/>
        </w:rPr>
      </w:pPr>
      <w:r w:rsidRPr="009642F7">
        <w:rPr>
          <w:rFonts w:ascii="Times New Roman" w:hAnsi="Times New Roman" w:cs="Times New Roman"/>
          <w:b/>
          <w:sz w:val="32"/>
        </w:rPr>
        <w:t>4</w:t>
      </w:r>
      <w:r w:rsidR="00412A49" w:rsidRPr="009642F7">
        <w:rPr>
          <w:rFonts w:ascii="Times New Roman" w:hAnsi="Times New Roman" w:cs="Times New Roman"/>
          <w:b/>
          <w:sz w:val="32"/>
        </w:rPr>
        <w:t>. Empirical Results</w:t>
      </w:r>
    </w:p>
    <w:p w14:paraId="37413D17" w14:textId="77777777" w:rsidR="00412A49" w:rsidRPr="009642F7" w:rsidRDefault="00EA1C58">
      <w:pPr>
        <w:rPr>
          <w:rFonts w:ascii="Times New Roman" w:hAnsi="Times New Roman" w:cs="Times New Roman"/>
          <w:b/>
        </w:rPr>
      </w:pPr>
      <w:r w:rsidRPr="009642F7">
        <w:rPr>
          <w:rFonts w:ascii="Times New Roman" w:hAnsi="Times New Roman" w:cs="Times New Roman"/>
          <w:b/>
        </w:rPr>
        <w:t>4.</w:t>
      </w:r>
      <w:r w:rsidR="00412A49" w:rsidRPr="009642F7">
        <w:rPr>
          <w:rFonts w:ascii="Times New Roman" w:hAnsi="Times New Roman" w:cs="Times New Roman"/>
          <w:b/>
        </w:rPr>
        <w:t>1 Univariate Analysis</w:t>
      </w:r>
    </w:p>
    <w:p w14:paraId="109B73EC" w14:textId="72E32BE2" w:rsidR="00D93D32" w:rsidRDefault="00D93D32" w:rsidP="00D93D32">
      <w:pPr>
        <w:jc w:val="both"/>
        <w:rPr>
          <w:rFonts w:ascii="Times New Roman" w:hAnsi="Times New Roman" w:cs="Times New Roman"/>
          <w:noProof/>
        </w:rPr>
      </w:pPr>
      <w:r w:rsidRPr="009642F7">
        <w:rPr>
          <w:rFonts w:ascii="Times New Roman" w:hAnsi="Times New Roman" w:cs="Times New Roman"/>
          <w:noProof/>
        </w:rPr>
        <w:t xml:space="preserve">    To assess the impact of media coverage on the occurrence of financial restatements, we begin with the univariate analysis. Table 3 presents the results of the univariate test, examining the likelihood of financial restatements represented by the variable </w:t>
      </w:r>
      <w:r w:rsidRPr="009642F7">
        <w:rPr>
          <w:rFonts w:ascii="Times New Roman" w:hAnsi="Times New Roman" w:cs="Times New Roman"/>
          <w:i/>
          <w:noProof/>
        </w:rPr>
        <w:t>Restat</w:t>
      </w:r>
      <w:r w:rsidRPr="009642F7">
        <w:rPr>
          <w:rFonts w:ascii="Times New Roman" w:hAnsi="Times New Roman" w:cs="Times New Roman"/>
          <w:noProof/>
        </w:rPr>
        <w:t xml:space="preserve">, stratified by </w:t>
      </w:r>
      <w:r w:rsidRPr="009642F7">
        <w:rPr>
          <w:rFonts w:ascii="Times New Roman" w:hAnsi="Times New Roman" w:cs="Times New Roman"/>
          <w:i/>
          <w:noProof/>
        </w:rPr>
        <w:t>Media</w:t>
      </w:r>
      <w:r w:rsidRPr="009642F7">
        <w:rPr>
          <w:rFonts w:ascii="Times New Roman" w:hAnsi="Times New Roman" w:cs="Times New Roman"/>
          <w:noProof/>
        </w:rPr>
        <w:t xml:space="preserve"> quintiles. We compare the five subsamples based on their average </w:t>
      </w:r>
      <w:r w:rsidRPr="009642F7">
        <w:rPr>
          <w:rFonts w:ascii="Times New Roman" w:hAnsi="Times New Roman" w:cs="Times New Roman"/>
          <w:i/>
          <w:noProof/>
        </w:rPr>
        <w:t>Media</w:t>
      </w:r>
      <w:r w:rsidRPr="009642F7">
        <w:rPr>
          <w:rFonts w:ascii="Times New Roman" w:hAnsi="Times New Roman" w:cs="Times New Roman"/>
          <w:noProof/>
        </w:rPr>
        <w:t xml:space="preserve"> values and employ difference-in-means tests to compare the Restat variable between high-</w:t>
      </w:r>
      <w:r w:rsidRPr="009642F7">
        <w:rPr>
          <w:rFonts w:ascii="Times New Roman" w:hAnsi="Times New Roman" w:cs="Times New Roman"/>
          <w:i/>
          <w:noProof/>
        </w:rPr>
        <w:t>Media</w:t>
      </w:r>
      <w:r w:rsidRPr="009642F7">
        <w:rPr>
          <w:rFonts w:ascii="Times New Roman" w:hAnsi="Times New Roman" w:cs="Times New Roman"/>
          <w:noProof/>
        </w:rPr>
        <w:t xml:space="preserve"> and low-</w:t>
      </w:r>
      <w:r w:rsidRPr="009642F7">
        <w:rPr>
          <w:rFonts w:ascii="Times New Roman" w:hAnsi="Times New Roman" w:cs="Times New Roman"/>
          <w:i/>
          <w:noProof/>
        </w:rPr>
        <w:t>Media</w:t>
      </w:r>
      <w:r w:rsidRPr="009642F7">
        <w:rPr>
          <w:rFonts w:ascii="Times New Roman" w:hAnsi="Times New Roman" w:cs="Times New Roman"/>
          <w:noProof/>
        </w:rPr>
        <w:t xml:space="preserve"> subsamples.</w:t>
      </w:r>
    </w:p>
    <w:p w14:paraId="3B8748EC" w14:textId="703517D6" w:rsidR="006E50F3" w:rsidRDefault="006E50F3" w:rsidP="006E50F3">
      <w:pPr>
        <w:snapToGrid w:val="0"/>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&lt;&lt;Insert Table 3 Here&gt;&gt;</w:t>
      </w:r>
    </w:p>
    <w:p w14:paraId="51EA2C01" w14:textId="38FD6D1E" w:rsidR="00750EAA" w:rsidRPr="009642F7" w:rsidRDefault="00D93D32" w:rsidP="00D93D32">
      <w:pPr>
        <w:jc w:val="both"/>
        <w:rPr>
          <w:rFonts w:ascii="Times New Roman" w:hAnsi="Times New Roman" w:cs="Times New Roman"/>
          <w:noProof/>
        </w:rPr>
      </w:pPr>
      <w:r w:rsidRPr="009642F7">
        <w:rPr>
          <w:rFonts w:ascii="Times New Roman" w:hAnsi="Times New Roman" w:cs="Times New Roman"/>
          <w:noProof/>
        </w:rPr>
        <w:t xml:space="preserve">    As indicated in Table 3, the mean value of </w:t>
      </w:r>
      <w:r w:rsidRPr="009642F7">
        <w:rPr>
          <w:rFonts w:ascii="Times New Roman" w:hAnsi="Times New Roman" w:cs="Times New Roman"/>
          <w:i/>
          <w:noProof/>
        </w:rPr>
        <w:t>Restat</w:t>
      </w:r>
      <w:r w:rsidRPr="009642F7">
        <w:rPr>
          <w:rFonts w:ascii="Times New Roman" w:hAnsi="Times New Roman" w:cs="Times New Roman"/>
          <w:noProof/>
        </w:rPr>
        <w:t xml:space="preserve"> consistently decreases as we move from high to low </w:t>
      </w:r>
      <w:r w:rsidRPr="009642F7">
        <w:rPr>
          <w:rFonts w:ascii="Times New Roman" w:hAnsi="Times New Roman" w:cs="Times New Roman"/>
          <w:i/>
          <w:noProof/>
        </w:rPr>
        <w:t>Media</w:t>
      </w:r>
      <w:r w:rsidRPr="009642F7">
        <w:rPr>
          <w:rFonts w:ascii="Times New Roman" w:hAnsi="Times New Roman" w:cs="Times New Roman"/>
          <w:noProof/>
        </w:rPr>
        <w:t xml:space="preserve"> quintiles. Firms in the high-</w:t>
      </w:r>
      <w:r w:rsidRPr="009642F7">
        <w:rPr>
          <w:rFonts w:ascii="Times New Roman" w:hAnsi="Times New Roman" w:cs="Times New Roman"/>
          <w:i/>
          <w:iCs/>
          <w:noProof/>
        </w:rPr>
        <w:t>Media</w:t>
      </w:r>
      <w:r w:rsidRPr="009642F7">
        <w:rPr>
          <w:rFonts w:ascii="Times New Roman" w:hAnsi="Times New Roman" w:cs="Times New Roman"/>
          <w:noProof/>
        </w:rPr>
        <w:t xml:space="preserve"> quintile portfolio exhibit an average </w:t>
      </w:r>
      <w:r w:rsidRPr="009642F7">
        <w:rPr>
          <w:rFonts w:ascii="Times New Roman" w:hAnsi="Times New Roman" w:cs="Times New Roman"/>
          <w:i/>
          <w:noProof/>
        </w:rPr>
        <w:t>Restat</w:t>
      </w:r>
      <w:r w:rsidRPr="009642F7">
        <w:rPr>
          <w:rFonts w:ascii="Times New Roman" w:hAnsi="Times New Roman" w:cs="Times New Roman"/>
          <w:noProof/>
        </w:rPr>
        <w:t xml:space="preserve"> of 5.81%, which is higher than the 2.73% average observed for firms in the low-</w:t>
      </w:r>
      <w:r w:rsidRPr="009642F7">
        <w:rPr>
          <w:rFonts w:ascii="Times New Roman" w:hAnsi="Times New Roman" w:cs="Times New Roman"/>
          <w:i/>
          <w:noProof/>
        </w:rPr>
        <w:t>Media</w:t>
      </w:r>
      <w:r w:rsidRPr="009642F7">
        <w:rPr>
          <w:rFonts w:ascii="Times New Roman" w:hAnsi="Times New Roman" w:cs="Times New Roman"/>
          <w:noProof/>
        </w:rPr>
        <w:t xml:space="preserve"> quintile portfolio. The difference-in-means test reveals a statistically significant positive difference of 3.08% (t-statistic = 8.15) between the high-Media and low-</w:t>
      </w:r>
      <w:r w:rsidRPr="009642F7">
        <w:rPr>
          <w:rFonts w:ascii="Times New Roman" w:hAnsi="Times New Roman" w:cs="Times New Roman"/>
          <w:i/>
          <w:noProof/>
        </w:rPr>
        <w:t>Media</w:t>
      </w:r>
      <w:r w:rsidRPr="009642F7">
        <w:rPr>
          <w:rFonts w:ascii="Times New Roman" w:hAnsi="Times New Roman" w:cs="Times New Roman"/>
          <w:noProof/>
        </w:rPr>
        <w:t xml:space="preserve"> quintile portfolios, at a significance level of 1%. These findings suggest that media coverage amplifies the likelihood of financial restatements, providing support for the media pressure hypothesis.</w:t>
      </w:r>
    </w:p>
    <w:p w14:paraId="0EFCD28D" w14:textId="77777777" w:rsidR="00D93D32" w:rsidRPr="009642F7" w:rsidRDefault="00D93D32" w:rsidP="00D93D32">
      <w:pPr>
        <w:rPr>
          <w:rFonts w:ascii="Times New Roman" w:hAnsi="Times New Roman" w:cs="Times New Roman"/>
        </w:rPr>
      </w:pPr>
    </w:p>
    <w:p w14:paraId="1FA713F5" w14:textId="77777777" w:rsidR="00412A49" w:rsidRPr="009642F7" w:rsidRDefault="00EA1C58">
      <w:pPr>
        <w:rPr>
          <w:rFonts w:ascii="Times New Roman" w:hAnsi="Times New Roman" w:cs="Times New Roman"/>
          <w:b/>
        </w:rPr>
      </w:pPr>
      <w:r w:rsidRPr="009642F7">
        <w:rPr>
          <w:rFonts w:ascii="Times New Roman" w:hAnsi="Times New Roman" w:cs="Times New Roman"/>
          <w:b/>
        </w:rPr>
        <w:t>4</w:t>
      </w:r>
      <w:r w:rsidR="00750EAA" w:rsidRPr="009642F7">
        <w:rPr>
          <w:rFonts w:ascii="Times New Roman" w:hAnsi="Times New Roman" w:cs="Times New Roman"/>
          <w:b/>
        </w:rPr>
        <w:t>.2 Probit Regressions Analysis</w:t>
      </w:r>
    </w:p>
    <w:p w14:paraId="6763C29D" w14:textId="780262E2" w:rsidR="00D31936" w:rsidRPr="009642F7" w:rsidRDefault="00CA421D" w:rsidP="00D31936">
      <w:pPr>
        <w:snapToGrid w:val="0"/>
        <w:spacing w:line="360" w:lineRule="auto"/>
        <w:ind w:firstLineChars="200" w:firstLine="480"/>
        <w:jc w:val="both"/>
        <w:rPr>
          <w:rFonts w:ascii="Times New Roman" w:hAnsi="Times New Roman" w:cs="Times New Roman"/>
        </w:rPr>
      </w:pPr>
      <w:bookmarkStart w:id="18" w:name="OLE_LINK42"/>
      <w:r w:rsidRPr="009642F7">
        <w:rPr>
          <w:rFonts w:ascii="Times New Roman" w:eastAsia="HeiT" w:hAnsi="Times New Roman" w:cs="Times New Roman"/>
          <w:bCs/>
        </w:rPr>
        <w:t>To examine the impact of media coverage on financial restatement, we employ Probit regression models to estimate the following equations</w:t>
      </w:r>
      <w:r w:rsidR="00D31936" w:rsidRPr="009642F7">
        <w:rPr>
          <w:rFonts w:ascii="Times New Roman" w:hAnsi="Times New Roman" w:cs="Times New Roman"/>
        </w:rPr>
        <w:t>:</w:t>
      </w:r>
    </w:p>
    <w:bookmarkEnd w:id="18"/>
    <w:p w14:paraId="792DF446" w14:textId="77777777" w:rsidR="00D31936" w:rsidRPr="009642F7" w:rsidRDefault="00000000" w:rsidP="00D31936">
      <w:pPr>
        <w:snapToGrid w:val="0"/>
        <w:spacing w:line="360" w:lineRule="auto"/>
        <w:jc w:val="righ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Restat</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eastAsia="HeiT" w:hAnsi="Cambria Math" w:cs="Times New Roman"/>
              </w:rPr>
              <m:t>Ln</m:t>
            </m:r>
            <m:r>
              <w:rPr>
                <w:rFonts w:ascii="Cambria Math" w:hAnsi="Cambria Math" w:cs="Times New Roman"/>
              </w:rPr>
              <m:t>Media</m:t>
            </m:r>
          </m:e>
          <m:sub>
            <m:r>
              <w:rPr>
                <w:rFonts w:ascii="Cambria Math" w:hAnsi="Cambria Math" w:cs="Times New Roman"/>
              </w:rPr>
              <m:t>i,t-n</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p</m:t>
            </m:r>
          </m:sub>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p</m:t>
                </m:r>
              </m:sub>
            </m:sSub>
            <m:sSubSup>
              <m:sSubSupPr>
                <m:ctrlPr>
                  <w:rPr>
                    <w:rFonts w:ascii="Cambria Math" w:hAnsi="Cambria Math" w:cs="Times New Roman"/>
                    <w:i/>
                  </w:rPr>
                </m:ctrlPr>
              </m:sSubSupPr>
              <m:e>
                <m:r>
                  <w:rPr>
                    <w:rFonts w:ascii="Cambria Math" w:hAnsi="Cambria Math" w:cs="Times New Roman"/>
                  </w:rPr>
                  <m:t>×control</m:t>
                </m:r>
              </m:e>
              <m:sub>
                <m:r>
                  <w:rPr>
                    <w:rFonts w:ascii="Cambria Math" w:hAnsi="Cambria Math" w:cs="Times New Roman"/>
                  </w:rPr>
                  <m:t>i,t-n</m:t>
                </m:r>
              </m:sub>
              <m:sup>
                <m:r>
                  <w:rPr>
                    <w:rFonts w:ascii="Cambria Math" w:hAnsi="Cambria Math" w:cs="Times New Roman"/>
                  </w:rPr>
                  <m:t>p</m:t>
                </m:r>
              </m:sup>
            </m:sSubSup>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oMath>
      <w:r w:rsidR="00D31936" w:rsidRPr="009642F7">
        <w:rPr>
          <w:rFonts w:ascii="Times New Roman" w:hAnsi="Times New Roman" w:cs="Times New Roman"/>
        </w:rPr>
        <w:t xml:space="preserve">      (1)</w:t>
      </w:r>
    </w:p>
    <w:p w14:paraId="64B742C6" w14:textId="77777777" w:rsidR="00FF747C" w:rsidRDefault="00D31936" w:rsidP="00FF747C">
      <w:pPr>
        <w:snapToGrid w:val="0"/>
        <w:spacing w:line="360" w:lineRule="auto"/>
        <w:jc w:val="both"/>
        <w:rPr>
          <w:rFonts w:ascii="Times New Roman" w:eastAsia="HeiT" w:hAnsi="Times New Roman" w:cs="Times New Roman"/>
          <w:bCs/>
        </w:rPr>
      </w:pPr>
      <w:r w:rsidRPr="009642F7">
        <w:rPr>
          <w:rFonts w:ascii="Times New Roman" w:eastAsia="HeiT" w:hAnsi="Times New Roman" w:cs="Times New Roman"/>
          <w:bCs/>
        </w:rPr>
        <w:t>where the dependent variable</w:t>
      </w:r>
      <w:bookmarkStart w:id="19" w:name="OLE_LINK44"/>
      <w:r w:rsidRPr="009642F7">
        <w:rPr>
          <w:rFonts w:ascii="Times New Roman" w:eastAsia="HeiT" w:hAnsi="Times New Roman" w:cs="Times New Roman"/>
          <w:bCs/>
        </w:rPr>
        <w:t xml:space="preserve">, </w:t>
      </w:r>
      <m:oMath>
        <m:sSub>
          <m:sSubPr>
            <m:ctrlPr>
              <w:rPr>
                <w:rFonts w:ascii="Cambria Math" w:eastAsia="HeiT" w:hAnsi="Cambria Math" w:cs="Times New Roman"/>
                <w:bCs/>
                <w:i/>
              </w:rPr>
            </m:ctrlPr>
          </m:sSubPr>
          <m:e>
            <m:r>
              <w:rPr>
                <w:rFonts w:ascii="Cambria Math" w:eastAsia="HeiT" w:hAnsi="Cambria Math" w:cs="Times New Roman"/>
              </w:rPr>
              <m:t>Restat</m:t>
            </m:r>
          </m:e>
          <m:sub>
            <m:r>
              <w:rPr>
                <w:rFonts w:ascii="Cambria Math" w:eastAsia="HeiT" w:hAnsi="Cambria Math" w:cs="Times New Roman"/>
              </w:rPr>
              <m:t>i,t</m:t>
            </m:r>
          </m:sub>
        </m:sSub>
      </m:oMath>
      <w:r w:rsidRPr="009642F7">
        <w:rPr>
          <w:rFonts w:ascii="Times New Roman" w:eastAsia="HeiT" w:hAnsi="Times New Roman" w:cs="Times New Roman"/>
          <w:bCs/>
        </w:rPr>
        <w:t xml:space="preserve">, is </w:t>
      </w:r>
      <w:r w:rsidR="00FF747C" w:rsidRPr="009642F7">
        <w:rPr>
          <w:rFonts w:ascii="Times New Roman" w:eastAsia="HeiT" w:hAnsi="Times New Roman" w:cs="Times New Roman"/>
          <w:bCs/>
        </w:rPr>
        <w:t xml:space="preserve">defined as </w:t>
      </w:r>
      <w:r w:rsidRPr="009642F7">
        <w:rPr>
          <w:rFonts w:ascii="Times New Roman" w:eastAsia="HeiT" w:hAnsi="Times New Roman" w:cs="Times New Roman"/>
          <w:bCs/>
        </w:rPr>
        <w:t xml:space="preserve">an indicator variable </w:t>
      </w:r>
      <w:r w:rsidR="00FF747C" w:rsidRPr="009642F7">
        <w:rPr>
          <w:rFonts w:ascii="Times New Roman" w:eastAsia="HeiT" w:hAnsi="Times New Roman" w:cs="Times New Roman"/>
          <w:bCs/>
        </w:rPr>
        <w:t>that takes a value of one</w:t>
      </w:r>
      <w:r w:rsidRPr="009642F7">
        <w:rPr>
          <w:rFonts w:ascii="Times New Roman" w:eastAsia="HeiT" w:hAnsi="Times New Roman" w:cs="Times New Roman"/>
          <w:bCs/>
        </w:rPr>
        <w:t xml:space="preserve">, if there is at least one restatement in the year </w:t>
      </w:r>
      <m:oMath>
        <m:r>
          <w:rPr>
            <w:rFonts w:ascii="Cambria Math" w:eastAsia="HeiT" w:hAnsi="Cambria Math" w:cs="Times New Roman"/>
          </w:rPr>
          <m:t>t</m:t>
        </m:r>
      </m:oMath>
      <w:bookmarkEnd w:id="19"/>
      <w:r w:rsidRPr="009642F7">
        <w:rPr>
          <w:rFonts w:ascii="Times New Roman" w:eastAsia="HeiT" w:hAnsi="Times New Roman" w:cs="Times New Roman"/>
          <w:bCs/>
        </w:rPr>
        <w:t xml:space="preserve">, and zero otherwise. </w:t>
      </w:r>
      <w:bookmarkStart w:id="20" w:name="OLE_LINK26"/>
      <m:oMath>
        <m:sSub>
          <m:sSubPr>
            <m:ctrlPr>
              <w:rPr>
                <w:rFonts w:ascii="Cambria Math" w:eastAsia="HeiT" w:hAnsi="Cambria Math" w:cs="Times New Roman"/>
                <w:bCs/>
                <w:i/>
              </w:rPr>
            </m:ctrlPr>
          </m:sSubPr>
          <m:e>
            <m:r>
              <w:rPr>
                <w:rFonts w:ascii="Cambria Math" w:eastAsia="HeiT" w:hAnsi="Cambria Math" w:cs="Times New Roman"/>
              </w:rPr>
              <m:t>LnMedia</m:t>
            </m:r>
          </m:e>
          <m:sub>
            <m:r>
              <w:rPr>
                <w:rFonts w:ascii="Cambria Math" w:eastAsia="HeiT" w:hAnsi="Cambria Math" w:cs="Times New Roman"/>
              </w:rPr>
              <m:t>i,t-1</m:t>
            </m:r>
          </m:sub>
        </m:sSub>
      </m:oMath>
      <w:bookmarkEnd w:id="20"/>
      <w:r w:rsidRPr="009642F7">
        <w:rPr>
          <w:rFonts w:ascii="Times New Roman" w:eastAsia="HeiT" w:hAnsi="Times New Roman" w:cs="Times New Roman"/>
          <w:bCs/>
        </w:rPr>
        <w:t xml:space="preserve"> is the natural logarithm of </w:t>
      </w:r>
      <w:r w:rsidRPr="009642F7">
        <w:rPr>
          <w:rFonts w:ascii="Times New Roman" w:eastAsia="HeiT" w:hAnsi="Times New Roman" w:cs="Times New Roman"/>
          <w:bCs/>
          <w:i/>
        </w:rPr>
        <w:t>Media</w:t>
      </w:r>
      <w:r w:rsidRPr="009642F7">
        <w:rPr>
          <w:rFonts w:ascii="Times New Roman" w:eastAsia="HeiT" w:hAnsi="Times New Roman" w:cs="Times New Roman"/>
          <w:bCs/>
        </w:rPr>
        <w:t xml:space="preserve"> in the year </w:t>
      </w:r>
      <m:oMath>
        <m:r>
          <w:rPr>
            <w:rFonts w:ascii="Cambria Math" w:eastAsia="HeiT" w:hAnsi="Cambria Math" w:cs="Times New Roman"/>
          </w:rPr>
          <m:t>t-1</m:t>
        </m:r>
      </m:oMath>
      <w:r w:rsidRPr="009642F7">
        <w:rPr>
          <w:rFonts w:ascii="Times New Roman" w:eastAsia="HeiT" w:hAnsi="Times New Roman" w:cs="Times New Roman"/>
          <w:bCs/>
        </w:rPr>
        <w:t xml:space="preserve">. </w:t>
      </w:r>
      <m:oMath>
        <m:sSubSup>
          <m:sSubSupPr>
            <m:ctrlPr>
              <w:rPr>
                <w:rFonts w:ascii="Cambria Math" w:eastAsia="HeiT" w:hAnsi="Cambria Math" w:cs="Times New Roman"/>
                <w:bCs/>
                <w:i/>
              </w:rPr>
            </m:ctrlPr>
          </m:sSubSupPr>
          <m:e>
            <m:r>
              <w:rPr>
                <w:rFonts w:ascii="Cambria Math" w:eastAsia="HeiT" w:hAnsi="Cambria Math" w:cs="Times New Roman"/>
              </w:rPr>
              <m:t>control</m:t>
            </m:r>
          </m:e>
          <m:sub>
            <m:r>
              <w:rPr>
                <w:rFonts w:ascii="Cambria Math" w:eastAsia="HeiT" w:hAnsi="Cambria Math" w:cs="Times New Roman"/>
              </w:rPr>
              <m:t>i,t-1</m:t>
            </m:r>
          </m:sub>
          <m:sup>
            <m:r>
              <w:rPr>
                <w:rFonts w:ascii="Cambria Math" w:eastAsia="HeiT" w:hAnsi="Cambria Math" w:cs="Times New Roman"/>
              </w:rPr>
              <m:t>p</m:t>
            </m:r>
          </m:sup>
        </m:sSubSup>
      </m:oMath>
      <w:r w:rsidRPr="009642F7">
        <w:rPr>
          <w:rFonts w:ascii="Times New Roman" w:eastAsia="HeiT" w:hAnsi="Times New Roman" w:cs="Times New Roman"/>
          <w:bCs/>
        </w:rPr>
        <w:t xml:space="preserve"> are a set of firm characteristic and </w:t>
      </w:r>
      <w:bookmarkStart w:id="21" w:name="_Hlk138690690"/>
      <w:r w:rsidRPr="009642F7">
        <w:rPr>
          <w:rFonts w:ascii="Times New Roman" w:eastAsia="HeiT" w:hAnsi="Times New Roman" w:cs="Times New Roman"/>
          <w:bCs/>
        </w:rPr>
        <w:t xml:space="preserve">corporate governance </w:t>
      </w:r>
      <w:bookmarkEnd w:id="21"/>
      <w:r w:rsidRPr="009642F7">
        <w:rPr>
          <w:rFonts w:ascii="Times New Roman" w:eastAsia="HeiT" w:hAnsi="Times New Roman" w:cs="Times New Roman"/>
          <w:bCs/>
        </w:rPr>
        <w:t xml:space="preserve">control variables for firm </w:t>
      </w:r>
      <w:r w:rsidRPr="009642F7">
        <w:rPr>
          <w:rFonts w:ascii="Times New Roman" w:eastAsia="HeiT" w:hAnsi="Times New Roman" w:cs="Times New Roman"/>
          <w:bCs/>
          <w:i/>
        </w:rPr>
        <w:t>i</w:t>
      </w:r>
      <w:r w:rsidRPr="009642F7">
        <w:rPr>
          <w:rFonts w:ascii="Times New Roman" w:eastAsia="HeiT" w:hAnsi="Times New Roman" w:cs="Times New Roman"/>
          <w:bCs/>
        </w:rPr>
        <w:t xml:space="preserve"> in year </w:t>
      </w:r>
      <m:oMath>
        <m:r>
          <w:rPr>
            <w:rFonts w:ascii="Cambria Math" w:eastAsia="HeiT" w:hAnsi="Cambria Math" w:cs="Times New Roman"/>
          </w:rPr>
          <m:t>t-1</m:t>
        </m:r>
      </m:oMath>
      <w:r w:rsidRPr="009642F7">
        <w:rPr>
          <w:rFonts w:ascii="Times New Roman" w:eastAsia="HeiT" w:hAnsi="Times New Roman" w:cs="Times New Roman"/>
          <w:bCs/>
        </w:rPr>
        <w:t xml:space="preserve">, including total </w:t>
      </w:r>
      <w:bookmarkStart w:id="22" w:name="OLE_LINK80"/>
      <w:r w:rsidRPr="009642F7">
        <w:rPr>
          <w:rFonts w:ascii="Times New Roman" w:eastAsia="HeiT" w:hAnsi="Times New Roman" w:cs="Times New Roman"/>
          <w:bCs/>
        </w:rPr>
        <w:t>assets (</w:t>
      </w:r>
      <w:r w:rsidRPr="009642F7">
        <w:rPr>
          <w:rFonts w:ascii="Times New Roman" w:eastAsia="HeiT" w:hAnsi="Times New Roman" w:cs="Times New Roman"/>
          <w:bCs/>
          <w:i/>
        </w:rPr>
        <w:t>LnTA)</w:t>
      </w:r>
      <w:r w:rsidRPr="009642F7">
        <w:rPr>
          <w:rFonts w:ascii="Times New Roman" w:eastAsia="HeiT" w:hAnsi="Times New Roman" w:cs="Times New Roman"/>
          <w:bCs/>
        </w:rPr>
        <w:t xml:space="preserve">, </w:t>
      </w:r>
      <w:r w:rsidRPr="009642F7">
        <w:rPr>
          <w:rFonts w:ascii="Times New Roman" w:eastAsia="HeiT" w:hAnsi="Times New Roman" w:cs="Times New Roman"/>
          <w:bCs/>
          <w:i/>
        </w:rPr>
        <w:t>TobinQ</w:t>
      </w:r>
      <w:r w:rsidRPr="009642F7">
        <w:rPr>
          <w:rFonts w:ascii="Times New Roman" w:eastAsia="HeiT" w:hAnsi="Times New Roman" w:cs="Times New Roman"/>
          <w:bCs/>
        </w:rPr>
        <w:t>, sales growth</w:t>
      </w:r>
      <w:r w:rsidRPr="009642F7">
        <w:rPr>
          <w:rFonts w:ascii="Times New Roman" w:eastAsia="HeiT" w:hAnsi="Times New Roman" w:cs="Times New Roman"/>
          <w:bCs/>
          <w:i/>
        </w:rPr>
        <w:t xml:space="preserve"> (SG)</w:t>
      </w:r>
      <w:r w:rsidRPr="009642F7">
        <w:rPr>
          <w:rFonts w:ascii="Times New Roman" w:eastAsia="HeiT" w:hAnsi="Times New Roman" w:cs="Times New Roman"/>
          <w:bCs/>
        </w:rPr>
        <w:t>, total debt (</w:t>
      </w:r>
      <w:r w:rsidRPr="009642F7">
        <w:rPr>
          <w:rFonts w:ascii="Times New Roman" w:eastAsia="HeiT" w:hAnsi="Times New Roman" w:cs="Times New Roman"/>
          <w:bCs/>
          <w:i/>
        </w:rPr>
        <w:t>DEBT)</w:t>
      </w:r>
      <w:r w:rsidRPr="009642F7">
        <w:rPr>
          <w:rFonts w:ascii="Times New Roman" w:eastAsia="HeiT" w:hAnsi="Times New Roman" w:cs="Times New Roman"/>
          <w:bCs/>
        </w:rPr>
        <w:t>, return on asset (</w:t>
      </w:r>
      <w:r w:rsidRPr="009642F7">
        <w:rPr>
          <w:rFonts w:ascii="Times New Roman" w:eastAsia="HeiT" w:hAnsi="Times New Roman" w:cs="Times New Roman"/>
          <w:bCs/>
          <w:i/>
        </w:rPr>
        <w:t>ROA)</w:t>
      </w:r>
      <w:r w:rsidRPr="009642F7">
        <w:rPr>
          <w:rFonts w:ascii="Times New Roman" w:eastAsia="HeiT" w:hAnsi="Times New Roman" w:cs="Times New Roman"/>
          <w:bCs/>
        </w:rPr>
        <w:t>, dividend yield (</w:t>
      </w:r>
      <w:r w:rsidRPr="009642F7">
        <w:rPr>
          <w:rFonts w:ascii="Times New Roman" w:eastAsia="HeiT" w:hAnsi="Times New Roman" w:cs="Times New Roman"/>
          <w:bCs/>
          <w:i/>
        </w:rPr>
        <w:t>DIV)</w:t>
      </w:r>
      <w:r w:rsidRPr="009642F7">
        <w:rPr>
          <w:rFonts w:ascii="Times New Roman" w:eastAsia="HeiT" w:hAnsi="Times New Roman" w:cs="Times New Roman"/>
          <w:bCs/>
        </w:rPr>
        <w:t>, board size (</w:t>
      </w:r>
      <w:r w:rsidRPr="009642F7">
        <w:rPr>
          <w:rFonts w:ascii="Times New Roman" w:eastAsia="HeiT" w:hAnsi="Times New Roman" w:cs="Times New Roman"/>
          <w:bCs/>
          <w:i/>
        </w:rPr>
        <w:t>BSIZE)</w:t>
      </w:r>
      <w:r w:rsidRPr="009642F7">
        <w:rPr>
          <w:rFonts w:ascii="Times New Roman" w:eastAsia="HeiT" w:hAnsi="Times New Roman" w:cs="Times New Roman"/>
          <w:bCs/>
        </w:rPr>
        <w:t>, board independence</w:t>
      </w:r>
      <w:r w:rsidRPr="009642F7">
        <w:rPr>
          <w:rFonts w:ascii="Times New Roman" w:eastAsia="HeiT" w:hAnsi="Times New Roman" w:cs="Times New Roman"/>
          <w:bCs/>
          <w:i/>
        </w:rPr>
        <w:t xml:space="preserve"> (BIND)</w:t>
      </w:r>
      <w:r w:rsidRPr="009642F7">
        <w:rPr>
          <w:rFonts w:ascii="Times New Roman" w:eastAsia="HeiT" w:hAnsi="Times New Roman" w:cs="Times New Roman"/>
          <w:bCs/>
        </w:rPr>
        <w:t>, board of directors (</w:t>
      </w:r>
      <w:r w:rsidRPr="009642F7">
        <w:rPr>
          <w:rFonts w:ascii="Times New Roman" w:eastAsia="HeiT" w:hAnsi="Times New Roman" w:cs="Times New Roman"/>
          <w:bCs/>
          <w:i/>
        </w:rPr>
        <w:t>BOR)</w:t>
      </w:r>
      <w:r w:rsidRPr="009642F7">
        <w:rPr>
          <w:rFonts w:ascii="Times New Roman" w:eastAsia="HeiT" w:hAnsi="Times New Roman" w:cs="Times New Roman"/>
          <w:bCs/>
        </w:rPr>
        <w:t>, the top 10 largest shareholders (</w:t>
      </w:r>
      <w:r w:rsidRPr="009642F7">
        <w:rPr>
          <w:rFonts w:ascii="Times New Roman" w:eastAsia="HeiT" w:hAnsi="Times New Roman" w:cs="Times New Roman"/>
          <w:bCs/>
          <w:i/>
        </w:rPr>
        <w:t>BLOCK)</w:t>
      </w:r>
      <w:r w:rsidRPr="009642F7">
        <w:rPr>
          <w:rFonts w:ascii="Times New Roman" w:eastAsia="HeiT" w:hAnsi="Times New Roman" w:cs="Times New Roman"/>
          <w:bCs/>
        </w:rPr>
        <w:t>, excess control rights</w:t>
      </w:r>
      <w:r w:rsidRPr="009642F7">
        <w:rPr>
          <w:rFonts w:ascii="Times New Roman" w:eastAsia="HeiT" w:hAnsi="Times New Roman" w:cs="Times New Roman"/>
          <w:bCs/>
          <w:i/>
        </w:rPr>
        <w:t xml:space="preserve"> (XCR)</w:t>
      </w:r>
      <w:r w:rsidRPr="009642F7">
        <w:rPr>
          <w:rFonts w:ascii="Times New Roman" w:eastAsia="HeiT" w:hAnsi="Times New Roman" w:cs="Times New Roman"/>
          <w:bCs/>
        </w:rPr>
        <w:t xml:space="preserve">, and </w:t>
      </w:r>
      <w:bookmarkStart w:id="23" w:name="OLE_LINK20"/>
      <w:r w:rsidRPr="009642F7">
        <w:rPr>
          <w:rFonts w:ascii="Times New Roman" w:eastAsia="HeiT" w:hAnsi="Times New Roman" w:cs="Times New Roman"/>
          <w:bCs/>
        </w:rPr>
        <w:t xml:space="preserve">directors occupying the top management team positions to the board </w:t>
      </w:r>
      <w:r w:rsidRPr="009642F7">
        <w:rPr>
          <w:rFonts w:ascii="Times New Roman" w:eastAsia="HeiT" w:hAnsi="Times New Roman" w:cs="Times New Roman"/>
          <w:bCs/>
        </w:rPr>
        <w:lastRenderedPageBreak/>
        <w:t>size</w:t>
      </w:r>
      <w:bookmarkEnd w:id="23"/>
      <w:r w:rsidRPr="009642F7">
        <w:rPr>
          <w:rFonts w:ascii="Times New Roman" w:eastAsia="HeiT" w:hAnsi="Times New Roman" w:cs="Times New Roman"/>
          <w:bCs/>
        </w:rPr>
        <w:t xml:space="preserve"> (</w:t>
      </w:r>
      <w:r w:rsidRPr="009642F7">
        <w:rPr>
          <w:rFonts w:ascii="Times New Roman" w:eastAsia="HeiT" w:hAnsi="Times New Roman" w:cs="Times New Roman"/>
          <w:bCs/>
          <w:i/>
        </w:rPr>
        <w:t>BDUAL</w:t>
      </w:r>
      <w:r w:rsidRPr="009642F7">
        <w:rPr>
          <w:rFonts w:ascii="Times New Roman" w:eastAsia="HeiT" w:hAnsi="Times New Roman" w:cs="Times New Roman"/>
          <w:bCs/>
        </w:rPr>
        <w:t xml:space="preserve">). </w:t>
      </w:r>
      <w:bookmarkEnd w:id="22"/>
      <w:r w:rsidRPr="009642F7">
        <w:rPr>
          <w:rFonts w:ascii="Times New Roman" w:eastAsia="HeiT" w:hAnsi="Times New Roman" w:cs="Times New Roman"/>
          <w:bCs/>
        </w:rPr>
        <w:t xml:space="preserve">The regressions include all control variables with a one-year lag. To account for cross-sectional and time-series dependence, we also incorporate </w:t>
      </w:r>
      <w:bookmarkStart w:id="24" w:name="OLE_LINK29"/>
      <w:r w:rsidRPr="009642F7">
        <w:rPr>
          <w:rFonts w:ascii="Times New Roman" w:eastAsia="HeiT" w:hAnsi="Times New Roman" w:cs="Times New Roman"/>
          <w:bCs/>
        </w:rPr>
        <w:t>industry-fixed and year-fixed effects</w:t>
      </w:r>
      <w:bookmarkEnd w:id="24"/>
      <w:r w:rsidRPr="009642F7">
        <w:rPr>
          <w:rFonts w:ascii="Times New Roman" w:eastAsia="HeiT" w:hAnsi="Times New Roman" w:cs="Times New Roman"/>
          <w:bCs/>
        </w:rPr>
        <w:t xml:space="preserve">. </w:t>
      </w:r>
      <w:r w:rsidR="00FF747C" w:rsidRPr="009642F7">
        <w:rPr>
          <w:rFonts w:ascii="Times New Roman" w:eastAsia="HeiT" w:hAnsi="Times New Roman" w:cs="Times New Roman"/>
          <w:bCs/>
        </w:rPr>
        <w:t>Table 4 displays the regression results of our analysis, where we investigate the relationship between media coverage and the occurrence of financial restatement. We employ three model specifications to examine this association.</w:t>
      </w:r>
    </w:p>
    <w:p w14:paraId="4499C641" w14:textId="7F3F7A3C" w:rsidR="006E50F3" w:rsidRDefault="006E50F3" w:rsidP="006E50F3">
      <w:pPr>
        <w:snapToGrid w:val="0"/>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&lt;&lt;Insert Table 4 Here&gt;&gt;</w:t>
      </w:r>
    </w:p>
    <w:p w14:paraId="611626A7" w14:textId="6E7A51F0" w:rsidR="002B7F08" w:rsidRPr="009642F7" w:rsidRDefault="00D93D32" w:rsidP="00FF747C">
      <w:pPr>
        <w:snapToGrid w:val="0"/>
        <w:spacing w:line="360" w:lineRule="auto"/>
        <w:ind w:firstLine="480"/>
        <w:jc w:val="both"/>
        <w:rPr>
          <w:rFonts w:ascii="Times New Roman" w:eastAsia="HeiT" w:hAnsi="Times New Roman" w:cs="Times New Roman"/>
          <w:bCs/>
        </w:rPr>
      </w:pPr>
      <w:r w:rsidRPr="009642F7">
        <w:rPr>
          <w:rFonts w:ascii="Times New Roman" w:eastAsia="HeiT" w:hAnsi="Times New Roman" w:cs="Times New Roman"/>
          <w:bCs/>
        </w:rPr>
        <w:t xml:space="preserve">In Model 1 of Table </w:t>
      </w:r>
      <w:r w:rsidR="006E50F3">
        <w:rPr>
          <w:rFonts w:ascii="Times New Roman" w:eastAsia="HeiT" w:hAnsi="Times New Roman" w:cs="Times New Roman"/>
          <w:bCs/>
        </w:rPr>
        <w:t>4</w:t>
      </w:r>
      <w:r w:rsidRPr="009642F7">
        <w:rPr>
          <w:rFonts w:ascii="Times New Roman" w:eastAsia="HeiT" w:hAnsi="Times New Roman" w:cs="Times New Roman"/>
          <w:bCs/>
        </w:rPr>
        <w:t xml:space="preserve">, we examined the relationship between </w:t>
      </w:r>
      <w:r w:rsidRPr="009642F7">
        <w:rPr>
          <w:rFonts w:ascii="Times New Roman" w:eastAsia="HeiT" w:hAnsi="Times New Roman" w:cs="Times New Roman"/>
          <w:bCs/>
          <w:i/>
        </w:rPr>
        <w:t>Media</w:t>
      </w:r>
      <w:r w:rsidRPr="009642F7">
        <w:rPr>
          <w:rFonts w:ascii="Times New Roman" w:eastAsia="HeiT" w:hAnsi="Times New Roman" w:cs="Times New Roman"/>
          <w:bCs/>
        </w:rPr>
        <w:t xml:space="preserve"> and </w:t>
      </w:r>
      <w:r w:rsidRPr="009642F7">
        <w:rPr>
          <w:rFonts w:ascii="Times New Roman" w:eastAsia="HeiT" w:hAnsi="Times New Roman" w:cs="Times New Roman"/>
          <w:bCs/>
          <w:i/>
        </w:rPr>
        <w:t>Restat</w:t>
      </w:r>
      <w:r w:rsidRPr="009642F7">
        <w:rPr>
          <w:rFonts w:ascii="Times New Roman" w:eastAsia="HeiT" w:hAnsi="Times New Roman" w:cs="Times New Roman"/>
          <w:bCs/>
        </w:rPr>
        <w:t xml:space="preserve"> without considering any control variables. The coefficient estimate for total mass media articles (</w:t>
      </w:r>
      <w:r w:rsidRPr="009642F7">
        <w:rPr>
          <w:rFonts w:ascii="Times New Roman" w:eastAsia="HeiT" w:hAnsi="Times New Roman" w:cs="Times New Roman"/>
          <w:bCs/>
          <w:i/>
        </w:rPr>
        <w:t>LnMedia</w:t>
      </w:r>
      <w:r w:rsidRPr="009642F7">
        <w:rPr>
          <w:rFonts w:ascii="Times New Roman" w:eastAsia="HeiT" w:hAnsi="Times New Roman" w:cs="Times New Roman"/>
          <w:bCs/>
        </w:rPr>
        <w:t>) is 0.320, which is significantly positive at the 1% level. This indicates that media reports have a substantial positive effect on the likelihood of financial restatements.</w:t>
      </w:r>
      <w:r w:rsidRPr="009642F7">
        <w:rPr>
          <w:rFonts w:ascii="Times New Roman" w:eastAsia="HeiT" w:hAnsi="Times New Roman" w:cs="Times New Roman" w:hint="eastAsia"/>
          <w:bCs/>
        </w:rPr>
        <w:t xml:space="preserve"> </w:t>
      </w:r>
      <w:r w:rsidRPr="009642F7">
        <w:rPr>
          <w:rFonts w:ascii="Times New Roman" w:eastAsia="HeiT" w:hAnsi="Times New Roman" w:cs="Times New Roman"/>
          <w:bCs/>
        </w:rPr>
        <w:t>Moving to Model 2, we introduced a set of firm characteristic control variables, as well as industry-fixed and year-fixed effects. Despite including these additional controls, the coefficient estimate for news reports (</w:t>
      </w:r>
      <w:r w:rsidRPr="009642F7">
        <w:rPr>
          <w:rFonts w:ascii="Times New Roman" w:eastAsia="HeiT" w:hAnsi="Times New Roman" w:cs="Times New Roman"/>
          <w:bCs/>
          <w:i/>
        </w:rPr>
        <w:t>LnMedia</w:t>
      </w:r>
      <w:r w:rsidRPr="009642F7">
        <w:rPr>
          <w:rFonts w:ascii="Times New Roman" w:eastAsia="HeiT" w:hAnsi="Times New Roman" w:cs="Times New Roman"/>
          <w:bCs/>
        </w:rPr>
        <w:t>) remains significantly positive at the same level (0.129) with a significance level of 1%. This suggests that media coverage can exert significant short-term pressures on firms, leading managers to potentially falsify reported earnings or adopt aggressive accounting practices to meet short-term expectations and uphold a positive reputation. As a result, this indirectly increases the incidence of financial restatements.</w:t>
      </w:r>
      <w:r w:rsidRPr="009642F7">
        <w:rPr>
          <w:rFonts w:ascii="Times New Roman" w:eastAsia="HeiT" w:hAnsi="Times New Roman" w:cs="Times New Roman" w:hint="eastAsia"/>
          <w:bCs/>
        </w:rPr>
        <w:t xml:space="preserve"> </w:t>
      </w:r>
      <w:r w:rsidRPr="009642F7">
        <w:rPr>
          <w:rFonts w:ascii="Times New Roman" w:eastAsia="HeiT" w:hAnsi="Times New Roman" w:cs="Times New Roman"/>
          <w:bCs/>
        </w:rPr>
        <w:t>In Model 3, we further expanded our control variables to include various firm characteristics and corporate governance factors. The results show a similar pattern, with the estimated coefficient for news reports (</w:t>
      </w:r>
      <w:r w:rsidRPr="009642F7">
        <w:rPr>
          <w:rFonts w:ascii="Times New Roman" w:eastAsia="HeiT" w:hAnsi="Times New Roman" w:cs="Times New Roman"/>
          <w:bCs/>
          <w:i/>
        </w:rPr>
        <w:t>LnMedia</w:t>
      </w:r>
      <w:r w:rsidRPr="009642F7">
        <w:rPr>
          <w:rFonts w:ascii="Times New Roman" w:eastAsia="HeiT" w:hAnsi="Times New Roman" w:cs="Times New Roman"/>
          <w:bCs/>
        </w:rPr>
        <w:t>) at 0.139 and significant at the 1% level. Once again, this indicates that greater media coverage is associated with a higher likelihood of financial restatements, providing support for our media pressure hypothesis.</w:t>
      </w:r>
    </w:p>
    <w:p w14:paraId="17C46EDF" w14:textId="3A0D3198" w:rsidR="00D93D32" w:rsidRPr="009642F7" w:rsidRDefault="00D93D32" w:rsidP="002B7F08">
      <w:pPr>
        <w:snapToGrid w:val="0"/>
        <w:spacing w:line="360" w:lineRule="auto"/>
        <w:ind w:firstLineChars="200" w:firstLine="480"/>
        <w:jc w:val="both"/>
        <w:rPr>
          <w:rFonts w:ascii="Times New Roman" w:eastAsia="HeiT" w:hAnsi="Times New Roman" w:cs="Times New Roman"/>
          <w:bCs/>
        </w:rPr>
      </w:pPr>
      <w:r w:rsidRPr="009642F7">
        <w:rPr>
          <w:rFonts w:ascii="Times New Roman" w:eastAsia="HeiT" w:hAnsi="Times New Roman" w:cs="Times New Roman"/>
          <w:bCs/>
        </w:rPr>
        <w:t xml:space="preserve">Overall, the results from all models </w:t>
      </w:r>
      <w:r w:rsidR="002B7F08" w:rsidRPr="009642F7">
        <w:rPr>
          <w:rFonts w:ascii="Times New Roman" w:eastAsia="HeiT" w:hAnsi="Times New Roman" w:cs="Times New Roman" w:hint="eastAsia"/>
          <w:bCs/>
        </w:rPr>
        <w:t xml:space="preserve">in Table </w:t>
      </w:r>
      <w:r w:rsidR="006E50F3">
        <w:rPr>
          <w:rFonts w:ascii="Times New Roman" w:eastAsia="HeiT" w:hAnsi="Times New Roman" w:cs="Times New Roman"/>
          <w:bCs/>
        </w:rPr>
        <w:t>4</w:t>
      </w:r>
      <w:r w:rsidR="002B7F08" w:rsidRPr="009642F7">
        <w:rPr>
          <w:rFonts w:ascii="Times New Roman" w:eastAsia="HeiT" w:hAnsi="Times New Roman" w:cs="Times New Roman" w:hint="eastAsia"/>
          <w:bCs/>
        </w:rPr>
        <w:t xml:space="preserve"> </w:t>
      </w:r>
      <w:r w:rsidRPr="009642F7">
        <w:rPr>
          <w:rFonts w:ascii="Times New Roman" w:eastAsia="HeiT" w:hAnsi="Times New Roman" w:cs="Times New Roman"/>
          <w:bCs/>
        </w:rPr>
        <w:t>consistently suggest that increased media coverage is linked to a higher incidence of financial restatements, supporting our hypothesis that media pressure influences the occurrence of restated financial reports.</w:t>
      </w:r>
    </w:p>
    <w:p w14:paraId="16AD4F97" w14:textId="77777777" w:rsidR="00D93D32" w:rsidRPr="009642F7" w:rsidRDefault="00D93D32" w:rsidP="00D93D32">
      <w:pPr>
        <w:rPr>
          <w:rFonts w:ascii="Times New Roman" w:eastAsia="HeiT" w:hAnsi="Times New Roman" w:cs="Times New Roman"/>
          <w:bCs/>
        </w:rPr>
      </w:pPr>
    </w:p>
    <w:p w14:paraId="3420150B" w14:textId="65DE27E4" w:rsidR="00750EAA" w:rsidRPr="009642F7" w:rsidRDefault="00EA1C58" w:rsidP="00D93D32">
      <w:pPr>
        <w:rPr>
          <w:rFonts w:ascii="Times New Roman" w:hAnsi="Times New Roman" w:cs="Times New Roman"/>
          <w:b/>
        </w:rPr>
      </w:pPr>
      <w:r w:rsidRPr="009642F7">
        <w:rPr>
          <w:rFonts w:ascii="Times New Roman" w:hAnsi="Times New Roman" w:cs="Times New Roman"/>
          <w:b/>
        </w:rPr>
        <w:t>4</w:t>
      </w:r>
      <w:r w:rsidR="00750EAA" w:rsidRPr="009642F7">
        <w:rPr>
          <w:rFonts w:ascii="Times New Roman" w:hAnsi="Times New Roman" w:cs="Times New Roman"/>
          <w:b/>
        </w:rPr>
        <w:t>.3 Robustness Check</w:t>
      </w:r>
    </w:p>
    <w:p w14:paraId="479FBA52" w14:textId="201F118A" w:rsidR="00C85112" w:rsidRPr="009642F7" w:rsidRDefault="00C85112" w:rsidP="005D6405">
      <w:pPr>
        <w:ind w:firstLine="480"/>
        <w:jc w:val="both"/>
        <w:rPr>
          <w:rFonts w:ascii="Times New Roman" w:hAnsi="Times New Roman" w:cs="Times New Roman"/>
          <w:bCs/>
        </w:rPr>
      </w:pPr>
      <w:r w:rsidRPr="009642F7">
        <w:rPr>
          <w:rFonts w:ascii="Times New Roman" w:hAnsi="Times New Roman" w:cs="Times New Roman"/>
          <w:bCs/>
        </w:rPr>
        <w:t>To further support our findings from the previous section, we do a handful of robustness checks in this section.</w:t>
      </w:r>
    </w:p>
    <w:p w14:paraId="4DD418E4" w14:textId="77777777" w:rsidR="00750EAA" w:rsidRPr="009642F7" w:rsidRDefault="00EA1C58" w:rsidP="00750EAA">
      <w:pPr>
        <w:rPr>
          <w:rFonts w:ascii="Times New Roman" w:hAnsi="Times New Roman" w:cs="Times New Roman"/>
          <w:b/>
          <w:bCs/>
          <w:i/>
        </w:rPr>
      </w:pPr>
      <w:r w:rsidRPr="009642F7">
        <w:rPr>
          <w:rFonts w:ascii="Times New Roman" w:hAnsi="Times New Roman" w:cs="Times New Roman"/>
          <w:b/>
          <w:bCs/>
          <w:i/>
        </w:rPr>
        <w:t>4</w:t>
      </w:r>
      <w:r w:rsidR="00750EAA" w:rsidRPr="009642F7">
        <w:rPr>
          <w:rFonts w:ascii="Times New Roman" w:hAnsi="Times New Roman" w:cs="Times New Roman"/>
          <w:b/>
          <w:bCs/>
          <w:i/>
        </w:rPr>
        <w:t>.3.1 Excess Media Coverage</w:t>
      </w:r>
    </w:p>
    <w:p w14:paraId="5CCBD11F" w14:textId="0AAB7963" w:rsidR="00750EAA" w:rsidRPr="009642F7" w:rsidRDefault="00EF6304" w:rsidP="007806EA">
      <w:pPr>
        <w:ind w:firstLine="480"/>
        <w:jc w:val="both"/>
        <w:rPr>
          <w:rFonts w:ascii="Times New Roman" w:hAnsi="Times New Roman" w:cs="Times New Roman"/>
        </w:rPr>
      </w:pPr>
      <w:r w:rsidRPr="009642F7">
        <w:rPr>
          <w:rFonts w:ascii="Times New Roman" w:hAnsi="Times New Roman" w:cs="Times New Roman"/>
        </w:rPr>
        <w:t xml:space="preserve">We are aware that the significant effects of firm size and industry are more likely to drive our initial </w:t>
      </w:r>
      <w:r w:rsidR="009B620C" w:rsidRPr="009642F7">
        <w:rPr>
          <w:rFonts w:ascii="Times New Roman" w:hAnsi="Times New Roman" w:cs="Times New Roman"/>
        </w:rPr>
        <w:t xml:space="preserve">media </w:t>
      </w:r>
      <w:r w:rsidR="0026415C" w:rsidRPr="009642F7">
        <w:rPr>
          <w:rFonts w:ascii="Times New Roman" w:hAnsi="Times New Roman" w:cs="Times New Roman"/>
        </w:rPr>
        <w:t>measurement.</w:t>
      </w:r>
      <w:r w:rsidRPr="009642F7">
        <w:rPr>
          <w:rFonts w:ascii="Times New Roman" w:hAnsi="Times New Roman" w:cs="Times New Roman"/>
        </w:rPr>
        <w:t xml:space="preserve"> </w:t>
      </w:r>
      <w:r w:rsidRPr="009642F7">
        <w:rPr>
          <w:rFonts w:ascii="Times New Roman" w:hAnsi="Times New Roman" w:cs="Times New Roman" w:hint="eastAsia"/>
        </w:rPr>
        <w:t>T</w:t>
      </w:r>
      <w:r w:rsidRPr="009642F7">
        <w:rPr>
          <w:rFonts w:ascii="Times New Roman" w:hAnsi="Times New Roman" w:cs="Times New Roman"/>
        </w:rPr>
        <w:t>o net out this concern, we f</w:t>
      </w:r>
      <w:r w:rsidR="004430B0" w:rsidRPr="009642F7">
        <w:rPr>
          <w:rFonts w:ascii="Times New Roman" w:hAnsi="Times New Roman" w:cs="Times New Roman"/>
        </w:rPr>
        <w:t xml:space="preserve">ollow </w:t>
      </w:r>
      <w:bookmarkStart w:id="25" w:name="OLE_LINK17"/>
      <w:r w:rsidR="004430B0" w:rsidRPr="009642F7">
        <w:rPr>
          <w:rFonts w:ascii="Times New Roman" w:hAnsi="Times New Roman" w:cs="Times New Roman"/>
        </w:rPr>
        <w:t>Chen, Pantzalis, and Park (2013</w:t>
      </w:r>
      <w:bookmarkEnd w:id="25"/>
      <w:r w:rsidRPr="009642F7">
        <w:rPr>
          <w:rFonts w:ascii="Times New Roman" w:hAnsi="Times New Roman" w:cs="Times New Roman"/>
        </w:rPr>
        <w:t xml:space="preserve">) and </w:t>
      </w:r>
      <w:r w:rsidR="009F7DE6" w:rsidRPr="009642F7">
        <w:rPr>
          <w:rFonts w:ascii="Times New Roman" w:hAnsi="Times New Roman" w:cs="Times New Roman"/>
        </w:rPr>
        <w:t>construct</w:t>
      </w:r>
      <w:r w:rsidR="004430B0" w:rsidRPr="009642F7">
        <w:rPr>
          <w:rFonts w:ascii="Times New Roman" w:hAnsi="Times New Roman" w:cs="Times New Roman"/>
        </w:rPr>
        <w:t xml:space="preserve"> </w:t>
      </w:r>
      <w:r w:rsidR="00FF6774" w:rsidRPr="009642F7">
        <w:rPr>
          <w:rFonts w:ascii="Times New Roman" w:hAnsi="Times New Roman" w:cs="Times New Roman"/>
        </w:rPr>
        <w:t xml:space="preserve">an </w:t>
      </w:r>
      <w:bookmarkStart w:id="26" w:name="OLE_LINK5"/>
      <w:r w:rsidR="00FF6774" w:rsidRPr="009642F7">
        <w:rPr>
          <w:rFonts w:ascii="Times New Roman" w:hAnsi="Times New Roman" w:cs="Times New Roman"/>
        </w:rPr>
        <w:t xml:space="preserve">alternative measure </w:t>
      </w:r>
      <w:r w:rsidR="009F7DE6" w:rsidRPr="009642F7">
        <w:rPr>
          <w:rFonts w:ascii="Times New Roman" w:hAnsi="Times New Roman" w:cs="Times New Roman"/>
        </w:rPr>
        <w:t>of</w:t>
      </w:r>
      <w:r w:rsidR="00FF6774" w:rsidRPr="009642F7">
        <w:rPr>
          <w:rFonts w:ascii="Times New Roman" w:hAnsi="Times New Roman" w:cs="Times New Roman"/>
        </w:rPr>
        <w:t xml:space="preserve"> </w:t>
      </w:r>
      <w:bookmarkStart w:id="27" w:name="OLE_LINK13"/>
      <w:r w:rsidR="00FF6774" w:rsidRPr="009642F7">
        <w:rPr>
          <w:rFonts w:ascii="Times New Roman" w:hAnsi="Times New Roman" w:cs="Times New Roman"/>
        </w:rPr>
        <w:t>Media coverage</w:t>
      </w:r>
      <w:bookmarkEnd w:id="27"/>
      <w:r w:rsidR="00F43681" w:rsidRPr="009642F7">
        <w:rPr>
          <w:rFonts w:ascii="Times New Roman" w:hAnsi="Times New Roman" w:cs="Times New Roman"/>
        </w:rPr>
        <w:t xml:space="preserve"> </w:t>
      </w:r>
      <w:bookmarkEnd w:id="26"/>
      <w:r w:rsidR="00F43681" w:rsidRPr="009642F7">
        <w:rPr>
          <w:rFonts w:ascii="Times New Roman" w:hAnsi="Times New Roman" w:cs="Times New Roman"/>
        </w:rPr>
        <w:t xml:space="preserve">in year </w:t>
      </w:r>
      <m:oMath>
        <m:r>
          <w:rPr>
            <w:rFonts w:ascii="Cambria Math" w:hAnsi="Cambria Math" w:cs="Times New Roman"/>
          </w:rPr>
          <m:t>t</m:t>
        </m:r>
        <m:r>
          <m:rPr>
            <m:sty m:val="p"/>
          </m:rPr>
          <w:rPr>
            <w:rFonts w:ascii="Cambria Math" w:hAnsi="Cambria Math" w:cs="Times New Roman"/>
          </w:rPr>
          <m:t>-1</m:t>
        </m:r>
      </m:oMath>
      <w:r w:rsidR="00FF6774" w:rsidRPr="009642F7">
        <w:rPr>
          <w:rFonts w:ascii="Times New Roman" w:hAnsi="Times New Roman" w:cs="Times New Roman"/>
        </w:rPr>
        <w:t xml:space="preserve">, namely </w:t>
      </w:r>
      <w:bookmarkStart w:id="28" w:name="OLE_LINK3"/>
      <w:r w:rsidR="004430B0" w:rsidRPr="009642F7">
        <w:rPr>
          <w:rFonts w:ascii="Times New Roman" w:hAnsi="Times New Roman" w:cs="Times New Roman"/>
        </w:rPr>
        <w:t>excess media coverage</w:t>
      </w:r>
      <w:bookmarkStart w:id="29" w:name="OLE_LINK1"/>
      <w:r w:rsidR="00F43681" w:rsidRPr="009642F7">
        <w:rPr>
          <w:rFonts w:ascii="Times New Roman" w:hAnsi="Times New Roman" w:cs="Times New Roman"/>
        </w:rPr>
        <w:t xml:space="preserve"> (</w:t>
      </w:r>
      <w:bookmarkStart w:id="30" w:name="OLE_LINK16"/>
      <m:oMath>
        <m:r>
          <w:rPr>
            <w:rFonts w:ascii="Cambria Math" w:eastAsia="HeiT" w:hAnsi="Cambria Math" w:cs="Times New Roman"/>
          </w:rPr>
          <m:t>LnX</m:t>
        </m:r>
        <m:r>
          <w:rPr>
            <w:rFonts w:ascii="Cambria Math" w:hAnsi="Cambria Math" w:cs="Times New Roman"/>
          </w:rPr>
          <m:t>Media</m:t>
        </m:r>
      </m:oMath>
      <w:bookmarkEnd w:id="30"/>
      <w:r w:rsidR="00FF6774" w:rsidRPr="009642F7">
        <w:rPr>
          <w:rFonts w:ascii="Times New Roman" w:hAnsi="Times New Roman" w:cs="Times New Roman"/>
        </w:rPr>
        <w:t>)</w:t>
      </w:r>
      <w:bookmarkEnd w:id="28"/>
      <w:bookmarkEnd w:id="29"/>
      <w:r w:rsidR="00FF6774" w:rsidRPr="009642F7">
        <w:rPr>
          <w:rFonts w:ascii="Times New Roman" w:hAnsi="Times New Roman" w:cs="Times New Roman"/>
        </w:rPr>
        <w:t>, which i</w:t>
      </w:r>
      <w:r w:rsidR="004430B0" w:rsidRPr="009642F7">
        <w:rPr>
          <w:rFonts w:ascii="Times New Roman" w:hAnsi="Times New Roman" w:cs="Times New Roman"/>
        </w:rPr>
        <w:t xml:space="preserve">s the </w:t>
      </w:r>
      <w:bookmarkStart w:id="31" w:name="OLE_LINK18"/>
      <w:r w:rsidR="004430B0" w:rsidRPr="009642F7">
        <w:rPr>
          <w:rFonts w:ascii="Times New Roman" w:hAnsi="Times New Roman" w:cs="Times New Roman"/>
        </w:rPr>
        <w:t xml:space="preserve">difference between expected </w:t>
      </w:r>
      <w:bookmarkEnd w:id="31"/>
      <w:r w:rsidR="004430B0" w:rsidRPr="009642F7">
        <w:rPr>
          <w:rFonts w:ascii="Times New Roman" w:hAnsi="Times New Roman" w:cs="Times New Roman"/>
        </w:rPr>
        <w:t>and actual counts of media articles, that is, the residual value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4430B0" w:rsidRPr="009642F7">
        <w:rPr>
          <w:rFonts w:ascii="Times New Roman" w:hAnsi="Times New Roman" w:cs="Times New Roman"/>
        </w:rPr>
        <w:t>) in the following regression equation (estimated every year)</w:t>
      </w:r>
      <w:r w:rsidRPr="009642F7">
        <w:rPr>
          <w:rFonts w:ascii="Times New Roman" w:hAnsi="Times New Roman" w:cs="Times New Roman"/>
        </w:rPr>
        <w:t>:</w:t>
      </w:r>
    </w:p>
    <w:p w14:paraId="6973158A" w14:textId="4C20EFF2" w:rsidR="00FF6774" w:rsidRPr="009642F7" w:rsidRDefault="00FF6774">
      <w:pPr>
        <w:rPr>
          <w:rFonts w:ascii="Times New Roman" w:hAnsi="Times New Roman" w:cs="Times New Roman"/>
        </w:rPr>
      </w:pPr>
      <m:oMathPara>
        <m:oMath>
          <m:r>
            <w:rPr>
              <w:rFonts w:ascii="Cambria Math" w:hAnsi="Cambria Math" w:cs="Times New Roman"/>
            </w:rPr>
            <m:t>Ln</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Media</m:t>
                  </m:r>
                </m:e>
                <m:sub>
                  <m:r>
                    <w:rPr>
                      <w:rFonts w:ascii="Cambria Math" w:hAnsi="Cambria Math" w:cs="Times New Roman"/>
                    </w:rPr>
                    <m:t>i,t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eastAsia="HeiT" w:hAnsi="Cambria Math" w:cs="Times New Roman"/>
                </w:rPr>
                <m:t>Ln</m:t>
              </m:r>
              <m:r>
                <w:rPr>
                  <w:rFonts w:ascii="Cambria Math" w:hAnsi="Cambria Math" w:cs="Times New Roman"/>
                </w:rPr>
                <m:t>TA</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m:oMathPara>
    </w:p>
    <w:p w14:paraId="6A6C33A7" w14:textId="2D8620A4" w:rsidR="00FF6774" w:rsidRDefault="00FF6774" w:rsidP="00FF6774">
      <w:pPr>
        <w:jc w:val="both"/>
        <w:rPr>
          <w:rFonts w:ascii="Times New Roman" w:hAnsi="Times New Roman" w:cs="Times New Roman"/>
        </w:rPr>
      </w:pPr>
      <w:r w:rsidRPr="009642F7">
        <w:rPr>
          <w:rFonts w:ascii="Times New Roman" w:hAnsi="Times New Roman" w:cs="Times New Roman"/>
        </w:rPr>
        <w:lastRenderedPageBreak/>
        <w:t xml:space="preserve">where </w:t>
      </w:r>
      <m:oMath>
        <m:sSub>
          <m:sSubPr>
            <m:ctrlPr>
              <w:rPr>
                <w:rFonts w:ascii="Cambria Math" w:hAnsi="Cambria Math" w:cs="Times New Roman"/>
                <w:i/>
              </w:rPr>
            </m:ctrlPr>
          </m:sSubPr>
          <m:e>
            <m:r>
              <w:rPr>
                <w:rFonts w:ascii="Cambria Math" w:eastAsia="HeiT" w:hAnsi="Cambria Math" w:cs="Times New Roman"/>
              </w:rPr>
              <m:t>Ln</m:t>
            </m:r>
            <m:r>
              <w:rPr>
                <w:rFonts w:ascii="Cambria Math" w:hAnsi="Cambria Math" w:cs="Times New Roman"/>
              </w:rPr>
              <m:t>TA</m:t>
            </m:r>
          </m:e>
          <m:sub>
            <m:r>
              <w:rPr>
                <w:rFonts w:ascii="Cambria Math" w:hAnsi="Cambria Math" w:cs="Times New Roman"/>
              </w:rPr>
              <m:t>i,t</m:t>
            </m:r>
          </m:sub>
        </m:sSub>
      </m:oMath>
      <w:r w:rsidRPr="009642F7">
        <w:rPr>
          <w:rFonts w:ascii="Times New Roman" w:hAnsi="Times New Roman" w:cs="Times New Roman"/>
        </w:rPr>
        <w:t xml:space="preserve"> is the log of total asset for firm </w:t>
      </w:r>
      <w:r w:rsidRPr="009642F7">
        <w:rPr>
          <w:rFonts w:ascii="Times New Roman" w:hAnsi="Times New Roman" w:cs="Times New Roman"/>
          <w:i/>
        </w:rPr>
        <w:t xml:space="preserve">i </w:t>
      </w:r>
      <w:r w:rsidRPr="009642F7">
        <w:rPr>
          <w:rFonts w:ascii="Times New Roman" w:hAnsi="Times New Roman" w:cs="Times New Roman"/>
        </w:rPr>
        <w:t xml:space="preserve">in year </w:t>
      </w:r>
      <w:r w:rsidRPr="009642F7">
        <w:rPr>
          <w:rFonts w:ascii="Times New Roman" w:hAnsi="Times New Roman" w:cs="Times New Roman"/>
          <w:i/>
        </w:rPr>
        <w:t>t</w:t>
      </w:r>
      <w:r w:rsidRPr="009642F7">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j</m:t>
            </m:r>
          </m:sub>
        </m:sSub>
      </m:oMath>
      <w:r w:rsidRPr="009642F7">
        <w:rPr>
          <w:rFonts w:ascii="Times New Roman" w:hAnsi="Times New Roman" w:cs="Times New Roman"/>
        </w:rPr>
        <w:t xml:space="preserve"> is a vector of industry dummy variables for industry </w:t>
      </w:r>
      <w:r w:rsidRPr="009642F7">
        <w:rPr>
          <w:rFonts w:ascii="Times New Roman" w:hAnsi="Times New Roman" w:cs="Times New Roman"/>
          <w:i/>
        </w:rPr>
        <w:t>j</w:t>
      </w:r>
      <w:r w:rsidRPr="009642F7">
        <w:rPr>
          <w:rFonts w:ascii="Times New Roman" w:hAnsi="Times New Roman" w:cs="Times New Roman"/>
        </w:rPr>
        <w:t xml:space="preserve"> (the TWSE two-digit industrial codes). </w:t>
      </w:r>
      <w:bookmarkStart w:id="32" w:name="OLE_LINK14"/>
      <w:r w:rsidRPr="009642F7">
        <w:rPr>
          <w:rFonts w:ascii="Times New Roman" w:hAnsi="Times New Roman" w:cs="Times New Roman"/>
        </w:rPr>
        <w:t xml:space="preserve">We then re-estimate </w:t>
      </w:r>
      <w:r w:rsidR="008144AE" w:rsidRPr="009642F7">
        <w:rPr>
          <w:rFonts w:ascii="Times New Roman" w:hAnsi="Times New Roman" w:cs="Times New Roman"/>
        </w:rPr>
        <w:t>Model (3) of Table 4</w:t>
      </w:r>
      <w:r w:rsidRPr="009642F7">
        <w:rPr>
          <w:rFonts w:ascii="Times New Roman" w:hAnsi="Times New Roman" w:cs="Times New Roman"/>
        </w:rPr>
        <w:t xml:space="preserve"> with </w:t>
      </w:r>
      <w:bookmarkStart w:id="33" w:name="OLE_LINK4"/>
      <w:r w:rsidR="009C47BC" w:rsidRPr="009642F7">
        <w:rPr>
          <w:rFonts w:ascii="Times New Roman" w:hAnsi="Times New Roman" w:cs="Times New Roman"/>
        </w:rPr>
        <w:t>excess</w:t>
      </w:r>
      <w:bookmarkEnd w:id="33"/>
      <w:r w:rsidR="009C47BC" w:rsidRPr="009642F7">
        <w:rPr>
          <w:rFonts w:ascii="Times New Roman" w:hAnsi="Times New Roman" w:cs="Times New Roman"/>
        </w:rPr>
        <w:t xml:space="preserve"> media coverage (</w:t>
      </w:r>
      <m:oMath>
        <m:r>
          <w:rPr>
            <w:rFonts w:ascii="Cambria Math" w:eastAsia="HeiT" w:hAnsi="Cambria Math" w:cs="Times New Roman"/>
          </w:rPr>
          <m:t>LnX</m:t>
        </m:r>
        <m:r>
          <w:rPr>
            <w:rFonts w:ascii="Cambria Math" w:hAnsi="Cambria Math" w:cs="Times New Roman"/>
          </w:rPr>
          <m:t>Media</m:t>
        </m:r>
      </m:oMath>
      <w:r w:rsidR="009C47BC" w:rsidRPr="009642F7">
        <w:rPr>
          <w:rFonts w:ascii="Times New Roman" w:hAnsi="Times New Roman" w:cs="Times New Roman"/>
        </w:rPr>
        <w:t xml:space="preserve">) as the key </w:t>
      </w:r>
      <w:r w:rsidR="007806EA" w:rsidRPr="009642F7">
        <w:rPr>
          <w:rFonts w:ascii="Times New Roman" w:hAnsi="Times New Roman" w:cs="Times New Roman"/>
        </w:rPr>
        <w:t>in</w:t>
      </w:r>
      <w:r w:rsidR="009C47BC" w:rsidRPr="009642F7">
        <w:rPr>
          <w:rFonts w:ascii="Times New Roman" w:hAnsi="Times New Roman" w:cs="Times New Roman"/>
        </w:rPr>
        <w:t>dependent variable.</w:t>
      </w:r>
      <w:r w:rsidRPr="009642F7">
        <w:rPr>
          <w:rFonts w:ascii="Times New Roman" w:hAnsi="Times New Roman" w:cs="Times New Roman"/>
        </w:rPr>
        <w:t xml:space="preserve"> </w:t>
      </w:r>
    </w:p>
    <w:p w14:paraId="12227A7D" w14:textId="19C8A061" w:rsidR="00750EAA" w:rsidRPr="009642F7" w:rsidRDefault="00F43681" w:rsidP="00BD4870">
      <w:pPr>
        <w:jc w:val="both"/>
        <w:rPr>
          <w:rFonts w:ascii="Times New Roman" w:hAnsi="Times New Roman" w:cs="Times New Roman"/>
          <w:b/>
          <w:bCs/>
          <w:i/>
        </w:rPr>
      </w:pPr>
      <w:r w:rsidRPr="009642F7">
        <w:rPr>
          <w:rFonts w:ascii="Times New Roman" w:hAnsi="Times New Roman" w:cs="Times New Roman"/>
        </w:rPr>
        <w:tab/>
      </w:r>
      <w:bookmarkStart w:id="34" w:name="OLE_LINK21"/>
      <w:r w:rsidRPr="009642F7">
        <w:rPr>
          <w:rFonts w:ascii="Times New Roman" w:hAnsi="Times New Roman" w:cs="Times New Roman"/>
        </w:rPr>
        <w:t xml:space="preserve">Model (1) of Table 5 </w:t>
      </w:r>
      <w:r w:rsidR="00023C65" w:rsidRPr="009642F7">
        <w:rPr>
          <w:rFonts w:ascii="Times New Roman" w:hAnsi="Times New Roman" w:cs="Times New Roman"/>
        </w:rPr>
        <w:t>show</w:t>
      </w:r>
      <w:r w:rsidR="005D6405" w:rsidRPr="009642F7">
        <w:rPr>
          <w:rFonts w:ascii="Times New Roman" w:hAnsi="Times New Roman" w:cs="Times New Roman"/>
        </w:rPr>
        <w:t>s</w:t>
      </w:r>
      <w:r w:rsidRPr="009642F7">
        <w:rPr>
          <w:rFonts w:ascii="Times New Roman" w:hAnsi="Times New Roman" w:cs="Times New Roman"/>
        </w:rPr>
        <w:t xml:space="preserve"> the results of this </w:t>
      </w:r>
      <w:r w:rsidR="00023C65" w:rsidRPr="009642F7">
        <w:rPr>
          <w:rFonts w:ascii="Times New Roman" w:hAnsi="Times New Roman" w:cs="Times New Roman"/>
        </w:rPr>
        <w:t>test</w:t>
      </w:r>
      <w:r w:rsidRPr="009642F7">
        <w:rPr>
          <w:rFonts w:ascii="Times New Roman" w:hAnsi="Times New Roman" w:cs="Times New Roman"/>
        </w:rPr>
        <w:t xml:space="preserve"> for the </w:t>
      </w:r>
      <w:r w:rsidR="00023C65" w:rsidRPr="009642F7">
        <w:rPr>
          <w:rFonts w:ascii="Times New Roman" w:hAnsi="Times New Roman" w:cs="Times New Roman"/>
        </w:rPr>
        <w:t>entire</w:t>
      </w:r>
      <w:r w:rsidRPr="009642F7">
        <w:rPr>
          <w:rFonts w:ascii="Times New Roman" w:hAnsi="Times New Roman" w:cs="Times New Roman"/>
        </w:rPr>
        <w:t xml:space="preserve"> sample. As </w:t>
      </w:r>
      <w:r w:rsidR="00023C65" w:rsidRPr="009642F7">
        <w:rPr>
          <w:rFonts w:ascii="Times New Roman" w:hAnsi="Times New Roman" w:cs="Times New Roman"/>
        </w:rPr>
        <w:t>evidenced</w:t>
      </w:r>
      <w:r w:rsidRPr="009642F7">
        <w:rPr>
          <w:rFonts w:ascii="Times New Roman" w:hAnsi="Times New Roman" w:cs="Times New Roman"/>
        </w:rPr>
        <w:t xml:space="preserve">, </w:t>
      </w:r>
      <w:r w:rsidR="009C47BC" w:rsidRPr="009642F7">
        <w:rPr>
          <w:rFonts w:ascii="Times New Roman" w:hAnsi="Times New Roman" w:cs="Times New Roman"/>
        </w:rPr>
        <w:t xml:space="preserve">excess </w:t>
      </w:r>
      <w:r w:rsidRPr="009642F7">
        <w:rPr>
          <w:rFonts w:ascii="Times New Roman" w:hAnsi="Times New Roman" w:cs="Times New Roman"/>
        </w:rPr>
        <w:t xml:space="preserve">media coverage is significantly and positively associated with </w:t>
      </w:r>
      <w:bookmarkStart w:id="35" w:name="OLE_LINK15"/>
      <w:r w:rsidRPr="009642F7">
        <w:rPr>
          <w:rFonts w:ascii="Times New Roman" w:hAnsi="Times New Roman" w:cs="Times New Roman"/>
        </w:rPr>
        <w:t>the incidence of financial statement</w:t>
      </w:r>
      <w:r w:rsidR="005D6405" w:rsidRPr="009642F7">
        <w:rPr>
          <w:rFonts w:ascii="Times New Roman" w:hAnsi="Times New Roman" w:cs="Times New Roman"/>
        </w:rPr>
        <w:t>s</w:t>
      </w:r>
      <w:r w:rsidRPr="009642F7">
        <w:rPr>
          <w:rFonts w:ascii="Times New Roman" w:hAnsi="Times New Roman" w:cs="Times New Roman"/>
        </w:rPr>
        <w:t xml:space="preserve"> </w:t>
      </w:r>
      <w:bookmarkEnd w:id="35"/>
      <w:r w:rsidRPr="009642F7">
        <w:rPr>
          <w:rFonts w:ascii="Times New Roman" w:hAnsi="Times New Roman" w:cs="Times New Roman"/>
        </w:rPr>
        <w:t xml:space="preserve">even after </w:t>
      </w:r>
      <w:r w:rsidR="005D6405" w:rsidRPr="009642F7">
        <w:rPr>
          <w:rFonts w:ascii="Times New Roman" w:hAnsi="Times New Roman" w:cs="Times New Roman"/>
        </w:rPr>
        <w:t>captur</w:t>
      </w:r>
      <w:r w:rsidRPr="009642F7">
        <w:rPr>
          <w:rFonts w:ascii="Times New Roman" w:hAnsi="Times New Roman" w:cs="Times New Roman"/>
        </w:rPr>
        <w:t>ing for control variables, industry</w:t>
      </w:r>
      <w:r w:rsidR="00023C65" w:rsidRPr="009642F7">
        <w:rPr>
          <w:rFonts w:ascii="Times New Roman" w:hAnsi="Times New Roman" w:cs="Times New Roman"/>
        </w:rPr>
        <w:t xml:space="preserve">- </w:t>
      </w:r>
      <w:r w:rsidRPr="009642F7">
        <w:rPr>
          <w:rFonts w:ascii="Times New Roman" w:hAnsi="Times New Roman" w:cs="Times New Roman"/>
        </w:rPr>
        <w:t xml:space="preserve">and year-fixed effects. </w:t>
      </w:r>
      <w:bookmarkEnd w:id="34"/>
      <w:r w:rsidRPr="009642F7">
        <w:rPr>
          <w:rFonts w:ascii="Times New Roman" w:hAnsi="Times New Roman" w:cs="Times New Roman"/>
        </w:rPr>
        <w:t xml:space="preserve">Specifically, the </w:t>
      </w:r>
      <w:r w:rsidR="005D6405" w:rsidRPr="009642F7">
        <w:rPr>
          <w:rFonts w:ascii="Times New Roman" w:hAnsi="Times New Roman" w:cs="Times New Roman"/>
        </w:rPr>
        <w:t xml:space="preserve">estimated </w:t>
      </w:r>
      <w:r w:rsidRPr="009642F7">
        <w:rPr>
          <w:rFonts w:ascii="Times New Roman" w:hAnsi="Times New Roman" w:cs="Times New Roman"/>
        </w:rPr>
        <w:t xml:space="preserve">coefficient of the </w:t>
      </w:r>
      <m:oMath>
        <m:r>
          <w:rPr>
            <w:rFonts w:ascii="Cambria Math" w:hAnsi="Cambria Math" w:cs="Times New Roman"/>
          </w:rPr>
          <m:t>LnXMedia</m:t>
        </m:r>
      </m:oMath>
      <w:r w:rsidRPr="009642F7">
        <w:rPr>
          <w:rFonts w:ascii="Times New Roman" w:hAnsi="Times New Roman" w:cs="Times New Roman"/>
          <w:i/>
          <w:iCs/>
        </w:rPr>
        <w:t xml:space="preserve"> </w:t>
      </w:r>
      <w:r w:rsidRPr="009642F7">
        <w:rPr>
          <w:rFonts w:ascii="Times New Roman" w:hAnsi="Times New Roman" w:cs="Times New Roman"/>
        </w:rPr>
        <w:t xml:space="preserve">variable </w:t>
      </w:r>
      <w:r w:rsidR="00EF6304" w:rsidRPr="009642F7">
        <w:rPr>
          <w:rFonts w:ascii="Times New Roman" w:hAnsi="Times New Roman" w:cs="Times New Roman"/>
        </w:rPr>
        <w:t>is</w:t>
      </w:r>
      <w:r w:rsidRPr="009642F7">
        <w:rPr>
          <w:rFonts w:ascii="Times New Roman" w:hAnsi="Times New Roman" w:cs="Times New Roman"/>
        </w:rPr>
        <w:t xml:space="preserve"> 0.161 (</w:t>
      </w:r>
      <w:r w:rsidRPr="009642F7">
        <w:rPr>
          <w:rFonts w:ascii="Times New Roman" w:hAnsi="Times New Roman" w:cs="Times New Roman"/>
          <w:i/>
          <w:iCs/>
        </w:rPr>
        <w:t>p-value</w:t>
      </w:r>
      <w:r w:rsidRPr="009642F7">
        <w:rPr>
          <w:rFonts w:ascii="Times New Roman" w:hAnsi="Times New Roman" w:cs="Times New Roman"/>
        </w:rPr>
        <w:t xml:space="preserve"> &lt; 0.01). </w:t>
      </w:r>
      <w:bookmarkStart w:id="36" w:name="OLE_LINK23"/>
      <w:r w:rsidRPr="009642F7">
        <w:rPr>
          <w:rFonts w:ascii="Times New Roman" w:hAnsi="Times New Roman" w:cs="Times New Roman"/>
        </w:rPr>
        <w:t>These results suggest</w:t>
      </w:r>
      <w:r w:rsidR="00EF6304" w:rsidRPr="009642F7">
        <w:rPr>
          <w:rFonts w:ascii="Times New Roman" w:hAnsi="Times New Roman" w:cs="Times New Roman"/>
        </w:rPr>
        <w:t xml:space="preserve"> </w:t>
      </w:r>
      <w:r w:rsidRPr="009642F7">
        <w:rPr>
          <w:rFonts w:ascii="Times New Roman" w:hAnsi="Times New Roman" w:cs="Times New Roman"/>
        </w:rPr>
        <w:t xml:space="preserve">that </w:t>
      </w:r>
      <w:r w:rsidR="005D6405" w:rsidRPr="009642F7">
        <w:rPr>
          <w:rFonts w:ascii="Times New Roman" w:hAnsi="Times New Roman" w:cs="Times New Roman"/>
        </w:rPr>
        <w:t>an alternative measure for Media coverage does not drive our results</w:t>
      </w:r>
      <w:r w:rsidRPr="009642F7">
        <w:rPr>
          <w:rFonts w:ascii="Times New Roman" w:hAnsi="Times New Roman" w:cs="Times New Roman"/>
        </w:rPr>
        <w:t>.</w:t>
      </w:r>
      <w:r w:rsidRPr="009642F7">
        <w:rPr>
          <w:rFonts w:ascii="CharisSIL" w:hAnsi="CharisSIL"/>
          <w:sz w:val="16"/>
          <w:szCs w:val="16"/>
        </w:rPr>
        <w:br/>
      </w:r>
      <w:bookmarkEnd w:id="32"/>
      <w:bookmarkEnd w:id="36"/>
      <w:r w:rsidR="00EA1C58" w:rsidRPr="009642F7">
        <w:rPr>
          <w:rFonts w:ascii="Times New Roman" w:hAnsi="Times New Roman" w:cs="Times New Roman"/>
          <w:b/>
          <w:bCs/>
          <w:i/>
        </w:rPr>
        <w:t>4</w:t>
      </w:r>
      <w:r w:rsidR="00750EAA" w:rsidRPr="009642F7">
        <w:rPr>
          <w:rFonts w:ascii="Times New Roman" w:hAnsi="Times New Roman" w:cs="Times New Roman"/>
          <w:b/>
          <w:bCs/>
          <w:i/>
        </w:rPr>
        <w:t>.3.2 Sub-periods</w:t>
      </w:r>
    </w:p>
    <w:p w14:paraId="30D16E76" w14:textId="799E03BB" w:rsidR="00C50E5D" w:rsidRPr="009642F7" w:rsidRDefault="00C50E5D" w:rsidP="007806EA">
      <w:pPr>
        <w:ind w:firstLine="480"/>
        <w:jc w:val="both"/>
        <w:rPr>
          <w:rFonts w:ascii="Times New Roman" w:hAnsi="Times New Roman" w:cs="Times New Roman"/>
        </w:rPr>
      </w:pPr>
      <w:r w:rsidRPr="009642F7">
        <w:rPr>
          <w:rFonts w:ascii="Times New Roman" w:hAnsi="Times New Roman" w:cs="Times New Roman"/>
        </w:rPr>
        <w:t xml:space="preserve">We continue to verify our findings by replicating the Probit regression </w:t>
      </w:r>
      <w:r w:rsidR="008144AE" w:rsidRPr="009642F7">
        <w:rPr>
          <w:rFonts w:ascii="Times New Roman" w:hAnsi="Times New Roman" w:cs="Times New Roman"/>
        </w:rPr>
        <w:t xml:space="preserve">in Model (3) of Table 4, separately for two sub-periods: </w:t>
      </w:r>
      <w:bookmarkStart w:id="37" w:name="OLE_LINK6"/>
      <w:r w:rsidR="008144AE" w:rsidRPr="009642F7">
        <w:rPr>
          <w:rFonts w:ascii="Times New Roman" w:hAnsi="Times New Roman" w:cs="Times New Roman"/>
        </w:rPr>
        <w:t>2000−2010 and 2011−2021</w:t>
      </w:r>
      <w:bookmarkEnd w:id="37"/>
      <w:r w:rsidRPr="009642F7">
        <w:rPr>
          <w:rFonts w:ascii="Times New Roman" w:hAnsi="Times New Roman" w:cs="Times New Roman"/>
        </w:rPr>
        <w:t xml:space="preserve">. As shown in models (2) and (3) of Table 5, both coefficients on </w:t>
      </w:r>
      <w:bookmarkStart w:id="38" w:name="OLE_LINK28"/>
      <w:r w:rsidRPr="009642F7">
        <w:rPr>
          <w:rFonts w:ascii="Times New Roman" w:eastAsia="HeiT" w:hAnsi="Times New Roman" w:cs="Times New Roman"/>
          <w:bCs/>
          <w:i/>
        </w:rPr>
        <w:t>LnMedia</w:t>
      </w:r>
      <w:bookmarkEnd w:id="38"/>
      <w:r w:rsidRPr="009642F7">
        <w:rPr>
          <w:rFonts w:ascii="MinionPro-Capt" w:hAnsi="MinionPro-Capt"/>
          <w:sz w:val="22"/>
          <w:szCs w:val="22"/>
        </w:rPr>
        <w:t xml:space="preserve"> </w:t>
      </w:r>
      <w:r w:rsidRPr="009642F7">
        <w:rPr>
          <w:rFonts w:ascii="Times New Roman" w:hAnsi="Times New Roman" w:cs="Times New Roman"/>
        </w:rPr>
        <w:t xml:space="preserve">are significantly and positively related to </w:t>
      </w:r>
      <w:r w:rsidRPr="009642F7">
        <w:rPr>
          <w:rFonts w:ascii="Times New Roman" w:hAnsi="Times New Roman" w:cs="Times New Roman"/>
          <w:i/>
          <w:iCs/>
        </w:rPr>
        <w:t>Restat</w:t>
      </w:r>
      <w:r w:rsidRPr="009642F7">
        <w:rPr>
          <w:rFonts w:ascii="Times New Roman" w:hAnsi="Times New Roman" w:cs="Times New Roman"/>
        </w:rPr>
        <w:t xml:space="preserve"> for </w:t>
      </w:r>
      <w:bookmarkStart w:id="39" w:name="OLE_LINK7"/>
      <w:r w:rsidRPr="009642F7">
        <w:rPr>
          <w:rFonts w:ascii="Times New Roman" w:hAnsi="Times New Roman" w:cs="Times New Roman"/>
        </w:rPr>
        <w:t xml:space="preserve">subperiods </w:t>
      </w:r>
      <w:bookmarkEnd w:id="39"/>
      <w:r w:rsidRPr="009642F7">
        <w:rPr>
          <w:rFonts w:ascii="Times New Roman" w:hAnsi="Times New Roman" w:cs="Times New Roman"/>
        </w:rPr>
        <w:t>of 2000−2010 and 2011−2021. As a result, the choice of sample period has no effect on our main findings.</w:t>
      </w:r>
    </w:p>
    <w:p w14:paraId="5AE00A4B" w14:textId="77777777" w:rsidR="00750EAA" w:rsidRPr="009642F7" w:rsidRDefault="00EA1C58">
      <w:pPr>
        <w:rPr>
          <w:rFonts w:ascii="Times New Roman" w:hAnsi="Times New Roman" w:cs="Times New Roman"/>
          <w:b/>
          <w:bCs/>
          <w:i/>
        </w:rPr>
      </w:pPr>
      <w:r w:rsidRPr="009642F7">
        <w:rPr>
          <w:rFonts w:ascii="Times New Roman" w:hAnsi="Times New Roman" w:cs="Times New Roman"/>
          <w:b/>
          <w:bCs/>
          <w:i/>
        </w:rPr>
        <w:t>4</w:t>
      </w:r>
      <w:r w:rsidR="00750EAA" w:rsidRPr="009642F7">
        <w:rPr>
          <w:rFonts w:ascii="Times New Roman" w:hAnsi="Times New Roman" w:cs="Times New Roman"/>
          <w:b/>
          <w:bCs/>
          <w:i/>
        </w:rPr>
        <w:t>.3.3 Logistic Model</w:t>
      </w:r>
    </w:p>
    <w:p w14:paraId="40CE8CC6" w14:textId="78F33E61" w:rsidR="00750EAA" w:rsidRPr="009642F7" w:rsidRDefault="001B2E6C" w:rsidP="007806EA">
      <w:pPr>
        <w:ind w:firstLine="480"/>
        <w:jc w:val="both"/>
        <w:rPr>
          <w:rFonts w:ascii="Times New Roman" w:hAnsi="Times New Roman" w:cs="Times New Roman"/>
        </w:rPr>
      </w:pPr>
      <w:bookmarkStart w:id="40" w:name="OLE_LINK25"/>
      <w:r w:rsidRPr="009642F7">
        <w:rPr>
          <w:rFonts w:ascii="Times New Roman" w:hAnsi="Times New Roman" w:cs="Times New Roman"/>
        </w:rPr>
        <w:t xml:space="preserve">It is likely that the relation between media coverage and </w:t>
      </w:r>
      <w:bookmarkStart w:id="41" w:name="OLE_LINK27"/>
      <w:r w:rsidRPr="009642F7">
        <w:rPr>
          <w:rFonts w:ascii="Times New Roman" w:hAnsi="Times New Roman" w:cs="Times New Roman"/>
        </w:rPr>
        <w:t xml:space="preserve">the incidence of financial statement </w:t>
      </w:r>
      <w:bookmarkEnd w:id="41"/>
      <w:r w:rsidRPr="009642F7">
        <w:rPr>
          <w:rFonts w:ascii="Times New Roman" w:hAnsi="Times New Roman" w:cs="Times New Roman"/>
        </w:rPr>
        <w:t xml:space="preserve">is driven when using an alternative </w:t>
      </w:r>
      <w:bookmarkStart w:id="42" w:name="OLE_LINK37"/>
      <w:r w:rsidRPr="009642F7">
        <w:rPr>
          <w:rFonts w:ascii="Times New Roman" w:hAnsi="Times New Roman" w:cs="Times New Roman"/>
        </w:rPr>
        <w:t>regression model</w:t>
      </w:r>
      <w:bookmarkEnd w:id="40"/>
      <w:bookmarkEnd w:id="42"/>
      <w:r w:rsidRPr="009642F7">
        <w:rPr>
          <w:rFonts w:ascii="Times New Roman" w:hAnsi="Times New Roman" w:cs="Times New Roman"/>
        </w:rPr>
        <w:t xml:space="preserve">. </w:t>
      </w:r>
      <w:r w:rsidRPr="009642F7">
        <w:rPr>
          <w:rFonts w:ascii="Times New Roman" w:hAnsi="Times New Roman" w:cs="Times New Roman" w:hint="eastAsia"/>
        </w:rPr>
        <w:t>T</w:t>
      </w:r>
      <w:r w:rsidRPr="009642F7">
        <w:rPr>
          <w:rFonts w:ascii="Times New Roman" w:hAnsi="Times New Roman" w:cs="Times New Roman"/>
        </w:rPr>
        <w:t xml:space="preserve">o mitigate this problem, we </w:t>
      </w:r>
      <w:r w:rsidR="009F7DE6" w:rsidRPr="009642F7">
        <w:rPr>
          <w:rFonts w:ascii="Times New Roman" w:hAnsi="Times New Roman" w:cs="Times New Roman"/>
        </w:rPr>
        <w:t xml:space="preserve">conduct additional robustness analysis by </w:t>
      </w:r>
      <w:r w:rsidR="0026415C" w:rsidRPr="009642F7">
        <w:rPr>
          <w:rFonts w:ascii="Times New Roman" w:hAnsi="Times New Roman" w:cs="Times New Roman"/>
        </w:rPr>
        <w:t>re-estimat</w:t>
      </w:r>
      <w:r w:rsidRPr="009642F7">
        <w:rPr>
          <w:rFonts w:ascii="Times New Roman" w:hAnsi="Times New Roman" w:cs="Times New Roman"/>
        </w:rPr>
        <w:t>ing</w:t>
      </w:r>
      <w:r w:rsidR="0026415C" w:rsidRPr="009642F7">
        <w:rPr>
          <w:rFonts w:ascii="Times New Roman" w:hAnsi="Times New Roman" w:cs="Times New Roman"/>
        </w:rPr>
        <w:t xml:space="preserve"> Model (3) of Table 4 based upon </w:t>
      </w:r>
      <w:bookmarkStart w:id="43" w:name="OLE_LINK9"/>
      <w:r w:rsidR="0026415C" w:rsidRPr="009642F7">
        <w:rPr>
          <w:rFonts w:ascii="Times New Roman" w:hAnsi="Times New Roman" w:cs="Times New Roman"/>
        </w:rPr>
        <w:t xml:space="preserve">the </w:t>
      </w:r>
      <w:bookmarkStart w:id="44" w:name="OLE_LINK36"/>
      <w:bookmarkStart w:id="45" w:name="OLE_LINK11"/>
      <w:r w:rsidR="0026415C" w:rsidRPr="009642F7">
        <w:rPr>
          <w:rFonts w:ascii="Times New Roman" w:hAnsi="Times New Roman" w:cs="Times New Roman"/>
        </w:rPr>
        <w:t>Logisti</w:t>
      </w:r>
      <w:bookmarkEnd w:id="44"/>
      <w:r w:rsidR="0026415C" w:rsidRPr="009642F7">
        <w:rPr>
          <w:rFonts w:ascii="Times New Roman" w:hAnsi="Times New Roman" w:cs="Times New Roman"/>
        </w:rPr>
        <w:t>c</w:t>
      </w:r>
      <w:bookmarkEnd w:id="45"/>
      <w:r w:rsidR="0026415C" w:rsidRPr="009642F7">
        <w:rPr>
          <w:rFonts w:ascii="Times New Roman" w:hAnsi="Times New Roman" w:cs="Times New Roman"/>
        </w:rPr>
        <w:t xml:space="preserve"> </w:t>
      </w:r>
      <w:bookmarkEnd w:id="43"/>
      <w:r w:rsidR="0026415C" w:rsidRPr="009642F7">
        <w:rPr>
          <w:rFonts w:ascii="Times New Roman" w:hAnsi="Times New Roman" w:cs="Times New Roman"/>
        </w:rPr>
        <w:t>regression specification.</w:t>
      </w:r>
      <w:r w:rsidR="0071023C" w:rsidRPr="009642F7">
        <w:rPr>
          <w:rFonts w:ascii="Times New Roman" w:hAnsi="Times New Roman" w:cs="Times New Roman"/>
        </w:rPr>
        <w:t xml:space="preserve"> The results </w:t>
      </w:r>
      <w:r w:rsidR="009F7DE6" w:rsidRPr="009642F7">
        <w:rPr>
          <w:rFonts w:ascii="Times New Roman" w:hAnsi="Times New Roman" w:cs="Times New Roman"/>
        </w:rPr>
        <w:t xml:space="preserve">in Model (4) of Table 5 </w:t>
      </w:r>
      <w:r w:rsidR="0071023C" w:rsidRPr="009642F7">
        <w:rPr>
          <w:rFonts w:ascii="Times New Roman" w:hAnsi="Times New Roman" w:cs="Times New Roman"/>
        </w:rPr>
        <w:t>confirm a positive relation between media coverage and the incidence of financial statement</w:t>
      </w:r>
      <w:r w:rsidR="000B5F2F" w:rsidRPr="009642F7">
        <w:rPr>
          <w:rFonts w:ascii="Times New Roman" w:hAnsi="Times New Roman" w:cs="Times New Roman"/>
        </w:rPr>
        <w:t xml:space="preserve"> with 0.285 of </w:t>
      </w:r>
      <w:r w:rsidR="0071023C" w:rsidRPr="009642F7">
        <w:rPr>
          <w:rFonts w:ascii="Times New Roman" w:hAnsi="Times New Roman" w:cs="Times New Roman"/>
          <w:i/>
          <w:iCs/>
        </w:rPr>
        <w:t>LnMedia</w:t>
      </w:r>
      <w:r w:rsidR="0071023C" w:rsidRPr="009642F7">
        <w:rPr>
          <w:rFonts w:ascii="Times New Roman" w:hAnsi="Times New Roman" w:cs="Times New Roman"/>
        </w:rPr>
        <w:t xml:space="preserve"> </w:t>
      </w:r>
      <w:r w:rsidR="000B5F2F" w:rsidRPr="009642F7">
        <w:rPr>
          <w:rFonts w:ascii="Times New Roman" w:hAnsi="Times New Roman" w:cs="Times New Roman"/>
        </w:rPr>
        <w:t xml:space="preserve">estimated </w:t>
      </w:r>
      <w:r w:rsidR="0071023C" w:rsidRPr="009642F7">
        <w:rPr>
          <w:rFonts w:ascii="Times New Roman" w:hAnsi="Times New Roman" w:cs="Times New Roman"/>
        </w:rPr>
        <w:t xml:space="preserve">coefficient (p-value &lt;0.01). </w:t>
      </w:r>
      <w:r w:rsidR="0071023C" w:rsidRPr="009642F7">
        <w:rPr>
          <w:rFonts w:ascii="Times New Roman" w:hAnsi="Times New Roman" w:cs="Times New Roman" w:hint="eastAsia"/>
        </w:rPr>
        <w:t>T</w:t>
      </w:r>
      <w:r w:rsidR="0071023C" w:rsidRPr="009642F7">
        <w:rPr>
          <w:rFonts w:ascii="Times New Roman" w:hAnsi="Times New Roman" w:cs="Times New Roman"/>
        </w:rPr>
        <w:t xml:space="preserve">hus, the Media impact is not due to </w:t>
      </w:r>
      <w:r w:rsidR="00A96022" w:rsidRPr="009642F7">
        <w:rPr>
          <w:rFonts w:ascii="Times New Roman" w:hAnsi="Times New Roman" w:cs="Times New Roman"/>
        </w:rPr>
        <w:t>when using the Logistic</w:t>
      </w:r>
      <w:r w:rsidR="0071023C" w:rsidRPr="009642F7">
        <w:rPr>
          <w:rFonts w:ascii="Times New Roman" w:hAnsi="Times New Roman" w:cs="Times New Roman"/>
        </w:rPr>
        <w:t xml:space="preserve"> regression model.</w:t>
      </w:r>
    </w:p>
    <w:p w14:paraId="5EDF9CC4" w14:textId="4A09FD64" w:rsidR="002B7F08" w:rsidRPr="009642F7" w:rsidRDefault="006E50F3" w:rsidP="006E50F3">
      <w:pPr>
        <w:ind w:firstLine="480"/>
        <w:jc w:val="center"/>
        <w:rPr>
          <w:rFonts w:ascii="Times New Roman" w:hAnsi="Times New Roman" w:cs="Times New Roman"/>
        </w:rPr>
      </w:pPr>
      <w:r>
        <w:rPr>
          <w:rFonts w:ascii="Times New Roman" w:hAnsi="Times New Roman" w:cs="Times New Roman"/>
          <w:b/>
          <w:noProof/>
          <w:sz w:val="28"/>
          <w:szCs w:val="28"/>
        </w:rPr>
        <w:t>&lt;&lt;Insert Table 5 Here&gt;&gt;</w:t>
      </w:r>
    </w:p>
    <w:p w14:paraId="1A16D471" w14:textId="1479B8DD" w:rsidR="00750EAA" w:rsidRPr="009642F7" w:rsidRDefault="00EA1C58" w:rsidP="002B7F08">
      <w:pPr>
        <w:rPr>
          <w:rFonts w:ascii="Times New Roman" w:hAnsi="Times New Roman" w:cs="Times New Roman"/>
          <w:b/>
          <w:sz w:val="32"/>
        </w:rPr>
      </w:pPr>
      <w:r w:rsidRPr="009642F7">
        <w:rPr>
          <w:rFonts w:ascii="Times New Roman" w:hAnsi="Times New Roman" w:cs="Times New Roman"/>
          <w:b/>
          <w:sz w:val="32"/>
        </w:rPr>
        <w:t>5</w:t>
      </w:r>
      <w:r w:rsidR="00750EAA" w:rsidRPr="009642F7">
        <w:rPr>
          <w:rFonts w:ascii="Times New Roman" w:hAnsi="Times New Roman" w:cs="Times New Roman"/>
          <w:b/>
          <w:sz w:val="32"/>
        </w:rPr>
        <w:t xml:space="preserve">. </w:t>
      </w:r>
      <w:r w:rsidR="002B7F08" w:rsidRPr="009642F7">
        <w:rPr>
          <w:rFonts w:ascii="Times New Roman" w:hAnsi="Times New Roman" w:cs="Times New Roman" w:hint="eastAsia"/>
          <w:b/>
          <w:sz w:val="32"/>
        </w:rPr>
        <w:t>Further</w:t>
      </w:r>
      <w:r w:rsidR="00750EAA" w:rsidRPr="009642F7">
        <w:rPr>
          <w:rFonts w:ascii="Times New Roman" w:hAnsi="Times New Roman" w:cs="Times New Roman"/>
          <w:b/>
          <w:sz w:val="32"/>
        </w:rPr>
        <w:t xml:space="preserve"> Evidence</w:t>
      </w:r>
    </w:p>
    <w:p w14:paraId="78E0C2C5" w14:textId="77777777" w:rsidR="00750EAA" w:rsidRPr="009642F7" w:rsidRDefault="00EA1C58" w:rsidP="002B7F08">
      <w:pPr>
        <w:rPr>
          <w:rFonts w:ascii="Times New Roman" w:hAnsi="Times New Roman" w:cs="Times New Roman"/>
          <w:b/>
          <w:sz w:val="28"/>
        </w:rPr>
      </w:pPr>
      <w:r w:rsidRPr="009642F7">
        <w:rPr>
          <w:rFonts w:ascii="Times New Roman" w:hAnsi="Times New Roman" w:cs="Times New Roman"/>
          <w:b/>
          <w:sz w:val="28"/>
        </w:rPr>
        <w:t>5</w:t>
      </w:r>
      <w:r w:rsidR="00750EAA" w:rsidRPr="009642F7">
        <w:rPr>
          <w:rFonts w:ascii="Times New Roman" w:hAnsi="Times New Roman" w:cs="Times New Roman"/>
          <w:b/>
          <w:sz w:val="28"/>
        </w:rPr>
        <w:t xml:space="preserve">.1 </w:t>
      </w:r>
      <w:bookmarkStart w:id="46" w:name="OLE_LINK48"/>
      <w:r w:rsidR="00750EAA" w:rsidRPr="009642F7">
        <w:rPr>
          <w:rFonts w:ascii="Times New Roman" w:hAnsi="Times New Roman" w:cs="Times New Roman"/>
          <w:b/>
          <w:sz w:val="28"/>
        </w:rPr>
        <w:t xml:space="preserve">Mediating Effect </w:t>
      </w:r>
      <w:bookmarkEnd w:id="46"/>
      <w:r w:rsidR="00750EAA" w:rsidRPr="009642F7">
        <w:rPr>
          <w:rFonts w:ascii="Times New Roman" w:hAnsi="Times New Roman" w:cs="Times New Roman"/>
          <w:b/>
          <w:sz w:val="28"/>
        </w:rPr>
        <w:t xml:space="preserve">of </w:t>
      </w:r>
      <w:bookmarkStart w:id="47" w:name="OLE_LINK12"/>
      <w:r w:rsidR="00750EAA" w:rsidRPr="009642F7">
        <w:rPr>
          <w:rFonts w:ascii="Times New Roman" w:hAnsi="Times New Roman" w:cs="Times New Roman"/>
          <w:b/>
          <w:sz w:val="28"/>
        </w:rPr>
        <w:t xml:space="preserve">Qualified Foreign Institutional </w:t>
      </w:r>
      <w:bookmarkEnd w:id="47"/>
      <w:r w:rsidR="00750EAA" w:rsidRPr="009642F7">
        <w:rPr>
          <w:rFonts w:ascii="Times New Roman" w:hAnsi="Times New Roman" w:cs="Times New Roman"/>
          <w:b/>
          <w:sz w:val="28"/>
        </w:rPr>
        <w:t>Ownership</w:t>
      </w:r>
    </w:p>
    <w:p w14:paraId="292ECA7A" w14:textId="599FEB30" w:rsidR="0070308C" w:rsidRDefault="0097299E" w:rsidP="002B7F08">
      <w:pPr>
        <w:ind w:firstLine="480"/>
        <w:jc w:val="both"/>
        <w:rPr>
          <w:rFonts w:ascii="Times New Roman" w:hAnsi="Times New Roman" w:cs="Times New Roman"/>
        </w:rPr>
      </w:pPr>
      <w:r w:rsidRPr="009642F7">
        <w:rPr>
          <w:rFonts w:ascii="Times New Roman" w:hAnsi="Times New Roman" w:cs="Times New Roman"/>
        </w:rPr>
        <w:t xml:space="preserve">Several prior empirical evidences have argued that </w:t>
      </w:r>
      <w:bookmarkStart w:id="48" w:name="OLE_LINK38"/>
      <w:bookmarkStart w:id="49" w:name="OLE_LINK47"/>
      <w:r w:rsidR="0070308C" w:rsidRPr="009642F7">
        <w:rPr>
          <w:rFonts w:ascii="Times New Roman" w:hAnsi="Times New Roman" w:cs="Times New Roman"/>
        </w:rPr>
        <w:t>q</w:t>
      </w:r>
      <w:r w:rsidRPr="009642F7">
        <w:rPr>
          <w:rFonts w:ascii="Times New Roman" w:hAnsi="Times New Roman" w:cs="Times New Roman"/>
        </w:rPr>
        <w:t xml:space="preserve">ualified </w:t>
      </w:r>
      <w:bookmarkStart w:id="50" w:name="OLE_LINK51"/>
      <w:r w:rsidR="0070308C" w:rsidRPr="009642F7">
        <w:rPr>
          <w:rFonts w:ascii="Times New Roman" w:hAnsi="Times New Roman" w:cs="Times New Roman"/>
        </w:rPr>
        <w:t>f</w:t>
      </w:r>
      <w:r w:rsidRPr="009642F7">
        <w:rPr>
          <w:rFonts w:ascii="Times New Roman" w:hAnsi="Times New Roman" w:cs="Times New Roman"/>
        </w:rPr>
        <w:t xml:space="preserve">oreign </w:t>
      </w:r>
      <w:r w:rsidR="0070308C" w:rsidRPr="009642F7">
        <w:rPr>
          <w:rFonts w:ascii="Times New Roman" w:hAnsi="Times New Roman" w:cs="Times New Roman"/>
        </w:rPr>
        <w:t>i</w:t>
      </w:r>
      <w:r w:rsidRPr="009642F7">
        <w:rPr>
          <w:rFonts w:ascii="Times New Roman" w:hAnsi="Times New Roman" w:cs="Times New Roman"/>
        </w:rPr>
        <w:t xml:space="preserve">nstitutional ownership </w:t>
      </w:r>
      <w:bookmarkEnd w:id="48"/>
      <w:bookmarkEnd w:id="50"/>
      <w:r w:rsidRPr="009642F7">
        <w:rPr>
          <w:rFonts w:ascii="Times New Roman" w:hAnsi="Times New Roman" w:cs="Times New Roman"/>
        </w:rPr>
        <w:t>was negatively associated with the likelihood of financial report restatement</w:t>
      </w:r>
      <w:bookmarkEnd w:id="49"/>
      <w:r w:rsidRPr="009642F7">
        <w:rPr>
          <w:rFonts w:ascii="Times New Roman" w:hAnsi="Times New Roman" w:cs="Times New Roman"/>
        </w:rPr>
        <w:t>, and thus documented that this type of institutional investor is prone to be as an external monitoring</w:t>
      </w:r>
      <w:r w:rsidR="00553A33" w:rsidRPr="009642F7">
        <w:rPr>
          <w:rFonts w:ascii="Times New Roman" w:hAnsi="Times New Roman" w:cs="Times New Roman"/>
        </w:rPr>
        <w:t xml:space="preserve"> role</w:t>
      </w:r>
      <w:r w:rsidRPr="009642F7">
        <w:rPr>
          <w:rFonts w:ascii="Times New Roman" w:hAnsi="Times New Roman" w:cs="Times New Roman"/>
        </w:rPr>
        <w:t xml:space="preserve"> in </w:t>
      </w:r>
      <w:r w:rsidR="00553A33" w:rsidRPr="009642F7">
        <w:rPr>
          <w:rFonts w:ascii="Times New Roman" w:hAnsi="Times New Roman" w:cs="Times New Roman"/>
        </w:rPr>
        <w:t>mitigating</w:t>
      </w:r>
      <w:r w:rsidRPr="009642F7">
        <w:rPr>
          <w:rFonts w:ascii="Times New Roman" w:hAnsi="Times New Roman" w:cs="Times New Roman"/>
        </w:rPr>
        <w:t xml:space="preserve"> </w:t>
      </w:r>
      <w:r w:rsidR="00553A33" w:rsidRPr="009642F7">
        <w:rPr>
          <w:rFonts w:ascii="Times New Roman" w:hAnsi="Times New Roman" w:cs="Times New Roman"/>
        </w:rPr>
        <w:t>financial restatement activit</w:t>
      </w:r>
      <w:r w:rsidR="009409F1" w:rsidRPr="009642F7">
        <w:rPr>
          <w:rFonts w:ascii="Times New Roman" w:hAnsi="Times New Roman" w:cs="Times New Roman"/>
        </w:rPr>
        <w:t>ies</w:t>
      </w:r>
      <w:r w:rsidR="00553A33" w:rsidRPr="009642F7">
        <w:rPr>
          <w:rFonts w:ascii="Times New Roman" w:hAnsi="Times New Roman" w:cs="Times New Roman"/>
        </w:rPr>
        <w:t xml:space="preserve"> </w:t>
      </w:r>
      <w:r w:rsidR="00553A33" w:rsidRPr="009642F7">
        <w:rPr>
          <w:rFonts w:ascii="Times New Roman" w:hAnsi="Times New Roman" w:cs="Times New Roman" w:hint="eastAsia"/>
        </w:rPr>
        <w:fldChar w:fldCharType="begin">
          <w:fldData xml:space="preserve">PEVuZE5vdGU+PENpdGU+PEF1dGhvcj5DaGVuPC9BdXRob3I+PFllYXI+MjAxODwvWWVhcj48UmVj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</w:fldData>
        </w:fldChar>
      </w:r>
      <w:r w:rsidR="00553A33" w:rsidRPr="009642F7">
        <w:rPr>
          <w:rFonts w:ascii="Times New Roman" w:hAnsi="Times New Roman" w:cs="Times New Roman" w:hint="eastAsia"/>
        </w:rPr>
        <w:instrText xml:space="preserve"> ADDIN EN.CITE </w:instrText>
      </w:r>
      <w:r w:rsidR="00553A33" w:rsidRPr="009642F7">
        <w:rPr>
          <w:rFonts w:ascii="Times New Roman" w:hAnsi="Times New Roman" w:cs="Times New Roman" w:hint="eastAsia"/>
        </w:rPr>
        <w:fldChar w:fldCharType="begin">
          <w:fldData xml:space="preserve">PEVuZE5vdGU+PENpdGU+PEF1dGhvcj5DaGVuPC9BdXRob3I+PFllYXI+MjAxODwvWWVhcj48UmVj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</w:fldData>
        </w:fldChar>
      </w:r>
      <w:r w:rsidR="00553A33" w:rsidRPr="009642F7">
        <w:rPr>
          <w:rFonts w:ascii="Times New Roman" w:hAnsi="Times New Roman" w:cs="Times New Roman" w:hint="eastAsia"/>
        </w:rPr>
        <w:instrText xml:space="preserve"> ADDIN EN.CITE.DATA </w:instrText>
      </w:r>
      <w:r w:rsidR="00553A33" w:rsidRPr="009642F7">
        <w:rPr>
          <w:rFonts w:ascii="Times New Roman" w:hAnsi="Times New Roman" w:cs="Times New Roman" w:hint="eastAsia"/>
        </w:rPr>
      </w:r>
      <w:r w:rsidR="00553A33" w:rsidRPr="009642F7">
        <w:rPr>
          <w:rFonts w:ascii="Times New Roman" w:hAnsi="Times New Roman" w:cs="Times New Roman" w:hint="eastAsia"/>
        </w:rPr>
        <w:fldChar w:fldCharType="end"/>
      </w:r>
      <w:r w:rsidR="00553A33" w:rsidRPr="009642F7">
        <w:rPr>
          <w:rFonts w:ascii="Times New Roman" w:hAnsi="Times New Roman" w:cs="Times New Roman" w:hint="eastAsia"/>
        </w:rPr>
      </w:r>
      <w:r w:rsidR="00553A33" w:rsidRPr="009642F7">
        <w:rPr>
          <w:rFonts w:ascii="Times New Roman" w:hAnsi="Times New Roman" w:cs="Times New Roman" w:hint="eastAsia"/>
        </w:rPr>
        <w:fldChar w:fldCharType="separate"/>
      </w:r>
      <w:r w:rsidR="00553A33" w:rsidRPr="009642F7">
        <w:rPr>
          <w:rFonts w:ascii="Times New Roman" w:hAnsi="Times New Roman" w:cs="Times New Roman" w:hint="eastAsia"/>
        </w:rPr>
        <w:t>(Chen et al., 2018, Li et al., 2021)</w:t>
      </w:r>
      <w:r w:rsidR="00553A33" w:rsidRPr="009642F7">
        <w:rPr>
          <w:rFonts w:ascii="Times New Roman" w:hAnsi="Times New Roman" w:cs="Times New Roman" w:hint="eastAsia"/>
        </w:rPr>
        <w:fldChar w:fldCharType="end"/>
      </w:r>
      <w:r w:rsidR="00553A33" w:rsidRPr="009642F7">
        <w:rPr>
          <w:rFonts w:ascii="Times New Roman" w:hAnsi="Times New Roman" w:cs="Times New Roman"/>
        </w:rPr>
        <w:t xml:space="preserve">. </w:t>
      </w:r>
      <w:r w:rsidR="00FB608D" w:rsidRPr="009642F7">
        <w:rPr>
          <w:rFonts w:ascii="Times New Roman" w:hAnsi="Times New Roman" w:cs="Times New Roman"/>
        </w:rPr>
        <w:t xml:space="preserve">According to our main results, media dissemination </w:t>
      </w:r>
      <w:r w:rsidR="0070308C" w:rsidRPr="009642F7">
        <w:rPr>
          <w:rFonts w:ascii="Times New Roman" w:hAnsi="Times New Roman" w:cs="Times New Roman"/>
        </w:rPr>
        <w:t xml:space="preserve">is more likely </w:t>
      </w:r>
      <w:r w:rsidR="00FB608D" w:rsidRPr="009642F7">
        <w:rPr>
          <w:rFonts w:ascii="Times New Roman" w:hAnsi="Times New Roman" w:cs="Times New Roman"/>
        </w:rPr>
        <w:t xml:space="preserve">to aggravate the </w:t>
      </w:r>
      <w:r w:rsidR="0070308C" w:rsidRPr="009642F7">
        <w:rPr>
          <w:rFonts w:ascii="Times New Roman" w:hAnsi="Times New Roman" w:cs="Times New Roman"/>
        </w:rPr>
        <w:t>possibility of financial misreporting</w:t>
      </w:r>
      <w:r w:rsidR="00692220" w:rsidRPr="009642F7">
        <w:rPr>
          <w:rFonts w:ascii="Times New Roman" w:hAnsi="Times New Roman" w:cs="Times New Roman"/>
        </w:rPr>
        <w:t>. I</w:t>
      </w:r>
      <w:r w:rsidR="0070308C" w:rsidRPr="009642F7">
        <w:rPr>
          <w:rFonts w:ascii="Times New Roman" w:hAnsi="Times New Roman" w:cs="Times New Roman"/>
        </w:rPr>
        <w:t>t is reasonable to expect that foreign institutional holding-driven monitoring function</w:t>
      </w:r>
      <w:r w:rsidR="00B841F7" w:rsidRPr="009642F7">
        <w:rPr>
          <w:rFonts w:ascii="Times New Roman" w:hAnsi="Times New Roman" w:cs="Times New Roman"/>
        </w:rPr>
        <w:t>s</w:t>
      </w:r>
      <w:r w:rsidR="0070308C" w:rsidRPr="009642F7">
        <w:rPr>
          <w:rFonts w:ascii="Times New Roman" w:hAnsi="Times New Roman" w:cs="Times New Roman"/>
        </w:rPr>
        <w:t xml:space="preserve"> a more considerable role in restraining the positive </w:t>
      </w:r>
      <w:r w:rsidR="0070308C" w:rsidRPr="009642F7">
        <w:rPr>
          <w:rFonts w:ascii="Times New Roman" w:hAnsi="Times New Roman" w:cs="Times New Roman"/>
          <w:i/>
          <w:iCs/>
        </w:rPr>
        <w:t>Media-Restat</w:t>
      </w:r>
      <w:r w:rsidR="0070308C" w:rsidRPr="009642F7">
        <w:rPr>
          <w:rFonts w:ascii="Times New Roman" w:hAnsi="Times New Roman" w:cs="Times New Roman"/>
        </w:rPr>
        <w:t xml:space="preserve"> relation for firms with more qualified foreign institutional ownerships.</w:t>
      </w:r>
      <w:r w:rsidR="00CE6A21" w:rsidRPr="009642F7">
        <w:rPr>
          <w:rFonts w:ascii="Times New Roman" w:hAnsi="Times New Roman" w:cs="Times New Roman"/>
        </w:rPr>
        <w:t xml:space="preserve"> </w:t>
      </w:r>
    </w:p>
    <w:p w14:paraId="58E299D2" w14:textId="348C0EFA" w:rsidR="006E50F3" w:rsidRPr="009642F7" w:rsidRDefault="006E50F3" w:rsidP="006E50F3">
      <w:pPr>
        <w:ind w:firstLine="480"/>
        <w:jc w:val="center"/>
        <w:rPr>
          <w:rFonts w:ascii="Times New Roman" w:hAnsi="Times New Roman" w:cs="Times New Roman"/>
        </w:rPr>
      </w:pPr>
      <w:r>
        <w:rPr>
          <w:rFonts w:ascii="Times New Roman" w:hAnsi="Times New Roman" w:cs="Times New Roman"/>
          <w:b/>
          <w:noProof/>
          <w:sz w:val="28"/>
          <w:szCs w:val="28"/>
        </w:rPr>
        <w:t>&lt;&lt;Insert Table 6 Here&gt;&gt;</w:t>
      </w:r>
    </w:p>
    <w:p w14:paraId="6D2DB42E" w14:textId="5D098441" w:rsidR="00EE0DC8" w:rsidRPr="009642F7" w:rsidRDefault="00C83748" w:rsidP="002B7F08">
      <w:pPr>
        <w:ind w:firstLine="480"/>
        <w:jc w:val="both"/>
        <w:rPr>
          <w:rFonts w:ascii="Times New Roman" w:hAnsi="Times New Roman" w:cs="Times New Roman"/>
        </w:rPr>
      </w:pPr>
      <w:r w:rsidRPr="009642F7">
        <w:rPr>
          <w:rFonts w:ascii="Times New Roman" w:hAnsi="Times New Roman" w:cs="Times New Roman"/>
        </w:rPr>
        <w:t xml:space="preserve">To validate the above </w:t>
      </w:r>
      <w:bookmarkStart w:id="51" w:name="OLE_LINK50"/>
      <w:r w:rsidRPr="009642F7">
        <w:rPr>
          <w:rFonts w:ascii="Times New Roman" w:hAnsi="Times New Roman" w:cs="Times New Roman"/>
        </w:rPr>
        <w:t>argument</w:t>
      </w:r>
      <w:bookmarkEnd w:id="51"/>
      <w:r w:rsidRPr="009642F7">
        <w:rPr>
          <w:rFonts w:ascii="Times New Roman" w:hAnsi="Times New Roman" w:cs="Times New Roman"/>
        </w:rPr>
        <w:t>, we</w:t>
      </w:r>
      <w:r w:rsidR="00CE6A21" w:rsidRPr="009642F7">
        <w:rPr>
          <w:rFonts w:ascii="Times New Roman" w:hAnsi="Times New Roman" w:cs="Times New Roman"/>
        </w:rPr>
        <w:t xml:space="preserve"> replicate the</w:t>
      </w:r>
      <w:r w:rsidR="00E72B51" w:rsidRPr="009642F7">
        <w:rPr>
          <w:rFonts w:ascii="Times New Roman" w:hAnsi="Times New Roman" w:cs="Times New Roman"/>
        </w:rPr>
        <w:t xml:space="preserve"> Probit regressions with </w:t>
      </w:r>
      <w:r w:rsidR="00E72B51" w:rsidRPr="009642F7">
        <w:rPr>
          <w:rFonts w:ascii="Times New Roman" w:hAnsi="Times New Roman" w:cs="Times New Roman"/>
          <w:i/>
          <w:iCs/>
        </w:rPr>
        <w:t xml:space="preserve">Restat </w:t>
      </w:r>
      <w:r w:rsidR="00E72B51" w:rsidRPr="009642F7">
        <w:rPr>
          <w:rFonts w:ascii="Times New Roman" w:hAnsi="Times New Roman" w:cs="Times New Roman"/>
        </w:rPr>
        <w:t xml:space="preserve">as the dependent variable and </w:t>
      </w:r>
      <w:r w:rsidR="00E72B51" w:rsidRPr="009642F7">
        <w:rPr>
          <w:rFonts w:ascii="Times New Roman" w:hAnsi="Times New Roman" w:cs="Times New Roman"/>
          <w:i/>
          <w:iCs/>
        </w:rPr>
        <w:t>LnMedia</w:t>
      </w:r>
      <w:r w:rsidR="00E72B51" w:rsidRPr="009642F7">
        <w:rPr>
          <w:rFonts w:ascii="Times New Roman" w:hAnsi="Times New Roman" w:cs="Times New Roman"/>
        </w:rPr>
        <w:t xml:space="preserve"> as the main independent variable, as estimated in Model (3) of Table 4, separately for subsample stocks with high, medium, and low</w:t>
      </w:r>
      <w:r w:rsidR="00CE6A21" w:rsidRPr="009642F7">
        <w:rPr>
          <w:rFonts w:ascii="Times New Roman" w:hAnsi="Times New Roman" w:cs="Times New Roman"/>
        </w:rPr>
        <w:t xml:space="preserve"> qualified foreign institutional ownership</w:t>
      </w:r>
      <w:r w:rsidR="00E72B51" w:rsidRPr="009642F7">
        <w:rPr>
          <w:rFonts w:ascii="Times New Roman" w:hAnsi="Times New Roman" w:cs="Times New Roman"/>
        </w:rPr>
        <w:t xml:space="preserve"> </w:t>
      </w:r>
      <w:r w:rsidR="00CE6A21" w:rsidRPr="009642F7">
        <w:rPr>
          <w:rFonts w:ascii="Times New Roman" w:hAnsi="Times New Roman" w:cs="Times New Roman"/>
        </w:rPr>
        <w:t>(</w:t>
      </w:r>
      <w:bookmarkStart w:id="52" w:name="OLE_LINK60"/>
      <w:r w:rsidR="00E72B51" w:rsidRPr="009642F7">
        <w:rPr>
          <w:rFonts w:ascii="Times New Roman" w:hAnsi="Times New Roman" w:cs="Times New Roman"/>
        </w:rPr>
        <w:t>QFIIO</w:t>
      </w:r>
      <w:bookmarkEnd w:id="52"/>
      <w:r w:rsidR="00CE6A21" w:rsidRPr="009642F7">
        <w:rPr>
          <w:rFonts w:ascii="Times New Roman" w:hAnsi="Times New Roman" w:cs="Times New Roman"/>
        </w:rPr>
        <w:t>)</w:t>
      </w:r>
      <w:r w:rsidR="00E72B51" w:rsidRPr="009642F7">
        <w:rPr>
          <w:rFonts w:ascii="Times New Roman" w:hAnsi="Times New Roman" w:cs="Times New Roman"/>
        </w:rPr>
        <w:t xml:space="preserve"> subsamples</w:t>
      </w:r>
      <w:r w:rsidR="00507C2B" w:rsidRPr="009642F7">
        <w:rPr>
          <w:rFonts w:ascii="Times New Roman" w:hAnsi="Times New Roman" w:cs="Times New Roman"/>
        </w:rPr>
        <w:t xml:space="preserve">, in which QFIIO is the percentage of shares held by </w:t>
      </w:r>
      <w:r w:rsidR="00507C2B" w:rsidRPr="009642F7">
        <w:rPr>
          <w:rFonts w:ascii="Times New Roman" w:hAnsi="Times New Roman" w:cs="Times New Roman" w:hint="eastAsia"/>
        </w:rPr>
        <w:t>q</w:t>
      </w:r>
      <w:r w:rsidR="00507C2B" w:rsidRPr="009642F7">
        <w:rPr>
          <w:rFonts w:ascii="Times New Roman" w:hAnsi="Times New Roman" w:cs="Times New Roman"/>
        </w:rPr>
        <w:t xml:space="preserve">ualified </w:t>
      </w:r>
      <w:r w:rsidR="00507C2B" w:rsidRPr="009642F7">
        <w:rPr>
          <w:rFonts w:ascii="Times New Roman" w:hAnsi="Times New Roman" w:cs="Times New Roman" w:hint="eastAsia"/>
        </w:rPr>
        <w:t>f</w:t>
      </w:r>
      <w:r w:rsidR="00507C2B" w:rsidRPr="009642F7">
        <w:rPr>
          <w:rFonts w:ascii="Times New Roman" w:hAnsi="Times New Roman" w:cs="Times New Roman"/>
        </w:rPr>
        <w:t xml:space="preserve">oreign </w:t>
      </w:r>
      <w:r w:rsidR="00507C2B" w:rsidRPr="009642F7">
        <w:rPr>
          <w:rFonts w:ascii="Times New Roman" w:hAnsi="Times New Roman" w:cs="Times New Roman" w:hint="eastAsia"/>
        </w:rPr>
        <w:t>i</w:t>
      </w:r>
      <w:r w:rsidR="00507C2B" w:rsidRPr="009642F7">
        <w:rPr>
          <w:rFonts w:ascii="Times New Roman" w:hAnsi="Times New Roman" w:cs="Times New Roman"/>
        </w:rPr>
        <w:t xml:space="preserve">nstitutional </w:t>
      </w:r>
      <w:r w:rsidR="00507C2B" w:rsidRPr="009642F7">
        <w:rPr>
          <w:rFonts w:ascii="Times New Roman" w:hAnsi="Times New Roman" w:cs="Times New Roman" w:hint="eastAsia"/>
        </w:rPr>
        <w:t>i</w:t>
      </w:r>
      <w:r w:rsidR="00507C2B" w:rsidRPr="009642F7">
        <w:rPr>
          <w:rFonts w:ascii="Times New Roman" w:hAnsi="Times New Roman" w:cs="Times New Roman"/>
        </w:rPr>
        <w:t>nvestor</w:t>
      </w:r>
      <w:r w:rsidR="00507C2B" w:rsidRPr="009642F7">
        <w:rPr>
          <w:rFonts w:ascii="Times New Roman" w:hAnsi="Times New Roman" w:cs="Times New Roman" w:hint="eastAsia"/>
        </w:rPr>
        <w:t>s</w:t>
      </w:r>
      <w:r w:rsidR="00507C2B" w:rsidRPr="009642F7">
        <w:rPr>
          <w:rFonts w:ascii="Times New Roman" w:hAnsi="Times New Roman" w:cs="Times New Roman"/>
        </w:rPr>
        <w:t xml:space="preserve"> </w:t>
      </w:r>
      <w:r w:rsidR="00507C2B" w:rsidRPr="009642F7">
        <w:rPr>
          <w:rFonts w:ascii="Times New Roman" w:hAnsi="Times New Roman" w:cs="Times New Roman" w:hint="eastAsia"/>
        </w:rPr>
        <w:t xml:space="preserve">in Taiwan </w:t>
      </w:r>
      <w:r w:rsidR="00507C2B" w:rsidRPr="009642F7">
        <w:rPr>
          <w:rFonts w:ascii="Times New Roman" w:hAnsi="Times New Roman" w:cs="Times New Roman"/>
        </w:rPr>
        <w:t>at the end of the year.</w:t>
      </w:r>
      <w:r w:rsidR="00E72B51" w:rsidRPr="009642F7">
        <w:rPr>
          <w:rFonts w:ascii="Times New Roman" w:hAnsi="Times New Roman" w:cs="Times New Roman"/>
        </w:rPr>
        <w:t xml:space="preserve"> </w:t>
      </w:r>
      <w:r w:rsidR="00CE6A21" w:rsidRPr="009642F7">
        <w:rPr>
          <w:rFonts w:ascii="Times New Roman" w:hAnsi="Times New Roman" w:cs="Times New Roman"/>
        </w:rPr>
        <w:t xml:space="preserve">Our finding presented in Table 6 imply that the </w:t>
      </w:r>
      <w:r w:rsidR="00CE6A21" w:rsidRPr="009642F7">
        <w:rPr>
          <w:rFonts w:ascii="Times New Roman" w:hAnsi="Times New Roman" w:cs="Times New Roman"/>
          <w:i/>
          <w:iCs/>
        </w:rPr>
        <w:t>Media</w:t>
      </w:r>
      <w:r w:rsidR="00CE6A21" w:rsidRPr="009642F7">
        <w:rPr>
          <w:rFonts w:ascii="Times New Roman" w:hAnsi="Times New Roman" w:cs="Times New Roman"/>
        </w:rPr>
        <w:t xml:space="preserve"> coefficients are posit</w:t>
      </w:r>
      <w:r w:rsidR="00692220" w:rsidRPr="009642F7">
        <w:rPr>
          <w:rFonts w:ascii="Times New Roman" w:hAnsi="Times New Roman" w:cs="Times New Roman"/>
        </w:rPr>
        <w:t>i</w:t>
      </w:r>
      <w:r w:rsidR="00CE6A21" w:rsidRPr="009642F7">
        <w:rPr>
          <w:rFonts w:ascii="Times New Roman" w:hAnsi="Times New Roman" w:cs="Times New Roman"/>
        </w:rPr>
        <w:t xml:space="preserve">ve across three subsets, and the magnitude is </w:t>
      </w:r>
      <w:r w:rsidR="00692220" w:rsidRPr="009642F7">
        <w:rPr>
          <w:rFonts w:ascii="Times New Roman" w:hAnsi="Times New Roman" w:cs="Times New Roman"/>
        </w:rPr>
        <w:t>rising</w:t>
      </w:r>
      <w:r w:rsidR="00CE6A21" w:rsidRPr="009642F7">
        <w:rPr>
          <w:rFonts w:ascii="Times New Roman" w:hAnsi="Times New Roman" w:cs="Times New Roman"/>
        </w:rPr>
        <w:t xml:space="preserve"> as the level of </w:t>
      </w:r>
      <w:r w:rsidR="00CE6A21" w:rsidRPr="009642F7">
        <w:rPr>
          <w:rFonts w:ascii="Times New Roman" w:hAnsi="Times New Roman" w:cs="Times New Roman"/>
        </w:rPr>
        <w:lastRenderedPageBreak/>
        <w:t xml:space="preserve">foreign ownership declines. Moreover, the F-test shows the coefficients on </w:t>
      </w:r>
      <m:oMath>
        <m:sSub>
          <m:sSubPr>
            <m:ctrlPr>
              <w:rPr>
                <w:rFonts w:ascii="Cambria Math" w:hAnsi="Cambria Math" w:cs="Times New Roman"/>
              </w:rPr>
            </m:ctrlPr>
          </m:sSubPr>
          <m:e>
            <m:r>
              <w:rPr>
                <w:rFonts w:ascii="Cambria Math" w:hAnsi="Cambria Math" w:cs="Times New Roman"/>
              </w:rPr>
              <m:t>LnMedia</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t</m:t>
            </m:r>
            <m:r>
              <m:rPr>
                <m:sty m:val="p"/>
              </m:rPr>
              <w:rPr>
                <w:rFonts w:ascii="Cambria Math" w:hAnsi="Cambria Math" w:cs="Times New Roman"/>
              </w:rPr>
              <m:t>-1</m:t>
            </m:r>
          </m:sub>
        </m:sSub>
      </m:oMath>
      <w:r w:rsidR="00CE6A21" w:rsidRPr="009642F7">
        <w:rPr>
          <w:rFonts w:ascii="Times New Roman" w:hAnsi="Times New Roman" w:cs="Times New Roman"/>
        </w:rPr>
        <w:t xml:space="preserve"> </w:t>
      </w:r>
      <w:r w:rsidR="009409F1" w:rsidRPr="009642F7">
        <w:rPr>
          <w:rFonts w:ascii="Times New Roman" w:hAnsi="Times New Roman" w:cs="Times New Roman"/>
        </w:rPr>
        <w:t>for</w:t>
      </w:r>
      <w:r w:rsidR="00CE6A21" w:rsidRPr="009642F7">
        <w:rPr>
          <w:rFonts w:ascii="Times New Roman" w:hAnsi="Times New Roman" w:cs="Times New Roman"/>
        </w:rPr>
        <w:t xml:space="preserve"> Low-</w:t>
      </w:r>
      <w:bookmarkStart w:id="53" w:name="OLE_LINK39"/>
      <w:r w:rsidR="00CE6A21" w:rsidRPr="009642F7">
        <w:rPr>
          <w:rFonts w:ascii="Times New Roman" w:hAnsi="Times New Roman" w:cs="Times New Roman"/>
        </w:rPr>
        <w:t xml:space="preserve">QFIIO subsamples </w:t>
      </w:r>
      <w:bookmarkEnd w:id="53"/>
      <w:r w:rsidR="00CE6A21" w:rsidRPr="009642F7">
        <w:rPr>
          <w:rFonts w:ascii="Times New Roman" w:hAnsi="Times New Roman" w:cs="Times New Roman"/>
        </w:rPr>
        <w:t xml:space="preserve">is </w:t>
      </w:r>
      <w:r w:rsidR="00EE0DC8" w:rsidRPr="009642F7">
        <w:rPr>
          <w:rFonts w:ascii="Times New Roman" w:hAnsi="Times New Roman" w:cs="Times New Roman"/>
        </w:rPr>
        <w:t xml:space="preserve">much larger than that </w:t>
      </w:r>
      <w:r w:rsidR="009409F1" w:rsidRPr="009642F7">
        <w:rPr>
          <w:rFonts w:ascii="Times New Roman" w:hAnsi="Times New Roman" w:cs="Times New Roman"/>
        </w:rPr>
        <w:t>for</w:t>
      </w:r>
      <w:r w:rsidR="00EE0DC8" w:rsidRPr="009642F7">
        <w:rPr>
          <w:rFonts w:ascii="Times New Roman" w:hAnsi="Times New Roman" w:cs="Times New Roman"/>
        </w:rPr>
        <w:t xml:space="preserve"> high-QFIIO (difference in coefficient = −0.073, p-value &lt; 0.01).</w:t>
      </w:r>
    </w:p>
    <w:p w14:paraId="2505469A" w14:textId="29713A82" w:rsidR="006970E4" w:rsidRPr="009642F7" w:rsidRDefault="00EE0DC8" w:rsidP="002B7F08">
      <w:pPr>
        <w:ind w:firstLine="480"/>
        <w:jc w:val="both"/>
        <w:rPr>
          <w:rFonts w:ascii="Times New Roman" w:hAnsi="Times New Roman" w:cs="Times New Roman"/>
        </w:rPr>
      </w:pPr>
      <w:bookmarkStart w:id="54" w:name="OLE_LINK52"/>
      <w:bookmarkStart w:id="55" w:name="OLE_LINK56"/>
      <w:r w:rsidRPr="009642F7">
        <w:rPr>
          <w:rFonts w:ascii="Times New Roman" w:hAnsi="Times New Roman" w:cs="Times New Roman"/>
        </w:rPr>
        <w:t xml:space="preserve">Overall, </w:t>
      </w:r>
      <w:bookmarkEnd w:id="54"/>
      <w:r w:rsidR="00FF747C" w:rsidRPr="009642F7">
        <w:rPr>
          <w:rFonts w:ascii="Times New Roman" w:hAnsi="Times New Roman" w:cs="Times New Roman"/>
        </w:rPr>
        <w:t xml:space="preserve">based on the results presented in Table 6, our analysis indicates that the positive impact of media on the occurrence of financial restatement is particularly notable for firms characterized by lower levels of foreign institutional ownership. </w:t>
      </w:r>
      <w:r w:rsidR="0088188D" w:rsidRPr="009642F7">
        <w:rPr>
          <w:rFonts w:ascii="Times New Roman" w:hAnsi="Times New Roman" w:cs="Times New Roman"/>
        </w:rPr>
        <w:t xml:space="preserve">In other words, </w:t>
      </w:r>
      <w:r w:rsidR="0088188D" w:rsidRPr="009642F7">
        <w:rPr>
          <w:rFonts w:ascii="Times New Roman" w:hAnsi="Times New Roman" w:cs="Times New Roman" w:hint="eastAsia"/>
        </w:rPr>
        <w:t xml:space="preserve">the </w:t>
      </w:r>
      <w:r w:rsidR="0088188D" w:rsidRPr="009642F7">
        <w:rPr>
          <w:rFonts w:ascii="Times New Roman" w:hAnsi="Times New Roman" w:cs="Times New Roman"/>
        </w:rPr>
        <w:t>posi</w:t>
      </w:r>
      <w:r w:rsidR="0088188D" w:rsidRPr="009642F7">
        <w:rPr>
          <w:rFonts w:ascii="Times New Roman" w:hAnsi="Times New Roman" w:cs="Times New Roman" w:hint="eastAsia"/>
        </w:rPr>
        <w:t>tive relation between</w:t>
      </w:r>
      <w:r w:rsidR="0088188D" w:rsidRPr="009642F7">
        <w:rPr>
          <w:rFonts w:ascii="Times New Roman" w:hAnsi="Times New Roman" w:cs="Times New Roman"/>
        </w:rPr>
        <w:t xml:space="preserve"> </w:t>
      </w:r>
      <w:r w:rsidR="0088188D" w:rsidRPr="009642F7">
        <w:rPr>
          <w:rFonts w:ascii="Times New Roman" w:hAnsi="Times New Roman" w:cs="Times New Roman" w:hint="eastAsia"/>
        </w:rPr>
        <w:t xml:space="preserve">media coverage and </w:t>
      </w:r>
      <w:r w:rsidR="0088188D" w:rsidRPr="009642F7">
        <w:rPr>
          <w:rFonts w:ascii="Times New Roman" w:hAnsi="Times New Roman" w:cs="Times New Roman"/>
        </w:rPr>
        <w:t>the restatement of financial reports</w:t>
      </w:r>
      <w:r w:rsidR="0088188D" w:rsidRPr="009642F7">
        <w:rPr>
          <w:rFonts w:ascii="Times New Roman" w:hAnsi="Times New Roman" w:cs="Times New Roman" w:hint="eastAsia"/>
        </w:rPr>
        <w:t xml:space="preserve"> becomes weaker when</w:t>
      </w:r>
      <w:r w:rsidR="0088188D" w:rsidRPr="009642F7">
        <w:rPr>
          <w:rFonts w:ascii="Times New Roman" w:hAnsi="Times New Roman" w:cs="Times New Roman"/>
        </w:rPr>
        <w:t xml:space="preserve"> </w:t>
      </w:r>
      <w:r w:rsidR="0088188D" w:rsidRPr="009642F7">
        <w:rPr>
          <w:rFonts w:ascii="Times New Roman" w:hAnsi="Times New Roman" w:cs="Times New Roman" w:hint="eastAsia"/>
        </w:rPr>
        <w:t xml:space="preserve">firms are </w:t>
      </w:r>
      <w:r w:rsidR="0088188D" w:rsidRPr="009642F7">
        <w:rPr>
          <w:rFonts w:ascii="Times New Roman" w:hAnsi="Times New Roman" w:cs="Times New Roman"/>
        </w:rPr>
        <w:t>held</w:t>
      </w:r>
      <w:r w:rsidR="0088188D" w:rsidRPr="009642F7">
        <w:rPr>
          <w:rFonts w:ascii="Times New Roman" w:hAnsi="Times New Roman" w:cs="Times New Roman" w:hint="eastAsia"/>
        </w:rPr>
        <w:t xml:space="preserve"> by </w:t>
      </w:r>
      <w:r w:rsidR="00924F0E" w:rsidRPr="009642F7">
        <w:rPr>
          <w:rFonts w:ascii="Times New Roman" w:hAnsi="Times New Roman" w:cs="Times New Roman"/>
        </w:rPr>
        <w:t xml:space="preserve">greater </w:t>
      </w:r>
      <w:r w:rsidR="0088188D" w:rsidRPr="009642F7">
        <w:rPr>
          <w:rFonts w:ascii="Times New Roman" w:hAnsi="Times New Roman" w:cs="Times New Roman"/>
        </w:rPr>
        <w:t>non-domestic institutional investors</w:t>
      </w:r>
      <w:r w:rsidR="0088188D" w:rsidRPr="009642F7">
        <w:rPr>
          <w:rFonts w:ascii="Times New Roman" w:hAnsi="Times New Roman" w:cs="Times New Roman" w:hint="eastAsia"/>
        </w:rPr>
        <w:t>.</w:t>
      </w:r>
      <w:r w:rsidRPr="009642F7">
        <w:rPr>
          <w:rFonts w:ascii="Times New Roman" w:hAnsi="Times New Roman" w:cs="Times New Roman"/>
        </w:rPr>
        <w:t xml:space="preserve"> This is </w:t>
      </w:r>
      <w:bookmarkStart w:id="56" w:name="OLE_LINK49"/>
      <w:r w:rsidRPr="009642F7">
        <w:rPr>
          <w:rFonts w:ascii="Times New Roman" w:hAnsi="Times New Roman" w:cs="Times New Roman"/>
        </w:rPr>
        <w:t xml:space="preserve">consistent </w:t>
      </w:r>
      <w:bookmarkEnd w:id="56"/>
      <w:r w:rsidRPr="009642F7">
        <w:rPr>
          <w:rFonts w:ascii="Times New Roman" w:hAnsi="Times New Roman" w:cs="Times New Roman"/>
        </w:rPr>
        <w:t xml:space="preserve">with our </w:t>
      </w:r>
      <w:r w:rsidR="009409F1" w:rsidRPr="009642F7">
        <w:rPr>
          <w:rFonts w:ascii="Times New Roman" w:hAnsi="Times New Roman" w:cs="Times New Roman"/>
        </w:rPr>
        <w:t>argument</w:t>
      </w:r>
      <w:r w:rsidRPr="009642F7">
        <w:rPr>
          <w:rFonts w:ascii="Times New Roman" w:hAnsi="Times New Roman" w:cs="Times New Roman"/>
        </w:rPr>
        <w:t xml:space="preserve"> that </w:t>
      </w:r>
      <w:r w:rsidR="009409F1" w:rsidRPr="009642F7">
        <w:rPr>
          <w:rFonts w:ascii="Times New Roman" w:hAnsi="Times New Roman" w:cs="Times New Roman"/>
        </w:rPr>
        <w:t xml:space="preserve">the presence of foreign institutional ownership may serve as a substitution governance monitoring channel </w:t>
      </w:r>
      <w:r w:rsidR="006970E4" w:rsidRPr="009642F7">
        <w:rPr>
          <w:rFonts w:ascii="Times New Roman" w:hAnsi="Times New Roman" w:cs="Times New Roman"/>
        </w:rPr>
        <w:t>by engaging as external monitors to</w:t>
      </w:r>
      <w:r w:rsidRPr="009642F7">
        <w:rPr>
          <w:rFonts w:ascii="Times New Roman" w:hAnsi="Times New Roman" w:cs="Times New Roman"/>
        </w:rPr>
        <w:t xml:space="preserve"> curb </w:t>
      </w:r>
      <w:r w:rsidR="006970E4" w:rsidRPr="009642F7">
        <w:rPr>
          <w:rFonts w:ascii="Times New Roman" w:hAnsi="Times New Roman" w:cs="Times New Roman"/>
        </w:rPr>
        <w:t xml:space="preserve">managerial earnings manipulation behaviors due to the media-induced short-term pressure, </w:t>
      </w:r>
      <w:bookmarkStart w:id="57" w:name="OLE_LINK57"/>
      <w:r w:rsidR="006970E4" w:rsidRPr="009642F7">
        <w:rPr>
          <w:rFonts w:ascii="Times New Roman" w:hAnsi="Times New Roman" w:cs="Times New Roman"/>
        </w:rPr>
        <w:t>resulting in a reduc</w:t>
      </w:r>
      <w:r w:rsidR="00924F0E" w:rsidRPr="009642F7">
        <w:rPr>
          <w:rFonts w:ascii="Times New Roman" w:hAnsi="Times New Roman" w:cs="Times New Roman"/>
        </w:rPr>
        <w:t>tion</w:t>
      </w:r>
      <w:r w:rsidR="006970E4" w:rsidRPr="009642F7">
        <w:rPr>
          <w:rFonts w:ascii="Times New Roman" w:hAnsi="Times New Roman" w:cs="Times New Roman"/>
        </w:rPr>
        <w:t xml:space="preserve"> of </w:t>
      </w:r>
      <w:r w:rsidR="00815C07" w:rsidRPr="009642F7">
        <w:rPr>
          <w:rFonts w:ascii="Times New Roman" w:hAnsi="Times New Roman" w:cs="Times New Roman"/>
        </w:rPr>
        <w:t xml:space="preserve">making </w:t>
      </w:r>
      <w:r w:rsidR="006970E4" w:rsidRPr="009642F7">
        <w:rPr>
          <w:rFonts w:ascii="Times New Roman" w:hAnsi="Times New Roman" w:cs="Times New Roman"/>
        </w:rPr>
        <w:t xml:space="preserve">financial </w:t>
      </w:r>
      <w:r w:rsidR="00815C07" w:rsidRPr="009642F7">
        <w:rPr>
          <w:rFonts w:ascii="Times New Roman" w:hAnsi="Times New Roman" w:cs="Times New Roman"/>
        </w:rPr>
        <w:t xml:space="preserve">reporting </w:t>
      </w:r>
      <w:r w:rsidR="006970E4" w:rsidRPr="009642F7">
        <w:rPr>
          <w:rFonts w:ascii="Times New Roman" w:hAnsi="Times New Roman" w:cs="Times New Roman"/>
        </w:rPr>
        <w:t>restatement.</w:t>
      </w:r>
    </w:p>
    <w:bookmarkEnd w:id="55"/>
    <w:bookmarkEnd w:id="57"/>
    <w:p w14:paraId="62FCB652" w14:textId="77777777" w:rsidR="00C0131F" w:rsidRPr="009642F7" w:rsidRDefault="00C0131F" w:rsidP="00750EAA">
      <w:pPr>
        <w:rPr>
          <w:rFonts w:ascii="Times New Roman" w:hAnsi="Times New Roman" w:cs="Times New Roman"/>
        </w:rPr>
      </w:pPr>
    </w:p>
    <w:p w14:paraId="13EB46F3" w14:textId="58A0CD8F" w:rsidR="00750EAA" w:rsidRPr="009642F7" w:rsidRDefault="00EA1C58" w:rsidP="0088188D">
      <w:pPr>
        <w:jc w:val="both"/>
        <w:rPr>
          <w:rFonts w:ascii="Times New Roman" w:hAnsi="Times New Roman" w:cs="Times New Roman"/>
          <w:b/>
          <w:sz w:val="28"/>
        </w:rPr>
      </w:pPr>
      <w:r w:rsidRPr="009642F7">
        <w:rPr>
          <w:rFonts w:ascii="Times New Roman" w:hAnsi="Times New Roman" w:cs="Times New Roman"/>
          <w:b/>
          <w:sz w:val="28"/>
        </w:rPr>
        <w:t>5</w:t>
      </w:r>
      <w:r w:rsidR="00750EAA" w:rsidRPr="009642F7">
        <w:rPr>
          <w:rFonts w:ascii="Times New Roman" w:hAnsi="Times New Roman" w:cs="Times New Roman"/>
          <w:b/>
          <w:sz w:val="28"/>
        </w:rPr>
        <w:t>.2 Mediating Effect of Excess</w:t>
      </w:r>
      <w:r w:rsidR="0088188D" w:rsidRPr="009642F7">
        <w:t xml:space="preserve"> </w:t>
      </w:r>
      <w:r w:rsidR="0088188D" w:rsidRPr="009642F7">
        <w:rPr>
          <w:rFonts w:ascii="Times New Roman" w:hAnsi="Times New Roman" w:cs="Times New Roman"/>
          <w:b/>
          <w:sz w:val="28"/>
        </w:rPr>
        <w:t>Directors</w:t>
      </w:r>
      <w:r w:rsidR="00AC5747" w:rsidRPr="009642F7">
        <w:rPr>
          <w:rFonts w:ascii="Times New Roman" w:hAnsi="Times New Roman" w:cs="Times New Roman"/>
          <w:b/>
          <w:sz w:val="28"/>
        </w:rPr>
        <w:t>’</w:t>
      </w:r>
      <w:r w:rsidR="0088188D" w:rsidRPr="009642F7">
        <w:rPr>
          <w:rFonts w:ascii="Times New Roman" w:hAnsi="Times New Roman" w:cs="Times New Roman"/>
          <w:b/>
          <w:sz w:val="28"/>
        </w:rPr>
        <w:t xml:space="preserve"> and officers</w:t>
      </w:r>
      <w:r w:rsidR="00AC5747" w:rsidRPr="009642F7">
        <w:rPr>
          <w:rFonts w:ascii="Times New Roman" w:hAnsi="Times New Roman" w:cs="Times New Roman"/>
          <w:b/>
          <w:sz w:val="28"/>
        </w:rPr>
        <w:t>’</w:t>
      </w:r>
      <w:r w:rsidR="0088188D" w:rsidRPr="009642F7">
        <w:rPr>
          <w:rFonts w:ascii="Times New Roman" w:hAnsi="Times New Roman" w:cs="Times New Roman"/>
          <w:b/>
          <w:sz w:val="28"/>
        </w:rPr>
        <w:t xml:space="preserve"> liability insurance</w:t>
      </w:r>
      <w:r w:rsidR="00750EAA" w:rsidRPr="009642F7">
        <w:rPr>
          <w:rFonts w:ascii="Times New Roman" w:hAnsi="Times New Roman" w:cs="Times New Roman"/>
          <w:b/>
          <w:sz w:val="28"/>
        </w:rPr>
        <w:t xml:space="preserve"> Coverage</w:t>
      </w:r>
      <w:r w:rsidR="0088188D" w:rsidRPr="009642F7">
        <w:rPr>
          <w:rFonts w:ascii="Times New Roman" w:hAnsi="Times New Roman" w:cs="Times New Roman"/>
          <w:b/>
          <w:sz w:val="28"/>
        </w:rPr>
        <w:t xml:space="preserve"> </w:t>
      </w:r>
    </w:p>
    <w:p w14:paraId="091A9C4A" w14:textId="44C4A874" w:rsidR="0088188D" w:rsidRDefault="0088188D" w:rsidP="00B04FEE">
      <w:pPr>
        <w:ind w:firstLine="480"/>
        <w:jc w:val="both"/>
        <w:rPr>
          <w:rFonts w:ascii="Times New Roman" w:hAnsi="Times New Roman" w:cs="Times New Roman"/>
        </w:rPr>
      </w:pPr>
      <w:r w:rsidRPr="009642F7">
        <w:rPr>
          <w:rFonts w:ascii="Times New Roman" w:hAnsi="Times New Roman" w:cs="Times New Roman"/>
        </w:rPr>
        <w:t xml:space="preserve">Motivated by the evidence that the strengthening protection of the managerial legal liability by D&amp;O insurance </w:t>
      </w:r>
      <w:r w:rsidR="0047615C" w:rsidRPr="009642F7">
        <w:rPr>
          <w:rFonts w:ascii="Times New Roman" w:hAnsi="Times New Roman" w:cs="Times New Roman"/>
        </w:rPr>
        <w:t>encourages mana</w:t>
      </w:r>
      <w:r w:rsidRPr="009642F7">
        <w:rPr>
          <w:rFonts w:ascii="Times New Roman" w:hAnsi="Times New Roman" w:cs="Times New Roman"/>
        </w:rPr>
        <w:t xml:space="preserve">gers to restate financial reports </w:t>
      </w:r>
      <w:r w:rsidRPr="009642F7">
        <w:rPr>
          <w:rFonts w:ascii="Times New Roman" w:hAnsi="Times New Roman" w:cs="Times New Roman"/>
        </w:rPr>
        <w:fldChar w:fldCharType="begin"/>
      </w:r>
      <w:r w:rsidRPr="009642F7">
        <w:rPr>
          <w:rFonts w:ascii="Times New Roman" w:hAnsi="Times New Roman" w:cs="Times New Roman"/>
        </w:rPr>
        <w:instrText xml:space="preserve"> ADDIN EN.CITE &lt;EndNote&gt;&lt;Cite&gt;&lt;Author&gt;Weng&lt;/Author&gt;&lt;Year&gt;2017&lt;/Year&gt;&lt;RecNum&gt;177&lt;/RecNum&gt;&lt;DisplayText&gt;(Weng&lt;style face="italic"&gt; et al.&lt;/style&gt;, 2017)&lt;/DisplayText&gt;&lt;record&gt;&lt;rec-number&gt;177&lt;/rec-number&gt;&lt;foreign-keys&gt;&lt;key app="EN" db-id="t0f5rfdaptzwt1eda9cpvr9ptwtpr2wppa50" timestamp="1688220476"&gt;177&lt;/key&gt;&lt;/foreign-keys&gt;&lt;ref-type name="Journal Article"&gt;17&lt;/ref-type&gt;&lt;contributors&gt;&lt;authors&gt;&lt;author&gt;Weng, Tzu-Ching&lt;/author&gt;&lt;author&gt;Chen, Guang-Zheng&lt;/author&gt;&lt;author&gt;Chi, Hsin-Yi&lt;/author&gt;&lt;/authors&gt;&lt;/contributors&gt;&lt;titles&gt;&lt;title&gt;Effects of directors and officers liability insurance on accounting restatements&lt;/title&gt;&lt;secondary-title&gt;International Review of Economics &amp;amp; Finance&lt;/secondary-title&gt;&lt;/titles&gt;&lt;periodical&gt;&lt;full-title&gt;International Review of Economics &amp;amp; Finance&lt;/full-title&gt;&lt;/periodical&gt;&lt;pages&gt;437-452&lt;/pages&gt;&lt;volume&gt;49&lt;/volume&gt;&lt;keywords&gt;&lt;keyword&gt;Directors and officers liability insurance&lt;/keyword&gt;&lt;keyword&gt;Legal liability&lt;/keyword&gt;&lt;keyword&gt;Earnings restatements&lt;/keyword&gt;&lt;/keywords&gt;&lt;dates&gt;&lt;year&gt;2017&lt;/year&gt;&lt;pub-dates&gt;&lt;date&gt;2017/05/01/&lt;/date&gt;&lt;/pub-dates&gt;&lt;/dates&gt;&lt;isbn&gt;1059-0560&lt;/isbn&gt;&lt;urls&gt;&lt;related-urls&gt;&lt;url&gt;https://www.sciencedirect.com/science/article/pii/S1059056017301673&lt;/url&gt;&lt;/related-urls&gt;&lt;/urls&gt;&lt;electronic-resource-num&gt;https://doi.org/10.1016/j.iref.2017.02.010&lt;/electronic-resource-num&gt;&lt;/record&gt;&lt;/Cite&gt;&lt;/EndNote&gt;</w:instrText>
      </w:r>
      <w:r w:rsidRPr="009642F7">
        <w:rPr>
          <w:rFonts w:ascii="Times New Roman" w:hAnsi="Times New Roman" w:cs="Times New Roman"/>
        </w:rPr>
        <w:fldChar w:fldCharType="separate"/>
      </w:r>
      <w:r w:rsidRPr="009642F7">
        <w:rPr>
          <w:rFonts w:ascii="Times New Roman" w:hAnsi="Times New Roman" w:cs="Times New Roman"/>
        </w:rPr>
        <w:t>(Weng et al., 2017)</w:t>
      </w:r>
      <w:r w:rsidRPr="009642F7">
        <w:rPr>
          <w:rFonts w:ascii="Times New Roman" w:hAnsi="Times New Roman" w:cs="Times New Roman"/>
        </w:rPr>
        <w:fldChar w:fldCharType="end"/>
      </w:r>
      <w:r w:rsidR="00A56307" w:rsidRPr="009642F7">
        <w:rPr>
          <w:rFonts w:ascii="Times New Roman" w:hAnsi="Times New Roman" w:cs="Times New Roman"/>
        </w:rPr>
        <w:t>. In addition, g</w:t>
      </w:r>
      <w:r w:rsidRPr="009642F7">
        <w:rPr>
          <w:rFonts w:ascii="Times New Roman" w:hAnsi="Times New Roman" w:cs="Times New Roman"/>
        </w:rPr>
        <w:t>iven that the short-term pressure of mass media has the impact of driving managers to misstate reported earnings</w:t>
      </w:r>
      <w:r w:rsidR="00A56307" w:rsidRPr="009642F7">
        <w:rPr>
          <w:rFonts w:ascii="Times New Roman" w:hAnsi="Times New Roman" w:cs="Times New Roman"/>
        </w:rPr>
        <w:t xml:space="preserve">, we </w:t>
      </w:r>
      <w:r w:rsidR="00B04FEE" w:rsidRPr="009642F7">
        <w:rPr>
          <w:rFonts w:ascii="Times New Roman" w:hAnsi="Times New Roman" w:cs="Times New Roman"/>
        </w:rPr>
        <w:t>propose</w:t>
      </w:r>
      <w:r w:rsidR="00A56307" w:rsidRPr="009642F7">
        <w:rPr>
          <w:rFonts w:ascii="Times New Roman" w:hAnsi="Times New Roman" w:cs="Times New Roman"/>
        </w:rPr>
        <w:t xml:space="preserve"> the</w:t>
      </w:r>
      <w:r w:rsidR="00B04FEE" w:rsidRPr="009642F7">
        <w:rPr>
          <w:rFonts w:ascii="Times New Roman" w:hAnsi="Times New Roman" w:cs="Times New Roman"/>
        </w:rPr>
        <w:t xml:space="preserve"> financial restatement-exacerbating effect of media coverage to be more evident for firms covered by high level of </w:t>
      </w:r>
      <w:bookmarkStart w:id="58" w:name="OLE_LINK66"/>
      <w:r w:rsidR="00B04FEE" w:rsidRPr="009642F7">
        <w:rPr>
          <w:rFonts w:ascii="Times New Roman" w:hAnsi="Times New Roman" w:cs="Times New Roman"/>
        </w:rPr>
        <w:t>D&amp;O insurance</w:t>
      </w:r>
      <w:bookmarkEnd w:id="58"/>
      <w:r w:rsidR="00B04FEE" w:rsidRPr="009642F7">
        <w:rPr>
          <w:rFonts w:ascii="Times New Roman" w:hAnsi="Times New Roman" w:cs="Times New Roman"/>
        </w:rPr>
        <w:t>.</w:t>
      </w:r>
      <w:r w:rsidR="00A56307" w:rsidRPr="009642F7">
        <w:rPr>
          <w:rFonts w:ascii="Times New Roman" w:hAnsi="Times New Roman" w:cs="Times New Roman"/>
        </w:rPr>
        <w:t xml:space="preserve"> </w:t>
      </w:r>
    </w:p>
    <w:p w14:paraId="0D2D237F" w14:textId="7CE8AFB2" w:rsidR="006E50F3" w:rsidRPr="009642F7" w:rsidRDefault="006E50F3" w:rsidP="006E50F3">
      <w:pPr>
        <w:ind w:firstLine="480"/>
        <w:jc w:val="center"/>
        <w:rPr>
          <w:rFonts w:ascii="Times New Roman" w:hAnsi="Times New Roman" w:cs="Times New Roman"/>
        </w:rPr>
      </w:pPr>
      <w:r>
        <w:rPr>
          <w:rFonts w:ascii="Times New Roman" w:hAnsi="Times New Roman" w:cs="Times New Roman"/>
          <w:b/>
          <w:noProof/>
          <w:sz w:val="28"/>
          <w:szCs w:val="28"/>
        </w:rPr>
        <w:t>&lt;&lt;Insert Table 7 Here&gt;&gt;</w:t>
      </w:r>
    </w:p>
    <w:p w14:paraId="037C7663" w14:textId="484A2A8A" w:rsidR="00873628" w:rsidRPr="009642F7" w:rsidRDefault="00507C2B" w:rsidP="003A3B3B">
      <w:pPr>
        <w:ind w:firstLine="480"/>
        <w:jc w:val="both"/>
        <w:rPr>
          <w:rFonts w:ascii="Times New Roman" w:eastAsia="HeiT" w:hAnsi="Times New Roman" w:cs="Times New Roman"/>
        </w:rPr>
      </w:pPr>
      <w:r w:rsidRPr="009642F7">
        <w:rPr>
          <w:rFonts w:ascii="Times New Roman" w:hAnsi="Times New Roman" w:cs="Times New Roman"/>
        </w:rPr>
        <w:t xml:space="preserve">To conduct this test, we employ a variable of excess </w:t>
      </w:r>
      <w:r w:rsidRPr="009642F7">
        <w:rPr>
          <w:rFonts w:ascii="Times New Roman" w:hAnsi="Times New Roman" w:cs="Times New Roman" w:hint="eastAsia"/>
        </w:rPr>
        <w:t>D&amp;O insurance</w:t>
      </w:r>
      <w:r w:rsidRPr="009642F7">
        <w:rPr>
          <w:rFonts w:ascii="Times New Roman" w:hAnsi="Times New Roman" w:cs="Times New Roman"/>
        </w:rPr>
        <w:t xml:space="preserve"> coverage (</w:t>
      </w:r>
      <w:r w:rsidRPr="009642F7">
        <w:rPr>
          <w:rFonts w:ascii="Times New Roman" w:hAnsi="Times New Roman" w:cs="Times New Roman"/>
          <w:i/>
          <w:iCs/>
        </w:rPr>
        <w:t>XDOI</w:t>
      </w:r>
      <w:r w:rsidRPr="009642F7">
        <w:rPr>
          <w:rFonts w:ascii="Times New Roman" w:hAnsi="Times New Roman" w:cs="Times New Roman"/>
        </w:rPr>
        <w:t xml:space="preserve">), which </w:t>
      </w:r>
      <w:r w:rsidR="0047615C" w:rsidRPr="009642F7">
        <w:rPr>
          <w:rFonts w:ascii="Times New Roman" w:hAnsi="Times New Roman" w:cs="Times New Roman"/>
        </w:rPr>
        <w:t xml:space="preserve">is </w:t>
      </w:r>
      <w:r w:rsidRPr="009642F7">
        <w:rPr>
          <w:rFonts w:ascii="Times New Roman" w:hAnsi="Times New Roman" w:cs="Times New Roman" w:hint="eastAsia"/>
        </w:rPr>
        <w:t>measured</w:t>
      </w:r>
      <w:r w:rsidRPr="009642F7">
        <w:rPr>
          <w:rFonts w:ascii="Times New Roman" w:hAnsi="Times New Roman" w:cs="Times New Roman"/>
        </w:rPr>
        <w:t xml:space="preserve"> as the difference between expected and actual </w:t>
      </w:r>
      <w:bookmarkStart w:id="59" w:name="OLE_LINK61"/>
      <w:r w:rsidRPr="009642F7">
        <w:rPr>
          <w:rFonts w:ascii="Times New Roman" w:hAnsi="Times New Roman" w:cs="Times New Roman" w:hint="eastAsia"/>
        </w:rPr>
        <w:t>D&amp;O insurance</w:t>
      </w:r>
      <w:r w:rsidRPr="009642F7">
        <w:rPr>
          <w:rFonts w:ascii="Times New Roman" w:hAnsi="Times New Roman" w:cs="Times New Roman"/>
        </w:rPr>
        <w:t xml:space="preserve"> </w:t>
      </w:r>
      <w:bookmarkEnd w:id="59"/>
      <w:r w:rsidRPr="009642F7">
        <w:rPr>
          <w:rFonts w:ascii="Times New Roman" w:hAnsi="Times New Roman" w:cs="Times New Roman"/>
        </w:rPr>
        <w:t xml:space="preserve">coverage in </w:t>
      </w:r>
      <w:r w:rsidRPr="009642F7">
        <w:rPr>
          <w:rFonts w:ascii="Times New Roman" w:hAnsi="Times New Roman" w:cs="Times New Roman" w:hint="eastAsia"/>
        </w:rPr>
        <w:t>a given</w:t>
      </w:r>
      <w:r w:rsidRPr="009642F7">
        <w:rPr>
          <w:rFonts w:ascii="Times New Roman" w:hAnsi="Times New Roman" w:cs="Times New Roman"/>
        </w:rPr>
        <w:t xml:space="preserve"> year, as</w:t>
      </w:r>
      <w:r w:rsidR="002B7F08" w:rsidRPr="009642F7">
        <w:rPr>
          <w:rFonts w:ascii="Times New Roman" w:hAnsi="Times New Roman" w:cs="Times New Roman"/>
        </w:rPr>
        <w:t xml:space="preserve"> </w:t>
      </w:r>
      <w:r w:rsidRPr="009642F7">
        <w:rPr>
          <w:rFonts w:ascii="Times New Roman" w:hAnsi="Times New Roman" w:cs="Times New Roman"/>
        </w:rPr>
        <w:t xml:space="preserve">a proxy for </w:t>
      </w:r>
      <w:r w:rsidR="0047615C" w:rsidRPr="009642F7">
        <w:rPr>
          <w:rFonts w:ascii="Times New Roman" w:hAnsi="Times New Roman" w:cs="Times New Roman"/>
        </w:rPr>
        <w:t xml:space="preserve">a </w:t>
      </w:r>
      <w:r w:rsidRPr="009642F7">
        <w:rPr>
          <w:rFonts w:ascii="Times New Roman" w:hAnsi="Times New Roman" w:cs="Times New Roman"/>
        </w:rPr>
        <w:t xml:space="preserve">firm protected by </w:t>
      </w:r>
      <w:r w:rsidRPr="009642F7">
        <w:rPr>
          <w:rFonts w:ascii="Times New Roman" w:hAnsi="Times New Roman" w:cs="Times New Roman" w:hint="eastAsia"/>
        </w:rPr>
        <w:t>D&amp;O insurance</w:t>
      </w:r>
      <w:r w:rsidRPr="009642F7">
        <w:rPr>
          <w:rFonts w:ascii="CharisSIL" w:eastAsia="CharisSIL"/>
          <w:sz w:val="16"/>
          <w:szCs w:val="16"/>
        </w:rPr>
        <w:t xml:space="preserve">. </w:t>
      </w:r>
      <w:r w:rsidR="003A295E" w:rsidRPr="009642F7">
        <w:rPr>
          <w:rFonts w:ascii="Times New Roman" w:hAnsi="Times New Roman" w:cs="Times New Roman"/>
        </w:rPr>
        <w:t xml:space="preserve">Table </w:t>
      </w:r>
      <w:r w:rsidRPr="009642F7">
        <w:rPr>
          <w:rFonts w:ascii="Times New Roman" w:hAnsi="Times New Roman" w:cs="Times New Roman"/>
        </w:rPr>
        <w:t xml:space="preserve">7 </w:t>
      </w:r>
      <w:r w:rsidR="003A295E" w:rsidRPr="009642F7">
        <w:rPr>
          <w:rFonts w:ascii="Times New Roman" w:hAnsi="Times New Roman" w:cs="Times New Roman"/>
        </w:rPr>
        <w:t xml:space="preserve">reports the results of </w:t>
      </w:r>
      <w:r w:rsidRPr="009642F7">
        <w:rPr>
          <w:rFonts w:ascii="Times New Roman" w:hAnsi="Times New Roman" w:cs="Times New Roman"/>
        </w:rPr>
        <w:t xml:space="preserve">Probit regressions analyses by estimating Model (3) of Table 4 for each </w:t>
      </w:r>
      <w:r w:rsidRPr="009642F7">
        <w:rPr>
          <w:rFonts w:ascii="Times New Roman" w:hAnsi="Times New Roman" w:cs="Times New Roman"/>
          <w:i/>
        </w:rPr>
        <w:t>XDOI</w:t>
      </w:r>
      <w:r w:rsidRPr="009642F7">
        <w:rPr>
          <w:rFonts w:ascii="Times New Roman" w:hAnsi="Times New Roman" w:cs="Times New Roman"/>
        </w:rPr>
        <w:t xml:space="preserve"> tertiles</w:t>
      </w:r>
      <w:r w:rsidR="003A295E" w:rsidRPr="009642F7">
        <w:rPr>
          <w:rFonts w:ascii="Times New Roman" w:hAnsi="Times New Roman" w:cs="Times New Roman"/>
        </w:rPr>
        <w:t xml:space="preserve">, </w:t>
      </w:r>
      <w:r w:rsidRPr="009642F7">
        <w:rPr>
          <w:rFonts w:ascii="Times New Roman" w:hAnsi="Times New Roman" w:cs="Times New Roman"/>
        </w:rPr>
        <w:t xml:space="preserve">in which the </w:t>
      </w:r>
      <w:r w:rsidR="003A295E" w:rsidRPr="009642F7">
        <w:rPr>
          <w:rFonts w:ascii="Times New Roman" w:hAnsi="Times New Roman" w:cs="Times New Roman"/>
        </w:rPr>
        <w:t xml:space="preserve">sample stocks are allocated into three subsamples of high, medium, and low </w:t>
      </w:r>
      <w:r w:rsidR="003A295E" w:rsidRPr="009642F7">
        <w:rPr>
          <w:rFonts w:ascii="Times New Roman" w:hAnsi="Times New Roman" w:cs="Times New Roman"/>
          <w:i/>
        </w:rPr>
        <w:t>XDOI</w:t>
      </w:r>
      <w:r w:rsidR="003A295E" w:rsidRPr="009642F7">
        <w:rPr>
          <w:rFonts w:ascii="Times New Roman" w:hAnsi="Times New Roman" w:cs="Times New Roman"/>
        </w:rPr>
        <w:t xml:space="preserve"> (denoted as High, Medium, and Low)</w:t>
      </w:r>
      <w:bookmarkStart w:id="60" w:name="OLE_LINK62"/>
      <w:r w:rsidR="003A295E" w:rsidRPr="009642F7">
        <w:rPr>
          <w:rFonts w:ascii="Times New Roman" w:hAnsi="Times New Roman" w:cs="Times New Roman"/>
        </w:rPr>
        <w:t>.</w:t>
      </w:r>
      <w:r w:rsidR="00E94134" w:rsidRPr="009642F7">
        <w:rPr>
          <w:rFonts w:ascii="Times New Roman" w:hAnsi="Times New Roman" w:cs="Times New Roman"/>
        </w:rPr>
        <w:t xml:space="preserve"> </w:t>
      </w:r>
      <w:r w:rsidR="003A3B3B" w:rsidRPr="009642F7">
        <w:rPr>
          <w:rFonts w:ascii="Times New Roman" w:hAnsi="Times New Roman" w:cs="Times New Roman"/>
        </w:rPr>
        <w:t>The regression results show that only the coefficient estimate on the group of high-</w:t>
      </w:r>
      <w:r w:rsidR="003A3B3B" w:rsidRPr="009642F7">
        <w:rPr>
          <w:rFonts w:ascii="Times New Roman" w:hAnsi="Times New Roman" w:cs="Times New Roman"/>
          <w:i/>
          <w:iCs/>
        </w:rPr>
        <w:t>XDOI</w:t>
      </w:r>
      <w:r w:rsidR="003A3B3B" w:rsidRPr="009642F7">
        <w:rPr>
          <w:rFonts w:ascii="Times New Roman" w:hAnsi="Times New Roman" w:cs="Times New Roman"/>
        </w:rPr>
        <w:t xml:space="preserve"> is significantly positive</w:t>
      </w:r>
      <w:bookmarkStart w:id="61" w:name="OLE_LINK43"/>
      <w:bookmarkEnd w:id="60"/>
      <w:r w:rsidR="003A3B3B" w:rsidRPr="009642F7">
        <w:rPr>
          <w:rFonts w:ascii="Times New Roman" w:hAnsi="Times New Roman" w:cs="Times New Roman"/>
        </w:rPr>
        <w:t xml:space="preserve"> (</w:t>
      </w:r>
      <w:r w:rsidR="003A3B3B" w:rsidRPr="009642F7">
        <w:rPr>
          <w:rFonts w:ascii="Times New Roman" w:eastAsia="HeiT" w:hAnsi="Times New Roman" w:cs="Times New Roman"/>
        </w:rPr>
        <w:t xml:space="preserve">0.328 with </w:t>
      </w:r>
      <w:bookmarkStart w:id="62" w:name="OLE_LINK63"/>
      <w:r w:rsidR="003A3B3B" w:rsidRPr="009642F7">
        <w:rPr>
          <w:rFonts w:ascii="Times New Roman" w:eastAsia="HeiT" w:hAnsi="Times New Roman" w:cs="Times New Roman"/>
        </w:rPr>
        <w:t>5% significance level</w:t>
      </w:r>
      <w:bookmarkEnd w:id="62"/>
      <w:r w:rsidR="003A3B3B" w:rsidRPr="009642F7">
        <w:rPr>
          <w:rFonts w:ascii="Times New Roman" w:eastAsia="HeiT" w:hAnsi="Times New Roman" w:cs="Times New Roman"/>
        </w:rPr>
        <w:t>)</w:t>
      </w:r>
      <w:r w:rsidR="00DF7D78" w:rsidRPr="009642F7">
        <w:rPr>
          <w:rFonts w:ascii="Times New Roman" w:eastAsia="HeiT" w:hAnsi="Times New Roman" w:cs="Times New Roman"/>
        </w:rPr>
        <w:t xml:space="preserve">. The remaining group of medium- and low- </w:t>
      </w:r>
      <w:r w:rsidR="00DF7D78" w:rsidRPr="009642F7">
        <w:rPr>
          <w:rFonts w:ascii="Times New Roman" w:eastAsia="HeiT" w:hAnsi="Times New Roman" w:cs="Times New Roman"/>
          <w:i/>
          <w:iCs/>
        </w:rPr>
        <w:t>XDOI</w:t>
      </w:r>
      <w:r w:rsidR="00DF7D78" w:rsidRPr="009642F7">
        <w:rPr>
          <w:rFonts w:ascii="Times New Roman" w:eastAsia="HeiT" w:hAnsi="Times New Roman" w:cs="Times New Roman"/>
        </w:rPr>
        <w:t xml:space="preserve"> appear</w:t>
      </w:r>
      <w:r w:rsidR="0047615C" w:rsidRPr="009642F7">
        <w:rPr>
          <w:rFonts w:ascii="Times New Roman" w:eastAsia="HeiT" w:hAnsi="Times New Roman" w:cs="Times New Roman"/>
        </w:rPr>
        <w:t>s</w:t>
      </w:r>
      <w:r w:rsidR="00DF7D78" w:rsidRPr="009642F7">
        <w:rPr>
          <w:rFonts w:ascii="Times New Roman" w:eastAsia="HeiT" w:hAnsi="Times New Roman" w:cs="Times New Roman"/>
        </w:rPr>
        <w:t xml:space="preserve"> </w:t>
      </w:r>
      <w:r w:rsidR="0047615C" w:rsidRPr="009642F7">
        <w:rPr>
          <w:rFonts w:ascii="Times New Roman" w:eastAsia="HeiT" w:hAnsi="Times New Roman" w:cs="Times New Roman"/>
        </w:rPr>
        <w:t>insignificant</w:t>
      </w:r>
      <w:r w:rsidR="00DF7D78" w:rsidRPr="009642F7">
        <w:rPr>
          <w:rFonts w:ascii="Times New Roman" w:eastAsia="HeiT" w:hAnsi="Times New Roman" w:cs="Times New Roman"/>
        </w:rPr>
        <w:t xml:space="preserve"> over the sample period. </w:t>
      </w:r>
      <w:r w:rsidR="0047615C" w:rsidRPr="009642F7">
        <w:rPr>
          <w:rFonts w:ascii="Times New Roman" w:eastAsia="HeiT" w:hAnsi="Times New Roman" w:cs="Times New Roman"/>
        </w:rPr>
        <w:t>Additionally</w:t>
      </w:r>
      <w:r w:rsidR="00DF7D78" w:rsidRPr="009642F7">
        <w:rPr>
          <w:rFonts w:ascii="Times New Roman" w:eastAsia="HeiT" w:hAnsi="Times New Roman" w:cs="Times New Roman"/>
        </w:rPr>
        <w:t xml:space="preserve">, </w:t>
      </w:r>
      <w:bookmarkStart w:id="63" w:name="OLE_LINK64"/>
      <w:r w:rsidR="00DF7D78" w:rsidRPr="009642F7">
        <w:rPr>
          <w:rFonts w:ascii="Times New Roman" w:eastAsia="HeiT" w:hAnsi="Times New Roman" w:cs="Times New Roman"/>
        </w:rPr>
        <w:t xml:space="preserve">when we use the </w:t>
      </w:r>
      <w:r w:rsidR="00DF7D78" w:rsidRPr="009642F7">
        <w:rPr>
          <w:rFonts w:ascii="Times New Roman" w:hAnsi="Times New Roman" w:cs="Times New Roman"/>
          <w:i/>
        </w:rPr>
        <w:t>F</w:t>
      </w:r>
      <w:r w:rsidR="00DF7D78" w:rsidRPr="009642F7">
        <w:rPr>
          <w:rFonts w:ascii="Times New Roman" w:hAnsi="Times New Roman" w:cs="Times New Roman"/>
        </w:rPr>
        <w:t xml:space="preserve">-test to compare the coefficients on </w:t>
      </w:r>
      <m:oMath>
        <m:sSub>
          <m:sSubPr>
            <m:ctrlPr>
              <w:rPr>
                <w:rFonts w:ascii="Cambria Math" w:eastAsia="HeiT" w:hAnsi="Cambria Math" w:cs="Times New Roman"/>
                <w:i/>
              </w:rPr>
            </m:ctrlPr>
          </m:sSubPr>
          <m:e>
            <m:r>
              <w:rPr>
                <w:rFonts w:ascii="Cambria Math" w:eastAsia="HeiT" w:hAnsi="Cambria Math" w:cs="Times New Roman"/>
              </w:rPr>
              <m:t>Ln</m:t>
            </m:r>
            <m:r>
              <w:rPr>
                <w:rFonts w:ascii="Cambria Math" w:hAnsi="Cambria Math" w:cs="Times New Roman"/>
              </w:rPr>
              <m:t>Media</m:t>
            </m:r>
          </m:e>
          <m:sub>
            <m:r>
              <w:rPr>
                <w:rFonts w:ascii="Cambria Math" w:eastAsia="HeiT" w:hAnsi="Cambria Math" w:cs="Times New Roman"/>
              </w:rPr>
              <m:t>i,t-1</m:t>
            </m:r>
          </m:sub>
        </m:sSub>
      </m:oMath>
      <w:r w:rsidR="00DF7D78" w:rsidRPr="009642F7">
        <w:rPr>
          <w:rFonts w:ascii="Times New Roman" w:hAnsi="Times New Roman" w:cs="Times New Roman"/>
        </w:rPr>
        <w:t xml:space="preserve"> between High- and Low-</w:t>
      </w:r>
      <w:r w:rsidR="00DF7D78" w:rsidRPr="009642F7">
        <w:rPr>
          <w:rFonts w:ascii="Times New Roman" w:hAnsi="Times New Roman" w:cs="Times New Roman"/>
          <w:i/>
        </w:rPr>
        <w:t>XDOI</w:t>
      </w:r>
      <w:r w:rsidR="00DF7D78" w:rsidRPr="009642F7">
        <w:rPr>
          <w:rFonts w:ascii="Times New Roman" w:hAnsi="Times New Roman" w:cs="Times New Roman"/>
        </w:rPr>
        <w:t xml:space="preserve"> subsamples,</w:t>
      </w:r>
      <w:r w:rsidR="00DF7D78" w:rsidRPr="009642F7">
        <w:rPr>
          <w:rFonts w:ascii="Times New Roman" w:eastAsia="HeiT" w:hAnsi="Times New Roman" w:cs="Times New Roman"/>
        </w:rPr>
        <w:t xml:space="preserve"> the </w:t>
      </w:r>
      <w:r w:rsidR="006D1E2F" w:rsidRPr="009642F7">
        <w:rPr>
          <w:rFonts w:ascii="Times New Roman" w:eastAsia="HeiT" w:hAnsi="Times New Roman" w:cs="Times New Roman"/>
        </w:rPr>
        <w:t xml:space="preserve">finding show a significantly positive </w:t>
      </w:r>
      <w:r w:rsidR="00DF7D78" w:rsidRPr="009642F7">
        <w:rPr>
          <w:rFonts w:ascii="Times New Roman" w:eastAsia="HeiT" w:hAnsi="Times New Roman" w:cs="Times New Roman"/>
        </w:rPr>
        <w:t xml:space="preserve">coefficient </w:t>
      </w:r>
      <w:r w:rsidR="006D1E2F" w:rsidRPr="009642F7">
        <w:rPr>
          <w:rFonts w:ascii="Times New Roman" w:eastAsia="HeiT" w:hAnsi="Times New Roman" w:cs="Times New Roman"/>
        </w:rPr>
        <w:t>(0.221 with 1% significance level)</w:t>
      </w:r>
      <w:r w:rsidR="00873628" w:rsidRPr="009642F7">
        <w:rPr>
          <w:rFonts w:ascii="Times New Roman" w:eastAsia="HeiT" w:hAnsi="Times New Roman" w:cs="Times New Roman"/>
        </w:rPr>
        <w:t>.</w:t>
      </w:r>
    </w:p>
    <w:p w14:paraId="625E09F8" w14:textId="0767396C" w:rsidR="00815C07" w:rsidRPr="009642F7" w:rsidRDefault="00873628" w:rsidP="003A3B3B">
      <w:pPr>
        <w:ind w:firstLine="480"/>
        <w:jc w:val="both"/>
        <w:rPr>
          <w:rFonts w:ascii="Times New Roman" w:eastAsia="HeiT" w:hAnsi="Times New Roman" w:cs="Times New Roman"/>
        </w:rPr>
      </w:pPr>
      <w:r w:rsidRPr="009642F7">
        <w:rPr>
          <w:rFonts w:ascii="Times New Roman" w:eastAsia="HeiT" w:hAnsi="Times New Roman" w:cs="Times New Roman"/>
        </w:rPr>
        <w:t xml:space="preserve">Taken together, the results in Table 7 suggest that the positive effect of </w:t>
      </w:r>
      <w:r w:rsidRPr="009642F7">
        <w:rPr>
          <w:rFonts w:ascii="Times New Roman" w:eastAsia="HeiT" w:hAnsi="Times New Roman" w:cs="Times New Roman"/>
          <w:i/>
          <w:iCs/>
        </w:rPr>
        <w:t>Media</w:t>
      </w:r>
      <w:r w:rsidRPr="009642F7">
        <w:rPr>
          <w:rFonts w:ascii="Times New Roman" w:eastAsia="HeiT" w:hAnsi="Times New Roman" w:cs="Times New Roman"/>
        </w:rPr>
        <w:t xml:space="preserve"> on the incidence of financial restatemen</w:t>
      </w:r>
      <w:r w:rsidRPr="009642F7">
        <w:rPr>
          <w:rFonts w:ascii="Times New Roman" w:eastAsia="HeiT" w:hAnsi="Times New Roman" w:cs="Times New Roman" w:hint="eastAsia"/>
        </w:rPr>
        <w:t>t</w:t>
      </w:r>
      <w:r w:rsidRPr="009642F7">
        <w:rPr>
          <w:rFonts w:ascii="Times New Roman" w:eastAsia="HeiT" w:hAnsi="Times New Roman" w:cs="Times New Roman"/>
        </w:rPr>
        <w:t xml:space="preserve"> is more pronounce</w:t>
      </w:r>
      <w:r w:rsidR="0047615C" w:rsidRPr="009642F7">
        <w:rPr>
          <w:rFonts w:ascii="Times New Roman" w:eastAsia="HeiT" w:hAnsi="Times New Roman" w:cs="Times New Roman"/>
        </w:rPr>
        <w:t>d</w:t>
      </w:r>
      <w:r w:rsidRPr="009642F7">
        <w:rPr>
          <w:rFonts w:ascii="Times New Roman" w:eastAsia="HeiT" w:hAnsi="Times New Roman" w:cs="Times New Roman"/>
        </w:rPr>
        <w:t xml:space="preserve"> for firms with higher D&amp;O insurance level</w:t>
      </w:r>
      <w:bookmarkEnd w:id="63"/>
      <w:r w:rsidR="00922B54" w:rsidRPr="009642F7">
        <w:rPr>
          <w:rFonts w:ascii="Times New Roman" w:eastAsia="HeiT" w:hAnsi="Times New Roman" w:cs="Times New Roman"/>
        </w:rPr>
        <w:t xml:space="preserve">, </w:t>
      </w:r>
      <w:r w:rsidR="00815C07" w:rsidRPr="009642F7">
        <w:rPr>
          <w:rFonts w:ascii="Times New Roman" w:eastAsia="HeiT" w:hAnsi="Times New Roman" w:cs="Times New Roman"/>
        </w:rPr>
        <w:t xml:space="preserve">suggesting that the </w:t>
      </w:r>
      <w:r w:rsidR="00922B54" w:rsidRPr="009642F7">
        <w:rPr>
          <w:rFonts w:ascii="Times New Roman" w:eastAsia="HeiT" w:hAnsi="Times New Roman" w:cs="Times New Roman"/>
        </w:rPr>
        <w:t xml:space="preserve">engagement of D&amp;O insurance cause the decreasing managerial legal liability and thus contribute as a complementary role in aggravating the media-driven short-term performance pressure. As a result, </w:t>
      </w:r>
      <w:r w:rsidR="000F0F62" w:rsidRPr="009642F7">
        <w:rPr>
          <w:rFonts w:ascii="Times New Roman" w:eastAsia="HeiT" w:hAnsi="Times New Roman" w:cs="Times New Roman"/>
        </w:rPr>
        <w:t xml:space="preserve">consistent with our conjecture, </w:t>
      </w:r>
      <w:bookmarkStart w:id="64" w:name="OLE_LINK69"/>
      <w:r w:rsidR="00922B54" w:rsidRPr="009642F7">
        <w:rPr>
          <w:rFonts w:ascii="Times New Roman" w:eastAsia="HeiT" w:hAnsi="Times New Roman" w:cs="Times New Roman"/>
        </w:rPr>
        <w:t>the moderating effect of D&amp;O insurance lead</w:t>
      </w:r>
      <w:r w:rsidR="0030201C" w:rsidRPr="009642F7">
        <w:rPr>
          <w:rFonts w:ascii="Times New Roman" w:eastAsia="HeiT" w:hAnsi="Times New Roman" w:cs="Times New Roman"/>
        </w:rPr>
        <w:t>s</w:t>
      </w:r>
      <w:r w:rsidR="00922B54" w:rsidRPr="009642F7">
        <w:rPr>
          <w:rFonts w:ascii="Times New Roman" w:eastAsia="HeiT" w:hAnsi="Times New Roman" w:cs="Times New Roman"/>
        </w:rPr>
        <w:t xml:space="preserve"> to encourage man</w:t>
      </w:r>
      <w:r w:rsidR="0030201C" w:rsidRPr="009642F7">
        <w:rPr>
          <w:rFonts w:ascii="Times New Roman" w:eastAsia="HeiT" w:hAnsi="Times New Roman" w:cs="Times New Roman"/>
        </w:rPr>
        <w:t>a</w:t>
      </w:r>
      <w:r w:rsidR="00922B54" w:rsidRPr="009642F7">
        <w:rPr>
          <w:rFonts w:ascii="Times New Roman" w:eastAsia="HeiT" w:hAnsi="Times New Roman" w:cs="Times New Roman"/>
        </w:rPr>
        <w:t xml:space="preserve">gers to </w:t>
      </w:r>
      <w:r w:rsidR="0030201C" w:rsidRPr="009642F7">
        <w:rPr>
          <w:rFonts w:ascii="Times New Roman" w:eastAsia="HeiT" w:hAnsi="Times New Roman" w:cs="Times New Roman"/>
        </w:rPr>
        <w:t>abnormally misstate financial statements.</w:t>
      </w:r>
      <w:r w:rsidR="00922B54" w:rsidRPr="009642F7">
        <w:rPr>
          <w:rFonts w:ascii="Times New Roman" w:eastAsia="HeiT" w:hAnsi="Times New Roman" w:cs="Times New Roman"/>
        </w:rPr>
        <w:t xml:space="preserve"> </w:t>
      </w:r>
    </w:p>
    <w:bookmarkEnd w:id="61"/>
    <w:p w14:paraId="4CB163FB" w14:textId="77777777" w:rsidR="00815C07" w:rsidRDefault="00815C07" w:rsidP="00815C07">
      <w:pPr>
        <w:rPr>
          <w:rFonts w:ascii="Times New Roman" w:hAnsi="Times New Roman" w:cs="Times New Roman"/>
        </w:rPr>
      </w:pPr>
    </w:p>
    <w:p w14:paraId="3903D5CB" w14:textId="77777777" w:rsidR="00DE6A9F" w:rsidRPr="009642F7" w:rsidRDefault="00DE6A9F" w:rsidP="00815C07">
      <w:pPr>
        <w:rPr>
          <w:rFonts w:ascii="Times New Roman" w:hAnsi="Times New Roman" w:cs="Times New Roman"/>
        </w:rPr>
      </w:pPr>
    </w:p>
    <w:bookmarkEnd w:id="64"/>
    <w:p w14:paraId="74620836" w14:textId="77777777" w:rsidR="00750EAA" w:rsidRPr="009642F7" w:rsidRDefault="00EA1C58">
      <w:pPr>
        <w:rPr>
          <w:rFonts w:ascii="Times New Roman" w:hAnsi="Times New Roman" w:cs="Times New Roman"/>
          <w:b/>
          <w:sz w:val="32"/>
        </w:rPr>
      </w:pPr>
      <w:r w:rsidRPr="009642F7">
        <w:rPr>
          <w:rFonts w:ascii="Times New Roman" w:hAnsi="Times New Roman" w:cs="Times New Roman"/>
          <w:b/>
          <w:sz w:val="32"/>
        </w:rPr>
        <w:t>6</w:t>
      </w:r>
      <w:r w:rsidR="00750EAA" w:rsidRPr="009642F7">
        <w:rPr>
          <w:rFonts w:ascii="Times New Roman" w:hAnsi="Times New Roman" w:cs="Times New Roman"/>
          <w:b/>
          <w:sz w:val="32"/>
        </w:rPr>
        <w:t>. Conclusion</w:t>
      </w:r>
      <w:r w:rsidR="00C0131F" w:rsidRPr="009642F7">
        <w:rPr>
          <w:rFonts w:ascii="Times New Roman" w:hAnsi="Times New Roman" w:cs="Times New Roman"/>
          <w:b/>
          <w:sz w:val="32"/>
        </w:rPr>
        <w:t>s</w:t>
      </w:r>
    </w:p>
    <w:p w14:paraId="6FE1FE3F" w14:textId="773DB76C" w:rsidR="00E2670A" w:rsidRPr="009642F7" w:rsidRDefault="00E2670A" w:rsidP="00E2670A">
      <w:pPr>
        <w:ind w:firstLineChars="200" w:firstLine="480"/>
        <w:jc w:val="both"/>
        <w:rPr>
          <w:rFonts w:ascii="Times New Roman" w:hAnsi="Times New Roman" w:cs="Times New Roman"/>
        </w:rPr>
      </w:pPr>
      <w:r w:rsidRPr="009642F7">
        <w:rPr>
          <w:rFonts w:ascii="Times New Roman" w:hAnsi="Times New Roman" w:cs="Times New Roman"/>
        </w:rPr>
        <w:lastRenderedPageBreak/>
        <w:t xml:space="preserve">This study focuses on the impact of media coverage on the occurrence of financial restatements in Taiwan-listed firms by examining two competing hypotheses: the media monitoring hypothesis and the media pressure hypothesis. The media monitoring hypothesis suggests that media coverage acts as an external monitoring mechanism, deterring fraudulent practices and improving financial reporting quality, thereby reducing </w:t>
      </w:r>
      <w:r w:rsidR="0047615C" w:rsidRPr="009642F7">
        <w:rPr>
          <w:rFonts w:ascii="Times New Roman" w:hAnsi="Times New Roman" w:cs="Times New Roman"/>
        </w:rPr>
        <w:t xml:space="preserve">the </w:t>
      </w:r>
      <w:r w:rsidRPr="009642F7">
        <w:rPr>
          <w:rFonts w:ascii="Times New Roman" w:hAnsi="Times New Roman" w:cs="Times New Roman"/>
        </w:rPr>
        <w:t xml:space="preserve">likelihood of financial restatements. In contrast, the media pressure hypothesis argues that increased media coverage exerts short-term performance pressure on managers, leading to opportunistic earnings management and an increased </w:t>
      </w:r>
      <w:r w:rsidR="0047615C" w:rsidRPr="009642F7">
        <w:rPr>
          <w:rFonts w:ascii="Times New Roman" w:hAnsi="Times New Roman" w:cs="Times New Roman"/>
        </w:rPr>
        <w:t xml:space="preserve">the </w:t>
      </w:r>
      <w:r w:rsidRPr="009642F7">
        <w:rPr>
          <w:rFonts w:ascii="Times New Roman" w:hAnsi="Times New Roman" w:cs="Times New Roman"/>
        </w:rPr>
        <w:t>likelihood of financial restatements.</w:t>
      </w:r>
    </w:p>
    <w:p w14:paraId="4BE39E10" w14:textId="288B5B34" w:rsidR="00E2670A" w:rsidRPr="009642F7" w:rsidRDefault="00E2670A" w:rsidP="00E2670A">
      <w:pPr>
        <w:ind w:firstLineChars="200" w:firstLine="480"/>
        <w:jc w:val="both"/>
        <w:rPr>
          <w:rFonts w:ascii="Times New Roman" w:hAnsi="Times New Roman" w:cs="Times New Roman"/>
        </w:rPr>
      </w:pPr>
      <w:r w:rsidRPr="009642F7">
        <w:rPr>
          <w:rFonts w:ascii="Times New Roman" w:hAnsi="Times New Roman" w:cs="Times New Roman"/>
        </w:rPr>
        <w:t>Our empirical analysis of Taiwan-listed firms during the period 2000-2021 supports the media pressure hypothesis. The findings indicate a positive and significant relationship between media coverage in the current year and the occurrence of financial restatements in the subsequent year, even after controlling for other determinants of restatements. Additionally, the study explores the role of media in relation to other corporate governance mechanisms. It finds that the positive effect of media coverage on financial restatements is more pronounced when foreign institutional investors</w:t>
      </w:r>
      <w:r w:rsidR="00AC5747" w:rsidRPr="009642F7">
        <w:rPr>
          <w:rFonts w:ascii="Times New Roman" w:hAnsi="Times New Roman" w:cs="Times New Roman"/>
        </w:rPr>
        <w:t>’</w:t>
      </w:r>
      <w:r w:rsidRPr="009642F7">
        <w:rPr>
          <w:rFonts w:ascii="Times New Roman" w:hAnsi="Times New Roman" w:cs="Times New Roman"/>
        </w:rPr>
        <w:t xml:space="preserve"> ownership is low, indicating a </w:t>
      </w:r>
      <w:r w:rsidR="0047615C" w:rsidRPr="009642F7">
        <w:rPr>
          <w:rFonts w:ascii="Times New Roman" w:hAnsi="Times New Roman" w:cs="Times New Roman"/>
        </w:rPr>
        <w:t xml:space="preserve">substitution </w:t>
      </w:r>
      <w:r w:rsidRPr="009642F7">
        <w:rPr>
          <w:rFonts w:ascii="Times New Roman" w:hAnsi="Times New Roman" w:cs="Times New Roman"/>
        </w:rPr>
        <w:t>governance role played by foreign institutional investors in curbing managerial earnings manipulation. Moreover, the positive effect of media coverage on financial restatements is stronger when managers have higher levels of directors</w:t>
      </w:r>
      <w:r w:rsidR="0047615C" w:rsidRPr="009642F7">
        <w:rPr>
          <w:rFonts w:ascii="Times New Roman" w:hAnsi="Times New Roman" w:cs="Times New Roman"/>
        </w:rPr>
        <w:t>’</w:t>
      </w:r>
      <w:r w:rsidRPr="009642F7">
        <w:rPr>
          <w:rFonts w:ascii="Times New Roman" w:hAnsi="Times New Roman" w:cs="Times New Roman"/>
        </w:rPr>
        <w:t xml:space="preserve"> and officers</w:t>
      </w:r>
      <w:r w:rsidR="0047615C" w:rsidRPr="009642F7">
        <w:rPr>
          <w:rFonts w:ascii="Times New Roman" w:hAnsi="Times New Roman" w:cs="Times New Roman"/>
        </w:rPr>
        <w:t>’</w:t>
      </w:r>
      <w:r w:rsidRPr="009642F7">
        <w:rPr>
          <w:rFonts w:ascii="Times New Roman" w:hAnsi="Times New Roman" w:cs="Times New Roman"/>
        </w:rPr>
        <w:t xml:space="preserve"> liability insurance coverage, suggesting a </w:t>
      </w:r>
      <w:r w:rsidR="0047615C" w:rsidRPr="009642F7">
        <w:rPr>
          <w:rFonts w:ascii="Times New Roman" w:hAnsi="Times New Roman" w:cs="Times New Roman"/>
        </w:rPr>
        <w:t xml:space="preserve">complementary </w:t>
      </w:r>
      <w:r w:rsidRPr="009642F7">
        <w:rPr>
          <w:rFonts w:ascii="Times New Roman" w:hAnsi="Times New Roman" w:cs="Times New Roman"/>
        </w:rPr>
        <w:t>role for D&amp;O insurance in strengthening the short-term performance pressure created by media coverage.</w:t>
      </w:r>
    </w:p>
    <w:p w14:paraId="7633AA4B" w14:textId="41295C7C" w:rsidR="00E2670A" w:rsidRPr="009642F7" w:rsidRDefault="00E2670A" w:rsidP="00E2670A">
      <w:pPr>
        <w:ind w:firstLineChars="200" w:firstLine="480"/>
        <w:jc w:val="both"/>
        <w:rPr>
          <w:rFonts w:ascii="Times New Roman" w:hAnsi="Times New Roman" w:cs="Times New Roman"/>
        </w:rPr>
      </w:pPr>
      <w:r w:rsidRPr="009642F7">
        <w:rPr>
          <w:rFonts w:ascii="Times New Roman" w:hAnsi="Times New Roman" w:cs="Times New Roman"/>
        </w:rPr>
        <w:t>The study contributes to the existing literature by examining the impact of media coverage on financial restatements, an area that has received relatively little attention. It highlights the complex interplay between media, corporate governance mechanisms, and the occurrence of restatements. Furthermore, the unique context of Taiwan</w:t>
      </w:r>
      <w:r w:rsidR="00AC5747" w:rsidRPr="009642F7">
        <w:rPr>
          <w:rFonts w:ascii="Times New Roman" w:hAnsi="Times New Roman" w:cs="Times New Roman"/>
        </w:rPr>
        <w:t>’</w:t>
      </w:r>
      <w:r w:rsidRPr="009642F7">
        <w:rPr>
          <w:rFonts w:ascii="Times New Roman" w:hAnsi="Times New Roman" w:cs="Times New Roman"/>
        </w:rPr>
        <w:t>s media landscape, characterized by press freedom and the Market Observation Post System, provides valuable insights into the channels through which financial information is disseminated and their influence on restatements.</w:t>
      </w:r>
    </w:p>
    <w:p w14:paraId="37190153" w14:textId="77D436CE" w:rsidR="00E2670A" w:rsidRPr="009642F7" w:rsidRDefault="00E2670A" w:rsidP="00290582">
      <w:pPr>
        <w:ind w:firstLineChars="200" w:firstLine="480"/>
        <w:jc w:val="both"/>
        <w:rPr>
          <w:rFonts w:ascii="Times New Roman" w:hAnsi="Times New Roman" w:cs="Times New Roman"/>
        </w:rPr>
      </w:pPr>
      <w:r w:rsidRPr="009642F7">
        <w:rPr>
          <w:rFonts w:ascii="Times New Roman" w:hAnsi="Times New Roman" w:cs="Times New Roman"/>
        </w:rPr>
        <w:t>It is important to note that this study presents an alternative economic implication compared to previous studies</w:t>
      </w:r>
      <w:r w:rsidR="00290582" w:rsidRPr="009642F7">
        <w:rPr>
          <w:rFonts w:ascii="Times New Roman" w:hAnsi="Times New Roman" w:cs="Times New Roman"/>
        </w:rPr>
        <w:t xml:space="preserve"> (Chen, Cheng, Li, &amp; Zhao, 2021; Alkebsee &amp; Habib, 2021)</w:t>
      </w:r>
      <w:r w:rsidRPr="009642F7">
        <w:rPr>
          <w:rFonts w:ascii="Times New Roman" w:hAnsi="Times New Roman" w:cs="Times New Roman"/>
        </w:rPr>
        <w:t>, suggesting that media coverage has a positive effect on the occurrence of financial restatements. The excessive short-term pressure imposed by the media in Taiwan</w:t>
      </w:r>
      <w:r w:rsidR="00AC5747" w:rsidRPr="009642F7">
        <w:rPr>
          <w:rFonts w:ascii="Times New Roman" w:hAnsi="Times New Roman" w:cs="Times New Roman"/>
        </w:rPr>
        <w:t>’</w:t>
      </w:r>
      <w:r w:rsidRPr="009642F7">
        <w:rPr>
          <w:rFonts w:ascii="Times New Roman" w:hAnsi="Times New Roman" w:cs="Times New Roman"/>
        </w:rPr>
        <w:t>s press freedom environment may contribute to managers engaging in opportunistic earnings manipulation activities, thereby increasing the likelihood of restatements.</w:t>
      </w:r>
    </w:p>
    <w:p w14:paraId="55548D37" w14:textId="77777777" w:rsidR="00E2670A" w:rsidRPr="009642F7" w:rsidRDefault="00E2670A" w:rsidP="00E2670A">
      <w:pPr>
        <w:ind w:firstLineChars="200" w:firstLine="480"/>
        <w:jc w:val="both"/>
        <w:rPr>
          <w:rFonts w:ascii="Times New Roman" w:hAnsi="Times New Roman" w:cs="Times New Roman"/>
        </w:rPr>
      </w:pPr>
      <w:r w:rsidRPr="009642F7">
        <w:rPr>
          <w:rFonts w:ascii="Times New Roman" w:hAnsi="Times New Roman" w:cs="Times New Roman"/>
        </w:rPr>
        <w:t xml:space="preserve">Overall, the findings of this study contribute to a better understanding of the role of media in corporate governance and the occurrence of financial restatements. </w:t>
      </w:r>
      <w:r w:rsidR="00290582" w:rsidRPr="009642F7">
        <w:rPr>
          <w:rFonts w:ascii="Times New Roman" w:hAnsi="Times New Roman" w:cs="Times New Roman"/>
        </w:rPr>
        <w:t xml:space="preserve">Our work can have implications for policymakers, regulators, companies, and practitioners by </w:t>
      </w:r>
      <w:r w:rsidRPr="009642F7">
        <w:rPr>
          <w:rFonts w:ascii="Times New Roman" w:hAnsi="Times New Roman" w:cs="Times New Roman"/>
        </w:rPr>
        <w:t>provid</w:t>
      </w:r>
      <w:r w:rsidR="00290582" w:rsidRPr="009642F7">
        <w:rPr>
          <w:rFonts w:ascii="Times New Roman" w:hAnsi="Times New Roman" w:cs="Times New Roman"/>
        </w:rPr>
        <w:t>ing</w:t>
      </w:r>
      <w:r w:rsidRPr="009642F7">
        <w:rPr>
          <w:rFonts w:ascii="Times New Roman" w:hAnsi="Times New Roman" w:cs="Times New Roman"/>
        </w:rPr>
        <w:t xml:space="preserve"> insights to consider the potential effects of media coverage on financial reporting integrity and the need for effective monitoring mechanisms to ensure transparency and reliability in financial statements.</w:t>
      </w:r>
    </w:p>
    <w:p w14:paraId="27BA5C6F" w14:textId="77777777" w:rsidR="00E2670A" w:rsidRDefault="00E2670A" w:rsidP="00E2670A">
      <w:pPr>
        <w:ind w:firstLineChars="200" w:firstLine="480"/>
        <w:jc w:val="both"/>
        <w:rPr>
          <w:rFonts w:ascii="Times New Roman" w:hAnsi="Times New Roman" w:cs="Times New Roman"/>
        </w:rPr>
      </w:pPr>
    </w:p>
    <w:p w14:paraId="15C13266" w14:textId="77777777" w:rsidR="00CA2FCC" w:rsidRPr="009642F7" w:rsidRDefault="00CA2FCC" w:rsidP="00E2670A">
      <w:pPr>
        <w:ind w:firstLineChars="200" w:firstLine="480"/>
        <w:jc w:val="both"/>
        <w:rPr>
          <w:rFonts w:ascii="Times New Roman" w:hAnsi="Times New Roman" w:cs="Times New Roman"/>
        </w:rPr>
      </w:pPr>
    </w:p>
    <w:p w14:paraId="4DFB68D9" w14:textId="4F54841D" w:rsidR="00CA2FCC" w:rsidRDefault="00CA2FCC">
      <w:pPr>
        <w:rPr>
          <w:rFonts w:ascii="Times New Roman" w:hAnsi="Times New Roman" w:cs="Times New Roman"/>
          <w:b/>
          <w:sz w:val="32"/>
        </w:rPr>
      </w:pPr>
      <w:r w:rsidRPr="00CA2FCC">
        <w:rPr>
          <w:rFonts w:ascii="Times New Roman" w:hAnsi="Times New Roman" w:cs="Times New Roman"/>
          <w:b/>
          <w:sz w:val="32"/>
        </w:rPr>
        <w:t>Conflict of interest statement</w:t>
      </w:r>
    </w:p>
    <w:p w14:paraId="0E811A13" w14:textId="295680BB" w:rsidR="00CA2FCC" w:rsidRPr="00CA2FCC" w:rsidRDefault="00CA2FCC">
      <w:pPr>
        <w:rPr>
          <w:rFonts w:ascii="Times New Roman" w:hAnsi="Times New Roman" w:cs="Times New Roman"/>
        </w:rPr>
      </w:pPr>
      <w:r w:rsidRPr="00CA2FCC">
        <w:rPr>
          <w:rFonts w:ascii="Times New Roman" w:hAnsi="Times New Roman" w:cs="Times New Roman"/>
        </w:rPr>
        <w:lastRenderedPageBreak/>
        <w:t>No potential conflict of interest was reported by the authors.</w:t>
      </w:r>
    </w:p>
    <w:p w14:paraId="401928CF" w14:textId="2854883E" w:rsidR="00A0044F" w:rsidRPr="009642F7" w:rsidRDefault="00A0044F">
      <w:pPr>
        <w:rPr>
          <w:rFonts w:ascii="Times New Roman" w:hAnsi="Times New Roman" w:cs="Times New Roman"/>
          <w:b/>
          <w:sz w:val="32"/>
        </w:rPr>
      </w:pPr>
      <w:r w:rsidRPr="009642F7">
        <w:rPr>
          <w:rFonts w:ascii="Times New Roman" w:hAnsi="Times New Roman" w:cs="Times New Roman"/>
          <w:b/>
          <w:sz w:val="32"/>
        </w:rPr>
        <w:t>Reference</w:t>
      </w:r>
    </w:p>
    <w:p w14:paraId="34F36893"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Abbott, L. J., Parker, S., &amp; Presley, T. J. (2012). Female board presence and the likelihood of financial restatement. </w:t>
      </w:r>
      <w:r w:rsidRPr="009642F7">
        <w:rPr>
          <w:rFonts w:ascii="Times New Roman" w:hAnsi="Times New Roman" w:cs="Times New Roman"/>
          <w:i/>
          <w:iCs/>
        </w:rPr>
        <w:t>Accounting Horizons</w:t>
      </w:r>
      <w:r w:rsidRPr="009642F7">
        <w:rPr>
          <w:rFonts w:ascii="Times New Roman" w:hAnsi="Times New Roman" w:cs="Times New Roman"/>
        </w:rPr>
        <w:t>, 26(4), 607-629.</w:t>
      </w:r>
    </w:p>
    <w:p w14:paraId="78FFADA9"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Aier, J. K., Comprix, J., Gunlock, M. T., &amp; Lee, D. (2005). The financial expertise of CFOs and accounting restatements. </w:t>
      </w:r>
      <w:r w:rsidRPr="009642F7">
        <w:rPr>
          <w:rFonts w:ascii="Times New Roman" w:hAnsi="Times New Roman" w:cs="Times New Roman"/>
          <w:i/>
          <w:iCs/>
        </w:rPr>
        <w:t>Accounting horizons</w:t>
      </w:r>
      <w:r w:rsidRPr="009642F7">
        <w:rPr>
          <w:rFonts w:ascii="Times New Roman" w:hAnsi="Times New Roman" w:cs="Times New Roman"/>
        </w:rPr>
        <w:t>, 19(3), 123-135.</w:t>
      </w:r>
    </w:p>
    <w:p w14:paraId="03B61992"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Alkebsee, R. H., &amp; Habib, A. (2021). Media coverage and financial restatements: evidence from China. </w:t>
      </w:r>
      <w:r w:rsidRPr="009642F7">
        <w:rPr>
          <w:rFonts w:ascii="Times New Roman" w:hAnsi="Times New Roman" w:cs="Times New Roman"/>
          <w:i/>
          <w:iCs/>
        </w:rPr>
        <w:t>Asian Review of Accounting</w:t>
      </w:r>
      <w:r w:rsidRPr="009642F7">
        <w:rPr>
          <w:rFonts w:ascii="Times New Roman" w:hAnsi="Times New Roman" w:cs="Times New Roman"/>
        </w:rPr>
        <w:t>, 29(4), 505-524.</w:t>
      </w:r>
    </w:p>
    <w:p w14:paraId="7BFF9C2D"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An, Z., Chen, C., Naiker, V., &amp; Wang, J. (2020). Does media coverage deter firms from withholding bad news? Evidence from stock price crash risk. </w:t>
      </w:r>
      <w:r w:rsidRPr="009642F7">
        <w:rPr>
          <w:rFonts w:ascii="Times New Roman" w:hAnsi="Times New Roman" w:cs="Times New Roman"/>
          <w:i/>
          <w:iCs/>
        </w:rPr>
        <w:t>Journal of Corporate Finance</w:t>
      </w:r>
      <w:r w:rsidRPr="009642F7">
        <w:rPr>
          <w:rFonts w:ascii="Times New Roman" w:hAnsi="Times New Roman" w:cs="Times New Roman"/>
        </w:rPr>
        <w:t>, 64, 101664.</w:t>
      </w:r>
    </w:p>
    <w:p w14:paraId="181755A6"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Bednar, M. K. (2012). Watchdog or lapdog? A behavioral view of the media as a corporate governance mechanism.</w:t>
      </w:r>
      <w:r w:rsidRPr="009642F7">
        <w:rPr>
          <w:rFonts w:ascii="Times New Roman" w:hAnsi="Times New Roman" w:cs="Times New Roman"/>
          <w:i/>
          <w:iCs/>
        </w:rPr>
        <w:t> Academy of Management Journal</w:t>
      </w:r>
      <w:r w:rsidRPr="009642F7">
        <w:rPr>
          <w:rFonts w:ascii="Times New Roman" w:hAnsi="Times New Roman" w:cs="Times New Roman"/>
        </w:rPr>
        <w:t>, 55(1), 131-150.</w:t>
      </w:r>
    </w:p>
    <w:p w14:paraId="523D78FA"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Berlinger, E., Keresztúri, J. L., Lublóy, Á., &amp; Tamásné, Z. V. (2022). Press freedom and operational losses: The monitoring role of the media. </w:t>
      </w:r>
      <w:r w:rsidRPr="009642F7">
        <w:rPr>
          <w:rFonts w:ascii="Times New Roman" w:hAnsi="Times New Roman" w:cs="Times New Roman"/>
          <w:i/>
          <w:iCs/>
        </w:rPr>
        <w:t>Journal of International Financial Markets, Institutions and Money</w:t>
      </w:r>
      <w:r w:rsidRPr="009642F7">
        <w:rPr>
          <w:rFonts w:ascii="Times New Roman" w:hAnsi="Times New Roman" w:cs="Times New Roman"/>
        </w:rPr>
        <w:t>, 77, 101496.</w:t>
      </w:r>
    </w:p>
    <w:p w14:paraId="1B56E717"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Cahan, S. F., Chen, C., &amp; Wang, R. (2021). Does media exposure affect financial reporting quality through auditors?. </w:t>
      </w:r>
      <w:r w:rsidRPr="009642F7">
        <w:rPr>
          <w:rFonts w:ascii="Times New Roman" w:hAnsi="Times New Roman" w:cs="Times New Roman"/>
          <w:i/>
          <w:iCs/>
        </w:rPr>
        <w:t>Journal of Accounting, Auditing &amp; Finance</w:t>
      </w:r>
      <w:r w:rsidRPr="009642F7">
        <w:rPr>
          <w:rFonts w:ascii="Times New Roman" w:hAnsi="Times New Roman" w:cs="Times New Roman"/>
        </w:rPr>
        <w:t>, 36(4), 750-775.</w:t>
      </w:r>
    </w:p>
    <w:p w14:paraId="6FEC0FC8"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Chen, C. L., Weng, P. Y., &amp; Chien, C. Y. (2018). Qualified foreign institutional investor ownership deregulation and the restatement of financial reports---empirical findings from Taiwan. </w:t>
      </w:r>
      <w:r w:rsidRPr="009642F7">
        <w:rPr>
          <w:rFonts w:ascii="Times New Roman" w:hAnsi="Times New Roman" w:cs="Times New Roman"/>
          <w:i/>
          <w:iCs/>
        </w:rPr>
        <w:t>International Review of Economics &amp; Finance</w:t>
      </w:r>
      <w:r w:rsidRPr="009642F7">
        <w:rPr>
          <w:rFonts w:ascii="Times New Roman" w:hAnsi="Times New Roman" w:cs="Times New Roman"/>
        </w:rPr>
        <w:t>, 56, 465-485.</w:t>
      </w:r>
    </w:p>
    <w:p w14:paraId="4E264EDC"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Chen, Y., Cheng, C. A., Li, S., &amp; Zhao, J. (2021). The monitoring role of the media: Evidence from earnings management. </w:t>
      </w:r>
      <w:r w:rsidRPr="009642F7">
        <w:rPr>
          <w:rFonts w:ascii="Times New Roman" w:hAnsi="Times New Roman" w:cs="Times New Roman"/>
          <w:i/>
          <w:iCs/>
        </w:rPr>
        <w:t>Journal of Business Finance &amp; Accounting</w:t>
      </w:r>
      <w:r w:rsidRPr="009642F7">
        <w:rPr>
          <w:rFonts w:ascii="Times New Roman" w:hAnsi="Times New Roman" w:cs="Times New Roman"/>
        </w:rPr>
        <w:t>, 48(3-4), 533-563.</w:t>
      </w:r>
    </w:p>
    <w:p w14:paraId="2EAC3AA5"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Chen, K. Y., Elder, R. J., &amp; Hsieh, Y. M. (2011). Corporate governance, growth opportunities, and earnings restatements: Effects of a corporate governance code. </w:t>
      </w:r>
      <w:r w:rsidRPr="009642F7">
        <w:rPr>
          <w:rFonts w:ascii="Times New Roman" w:hAnsi="Times New Roman" w:cs="Times New Roman"/>
          <w:i/>
          <w:iCs/>
        </w:rPr>
        <w:t>Asia-Pacific Journal of Accounting &amp; Economics</w:t>
      </w:r>
      <w:r w:rsidRPr="009642F7">
        <w:rPr>
          <w:rFonts w:ascii="Times New Roman" w:hAnsi="Times New Roman" w:cs="Times New Roman"/>
        </w:rPr>
        <w:t>, 18(2), 169-200.</w:t>
      </w:r>
    </w:p>
    <w:p w14:paraId="205294EC"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Chen, D., Martin, X., &amp; Zhang, X. (2017). Media Coverage and Firm Financial Reporting Quality. Available at SSRN 2978064.</w:t>
      </w:r>
    </w:p>
    <w:p w14:paraId="1B27F86E"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Chen, C. W., Pantzalis, C., &amp; Park, J. C. (2013). Press coverage and stock price deviation from fundamental value. </w:t>
      </w:r>
      <w:r w:rsidRPr="009642F7">
        <w:rPr>
          <w:rFonts w:ascii="Times New Roman" w:hAnsi="Times New Roman" w:cs="Times New Roman"/>
          <w:i/>
          <w:iCs/>
        </w:rPr>
        <w:t>Journal of Financial Research</w:t>
      </w:r>
      <w:r w:rsidRPr="009642F7">
        <w:rPr>
          <w:rFonts w:ascii="Times New Roman" w:hAnsi="Times New Roman" w:cs="Times New Roman"/>
        </w:rPr>
        <w:t>, 36(2), 175-214.</w:t>
      </w:r>
    </w:p>
    <w:p w14:paraId="67724D81"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Cheng, A., Jiang, L., &amp; Song, W. L. (2020). Media coverage and debt financing. Available at SSRN 3693641.</w:t>
      </w:r>
    </w:p>
    <w:p w14:paraId="27143AE3" w14:textId="1504F410"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Choi, B. B., Lee, D., &amp; Park, Y. (2013). Corporate social responsibility, corporate governance and earnings quality: Evidence from korea. </w:t>
      </w:r>
      <w:r w:rsidRPr="009642F7">
        <w:rPr>
          <w:rFonts w:ascii="Times New Roman" w:hAnsi="Times New Roman" w:cs="Times New Roman"/>
          <w:i/>
          <w:iCs/>
        </w:rPr>
        <w:t>Corporate Governance: An International Review</w:t>
      </w:r>
      <w:r w:rsidRPr="009642F7">
        <w:rPr>
          <w:rFonts w:ascii="Times New Roman" w:hAnsi="Times New Roman" w:cs="Times New Roman"/>
        </w:rPr>
        <w:t>, 21(5), 447-467.</w:t>
      </w:r>
    </w:p>
    <w:p w14:paraId="4E23D4F4" w14:textId="62F28A50"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Core, J. E., Guay, W., &amp; Larcker, D. F. (2008). The power of the pen and executive compensation. </w:t>
      </w:r>
      <w:r w:rsidRPr="009642F7">
        <w:rPr>
          <w:rFonts w:ascii="Times New Roman" w:hAnsi="Times New Roman" w:cs="Times New Roman"/>
          <w:i/>
          <w:iCs/>
        </w:rPr>
        <w:t>Journal of Financial Economics</w:t>
      </w:r>
      <w:r w:rsidRPr="009642F7">
        <w:rPr>
          <w:rFonts w:ascii="Times New Roman" w:hAnsi="Times New Roman" w:cs="Times New Roman"/>
        </w:rPr>
        <w:t>, 88(1), 1-25.</w:t>
      </w:r>
    </w:p>
    <w:p w14:paraId="4FAD8136"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Cubbin, J., &amp; Leech, D. (1983). The effect of shareholding dispersion on the degree of control in British companies: theory and measurement. </w:t>
      </w:r>
      <w:r w:rsidRPr="009642F7">
        <w:rPr>
          <w:rFonts w:ascii="Times New Roman" w:hAnsi="Times New Roman" w:cs="Times New Roman"/>
          <w:i/>
          <w:iCs/>
        </w:rPr>
        <w:t>The Economic Journal</w:t>
      </w:r>
      <w:r w:rsidRPr="009642F7">
        <w:rPr>
          <w:rFonts w:ascii="Times New Roman" w:hAnsi="Times New Roman" w:cs="Times New Roman"/>
        </w:rPr>
        <w:t>, 93(370), 351-369.</w:t>
      </w:r>
    </w:p>
    <w:p w14:paraId="4E42D606"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lastRenderedPageBreak/>
        <w:t>Dai, L., Parwada, J. T., &amp; Zhang, B. (2015). The governance effect of the media's news dissemination role: Evidence from insider trading. </w:t>
      </w:r>
      <w:r w:rsidRPr="009642F7">
        <w:rPr>
          <w:rFonts w:ascii="Times New Roman" w:hAnsi="Times New Roman" w:cs="Times New Roman"/>
          <w:i/>
          <w:iCs/>
        </w:rPr>
        <w:t>Journal of Accounting Research</w:t>
      </w:r>
      <w:r w:rsidRPr="009642F7">
        <w:rPr>
          <w:rFonts w:ascii="Times New Roman" w:hAnsi="Times New Roman" w:cs="Times New Roman"/>
        </w:rPr>
        <w:t>, 53(2), 331-366.</w:t>
      </w:r>
    </w:p>
    <w:p w14:paraId="7519831C"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Dai, L., Shen, R., &amp; Zhang, B. (2021). Does the media spotlight burn or spur innovation?. </w:t>
      </w:r>
      <w:r w:rsidRPr="009642F7">
        <w:rPr>
          <w:rFonts w:ascii="Times New Roman" w:hAnsi="Times New Roman" w:cs="Times New Roman"/>
          <w:i/>
          <w:iCs/>
        </w:rPr>
        <w:t>Review of Accounting Studies</w:t>
      </w:r>
      <w:r w:rsidRPr="009642F7">
        <w:rPr>
          <w:rFonts w:ascii="Times New Roman" w:hAnsi="Times New Roman" w:cs="Times New Roman"/>
        </w:rPr>
        <w:t>, 26, 343-390.</w:t>
      </w:r>
    </w:p>
    <w:p w14:paraId="6EC7CEB1"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Dang, T. L., Dang, V. A., Moshirian, F., Nguyen, L., &amp; Zhang, B. (2019). News media coverage and corporate leverage adjustments. </w:t>
      </w:r>
      <w:r w:rsidRPr="009642F7">
        <w:rPr>
          <w:rFonts w:ascii="Times New Roman" w:hAnsi="Times New Roman" w:cs="Times New Roman"/>
          <w:i/>
          <w:iCs/>
        </w:rPr>
        <w:t>Journal of Banking &amp; Finance</w:t>
      </w:r>
      <w:r w:rsidRPr="009642F7">
        <w:rPr>
          <w:rFonts w:ascii="Times New Roman" w:hAnsi="Times New Roman" w:cs="Times New Roman"/>
        </w:rPr>
        <w:t>, 109, 105666.</w:t>
      </w:r>
    </w:p>
    <w:p w14:paraId="02515085"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Dyck, A. and L. Zingales. 2002. “The Corporate Governance Role of the Media.” In The Right to Tell: The Role of Mass Media in Economic Development. Washington, DC: The World Bank.</w:t>
      </w:r>
    </w:p>
    <w:p w14:paraId="048AA74E" w14:textId="49968E8F"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Dyck, A., Volchkova, N., &amp; Zingales, L. (2008). The corporate governance role of the media: Evidence from Russia.</w:t>
      </w:r>
      <w:r w:rsidRPr="009642F7">
        <w:rPr>
          <w:rFonts w:ascii="Times New Roman" w:hAnsi="Times New Roman" w:cs="Times New Roman"/>
          <w:i/>
          <w:iCs/>
        </w:rPr>
        <w:t> Journal of Finance</w:t>
      </w:r>
      <w:r w:rsidRPr="009642F7">
        <w:rPr>
          <w:rFonts w:ascii="Times New Roman" w:hAnsi="Times New Roman" w:cs="Times New Roman"/>
        </w:rPr>
        <w:t>, 63(3), 1093-1135.</w:t>
      </w:r>
    </w:p>
    <w:p w14:paraId="56411C86" w14:textId="6B610519"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Dyck, A., Morse, A., &amp; Zingales, L. (2010). Who blows the whistle on corporate fraud?. </w:t>
      </w:r>
      <w:r w:rsidRPr="009642F7">
        <w:rPr>
          <w:rFonts w:ascii="Times New Roman" w:hAnsi="Times New Roman" w:cs="Times New Roman"/>
          <w:i/>
          <w:iCs/>
        </w:rPr>
        <w:t> Journal of Finance</w:t>
      </w:r>
      <w:r w:rsidRPr="009642F7">
        <w:rPr>
          <w:rFonts w:ascii="Times New Roman" w:hAnsi="Times New Roman" w:cs="Times New Roman"/>
        </w:rPr>
        <w:t>, 65(6), 2213-2253.</w:t>
      </w:r>
    </w:p>
    <w:p w14:paraId="1AF03290"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Eilifsen, A., &amp; Messier Jr, W. F. (2000). A review and integration of archival research. </w:t>
      </w:r>
      <w:r w:rsidRPr="009642F7">
        <w:rPr>
          <w:rFonts w:ascii="Times New Roman" w:hAnsi="Times New Roman" w:cs="Times New Roman"/>
          <w:i/>
          <w:iCs/>
        </w:rPr>
        <w:t>Journal of Accounting Literature</w:t>
      </w:r>
      <w:r w:rsidRPr="009642F7">
        <w:rPr>
          <w:rFonts w:ascii="Times New Roman" w:hAnsi="Times New Roman" w:cs="Times New Roman"/>
        </w:rPr>
        <w:t>, 19, 1-43.</w:t>
      </w:r>
    </w:p>
    <w:p w14:paraId="0BD08C77" w14:textId="0910E358"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Fang, L., &amp; Peress, J. (2009). Media coverage and the cross-section of stock returns.</w:t>
      </w:r>
      <w:r w:rsidRPr="009642F7">
        <w:rPr>
          <w:rFonts w:ascii="Times New Roman" w:hAnsi="Times New Roman" w:cs="Times New Roman"/>
          <w:i/>
          <w:iCs/>
        </w:rPr>
        <w:t> Journal of Finance</w:t>
      </w:r>
      <w:r w:rsidRPr="009642F7">
        <w:rPr>
          <w:rFonts w:ascii="Times New Roman" w:hAnsi="Times New Roman" w:cs="Times New Roman"/>
        </w:rPr>
        <w:t>, 64(5), 2023-2052.</w:t>
      </w:r>
    </w:p>
    <w:p w14:paraId="5AA97603" w14:textId="7861AEE8"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Gillan, S. L. (2006). Recent developments in corporate governance: An overview. </w:t>
      </w:r>
      <w:r w:rsidRPr="009642F7">
        <w:rPr>
          <w:rFonts w:ascii="Times New Roman" w:hAnsi="Times New Roman" w:cs="Times New Roman"/>
          <w:i/>
          <w:iCs/>
        </w:rPr>
        <w:t>Journal of Corporate Finance</w:t>
      </w:r>
      <w:r w:rsidRPr="009642F7">
        <w:rPr>
          <w:rFonts w:ascii="Times New Roman" w:hAnsi="Times New Roman" w:cs="Times New Roman"/>
        </w:rPr>
        <w:t>, 12(3), 381-402.</w:t>
      </w:r>
    </w:p>
    <w:p w14:paraId="3221478D"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Goldman, E., Martel, J., &amp; Schneemeier, J. (2022). A theory of financial media. </w:t>
      </w:r>
      <w:r w:rsidRPr="009642F7">
        <w:rPr>
          <w:rFonts w:ascii="Times New Roman" w:hAnsi="Times New Roman" w:cs="Times New Roman"/>
          <w:i/>
          <w:iCs/>
        </w:rPr>
        <w:t>Journal of Financial Economics</w:t>
      </w:r>
      <w:r w:rsidRPr="009642F7">
        <w:rPr>
          <w:rFonts w:ascii="Times New Roman" w:hAnsi="Times New Roman" w:cs="Times New Roman"/>
        </w:rPr>
        <w:t>, 145(1), 239-258.</w:t>
      </w:r>
    </w:p>
    <w:p w14:paraId="41C2CCBB"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Habib, A., Bhuiyan, M. B. U., &amp; Wu, J. (2021). Corporate governance determinants of financial restatements: a meta-analysis. </w:t>
      </w:r>
      <w:r w:rsidRPr="009642F7">
        <w:rPr>
          <w:rFonts w:ascii="Times New Roman" w:hAnsi="Times New Roman" w:cs="Times New Roman"/>
          <w:i/>
          <w:iCs/>
        </w:rPr>
        <w:t>The International Journal of Accounting</w:t>
      </w:r>
      <w:r w:rsidRPr="009642F7">
        <w:rPr>
          <w:rFonts w:ascii="Times New Roman" w:hAnsi="Times New Roman" w:cs="Times New Roman"/>
        </w:rPr>
        <w:t>, 56(01), 2150002.</w:t>
      </w:r>
    </w:p>
    <w:p w14:paraId="6934F9F9"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Hasnan, S., Mohd Razali, M. H., &amp; Mohamed Hussain, A. R. (2020). The effect of corporate governance and firm-specific characteristics on the incidence of financial restatement. </w:t>
      </w:r>
      <w:r w:rsidRPr="009642F7">
        <w:rPr>
          <w:rFonts w:ascii="Times New Roman" w:hAnsi="Times New Roman" w:cs="Times New Roman"/>
          <w:i/>
          <w:iCs/>
        </w:rPr>
        <w:t>Journal of Financial Crime</w:t>
      </w:r>
      <w:r w:rsidRPr="009642F7">
        <w:rPr>
          <w:rFonts w:ascii="Times New Roman" w:hAnsi="Times New Roman" w:cs="Times New Roman"/>
        </w:rPr>
        <w:t>, 28(1), 244-267.</w:t>
      </w:r>
    </w:p>
    <w:p w14:paraId="3066AFB5"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Huang, Y., &amp; Scholz, S. (2012). Evidence on the association between financial restatements and auditor resignations.</w:t>
      </w:r>
      <w:r w:rsidRPr="009642F7">
        <w:rPr>
          <w:rFonts w:ascii="Times New Roman" w:hAnsi="Times New Roman" w:cs="Times New Roman"/>
          <w:i/>
          <w:iCs/>
        </w:rPr>
        <w:t> Accounting Horizons</w:t>
      </w:r>
      <w:r w:rsidRPr="009642F7">
        <w:rPr>
          <w:rFonts w:ascii="Times New Roman" w:hAnsi="Times New Roman" w:cs="Times New Roman"/>
        </w:rPr>
        <w:t>, 26(3), 439-464.</w:t>
      </w:r>
    </w:p>
    <w:p w14:paraId="6E6F7BF5"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Joe, J. R., Louis, H., &amp; Robinson, D. (2009). Managers’ and investors’ responses to media exposure of board ineffectiveness. </w:t>
      </w:r>
      <w:r w:rsidRPr="009642F7">
        <w:rPr>
          <w:rFonts w:ascii="Times New Roman" w:hAnsi="Times New Roman" w:cs="Times New Roman"/>
          <w:i/>
          <w:iCs/>
        </w:rPr>
        <w:t>Journal of Financial and Quantitative Analysis</w:t>
      </w:r>
      <w:r w:rsidRPr="009642F7">
        <w:rPr>
          <w:rFonts w:ascii="Times New Roman" w:hAnsi="Times New Roman" w:cs="Times New Roman"/>
        </w:rPr>
        <w:t>, 44(3), 579-605.</w:t>
      </w:r>
    </w:p>
    <w:p w14:paraId="45F3519A"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Kuhnen, C. M., &amp; Niessen, A. (2012). Public opinion and executive compensation. </w:t>
      </w:r>
      <w:r w:rsidRPr="009642F7">
        <w:rPr>
          <w:rFonts w:ascii="Times New Roman" w:hAnsi="Times New Roman" w:cs="Times New Roman"/>
          <w:i/>
          <w:iCs/>
        </w:rPr>
        <w:t>Management Science</w:t>
      </w:r>
      <w:r w:rsidRPr="009642F7">
        <w:rPr>
          <w:rFonts w:ascii="Times New Roman" w:hAnsi="Times New Roman" w:cs="Times New Roman"/>
        </w:rPr>
        <w:t>, 58(7), 1249-1272.</w:t>
      </w:r>
    </w:p>
    <w:p w14:paraId="228E547E"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 xml:space="preserve">Li, Z., Wang, B., Wu, T., &amp; Zhou, D. (2021). The influence of qualified foreign institutional investors on internal control quality: Evidence from China. </w:t>
      </w:r>
      <w:r w:rsidRPr="009642F7">
        <w:rPr>
          <w:rFonts w:ascii="Times New Roman" w:hAnsi="Times New Roman" w:cs="Times New Roman"/>
          <w:i/>
          <w:iCs/>
        </w:rPr>
        <w:t>International Review of Financial Analysis</w:t>
      </w:r>
      <w:r w:rsidRPr="009642F7">
        <w:rPr>
          <w:rFonts w:ascii="Times New Roman" w:hAnsi="Times New Roman" w:cs="Times New Roman"/>
        </w:rPr>
        <w:t>, 78, 101916.</w:t>
      </w:r>
    </w:p>
    <w:p w14:paraId="494C2D8E"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Liu, B., &amp; McConnell, J. J. (2013). The role of the media in corporate governance: Do the media influence managers' capital allocation decisions?. </w:t>
      </w:r>
      <w:r w:rsidRPr="009642F7">
        <w:rPr>
          <w:rFonts w:ascii="Times New Roman" w:hAnsi="Times New Roman" w:cs="Times New Roman"/>
          <w:i/>
          <w:iCs/>
        </w:rPr>
        <w:t>Journal of Financial Economics</w:t>
      </w:r>
      <w:r w:rsidRPr="009642F7">
        <w:rPr>
          <w:rFonts w:ascii="Times New Roman" w:hAnsi="Times New Roman" w:cs="Times New Roman"/>
        </w:rPr>
        <w:t>, 110(1), 1-17.</w:t>
      </w:r>
    </w:p>
    <w:p w14:paraId="0A7C7AE1"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Miller, G. S. (2006). The press as a watchdog for accounting fraud.</w:t>
      </w:r>
      <w:r w:rsidRPr="009642F7">
        <w:rPr>
          <w:rFonts w:ascii="Times New Roman" w:hAnsi="Times New Roman" w:cs="Times New Roman"/>
          <w:i/>
          <w:iCs/>
        </w:rPr>
        <w:t> Journal of Accounting Research</w:t>
      </w:r>
      <w:r w:rsidRPr="009642F7">
        <w:rPr>
          <w:rFonts w:ascii="Times New Roman" w:hAnsi="Times New Roman" w:cs="Times New Roman"/>
        </w:rPr>
        <w:t>, 44(5), 1001-1033.</w:t>
      </w:r>
    </w:p>
    <w:p w14:paraId="6482B87E"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lastRenderedPageBreak/>
        <w:t>Nahar Abdullah, S., Zalina Mohamad Yusof, N., &amp; Naimi Mohamad Nor, M. (2010). Financial restatements and corporate governance among Malaysian listed companies.</w:t>
      </w:r>
      <w:r w:rsidRPr="009642F7">
        <w:rPr>
          <w:rFonts w:ascii="Times New Roman" w:hAnsi="Times New Roman" w:cs="Times New Roman"/>
          <w:i/>
          <w:iCs/>
        </w:rPr>
        <w:t> Managerial Auditing Journal</w:t>
      </w:r>
      <w:r w:rsidRPr="009642F7">
        <w:rPr>
          <w:rFonts w:ascii="Times New Roman" w:hAnsi="Times New Roman" w:cs="Times New Roman"/>
        </w:rPr>
        <w:t>, 25(6), 526-552.</w:t>
      </w:r>
    </w:p>
    <w:p w14:paraId="05ECA0CE"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Peña-Martel, D., Pérez-Alemán, J., &amp; Santana-Martín, D. J. (2018). The role of the media in creating earnings informativeness: Evidence from Spain. </w:t>
      </w:r>
      <w:r w:rsidRPr="009642F7">
        <w:rPr>
          <w:rFonts w:ascii="Times New Roman" w:hAnsi="Times New Roman" w:cs="Times New Roman"/>
          <w:i/>
          <w:iCs/>
        </w:rPr>
        <w:t>BRQ Business Research Quarterly</w:t>
      </w:r>
      <w:r w:rsidRPr="009642F7">
        <w:rPr>
          <w:rFonts w:ascii="Times New Roman" w:hAnsi="Times New Roman" w:cs="Times New Roman"/>
        </w:rPr>
        <w:t>, 21(3), 168-179.</w:t>
      </w:r>
    </w:p>
    <w:p w14:paraId="61E1A8F2" w14:textId="784870F5"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Presley, T. J., &amp; Abbott, L. J. (2013). AIA submission: CEO overconfidence and the incidence of financial restatement. </w:t>
      </w:r>
      <w:r w:rsidRPr="009642F7">
        <w:rPr>
          <w:rFonts w:ascii="Times New Roman" w:hAnsi="Times New Roman" w:cs="Times New Roman"/>
          <w:i/>
          <w:iCs/>
        </w:rPr>
        <w:t>Advances In Accounting</w:t>
      </w:r>
      <w:r w:rsidRPr="009642F7">
        <w:rPr>
          <w:rFonts w:ascii="Times New Roman" w:hAnsi="Times New Roman" w:cs="Times New Roman"/>
        </w:rPr>
        <w:t>, 29(1), 74-84.</w:t>
      </w:r>
    </w:p>
    <w:p w14:paraId="291B28E7"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Wang, J., &amp; Ye, K. (2015). Media coverage and firm valuation: Evidence from China. </w:t>
      </w:r>
      <w:r w:rsidRPr="009642F7">
        <w:rPr>
          <w:rFonts w:ascii="Times New Roman" w:hAnsi="Times New Roman" w:cs="Times New Roman"/>
          <w:i/>
          <w:iCs/>
        </w:rPr>
        <w:t>Journal of Business Ethics</w:t>
      </w:r>
      <w:r w:rsidRPr="009642F7">
        <w:rPr>
          <w:rFonts w:ascii="Times New Roman" w:hAnsi="Times New Roman" w:cs="Times New Roman"/>
        </w:rPr>
        <w:t>, 127, 501-511.</w:t>
      </w:r>
    </w:p>
    <w:p w14:paraId="11FCE95B" w14:textId="77777777" w:rsidR="00A56ED1"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Weng, T. C., Chen, G. Z., &amp; Chi, H. Y. (2017). Effects of directors and officers liability insurance on accounting restatements. </w:t>
      </w:r>
      <w:r w:rsidRPr="009642F7">
        <w:rPr>
          <w:rFonts w:ascii="Times New Roman" w:hAnsi="Times New Roman" w:cs="Times New Roman"/>
          <w:i/>
          <w:iCs/>
        </w:rPr>
        <w:t>International Review of Economics &amp; Finance</w:t>
      </w:r>
      <w:r w:rsidRPr="009642F7">
        <w:rPr>
          <w:rFonts w:ascii="Times New Roman" w:hAnsi="Times New Roman" w:cs="Times New Roman"/>
        </w:rPr>
        <w:t>, 49, 437-452.</w:t>
      </w:r>
    </w:p>
    <w:p w14:paraId="2667893E" w14:textId="2E910DD1" w:rsidR="00D06EF2" w:rsidRPr="009642F7" w:rsidRDefault="00A56ED1" w:rsidP="00A56ED1">
      <w:pPr>
        <w:ind w:left="480" w:hangingChars="200" w:hanging="480"/>
        <w:jc w:val="both"/>
        <w:rPr>
          <w:rFonts w:ascii="Times New Roman" w:hAnsi="Times New Roman" w:cs="Times New Roman"/>
        </w:rPr>
      </w:pPr>
      <w:r w:rsidRPr="009642F7">
        <w:rPr>
          <w:rFonts w:ascii="Times New Roman" w:hAnsi="Times New Roman" w:cs="Times New Roman"/>
        </w:rPr>
        <w:t>Zhizhong, H., Juan, Z., Yanzhi, S., &amp; Wenli, X. (2011). Does corporate governance affect restatement of financial reporting? Evidence from China. </w:t>
      </w:r>
      <w:r w:rsidRPr="009642F7">
        <w:rPr>
          <w:rFonts w:ascii="Times New Roman" w:hAnsi="Times New Roman" w:cs="Times New Roman"/>
          <w:i/>
          <w:iCs/>
        </w:rPr>
        <w:t>Nankai Business Review International</w:t>
      </w:r>
      <w:r w:rsidRPr="009642F7">
        <w:rPr>
          <w:rFonts w:ascii="Times New Roman" w:hAnsi="Times New Roman" w:cs="Times New Roman"/>
        </w:rPr>
        <w:t>, 2(3), 289-302.</w:t>
      </w:r>
    </w:p>
    <w:p w14:paraId="6D08C552" w14:textId="77777777" w:rsidR="002F2D95" w:rsidRPr="009642F7" w:rsidRDefault="002F2D95" w:rsidP="002F2D95">
      <w:pPr>
        <w:rPr>
          <w:rFonts w:ascii="Times New Roman" w:hAnsi="Times New Roman" w:cs="Times New Roman"/>
        </w:rPr>
      </w:pPr>
    </w:p>
    <w:p w14:paraId="0486C4AB" w14:textId="77777777" w:rsidR="00141FBC" w:rsidRPr="009642F7" w:rsidRDefault="00141FBC" w:rsidP="002F2D95">
      <w:pPr>
        <w:rPr>
          <w:rFonts w:ascii="Times New Roman" w:hAnsi="Times New Roman" w:cs="Times New Roman"/>
        </w:rPr>
      </w:pPr>
      <w:r w:rsidRPr="009642F7">
        <w:rPr>
          <w:rFonts w:ascii="Times New Roman" w:hAnsi="Times New Roman" w:cs="Times New Roman"/>
        </w:rPr>
        <w:br w:type="page"/>
      </w:r>
    </w:p>
    <w:tbl>
      <w:tblPr>
        <w:tblW w:w="5000" w:type="pct"/>
        <w:tblCellMar>
          <w:left w:w="28" w:type="dxa"/>
          <w:right w:w="28" w:type="dxa"/>
        </w:tblCellMar>
        <w:tblLook w:val="04A0" w:firstRow="1" w:lastRow="0" w:firstColumn="1" w:lastColumn="0" w:noHBand="0" w:noVBand="1"/>
      </w:tblPr>
      <w:tblGrid>
        <w:gridCol w:w="2849"/>
        <w:gridCol w:w="1480"/>
        <w:gridCol w:w="1720"/>
        <w:gridCol w:w="1627"/>
        <w:gridCol w:w="1962"/>
      </w:tblGrid>
      <w:tr w:rsidR="009642F7" w:rsidRPr="009642F7" w14:paraId="46B10007" w14:textId="77777777" w:rsidTr="004F160F">
        <w:trPr>
          <w:trHeight w:val="330"/>
        </w:trPr>
        <w:tc>
          <w:tcPr>
            <w:tcW w:w="5000" w:type="pct"/>
            <w:gridSpan w:val="5"/>
            <w:tcBorders>
              <w:top w:val="nil"/>
              <w:left w:val="nil"/>
              <w:bottom w:val="single" w:sz="4" w:space="0" w:color="auto"/>
              <w:right w:val="nil"/>
            </w:tcBorders>
            <w:shd w:val="clear" w:color="auto" w:fill="auto"/>
            <w:noWrap/>
            <w:vAlign w:val="center"/>
          </w:tcPr>
          <w:p w14:paraId="41337A8F" w14:textId="77777777" w:rsidR="004F160F" w:rsidRPr="009642F7" w:rsidRDefault="004F160F" w:rsidP="006B4EB2">
            <w:pPr>
              <w:snapToGrid w:val="0"/>
              <w:jc w:val="center"/>
              <w:rPr>
                <w:rFonts w:ascii="Times New Roman" w:hAnsi="Times New Roman" w:cs="Times New Roman"/>
                <w:b/>
              </w:rPr>
            </w:pPr>
            <w:r w:rsidRPr="009642F7">
              <w:rPr>
                <w:rFonts w:ascii="Times New Roman" w:hAnsi="Times New Roman" w:cs="Times New Roman"/>
                <w:b/>
              </w:rPr>
              <w:lastRenderedPageBreak/>
              <w:t>Table 1. Descriptive Statistics</w:t>
            </w:r>
          </w:p>
          <w:p w14:paraId="6EF1A0C1" w14:textId="77777777" w:rsidR="004F160F" w:rsidRPr="009642F7" w:rsidRDefault="006B4EB2" w:rsidP="004D7FCE">
            <w:pPr>
              <w:snapToGrid w:val="0"/>
              <w:jc w:val="both"/>
              <w:rPr>
                <w:rFonts w:ascii="Times New Roman" w:hAnsi="Times New Roman" w:cs="Times New Roman"/>
              </w:rPr>
            </w:pPr>
            <w:r w:rsidRPr="009642F7">
              <w:rPr>
                <w:rFonts w:ascii="Times New Roman" w:hAnsi="Times New Roman" w:cs="Times New Roman"/>
              </w:rPr>
              <w:t xml:space="preserve">This table reports the summary statistics for the main variables used in this study. </w:t>
            </w:r>
            <w:r w:rsidRPr="009642F7">
              <w:rPr>
                <w:rFonts w:ascii="Times New Roman" w:hAnsi="Times New Roman" w:cs="Times New Roman"/>
                <w:noProof/>
                <w:szCs w:val="21"/>
              </w:rPr>
              <w:t>Our sample contains the TWSE/TPEx stocks during the period of 2000</w:t>
            </w:r>
            <w:r w:rsidRPr="009642F7">
              <w:rPr>
                <w:rFonts w:ascii="Times New Roman" w:hAnsi="Times New Roman" w:cs="Times New Roman"/>
                <w:bCs/>
                <w:noProof/>
              </w:rPr>
              <w:t>−</w:t>
            </w:r>
            <w:r w:rsidRPr="009642F7">
              <w:rPr>
                <w:rFonts w:ascii="Times New Roman" w:hAnsi="Times New Roman" w:cs="Times New Roman"/>
                <w:noProof/>
                <w:szCs w:val="21"/>
              </w:rPr>
              <w:t xml:space="preserve">2021. </w:t>
            </w:r>
            <w:r w:rsidRPr="009642F7">
              <w:rPr>
                <w:rFonts w:ascii="Times New Roman" w:hAnsi="Times New Roman" w:cs="Times New Roman"/>
                <w:bCs/>
                <w:noProof/>
              </w:rPr>
              <w:t>S</w:t>
            </w:r>
            <w:r w:rsidRPr="009642F7">
              <w:rPr>
                <w:rFonts w:ascii="Times New Roman" w:hAnsi="Times New Roman" w:cs="Times New Roman"/>
                <w:noProof/>
              </w:rPr>
              <w:t xml:space="preserve">tocks in financial industries (two-digit industrial </w:t>
            </w:r>
            <w:r w:rsidRPr="009642F7">
              <w:rPr>
                <w:rFonts w:ascii="Times New Roman" w:hAnsi="Times New Roman" w:cs="Times New Roman"/>
                <w:noProof/>
                <w:shd w:val="clear" w:color="auto" w:fill="FFFFFF"/>
              </w:rPr>
              <w:t>codes</w:t>
            </w:r>
            <w:r w:rsidRPr="009642F7">
              <w:rPr>
                <w:rFonts w:ascii="Times New Roman" w:hAnsi="Times New Roman" w:cs="Times New Roman"/>
                <w:noProof/>
              </w:rPr>
              <w:t xml:space="preserve"> 28, 58, and 60) are deleted. </w:t>
            </w:r>
            <w:r w:rsidRPr="009642F7">
              <w:rPr>
                <w:rFonts w:ascii="Times New Roman" w:hAnsi="Times New Roman" w:cs="Times New Roman"/>
                <w:i/>
              </w:rPr>
              <w:t xml:space="preserve">Restat </w:t>
            </w:r>
            <w:r w:rsidRPr="009642F7">
              <w:rPr>
                <w:rFonts w:ascii="Times New Roman" w:eastAsia="HeiT" w:hAnsi="Times New Roman" w:cs="Times New Roman"/>
                <w:bCs/>
              </w:rPr>
              <w:t xml:space="preserve">is an indicator variable equal to one, if there is at least one restatement in a given year, and zero otherwise. </w:t>
            </w:r>
            <w:r w:rsidRPr="009642F7">
              <w:rPr>
                <w:rFonts w:ascii="Times New Roman" w:hAnsi="Times New Roman" w:cs="Times New Roman"/>
                <w:i/>
              </w:rPr>
              <w:t>Media</w:t>
            </w:r>
            <w:r w:rsidRPr="009642F7">
              <w:rPr>
                <w:rFonts w:ascii="Times New Roman" w:hAnsi="Times New Roman" w:cs="Times New Roman"/>
              </w:rPr>
              <w:t xml:space="preserve"> is the number of mass media articles about a firm stock in a given year, in which we focus on five influential daily mass media in Taiwan (i.e., </w:t>
            </w:r>
            <w:r w:rsidRPr="009642F7">
              <w:rPr>
                <w:rFonts w:ascii="Times New Roman" w:hAnsi="Times New Roman" w:cs="Times New Roman"/>
                <w:i/>
              </w:rPr>
              <w:t>Commercial Times</w:t>
            </w:r>
            <w:r w:rsidRPr="009642F7">
              <w:rPr>
                <w:rFonts w:ascii="Times New Roman" w:hAnsi="Times New Roman" w:cs="Times New Roman"/>
              </w:rPr>
              <w:t xml:space="preserve">, </w:t>
            </w:r>
            <w:r w:rsidRPr="009642F7">
              <w:rPr>
                <w:rFonts w:ascii="Times New Roman" w:hAnsi="Times New Roman" w:cs="Times New Roman"/>
                <w:i/>
              </w:rPr>
              <w:t>Economic Daily News</w:t>
            </w:r>
            <w:r w:rsidRPr="009642F7">
              <w:rPr>
                <w:rFonts w:ascii="Times New Roman" w:hAnsi="Times New Roman" w:cs="Times New Roman"/>
              </w:rPr>
              <w:t xml:space="preserve">, </w:t>
            </w:r>
            <w:r w:rsidRPr="009642F7">
              <w:rPr>
                <w:rFonts w:ascii="Times New Roman" w:hAnsi="Times New Roman" w:cs="Times New Roman"/>
                <w:i/>
              </w:rPr>
              <w:t>DigiTimes</w:t>
            </w:r>
            <w:r w:rsidRPr="009642F7">
              <w:rPr>
                <w:rFonts w:ascii="Times New Roman" w:hAnsi="Times New Roman" w:cs="Times New Roman"/>
              </w:rPr>
              <w:t xml:space="preserve">, </w:t>
            </w:r>
            <w:r w:rsidRPr="009642F7">
              <w:rPr>
                <w:rFonts w:ascii="Times New Roman" w:hAnsi="Times New Roman" w:cs="Times New Roman"/>
                <w:i/>
              </w:rPr>
              <w:t>Wealth</w:t>
            </w:r>
            <w:r w:rsidRPr="009642F7">
              <w:rPr>
                <w:rFonts w:ascii="Times New Roman" w:hAnsi="Times New Roman" w:cs="Times New Roman"/>
              </w:rPr>
              <w:t xml:space="preserve"> </w:t>
            </w:r>
            <w:r w:rsidRPr="009642F7">
              <w:rPr>
                <w:rFonts w:ascii="Times New Roman" w:hAnsi="Times New Roman" w:cs="Times New Roman"/>
                <w:i/>
              </w:rPr>
              <w:t>Magazine</w:t>
            </w:r>
            <w:r w:rsidRPr="009642F7">
              <w:rPr>
                <w:rFonts w:ascii="Times New Roman" w:hAnsi="Times New Roman" w:cs="Times New Roman"/>
              </w:rPr>
              <w:t xml:space="preserve">, and </w:t>
            </w:r>
            <w:r w:rsidRPr="009642F7">
              <w:rPr>
                <w:rFonts w:ascii="Times New Roman" w:hAnsi="Times New Roman" w:cs="Times New Roman"/>
                <w:i/>
              </w:rPr>
              <w:t>MoneyDJ</w:t>
            </w:r>
            <w:r w:rsidRPr="009642F7">
              <w:rPr>
                <w:rFonts w:ascii="Times New Roman" w:hAnsi="Times New Roman" w:cs="Times New Roman"/>
              </w:rPr>
              <w:t xml:space="preserve">). </w:t>
            </w:r>
            <w:r w:rsidRPr="009642F7">
              <w:rPr>
                <w:rFonts w:ascii="Times New Roman" w:hAnsi="Times New Roman" w:cs="Times New Roman"/>
                <w:i/>
              </w:rPr>
              <w:t>X</w:t>
            </w:r>
            <w:r w:rsidR="009438A9" w:rsidRPr="009642F7">
              <w:rPr>
                <w:rFonts w:ascii="Times New Roman" w:hAnsi="Times New Roman" w:cs="Times New Roman"/>
                <w:i/>
              </w:rPr>
              <w:t>m</w:t>
            </w:r>
            <w:r w:rsidRPr="009642F7">
              <w:rPr>
                <w:rFonts w:ascii="Times New Roman" w:hAnsi="Times New Roman" w:cs="Times New Roman"/>
                <w:i/>
              </w:rPr>
              <w:t>edia</w:t>
            </w:r>
            <w:r w:rsidR="009438A9" w:rsidRPr="009642F7">
              <w:rPr>
                <w:rFonts w:ascii="Times New Roman" w:hAnsi="Times New Roman" w:cs="Times New Roman"/>
              </w:rPr>
              <w:t xml:space="preserve"> is excess media coverage, measured as the difference between expected and actual counts of media articles</w:t>
            </w:r>
            <w:r w:rsidR="009438A9" w:rsidRPr="009642F7">
              <w:rPr>
                <w:rFonts w:ascii="Times New Roman" w:eastAsia="HeiT" w:hAnsi="Times New Roman" w:cs="Times New Roman"/>
                <w:bCs/>
              </w:rPr>
              <w:t xml:space="preserve"> in a given year</w:t>
            </w:r>
            <w:r w:rsidR="009438A9" w:rsidRPr="009642F7">
              <w:rPr>
                <w:rFonts w:ascii="Times New Roman" w:hAnsi="Times New Roman" w:cs="Times New Roman"/>
              </w:rPr>
              <w:t xml:space="preserve">. </w:t>
            </w:r>
            <w:r w:rsidR="009438A9" w:rsidRPr="009642F7">
              <w:rPr>
                <w:rFonts w:ascii="Times New Roman" w:hAnsi="Times New Roman" w:cs="Times New Roman"/>
                <w:i/>
              </w:rPr>
              <w:t>TA</w:t>
            </w:r>
            <w:r w:rsidR="009438A9" w:rsidRPr="009642F7">
              <w:rPr>
                <w:rFonts w:ascii="Times New Roman" w:hAnsi="Times New Roman" w:cs="Times New Roman"/>
              </w:rPr>
              <w:t xml:space="preserve"> is book value of total assets in a given year. </w:t>
            </w:r>
            <w:r w:rsidR="009438A9" w:rsidRPr="009642F7">
              <w:rPr>
                <w:rFonts w:ascii="Times New Roman" w:hAnsi="Times New Roman" w:cs="Times New Roman"/>
                <w:i/>
              </w:rPr>
              <w:t xml:space="preserve">TobinQ </w:t>
            </w:r>
            <w:r w:rsidR="009438A9" w:rsidRPr="009642F7">
              <w:rPr>
                <w:rFonts w:ascii="Times New Roman" w:hAnsi="Times New Roman" w:cs="Times New Roman"/>
              </w:rPr>
              <w:t xml:space="preserve">is Tobin’s Q ratio in a given year. </w:t>
            </w:r>
            <w:r w:rsidR="009438A9" w:rsidRPr="009642F7">
              <w:rPr>
                <w:rFonts w:ascii="Times New Roman" w:hAnsi="Times New Roman" w:cs="Times New Roman"/>
                <w:i/>
              </w:rPr>
              <w:t xml:space="preserve">SG </w:t>
            </w:r>
            <w:r w:rsidR="009438A9" w:rsidRPr="009642F7">
              <w:rPr>
                <w:rFonts w:ascii="Times New Roman" w:hAnsi="Times New Roman" w:cs="Times New Roman"/>
              </w:rPr>
              <w:t xml:space="preserve">is sales growth, measured as the change in revenue over </w:t>
            </w:r>
            <w:r w:rsidR="009438A9" w:rsidRPr="009642F7">
              <w:rPr>
                <w:rFonts w:ascii="Times New Roman" w:eastAsia="HeiT" w:hAnsi="Times New Roman" w:cs="Times New Roman"/>
                <w:bCs/>
              </w:rPr>
              <w:t>a given year</w:t>
            </w:r>
            <w:r w:rsidR="009438A9" w:rsidRPr="009642F7">
              <w:rPr>
                <w:rFonts w:ascii="Times New Roman" w:hAnsi="Times New Roman" w:cs="Times New Roman"/>
              </w:rPr>
              <w:t xml:space="preserve">. </w:t>
            </w:r>
            <w:r w:rsidR="009438A9" w:rsidRPr="009642F7">
              <w:rPr>
                <w:rFonts w:ascii="Times New Roman" w:hAnsi="Times New Roman" w:cs="Times New Roman"/>
                <w:i/>
              </w:rPr>
              <w:t>DEBT</w:t>
            </w:r>
            <w:r w:rsidR="009438A9" w:rsidRPr="009642F7">
              <w:rPr>
                <w:rFonts w:ascii="Times New Roman" w:hAnsi="Times New Roman" w:cs="Times New Roman"/>
              </w:rPr>
              <w:t xml:space="preserve"> is ratio of total debt to total assets in a given year. </w:t>
            </w:r>
            <w:r w:rsidR="009438A9" w:rsidRPr="009642F7">
              <w:rPr>
                <w:rFonts w:ascii="Times New Roman" w:hAnsi="Times New Roman" w:cs="Times New Roman"/>
                <w:i/>
              </w:rPr>
              <w:t>ROA</w:t>
            </w:r>
            <w:r w:rsidR="009438A9" w:rsidRPr="009642F7">
              <w:rPr>
                <w:rFonts w:ascii="Times New Roman" w:hAnsi="Times New Roman" w:cs="Times New Roman"/>
              </w:rPr>
              <w:t xml:space="preserve"> is return on asset in a given year. </w:t>
            </w:r>
            <w:r w:rsidR="009438A9" w:rsidRPr="009642F7">
              <w:rPr>
                <w:rFonts w:ascii="Times New Roman" w:hAnsi="Times New Roman" w:cs="Times New Roman"/>
                <w:i/>
              </w:rPr>
              <w:t>DIV</w:t>
            </w:r>
            <w:r w:rsidR="009438A9" w:rsidRPr="009642F7">
              <w:rPr>
                <w:rFonts w:ascii="Times New Roman" w:hAnsi="Times New Roman" w:cs="Times New Roman"/>
              </w:rPr>
              <w:t xml:space="preserve"> is dividend yield in a given year. </w:t>
            </w:r>
            <w:r w:rsidR="009438A9" w:rsidRPr="009642F7">
              <w:rPr>
                <w:rFonts w:ascii="Times New Roman" w:hAnsi="Times New Roman" w:cs="Times New Roman"/>
                <w:i/>
              </w:rPr>
              <w:t>BSIZE</w:t>
            </w:r>
            <w:r w:rsidR="009438A9" w:rsidRPr="009642F7">
              <w:rPr>
                <w:rFonts w:ascii="Times New Roman" w:hAnsi="Times New Roman" w:cs="Times New Roman"/>
              </w:rPr>
              <w:t xml:space="preserve"> is the board size</w:t>
            </w:r>
            <w:r w:rsidR="005068D0" w:rsidRPr="009642F7">
              <w:rPr>
                <w:rFonts w:ascii="Times New Roman" w:hAnsi="Times New Roman" w:cs="Times New Roman"/>
              </w:rPr>
              <w:t xml:space="preserve"> in a given year</w:t>
            </w:r>
            <w:r w:rsidR="009438A9" w:rsidRPr="009642F7">
              <w:rPr>
                <w:rFonts w:ascii="Times New Roman" w:hAnsi="Times New Roman" w:cs="Times New Roman"/>
              </w:rPr>
              <w:t xml:space="preserve">. </w:t>
            </w:r>
            <w:r w:rsidR="009438A9" w:rsidRPr="009642F7">
              <w:rPr>
                <w:rFonts w:ascii="Times New Roman" w:hAnsi="Times New Roman" w:cs="Times New Roman"/>
                <w:i/>
              </w:rPr>
              <w:t>BIND</w:t>
            </w:r>
            <w:r w:rsidR="009438A9" w:rsidRPr="009642F7">
              <w:rPr>
                <w:rFonts w:ascii="Times New Roman" w:hAnsi="Times New Roman" w:cs="Times New Roman"/>
              </w:rPr>
              <w:t xml:space="preserve"> is board independence, measured as the ratio of independent directors to the board size</w:t>
            </w:r>
            <w:r w:rsidR="005068D0" w:rsidRPr="009642F7">
              <w:rPr>
                <w:rFonts w:ascii="Times New Roman" w:hAnsi="Times New Roman" w:cs="Times New Roman"/>
              </w:rPr>
              <w:t xml:space="preserve"> in a given year</w:t>
            </w:r>
            <w:r w:rsidR="009438A9" w:rsidRPr="009642F7">
              <w:rPr>
                <w:rFonts w:ascii="Times New Roman" w:hAnsi="Times New Roman" w:cs="Times New Roman"/>
              </w:rPr>
              <w:t xml:space="preserve">. </w:t>
            </w:r>
            <w:r w:rsidR="009438A9" w:rsidRPr="009642F7">
              <w:rPr>
                <w:rFonts w:ascii="Times New Roman" w:hAnsi="Times New Roman" w:cs="Times New Roman"/>
                <w:i/>
              </w:rPr>
              <w:t>BOR</w:t>
            </w:r>
            <w:r w:rsidR="005068D0" w:rsidRPr="009642F7">
              <w:rPr>
                <w:rFonts w:ascii="Times New Roman" w:hAnsi="Times New Roman" w:cs="Times New Roman"/>
                <w:i/>
              </w:rPr>
              <w:t xml:space="preserve"> </w:t>
            </w:r>
            <w:r w:rsidR="005068D0" w:rsidRPr="009642F7">
              <w:rPr>
                <w:rFonts w:ascii="Times New Roman" w:hAnsi="Times New Roman" w:cs="Times New Roman"/>
              </w:rPr>
              <w:t xml:space="preserve">is percentage of shares held by the board of directors at the end of the year. </w:t>
            </w:r>
            <w:r w:rsidR="005068D0" w:rsidRPr="009642F7">
              <w:rPr>
                <w:rFonts w:ascii="Times New Roman" w:hAnsi="Times New Roman" w:cs="Times New Roman"/>
                <w:i/>
              </w:rPr>
              <w:t>BLOCK</w:t>
            </w:r>
            <w:r w:rsidR="005068D0" w:rsidRPr="009642F7">
              <w:rPr>
                <w:rFonts w:ascii="Times New Roman" w:hAnsi="Times New Roman" w:cs="Times New Roman"/>
              </w:rPr>
              <w:t xml:space="preserve"> is percentage of shares held by the top 10 largest shareholders at the end of the year. </w:t>
            </w:r>
            <w:r w:rsidR="005068D0" w:rsidRPr="009642F7">
              <w:rPr>
                <w:rFonts w:ascii="Times New Roman" w:hAnsi="Times New Roman" w:cs="Times New Roman"/>
                <w:i/>
              </w:rPr>
              <w:t xml:space="preserve">XCR </w:t>
            </w:r>
            <w:r w:rsidR="005068D0" w:rsidRPr="009642F7">
              <w:rPr>
                <w:rFonts w:ascii="Times New Roman" w:hAnsi="Times New Roman" w:cs="Times New Roman"/>
              </w:rPr>
              <w:t xml:space="preserve">is the excess control rights for a given sample firm in a given year, computed based on Cubbin and Leech (1983). </w:t>
            </w:r>
            <w:r w:rsidR="005068D0" w:rsidRPr="009642F7">
              <w:rPr>
                <w:rFonts w:ascii="Times New Roman" w:hAnsi="Times New Roman" w:cs="Times New Roman"/>
                <w:i/>
              </w:rPr>
              <w:t>BDUAL</w:t>
            </w:r>
            <w:r w:rsidR="005068D0" w:rsidRPr="009642F7">
              <w:rPr>
                <w:rFonts w:ascii="Times New Roman" w:hAnsi="Times New Roman" w:cs="Times New Roman"/>
              </w:rPr>
              <w:t xml:space="preserve"> is percentage of directors occupying the top management team positions to the board size in a given year.</w:t>
            </w:r>
            <w:r w:rsidR="005068D0" w:rsidRPr="009642F7">
              <w:rPr>
                <w:rFonts w:ascii="Times New Roman" w:hAnsi="Times New Roman" w:cs="Times New Roman"/>
                <w:i/>
              </w:rPr>
              <w:t xml:space="preserve"> QFIIO </w:t>
            </w:r>
            <w:r w:rsidR="005068D0" w:rsidRPr="009642F7">
              <w:rPr>
                <w:rFonts w:ascii="Times New Roman" w:hAnsi="Times New Roman" w:cs="Times New Roman"/>
              </w:rPr>
              <w:t xml:space="preserve">percentage of shares held by qualified foreign institutional investors in Taiwan (QFIIs) at the end of the year. </w:t>
            </w:r>
            <w:r w:rsidR="005068D0" w:rsidRPr="009642F7">
              <w:rPr>
                <w:rFonts w:ascii="Times New Roman" w:hAnsi="Times New Roman" w:cs="Times New Roman"/>
                <w:i/>
              </w:rPr>
              <w:t>XDOI</w:t>
            </w:r>
            <w:r w:rsidR="004D7FCE" w:rsidRPr="009642F7">
              <w:rPr>
                <w:rFonts w:ascii="Times New Roman" w:hAnsi="Times New Roman" w:cs="Times New Roman"/>
              </w:rPr>
              <w:t xml:space="preserve"> is excess D&amp;O insurance coverage, measured as the difference between expected and actual D&amp;O insurance coverage</w:t>
            </w:r>
            <w:r w:rsidR="004D7FCE" w:rsidRPr="009642F7">
              <w:rPr>
                <w:rFonts w:ascii="Times New Roman" w:eastAsia="HeiT" w:hAnsi="Times New Roman" w:cs="Times New Roman"/>
                <w:bCs/>
              </w:rPr>
              <w:t xml:space="preserve"> in a given year (the sample period runs from </w:t>
            </w:r>
            <w:r w:rsidR="004D7FCE" w:rsidRPr="009642F7">
              <w:rPr>
                <w:rFonts w:ascii="Times New Roman" w:hAnsi="Times New Roman" w:cs="Times New Roman"/>
                <w:noProof/>
                <w:szCs w:val="21"/>
              </w:rPr>
              <w:t>2008 to 2021 due to data availability</w:t>
            </w:r>
            <w:r w:rsidR="004D7FCE" w:rsidRPr="009642F7">
              <w:rPr>
                <w:rFonts w:ascii="Times New Roman" w:eastAsia="HeiT" w:hAnsi="Times New Roman" w:cs="Times New Roman"/>
                <w:bCs/>
              </w:rPr>
              <w:t>)</w:t>
            </w:r>
            <w:r w:rsidR="004D7FCE" w:rsidRPr="009642F7">
              <w:rPr>
                <w:rFonts w:ascii="Times New Roman" w:hAnsi="Times New Roman" w:cs="Times New Roman"/>
              </w:rPr>
              <w:t xml:space="preserve">. </w:t>
            </w:r>
            <w:r w:rsidR="004D7FCE" w:rsidRPr="009642F7">
              <w:rPr>
                <w:rFonts w:ascii="Times New Roman" w:hAnsi="Times New Roman" w:cs="Times New Roman"/>
                <w:bCs/>
                <w:i/>
                <w:noProof/>
              </w:rPr>
              <w:t>N</w:t>
            </w:r>
            <w:r w:rsidR="004D7FCE" w:rsidRPr="009642F7">
              <w:rPr>
                <w:rFonts w:ascii="Times New Roman" w:hAnsi="Times New Roman" w:cs="Times New Roman"/>
                <w:bCs/>
                <w:noProof/>
              </w:rPr>
              <w:t xml:space="preserve"> are firm-year observations. </w:t>
            </w:r>
            <w:r w:rsidR="004D7FCE" w:rsidRPr="009642F7">
              <w:rPr>
                <w:rFonts w:ascii="Times New Roman" w:hAnsi="Times New Roman" w:cs="Times New Roman"/>
                <w:noProof/>
              </w:rPr>
              <w:t>All data are from the TEJ database.</w:t>
            </w:r>
          </w:p>
        </w:tc>
      </w:tr>
      <w:tr w:rsidR="009642F7" w:rsidRPr="009642F7" w14:paraId="4E4F35BB" w14:textId="77777777" w:rsidTr="004F160F">
        <w:trPr>
          <w:trHeight w:val="330"/>
        </w:trPr>
        <w:tc>
          <w:tcPr>
            <w:tcW w:w="1488" w:type="pct"/>
            <w:tcBorders>
              <w:top w:val="nil"/>
              <w:left w:val="nil"/>
              <w:bottom w:val="single" w:sz="4" w:space="0" w:color="auto"/>
              <w:right w:val="nil"/>
            </w:tcBorders>
            <w:shd w:val="clear" w:color="auto" w:fill="auto"/>
            <w:noWrap/>
            <w:vAlign w:val="center"/>
            <w:hideMark/>
          </w:tcPr>
          <w:p w14:paraId="0F5AE663" w14:textId="77777777" w:rsidR="004F160F" w:rsidRPr="009642F7" w:rsidRDefault="004F160F" w:rsidP="004D7FCE">
            <w:pPr>
              <w:snapToGrid w:val="0"/>
              <w:rPr>
                <w:rFonts w:ascii="Times New Roman" w:hAnsi="Times New Roman" w:cs="Times New Roman"/>
              </w:rPr>
            </w:pPr>
            <w:r w:rsidRPr="009642F7">
              <w:rPr>
                <w:rFonts w:ascii="Times New Roman" w:hAnsi="Times New Roman" w:cs="Times New Roman"/>
              </w:rPr>
              <w:t xml:space="preserve">　</w:t>
            </w:r>
          </w:p>
        </w:tc>
        <w:tc>
          <w:tcPr>
            <w:tcW w:w="763" w:type="pct"/>
            <w:tcBorders>
              <w:top w:val="nil"/>
              <w:left w:val="nil"/>
              <w:bottom w:val="single" w:sz="4" w:space="0" w:color="auto"/>
              <w:right w:val="nil"/>
            </w:tcBorders>
            <w:shd w:val="clear" w:color="auto" w:fill="auto"/>
            <w:noWrap/>
            <w:vAlign w:val="center"/>
            <w:hideMark/>
          </w:tcPr>
          <w:p w14:paraId="2D450F46"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N</w:t>
            </w:r>
          </w:p>
        </w:tc>
        <w:tc>
          <w:tcPr>
            <w:tcW w:w="890" w:type="pct"/>
            <w:tcBorders>
              <w:top w:val="nil"/>
              <w:left w:val="nil"/>
              <w:bottom w:val="single" w:sz="4" w:space="0" w:color="auto"/>
              <w:right w:val="nil"/>
            </w:tcBorders>
            <w:shd w:val="clear" w:color="auto" w:fill="auto"/>
            <w:noWrap/>
            <w:vAlign w:val="center"/>
            <w:hideMark/>
          </w:tcPr>
          <w:p w14:paraId="4D67C9D2"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Mean</w:t>
            </w:r>
          </w:p>
        </w:tc>
        <w:tc>
          <w:tcPr>
            <w:tcW w:w="841" w:type="pct"/>
            <w:tcBorders>
              <w:top w:val="nil"/>
              <w:left w:val="nil"/>
              <w:bottom w:val="single" w:sz="4" w:space="0" w:color="auto"/>
              <w:right w:val="nil"/>
            </w:tcBorders>
            <w:shd w:val="clear" w:color="auto" w:fill="auto"/>
            <w:noWrap/>
            <w:vAlign w:val="center"/>
            <w:hideMark/>
          </w:tcPr>
          <w:p w14:paraId="21B64B84"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Median</w:t>
            </w:r>
          </w:p>
        </w:tc>
        <w:tc>
          <w:tcPr>
            <w:tcW w:w="1018" w:type="pct"/>
            <w:tcBorders>
              <w:top w:val="nil"/>
              <w:left w:val="nil"/>
              <w:bottom w:val="single" w:sz="4" w:space="0" w:color="auto"/>
              <w:right w:val="nil"/>
            </w:tcBorders>
            <w:shd w:val="clear" w:color="auto" w:fill="auto"/>
            <w:noWrap/>
            <w:vAlign w:val="center"/>
            <w:hideMark/>
          </w:tcPr>
          <w:p w14:paraId="697BD2B4"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STD</w:t>
            </w:r>
          </w:p>
        </w:tc>
      </w:tr>
      <w:tr w:rsidR="009642F7" w:rsidRPr="009642F7" w14:paraId="04754585" w14:textId="77777777" w:rsidTr="004F160F">
        <w:trPr>
          <w:trHeight w:val="330"/>
        </w:trPr>
        <w:tc>
          <w:tcPr>
            <w:tcW w:w="1488" w:type="pct"/>
            <w:tcBorders>
              <w:top w:val="nil"/>
              <w:left w:val="nil"/>
              <w:bottom w:val="nil"/>
              <w:right w:val="nil"/>
            </w:tcBorders>
            <w:shd w:val="clear" w:color="auto" w:fill="auto"/>
            <w:noWrap/>
            <w:vAlign w:val="center"/>
            <w:hideMark/>
          </w:tcPr>
          <w:p w14:paraId="4FCD27D1"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Restat (%)</w:t>
            </w:r>
          </w:p>
        </w:tc>
        <w:tc>
          <w:tcPr>
            <w:tcW w:w="763" w:type="pct"/>
            <w:tcBorders>
              <w:top w:val="nil"/>
              <w:left w:val="nil"/>
              <w:bottom w:val="nil"/>
              <w:right w:val="nil"/>
            </w:tcBorders>
            <w:shd w:val="clear" w:color="auto" w:fill="auto"/>
            <w:noWrap/>
            <w:vAlign w:val="center"/>
            <w:hideMark/>
          </w:tcPr>
          <w:p w14:paraId="0C7D5173"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30,079</w:t>
            </w:r>
          </w:p>
        </w:tc>
        <w:tc>
          <w:tcPr>
            <w:tcW w:w="890" w:type="pct"/>
            <w:tcBorders>
              <w:top w:val="nil"/>
              <w:left w:val="nil"/>
              <w:bottom w:val="nil"/>
              <w:right w:val="nil"/>
            </w:tcBorders>
            <w:shd w:val="clear" w:color="auto" w:fill="auto"/>
            <w:noWrap/>
            <w:vAlign w:val="center"/>
            <w:hideMark/>
          </w:tcPr>
          <w:p w14:paraId="3EAA580F"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3.913</w:t>
            </w:r>
          </w:p>
        </w:tc>
        <w:tc>
          <w:tcPr>
            <w:tcW w:w="841" w:type="pct"/>
            <w:tcBorders>
              <w:top w:val="nil"/>
              <w:left w:val="nil"/>
              <w:bottom w:val="nil"/>
              <w:right w:val="nil"/>
            </w:tcBorders>
            <w:shd w:val="clear" w:color="auto" w:fill="auto"/>
            <w:noWrap/>
            <w:vAlign w:val="center"/>
            <w:hideMark/>
          </w:tcPr>
          <w:p w14:paraId="28010287"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0.000</w:t>
            </w:r>
          </w:p>
        </w:tc>
        <w:tc>
          <w:tcPr>
            <w:tcW w:w="1018" w:type="pct"/>
            <w:tcBorders>
              <w:top w:val="nil"/>
              <w:left w:val="nil"/>
              <w:bottom w:val="nil"/>
              <w:right w:val="nil"/>
            </w:tcBorders>
            <w:shd w:val="clear" w:color="auto" w:fill="auto"/>
            <w:noWrap/>
            <w:vAlign w:val="center"/>
            <w:hideMark/>
          </w:tcPr>
          <w:p w14:paraId="49CACF08"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19.391</w:t>
            </w:r>
          </w:p>
        </w:tc>
      </w:tr>
      <w:tr w:rsidR="009642F7" w:rsidRPr="009642F7" w14:paraId="368A54CC" w14:textId="77777777" w:rsidTr="004F160F">
        <w:trPr>
          <w:trHeight w:val="330"/>
        </w:trPr>
        <w:tc>
          <w:tcPr>
            <w:tcW w:w="1488" w:type="pct"/>
            <w:tcBorders>
              <w:top w:val="nil"/>
              <w:left w:val="nil"/>
              <w:bottom w:val="nil"/>
              <w:right w:val="nil"/>
            </w:tcBorders>
            <w:shd w:val="clear" w:color="auto" w:fill="auto"/>
            <w:noWrap/>
            <w:vAlign w:val="center"/>
            <w:hideMark/>
          </w:tcPr>
          <w:p w14:paraId="21F8AA1A"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Media</w:t>
            </w:r>
          </w:p>
        </w:tc>
        <w:tc>
          <w:tcPr>
            <w:tcW w:w="763" w:type="pct"/>
            <w:tcBorders>
              <w:top w:val="nil"/>
              <w:left w:val="nil"/>
              <w:bottom w:val="nil"/>
              <w:right w:val="nil"/>
            </w:tcBorders>
            <w:shd w:val="clear" w:color="auto" w:fill="auto"/>
            <w:noWrap/>
            <w:vAlign w:val="center"/>
            <w:hideMark/>
          </w:tcPr>
          <w:p w14:paraId="5BA2766B"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30,079</w:t>
            </w:r>
          </w:p>
        </w:tc>
        <w:tc>
          <w:tcPr>
            <w:tcW w:w="890" w:type="pct"/>
            <w:tcBorders>
              <w:top w:val="nil"/>
              <w:left w:val="nil"/>
              <w:bottom w:val="nil"/>
              <w:right w:val="nil"/>
            </w:tcBorders>
            <w:shd w:val="clear" w:color="auto" w:fill="auto"/>
            <w:noWrap/>
            <w:vAlign w:val="center"/>
            <w:hideMark/>
          </w:tcPr>
          <w:p w14:paraId="02A5D1F3"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36.742</w:t>
            </w:r>
          </w:p>
        </w:tc>
        <w:tc>
          <w:tcPr>
            <w:tcW w:w="841" w:type="pct"/>
            <w:tcBorders>
              <w:top w:val="nil"/>
              <w:left w:val="nil"/>
              <w:bottom w:val="nil"/>
              <w:right w:val="nil"/>
            </w:tcBorders>
            <w:shd w:val="clear" w:color="auto" w:fill="auto"/>
            <w:noWrap/>
            <w:vAlign w:val="center"/>
            <w:hideMark/>
          </w:tcPr>
          <w:p w14:paraId="2E73FA0C"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25.000</w:t>
            </w:r>
          </w:p>
        </w:tc>
        <w:tc>
          <w:tcPr>
            <w:tcW w:w="1018" w:type="pct"/>
            <w:tcBorders>
              <w:top w:val="nil"/>
              <w:left w:val="nil"/>
              <w:bottom w:val="nil"/>
              <w:right w:val="nil"/>
            </w:tcBorders>
            <w:shd w:val="clear" w:color="auto" w:fill="auto"/>
            <w:noWrap/>
            <w:vAlign w:val="center"/>
            <w:hideMark/>
          </w:tcPr>
          <w:p w14:paraId="324C5CA1"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45.410</w:t>
            </w:r>
          </w:p>
        </w:tc>
      </w:tr>
      <w:tr w:rsidR="009642F7" w:rsidRPr="009642F7" w14:paraId="0E73F283" w14:textId="77777777" w:rsidTr="004F160F">
        <w:trPr>
          <w:trHeight w:val="330"/>
        </w:trPr>
        <w:tc>
          <w:tcPr>
            <w:tcW w:w="1488" w:type="pct"/>
            <w:tcBorders>
              <w:top w:val="nil"/>
              <w:left w:val="nil"/>
              <w:bottom w:val="nil"/>
              <w:right w:val="nil"/>
            </w:tcBorders>
            <w:shd w:val="clear" w:color="auto" w:fill="auto"/>
            <w:noWrap/>
            <w:vAlign w:val="center"/>
            <w:hideMark/>
          </w:tcPr>
          <w:p w14:paraId="73E3D472"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XMedia</w:t>
            </w:r>
          </w:p>
        </w:tc>
        <w:tc>
          <w:tcPr>
            <w:tcW w:w="763" w:type="pct"/>
            <w:tcBorders>
              <w:top w:val="nil"/>
              <w:left w:val="nil"/>
              <w:bottom w:val="nil"/>
              <w:right w:val="nil"/>
            </w:tcBorders>
            <w:shd w:val="clear" w:color="auto" w:fill="auto"/>
            <w:noWrap/>
            <w:vAlign w:val="center"/>
            <w:hideMark/>
          </w:tcPr>
          <w:p w14:paraId="065A1E6A"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30,079</w:t>
            </w:r>
          </w:p>
        </w:tc>
        <w:tc>
          <w:tcPr>
            <w:tcW w:w="890" w:type="pct"/>
            <w:tcBorders>
              <w:top w:val="nil"/>
              <w:left w:val="nil"/>
              <w:bottom w:val="nil"/>
              <w:right w:val="nil"/>
            </w:tcBorders>
            <w:shd w:val="clear" w:color="auto" w:fill="auto"/>
            <w:noWrap/>
            <w:vAlign w:val="center"/>
            <w:hideMark/>
          </w:tcPr>
          <w:p w14:paraId="4A4D8BDE"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0.000</w:t>
            </w:r>
          </w:p>
        </w:tc>
        <w:tc>
          <w:tcPr>
            <w:tcW w:w="841" w:type="pct"/>
            <w:tcBorders>
              <w:top w:val="nil"/>
              <w:left w:val="nil"/>
              <w:bottom w:val="nil"/>
              <w:right w:val="nil"/>
            </w:tcBorders>
            <w:shd w:val="clear" w:color="auto" w:fill="auto"/>
            <w:noWrap/>
            <w:vAlign w:val="center"/>
            <w:hideMark/>
          </w:tcPr>
          <w:p w14:paraId="1BFBA8CE"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0.029</w:t>
            </w:r>
          </w:p>
        </w:tc>
        <w:tc>
          <w:tcPr>
            <w:tcW w:w="1018" w:type="pct"/>
            <w:tcBorders>
              <w:top w:val="nil"/>
              <w:left w:val="nil"/>
              <w:bottom w:val="nil"/>
              <w:right w:val="nil"/>
            </w:tcBorders>
            <w:shd w:val="clear" w:color="auto" w:fill="auto"/>
            <w:noWrap/>
            <w:vAlign w:val="center"/>
            <w:hideMark/>
          </w:tcPr>
          <w:p w14:paraId="2087A28E"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0.541</w:t>
            </w:r>
          </w:p>
        </w:tc>
      </w:tr>
      <w:tr w:rsidR="009642F7" w:rsidRPr="009642F7" w14:paraId="166AD383" w14:textId="77777777" w:rsidTr="004F160F">
        <w:trPr>
          <w:trHeight w:val="330"/>
        </w:trPr>
        <w:tc>
          <w:tcPr>
            <w:tcW w:w="1488" w:type="pct"/>
            <w:tcBorders>
              <w:top w:val="nil"/>
              <w:left w:val="nil"/>
              <w:bottom w:val="nil"/>
              <w:right w:val="nil"/>
            </w:tcBorders>
            <w:shd w:val="clear" w:color="auto" w:fill="auto"/>
            <w:noWrap/>
            <w:vAlign w:val="center"/>
            <w:hideMark/>
          </w:tcPr>
          <w:p w14:paraId="112B45AA"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TA (NT$ in b)</w:t>
            </w:r>
          </w:p>
        </w:tc>
        <w:tc>
          <w:tcPr>
            <w:tcW w:w="763" w:type="pct"/>
            <w:tcBorders>
              <w:top w:val="nil"/>
              <w:left w:val="nil"/>
              <w:bottom w:val="nil"/>
              <w:right w:val="nil"/>
            </w:tcBorders>
            <w:shd w:val="clear" w:color="auto" w:fill="auto"/>
            <w:noWrap/>
            <w:vAlign w:val="center"/>
            <w:hideMark/>
          </w:tcPr>
          <w:p w14:paraId="441C3578"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30,079</w:t>
            </w:r>
          </w:p>
        </w:tc>
        <w:tc>
          <w:tcPr>
            <w:tcW w:w="890" w:type="pct"/>
            <w:tcBorders>
              <w:top w:val="nil"/>
              <w:left w:val="nil"/>
              <w:bottom w:val="nil"/>
              <w:right w:val="nil"/>
            </w:tcBorders>
            <w:shd w:val="clear" w:color="auto" w:fill="auto"/>
            <w:noWrap/>
            <w:vAlign w:val="center"/>
            <w:hideMark/>
          </w:tcPr>
          <w:p w14:paraId="093C049A"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18.381</w:t>
            </w:r>
          </w:p>
        </w:tc>
        <w:tc>
          <w:tcPr>
            <w:tcW w:w="841" w:type="pct"/>
            <w:tcBorders>
              <w:top w:val="nil"/>
              <w:left w:val="nil"/>
              <w:bottom w:val="nil"/>
              <w:right w:val="nil"/>
            </w:tcBorders>
            <w:shd w:val="clear" w:color="auto" w:fill="auto"/>
            <w:noWrap/>
            <w:vAlign w:val="center"/>
            <w:hideMark/>
          </w:tcPr>
          <w:p w14:paraId="5E8950C6"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3.213</w:t>
            </w:r>
          </w:p>
        </w:tc>
        <w:tc>
          <w:tcPr>
            <w:tcW w:w="1018" w:type="pct"/>
            <w:tcBorders>
              <w:top w:val="nil"/>
              <w:left w:val="nil"/>
              <w:bottom w:val="nil"/>
              <w:right w:val="nil"/>
            </w:tcBorders>
            <w:shd w:val="clear" w:color="auto" w:fill="auto"/>
            <w:noWrap/>
            <w:vAlign w:val="center"/>
            <w:hideMark/>
          </w:tcPr>
          <w:p w14:paraId="54ECAB0C"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90.440</w:t>
            </w:r>
          </w:p>
        </w:tc>
      </w:tr>
      <w:tr w:rsidR="009642F7" w:rsidRPr="009642F7" w14:paraId="087417BB" w14:textId="77777777" w:rsidTr="004F160F">
        <w:trPr>
          <w:trHeight w:val="330"/>
        </w:trPr>
        <w:tc>
          <w:tcPr>
            <w:tcW w:w="1488" w:type="pct"/>
            <w:tcBorders>
              <w:top w:val="nil"/>
              <w:left w:val="nil"/>
              <w:bottom w:val="nil"/>
              <w:right w:val="nil"/>
            </w:tcBorders>
            <w:shd w:val="clear" w:color="auto" w:fill="auto"/>
            <w:noWrap/>
            <w:vAlign w:val="center"/>
            <w:hideMark/>
          </w:tcPr>
          <w:p w14:paraId="1B410E80"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TobinQ</w:t>
            </w:r>
          </w:p>
        </w:tc>
        <w:tc>
          <w:tcPr>
            <w:tcW w:w="763" w:type="pct"/>
            <w:tcBorders>
              <w:top w:val="nil"/>
              <w:left w:val="nil"/>
              <w:bottom w:val="nil"/>
              <w:right w:val="nil"/>
            </w:tcBorders>
            <w:shd w:val="clear" w:color="auto" w:fill="auto"/>
            <w:noWrap/>
            <w:vAlign w:val="center"/>
            <w:hideMark/>
          </w:tcPr>
          <w:p w14:paraId="29D60A09"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29,951</w:t>
            </w:r>
          </w:p>
        </w:tc>
        <w:tc>
          <w:tcPr>
            <w:tcW w:w="890" w:type="pct"/>
            <w:tcBorders>
              <w:top w:val="nil"/>
              <w:left w:val="nil"/>
              <w:bottom w:val="nil"/>
              <w:right w:val="nil"/>
            </w:tcBorders>
            <w:shd w:val="clear" w:color="auto" w:fill="auto"/>
            <w:noWrap/>
            <w:vAlign w:val="center"/>
            <w:hideMark/>
          </w:tcPr>
          <w:p w14:paraId="134BC454"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1.240</w:t>
            </w:r>
          </w:p>
        </w:tc>
        <w:tc>
          <w:tcPr>
            <w:tcW w:w="841" w:type="pct"/>
            <w:tcBorders>
              <w:top w:val="nil"/>
              <w:left w:val="nil"/>
              <w:bottom w:val="nil"/>
              <w:right w:val="nil"/>
            </w:tcBorders>
            <w:shd w:val="clear" w:color="auto" w:fill="auto"/>
            <w:noWrap/>
            <w:vAlign w:val="center"/>
            <w:hideMark/>
          </w:tcPr>
          <w:p w14:paraId="5CB781D0"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0.930</w:t>
            </w:r>
          </w:p>
        </w:tc>
        <w:tc>
          <w:tcPr>
            <w:tcW w:w="1018" w:type="pct"/>
            <w:tcBorders>
              <w:top w:val="nil"/>
              <w:left w:val="nil"/>
              <w:bottom w:val="nil"/>
              <w:right w:val="nil"/>
            </w:tcBorders>
            <w:shd w:val="clear" w:color="auto" w:fill="auto"/>
            <w:noWrap/>
            <w:vAlign w:val="center"/>
            <w:hideMark/>
          </w:tcPr>
          <w:p w14:paraId="06FBE45A"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1.352</w:t>
            </w:r>
          </w:p>
        </w:tc>
      </w:tr>
      <w:tr w:rsidR="009642F7" w:rsidRPr="009642F7" w14:paraId="798F245B" w14:textId="77777777" w:rsidTr="004F160F">
        <w:trPr>
          <w:trHeight w:val="330"/>
        </w:trPr>
        <w:tc>
          <w:tcPr>
            <w:tcW w:w="1488" w:type="pct"/>
            <w:tcBorders>
              <w:top w:val="nil"/>
              <w:left w:val="nil"/>
              <w:bottom w:val="nil"/>
              <w:right w:val="nil"/>
            </w:tcBorders>
            <w:shd w:val="clear" w:color="auto" w:fill="auto"/>
            <w:noWrap/>
            <w:vAlign w:val="center"/>
            <w:hideMark/>
          </w:tcPr>
          <w:p w14:paraId="68BF1BE6"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SG (%)</w:t>
            </w:r>
          </w:p>
        </w:tc>
        <w:tc>
          <w:tcPr>
            <w:tcW w:w="763" w:type="pct"/>
            <w:tcBorders>
              <w:top w:val="nil"/>
              <w:left w:val="nil"/>
              <w:bottom w:val="nil"/>
              <w:right w:val="nil"/>
            </w:tcBorders>
            <w:shd w:val="clear" w:color="auto" w:fill="auto"/>
            <w:noWrap/>
            <w:vAlign w:val="center"/>
            <w:hideMark/>
          </w:tcPr>
          <w:p w14:paraId="069E44E3"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29,897</w:t>
            </w:r>
          </w:p>
        </w:tc>
        <w:tc>
          <w:tcPr>
            <w:tcW w:w="890" w:type="pct"/>
            <w:tcBorders>
              <w:top w:val="nil"/>
              <w:left w:val="nil"/>
              <w:bottom w:val="nil"/>
              <w:right w:val="nil"/>
            </w:tcBorders>
            <w:shd w:val="clear" w:color="auto" w:fill="auto"/>
            <w:noWrap/>
            <w:vAlign w:val="center"/>
            <w:hideMark/>
          </w:tcPr>
          <w:p w14:paraId="00C57563"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102.576</w:t>
            </w:r>
          </w:p>
        </w:tc>
        <w:tc>
          <w:tcPr>
            <w:tcW w:w="841" w:type="pct"/>
            <w:tcBorders>
              <w:top w:val="nil"/>
              <w:left w:val="nil"/>
              <w:bottom w:val="nil"/>
              <w:right w:val="nil"/>
            </w:tcBorders>
            <w:shd w:val="clear" w:color="auto" w:fill="auto"/>
            <w:noWrap/>
            <w:vAlign w:val="center"/>
            <w:hideMark/>
          </w:tcPr>
          <w:p w14:paraId="3234FDEE"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4.970</w:t>
            </w:r>
          </w:p>
        </w:tc>
        <w:tc>
          <w:tcPr>
            <w:tcW w:w="1018" w:type="pct"/>
            <w:tcBorders>
              <w:top w:val="nil"/>
              <w:left w:val="nil"/>
              <w:bottom w:val="nil"/>
              <w:right w:val="nil"/>
            </w:tcBorders>
            <w:shd w:val="clear" w:color="auto" w:fill="auto"/>
            <w:noWrap/>
            <w:vAlign w:val="center"/>
            <w:hideMark/>
          </w:tcPr>
          <w:p w14:paraId="35FE5852"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6330.690</w:t>
            </w:r>
          </w:p>
        </w:tc>
      </w:tr>
      <w:tr w:rsidR="009642F7" w:rsidRPr="009642F7" w14:paraId="56A2DB82" w14:textId="77777777" w:rsidTr="004F160F">
        <w:trPr>
          <w:trHeight w:val="330"/>
        </w:trPr>
        <w:tc>
          <w:tcPr>
            <w:tcW w:w="1488" w:type="pct"/>
            <w:tcBorders>
              <w:top w:val="nil"/>
              <w:left w:val="nil"/>
              <w:bottom w:val="nil"/>
              <w:right w:val="nil"/>
            </w:tcBorders>
            <w:shd w:val="clear" w:color="auto" w:fill="auto"/>
            <w:noWrap/>
            <w:vAlign w:val="center"/>
            <w:hideMark/>
          </w:tcPr>
          <w:p w14:paraId="0372A20F"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DEBT (%)</w:t>
            </w:r>
          </w:p>
        </w:tc>
        <w:tc>
          <w:tcPr>
            <w:tcW w:w="763" w:type="pct"/>
            <w:tcBorders>
              <w:top w:val="nil"/>
              <w:left w:val="nil"/>
              <w:bottom w:val="nil"/>
              <w:right w:val="nil"/>
            </w:tcBorders>
            <w:shd w:val="clear" w:color="auto" w:fill="auto"/>
            <w:noWrap/>
            <w:vAlign w:val="center"/>
            <w:hideMark/>
          </w:tcPr>
          <w:p w14:paraId="5FBFDB9C"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29,985</w:t>
            </w:r>
          </w:p>
        </w:tc>
        <w:tc>
          <w:tcPr>
            <w:tcW w:w="890" w:type="pct"/>
            <w:tcBorders>
              <w:top w:val="nil"/>
              <w:left w:val="nil"/>
              <w:bottom w:val="nil"/>
              <w:right w:val="nil"/>
            </w:tcBorders>
            <w:shd w:val="clear" w:color="auto" w:fill="auto"/>
            <w:noWrap/>
            <w:vAlign w:val="center"/>
            <w:hideMark/>
          </w:tcPr>
          <w:p w14:paraId="5E58D86C"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41.839</w:t>
            </w:r>
          </w:p>
        </w:tc>
        <w:tc>
          <w:tcPr>
            <w:tcW w:w="841" w:type="pct"/>
            <w:tcBorders>
              <w:top w:val="nil"/>
              <w:left w:val="nil"/>
              <w:bottom w:val="nil"/>
              <w:right w:val="nil"/>
            </w:tcBorders>
            <w:shd w:val="clear" w:color="auto" w:fill="auto"/>
            <w:noWrap/>
            <w:vAlign w:val="center"/>
            <w:hideMark/>
          </w:tcPr>
          <w:p w14:paraId="11737E87"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42.020</w:t>
            </w:r>
          </w:p>
        </w:tc>
        <w:tc>
          <w:tcPr>
            <w:tcW w:w="1018" w:type="pct"/>
            <w:tcBorders>
              <w:top w:val="nil"/>
              <w:left w:val="nil"/>
              <w:bottom w:val="nil"/>
              <w:right w:val="nil"/>
            </w:tcBorders>
            <w:shd w:val="clear" w:color="auto" w:fill="auto"/>
            <w:noWrap/>
            <w:vAlign w:val="center"/>
            <w:hideMark/>
          </w:tcPr>
          <w:p w14:paraId="16C9CBF9"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17.995</w:t>
            </w:r>
          </w:p>
        </w:tc>
      </w:tr>
      <w:tr w:rsidR="009642F7" w:rsidRPr="009642F7" w14:paraId="4CDB743F" w14:textId="77777777" w:rsidTr="004F160F">
        <w:trPr>
          <w:trHeight w:val="330"/>
        </w:trPr>
        <w:tc>
          <w:tcPr>
            <w:tcW w:w="1488" w:type="pct"/>
            <w:tcBorders>
              <w:top w:val="nil"/>
              <w:left w:val="nil"/>
              <w:bottom w:val="nil"/>
              <w:right w:val="nil"/>
            </w:tcBorders>
            <w:shd w:val="clear" w:color="auto" w:fill="auto"/>
            <w:noWrap/>
            <w:vAlign w:val="center"/>
            <w:hideMark/>
          </w:tcPr>
          <w:p w14:paraId="40CBF214"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ROA (%)</w:t>
            </w:r>
          </w:p>
        </w:tc>
        <w:tc>
          <w:tcPr>
            <w:tcW w:w="763" w:type="pct"/>
            <w:tcBorders>
              <w:top w:val="nil"/>
              <w:left w:val="nil"/>
              <w:bottom w:val="nil"/>
              <w:right w:val="nil"/>
            </w:tcBorders>
            <w:shd w:val="clear" w:color="auto" w:fill="auto"/>
            <w:noWrap/>
            <w:vAlign w:val="center"/>
            <w:hideMark/>
          </w:tcPr>
          <w:p w14:paraId="6B12B9A9"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30,025</w:t>
            </w:r>
          </w:p>
        </w:tc>
        <w:tc>
          <w:tcPr>
            <w:tcW w:w="890" w:type="pct"/>
            <w:tcBorders>
              <w:top w:val="nil"/>
              <w:left w:val="nil"/>
              <w:bottom w:val="nil"/>
              <w:right w:val="nil"/>
            </w:tcBorders>
            <w:shd w:val="clear" w:color="auto" w:fill="auto"/>
            <w:noWrap/>
            <w:vAlign w:val="center"/>
            <w:hideMark/>
          </w:tcPr>
          <w:p w14:paraId="486984C6"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7.021</w:t>
            </w:r>
          </w:p>
        </w:tc>
        <w:tc>
          <w:tcPr>
            <w:tcW w:w="841" w:type="pct"/>
            <w:tcBorders>
              <w:top w:val="nil"/>
              <w:left w:val="nil"/>
              <w:bottom w:val="nil"/>
              <w:right w:val="nil"/>
            </w:tcBorders>
            <w:shd w:val="clear" w:color="auto" w:fill="auto"/>
            <w:noWrap/>
            <w:vAlign w:val="center"/>
            <w:hideMark/>
          </w:tcPr>
          <w:p w14:paraId="13178DDA"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6.920</w:t>
            </w:r>
          </w:p>
        </w:tc>
        <w:tc>
          <w:tcPr>
            <w:tcW w:w="1018" w:type="pct"/>
            <w:tcBorders>
              <w:top w:val="nil"/>
              <w:left w:val="nil"/>
              <w:bottom w:val="nil"/>
              <w:right w:val="nil"/>
            </w:tcBorders>
            <w:shd w:val="clear" w:color="auto" w:fill="auto"/>
            <w:noWrap/>
            <w:vAlign w:val="center"/>
            <w:hideMark/>
          </w:tcPr>
          <w:p w14:paraId="09A9A995"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9.486</w:t>
            </w:r>
          </w:p>
        </w:tc>
      </w:tr>
      <w:tr w:rsidR="009642F7" w:rsidRPr="009642F7" w14:paraId="704A2322" w14:textId="77777777" w:rsidTr="004F160F">
        <w:trPr>
          <w:trHeight w:val="330"/>
        </w:trPr>
        <w:tc>
          <w:tcPr>
            <w:tcW w:w="1488" w:type="pct"/>
            <w:tcBorders>
              <w:top w:val="nil"/>
              <w:left w:val="nil"/>
              <w:bottom w:val="nil"/>
              <w:right w:val="nil"/>
            </w:tcBorders>
            <w:shd w:val="clear" w:color="auto" w:fill="auto"/>
            <w:noWrap/>
            <w:vAlign w:val="center"/>
            <w:hideMark/>
          </w:tcPr>
          <w:p w14:paraId="1A077ACB"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DIV (%)</w:t>
            </w:r>
          </w:p>
        </w:tc>
        <w:tc>
          <w:tcPr>
            <w:tcW w:w="763" w:type="pct"/>
            <w:tcBorders>
              <w:top w:val="nil"/>
              <w:left w:val="nil"/>
              <w:bottom w:val="nil"/>
              <w:right w:val="nil"/>
            </w:tcBorders>
            <w:shd w:val="clear" w:color="auto" w:fill="auto"/>
            <w:noWrap/>
            <w:vAlign w:val="center"/>
            <w:hideMark/>
          </w:tcPr>
          <w:p w14:paraId="2BFE726C"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28,297</w:t>
            </w:r>
          </w:p>
        </w:tc>
        <w:tc>
          <w:tcPr>
            <w:tcW w:w="890" w:type="pct"/>
            <w:tcBorders>
              <w:top w:val="nil"/>
              <w:left w:val="nil"/>
              <w:bottom w:val="nil"/>
              <w:right w:val="nil"/>
            </w:tcBorders>
            <w:shd w:val="clear" w:color="auto" w:fill="auto"/>
            <w:noWrap/>
            <w:vAlign w:val="center"/>
            <w:hideMark/>
          </w:tcPr>
          <w:p w14:paraId="5B78674F"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3.649</w:t>
            </w:r>
          </w:p>
        </w:tc>
        <w:tc>
          <w:tcPr>
            <w:tcW w:w="841" w:type="pct"/>
            <w:tcBorders>
              <w:top w:val="nil"/>
              <w:left w:val="nil"/>
              <w:bottom w:val="nil"/>
              <w:right w:val="nil"/>
            </w:tcBorders>
            <w:shd w:val="clear" w:color="auto" w:fill="auto"/>
            <w:noWrap/>
            <w:vAlign w:val="center"/>
            <w:hideMark/>
          </w:tcPr>
          <w:p w14:paraId="352025E1"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3.470</w:t>
            </w:r>
          </w:p>
        </w:tc>
        <w:tc>
          <w:tcPr>
            <w:tcW w:w="1018" w:type="pct"/>
            <w:tcBorders>
              <w:top w:val="nil"/>
              <w:left w:val="nil"/>
              <w:bottom w:val="nil"/>
              <w:right w:val="nil"/>
            </w:tcBorders>
            <w:shd w:val="clear" w:color="auto" w:fill="auto"/>
            <w:noWrap/>
            <w:vAlign w:val="center"/>
            <w:hideMark/>
          </w:tcPr>
          <w:p w14:paraId="2D59FCF6"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3.305</w:t>
            </w:r>
          </w:p>
        </w:tc>
      </w:tr>
      <w:tr w:rsidR="009642F7" w:rsidRPr="009642F7" w14:paraId="66C8150D" w14:textId="77777777" w:rsidTr="004F160F">
        <w:trPr>
          <w:trHeight w:val="330"/>
        </w:trPr>
        <w:tc>
          <w:tcPr>
            <w:tcW w:w="1488" w:type="pct"/>
            <w:tcBorders>
              <w:top w:val="nil"/>
              <w:left w:val="nil"/>
              <w:bottom w:val="nil"/>
              <w:right w:val="nil"/>
            </w:tcBorders>
            <w:shd w:val="clear" w:color="auto" w:fill="auto"/>
            <w:noWrap/>
            <w:vAlign w:val="center"/>
            <w:hideMark/>
          </w:tcPr>
          <w:p w14:paraId="6732D146"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BSIZE</w:t>
            </w:r>
          </w:p>
        </w:tc>
        <w:tc>
          <w:tcPr>
            <w:tcW w:w="763" w:type="pct"/>
            <w:tcBorders>
              <w:top w:val="nil"/>
              <w:left w:val="nil"/>
              <w:bottom w:val="nil"/>
              <w:right w:val="nil"/>
            </w:tcBorders>
            <w:shd w:val="clear" w:color="auto" w:fill="auto"/>
            <w:noWrap/>
            <w:vAlign w:val="center"/>
            <w:hideMark/>
          </w:tcPr>
          <w:p w14:paraId="2393696F"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29,874</w:t>
            </w:r>
          </w:p>
        </w:tc>
        <w:tc>
          <w:tcPr>
            <w:tcW w:w="890" w:type="pct"/>
            <w:tcBorders>
              <w:top w:val="nil"/>
              <w:left w:val="nil"/>
              <w:bottom w:val="nil"/>
              <w:right w:val="nil"/>
            </w:tcBorders>
            <w:shd w:val="clear" w:color="auto" w:fill="auto"/>
            <w:noWrap/>
            <w:vAlign w:val="center"/>
            <w:hideMark/>
          </w:tcPr>
          <w:p w14:paraId="69409C97"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9.130</w:t>
            </w:r>
          </w:p>
        </w:tc>
        <w:tc>
          <w:tcPr>
            <w:tcW w:w="841" w:type="pct"/>
            <w:tcBorders>
              <w:top w:val="nil"/>
              <w:left w:val="nil"/>
              <w:bottom w:val="nil"/>
              <w:right w:val="nil"/>
            </w:tcBorders>
            <w:shd w:val="clear" w:color="auto" w:fill="auto"/>
            <w:noWrap/>
            <w:vAlign w:val="center"/>
            <w:hideMark/>
          </w:tcPr>
          <w:p w14:paraId="6EC441D1"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9.000</w:t>
            </w:r>
          </w:p>
        </w:tc>
        <w:tc>
          <w:tcPr>
            <w:tcW w:w="1018" w:type="pct"/>
            <w:tcBorders>
              <w:top w:val="nil"/>
              <w:left w:val="nil"/>
              <w:bottom w:val="nil"/>
              <w:right w:val="nil"/>
            </w:tcBorders>
            <w:shd w:val="clear" w:color="auto" w:fill="auto"/>
            <w:noWrap/>
            <w:vAlign w:val="center"/>
            <w:hideMark/>
          </w:tcPr>
          <w:p w14:paraId="7A1DDD84"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2.450</w:t>
            </w:r>
          </w:p>
        </w:tc>
      </w:tr>
      <w:tr w:rsidR="009642F7" w:rsidRPr="009642F7" w14:paraId="55B28017" w14:textId="77777777" w:rsidTr="004F160F">
        <w:trPr>
          <w:trHeight w:val="330"/>
        </w:trPr>
        <w:tc>
          <w:tcPr>
            <w:tcW w:w="1488" w:type="pct"/>
            <w:tcBorders>
              <w:top w:val="nil"/>
              <w:left w:val="nil"/>
              <w:bottom w:val="nil"/>
              <w:right w:val="nil"/>
            </w:tcBorders>
            <w:shd w:val="clear" w:color="auto" w:fill="auto"/>
            <w:noWrap/>
            <w:vAlign w:val="center"/>
            <w:hideMark/>
          </w:tcPr>
          <w:p w14:paraId="24DC768E"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BIND</w:t>
            </w:r>
          </w:p>
        </w:tc>
        <w:tc>
          <w:tcPr>
            <w:tcW w:w="763" w:type="pct"/>
            <w:tcBorders>
              <w:top w:val="nil"/>
              <w:left w:val="nil"/>
              <w:bottom w:val="nil"/>
              <w:right w:val="nil"/>
            </w:tcBorders>
            <w:shd w:val="clear" w:color="auto" w:fill="auto"/>
            <w:noWrap/>
            <w:vAlign w:val="center"/>
            <w:hideMark/>
          </w:tcPr>
          <w:p w14:paraId="38BCEF77"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29,874</w:t>
            </w:r>
          </w:p>
        </w:tc>
        <w:tc>
          <w:tcPr>
            <w:tcW w:w="890" w:type="pct"/>
            <w:tcBorders>
              <w:top w:val="nil"/>
              <w:left w:val="nil"/>
              <w:bottom w:val="nil"/>
              <w:right w:val="nil"/>
            </w:tcBorders>
            <w:shd w:val="clear" w:color="auto" w:fill="auto"/>
            <w:noWrap/>
            <w:vAlign w:val="center"/>
            <w:hideMark/>
          </w:tcPr>
          <w:p w14:paraId="433B85D1"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0.180</w:t>
            </w:r>
          </w:p>
        </w:tc>
        <w:tc>
          <w:tcPr>
            <w:tcW w:w="841" w:type="pct"/>
            <w:tcBorders>
              <w:top w:val="nil"/>
              <w:left w:val="nil"/>
              <w:bottom w:val="nil"/>
              <w:right w:val="nil"/>
            </w:tcBorders>
            <w:shd w:val="clear" w:color="auto" w:fill="auto"/>
            <w:noWrap/>
            <w:vAlign w:val="center"/>
            <w:hideMark/>
          </w:tcPr>
          <w:p w14:paraId="5D8977BE"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0.200</w:t>
            </w:r>
          </w:p>
        </w:tc>
        <w:tc>
          <w:tcPr>
            <w:tcW w:w="1018" w:type="pct"/>
            <w:tcBorders>
              <w:top w:val="nil"/>
              <w:left w:val="nil"/>
              <w:bottom w:val="nil"/>
              <w:right w:val="nil"/>
            </w:tcBorders>
            <w:shd w:val="clear" w:color="auto" w:fill="auto"/>
            <w:noWrap/>
            <w:vAlign w:val="center"/>
            <w:hideMark/>
          </w:tcPr>
          <w:p w14:paraId="7DC3A589"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0.163</w:t>
            </w:r>
          </w:p>
        </w:tc>
      </w:tr>
      <w:tr w:rsidR="009642F7" w:rsidRPr="009642F7" w14:paraId="7DAE66EF" w14:textId="77777777" w:rsidTr="004F160F">
        <w:trPr>
          <w:trHeight w:val="330"/>
        </w:trPr>
        <w:tc>
          <w:tcPr>
            <w:tcW w:w="1488" w:type="pct"/>
            <w:tcBorders>
              <w:top w:val="nil"/>
              <w:left w:val="nil"/>
              <w:bottom w:val="nil"/>
              <w:right w:val="nil"/>
            </w:tcBorders>
            <w:shd w:val="clear" w:color="auto" w:fill="auto"/>
            <w:noWrap/>
            <w:vAlign w:val="center"/>
            <w:hideMark/>
          </w:tcPr>
          <w:p w14:paraId="3BE8CDFE"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BOR (%)</w:t>
            </w:r>
          </w:p>
        </w:tc>
        <w:tc>
          <w:tcPr>
            <w:tcW w:w="763" w:type="pct"/>
            <w:tcBorders>
              <w:top w:val="nil"/>
              <w:left w:val="nil"/>
              <w:bottom w:val="nil"/>
              <w:right w:val="nil"/>
            </w:tcBorders>
            <w:shd w:val="clear" w:color="auto" w:fill="auto"/>
            <w:noWrap/>
            <w:vAlign w:val="center"/>
            <w:hideMark/>
          </w:tcPr>
          <w:p w14:paraId="6D3368BB"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29,874</w:t>
            </w:r>
          </w:p>
        </w:tc>
        <w:tc>
          <w:tcPr>
            <w:tcW w:w="890" w:type="pct"/>
            <w:tcBorders>
              <w:top w:val="nil"/>
              <w:left w:val="nil"/>
              <w:bottom w:val="nil"/>
              <w:right w:val="nil"/>
            </w:tcBorders>
            <w:shd w:val="clear" w:color="auto" w:fill="auto"/>
            <w:noWrap/>
            <w:vAlign w:val="center"/>
            <w:hideMark/>
          </w:tcPr>
          <w:p w14:paraId="6845B781"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25.925</w:t>
            </w:r>
          </w:p>
        </w:tc>
        <w:tc>
          <w:tcPr>
            <w:tcW w:w="841" w:type="pct"/>
            <w:tcBorders>
              <w:top w:val="nil"/>
              <w:left w:val="nil"/>
              <w:bottom w:val="nil"/>
              <w:right w:val="nil"/>
            </w:tcBorders>
            <w:shd w:val="clear" w:color="auto" w:fill="auto"/>
            <w:noWrap/>
            <w:vAlign w:val="center"/>
            <w:hideMark/>
          </w:tcPr>
          <w:p w14:paraId="559DCD84"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22.110</w:t>
            </w:r>
          </w:p>
        </w:tc>
        <w:tc>
          <w:tcPr>
            <w:tcW w:w="1018" w:type="pct"/>
            <w:tcBorders>
              <w:top w:val="nil"/>
              <w:left w:val="nil"/>
              <w:bottom w:val="nil"/>
              <w:right w:val="nil"/>
            </w:tcBorders>
            <w:shd w:val="clear" w:color="auto" w:fill="auto"/>
            <w:noWrap/>
            <w:vAlign w:val="center"/>
            <w:hideMark/>
          </w:tcPr>
          <w:p w14:paraId="21E2323F"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16.289</w:t>
            </w:r>
          </w:p>
        </w:tc>
      </w:tr>
      <w:tr w:rsidR="009642F7" w:rsidRPr="009642F7" w14:paraId="23AD20BB" w14:textId="77777777" w:rsidTr="004F160F">
        <w:trPr>
          <w:trHeight w:val="330"/>
        </w:trPr>
        <w:tc>
          <w:tcPr>
            <w:tcW w:w="1488" w:type="pct"/>
            <w:tcBorders>
              <w:top w:val="nil"/>
              <w:left w:val="nil"/>
              <w:bottom w:val="nil"/>
              <w:right w:val="nil"/>
            </w:tcBorders>
            <w:shd w:val="clear" w:color="auto" w:fill="auto"/>
            <w:noWrap/>
            <w:vAlign w:val="center"/>
            <w:hideMark/>
          </w:tcPr>
          <w:p w14:paraId="26AFED0A"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BLOCK (%)</w:t>
            </w:r>
          </w:p>
        </w:tc>
        <w:tc>
          <w:tcPr>
            <w:tcW w:w="763" w:type="pct"/>
            <w:tcBorders>
              <w:top w:val="nil"/>
              <w:left w:val="nil"/>
              <w:bottom w:val="nil"/>
              <w:right w:val="nil"/>
            </w:tcBorders>
            <w:shd w:val="clear" w:color="auto" w:fill="auto"/>
            <w:noWrap/>
            <w:vAlign w:val="center"/>
            <w:hideMark/>
          </w:tcPr>
          <w:p w14:paraId="4625692E"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29,874</w:t>
            </w:r>
          </w:p>
        </w:tc>
        <w:tc>
          <w:tcPr>
            <w:tcW w:w="890" w:type="pct"/>
            <w:tcBorders>
              <w:top w:val="nil"/>
              <w:left w:val="nil"/>
              <w:bottom w:val="nil"/>
              <w:right w:val="nil"/>
            </w:tcBorders>
            <w:shd w:val="clear" w:color="auto" w:fill="auto"/>
            <w:noWrap/>
            <w:vAlign w:val="center"/>
            <w:hideMark/>
          </w:tcPr>
          <w:p w14:paraId="2440EDAB"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20.645</w:t>
            </w:r>
          </w:p>
        </w:tc>
        <w:tc>
          <w:tcPr>
            <w:tcW w:w="841" w:type="pct"/>
            <w:tcBorders>
              <w:top w:val="nil"/>
              <w:left w:val="nil"/>
              <w:bottom w:val="nil"/>
              <w:right w:val="nil"/>
            </w:tcBorders>
            <w:shd w:val="clear" w:color="auto" w:fill="auto"/>
            <w:noWrap/>
            <w:vAlign w:val="center"/>
            <w:hideMark/>
          </w:tcPr>
          <w:p w14:paraId="69EA786F"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18.550</w:t>
            </w:r>
          </w:p>
        </w:tc>
        <w:tc>
          <w:tcPr>
            <w:tcW w:w="1018" w:type="pct"/>
            <w:tcBorders>
              <w:top w:val="nil"/>
              <w:left w:val="nil"/>
              <w:bottom w:val="nil"/>
              <w:right w:val="nil"/>
            </w:tcBorders>
            <w:shd w:val="clear" w:color="auto" w:fill="auto"/>
            <w:noWrap/>
            <w:vAlign w:val="center"/>
            <w:hideMark/>
          </w:tcPr>
          <w:p w14:paraId="631B26D2"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12.978</w:t>
            </w:r>
          </w:p>
        </w:tc>
      </w:tr>
      <w:tr w:rsidR="009642F7" w:rsidRPr="009642F7" w14:paraId="27A3DC94" w14:textId="77777777" w:rsidTr="004F160F">
        <w:trPr>
          <w:trHeight w:val="330"/>
        </w:trPr>
        <w:tc>
          <w:tcPr>
            <w:tcW w:w="1488" w:type="pct"/>
            <w:tcBorders>
              <w:top w:val="nil"/>
              <w:left w:val="nil"/>
              <w:bottom w:val="nil"/>
              <w:right w:val="nil"/>
            </w:tcBorders>
            <w:shd w:val="clear" w:color="auto" w:fill="auto"/>
            <w:noWrap/>
            <w:vAlign w:val="center"/>
            <w:hideMark/>
          </w:tcPr>
          <w:p w14:paraId="43CD62A0"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XCR (%)</w:t>
            </w:r>
          </w:p>
        </w:tc>
        <w:tc>
          <w:tcPr>
            <w:tcW w:w="763" w:type="pct"/>
            <w:tcBorders>
              <w:top w:val="nil"/>
              <w:left w:val="nil"/>
              <w:bottom w:val="nil"/>
              <w:right w:val="nil"/>
            </w:tcBorders>
            <w:shd w:val="clear" w:color="auto" w:fill="auto"/>
            <w:noWrap/>
            <w:vAlign w:val="center"/>
            <w:hideMark/>
          </w:tcPr>
          <w:p w14:paraId="394D72E9"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29,836</w:t>
            </w:r>
          </w:p>
        </w:tc>
        <w:tc>
          <w:tcPr>
            <w:tcW w:w="890" w:type="pct"/>
            <w:tcBorders>
              <w:top w:val="nil"/>
              <w:left w:val="nil"/>
              <w:bottom w:val="nil"/>
              <w:right w:val="nil"/>
            </w:tcBorders>
            <w:shd w:val="clear" w:color="auto" w:fill="auto"/>
            <w:noWrap/>
            <w:vAlign w:val="center"/>
            <w:hideMark/>
          </w:tcPr>
          <w:p w14:paraId="6B3E25DD"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16.786</w:t>
            </w:r>
          </w:p>
        </w:tc>
        <w:tc>
          <w:tcPr>
            <w:tcW w:w="841" w:type="pct"/>
            <w:tcBorders>
              <w:top w:val="nil"/>
              <w:left w:val="nil"/>
              <w:bottom w:val="nil"/>
              <w:right w:val="nil"/>
            </w:tcBorders>
            <w:shd w:val="clear" w:color="auto" w:fill="auto"/>
            <w:noWrap/>
            <w:vAlign w:val="center"/>
            <w:hideMark/>
          </w:tcPr>
          <w:p w14:paraId="4A3F8B97"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15.330</w:t>
            </w:r>
          </w:p>
        </w:tc>
        <w:tc>
          <w:tcPr>
            <w:tcW w:w="1018" w:type="pct"/>
            <w:tcBorders>
              <w:top w:val="nil"/>
              <w:left w:val="nil"/>
              <w:bottom w:val="nil"/>
              <w:right w:val="nil"/>
            </w:tcBorders>
            <w:shd w:val="clear" w:color="auto" w:fill="auto"/>
            <w:noWrap/>
            <w:vAlign w:val="center"/>
            <w:hideMark/>
          </w:tcPr>
          <w:p w14:paraId="02DB06E3"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15.832</w:t>
            </w:r>
          </w:p>
        </w:tc>
      </w:tr>
      <w:tr w:rsidR="009642F7" w:rsidRPr="009642F7" w14:paraId="119DBFC2" w14:textId="77777777" w:rsidTr="004F160F">
        <w:trPr>
          <w:trHeight w:val="330"/>
        </w:trPr>
        <w:tc>
          <w:tcPr>
            <w:tcW w:w="1488" w:type="pct"/>
            <w:tcBorders>
              <w:top w:val="nil"/>
              <w:left w:val="nil"/>
              <w:bottom w:val="nil"/>
              <w:right w:val="nil"/>
            </w:tcBorders>
            <w:shd w:val="clear" w:color="auto" w:fill="auto"/>
            <w:noWrap/>
            <w:vAlign w:val="center"/>
            <w:hideMark/>
          </w:tcPr>
          <w:p w14:paraId="5451D064"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BDUAL (%)</w:t>
            </w:r>
          </w:p>
        </w:tc>
        <w:tc>
          <w:tcPr>
            <w:tcW w:w="763" w:type="pct"/>
            <w:tcBorders>
              <w:top w:val="nil"/>
              <w:left w:val="nil"/>
              <w:bottom w:val="nil"/>
              <w:right w:val="nil"/>
            </w:tcBorders>
            <w:shd w:val="clear" w:color="auto" w:fill="auto"/>
            <w:noWrap/>
            <w:vAlign w:val="center"/>
            <w:hideMark/>
          </w:tcPr>
          <w:p w14:paraId="61B466C4"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29,874</w:t>
            </w:r>
          </w:p>
        </w:tc>
        <w:tc>
          <w:tcPr>
            <w:tcW w:w="890" w:type="pct"/>
            <w:tcBorders>
              <w:top w:val="nil"/>
              <w:left w:val="nil"/>
              <w:bottom w:val="nil"/>
              <w:right w:val="nil"/>
            </w:tcBorders>
            <w:shd w:val="clear" w:color="auto" w:fill="auto"/>
            <w:noWrap/>
            <w:vAlign w:val="center"/>
            <w:hideMark/>
          </w:tcPr>
          <w:p w14:paraId="60D75042"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24.811</w:t>
            </w:r>
          </w:p>
        </w:tc>
        <w:tc>
          <w:tcPr>
            <w:tcW w:w="841" w:type="pct"/>
            <w:tcBorders>
              <w:top w:val="nil"/>
              <w:left w:val="nil"/>
              <w:bottom w:val="nil"/>
              <w:right w:val="nil"/>
            </w:tcBorders>
            <w:shd w:val="clear" w:color="auto" w:fill="auto"/>
            <w:noWrap/>
            <w:vAlign w:val="center"/>
            <w:hideMark/>
          </w:tcPr>
          <w:p w14:paraId="3F2ED2C3"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20.000</w:t>
            </w:r>
          </w:p>
        </w:tc>
        <w:tc>
          <w:tcPr>
            <w:tcW w:w="1018" w:type="pct"/>
            <w:tcBorders>
              <w:top w:val="nil"/>
              <w:left w:val="nil"/>
              <w:bottom w:val="nil"/>
              <w:right w:val="nil"/>
            </w:tcBorders>
            <w:shd w:val="clear" w:color="auto" w:fill="auto"/>
            <w:noWrap/>
            <w:vAlign w:val="center"/>
            <w:hideMark/>
          </w:tcPr>
          <w:p w14:paraId="02585411"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17.267</w:t>
            </w:r>
          </w:p>
        </w:tc>
      </w:tr>
      <w:tr w:rsidR="009642F7" w:rsidRPr="009642F7" w14:paraId="2DE77BB2" w14:textId="77777777" w:rsidTr="004F160F">
        <w:trPr>
          <w:trHeight w:val="330"/>
        </w:trPr>
        <w:tc>
          <w:tcPr>
            <w:tcW w:w="1488" w:type="pct"/>
            <w:tcBorders>
              <w:top w:val="nil"/>
              <w:left w:val="nil"/>
              <w:bottom w:val="nil"/>
              <w:right w:val="nil"/>
            </w:tcBorders>
            <w:shd w:val="clear" w:color="auto" w:fill="auto"/>
            <w:noWrap/>
            <w:vAlign w:val="center"/>
            <w:hideMark/>
          </w:tcPr>
          <w:p w14:paraId="6BD23611"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QFIIO (%)</w:t>
            </w:r>
          </w:p>
        </w:tc>
        <w:tc>
          <w:tcPr>
            <w:tcW w:w="763" w:type="pct"/>
            <w:tcBorders>
              <w:top w:val="nil"/>
              <w:left w:val="nil"/>
              <w:bottom w:val="nil"/>
              <w:right w:val="nil"/>
            </w:tcBorders>
            <w:shd w:val="clear" w:color="auto" w:fill="auto"/>
            <w:noWrap/>
            <w:vAlign w:val="center"/>
            <w:hideMark/>
          </w:tcPr>
          <w:p w14:paraId="7A710AAE"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26,970</w:t>
            </w:r>
          </w:p>
        </w:tc>
        <w:tc>
          <w:tcPr>
            <w:tcW w:w="890" w:type="pct"/>
            <w:tcBorders>
              <w:top w:val="nil"/>
              <w:left w:val="nil"/>
              <w:bottom w:val="nil"/>
              <w:right w:val="nil"/>
            </w:tcBorders>
            <w:shd w:val="clear" w:color="auto" w:fill="auto"/>
            <w:noWrap/>
            <w:vAlign w:val="center"/>
            <w:hideMark/>
          </w:tcPr>
          <w:p w14:paraId="5DB3B39D"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9.527</w:t>
            </w:r>
          </w:p>
        </w:tc>
        <w:tc>
          <w:tcPr>
            <w:tcW w:w="841" w:type="pct"/>
            <w:tcBorders>
              <w:top w:val="nil"/>
              <w:left w:val="nil"/>
              <w:bottom w:val="nil"/>
              <w:right w:val="nil"/>
            </w:tcBorders>
            <w:shd w:val="clear" w:color="auto" w:fill="auto"/>
            <w:noWrap/>
            <w:vAlign w:val="center"/>
            <w:hideMark/>
          </w:tcPr>
          <w:p w14:paraId="51FE785C"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3.372</w:t>
            </w:r>
          </w:p>
        </w:tc>
        <w:tc>
          <w:tcPr>
            <w:tcW w:w="1018" w:type="pct"/>
            <w:tcBorders>
              <w:top w:val="nil"/>
              <w:left w:val="nil"/>
              <w:bottom w:val="nil"/>
              <w:right w:val="nil"/>
            </w:tcBorders>
            <w:shd w:val="clear" w:color="auto" w:fill="auto"/>
            <w:noWrap/>
            <w:vAlign w:val="center"/>
            <w:hideMark/>
          </w:tcPr>
          <w:p w14:paraId="2A5C3199"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14.812</w:t>
            </w:r>
          </w:p>
        </w:tc>
      </w:tr>
      <w:tr w:rsidR="004F160F" w:rsidRPr="009642F7" w14:paraId="536493D2" w14:textId="77777777" w:rsidTr="004F160F">
        <w:trPr>
          <w:trHeight w:val="330"/>
        </w:trPr>
        <w:tc>
          <w:tcPr>
            <w:tcW w:w="1488" w:type="pct"/>
            <w:tcBorders>
              <w:top w:val="nil"/>
              <w:left w:val="nil"/>
              <w:bottom w:val="single" w:sz="4" w:space="0" w:color="auto"/>
              <w:right w:val="nil"/>
            </w:tcBorders>
            <w:shd w:val="clear" w:color="auto" w:fill="auto"/>
            <w:noWrap/>
            <w:vAlign w:val="center"/>
            <w:hideMark/>
          </w:tcPr>
          <w:p w14:paraId="24812F96" w14:textId="77777777" w:rsidR="004F160F" w:rsidRPr="009642F7" w:rsidRDefault="004F160F" w:rsidP="004D7FCE">
            <w:pPr>
              <w:snapToGrid w:val="0"/>
              <w:rPr>
                <w:rFonts w:ascii="Times New Roman" w:hAnsi="Times New Roman" w:cs="Times New Roman"/>
                <w:i/>
              </w:rPr>
            </w:pPr>
            <w:r w:rsidRPr="009642F7">
              <w:rPr>
                <w:rFonts w:ascii="Times New Roman" w:hAnsi="Times New Roman" w:cs="Times New Roman"/>
                <w:i/>
              </w:rPr>
              <w:t>XDOI (%)</w:t>
            </w:r>
          </w:p>
        </w:tc>
        <w:tc>
          <w:tcPr>
            <w:tcW w:w="763" w:type="pct"/>
            <w:tcBorders>
              <w:top w:val="nil"/>
              <w:left w:val="nil"/>
              <w:bottom w:val="single" w:sz="4" w:space="0" w:color="auto"/>
              <w:right w:val="nil"/>
            </w:tcBorders>
            <w:shd w:val="clear" w:color="auto" w:fill="auto"/>
            <w:noWrap/>
            <w:vAlign w:val="center"/>
            <w:hideMark/>
          </w:tcPr>
          <w:p w14:paraId="0B0B51C1"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20,256</w:t>
            </w:r>
          </w:p>
        </w:tc>
        <w:tc>
          <w:tcPr>
            <w:tcW w:w="890" w:type="pct"/>
            <w:tcBorders>
              <w:top w:val="nil"/>
              <w:left w:val="nil"/>
              <w:bottom w:val="single" w:sz="4" w:space="0" w:color="auto"/>
              <w:right w:val="nil"/>
            </w:tcBorders>
            <w:shd w:val="clear" w:color="auto" w:fill="auto"/>
            <w:noWrap/>
            <w:vAlign w:val="center"/>
            <w:hideMark/>
          </w:tcPr>
          <w:p w14:paraId="4C4C1ECC"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0.000</w:t>
            </w:r>
          </w:p>
        </w:tc>
        <w:tc>
          <w:tcPr>
            <w:tcW w:w="841" w:type="pct"/>
            <w:tcBorders>
              <w:top w:val="nil"/>
              <w:left w:val="nil"/>
              <w:bottom w:val="single" w:sz="4" w:space="0" w:color="auto"/>
              <w:right w:val="nil"/>
            </w:tcBorders>
            <w:shd w:val="clear" w:color="auto" w:fill="auto"/>
            <w:noWrap/>
            <w:vAlign w:val="center"/>
            <w:hideMark/>
          </w:tcPr>
          <w:p w14:paraId="1F464F1A"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-0.656</w:t>
            </w:r>
          </w:p>
        </w:tc>
        <w:tc>
          <w:tcPr>
            <w:tcW w:w="1018" w:type="pct"/>
            <w:tcBorders>
              <w:top w:val="nil"/>
              <w:left w:val="nil"/>
              <w:bottom w:val="single" w:sz="4" w:space="0" w:color="auto"/>
              <w:right w:val="nil"/>
            </w:tcBorders>
            <w:shd w:val="clear" w:color="auto" w:fill="auto"/>
            <w:noWrap/>
            <w:vAlign w:val="center"/>
            <w:hideMark/>
          </w:tcPr>
          <w:p w14:paraId="67556DDD" w14:textId="77777777" w:rsidR="004F160F" w:rsidRPr="009642F7" w:rsidRDefault="004F160F" w:rsidP="004D7FCE">
            <w:pPr>
              <w:snapToGrid w:val="0"/>
              <w:jc w:val="center"/>
              <w:rPr>
                <w:rFonts w:ascii="Times New Roman" w:hAnsi="Times New Roman" w:cs="Times New Roman"/>
              </w:rPr>
            </w:pPr>
            <w:r w:rsidRPr="009642F7">
              <w:rPr>
                <w:rFonts w:ascii="Times New Roman" w:hAnsi="Times New Roman" w:cs="Times New Roman"/>
              </w:rPr>
              <w:t>10.751</w:t>
            </w:r>
          </w:p>
        </w:tc>
      </w:tr>
    </w:tbl>
    <w:p w14:paraId="5487C5A4" w14:textId="77777777" w:rsidR="004F160F" w:rsidRPr="009642F7" w:rsidRDefault="004F160F">
      <w:pPr>
        <w:rPr>
          <w:rFonts w:ascii="Times New Roman" w:hAnsi="Times New Roman" w:cs="Times New Roman"/>
        </w:rPr>
      </w:pPr>
    </w:p>
    <w:p w14:paraId="77B6030F" w14:textId="77777777" w:rsidR="007F6A7A" w:rsidRPr="009642F7" w:rsidRDefault="007F6A7A">
      <w:pPr>
        <w:rPr>
          <w:rFonts w:ascii="Times New Roman" w:hAnsi="Times New Roman" w:cs="Times New Roman"/>
        </w:rPr>
      </w:pPr>
    </w:p>
    <w:p w14:paraId="1CA05887" w14:textId="77777777" w:rsidR="004F160F" w:rsidRPr="009642F7" w:rsidRDefault="004F160F">
      <w:pPr>
        <w:rPr>
          <w:rFonts w:ascii="Times New Roman" w:hAnsi="Times New Roman" w:cs="Times New Roman"/>
        </w:rPr>
      </w:pPr>
      <w:r w:rsidRPr="009642F7">
        <w:rPr>
          <w:rFonts w:ascii="Times New Roman" w:hAnsi="Times New Roman" w:cs="Times New Roman"/>
        </w:rPr>
        <w:br w:type="page"/>
      </w:r>
    </w:p>
    <w:p w14:paraId="4E70F31B" w14:textId="77777777" w:rsidR="004F160F" w:rsidRPr="009642F7" w:rsidRDefault="004F160F">
      <w:pPr>
        <w:rPr>
          <w:rFonts w:ascii="Times New Roman" w:hAnsi="Times New Roman" w:cs="Times New Roman"/>
        </w:rPr>
        <w:sectPr w:rsidR="004F160F" w:rsidRPr="009642F7" w:rsidSect="00604AED">
          <w:footerReference w:type="default" r:id="rId8"/>
          <w:pgSz w:w="11906" w:h="16838"/>
          <w:pgMar w:top="1134" w:right="1134" w:bottom="1134" w:left="1134" w:header="340" w:footer="340" w:gutter="0"/>
          <w:cols w:space="425"/>
          <w:docGrid w:type="lines" w:linePitch="360"/>
        </w:sectPr>
      </w:pPr>
    </w:p>
    <w:tbl>
      <w:tblPr>
        <w:tblW w:w="0" w:type="auto"/>
        <w:tblCellMar>
          <w:left w:w="28" w:type="dxa"/>
          <w:right w:w="28" w:type="dxa"/>
        </w:tblCellMar>
        <w:tblLook w:val="04A0" w:firstRow="1" w:lastRow="0" w:firstColumn="1" w:lastColumn="0" w:noHBand="0" w:noVBand="1"/>
      </w:tblPr>
      <w:tblGrid>
        <w:gridCol w:w="683"/>
        <w:gridCol w:w="886"/>
        <w:gridCol w:w="886"/>
        <w:gridCol w:w="887"/>
        <w:gridCol w:w="887"/>
        <w:gridCol w:w="887"/>
        <w:gridCol w:w="782"/>
        <w:gridCol w:w="887"/>
        <w:gridCol w:w="887"/>
        <w:gridCol w:w="887"/>
        <w:gridCol w:w="887"/>
        <w:gridCol w:w="887"/>
        <w:gridCol w:w="887"/>
        <w:gridCol w:w="887"/>
        <w:gridCol w:w="794"/>
        <w:gridCol w:w="887"/>
        <w:gridCol w:w="782"/>
      </w:tblGrid>
      <w:tr w:rsidR="009642F7" w:rsidRPr="009642F7" w14:paraId="782D4642" w14:textId="77777777" w:rsidTr="004D7FCE">
        <w:trPr>
          <w:trHeight w:val="330"/>
        </w:trPr>
        <w:tc>
          <w:tcPr>
            <w:tcW w:w="0" w:type="auto"/>
            <w:gridSpan w:val="17"/>
            <w:tcBorders>
              <w:top w:val="nil"/>
              <w:left w:val="nil"/>
              <w:bottom w:val="single" w:sz="4" w:space="0" w:color="auto"/>
              <w:right w:val="nil"/>
            </w:tcBorders>
            <w:shd w:val="clear" w:color="auto" w:fill="auto"/>
            <w:noWrap/>
            <w:vAlign w:val="center"/>
          </w:tcPr>
          <w:p w14:paraId="5E2B3843" w14:textId="77777777" w:rsidR="00C0131F" w:rsidRPr="009642F7" w:rsidRDefault="00C0131F" w:rsidP="004D7FCE">
            <w:pPr>
              <w:snapToGrid w:val="0"/>
              <w:jc w:val="center"/>
              <w:rPr>
                <w:rFonts w:ascii="Times New Roman" w:hAnsi="Times New Roman" w:cs="Times New Roman"/>
                <w:b/>
                <w:iCs/>
                <w:szCs w:val="18"/>
              </w:rPr>
            </w:pPr>
            <w:r w:rsidRPr="009642F7">
              <w:rPr>
                <w:rFonts w:ascii="Times New Roman" w:hAnsi="Times New Roman" w:cs="Times New Roman"/>
                <w:b/>
                <w:iCs/>
                <w:szCs w:val="18"/>
              </w:rPr>
              <w:lastRenderedPageBreak/>
              <w:t>Table 2. Correlation Analysis</w:t>
            </w:r>
          </w:p>
          <w:p w14:paraId="3B1A39EF" w14:textId="77777777" w:rsidR="00C0131F" w:rsidRPr="009642F7" w:rsidRDefault="004D7FCE" w:rsidP="004D7FCE">
            <w:pPr>
              <w:snapToGrid w:val="0"/>
              <w:jc w:val="both"/>
              <w:rPr>
                <w:rFonts w:ascii="Times New Roman" w:hAnsi="Times New Roman" w:cs="Times New Roman"/>
                <w:b/>
                <w:iCs/>
                <w:szCs w:val="18"/>
              </w:rPr>
            </w:pPr>
            <w:r w:rsidRPr="009642F7">
              <w:rPr>
                <w:rFonts w:ascii="Times New Roman" w:hAnsi="Times New Roman" w:cs="Times New Roman"/>
              </w:rPr>
              <w:t xml:space="preserve">This table reports the correlation coefficients for the main variables used in this study. The variable defination are detailed in Table 1. *, **, and *** denote significance levels of 10%, 5%, and 1%, respectively. </w:t>
            </w:r>
            <w:r w:rsidRPr="009642F7">
              <w:rPr>
                <w:rFonts w:ascii="Times New Roman" w:hAnsi="Times New Roman" w:cs="Times New Roman"/>
                <w:bCs/>
                <w:i/>
                <w:noProof/>
              </w:rPr>
              <w:t>N</w:t>
            </w:r>
            <w:r w:rsidRPr="009642F7">
              <w:rPr>
                <w:rFonts w:ascii="Times New Roman" w:hAnsi="Times New Roman" w:cs="Times New Roman"/>
                <w:bCs/>
                <w:noProof/>
              </w:rPr>
              <w:t xml:space="preserve"> are firm-year observations. </w:t>
            </w:r>
            <w:r w:rsidRPr="009642F7">
              <w:rPr>
                <w:rFonts w:ascii="Times New Roman" w:hAnsi="Times New Roman" w:cs="Times New Roman"/>
                <w:noProof/>
              </w:rPr>
              <w:t>All data are from the TEJ database.</w:t>
            </w:r>
          </w:p>
        </w:tc>
      </w:tr>
      <w:tr w:rsidR="009642F7" w:rsidRPr="009642F7" w14:paraId="03F5840B" w14:textId="77777777" w:rsidTr="004D7FCE">
        <w:tc>
          <w:tcPr>
            <w:tcW w:w="0" w:type="auto"/>
            <w:tcBorders>
              <w:top w:val="nil"/>
              <w:left w:val="nil"/>
              <w:bottom w:val="single" w:sz="4" w:space="0" w:color="auto"/>
              <w:right w:val="nil"/>
            </w:tcBorders>
            <w:shd w:val="clear" w:color="auto" w:fill="auto"/>
            <w:noWrap/>
            <w:vAlign w:val="center"/>
            <w:hideMark/>
          </w:tcPr>
          <w:p w14:paraId="7BED5A45"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　</w:t>
            </w:r>
          </w:p>
        </w:tc>
        <w:tc>
          <w:tcPr>
            <w:tcW w:w="0" w:type="auto"/>
            <w:tcBorders>
              <w:top w:val="nil"/>
              <w:left w:val="nil"/>
              <w:bottom w:val="single" w:sz="4" w:space="0" w:color="auto"/>
              <w:right w:val="nil"/>
            </w:tcBorders>
            <w:shd w:val="clear" w:color="auto" w:fill="auto"/>
            <w:noWrap/>
            <w:vAlign w:val="center"/>
            <w:hideMark/>
          </w:tcPr>
          <w:p w14:paraId="5BACF27D"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Restat</w:t>
            </w:r>
          </w:p>
        </w:tc>
        <w:tc>
          <w:tcPr>
            <w:tcW w:w="0" w:type="auto"/>
            <w:tcBorders>
              <w:top w:val="nil"/>
              <w:left w:val="nil"/>
              <w:bottom w:val="single" w:sz="4" w:space="0" w:color="auto"/>
              <w:right w:val="nil"/>
            </w:tcBorders>
            <w:shd w:val="clear" w:color="auto" w:fill="auto"/>
            <w:noWrap/>
            <w:vAlign w:val="center"/>
            <w:hideMark/>
          </w:tcPr>
          <w:p w14:paraId="14DF9522"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Media</w:t>
            </w:r>
          </w:p>
        </w:tc>
        <w:tc>
          <w:tcPr>
            <w:tcW w:w="0" w:type="auto"/>
            <w:tcBorders>
              <w:top w:val="nil"/>
              <w:left w:val="nil"/>
              <w:bottom w:val="single" w:sz="4" w:space="0" w:color="auto"/>
              <w:right w:val="nil"/>
            </w:tcBorders>
            <w:shd w:val="clear" w:color="auto" w:fill="auto"/>
            <w:noWrap/>
            <w:vAlign w:val="center"/>
            <w:hideMark/>
          </w:tcPr>
          <w:p w14:paraId="6068E628"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XMedia</w:t>
            </w:r>
          </w:p>
        </w:tc>
        <w:tc>
          <w:tcPr>
            <w:tcW w:w="0" w:type="auto"/>
            <w:tcBorders>
              <w:top w:val="nil"/>
              <w:left w:val="nil"/>
              <w:bottom w:val="single" w:sz="4" w:space="0" w:color="auto"/>
              <w:right w:val="nil"/>
            </w:tcBorders>
            <w:shd w:val="clear" w:color="auto" w:fill="auto"/>
            <w:noWrap/>
            <w:vAlign w:val="center"/>
            <w:hideMark/>
          </w:tcPr>
          <w:p w14:paraId="33527E33"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TA</w:t>
            </w:r>
          </w:p>
        </w:tc>
        <w:tc>
          <w:tcPr>
            <w:tcW w:w="0" w:type="auto"/>
            <w:tcBorders>
              <w:top w:val="nil"/>
              <w:left w:val="nil"/>
              <w:bottom w:val="single" w:sz="4" w:space="0" w:color="auto"/>
              <w:right w:val="nil"/>
            </w:tcBorders>
            <w:shd w:val="clear" w:color="auto" w:fill="auto"/>
            <w:noWrap/>
            <w:vAlign w:val="center"/>
            <w:hideMark/>
          </w:tcPr>
          <w:p w14:paraId="7EC0330E"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TobinQ</w:t>
            </w:r>
          </w:p>
        </w:tc>
        <w:tc>
          <w:tcPr>
            <w:tcW w:w="0" w:type="auto"/>
            <w:tcBorders>
              <w:top w:val="nil"/>
              <w:left w:val="nil"/>
              <w:bottom w:val="single" w:sz="4" w:space="0" w:color="auto"/>
              <w:right w:val="nil"/>
            </w:tcBorders>
            <w:shd w:val="clear" w:color="auto" w:fill="auto"/>
            <w:noWrap/>
            <w:vAlign w:val="center"/>
            <w:hideMark/>
          </w:tcPr>
          <w:p w14:paraId="2E7399B2"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SG</w:t>
            </w:r>
          </w:p>
        </w:tc>
        <w:tc>
          <w:tcPr>
            <w:tcW w:w="0" w:type="auto"/>
            <w:tcBorders>
              <w:top w:val="nil"/>
              <w:left w:val="nil"/>
              <w:bottom w:val="single" w:sz="4" w:space="0" w:color="auto"/>
              <w:right w:val="nil"/>
            </w:tcBorders>
            <w:shd w:val="clear" w:color="auto" w:fill="auto"/>
            <w:noWrap/>
            <w:vAlign w:val="center"/>
            <w:hideMark/>
          </w:tcPr>
          <w:p w14:paraId="23DC1403"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DEBT</w:t>
            </w:r>
          </w:p>
        </w:tc>
        <w:tc>
          <w:tcPr>
            <w:tcW w:w="0" w:type="auto"/>
            <w:tcBorders>
              <w:top w:val="nil"/>
              <w:left w:val="nil"/>
              <w:bottom w:val="single" w:sz="4" w:space="0" w:color="auto"/>
              <w:right w:val="nil"/>
            </w:tcBorders>
            <w:shd w:val="clear" w:color="auto" w:fill="auto"/>
            <w:noWrap/>
            <w:vAlign w:val="center"/>
            <w:hideMark/>
          </w:tcPr>
          <w:p w14:paraId="4CF88278"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ROA</w:t>
            </w:r>
          </w:p>
        </w:tc>
        <w:tc>
          <w:tcPr>
            <w:tcW w:w="0" w:type="auto"/>
            <w:tcBorders>
              <w:top w:val="nil"/>
              <w:left w:val="nil"/>
              <w:bottom w:val="single" w:sz="4" w:space="0" w:color="auto"/>
              <w:right w:val="nil"/>
            </w:tcBorders>
            <w:shd w:val="clear" w:color="auto" w:fill="auto"/>
            <w:noWrap/>
            <w:vAlign w:val="center"/>
            <w:hideMark/>
          </w:tcPr>
          <w:p w14:paraId="74B20517"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DIV</w:t>
            </w:r>
          </w:p>
        </w:tc>
        <w:tc>
          <w:tcPr>
            <w:tcW w:w="0" w:type="auto"/>
            <w:tcBorders>
              <w:top w:val="nil"/>
              <w:left w:val="nil"/>
              <w:bottom w:val="single" w:sz="4" w:space="0" w:color="auto"/>
              <w:right w:val="nil"/>
            </w:tcBorders>
            <w:shd w:val="clear" w:color="auto" w:fill="auto"/>
            <w:noWrap/>
            <w:vAlign w:val="center"/>
            <w:hideMark/>
          </w:tcPr>
          <w:p w14:paraId="6C7A38D7"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BSIZE</w:t>
            </w:r>
          </w:p>
        </w:tc>
        <w:tc>
          <w:tcPr>
            <w:tcW w:w="0" w:type="auto"/>
            <w:tcBorders>
              <w:top w:val="nil"/>
              <w:left w:val="nil"/>
              <w:bottom w:val="single" w:sz="4" w:space="0" w:color="auto"/>
              <w:right w:val="nil"/>
            </w:tcBorders>
            <w:shd w:val="clear" w:color="auto" w:fill="auto"/>
            <w:noWrap/>
            <w:vAlign w:val="center"/>
            <w:hideMark/>
          </w:tcPr>
          <w:p w14:paraId="27E3891E"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BIND</w:t>
            </w:r>
          </w:p>
        </w:tc>
        <w:tc>
          <w:tcPr>
            <w:tcW w:w="0" w:type="auto"/>
            <w:tcBorders>
              <w:top w:val="nil"/>
              <w:left w:val="nil"/>
              <w:bottom w:val="single" w:sz="4" w:space="0" w:color="auto"/>
              <w:right w:val="nil"/>
            </w:tcBorders>
            <w:shd w:val="clear" w:color="auto" w:fill="auto"/>
            <w:noWrap/>
            <w:vAlign w:val="center"/>
            <w:hideMark/>
          </w:tcPr>
          <w:p w14:paraId="5F1004DC"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BOR</w:t>
            </w:r>
          </w:p>
        </w:tc>
        <w:tc>
          <w:tcPr>
            <w:tcW w:w="0" w:type="auto"/>
            <w:tcBorders>
              <w:top w:val="nil"/>
              <w:left w:val="nil"/>
              <w:bottom w:val="single" w:sz="4" w:space="0" w:color="auto"/>
              <w:right w:val="nil"/>
            </w:tcBorders>
            <w:shd w:val="clear" w:color="auto" w:fill="auto"/>
            <w:noWrap/>
            <w:vAlign w:val="center"/>
            <w:hideMark/>
          </w:tcPr>
          <w:p w14:paraId="04975846"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BLOCK</w:t>
            </w:r>
          </w:p>
        </w:tc>
        <w:tc>
          <w:tcPr>
            <w:tcW w:w="0" w:type="auto"/>
            <w:tcBorders>
              <w:top w:val="nil"/>
              <w:left w:val="nil"/>
              <w:bottom w:val="single" w:sz="4" w:space="0" w:color="auto"/>
              <w:right w:val="nil"/>
            </w:tcBorders>
            <w:shd w:val="clear" w:color="auto" w:fill="auto"/>
            <w:noWrap/>
            <w:vAlign w:val="center"/>
            <w:hideMark/>
          </w:tcPr>
          <w:p w14:paraId="3D221B92"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XCR</w:t>
            </w:r>
          </w:p>
        </w:tc>
        <w:tc>
          <w:tcPr>
            <w:tcW w:w="0" w:type="auto"/>
            <w:tcBorders>
              <w:top w:val="nil"/>
              <w:left w:val="nil"/>
              <w:bottom w:val="single" w:sz="4" w:space="0" w:color="auto"/>
              <w:right w:val="nil"/>
            </w:tcBorders>
            <w:shd w:val="clear" w:color="auto" w:fill="auto"/>
            <w:noWrap/>
            <w:vAlign w:val="center"/>
            <w:hideMark/>
          </w:tcPr>
          <w:p w14:paraId="608874F9"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BDUAL</w:t>
            </w:r>
          </w:p>
        </w:tc>
        <w:tc>
          <w:tcPr>
            <w:tcW w:w="0" w:type="auto"/>
            <w:tcBorders>
              <w:top w:val="nil"/>
              <w:left w:val="nil"/>
              <w:bottom w:val="single" w:sz="4" w:space="0" w:color="auto"/>
              <w:right w:val="nil"/>
            </w:tcBorders>
            <w:shd w:val="clear" w:color="auto" w:fill="auto"/>
            <w:noWrap/>
            <w:vAlign w:val="center"/>
            <w:hideMark/>
          </w:tcPr>
          <w:p w14:paraId="6DFC527D"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QFIIO</w:t>
            </w:r>
          </w:p>
        </w:tc>
      </w:tr>
      <w:tr w:rsidR="009642F7" w:rsidRPr="009642F7" w14:paraId="2DC07A8C" w14:textId="77777777" w:rsidTr="004D7FCE">
        <w:tc>
          <w:tcPr>
            <w:tcW w:w="0" w:type="auto"/>
            <w:tcBorders>
              <w:top w:val="nil"/>
              <w:left w:val="nil"/>
              <w:bottom w:val="nil"/>
              <w:right w:val="nil"/>
            </w:tcBorders>
            <w:shd w:val="clear" w:color="auto" w:fill="auto"/>
            <w:noWrap/>
            <w:vAlign w:val="center"/>
            <w:hideMark/>
          </w:tcPr>
          <w:p w14:paraId="7CD74C92"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Media</w:t>
            </w:r>
          </w:p>
        </w:tc>
        <w:tc>
          <w:tcPr>
            <w:tcW w:w="0" w:type="auto"/>
            <w:tcBorders>
              <w:top w:val="nil"/>
              <w:left w:val="nil"/>
              <w:bottom w:val="nil"/>
              <w:right w:val="nil"/>
            </w:tcBorders>
            <w:shd w:val="clear" w:color="auto" w:fill="auto"/>
            <w:hideMark/>
          </w:tcPr>
          <w:p w14:paraId="6AA16E2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0.117***</w:t>
            </w:r>
          </w:p>
        </w:tc>
        <w:tc>
          <w:tcPr>
            <w:tcW w:w="0" w:type="auto"/>
            <w:tcBorders>
              <w:top w:val="nil"/>
              <w:left w:val="nil"/>
              <w:bottom w:val="nil"/>
              <w:right w:val="nil"/>
            </w:tcBorders>
            <w:shd w:val="clear" w:color="auto" w:fill="auto"/>
          </w:tcPr>
          <w:p w14:paraId="4E0CBF57"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5A154445"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7CE8F8D5"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109F078E"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3FF195F2"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32124A12"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02B05043"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4103C4E6"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48A58BFD"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11F850FD"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7E47B8D9"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208B4CDA"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1B100FF4"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5240C56D"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19E2D2DF"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1FBCF8F0" w14:textId="77777777" w:rsidTr="004D7FCE">
        <w:tc>
          <w:tcPr>
            <w:tcW w:w="0" w:type="auto"/>
            <w:tcBorders>
              <w:top w:val="nil"/>
              <w:left w:val="nil"/>
              <w:bottom w:val="nil"/>
              <w:right w:val="nil"/>
            </w:tcBorders>
            <w:shd w:val="clear" w:color="auto" w:fill="auto"/>
            <w:noWrap/>
            <w:vAlign w:val="center"/>
            <w:hideMark/>
          </w:tcPr>
          <w:p w14:paraId="4C2A15EA"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XMedia</w:t>
            </w:r>
          </w:p>
        </w:tc>
        <w:tc>
          <w:tcPr>
            <w:tcW w:w="0" w:type="auto"/>
            <w:tcBorders>
              <w:top w:val="nil"/>
              <w:left w:val="nil"/>
              <w:bottom w:val="nil"/>
              <w:right w:val="nil"/>
            </w:tcBorders>
            <w:shd w:val="clear" w:color="auto" w:fill="auto"/>
            <w:hideMark/>
          </w:tcPr>
          <w:p w14:paraId="05978FAC"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0.031***</w:t>
            </w:r>
          </w:p>
        </w:tc>
        <w:tc>
          <w:tcPr>
            <w:tcW w:w="0" w:type="auto"/>
            <w:tcBorders>
              <w:top w:val="nil"/>
              <w:left w:val="nil"/>
              <w:bottom w:val="nil"/>
              <w:right w:val="nil"/>
            </w:tcBorders>
            <w:shd w:val="clear" w:color="auto" w:fill="auto"/>
            <w:hideMark/>
          </w:tcPr>
          <w:p w14:paraId="226F6EE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0.450***</w:t>
            </w:r>
          </w:p>
        </w:tc>
        <w:tc>
          <w:tcPr>
            <w:tcW w:w="0" w:type="auto"/>
            <w:tcBorders>
              <w:top w:val="nil"/>
              <w:left w:val="nil"/>
              <w:bottom w:val="nil"/>
              <w:right w:val="nil"/>
            </w:tcBorders>
            <w:shd w:val="clear" w:color="auto" w:fill="auto"/>
          </w:tcPr>
          <w:p w14:paraId="27FEA7AE"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6F73792D"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3BFCB1AD"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68391D46"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7225080E"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11B2E412"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16E43812"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4C47C07D"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77B04CDB"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41815868"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1A296886"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419B8EE2"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07C54268"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35913C24"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70BD254F" w14:textId="77777777" w:rsidTr="004D7FCE">
        <w:tc>
          <w:tcPr>
            <w:tcW w:w="0" w:type="auto"/>
            <w:tcBorders>
              <w:top w:val="nil"/>
              <w:left w:val="nil"/>
              <w:bottom w:val="nil"/>
              <w:right w:val="nil"/>
            </w:tcBorders>
            <w:shd w:val="clear" w:color="auto" w:fill="auto"/>
            <w:noWrap/>
            <w:vAlign w:val="center"/>
            <w:hideMark/>
          </w:tcPr>
          <w:p w14:paraId="2FA6CA15"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TA</w:t>
            </w:r>
          </w:p>
        </w:tc>
        <w:tc>
          <w:tcPr>
            <w:tcW w:w="0" w:type="auto"/>
            <w:tcBorders>
              <w:top w:val="nil"/>
              <w:left w:val="nil"/>
              <w:bottom w:val="nil"/>
              <w:right w:val="nil"/>
            </w:tcBorders>
            <w:shd w:val="clear" w:color="auto" w:fill="auto"/>
            <w:hideMark/>
          </w:tcPr>
          <w:p w14:paraId="2CA358A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0.015***</w:t>
            </w:r>
          </w:p>
        </w:tc>
        <w:tc>
          <w:tcPr>
            <w:tcW w:w="0" w:type="auto"/>
            <w:tcBorders>
              <w:top w:val="nil"/>
              <w:left w:val="nil"/>
              <w:bottom w:val="nil"/>
              <w:right w:val="nil"/>
            </w:tcBorders>
            <w:shd w:val="clear" w:color="auto" w:fill="auto"/>
            <w:hideMark/>
          </w:tcPr>
          <w:p w14:paraId="118BD98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0.404***</w:t>
            </w:r>
          </w:p>
        </w:tc>
        <w:tc>
          <w:tcPr>
            <w:tcW w:w="0" w:type="auto"/>
            <w:tcBorders>
              <w:top w:val="nil"/>
              <w:left w:val="nil"/>
              <w:bottom w:val="nil"/>
              <w:right w:val="nil"/>
            </w:tcBorders>
            <w:shd w:val="clear" w:color="auto" w:fill="auto"/>
            <w:hideMark/>
          </w:tcPr>
          <w:p w14:paraId="3D24DCF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0.095***</w:t>
            </w:r>
          </w:p>
        </w:tc>
        <w:tc>
          <w:tcPr>
            <w:tcW w:w="0" w:type="auto"/>
            <w:tcBorders>
              <w:top w:val="nil"/>
              <w:left w:val="nil"/>
              <w:bottom w:val="nil"/>
              <w:right w:val="nil"/>
            </w:tcBorders>
            <w:shd w:val="clear" w:color="auto" w:fill="auto"/>
          </w:tcPr>
          <w:p w14:paraId="4A3EEB04"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6ACAE41F"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049E7A24"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4EC07ABD"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49317F53"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0AEE64C1"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769BEC2B"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56C02654"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248B5655"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107BD159"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791B0E55"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1E01CC44"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46060A12"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79A8F7DA" w14:textId="77777777" w:rsidTr="004D7FCE">
        <w:tc>
          <w:tcPr>
            <w:tcW w:w="0" w:type="auto"/>
            <w:tcBorders>
              <w:top w:val="nil"/>
              <w:left w:val="nil"/>
              <w:bottom w:val="nil"/>
              <w:right w:val="nil"/>
            </w:tcBorders>
            <w:shd w:val="clear" w:color="auto" w:fill="auto"/>
            <w:noWrap/>
            <w:vAlign w:val="center"/>
            <w:hideMark/>
          </w:tcPr>
          <w:p w14:paraId="234D4090"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TobinQ</w:t>
            </w:r>
          </w:p>
        </w:tc>
        <w:tc>
          <w:tcPr>
            <w:tcW w:w="0" w:type="auto"/>
            <w:tcBorders>
              <w:top w:val="nil"/>
              <w:left w:val="nil"/>
              <w:bottom w:val="nil"/>
              <w:right w:val="nil"/>
            </w:tcBorders>
            <w:shd w:val="clear" w:color="auto" w:fill="auto"/>
            <w:noWrap/>
            <w:hideMark/>
          </w:tcPr>
          <w:p w14:paraId="65B2875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−0.016***</w:t>
            </w:r>
          </w:p>
        </w:tc>
        <w:tc>
          <w:tcPr>
            <w:tcW w:w="0" w:type="auto"/>
            <w:tcBorders>
              <w:top w:val="nil"/>
              <w:left w:val="nil"/>
              <w:bottom w:val="nil"/>
              <w:right w:val="nil"/>
            </w:tcBorders>
            <w:shd w:val="clear" w:color="auto" w:fill="auto"/>
            <w:hideMark/>
          </w:tcPr>
          <w:p w14:paraId="0CFEE2D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0.034***</w:t>
            </w:r>
          </w:p>
        </w:tc>
        <w:tc>
          <w:tcPr>
            <w:tcW w:w="0" w:type="auto"/>
            <w:tcBorders>
              <w:top w:val="nil"/>
              <w:left w:val="nil"/>
              <w:bottom w:val="nil"/>
              <w:right w:val="nil"/>
            </w:tcBorders>
            <w:shd w:val="clear" w:color="auto" w:fill="auto"/>
            <w:hideMark/>
          </w:tcPr>
          <w:p w14:paraId="2950D122"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0.195***</w:t>
            </w:r>
          </w:p>
        </w:tc>
        <w:tc>
          <w:tcPr>
            <w:tcW w:w="0" w:type="auto"/>
            <w:tcBorders>
              <w:top w:val="nil"/>
              <w:left w:val="nil"/>
              <w:bottom w:val="nil"/>
              <w:right w:val="nil"/>
            </w:tcBorders>
            <w:shd w:val="clear" w:color="auto" w:fill="auto"/>
            <w:noWrap/>
            <w:hideMark/>
          </w:tcPr>
          <w:p w14:paraId="1C73D155"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−0.016***</w:t>
            </w:r>
          </w:p>
        </w:tc>
        <w:tc>
          <w:tcPr>
            <w:tcW w:w="0" w:type="auto"/>
            <w:tcBorders>
              <w:top w:val="nil"/>
              <w:left w:val="nil"/>
              <w:bottom w:val="nil"/>
              <w:right w:val="nil"/>
            </w:tcBorders>
            <w:shd w:val="clear" w:color="auto" w:fill="auto"/>
          </w:tcPr>
          <w:p w14:paraId="22326466"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02427194"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4A0BEA0C"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461E9971"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1EF14EAF"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2A643FC1"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62EEA115"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77A697E3"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4D1DE9EF"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0FA44314"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2BAE1428"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50481DB8"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6D835264" w14:textId="77777777" w:rsidTr="004D7FCE">
        <w:tc>
          <w:tcPr>
            <w:tcW w:w="0" w:type="auto"/>
            <w:tcBorders>
              <w:top w:val="nil"/>
              <w:left w:val="nil"/>
              <w:bottom w:val="nil"/>
              <w:right w:val="nil"/>
            </w:tcBorders>
            <w:shd w:val="clear" w:color="auto" w:fill="auto"/>
            <w:noWrap/>
            <w:vAlign w:val="center"/>
            <w:hideMark/>
          </w:tcPr>
          <w:p w14:paraId="6239687E"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SG </w:t>
            </w:r>
          </w:p>
        </w:tc>
        <w:tc>
          <w:tcPr>
            <w:tcW w:w="0" w:type="auto"/>
            <w:tcBorders>
              <w:top w:val="nil"/>
              <w:left w:val="nil"/>
              <w:bottom w:val="nil"/>
              <w:right w:val="nil"/>
            </w:tcBorders>
            <w:shd w:val="clear" w:color="auto" w:fill="auto"/>
            <w:noWrap/>
            <w:hideMark/>
          </w:tcPr>
          <w:p w14:paraId="4F6AA52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−0.003</w:t>
            </w:r>
          </w:p>
        </w:tc>
        <w:tc>
          <w:tcPr>
            <w:tcW w:w="0" w:type="auto"/>
            <w:tcBorders>
              <w:top w:val="nil"/>
              <w:left w:val="nil"/>
              <w:bottom w:val="nil"/>
              <w:right w:val="nil"/>
            </w:tcBorders>
            <w:shd w:val="clear" w:color="auto" w:fill="auto"/>
            <w:noWrap/>
            <w:hideMark/>
          </w:tcPr>
          <w:p w14:paraId="494FB5C5"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−0.005</w:t>
            </w:r>
          </w:p>
        </w:tc>
        <w:tc>
          <w:tcPr>
            <w:tcW w:w="0" w:type="auto"/>
            <w:tcBorders>
              <w:top w:val="nil"/>
              <w:left w:val="nil"/>
              <w:bottom w:val="nil"/>
              <w:right w:val="nil"/>
            </w:tcBorders>
            <w:shd w:val="clear" w:color="auto" w:fill="auto"/>
            <w:noWrap/>
            <w:hideMark/>
          </w:tcPr>
          <w:p w14:paraId="11FD1B2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−0.001</w:t>
            </w:r>
          </w:p>
        </w:tc>
        <w:tc>
          <w:tcPr>
            <w:tcW w:w="0" w:type="auto"/>
            <w:tcBorders>
              <w:top w:val="nil"/>
              <w:left w:val="nil"/>
              <w:bottom w:val="nil"/>
              <w:right w:val="nil"/>
            </w:tcBorders>
            <w:shd w:val="clear" w:color="auto" w:fill="auto"/>
            <w:noWrap/>
            <w:hideMark/>
          </w:tcPr>
          <w:p w14:paraId="3607D082"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−0.003</w:t>
            </w:r>
          </w:p>
        </w:tc>
        <w:tc>
          <w:tcPr>
            <w:tcW w:w="0" w:type="auto"/>
            <w:tcBorders>
              <w:top w:val="nil"/>
              <w:left w:val="nil"/>
              <w:bottom w:val="nil"/>
              <w:right w:val="nil"/>
            </w:tcBorders>
            <w:shd w:val="clear" w:color="auto" w:fill="auto"/>
            <w:hideMark/>
          </w:tcPr>
          <w:p w14:paraId="64D6D22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0.001</w:t>
            </w:r>
          </w:p>
        </w:tc>
        <w:tc>
          <w:tcPr>
            <w:tcW w:w="0" w:type="auto"/>
            <w:tcBorders>
              <w:top w:val="nil"/>
              <w:left w:val="nil"/>
              <w:bottom w:val="nil"/>
              <w:right w:val="nil"/>
            </w:tcBorders>
            <w:shd w:val="clear" w:color="auto" w:fill="auto"/>
          </w:tcPr>
          <w:p w14:paraId="204A2F71"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590AB7C6"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0B3909D7"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263B2797"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466AA552"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04550FFD"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4E52FE2E"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60EDF710"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242BFE2D"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46C2C443"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38F015DB"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798EDA6C" w14:textId="77777777" w:rsidTr="004D7FCE">
        <w:tc>
          <w:tcPr>
            <w:tcW w:w="0" w:type="auto"/>
            <w:tcBorders>
              <w:top w:val="nil"/>
              <w:left w:val="nil"/>
              <w:bottom w:val="nil"/>
              <w:right w:val="nil"/>
            </w:tcBorders>
            <w:shd w:val="clear" w:color="auto" w:fill="auto"/>
            <w:noWrap/>
            <w:vAlign w:val="center"/>
            <w:hideMark/>
          </w:tcPr>
          <w:p w14:paraId="61FCAC61"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DEBT </w:t>
            </w:r>
          </w:p>
        </w:tc>
        <w:tc>
          <w:tcPr>
            <w:tcW w:w="0" w:type="auto"/>
            <w:tcBorders>
              <w:top w:val="nil"/>
              <w:left w:val="nil"/>
              <w:bottom w:val="nil"/>
              <w:right w:val="nil"/>
            </w:tcBorders>
            <w:shd w:val="clear" w:color="auto" w:fill="auto"/>
            <w:hideMark/>
          </w:tcPr>
          <w:p w14:paraId="356DEE5D"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0.057***</w:t>
            </w:r>
          </w:p>
        </w:tc>
        <w:tc>
          <w:tcPr>
            <w:tcW w:w="0" w:type="auto"/>
            <w:tcBorders>
              <w:top w:val="nil"/>
              <w:left w:val="nil"/>
              <w:bottom w:val="nil"/>
              <w:right w:val="nil"/>
            </w:tcBorders>
            <w:shd w:val="clear" w:color="auto" w:fill="auto"/>
            <w:hideMark/>
          </w:tcPr>
          <w:p w14:paraId="555E398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0.077***</w:t>
            </w:r>
          </w:p>
        </w:tc>
        <w:tc>
          <w:tcPr>
            <w:tcW w:w="0" w:type="auto"/>
            <w:tcBorders>
              <w:top w:val="nil"/>
              <w:left w:val="nil"/>
              <w:bottom w:val="nil"/>
              <w:right w:val="nil"/>
            </w:tcBorders>
            <w:shd w:val="clear" w:color="auto" w:fill="auto"/>
            <w:noWrap/>
            <w:hideMark/>
          </w:tcPr>
          <w:p w14:paraId="1AD2D94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−0.091***</w:t>
            </w:r>
          </w:p>
        </w:tc>
        <w:tc>
          <w:tcPr>
            <w:tcW w:w="0" w:type="auto"/>
            <w:tcBorders>
              <w:top w:val="nil"/>
              <w:left w:val="nil"/>
              <w:bottom w:val="nil"/>
              <w:right w:val="nil"/>
            </w:tcBorders>
            <w:shd w:val="clear" w:color="auto" w:fill="auto"/>
            <w:hideMark/>
          </w:tcPr>
          <w:p w14:paraId="25E6205B"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0.100***</w:t>
            </w:r>
          </w:p>
        </w:tc>
        <w:tc>
          <w:tcPr>
            <w:tcW w:w="0" w:type="auto"/>
            <w:tcBorders>
              <w:top w:val="nil"/>
              <w:left w:val="nil"/>
              <w:bottom w:val="nil"/>
              <w:right w:val="nil"/>
            </w:tcBorders>
            <w:shd w:val="clear" w:color="auto" w:fill="auto"/>
            <w:noWrap/>
            <w:hideMark/>
          </w:tcPr>
          <w:p w14:paraId="0874194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−0.201***</w:t>
            </w:r>
          </w:p>
        </w:tc>
        <w:tc>
          <w:tcPr>
            <w:tcW w:w="0" w:type="auto"/>
            <w:tcBorders>
              <w:top w:val="nil"/>
              <w:left w:val="nil"/>
              <w:bottom w:val="nil"/>
              <w:right w:val="nil"/>
            </w:tcBorders>
            <w:shd w:val="clear" w:color="auto" w:fill="auto"/>
            <w:hideMark/>
          </w:tcPr>
          <w:p w14:paraId="68FB7B6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0.009</w:t>
            </w:r>
          </w:p>
        </w:tc>
        <w:tc>
          <w:tcPr>
            <w:tcW w:w="0" w:type="auto"/>
            <w:tcBorders>
              <w:top w:val="nil"/>
              <w:left w:val="nil"/>
              <w:bottom w:val="nil"/>
              <w:right w:val="nil"/>
            </w:tcBorders>
            <w:shd w:val="clear" w:color="auto" w:fill="auto"/>
          </w:tcPr>
          <w:p w14:paraId="12BB30B6"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3248725C"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20580EC3"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6D3B126C"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0E3EB34C"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16711A0B"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0C00CAA7"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156B140E"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47ED1715"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6D9B4ABB"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0E70CC3A" w14:textId="77777777" w:rsidTr="004D7FCE">
        <w:tc>
          <w:tcPr>
            <w:tcW w:w="0" w:type="auto"/>
            <w:tcBorders>
              <w:top w:val="nil"/>
              <w:left w:val="nil"/>
              <w:bottom w:val="nil"/>
              <w:right w:val="nil"/>
            </w:tcBorders>
            <w:shd w:val="clear" w:color="auto" w:fill="auto"/>
            <w:noWrap/>
            <w:vAlign w:val="center"/>
            <w:hideMark/>
          </w:tcPr>
          <w:p w14:paraId="785E500D"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ROA </w:t>
            </w:r>
          </w:p>
        </w:tc>
        <w:tc>
          <w:tcPr>
            <w:tcW w:w="0" w:type="auto"/>
            <w:tcBorders>
              <w:top w:val="nil"/>
              <w:left w:val="nil"/>
              <w:bottom w:val="nil"/>
              <w:right w:val="nil"/>
            </w:tcBorders>
            <w:shd w:val="clear" w:color="auto" w:fill="auto"/>
            <w:noWrap/>
            <w:hideMark/>
          </w:tcPr>
          <w:p w14:paraId="5531F570"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−0.016***</w:t>
            </w:r>
          </w:p>
        </w:tc>
        <w:tc>
          <w:tcPr>
            <w:tcW w:w="0" w:type="auto"/>
            <w:tcBorders>
              <w:top w:val="nil"/>
              <w:left w:val="nil"/>
              <w:bottom w:val="nil"/>
              <w:right w:val="nil"/>
            </w:tcBorders>
            <w:shd w:val="clear" w:color="auto" w:fill="auto"/>
            <w:hideMark/>
          </w:tcPr>
          <w:p w14:paraId="78A1A71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0.135***</w:t>
            </w:r>
          </w:p>
        </w:tc>
        <w:tc>
          <w:tcPr>
            <w:tcW w:w="0" w:type="auto"/>
            <w:tcBorders>
              <w:top w:val="nil"/>
              <w:left w:val="nil"/>
              <w:bottom w:val="nil"/>
              <w:right w:val="nil"/>
            </w:tcBorders>
            <w:shd w:val="clear" w:color="auto" w:fill="auto"/>
            <w:hideMark/>
          </w:tcPr>
          <w:p w14:paraId="6C953D8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0.086***</w:t>
            </w:r>
          </w:p>
        </w:tc>
        <w:tc>
          <w:tcPr>
            <w:tcW w:w="0" w:type="auto"/>
            <w:tcBorders>
              <w:top w:val="nil"/>
              <w:left w:val="nil"/>
              <w:bottom w:val="nil"/>
              <w:right w:val="nil"/>
            </w:tcBorders>
            <w:shd w:val="clear" w:color="auto" w:fill="auto"/>
            <w:hideMark/>
          </w:tcPr>
          <w:p w14:paraId="346577C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0.039***</w:t>
            </w:r>
          </w:p>
        </w:tc>
        <w:tc>
          <w:tcPr>
            <w:tcW w:w="0" w:type="auto"/>
            <w:tcBorders>
              <w:top w:val="nil"/>
              <w:left w:val="nil"/>
              <w:bottom w:val="nil"/>
              <w:right w:val="nil"/>
            </w:tcBorders>
            <w:shd w:val="clear" w:color="auto" w:fill="auto"/>
            <w:hideMark/>
          </w:tcPr>
          <w:p w14:paraId="33B0AEC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0.105***</w:t>
            </w:r>
          </w:p>
        </w:tc>
        <w:tc>
          <w:tcPr>
            <w:tcW w:w="0" w:type="auto"/>
            <w:tcBorders>
              <w:top w:val="nil"/>
              <w:left w:val="nil"/>
              <w:bottom w:val="nil"/>
              <w:right w:val="nil"/>
            </w:tcBorders>
            <w:shd w:val="clear" w:color="auto" w:fill="auto"/>
            <w:hideMark/>
          </w:tcPr>
          <w:p w14:paraId="1C2E364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0.001</w:t>
            </w:r>
          </w:p>
        </w:tc>
        <w:tc>
          <w:tcPr>
            <w:tcW w:w="0" w:type="auto"/>
            <w:tcBorders>
              <w:top w:val="nil"/>
              <w:left w:val="nil"/>
              <w:bottom w:val="nil"/>
              <w:right w:val="nil"/>
            </w:tcBorders>
            <w:shd w:val="clear" w:color="auto" w:fill="auto"/>
            <w:noWrap/>
            <w:hideMark/>
          </w:tcPr>
          <w:p w14:paraId="33E512CB"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−0.140***</w:t>
            </w:r>
          </w:p>
        </w:tc>
        <w:tc>
          <w:tcPr>
            <w:tcW w:w="0" w:type="auto"/>
            <w:tcBorders>
              <w:top w:val="nil"/>
              <w:left w:val="nil"/>
              <w:bottom w:val="nil"/>
              <w:right w:val="nil"/>
            </w:tcBorders>
            <w:shd w:val="clear" w:color="auto" w:fill="auto"/>
          </w:tcPr>
          <w:p w14:paraId="760EB6C8"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2D8709F9"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30965DEA"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139DA64A"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220114EA"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1E8C190C"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7FA99222"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27582C12"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7C9F82FB"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7843A504" w14:textId="77777777" w:rsidTr="004D7FCE">
        <w:tc>
          <w:tcPr>
            <w:tcW w:w="0" w:type="auto"/>
            <w:tcBorders>
              <w:top w:val="nil"/>
              <w:left w:val="nil"/>
              <w:bottom w:val="nil"/>
              <w:right w:val="nil"/>
            </w:tcBorders>
            <w:shd w:val="clear" w:color="auto" w:fill="auto"/>
            <w:noWrap/>
            <w:vAlign w:val="center"/>
            <w:hideMark/>
          </w:tcPr>
          <w:p w14:paraId="1857760F"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DIV </w:t>
            </w:r>
          </w:p>
        </w:tc>
        <w:tc>
          <w:tcPr>
            <w:tcW w:w="0" w:type="auto"/>
            <w:tcBorders>
              <w:top w:val="nil"/>
              <w:left w:val="nil"/>
              <w:bottom w:val="nil"/>
              <w:right w:val="nil"/>
            </w:tcBorders>
            <w:shd w:val="clear" w:color="auto" w:fill="auto"/>
            <w:noWrap/>
            <w:hideMark/>
          </w:tcPr>
          <w:p w14:paraId="6E58DEA2"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−0.007</w:t>
            </w:r>
          </w:p>
        </w:tc>
        <w:tc>
          <w:tcPr>
            <w:tcW w:w="0" w:type="auto"/>
            <w:tcBorders>
              <w:top w:val="nil"/>
              <w:left w:val="nil"/>
              <w:bottom w:val="nil"/>
              <w:right w:val="nil"/>
            </w:tcBorders>
            <w:shd w:val="clear" w:color="auto" w:fill="auto"/>
            <w:hideMark/>
          </w:tcPr>
          <w:p w14:paraId="6261EE1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0.095***</w:t>
            </w:r>
          </w:p>
        </w:tc>
        <w:tc>
          <w:tcPr>
            <w:tcW w:w="0" w:type="auto"/>
            <w:tcBorders>
              <w:top w:val="nil"/>
              <w:left w:val="nil"/>
              <w:bottom w:val="nil"/>
              <w:right w:val="nil"/>
            </w:tcBorders>
            <w:shd w:val="clear" w:color="auto" w:fill="auto"/>
            <w:hideMark/>
          </w:tcPr>
          <w:p w14:paraId="61F84205"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0.077***</w:t>
            </w:r>
          </w:p>
        </w:tc>
        <w:tc>
          <w:tcPr>
            <w:tcW w:w="0" w:type="auto"/>
            <w:tcBorders>
              <w:top w:val="nil"/>
              <w:left w:val="nil"/>
              <w:bottom w:val="nil"/>
              <w:right w:val="nil"/>
            </w:tcBorders>
            <w:shd w:val="clear" w:color="auto" w:fill="auto"/>
            <w:hideMark/>
          </w:tcPr>
          <w:p w14:paraId="0C09AD3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0.030***</w:t>
            </w:r>
          </w:p>
        </w:tc>
        <w:tc>
          <w:tcPr>
            <w:tcW w:w="0" w:type="auto"/>
            <w:tcBorders>
              <w:top w:val="nil"/>
              <w:left w:val="nil"/>
              <w:bottom w:val="nil"/>
              <w:right w:val="nil"/>
            </w:tcBorders>
            <w:shd w:val="clear" w:color="auto" w:fill="auto"/>
            <w:noWrap/>
            <w:hideMark/>
          </w:tcPr>
          <w:p w14:paraId="6A46999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−0.068***</w:t>
            </w:r>
          </w:p>
        </w:tc>
        <w:tc>
          <w:tcPr>
            <w:tcW w:w="0" w:type="auto"/>
            <w:tcBorders>
              <w:top w:val="nil"/>
              <w:left w:val="nil"/>
              <w:bottom w:val="nil"/>
              <w:right w:val="nil"/>
            </w:tcBorders>
            <w:shd w:val="clear" w:color="auto" w:fill="auto"/>
            <w:noWrap/>
            <w:hideMark/>
          </w:tcPr>
          <w:p w14:paraId="317F907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−0.007</w:t>
            </w:r>
          </w:p>
        </w:tc>
        <w:tc>
          <w:tcPr>
            <w:tcW w:w="0" w:type="auto"/>
            <w:tcBorders>
              <w:top w:val="nil"/>
              <w:left w:val="nil"/>
              <w:bottom w:val="nil"/>
              <w:right w:val="nil"/>
            </w:tcBorders>
            <w:shd w:val="clear" w:color="auto" w:fill="auto"/>
            <w:noWrap/>
            <w:hideMark/>
          </w:tcPr>
          <w:p w14:paraId="05D7330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−0.075***</w:t>
            </w:r>
          </w:p>
        </w:tc>
        <w:tc>
          <w:tcPr>
            <w:tcW w:w="0" w:type="auto"/>
            <w:tcBorders>
              <w:top w:val="nil"/>
              <w:left w:val="nil"/>
              <w:bottom w:val="nil"/>
              <w:right w:val="nil"/>
            </w:tcBorders>
            <w:shd w:val="clear" w:color="auto" w:fill="auto"/>
            <w:hideMark/>
          </w:tcPr>
          <w:p w14:paraId="2BCD53A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0.465***</w:t>
            </w:r>
          </w:p>
        </w:tc>
        <w:tc>
          <w:tcPr>
            <w:tcW w:w="0" w:type="auto"/>
            <w:tcBorders>
              <w:top w:val="nil"/>
              <w:left w:val="nil"/>
              <w:bottom w:val="nil"/>
              <w:right w:val="nil"/>
            </w:tcBorders>
            <w:shd w:val="clear" w:color="auto" w:fill="auto"/>
          </w:tcPr>
          <w:p w14:paraId="7F1026A1" w14:textId="77777777" w:rsidR="00C0131F" w:rsidRPr="009642F7" w:rsidRDefault="00C0131F" w:rsidP="004D7FCE">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29A6E853"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032B791F"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35D239E2"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5D035F9B"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6577993E"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383EDADB"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5E5EDCA6"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6EEF8FF9" w14:textId="77777777" w:rsidTr="004D7FCE">
        <w:tc>
          <w:tcPr>
            <w:tcW w:w="0" w:type="auto"/>
            <w:tcBorders>
              <w:top w:val="nil"/>
              <w:left w:val="nil"/>
              <w:bottom w:val="nil"/>
              <w:right w:val="nil"/>
            </w:tcBorders>
            <w:shd w:val="clear" w:color="auto" w:fill="auto"/>
            <w:noWrap/>
            <w:vAlign w:val="center"/>
            <w:hideMark/>
          </w:tcPr>
          <w:p w14:paraId="561E8D0D"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BSIZE</w:t>
            </w:r>
          </w:p>
        </w:tc>
        <w:tc>
          <w:tcPr>
            <w:tcW w:w="0" w:type="auto"/>
            <w:tcBorders>
              <w:top w:val="nil"/>
              <w:left w:val="nil"/>
              <w:bottom w:val="nil"/>
              <w:right w:val="nil"/>
            </w:tcBorders>
            <w:shd w:val="clear" w:color="auto" w:fill="auto"/>
            <w:hideMark/>
          </w:tcPr>
          <w:p w14:paraId="6D161CA3"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0.025***</w:t>
            </w:r>
          </w:p>
        </w:tc>
        <w:tc>
          <w:tcPr>
            <w:tcW w:w="0" w:type="auto"/>
            <w:tcBorders>
              <w:top w:val="nil"/>
              <w:left w:val="nil"/>
              <w:bottom w:val="nil"/>
              <w:right w:val="nil"/>
            </w:tcBorders>
            <w:shd w:val="clear" w:color="auto" w:fill="auto"/>
            <w:hideMark/>
          </w:tcPr>
          <w:p w14:paraId="04558F28"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0.155***</w:t>
            </w:r>
          </w:p>
        </w:tc>
        <w:tc>
          <w:tcPr>
            <w:tcW w:w="0" w:type="auto"/>
            <w:tcBorders>
              <w:top w:val="nil"/>
              <w:left w:val="nil"/>
              <w:bottom w:val="nil"/>
              <w:right w:val="nil"/>
            </w:tcBorders>
            <w:shd w:val="clear" w:color="auto" w:fill="auto"/>
            <w:noWrap/>
            <w:hideMark/>
          </w:tcPr>
          <w:p w14:paraId="6161A16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−0.010*</w:t>
            </w:r>
          </w:p>
        </w:tc>
        <w:tc>
          <w:tcPr>
            <w:tcW w:w="0" w:type="auto"/>
            <w:tcBorders>
              <w:top w:val="nil"/>
              <w:left w:val="nil"/>
              <w:bottom w:val="nil"/>
              <w:right w:val="nil"/>
            </w:tcBorders>
            <w:shd w:val="clear" w:color="auto" w:fill="auto"/>
            <w:hideMark/>
          </w:tcPr>
          <w:p w14:paraId="797A159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0.128***</w:t>
            </w:r>
          </w:p>
        </w:tc>
        <w:tc>
          <w:tcPr>
            <w:tcW w:w="0" w:type="auto"/>
            <w:tcBorders>
              <w:top w:val="nil"/>
              <w:left w:val="nil"/>
              <w:bottom w:val="nil"/>
              <w:right w:val="nil"/>
            </w:tcBorders>
            <w:shd w:val="clear" w:color="auto" w:fill="auto"/>
            <w:noWrap/>
            <w:hideMark/>
          </w:tcPr>
          <w:p w14:paraId="5B9BBAB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−0.016***</w:t>
            </w:r>
          </w:p>
        </w:tc>
        <w:tc>
          <w:tcPr>
            <w:tcW w:w="0" w:type="auto"/>
            <w:tcBorders>
              <w:top w:val="nil"/>
              <w:left w:val="nil"/>
              <w:bottom w:val="nil"/>
              <w:right w:val="nil"/>
            </w:tcBorders>
            <w:shd w:val="clear" w:color="auto" w:fill="auto"/>
            <w:noWrap/>
            <w:hideMark/>
          </w:tcPr>
          <w:p w14:paraId="0055FAFC"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−0.006</w:t>
            </w:r>
          </w:p>
        </w:tc>
        <w:tc>
          <w:tcPr>
            <w:tcW w:w="0" w:type="auto"/>
            <w:tcBorders>
              <w:top w:val="nil"/>
              <w:left w:val="nil"/>
              <w:bottom w:val="nil"/>
              <w:right w:val="nil"/>
            </w:tcBorders>
            <w:shd w:val="clear" w:color="auto" w:fill="auto"/>
            <w:noWrap/>
            <w:hideMark/>
          </w:tcPr>
          <w:p w14:paraId="7D8A517C"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−0.004</w:t>
            </w:r>
          </w:p>
        </w:tc>
        <w:tc>
          <w:tcPr>
            <w:tcW w:w="0" w:type="auto"/>
            <w:tcBorders>
              <w:top w:val="nil"/>
              <w:left w:val="nil"/>
              <w:bottom w:val="nil"/>
              <w:right w:val="nil"/>
            </w:tcBorders>
            <w:shd w:val="clear" w:color="auto" w:fill="auto"/>
            <w:hideMark/>
          </w:tcPr>
          <w:p w14:paraId="3E650E3D"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0.011*</w:t>
            </w:r>
          </w:p>
        </w:tc>
        <w:tc>
          <w:tcPr>
            <w:tcW w:w="0" w:type="auto"/>
            <w:tcBorders>
              <w:top w:val="nil"/>
              <w:left w:val="nil"/>
              <w:bottom w:val="nil"/>
              <w:right w:val="nil"/>
            </w:tcBorders>
            <w:shd w:val="clear" w:color="auto" w:fill="auto"/>
            <w:hideMark/>
          </w:tcPr>
          <w:p w14:paraId="45E01CB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0.048***</w:t>
            </w:r>
          </w:p>
        </w:tc>
        <w:tc>
          <w:tcPr>
            <w:tcW w:w="0" w:type="auto"/>
            <w:tcBorders>
              <w:top w:val="nil"/>
              <w:left w:val="nil"/>
              <w:bottom w:val="nil"/>
              <w:right w:val="nil"/>
            </w:tcBorders>
            <w:shd w:val="clear" w:color="auto" w:fill="auto"/>
          </w:tcPr>
          <w:p w14:paraId="41B986AC"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05703C32"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3DC1F71F"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55323980"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02D4CA28"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385C0E2A"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3E982C7D"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76660403" w14:textId="77777777" w:rsidTr="004D7FCE">
        <w:tc>
          <w:tcPr>
            <w:tcW w:w="0" w:type="auto"/>
            <w:tcBorders>
              <w:top w:val="nil"/>
              <w:left w:val="nil"/>
              <w:bottom w:val="nil"/>
              <w:right w:val="nil"/>
            </w:tcBorders>
            <w:shd w:val="clear" w:color="auto" w:fill="auto"/>
            <w:noWrap/>
            <w:vAlign w:val="center"/>
            <w:hideMark/>
          </w:tcPr>
          <w:p w14:paraId="7773381E"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BIND</w:t>
            </w:r>
          </w:p>
        </w:tc>
        <w:tc>
          <w:tcPr>
            <w:tcW w:w="0" w:type="auto"/>
            <w:tcBorders>
              <w:top w:val="nil"/>
              <w:left w:val="nil"/>
              <w:bottom w:val="nil"/>
              <w:right w:val="nil"/>
            </w:tcBorders>
            <w:shd w:val="clear" w:color="auto" w:fill="auto"/>
            <w:noWrap/>
            <w:hideMark/>
          </w:tcPr>
          <w:p w14:paraId="1A3CD00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−0.066***</w:t>
            </w:r>
          </w:p>
        </w:tc>
        <w:tc>
          <w:tcPr>
            <w:tcW w:w="0" w:type="auto"/>
            <w:tcBorders>
              <w:top w:val="nil"/>
              <w:left w:val="nil"/>
              <w:bottom w:val="nil"/>
              <w:right w:val="nil"/>
            </w:tcBorders>
            <w:shd w:val="clear" w:color="auto" w:fill="auto"/>
            <w:noWrap/>
            <w:hideMark/>
          </w:tcPr>
          <w:p w14:paraId="2A069E5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−0.109***</w:t>
            </w:r>
          </w:p>
        </w:tc>
        <w:tc>
          <w:tcPr>
            <w:tcW w:w="0" w:type="auto"/>
            <w:tcBorders>
              <w:top w:val="nil"/>
              <w:left w:val="nil"/>
              <w:bottom w:val="nil"/>
              <w:right w:val="nil"/>
            </w:tcBorders>
            <w:shd w:val="clear" w:color="auto" w:fill="auto"/>
            <w:hideMark/>
          </w:tcPr>
          <w:p w14:paraId="5AF5A06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0.099***</w:t>
            </w:r>
          </w:p>
        </w:tc>
        <w:tc>
          <w:tcPr>
            <w:tcW w:w="0" w:type="auto"/>
            <w:tcBorders>
              <w:top w:val="nil"/>
              <w:left w:val="nil"/>
              <w:bottom w:val="nil"/>
              <w:right w:val="nil"/>
            </w:tcBorders>
            <w:shd w:val="clear" w:color="auto" w:fill="auto"/>
            <w:hideMark/>
          </w:tcPr>
          <w:p w14:paraId="1C18B5F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0.037***</w:t>
            </w:r>
          </w:p>
        </w:tc>
        <w:tc>
          <w:tcPr>
            <w:tcW w:w="0" w:type="auto"/>
            <w:tcBorders>
              <w:top w:val="nil"/>
              <w:left w:val="nil"/>
              <w:bottom w:val="nil"/>
              <w:right w:val="nil"/>
            </w:tcBorders>
            <w:shd w:val="clear" w:color="auto" w:fill="auto"/>
            <w:hideMark/>
          </w:tcPr>
          <w:p w14:paraId="7B089C70"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0.123***</w:t>
            </w:r>
          </w:p>
        </w:tc>
        <w:tc>
          <w:tcPr>
            <w:tcW w:w="0" w:type="auto"/>
            <w:tcBorders>
              <w:top w:val="nil"/>
              <w:left w:val="nil"/>
              <w:bottom w:val="nil"/>
              <w:right w:val="nil"/>
            </w:tcBorders>
            <w:shd w:val="clear" w:color="auto" w:fill="auto"/>
            <w:noWrap/>
            <w:hideMark/>
          </w:tcPr>
          <w:p w14:paraId="1466763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−0.004</w:t>
            </w:r>
          </w:p>
        </w:tc>
        <w:tc>
          <w:tcPr>
            <w:tcW w:w="0" w:type="auto"/>
            <w:tcBorders>
              <w:top w:val="nil"/>
              <w:left w:val="nil"/>
              <w:bottom w:val="nil"/>
              <w:right w:val="nil"/>
            </w:tcBorders>
            <w:shd w:val="clear" w:color="auto" w:fill="auto"/>
            <w:noWrap/>
            <w:hideMark/>
          </w:tcPr>
          <w:p w14:paraId="39D2DE3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−0.046***</w:t>
            </w:r>
          </w:p>
        </w:tc>
        <w:tc>
          <w:tcPr>
            <w:tcW w:w="0" w:type="auto"/>
            <w:tcBorders>
              <w:top w:val="nil"/>
              <w:left w:val="nil"/>
              <w:bottom w:val="nil"/>
              <w:right w:val="nil"/>
            </w:tcBorders>
            <w:shd w:val="clear" w:color="auto" w:fill="auto"/>
            <w:hideMark/>
          </w:tcPr>
          <w:p w14:paraId="69A4F9C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0.032***</w:t>
            </w:r>
          </w:p>
        </w:tc>
        <w:tc>
          <w:tcPr>
            <w:tcW w:w="0" w:type="auto"/>
            <w:tcBorders>
              <w:top w:val="nil"/>
              <w:left w:val="nil"/>
              <w:bottom w:val="nil"/>
              <w:right w:val="nil"/>
            </w:tcBorders>
            <w:shd w:val="clear" w:color="auto" w:fill="auto"/>
            <w:noWrap/>
            <w:hideMark/>
          </w:tcPr>
          <w:p w14:paraId="790FB19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−0.001</w:t>
            </w:r>
          </w:p>
        </w:tc>
        <w:tc>
          <w:tcPr>
            <w:tcW w:w="0" w:type="auto"/>
            <w:tcBorders>
              <w:top w:val="nil"/>
              <w:left w:val="nil"/>
              <w:bottom w:val="nil"/>
              <w:right w:val="nil"/>
            </w:tcBorders>
            <w:shd w:val="clear" w:color="auto" w:fill="auto"/>
            <w:noWrap/>
            <w:hideMark/>
          </w:tcPr>
          <w:p w14:paraId="6A1CEDA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−0.115***</w:t>
            </w:r>
          </w:p>
        </w:tc>
        <w:tc>
          <w:tcPr>
            <w:tcW w:w="0" w:type="auto"/>
            <w:tcBorders>
              <w:top w:val="nil"/>
              <w:left w:val="nil"/>
              <w:bottom w:val="nil"/>
              <w:right w:val="nil"/>
            </w:tcBorders>
            <w:shd w:val="clear" w:color="auto" w:fill="auto"/>
          </w:tcPr>
          <w:p w14:paraId="72D727EA"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432337F0"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3925DCD0"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7C94DD3E"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75F890E0"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5BDADD3B"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1509F14D" w14:textId="77777777" w:rsidTr="004D7FCE">
        <w:tc>
          <w:tcPr>
            <w:tcW w:w="0" w:type="auto"/>
            <w:tcBorders>
              <w:top w:val="nil"/>
              <w:left w:val="nil"/>
              <w:bottom w:val="nil"/>
              <w:right w:val="nil"/>
            </w:tcBorders>
            <w:shd w:val="clear" w:color="auto" w:fill="auto"/>
            <w:noWrap/>
            <w:vAlign w:val="center"/>
            <w:hideMark/>
          </w:tcPr>
          <w:p w14:paraId="42B4D04A"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BOR </w:t>
            </w:r>
          </w:p>
        </w:tc>
        <w:tc>
          <w:tcPr>
            <w:tcW w:w="0" w:type="auto"/>
            <w:tcBorders>
              <w:top w:val="nil"/>
              <w:left w:val="nil"/>
              <w:bottom w:val="nil"/>
              <w:right w:val="nil"/>
            </w:tcBorders>
            <w:shd w:val="clear" w:color="auto" w:fill="auto"/>
            <w:hideMark/>
          </w:tcPr>
          <w:p w14:paraId="2DA7819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0.006</w:t>
            </w:r>
          </w:p>
        </w:tc>
        <w:tc>
          <w:tcPr>
            <w:tcW w:w="0" w:type="auto"/>
            <w:tcBorders>
              <w:top w:val="nil"/>
              <w:left w:val="nil"/>
              <w:bottom w:val="nil"/>
              <w:right w:val="nil"/>
            </w:tcBorders>
            <w:shd w:val="clear" w:color="auto" w:fill="auto"/>
            <w:noWrap/>
            <w:hideMark/>
          </w:tcPr>
          <w:p w14:paraId="0E248955"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−0.061***</w:t>
            </w:r>
          </w:p>
        </w:tc>
        <w:tc>
          <w:tcPr>
            <w:tcW w:w="0" w:type="auto"/>
            <w:tcBorders>
              <w:top w:val="nil"/>
              <w:left w:val="nil"/>
              <w:bottom w:val="nil"/>
              <w:right w:val="nil"/>
            </w:tcBorders>
            <w:shd w:val="clear" w:color="auto" w:fill="auto"/>
            <w:noWrap/>
            <w:hideMark/>
          </w:tcPr>
          <w:p w14:paraId="2AB529D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−0.092***</w:t>
            </w:r>
          </w:p>
        </w:tc>
        <w:tc>
          <w:tcPr>
            <w:tcW w:w="0" w:type="auto"/>
            <w:tcBorders>
              <w:top w:val="nil"/>
              <w:left w:val="nil"/>
              <w:bottom w:val="nil"/>
              <w:right w:val="nil"/>
            </w:tcBorders>
            <w:shd w:val="clear" w:color="auto" w:fill="auto"/>
            <w:noWrap/>
            <w:hideMark/>
          </w:tcPr>
          <w:p w14:paraId="031209A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−0.061***</w:t>
            </w:r>
          </w:p>
        </w:tc>
        <w:tc>
          <w:tcPr>
            <w:tcW w:w="0" w:type="auto"/>
            <w:tcBorders>
              <w:top w:val="nil"/>
              <w:left w:val="nil"/>
              <w:bottom w:val="nil"/>
              <w:right w:val="nil"/>
            </w:tcBorders>
            <w:shd w:val="clear" w:color="auto" w:fill="auto"/>
            <w:hideMark/>
          </w:tcPr>
          <w:p w14:paraId="6608ED2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0.050***</w:t>
            </w:r>
          </w:p>
        </w:tc>
        <w:tc>
          <w:tcPr>
            <w:tcW w:w="0" w:type="auto"/>
            <w:tcBorders>
              <w:top w:val="nil"/>
              <w:left w:val="nil"/>
              <w:bottom w:val="nil"/>
              <w:right w:val="nil"/>
            </w:tcBorders>
            <w:shd w:val="clear" w:color="auto" w:fill="auto"/>
            <w:noWrap/>
            <w:hideMark/>
          </w:tcPr>
          <w:p w14:paraId="7F7F1F2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−0.003</w:t>
            </w:r>
          </w:p>
        </w:tc>
        <w:tc>
          <w:tcPr>
            <w:tcW w:w="0" w:type="auto"/>
            <w:tcBorders>
              <w:top w:val="nil"/>
              <w:left w:val="nil"/>
              <w:bottom w:val="nil"/>
              <w:right w:val="nil"/>
            </w:tcBorders>
            <w:shd w:val="clear" w:color="auto" w:fill="auto"/>
            <w:noWrap/>
            <w:hideMark/>
          </w:tcPr>
          <w:p w14:paraId="4ADB032B"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−0.015***</w:t>
            </w:r>
          </w:p>
        </w:tc>
        <w:tc>
          <w:tcPr>
            <w:tcW w:w="0" w:type="auto"/>
            <w:tcBorders>
              <w:top w:val="nil"/>
              <w:left w:val="nil"/>
              <w:bottom w:val="nil"/>
              <w:right w:val="nil"/>
            </w:tcBorders>
            <w:shd w:val="clear" w:color="auto" w:fill="auto"/>
            <w:hideMark/>
          </w:tcPr>
          <w:p w14:paraId="4F1566F5"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0.112***</w:t>
            </w:r>
          </w:p>
        </w:tc>
        <w:tc>
          <w:tcPr>
            <w:tcW w:w="0" w:type="auto"/>
            <w:tcBorders>
              <w:top w:val="nil"/>
              <w:left w:val="nil"/>
              <w:bottom w:val="nil"/>
              <w:right w:val="nil"/>
            </w:tcBorders>
            <w:shd w:val="clear" w:color="auto" w:fill="auto"/>
            <w:hideMark/>
          </w:tcPr>
          <w:p w14:paraId="031B92C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0.059***</w:t>
            </w:r>
          </w:p>
        </w:tc>
        <w:tc>
          <w:tcPr>
            <w:tcW w:w="0" w:type="auto"/>
            <w:tcBorders>
              <w:top w:val="nil"/>
              <w:left w:val="nil"/>
              <w:bottom w:val="nil"/>
              <w:right w:val="nil"/>
            </w:tcBorders>
            <w:shd w:val="clear" w:color="auto" w:fill="auto"/>
            <w:hideMark/>
          </w:tcPr>
          <w:p w14:paraId="53DACAF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0.040***</w:t>
            </w:r>
          </w:p>
        </w:tc>
        <w:tc>
          <w:tcPr>
            <w:tcW w:w="0" w:type="auto"/>
            <w:tcBorders>
              <w:top w:val="nil"/>
              <w:left w:val="nil"/>
              <w:bottom w:val="nil"/>
              <w:right w:val="nil"/>
            </w:tcBorders>
            <w:shd w:val="clear" w:color="auto" w:fill="auto"/>
            <w:noWrap/>
            <w:hideMark/>
          </w:tcPr>
          <w:p w14:paraId="0BA92414"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−0.078***</w:t>
            </w:r>
          </w:p>
        </w:tc>
        <w:tc>
          <w:tcPr>
            <w:tcW w:w="0" w:type="auto"/>
            <w:tcBorders>
              <w:top w:val="nil"/>
              <w:left w:val="nil"/>
              <w:bottom w:val="nil"/>
              <w:right w:val="nil"/>
            </w:tcBorders>
            <w:shd w:val="clear" w:color="auto" w:fill="auto"/>
          </w:tcPr>
          <w:p w14:paraId="72D9BC2C"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2614EAEF"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0B858B8C"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noWrap/>
            <w:hideMark/>
          </w:tcPr>
          <w:p w14:paraId="1D474098"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5185CCAD"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1DC6ADBB" w14:textId="77777777" w:rsidTr="004D7FCE">
        <w:tc>
          <w:tcPr>
            <w:tcW w:w="0" w:type="auto"/>
            <w:tcBorders>
              <w:top w:val="nil"/>
              <w:left w:val="nil"/>
              <w:bottom w:val="nil"/>
              <w:right w:val="nil"/>
            </w:tcBorders>
            <w:shd w:val="clear" w:color="auto" w:fill="auto"/>
            <w:noWrap/>
            <w:vAlign w:val="center"/>
            <w:hideMark/>
          </w:tcPr>
          <w:p w14:paraId="397AD264"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BLOCK </w:t>
            </w:r>
          </w:p>
        </w:tc>
        <w:tc>
          <w:tcPr>
            <w:tcW w:w="0" w:type="auto"/>
            <w:tcBorders>
              <w:top w:val="nil"/>
              <w:left w:val="nil"/>
              <w:bottom w:val="nil"/>
              <w:right w:val="nil"/>
            </w:tcBorders>
            <w:shd w:val="clear" w:color="auto" w:fill="auto"/>
            <w:noWrap/>
            <w:hideMark/>
          </w:tcPr>
          <w:p w14:paraId="37E621B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−0.041***</w:t>
            </w:r>
          </w:p>
        </w:tc>
        <w:tc>
          <w:tcPr>
            <w:tcW w:w="0" w:type="auto"/>
            <w:tcBorders>
              <w:top w:val="nil"/>
              <w:left w:val="nil"/>
              <w:bottom w:val="nil"/>
              <w:right w:val="nil"/>
            </w:tcBorders>
            <w:shd w:val="clear" w:color="auto" w:fill="auto"/>
            <w:noWrap/>
            <w:hideMark/>
          </w:tcPr>
          <w:p w14:paraId="12A94095"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−0.111***</w:t>
            </w:r>
          </w:p>
        </w:tc>
        <w:tc>
          <w:tcPr>
            <w:tcW w:w="0" w:type="auto"/>
            <w:tcBorders>
              <w:top w:val="nil"/>
              <w:left w:val="nil"/>
              <w:bottom w:val="nil"/>
              <w:right w:val="nil"/>
            </w:tcBorders>
            <w:shd w:val="clear" w:color="auto" w:fill="auto"/>
            <w:hideMark/>
          </w:tcPr>
          <w:p w14:paraId="021F3D58"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0.001</w:t>
            </w:r>
          </w:p>
        </w:tc>
        <w:tc>
          <w:tcPr>
            <w:tcW w:w="0" w:type="auto"/>
            <w:tcBorders>
              <w:top w:val="nil"/>
              <w:left w:val="nil"/>
              <w:bottom w:val="nil"/>
              <w:right w:val="nil"/>
            </w:tcBorders>
            <w:shd w:val="clear" w:color="auto" w:fill="auto"/>
            <w:hideMark/>
          </w:tcPr>
          <w:p w14:paraId="038108B4"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0.003</w:t>
            </w:r>
          </w:p>
        </w:tc>
        <w:tc>
          <w:tcPr>
            <w:tcW w:w="0" w:type="auto"/>
            <w:tcBorders>
              <w:top w:val="nil"/>
              <w:left w:val="nil"/>
              <w:bottom w:val="nil"/>
              <w:right w:val="nil"/>
            </w:tcBorders>
            <w:shd w:val="clear" w:color="auto" w:fill="auto"/>
            <w:hideMark/>
          </w:tcPr>
          <w:p w14:paraId="0837898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0.063***</w:t>
            </w:r>
          </w:p>
        </w:tc>
        <w:tc>
          <w:tcPr>
            <w:tcW w:w="0" w:type="auto"/>
            <w:tcBorders>
              <w:top w:val="nil"/>
              <w:left w:val="nil"/>
              <w:bottom w:val="nil"/>
              <w:right w:val="nil"/>
            </w:tcBorders>
            <w:shd w:val="clear" w:color="auto" w:fill="auto"/>
            <w:hideMark/>
          </w:tcPr>
          <w:p w14:paraId="55A4E4D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0.025***</w:t>
            </w:r>
          </w:p>
        </w:tc>
        <w:tc>
          <w:tcPr>
            <w:tcW w:w="0" w:type="auto"/>
            <w:tcBorders>
              <w:top w:val="nil"/>
              <w:left w:val="nil"/>
              <w:bottom w:val="nil"/>
              <w:right w:val="nil"/>
            </w:tcBorders>
            <w:shd w:val="clear" w:color="auto" w:fill="auto"/>
            <w:hideMark/>
          </w:tcPr>
          <w:p w14:paraId="31EBFC0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0.048***</w:t>
            </w:r>
          </w:p>
        </w:tc>
        <w:tc>
          <w:tcPr>
            <w:tcW w:w="0" w:type="auto"/>
            <w:tcBorders>
              <w:top w:val="nil"/>
              <w:left w:val="nil"/>
              <w:bottom w:val="nil"/>
              <w:right w:val="nil"/>
            </w:tcBorders>
            <w:shd w:val="clear" w:color="auto" w:fill="auto"/>
            <w:noWrap/>
            <w:hideMark/>
          </w:tcPr>
          <w:p w14:paraId="452F748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−0.018***</w:t>
            </w:r>
          </w:p>
        </w:tc>
        <w:tc>
          <w:tcPr>
            <w:tcW w:w="0" w:type="auto"/>
            <w:tcBorders>
              <w:top w:val="nil"/>
              <w:left w:val="nil"/>
              <w:bottom w:val="nil"/>
              <w:right w:val="nil"/>
            </w:tcBorders>
            <w:shd w:val="clear" w:color="auto" w:fill="auto"/>
            <w:noWrap/>
            <w:hideMark/>
          </w:tcPr>
          <w:p w14:paraId="4896216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−0.033***</w:t>
            </w:r>
          </w:p>
        </w:tc>
        <w:tc>
          <w:tcPr>
            <w:tcW w:w="0" w:type="auto"/>
            <w:tcBorders>
              <w:top w:val="nil"/>
              <w:left w:val="nil"/>
              <w:bottom w:val="nil"/>
              <w:right w:val="nil"/>
            </w:tcBorders>
            <w:shd w:val="clear" w:color="auto" w:fill="auto"/>
            <w:noWrap/>
            <w:hideMark/>
          </w:tcPr>
          <w:p w14:paraId="428D504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−0.147***</w:t>
            </w:r>
          </w:p>
        </w:tc>
        <w:tc>
          <w:tcPr>
            <w:tcW w:w="0" w:type="auto"/>
            <w:tcBorders>
              <w:top w:val="nil"/>
              <w:left w:val="nil"/>
              <w:bottom w:val="nil"/>
              <w:right w:val="nil"/>
            </w:tcBorders>
            <w:shd w:val="clear" w:color="auto" w:fill="auto"/>
            <w:hideMark/>
          </w:tcPr>
          <w:p w14:paraId="424C988B"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0.180***</w:t>
            </w:r>
          </w:p>
        </w:tc>
        <w:tc>
          <w:tcPr>
            <w:tcW w:w="0" w:type="auto"/>
            <w:tcBorders>
              <w:top w:val="nil"/>
              <w:left w:val="nil"/>
              <w:bottom w:val="nil"/>
              <w:right w:val="nil"/>
            </w:tcBorders>
            <w:shd w:val="clear" w:color="auto" w:fill="auto"/>
            <w:noWrap/>
            <w:hideMark/>
          </w:tcPr>
          <w:p w14:paraId="0F84D88D"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−0.247***</w:t>
            </w:r>
          </w:p>
        </w:tc>
        <w:tc>
          <w:tcPr>
            <w:tcW w:w="0" w:type="auto"/>
            <w:tcBorders>
              <w:top w:val="nil"/>
              <w:left w:val="nil"/>
              <w:bottom w:val="nil"/>
              <w:right w:val="nil"/>
            </w:tcBorders>
            <w:shd w:val="clear" w:color="auto" w:fill="auto"/>
          </w:tcPr>
          <w:p w14:paraId="76745AB5"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68C8C883"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79C1460B" w14:textId="77777777" w:rsidR="00C0131F" w:rsidRPr="009642F7" w:rsidRDefault="00C0131F" w:rsidP="00C0131F">
            <w:pPr>
              <w:snapToGrid w:val="0"/>
              <w:rPr>
                <w:rFonts w:ascii="Times New Roman" w:eastAsia="Times New Roman" w:hAnsi="Times New Roman" w:cs="Times New Roman"/>
                <w:sz w:val="19"/>
                <w:szCs w:val="19"/>
              </w:rPr>
            </w:pPr>
          </w:p>
        </w:tc>
        <w:tc>
          <w:tcPr>
            <w:tcW w:w="0" w:type="auto"/>
            <w:tcBorders>
              <w:top w:val="nil"/>
              <w:left w:val="nil"/>
              <w:bottom w:val="nil"/>
              <w:right w:val="nil"/>
            </w:tcBorders>
            <w:shd w:val="clear" w:color="auto" w:fill="auto"/>
            <w:hideMark/>
          </w:tcPr>
          <w:p w14:paraId="06A908E3"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448DB73F" w14:textId="77777777" w:rsidTr="004D7FCE">
        <w:tc>
          <w:tcPr>
            <w:tcW w:w="0" w:type="auto"/>
            <w:tcBorders>
              <w:top w:val="nil"/>
              <w:left w:val="nil"/>
              <w:bottom w:val="nil"/>
              <w:right w:val="nil"/>
            </w:tcBorders>
            <w:shd w:val="clear" w:color="auto" w:fill="auto"/>
            <w:noWrap/>
            <w:vAlign w:val="center"/>
            <w:hideMark/>
          </w:tcPr>
          <w:p w14:paraId="6A039A6D"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XCR </w:t>
            </w:r>
          </w:p>
        </w:tc>
        <w:tc>
          <w:tcPr>
            <w:tcW w:w="0" w:type="auto"/>
            <w:tcBorders>
              <w:top w:val="nil"/>
              <w:left w:val="nil"/>
              <w:bottom w:val="nil"/>
              <w:right w:val="nil"/>
            </w:tcBorders>
            <w:shd w:val="clear" w:color="auto" w:fill="auto"/>
            <w:noWrap/>
            <w:hideMark/>
          </w:tcPr>
          <w:p w14:paraId="274829FB"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−0.010*</w:t>
            </w:r>
          </w:p>
        </w:tc>
        <w:tc>
          <w:tcPr>
            <w:tcW w:w="0" w:type="auto"/>
            <w:tcBorders>
              <w:top w:val="nil"/>
              <w:left w:val="nil"/>
              <w:bottom w:val="nil"/>
              <w:right w:val="nil"/>
            </w:tcBorders>
            <w:shd w:val="clear" w:color="auto" w:fill="auto"/>
            <w:noWrap/>
            <w:hideMark/>
          </w:tcPr>
          <w:p w14:paraId="167F489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−0.006</w:t>
            </w:r>
          </w:p>
        </w:tc>
        <w:tc>
          <w:tcPr>
            <w:tcW w:w="0" w:type="auto"/>
            <w:tcBorders>
              <w:top w:val="nil"/>
              <w:left w:val="nil"/>
              <w:bottom w:val="nil"/>
              <w:right w:val="nil"/>
            </w:tcBorders>
            <w:shd w:val="clear" w:color="auto" w:fill="auto"/>
            <w:noWrap/>
            <w:hideMark/>
          </w:tcPr>
          <w:p w14:paraId="2C11A55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−0.087***</w:t>
            </w:r>
          </w:p>
        </w:tc>
        <w:tc>
          <w:tcPr>
            <w:tcW w:w="0" w:type="auto"/>
            <w:tcBorders>
              <w:top w:val="nil"/>
              <w:left w:val="nil"/>
              <w:bottom w:val="nil"/>
              <w:right w:val="nil"/>
            </w:tcBorders>
            <w:shd w:val="clear" w:color="auto" w:fill="auto"/>
            <w:hideMark/>
          </w:tcPr>
          <w:p w14:paraId="3C0119E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0.046***</w:t>
            </w:r>
          </w:p>
        </w:tc>
        <w:tc>
          <w:tcPr>
            <w:tcW w:w="0" w:type="auto"/>
            <w:tcBorders>
              <w:top w:val="nil"/>
              <w:left w:val="nil"/>
              <w:bottom w:val="nil"/>
              <w:right w:val="nil"/>
            </w:tcBorders>
            <w:shd w:val="clear" w:color="auto" w:fill="auto"/>
            <w:noWrap/>
            <w:hideMark/>
          </w:tcPr>
          <w:p w14:paraId="114B9334"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−0.030***</w:t>
            </w:r>
          </w:p>
        </w:tc>
        <w:tc>
          <w:tcPr>
            <w:tcW w:w="0" w:type="auto"/>
            <w:tcBorders>
              <w:top w:val="nil"/>
              <w:left w:val="nil"/>
              <w:bottom w:val="nil"/>
              <w:right w:val="nil"/>
            </w:tcBorders>
            <w:shd w:val="clear" w:color="auto" w:fill="auto"/>
            <w:noWrap/>
            <w:hideMark/>
          </w:tcPr>
          <w:p w14:paraId="1B5AF50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−0.004</w:t>
            </w:r>
          </w:p>
        </w:tc>
        <w:tc>
          <w:tcPr>
            <w:tcW w:w="0" w:type="auto"/>
            <w:tcBorders>
              <w:top w:val="nil"/>
              <w:left w:val="nil"/>
              <w:bottom w:val="nil"/>
              <w:right w:val="nil"/>
            </w:tcBorders>
            <w:shd w:val="clear" w:color="auto" w:fill="auto"/>
            <w:hideMark/>
          </w:tcPr>
          <w:p w14:paraId="0B76DDCB"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0.078***</w:t>
            </w:r>
          </w:p>
        </w:tc>
        <w:tc>
          <w:tcPr>
            <w:tcW w:w="0" w:type="auto"/>
            <w:tcBorders>
              <w:top w:val="nil"/>
              <w:left w:val="nil"/>
              <w:bottom w:val="nil"/>
              <w:right w:val="nil"/>
            </w:tcBorders>
            <w:shd w:val="clear" w:color="auto" w:fill="auto"/>
            <w:hideMark/>
          </w:tcPr>
          <w:p w14:paraId="6A277CD3"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0.083***</w:t>
            </w:r>
          </w:p>
        </w:tc>
        <w:tc>
          <w:tcPr>
            <w:tcW w:w="0" w:type="auto"/>
            <w:tcBorders>
              <w:top w:val="nil"/>
              <w:left w:val="nil"/>
              <w:bottom w:val="nil"/>
              <w:right w:val="nil"/>
            </w:tcBorders>
            <w:shd w:val="clear" w:color="auto" w:fill="auto"/>
            <w:hideMark/>
          </w:tcPr>
          <w:p w14:paraId="07ECA0D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0.079***</w:t>
            </w:r>
          </w:p>
        </w:tc>
        <w:tc>
          <w:tcPr>
            <w:tcW w:w="0" w:type="auto"/>
            <w:tcBorders>
              <w:top w:val="nil"/>
              <w:left w:val="nil"/>
              <w:bottom w:val="nil"/>
              <w:right w:val="nil"/>
            </w:tcBorders>
            <w:shd w:val="clear" w:color="auto" w:fill="auto"/>
            <w:noWrap/>
            <w:hideMark/>
          </w:tcPr>
          <w:p w14:paraId="1BE23690"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−0.043***</w:t>
            </w:r>
          </w:p>
        </w:tc>
        <w:tc>
          <w:tcPr>
            <w:tcW w:w="0" w:type="auto"/>
            <w:tcBorders>
              <w:top w:val="nil"/>
              <w:left w:val="nil"/>
              <w:bottom w:val="nil"/>
              <w:right w:val="nil"/>
            </w:tcBorders>
            <w:shd w:val="clear" w:color="auto" w:fill="auto"/>
            <w:hideMark/>
          </w:tcPr>
          <w:p w14:paraId="5053F47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0.005</w:t>
            </w:r>
          </w:p>
        </w:tc>
        <w:tc>
          <w:tcPr>
            <w:tcW w:w="0" w:type="auto"/>
            <w:tcBorders>
              <w:top w:val="nil"/>
              <w:left w:val="nil"/>
              <w:bottom w:val="nil"/>
              <w:right w:val="nil"/>
            </w:tcBorders>
            <w:shd w:val="clear" w:color="auto" w:fill="auto"/>
            <w:hideMark/>
          </w:tcPr>
          <w:p w14:paraId="3FD6AEB5"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0.369***</w:t>
            </w:r>
          </w:p>
        </w:tc>
        <w:tc>
          <w:tcPr>
            <w:tcW w:w="0" w:type="auto"/>
            <w:tcBorders>
              <w:top w:val="nil"/>
              <w:left w:val="nil"/>
              <w:bottom w:val="nil"/>
              <w:right w:val="nil"/>
            </w:tcBorders>
            <w:shd w:val="clear" w:color="auto" w:fill="auto"/>
            <w:hideMark/>
          </w:tcPr>
          <w:p w14:paraId="29F92D0C"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0.301***</w:t>
            </w:r>
          </w:p>
        </w:tc>
        <w:tc>
          <w:tcPr>
            <w:tcW w:w="0" w:type="auto"/>
            <w:tcBorders>
              <w:top w:val="nil"/>
              <w:left w:val="nil"/>
              <w:bottom w:val="nil"/>
              <w:right w:val="nil"/>
            </w:tcBorders>
            <w:shd w:val="clear" w:color="auto" w:fill="auto"/>
          </w:tcPr>
          <w:p w14:paraId="5741F049"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hideMark/>
          </w:tcPr>
          <w:p w14:paraId="17AC12F0"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3F5F42AD" w14:textId="77777777" w:rsidR="00C0131F" w:rsidRPr="009642F7" w:rsidRDefault="00C0131F" w:rsidP="00C0131F">
            <w:pPr>
              <w:snapToGrid w:val="0"/>
              <w:rPr>
                <w:rFonts w:ascii="Times New Roman" w:eastAsia="Times New Roman" w:hAnsi="Times New Roman" w:cs="Times New Roman"/>
                <w:sz w:val="19"/>
                <w:szCs w:val="19"/>
              </w:rPr>
            </w:pPr>
          </w:p>
        </w:tc>
      </w:tr>
      <w:tr w:rsidR="009642F7" w:rsidRPr="009642F7" w14:paraId="0E5BE48C" w14:textId="77777777" w:rsidTr="004D7FCE">
        <w:tc>
          <w:tcPr>
            <w:tcW w:w="0" w:type="auto"/>
            <w:tcBorders>
              <w:top w:val="nil"/>
              <w:left w:val="nil"/>
              <w:bottom w:val="nil"/>
              <w:right w:val="nil"/>
            </w:tcBorders>
            <w:shd w:val="clear" w:color="auto" w:fill="auto"/>
            <w:noWrap/>
            <w:vAlign w:val="center"/>
            <w:hideMark/>
          </w:tcPr>
          <w:p w14:paraId="0BBBC1E8"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BDUAL </w:t>
            </w:r>
          </w:p>
        </w:tc>
        <w:tc>
          <w:tcPr>
            <w:tcW w:w="0" w:type="auto"/>
            <w:tcBorders>
              <w:top w:val="nil"/>
              <w:left w:val="nil"/>
              <w:bottom w:val="nil"/>
              <w:right w:val="nil"/>
            </w:tcBorders>
            <w:shd w:val="clear" w:color="auto" w:fill="auto"/>
            <w:hideMark/>
          </w:tcPr>
          <w:p w14:paraId="3D0AA8D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0.036***</w:t>
            </w:r>
          </w:p>
        </w:tc>
        <w:tc>
          <w:tcPr>
            <w:tcW w:w="0" w:type="auto"/>
            <w:tcBorders>
              <w:top w:val="nil"/>
              <w:left w:val="nil"/>
              <w:bottom w:val="nil"/>
              <w:right w:val="nil"/>
            </w:tcBorders>
            <w:shd w:val="clear" w:color="auto" w:fill="auto"/>
            <w:hideMark/>
          </w:tcPr>
          <w:p w14:paraId="5CFC057D"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0.082***</w:t>
            </w:r>
          </w:p>
        </w:tc>
        <w:tc>
          <w:tcPr>
            <w:tcW w:w="0" w:type="auto"/>
            <w:tcBorders>
              <w:top w:val="nil"/>
              <w:left w:val="nil"/>
              <w:bottom w:val="nil"/>
              <w:right w:val="nil"/>
            </w:tcBorders>
            <w:shd w:val="clear" w:color="auto" w:fill="auto"/>
            <w:hideMark/>
          </w:tcPr>
          <w:p w14:paraId="4B6B6DE4"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0.029***</w:t>
            </w:r>
          </w:p>
        </w:tc>
        <w:tc>
          <w:tcPr>
            <w:tcW w:w="0" w:type="auto"/>
            <w:tcBorders>
              <w:top w:val="nil"/>
              <w:left w:val="nil"/>
              <w:bottom w:val="nil"/>
              <w:right w:val="nil"/>
            </w:tcBorders>
            <w:shd w:val="clear" w:color="auto" w:fill="auto"/>
            <w:noWrap/>
            <w:hideMark/>
          </w:tcPr>
          <w:p w14:paraId="7363A9B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−0.001</w:t>
            </w:r>
          </w:p>
        </w:tc>
        <w:tc>
          <w:tcPr>
            <w:tcW w:w="0" w:type="auto"/>
            <w:tcBorders>
              <w:top w:val="nil"/>
              <w:left w:val="nil"/>
              <w:bottom w:val="nil"/>
              <w:right w:val="nil"/>
            </w:tcBorders>
            <w:shd w:val="clear" w:color="auto" w:fill="auto"/>
            <w:noWrap/>
            <w:hideMark/>
          </w:tcPr>
          <w:p w14:paraId="517345F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−0.029***</w:t>
            </w:r>
          </w:p>
        </w:tc>
        <w:tc>
          <w:tcPr>
            <w:tcW w:w="0" w:type="auto"/>
            <w:tcBorders>
              <w:top w:val="nil"/>
              <w:left w:val="nil"/>
              <w:bottom w:val="nil"/>
              <w:right w:val="nil"/>
            </w:tcBorders>
            <w:shd w:val="clear" w:color="auto" w:fill="auto"/>
            <w:noWrap/>
            <w:hideMark/>
          </w:tcPr>
          <w:p w14:paraId="4E502F9B"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−0.001</w:t>
            </w:r>
          </w:p>
        </w:tc>
        <w:tc>
          <w:tcPr>
            <w:tcW w:w="0" w:type="auto"/>
            <w:tcBorders>
              <w:top w:val="nil"/>
              <w:left w:val="nil"/>
              <w:bottom w:val="nil"/>
              <w:right w:val="nil"/>
            </w:tcBorders>
            <w:shd w:val="clear" w:color="auto" w:fill="auto"/>
            <w:noWrap/>
            <w:hideMark/>
          </w:tcPr>
          <w:p w14:paraId="753F3874"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−0.005</w:t>
            </w:r>
          </w:p>
        </w:tc>
        <w:tc>
          <w:tcPr>
            <w:tcW w:w="0" w:type="auto"/>
            <w:tcBorders>
              <w:top w:val="nil"/>
              <w:left w:val="nil"/>
              <w:bottom w:val="nil"/>
              <w:right w:val="nil"/>
            </w:tcBorders>
            <w:shd w:val="clear" w:color="auto" w:fill="auto"/>
            <w:hideMark/>
          </w:tcPr>
          <w:p w14:paraId="1565B09B"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0.087***</w:t>
            </w:r>
          </w:p>
        </w:tc>
        <w:tc>
          <w:tcPr>
            <w:tcW w:w="0" w:type="auto"/>
            <w:tcBorders>
              <w:top w:val="nil"/>
              <w:left w:val="nil"/>
              <w:bottom w:val="nil"/>
              <w:right w:val="nil"/>
            </w:tcBorders>
            <w:shd w:val="clear" w:color="auto" w:fill="auto"/>
            <w:hideMark/>
          </w:tcPr>
          <w:p w14:paraId="7934E48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0.083***</w:t>
            </w:r>
          </w:p>
        </w:tc>
        <w:tc>
          <w:tcPr>
            <w:tcW w:w="0" w:type="auto"/>
            <w:tcBorders>
              <w:top w:val="nil"/>
              <w:left w:val="nil"/>
              <w:bottom w:val="nil"/>
              <w:right w:val="nil"/>
            </w:tcBorders>
            <w:shd w:val="clear" w:color="auto" w:fill="auto"/>
            <w:noWrap/>
            <w:hideMark/>
          </w:tcPr>
          <w:p w14:paraId="7D2FEE0C"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−0.174***</w:t>
            </w:r>
          </w:p>
        </w:tc>
        <w:tc>
          <w:tcPr>
            <w:tcW w:w="0" w:type="auto"/>
            <w:tcBorders>
              <w:top w:val="nil"/>
              <w:left w:val="nil"/>
              <w:bottom w:val="nil"/>
              <w:right w:val="nil"/>
            </w:tcBorders>
            <w:shd w:val="clear" w:color="auto" w:fill="auto"/>
            <w:noWrap/>
            <w:hideMark/>
          </w:tcPr>
          <w:p w14:paraId="32CC4ED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−0.248***</w:t>
            </w:r>
          </w:p>
        </w:tc>
        <w:tc>
          <w:tcPr>
            <w:tcW w:w="0" w:type="auto"/>
            <w:tcBorders>
              <w:top w:val="nil"/>
              <w:left w:val="nil"/>
              <w:bottom w:val="nil"/>
              <w:right w:val="nil"/>
            </w:tcBorders>
            <w:shd w:val="clear" w:color="auto" w:fill="auto"/>
            <w:noWrap/>
            <w:hideMark/>
          </w:tcPr>
          <w:p w14:paraId="62F9CAD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−0.041***</w:t>
            </w:r>
          </w:p>
        </w:tc>
        <w:tc>
          <w:tcPr>
            <w:tcW w:w="0" w:type="auto"/>
            <w:tcBorders>
              <w:top w:val="nil"/>
              <w:left w:val="nil"/>
              <w:bottom w:val="nil"/>
              <w:right w:val="nil"/>
            </w:tcBorders>
            <w:shd w:val="clear" w:color="auto" w:fill="auto"/>
            <w:noWrap/>
            <w:hideMark/>
          </w:tcPr>
          <w:p w14:paraId="23E7D5E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−0.059***</w:t>
            </w:r>
          </w:p>
        </w:tc>
        <w:tc>
          <w:tcPr>
            <w:tcW w:w="0" w:type="auto"/>
            <w:tcBorders>
              <w:top w:val="nil"/>
              <w:left w:val="nil"/>
              <w:bottom w:val="nil"/>
              <w:right w:val="nil"/>
            </w:tcBorders>
            <w:shd w:val="clear" w:color="auto" w:fill="auto"/>
            <w:hideMark/>
          </w:tcPr>
          <w:p w14:paraId="1004D38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0.044***</w:t>
            </w:r>
          </w:p>
        </w:tc>
        <w:tc>
          <w:tcPr>
            <w:tcW w:w="0" w:type="auto"/>
            <w:tcBorders>
              <w:top w:val="nil"/>
              <w:left w:val="nil"/>
              <w:bottom w:val="nil"/>
              <w:right w:val="nil"/>
            </w:tcBorders>
            <w:shd w:val="clear" w:color="auto" w:fill="auto"/>
          </w:tcPr>
          <w:p w14:paraId="2434DEFB" w14:textId="77777777" w:rsidR="00C0131F" w:rsidRPr="009642F7" w:rsidRDefault="00C0131F" w:rsidP="00C0131F">
            <w:pPr>
              <w:snapToGrid w:val="0"/>
              <w:rPr>
                <w:rFonts w:ascii="Times New Roman" w:hAnsi="Times New Roman" w:cs="Times New Roman"/>
                <w:sz w:val="19"/>
                <w:szCs w:val="19"/>
              </w:rPr>
            </w:pPr>
          </w:p>
        </w:tc>
        <w:tc>
          <w:tcPr>
            <w:tcW w:w="0" w:type="auto"/>
            <w:tcBorders>
              <w:top w:val="nil"/>
              <w:left w:val="nil"/>
              <w:bottom w:val="nil"/>
              <w:right w:val="nil"/>
            </w:tcBorders>
            <w:shd w:val="clear" w:color="auto" w:fill="auto"/>
            <w:noWrap/>
            <w:hideMark/>
          </w:tcPr>
          <w:p w14:paraId="1B5B0858" w14:textId="77777777" w:rsidR="00C0131F" w:rsidRPr="009642F7" w:rsidRDefault="00C0131F" w:rsidP="00C0131F">
            <w:pPr>
              <w:snapToGrid w:val="0"/>
              <w:rPr>
                <w:rFonts w:ascii="Times New Roman" w:hAnsi="Times New Roman" w:cs="Times New Roman"/>
                <w:sz w:val="19"/>
                <w:szCs w:val="19"/>
              </w:rPr>
            </w:pPr>
          </w:p>
        </w:tc>
      </w:tr>
      <w:tr w:rsidR="009642F7" w:rsidRPr="009642F7" w14:paraId="28D5FEA2" w14:textId="77777777" w:rsidTr="004D7FCE">
        <w:tc>
          <w:tcPr>
            <w:tcW w:w="0" w:type="auto"/>
            <w:tcBorders>
              <w:top w:val="nil"/>
              <w:left w:val="nil"/>
              <w:bottom w:val="nil"/>
              <w:right w:val="nil"/>
            </w:tcBorders>
            <w:shd w:val="clear" w:color="auto" w:fill="auto"/>
            <w:noWrap/>
            <w:vAlign w:val="center"/>
            <w:hideMark/>
          </w:tcPr>
          <w:p w14:paraId="765B9AC2"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QFIIO </w:t>
            </w:r>
          </w:p>
        </w:tc>
        <w:tc>
          <w:tcPr>
            <w:tcW w:w="0" w:type="auto"/>
            <w:tcBorders>
              <w:top w:val="nil"/>
              <w:left w:val="nil"/>
              <w:bottom w:val="nil"/>
              <w:right w:val="nil"/>
            </w:tcBorders>
            <w:shd w:val="clear" w:color="auto" w:fill="auto"/>
            <w:hideMark/>
          </w:tcPr>
          <w:p w14:paraId="334D04C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0.005</w:t>
            </w:r>
          </w:p>
        </w:tc>
        <w:tc>
          <w:tcPr>
            <w:tcW w:w="0" w:type="auto"/>
            <w:tcBorders>
              <w:top w:val="nil"/>
              <w:left w:val="nil"/>
              <w:bottom w:val="nil"/>
              <w:right w:val="nil"/>
            </w:tcBorders>
            <w:shd w:val="clear" w:color="auto" w:fill="auto"/>
            <w:hideMark/>
          </w:tcPr>
          <w:p w14:paraId="2CBC38C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0.208***</w:t>
            </w:r>
          </w:p>
        </w:tc>
        <w:tc>
          <w:tcPr>
            <w:tcW w:w="0" w:type="auto"/>
            <w:tcBorders>
              <w:top w:val="nil"/>
              <w:left w:val="nil"/>
              <w:bottom w:val="nil"/>
              <w:right w:val="nil"/>
            </w:tcBorders>
            <w:shd w:val="clear" w:color="auto" w:fill="auto"/>
            <w:hideMark/>
          </w:tcPr>
          <w:p w14:paraId="4BDA1962"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0.104***</w:t>
            </w:r>
          </w:p>
        </w:tc>
        <w:tc>
          <w:tcPr>
            <w:tcW w:w="0" w:type="auto"/>
            <w:tcBorders>
              <w:top w:val="nil"/>
              <w:left w:val="nil"/>
              <w:bottom w:val="nil"/>
              <w:right w:val="nil"/>
            </w:tcBorders>
            <w:shd w:val="clear" w:color="auto" w:fill="auto"/>
            <w:hideMark/>
          </w:tcPr>
          <w:p w14:paraId="090C9334"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0.244***</w:t>
            </w:r>
          </w:p>
        </w:tc>
        <w:tc>
          <w:tcPr>
            <w:tcW w:w="0" w:type="auto"/>
            <w:tcBorders>
              <w:top w:val="nil"/>
              <w:left w:val="nil"/>
              <w:bottom w:val="nil"/>
              <w:right w:val="nil"/>
            </w:tcBorders>
            <w:shd w:val="clear" w:color="auto" w:fill="auto"/>
            <w:hideMark/>
          </w:tcPr>
          <w:p w14:paraId="4277FA1F"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0.136***</w:t>
            </w:r>
          </w:p>
        </w:tc>
        <w:tc>
          <w:tcPr>
            <w:tcW w:w="0" w:type="auto"/>
            <w:tcBorders>
              <w:top w:val="nil"/>
              <w:left w:val="nil"/>
              <w:bottom w:val="nil"/>
              <w:right w:val="nil"/>
            </w:tcBorders>
            <w:shd w:val="clear" w:color="auto" w:fill="auto"/>
            <w:noWrap/>
            <w:hideMark/>
          </w:tcPr>
          <w:p w14:paraId="0FC35500"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−0.006</w:t>
            </w:r>
          </w:p>
        </w:tc>
        <w:tc>
          <w:tcPr>
            <w:tcW w:w="0" w:type="auto"/>
            <w:tcBorders>
              <w:top w:val="nil"/>
              <w:left w:val="nil"/>
              <w:bottom w:val="nil"/>
              <w:right w:val="nil"/>
            </w:tcBorders>
            <w:shd w:val="clear" w:color="auto" w:fill="auto"/>
            <w:hideMark/>
          </w:tcPr>
          <w:p w14:paraId="53A09D64"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0.012**</w:t>
            </w:r>
          </w:p>
        </w:tc>
        <w:tc>
          <w:tcPr>
            <w:tcW w:w="0" w:type="auto"/>
            <w:tcBorders>
              <w:top w:val="nil"/>
              <w:left w:val="nil"/>
              <w:bottom w:val="nil"/>
              <w:right w:val="nil"/>
            </w:tcBorders>
            <w:shd w:val="clear" w:color="auto" w:fill="auto"/>
            <w:hideMark/>
          </w:tcPr>
          <w:p w14:paraId="53C2EE9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0.176***</w:t>
            </w:r>
          </w:p>
        </w:tc>
        <w:tc>
          <w:tcPr>
            <w:tcW w:w="0" w:type="auto"/>
            <w:tcBorders>
              <w:top w:val="nil"/>
              <w:left w:val="nil"/>
              <w:bottom w:val="nil"/>
              <w:right w:val="nil"/>
            </w:tcBorders>
            <w:shd w:val="clear" w:color="auto" w:fill="auto"/>
            <w:hideMark/>
          </w:tcPr>
          <w:p w14:paraId="78486BA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0.063***</w:t>
            </w:r>
          </w:p>
        </w:tc>
        <w:tc>
          <w:tcPr>
            <w:tcW w:w="0" w:type="auto"/>
            <w:tcBorders>
              <w:top w:val="nil"/>
              <w:left w:val="nil"/>
              <w:bottom w:val="nil"/>
              <w:right w:val="nil"/>
            </w:tcBorders>
            <w:shd w:val="clear" w:color="auto" w:fill="auto"/>
            <w:hideMark/>
          </w:tcPr>
          <w:p w14:paraId="0D56BA1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0.022***</w:t>
            </w:r>
          </w:p>
        </w:tc>
        <w:tc>
          <w:tcPr>
            <w:tcW w:w="0" w:type="auto"/>
            <w:tcBorders>
              <w:top w:val="nil"/>
              <w:left w:val="nil"/>
              <w:bottom w:val="nil"/>
              <w:right w:val="nil"/>
            </w:tcBorders>
            <w:shd w:val="clear" w:color="auto" w:fill="auto"/>
            <w:hideMark/>
          </w:tcPr>
          <w:p w14:paraId="532EB94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0.188***</w:t>
            </w:r>
          </w:p>
        </w:tc>
        <w:tc>
          <w:tcPr>
            <w:tcW w:w="0" w:type="auto"/>
            <w:tcBorders>
              <w:top w:val="nil"/>
              <w:left w:val="nil"/>
              <w:bottom w:val="nil"/>
              <w:right w:val="nil"/>
            </w:tcBorders>
            <w:shd w:val="clear" w:color="auto" w:fill="auto"/>
            <w:hideMark/>
          </w:tcPr>
          <w:p w14:paraId="4286FBB0"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0.016***</w:t>
            </w:r>
          </w:p>
        </w:tc>
        <w:tc>
          <w:tcPr>
            <w:tcW w:w="0" w:type="auto"/>
            <w:tcBorders>
              <w:top w:val="nil"/>
              <w:left w:val="nil"/>
              <w:bottom w:val="nil"/>
              <w:right w:val="nil"/>
            </w:tcBorders>
            <w:shd w:val="clear" w:color="auto" w:fill="auto"/>
            <w:hideMark/>
          </w:tcPr>
          <w:p w14:paraId="4F72646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0.146***</w:t>
            </w:r>
          </w:p>
        </w:tc>
        <w:tc>
          <w:tcPr>
            <w:tcW w:w="0" w:type="auto"/>
            <w:tcBorders>
              <w:top w:val="nil"/>
              <w:left w:val="nil"/>
              <w:bottom w:val="nil"/>
              <w:right w:val="nil"/>
            </w:tcBorders>
            <w:shd w:val="clear" w:color="auto" w:fill="auto"/>
            <w:noWrap/>
            <w:hideMark/>
          </w:tcPr>
          <w:p w14:paraId="7283B377"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−0.015**</w:t>
            </w:r>
          </w:p>
        </w:tc>
        <w:tc>
          <w:tcPr>
            <w:tcW w:w="0" w:type="auto"/>
            <w:tcBorders>
              <w:top w:val="nil"/>
              <w:left w:val="nil"/>
              <w:bottom w:val="nil"/>
              <w:right w:val="nil"/>
            </w:tcBorders>
            <w:shd w:val="clear" w:color="auto" w:fill="auto"/>
            <w:noWrap/>
            <w:hideMark/>
          </w:tcPr>
          <w:p w14:paraId="4188BE7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−0.019***</w:t>
            </w:r>
          </w:p>
        </w:tc>
        <w:tc>
          <w:tcPr>
            <w:tcW w:w="0" w:type="auto"/>
            <w:tcBorders>
              <w:top w:val="nil"/>
              <w:left w:val="nil"/>
              <w:bottom w:val="nil"/>
              <w:right w:val="nil"/>
            </w:tcBorders>
            <w:shd w:val="clear" w:color="auto" w:fill="auto"/>
          </w:tcPr>
          <w:p w14:paraId="35FF93CD" w14:textId="77777777" w:rsidR="00C0131F" w:rsidRPr="009642F7" w:rsidRDefault="00C0131F" w:rsidP="00C0131F">
            <w:pPr>
              <w:snapToGrid w:val="0"/>
              <w:rPr>
                <w:rFonts w:ascii="Times New Roman" w:hAnsi="Times New Roman" w:cs="Times New Roman"/>
                <w:sz w:val="19"/>
                <w:szCs w:val="19"/>
              </w:rPr>
            </w:pPr>
          </w:p>
        </w:tc>
      </w:tr>
      <w:tr w:rsidR="00C0131F" w:rsidRPr="009642F7" w14:paraId="2C95CE77" w14:textId="77777777" w:rsidTr="004D7FCE">
        <w:tc>
          <w:tcPr>
            <w:tcW w:w="0" w:type="auto"/>
            <w:tcBorders>
              <w:top w:val="nil"/>
              <w:left w:val="nil"/>
              <w:bottom w:val="single" w:sz="4" w:space="0" w:color="auto"/>
              <w:right w:val="nil"/>
            </w:tcBorders>
            <w:shd w:val="clear" w:color="auto" w:fill="auto"/>
            <w:noWrap/>
            <w:vAlign w:val="center"/>
            <w:hideMark/>
          </w:tcPr>
          <w:p w14:paraId="34965A8E" w14:textId="77777777" w:rsidR="00C0131F" w:rsidRPr="009642F7" w:rsidRDefault="00C0131F" w:rsidP="00C0131F">
            <w:pPr>
              <w:snapToGrid w:val="0"/>
              <w:rPr>
                <w:rFonts w:ascii="Times New Roman" w:hAnsi="Times New Roman" w:cs="Times New Roman"/>
                <w:i/>
                <w:iCs/>
                <w:sz w:val="19"/>
                <w:szCs w:val="19"/>
              </w:rPr>
            </w:pPr>
            <w:r w:rsidRPr="009642F7">
              <w:rPr>
                <w:rFonts w:ascii="Times New Roman" w:hAnsi="Times New Roman" w:cs="Times New Roman"/>
                <w:i/>
                <w:iCs/>
                <w:sz w:val="19"/>
                <w:szCs w:val="19"/>
              </w:rPr>
              <w:t xml:space="preserve">XDOI </w:t>
            </w:r>
          </w:p>
        </w:tc>
        <w:tc>
          <w:tcPr>
            <w:tcW w:w="0" w:type="auto"/>
            <w:tcBorders>
              <w:top w:val="nil"/>
              <w:left w:val="nil"/>
              <w:bottom w:val="single" w:sz="4" w:space="0" w:color="auto"/>
              <w:right w:val="nil"/>
            </w:tcBorders>
            <w:shd w:val="clear" w:color="auto" w:fill="auto"/>
            <w:noWrap/>
            <w:hideMark/>
          </w:tcPr>
          <w:p w14:paraId="071CBAED"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−0.004</w:t>
            </w:r>
          </w:p>
        </w:tc>
        <w:tc>
          <w:tcPr>
            <w:tcW w:w="0" w:type="auto"/>
            <w:tcBorders>
              <w:top w:val="nil"/>
              <w:left w:val="nil"/>
              <w:bottom w:val="single" w:sz="4" w:space="0" w:color="auto"/>
              <w:right w:val="nil"/>
            </w:tcBorders>
            <w:shd w:val="clear" w:color="auto" w:fill="auto"/>
            <w:hideMark/>
          </w:tcPr>
          <w:p w14:paraId="743BD88E"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0.027***</w:t>
            </w:r>
          </w:p>
        </w:tc>
        <w:tc>
          <w:tcPr>
            <w:tcW w:w="0" w:type="auto"/>
            <w:tcBorders>
              <w:top w:val="nil"/>
              <w:left w:val="nil"/>
              <w:bottom w:val="single" w:sz="4" w:space="0" w:color="auto"/>
              <w:right w:val="nil"/>
            </w:tcBorders>
            <w:shd w:val="clear" w:color="auto" w:fill="auto"/>
            <w:hideMark/>
          </w:tcPr>
          <w:p w14:paraId="36EFC436"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0.053***</w:t>
            </w:r>
          </w:p>
        </w:tc>
        <w:tc>
          <w:tcPr>
            <w:tcW w:w="0" w:type="auto"/>
            <w:tcBorders>
              <w:top w:val="nil"/>
              <w:left w:val="nil"/>
              <w:bottom w:val="single" w:sz="4" w:space="0" w:color="auto"/>
              <w:right w:val="nil"/>
            </w:tcBorders>
            <w:shd w:val="clear" w:color="auto" w:fill="auto"/>
            <w:hideMark/>
          </w:tcPr>
          <w:p w14:paraId="27471293"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0.063***</w:t>
            </w:r>
          </w:p>
        </w:tc>
        <w:tc>
          <w:tcPr>
            <w:tcW w:w="0" w:type="auto"/>
            <w:tcBorders>
              <w:top w:val="nil"/>
              <w:left w:val="nil"/>
              <w:bottom w:val="single" w:sz="4" w:space="0" w:color="auto"/>
              <w:right w:val="nil"/>
            </w:tcBorders>
            <w:shd w:val="clear" w:color="auto" w:fill="auto"/>
            <w:hideMark/>
          </w:tcPr>
          <w:p w14:paraId="6CA06BC3"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0.019***</w:t>
            </w:r>
          </w:p>
        </w:tc>
        <w:tc>
          <w:tcPr>
            <w:tcW w:w="0" w:type="auto"/>
            <w:tcBorders>
              <w:top w:val="nil"/>
              <w:left w:val="nil"/>
              <w:bottom w:val="single" w:sz="4" w:space="0" w:color="auto"/>
              <w:right w:val="nil"/>
            </w:tcBorders>
            <w:shd w:val="clear" w:color="auto" w:fill="auto"/>
            <w:noWrap/>
            <w:hideMark/>
          </w:tcPr>
          <w:p w14:paraId="61531A4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−0.010*</w:t>
            </w:r>
          </w:p>
        </w:tc>
        <w:tc>
          <w:tcPr>
            <w:tcW w:w="0" w:type="auto"/>
            <w:tcBorders>
              <w:top w:val="nil"/>
              <w:left w:val="nil"/>
              <w:bottom w:val="single" w:sz="4" w:space="0" w:color="auto"/>
              <w:right w:val="nil"/>
            </w:tcBorders>
            <w:shd w:val="clear" w:color="auto" w:fill="auto"/>
            <w:noWrap/>
            <w:hideMark/>
          </w:tcPr>
          <w:p w14:paraId="4C246BDD"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−0.008</w:t>
            </w:r>
          </w:p>
        </w:tc>
        <w:tc>
          <w:tcPr>
            <w:tcW w:w="0" w:type="auto"/>
            <w:tcBorders>
              <w:top w:val="nil"/>
              <w:left w:val="nil"/>
              <w:bottom w:val="single" w:sz="4" w:space="0" w:color="auto"/>
              <w:right w:val="nil"/>
            </w:tcBorders>
            <w:shd w:val="clear" w:color="auto" w:fill="auto"/>
            <w:noWrap/>
            <w:hideMark/>
          </w:tcPr>
          <w:p w14:paraId="2C4AD51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−0.013**</w:t>
            </w:r>
          </w:p>
        </w:tc>
        <w:tc>
          <w:tcPr>
            <w:tcW w:w="0" w:type="auto"/>
            <w:tcBorders>
              <w:top w:val="nil"/>
              <w:left w:val="nil"/>
              <w:bottom w:val="single" w:sz="4" w:space="0" w:color="auto"/>
              <w:right w:val="nil"/>
            </w:tcBorders>
            <w:shd w:val="clear" w:color="auto" w:fill="auto"/>
            <w:noWrap/>
            <w:hideMark/>
          </w:tcPr>
          <w:p w14:paraId="4DDE1BCA"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−0.002</w:t>
            </w:r>
          </w:p>
        </w:tc>
        <w:tc>
          <w:tcPr>
            <w:tcW w:w="0" w:type="auto"/>
            <w:tcBorders>
              <w:top w:val="nil"/>
              <w:left w:val="nil"/>
              <w:bottom w:val="single" w:sz="4" w:space="0" w:color="auto"/>
              <w:right w:val="nil"/>
            </w:tcBorders>
            <w:shd w:val="clear" w:color="auto" w:fill="auto"/>
            <w:noWrap/>
            <w:hideMark/>
          </w:tcPr>
          <w:p w14:paraId="5CDCE9F3"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−0.003</w:t>
            </w:r>
          </w:p>
        </w:tc>
        <w:tc>
          <w:tcPr>
            <w:tcW w:w="0" w:type="auto"/>
            <w:tcBorders>
              <w:top w:val="nil"/>
              <w:left w:val="nil"/>
              <w:bottom w:val="single" w:sz="4" w:space="0" w:color="auto"/>
              <w:right w:val="nil"/>
            </w:tcBorders>
            <w:shd w:val="clear" w:color="auto" w:fill="auto"/>
            <w:hideMark/>
          </w:tcPr>
          <w:p w14:paraId="2207F9C1"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0.008</w:t>
            </w:r>
          </w:p>
        </w:tc>
        <w:tc>
          <w:tcPr>
            <w:tcW w:w="0" w:type="auto"/>
            <w:tcBorders>
              <w:top w:val="nil"/>
              <w:left w:val="nil"/>
              <w:bottom w:val="single" w:sz="4" w:space="0" w:color="auto"/>
              <w:right w:val="nil"/>
            </w:tcBorders>
            <w:shd w:val="clear" w:color="auto" w:fill="auto"/>
            <w:hideMark/>
          </w:tcPr>
          <w:p w14:paraId="270518DD"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0.009</w:t>
            </w:r>
          </w:p>
        </w:tc>
        <w:tc>
          <w:tcPr>
            <w:tcW w:w="0" w:type="auto"/>
            <w:tcBorders>
              <w:top w:val="nil"/>
              <w:left w:val="nil"/>
              <w:bottom w:val="single" w:sz="4" w:space="0" w:color="auto"/>
              <w:right w:val="nil"/>
            </w:tcBorders>
            <w:shd w:val="clear" w:color="auto" w:fill="auto"/>
            <w:hideMark/>
          </w:tcPr>
          <w:p w14:paraId="09978F29"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0.005</w:t>
            </w:r>
          </w:p>
        </w:tc>
        <w:tc>
          <w:tcPr>
            <w:tcW w:w="0" w:type="auto"/>
            <w:tcBorders>
              <w:top w:val="nil"/>
              <w:left w:val="nil"/>
              <w:bottom w:val="single" w:sz="4" w:space="0" w:color="auto"/>
              <w:right w:val="nil"/>
            </w:tcBorders>
            <w:shd w:val="clear" w:color="auto" w:fill="auto"/>
            <w:noWrap/>
            <w:hideMark/>
          </w:tcPr>
          <w:p w14:paraId="165BC634"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−0.005</w:t>
            </w:r>
          </w:p>
        </w:tc>
        <w:tc>
          <w:tcPr>
            <w:tcW w:w="0" w:type="auto"/>
            <w:tcBorders>
              <w:top w:val="nil"/>
              <w:left w:val="nil"/>
              <w:bottom w:val="single" w:sz="4" w:space="0" w:color="auto"/>
              <w:right w:val="nil"/>
            </w:tcBorders>
            <w:shd w:val="clear" w:color="auto" w:fill="auto"/>
            <w:noWrap/>
            <w:hideMark/>
          </w:tcPr>
          <w:p w14:paraId="59CF761B"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−0.002</w:t>
            </w:r>
          </w:p>
        </w:tc>
        <w:tc>
          <w:tcPr>
            <w:tcW w:w="0" w:type="auto"/>
            <w:tcBorders>
              <w:top w:val="nil"/>
              <w:left w:val="nil"/>
              <w:bottom w:val="single" w:sz="4" w:space="0" w:color="auto"/>
              <w:right w:val="nil"/>
            </w:tcBorders>
            <w:shd w:val="clear" w:color="auto" w:fill="auto"/>
            <w:hideMark/>
          </w:tcPr>
          <w:p w14:paraId="06F2D303" w14:textId="77777777" w:rsidR="00C0131F" w:rsidRPr="009642F7" w:rsidRDefault="00C0131F" w:rsidP="00C0131F">
            <w:pPr>
              <w:snapToGrid w:val="0"/>
              <w:rPr>
                <w:rFonts w:ascii="Times New Roman" w:hAnsi="Times New Roman" w:cs="Times New Roman"/>
                <w:sz w:val="19"/>
                <w:szCs w:val="19"/>
              </w:rPr>
            </w:pPr>
            <w:r w:rsidRPr="009642F7">
              <w:rPr>
                <w:rFonts w:ascii="Times New Roman" w:hAnsi="Times New Roman" w:cs="Times New Roman"/>
                <w:sz w:val="19"/>
                <w:szCs w:val="19"/>
              </w:rPr>
              <w:t>0.044***</w:t>
            </w:r>
          </w:p>
        </w:tc>
      </w:tr>
    </w:tbl>
    <w:p w14:paraId="0A1E83CD" w14:textId="77777777" w:rsidR="00C0131F" w:rsidRPr="009642F7" w:rsidRDefault="00C0131F">
      <w:pPr>
        <w:rPr>
          <w:rFonts w:ascii="Times New Roman" w:hAnsi="Times New Roman" w:cs="Times New Roman"/>
        </w:rPr>
      </w:pPr>
    </w:p>
    <w:p w14:paraId="4FB2F769" w14:textId="77777777" w:rsidR="007F6A7A" w:rsidRPr="009642F7" w:rsidRDefault="007F6A7A">
      <w:pPr>
        <w:rPr>
          <w:rFonts w:ascii="Times New Roman" w:hAnsi="Times New Roman" w:cs="Times New Roman"/>
        </w:rPr>
      </w:pPr>
    </w:p>
    <w:p w14:paraId="1FCA49DE" w14:textId="77777777" w:rsidR="006E0C73" w:rsidRPr="009642F7" w:rsidRDefault="006E0C73">
      <w:pPr>
        <w:rPr>
          <w:rFonts w:ascii="Times New Roman" w:hAnsi="Times New Roman" w:cs="Times New Roman"/>
        </w:rPr>
      </w:pPr>
    </w:p>
    <w:p w14:paraId="2E809182" w14:textId="77777777" w:rsidR="006E0C73" w:rsidRPr="009642F7" w:rsidRDefault="006E0C73">
      <w:pPr>
        <w:rPr>
          <w:rFonts w:ascii="Times New Roman" w:hAnsi="Times New Roman" w:cs="Times New Roman"/>
        </w:rPr>
      </w:pPr>
    </w:p>
    <w:p w14:paraId="155AE320" w14:textId="77777777" w:rsidR="006E0C73" w:rsidRPr="009642F7" w:rsidRDefault="006E0C73">
      <w:pPr>
        <w:rPr>
          <w:rFonts w:ascii="Times New Roman" w:hAnsi="Times New Roman" w:cs="Times New Roman"/>
        </w:rPr>
      </w:pPr>
    </w:p>
    <w:p w14:paraId="5AC7ED42" w14:textId="77777777" w:rsidR="006E0C73" w:rsidRPr="009642F7" w:rsidRDefault="006E0C73">
      <w:pPr>
        <w:rPr>
          <w:rFonts w:ascii="Times New Roman" w:hAnsi="Times New Roman" w:cs="Times New Roman"/>
        </w:rPr>
        <w:sectPr w:rsidR="006E0C73" w:rsidRPr="009642F7" w:rsidSect="004F160F">
          <w:pgSz w:w="16838" w:h="11906" w:orient="landscape"/>
          <w:pgMar w:top="1134" w:right="1134" w:bottom="1134" w:left="1134" w:header="851" w:footer="992" w:gutter="0"/>
          <w:cols w:space="425"/>
          <w:docGrid w:type="linesAndChars" w:linePitch="360"/>
        </w:sectPr>
      </w:pPr>
      <w:r w:rsidRPr="009642F7">
        <w:rPr>
          <w:rFonts w:ascii="Times New Roman" w:hAnsi="Times New Roman" w:cs="Times New Roman"/>
        </w:rPr>
        <w:br w:type="page"/>
      </w:r>
    </w:p>
    <w:tbl>
      <w:tblPr>
        <w:tblW w:w="5000" w:type="pct"/>
        <w:tblCellMar>
          <w:left w:w="28" w:type="dxa"/>
          <w:right w:w="28" w:type="dxa"/>
        </w:tblCellMar>
        <w:tblLook w:val="04A0" w:firstRow="1" w:lastRow="0" w:firstColumn="1" w:lastColumn="0" w:noHBand="0" w:noVBand="1"/>
      </w:tblPr>
      <w:tblGrid>
        <w:gridCol w:w="1741"/>
        <w:gridCol w:w="1318"/>
        <w:gridCol w:w="1318"/>
        <w:gridCol w:w="1318"/>
        <w:gridCol w:w="1318"/>
        <w:gridCol w:w="1316"/>
        <w:gridCol w:w="1309"/>
      </w:tblGrid>
      <w:tr w:rsidR="009642F7" w:rsidRPr="009642F7" w14:paraId="5E9A622E" w14:textId="77777777" w:rsidTr="0044245A">
        <w:trPr>
          <w:trHeight w:val="330"/>
        </w:trPr>
        <w:tc>
          <w:tcPr>
            <w:tcW w:w="5000" w:type="pct"/>
            <w:gridSpan w:val="7"/>
            <w:tcBorders>
              <w:top w:val="nil"/>
              <w:left w:val="nil"/>
              <w:bottom w:val="single" w:sz="4" w:space="0" w:color="auto"/>
              <w:right w:val="nil"/>
            </w:tcBorders>
            <w:shd w:val="clear" w:color="auto" w:fill="auto"/>
            <w:noWrap/>
            <w:vAlign w:val="center"/>
          </w:tcPr>
          <w:p w14:paraId="42E5E461" w14:textId="77777777" w:rsidR="00D85914" w:rsidRPr="009642F7" w:rsidRDefault="00D85914" w:rsidP="0044245A">
            <w:pPr>
              <w:snapToGrid w:val="0"/>
              <w:jc w:val="center"/>
              <w:rPr>
                <w:rFonts w:ascii="Times New Roman" w:hAnsi="Times New Roman" w:cs="Times New Roman"/>
                <w:b/>
              </w:rPr>
            </w:pPr>
            <w:r w:rsidRPr="009642F7">
              <w:rPr>
                <w:rFonts w:ascii="Times New Roman" w:hAnsi="Times New Roman" w:cs="Times New Roman"/>
                <w:b/>
              </w:rPr>
              <w:lastRenderedPageBreak/>
              <w:t>Table 3. Media Coverage and the Incidence of Financial Restatements</w:t>
            </w:r>
            <w:r w:rsidR="00B31A24" w:rsidRPr="009642F7">
              <w:rPr>
                <w:rFonts w:ascii="Times New Roman" w:hAnsi="Times New Roman" w:cs="Times New Roman"/>
                <w:b/>
              </w:rPr>
              <w:t>: Univariate Analysis</w:t>
            </w:r>
          </w:p>
          <w:p w14:paraId="08772A31" w14:textId="77777777" w:rsidR="00D85914" w:rsidRPr="009642F7" w:rsidRDefault="00D85914" w:rsidP="0044245A">
            <w:pPr>
              <w:snapToGrid w:val="0"/>
              <w:jc w:val="both"/>
              <w:rPr>
                <w:rFonts w:ascii="Times New Roman" w:hAnsi="Times New Roman" w:cs="Times New Roman"/>
              </w:rPr>
            </w:pPr>
            <w:r w:rsidRPr="009642F7">
              <w:rPr>
                <w:rFonts w:ascii="Times New Roman" w:hAnsi="Times New Roman" w:cs="Times New Roman"/>
              </w:rPr>
              <w:t>This table reports</w:t>
            </w:r>
            <w:r w:rsidRPr="009642F7">
              <w:rPr>
                <w:rFonts w:ascii="Times New Roman" w:hAnsi="Times New Roman" w:cs="Times New Roman"/>
                <w:bCs/>
                <w:noProof/>
              </w:rPr>
              <w:t xml:space="preserve"> </w:t>
            </w:r>
            <w:r w:rsidRPr="009642F7">
              <w:rPr>
                <w:rFonts w:ascii="Times New Roman" w:hAnsi="Times New Roman" w:cs="Times New Roman"/>
              </w:rPr>
              <w:t>the incidence of financial restatements (</w:t>
            </w:r>
            <w:r w:rsidRPr="009642F7">
              <w:rPr>
                <w:rFonts w:ascii="Times New Roman" w:hAnsi="Times New Roman" w:cs="Times New Roman"/>
                <w:i/>
              </w:rPr>
              <w:t>Restat</w:t>
            </w:r>
            <w:r w:rsidRPr="009642F7">
              <w:rPr>
                <w:rFonts w:ascii="Times New Roman" w:hAnsi="Times New Roman" w:cs="Times New Roman"/>
              </w:rPr>
              <w:t>)</w:t>
            </w:r>
            <w:r w:rsidRPr="009642F7">
              <w:rPr>
                <w:rFonts w:ascii="Times New Roman" w:hAnsi="Times New Roman" w:cs="Times New Roman"/>
                <w:bCs/>
                <w:noProof/>
              </w:rPr>
              <w:t xml:space="preserve"> in each media coverage (</w:t>
            </w:r>
            <w:r w:rsidRPr="009642F7">
              <w:rPr>
                <w:rFonts w:ascii="Times New Roman" w:hAnsi="Times New Roman" w:cs="Times New Roman"/>
                <w:bCs/>
                <w:i/>
                <w:noProof/>
              </w:rPr>
              <w:t>Media</w:t>
            </w:r>
            <w:r w:rsidRPr="009642F7">
              <w:rPr>
                <w:rFonts w:ascii="Times New Roman" w:hAnsi="Times New Roman" w:cs="Times New Roman"/>
                <w:bCs/>
                <w:noProof/>
              </w:rPr>
              <w:t>)</w:t>
            </w:r>
            <w:r w:rsidRPr="009642F7">
              <w:rPr>
                <w:rFonts w:ascii="Times New Roman" w:hAnsi="Times New Roman" w:cs="Times New Roman"/>
                <w:noProof/>
              </w:rPr>
              <w:t xml:space="preserve"> </w:t>
            </w:r>
            <w:r w:rsidRPr="009642F7">
              <w:rPr>
                <w:rFonts w:ascii="Times New Roman" w:hAnsi="Times New Roman" w:cs="Times New Roman"/>
                <w:bCs/>
                <w:noProof/>
              </w:rPr>
              <w:t xml:space="preserve">quintile portfolio. </w:t>
            </w:r>
            <w:r w:rsidR="00266B34" w:rsidRPr="009642F7">
              <w:rPr>
                <w:rFonts w:ascii="Times New Roman" w:hAnsi="Times New Roman" w:cs="Times New Roman"/>
                <w:noProof/>
                <w:szCs w:val="21"/>
              </w:rPr>
              <w:t>Our</w:t>
            </w:r>
            <w:r w:rsidRPr="009642F7">
              <w:rPr>
                <w:rFonts w:ascii="Times New Roman" w:hAnsi="Times New Roman" w:cs="Times New Roman"/>
                <w:noProof/>
                <w:szCs w:val="21"/>
              </w:rPr>
              <w:t xml:space="preserve"> sample contains the TWSE/TPEx stocks </w:t>
            </w:r>
            <w:r w:rsidR="00EE6567" w:rsidRPr="009642F7">
              <w:rPr>
                <w:rFonts w:ascii="Times New Roman" w:hAnsi="Times New Roman" w:cs="Times New Roman"/>
                <w:noProof/>
                <w:szCs w:val="21"/>
              </w:rPr>
              <w:t xml:space="preserve">during the period of </w:t>
            </w:r>
            <w:r w:rsidR="0044245A" w:rsidRPr="009642F7">
              <w:rPr>
                <w:rFonts w:ascii="Times New Roman" w:hAnsi="Times New Roman" w:cs="Times New Roman"/>
                <w:noProof/>
                <w:szCs w:val="21"/>
              </w:rPr>
              <w:t>2000</w:t>
            </w:r>
            <w:r w:rsidR="00EE6567" w:rsidRPr="009642F7">
              <w:rPr>
                <w:rFonts w:ascii="Times New Roman" w:hAnsi="Times New Roman" w:cs="Times New Roman"/>
                <w:bCs/>
                <w:noProof/>
              </w:rPr>
              <w:t>−</w:t>
            </w:r>
            <w:r w:rsidR="00EE6567" w:rsidRPr="009642F7">
              <w:rPr>
                <w:rFonts w:ascii="Times New Roman" w:hAnsi="Times New Roman" w:cs="Times New Roman"/>
                <w:noProof/>
                <w:szCs w:val="21"/>
              </w:rPr>
              <w:t xml:space="preserve">2021. </w:t>
            </w:r>
            <w:r w:rsidRPr="009642F7">
              <w:rPr>
                <w:rFonts w:ascii="Times New Roman" w:hAnsi="Times New Roman" w:cs="Times New Roman"/>
                <w:bCs/>
                <w:noProof/>
              </w:rPr>
              <w:t>S</w:t>
            </w:r>
            <w:r w:rsidRPr="009642F7">
              <w:rPr>
                <w:rFonts w:ascii="Times New Roman" w:hAnsi="Times New Roman" w:cs="Times New Roman"/>
                <w:noProof/>
              </w:rPr>
              <w:t xml:space="preserve">tocks in financial industries (two-digit industrial </w:t>
            </w:r>
            <w:r w:rsidRPr="009642F7">
              <w:rPr>
                <w:rFonts w:ascii="Times New Roman" w:hAnsi="Times New Roman" w:cs="Times New Roman"/>
                <w:noProof/>
                <w:shd w:val="clear" w:color="auto" w:fill="FFFFFF"/>
              </w:rPr>
              <w:t>codes</w:t>
            </w:r>
            <w:r w:rsidRPr="009642F7">
              <w:rPr>
                <w:rFonts w:ascii="Times New Roman" w:hAnsi="Times New Roman" w:cs="Times New Roman"/>
                <w:noProof/>
              </w:rPr>
              <w:t xml:space="preserve"> 28, 58, and 60) are </w:t>
            </w:r>
            <w:r w:rsidR="00EE6567" w:rsidRPr="009642F7">
              <w:rPr>
                <w:rFonts w:ascii="Times New Roman" w:hAnsi="Times New Roman" w:cs="Times New Roman"/>
                <w:noProof/>
              </w:rPr>
              <w:t>deleted</w:t>
            </w:r>
            <w:r w:rsidRPr="009642F7">
              <w:rPr>
                <w:rFonts w:ascii="Times New Roman" w:hAnsi="Times New Roman" w:cs="Times New Roman"/>
                <w:noProof/>
              </w:rPr>
              <w:t xml:space="preserve">. </w:t>
            </w:r>
            <w:r w:rsidR="00EE6567" w:rsidRPr="009642F7">
              <w:rPr>
                <w:rFonts w:ascii="Times New Roman" w:hAnsi="Times New Roman" w:cs="Times New Roman"/>
                <w:noProof/>
              </w:rPr>
              <w:t>For</w:t>
            </w:r>
            <w:r w:rsidRPr="009642F7">
              <w:rPr>
                <w:rFonts w:ascii="Times New Roman" w:hAnsi="Times New Roman" w:cs="Times New Roman"/>
                <w:bCs/>
                <w:noProof/>
              </w:rPr>
              <w:t xml:space="preserve"> each </w:t>
            </w:r>
            <w:r w:rsidR="00EE6567" w:rsidRPr="009642F7">
              <w:rPr>
                <w:rFonts w:ascii="Times New Roman" w:hAnsi="Times New Roman" w:cs="Times New Roman"/>
                <w:bCs/>
                <w:noProof/>
              </w:rPr>
              <w:t xml:space="preserve">sample </w:t>
            </w:r>
            <w:r w:rsidRPr="009642F7">
              <w:rPr>
                <w:rFonts w:ascii="Times New Roman" w:hAnsi="Times New Roman" w:cs="Times New Roman"/>
                <w:bCs/>
                <w:noProof/>
              </w:rPr>
              <w:t xml:space="preserve">year, sample stocks are allocated into </w:t>
            </w:r>
            <w:r w:rsidR="00EE6567" w:rsidRPr="009642F7">
              <w:rPr>
                <w:rFonts w:ascii="Times New Roman" w:hAnsi="Times New Roman" w:cs="Times New Roman"/>
                <w:bCs/>
                <w:noProof/>
              </w:rPr>
              <w:t xml:space="preserve">quintiles </w:t>
            </w:r>
            <w:r w:rsidRPr="009642F7">
              <w:rPr>
                <w:rFonts w:ascii="Times New Roman" w:hAnsi="Times New Roman" w:cs="Times New Roman"/>
                <w:bCs/>
                <w:noProof/>
              </w:rPr>
              <w:t xml:space="preserve">according to their </w:t>
            </w:r>
            <w:r w:rsidR="00EE6567" w:rsidRPr="009642F7">
              <w:rPr>
                <w:rFonts w:ascii="Times New Roman" w:hAnsi="Times New Roman" w:cs="Times New Roman"/>
                <w:bCs/>
                <w:i/>
                <w:noProof/>
              </w:rPr>
              <w:t>Media</w:t>
            </w:r>
            <w:r w:rsidRPr="009642F7">
              <w:rPr>
                <w:rFonts w:ascii="Times New Roman" w:hAnsi="Times New Roman" w:cs="Times New Roman"/>
                <w:noProof/>
              </w:rPr>
              <w:t xml:space="preserve"> in year </w:t>
            </w:r>
            <w:r w:rsidRPr="009642F7">
              <w:rPr>
                <w:rFonts w:ascii="Times New Roman" w:hAnsi="Times New Roman" w:cs="Times New Roman"/>
                <w:i/>
                <w:iCs/>
                <w:noProof/>
              </w:rPr>
              <w:t>t</w:t>
            </w:r>
            <w:r w:rsidRPr="009642F7">
              <w:rPr>
                <w:rFonts w:ascii="Times New Roman" w:hAnsi="Times New Roman" w:cs="Times New Roman"/>
                <w:noProof/>
              </w:rPr>
              <w:t>–</w:t>
            </w:r>
            <w:r w:rsidR="0089024A" w:rsidRPr="009642F7">
              <w:rPr>
                <w:rFonts w:ascii="Times New Roman" w:hAnsi="Times New Roman" w:cs="Times New Roman"/>
                <w:i/>
                <w:noProof/>
              </w:rPr>
              <w:t>n</w:t>
            </w:r>
            <w:r w:rsidRPr="009642F7">
              <w:rPr>
                <w:rFonts w:ascii="Times New Roman" w:hAnsi="Times New Roman" w:cs="Times New Roman"/>
                <w:noProof/>
              </w:rPr>
              <w:t>.</w:t>
            </w:r>
            <w:r w:rsidR="00EE6567" w:rsidRPr="009642F7">
              <w:rPr>
                <w:rFonts w:ascii="Times New Roman" w:hAnsi="Times New Roman" w:cs="Times New Roman"/>
                <w:noProof/>
              </w:rPr>
              <w:t xml:space="preserve"> Averages of</w:t>
            </w:r>
            <w:r w:rsidR="0044245A" w:rsidRPr="009642F7">
              <w:rPr>
                <w:rFonts w:ascii="Times New Roman" w:hAnsi="Times New Roman" w:cs="Times New Roman"/>
                <w:i/>
              </w:rPr>
              <w:t xml:space="preserve"> Media </w:t>
            </w:r>
            <w:r w:rsidR="0044245A" w:rsidRPr="009642F7">
              <w:rPr>
                <w:rFonts w:ascii="Times New Roman" w:hAnsi="Times New Roman" w:cs="Times New Roman"/>
                <w:noProof/>
              </w:rPr>
              <w:t xml:space="preserve">in year </w:t>
            </w:r>
            <w:r w:rsidR="0044245A" w:rsidRPr="009642F7">
              <w:rPr>
                <w:rFonts w:ascii="Times New Roman" w:hAnsi="Times New Roman" w:cs="Times New Roman"/>
                <w:i/>
                <w:iCs/>
                <w:noProof/>
              </w:rPr>
              <w:t>t</w:t>
            </w:r>
            <w:r w:rsidR="0044245A" w:rsidRPr="009642F7">
              <w:rPr>
                <w:rFonts w:ascii="Times New Roman" w:hAnsi="Times New Roman" w:cs="Times New Roman"/>
                <w:noProof/>
              </w:rPr>
              <w:t>–</w:t>
            </w:r>
            <w:r w:rsidR="0089024A" w:rsidRPr="009642F7">
              <w:rPr>
                <w:rFonts w:ascii="Times New Roman" w:hAnsi="Times New Roman" w:cs="Times New Roman"/>
                <w:i/>
                <w:noProof/>
              </w:rPr>
              <w:t>n</w:t>
            </w:r>
            <w:r w:rsidR="0089024A" w:rsidRPr="009642F7">
              <w:rPr>
                <w:rFonts w:ascii="Times New Roman" w:hAnsi="Times New Roman" w:cs="Times New Roman"/>
                <w:noProof/>
              </w:rPr>
              <w:t xml:space="preserve"> </w:t>
            </w:r>
            <w:r w:rsidR="0044245A" w:rsidRPr="009642F7">
              <w:rPr>
                <w:rFonts w:ascii="Times New Roman" w:hAnsi="Times New Roman" w:cs="Times New Roman"/>
                <w:noProof/>
              </w:rPr>
              <w:t>and</w:t>
            </w:r>
            <w:r w:rsidR="00EE6567" w:rsidRPr="009642F7">
              <w:rPr>
                <w:rFonts w:ascii="Times New Roman" w:hAnsi="Times New Roman" w:cs="Times New Roman"/>
                <w:i/>
              </w:rPr>
              <w:t xml:space="preserve"> Restat</w:t>
            </w:r>
            <w:r w:rsidR="00EE6567" w:rsidRPr="009642F7">
              <w:rPr>
                <w:rFonts w:ascii="Times New Roman" w:hAnsi="Times New Roman" w:cs="Times New Roman"/>
              </w:rPr>
              <w:t xml:space="preserve"> in year </w:t>
            </w:r>
            <w:r w:rsidR="00EE6567" w:rsidRPr="009642F7">
              <w:rPr>
                <w:rFonts w:ascii="Times New Roman" w:hAnsi="Times New Roman" w:cs="Times New Roman"/>
                <w:i/>
              </w:rPr>
              <w:t>t</w:t>
            </w:r>
            <w:r w:rsidR="00EE6567" w:rsidRPr="009642F7">
              <w:rPr>
                <w:rFonts w:ascii="Times New Roman" w:hAnsi="Times New Roman" w:cs="Times New Roman"/>
                <w:noProof/>
              </w:rPr>
              <w:t xml:space="preserve"> for each </w:t>
            </w:r>
            <w:r w:rsidR="00EE6567" w:rsidRPr="009642F7">
              <w:rPr>
                <w:rFonts w:ascii="Times New Roman" w:hAnsi="Times New Roman" w:cs="Times New Roman"/>
                <w:bCs/>
                <w:noProof/>
              </w:rPr>
              <w:t xml:space="preserve">quintile are then calculated. </w:t>
            </w:r>
            <w:r w:rsidR="00EE6567" w:rsidRPr="009642F7">
              <w:rPr>
                <w:rFonts w:ascii="Times New Roman" w:hAnsi="Times New Roman" w:cs="Times New Roman"/>
                <w:bCs/>
                <w:i/>
                <w:noProof/>
              </w:rPr>
              <w:t>N</w:t>
            </w:r>
            <w:r w:rsidR="00EE6567" w:rsidRPr="009642F7">
              <w:rPr>
                <w:rFonts w:ascii="Times New Roman" w:hAnsi="Times New Roman" w:cs="Times New Roman"/>
                <w:bCs/>
                <w:noProof/>
              </w:rPr>
              <w:t xml:space="preserve"> </w:t>
            </w:r>
            <w:r w:rsidR="0044245A" w:rsidRPr="009642F7">
              <w:rPr>
                <w:rFonts w:ascii="Times New Roman" w:hAnsi="Times New Roman" w:cs="Times New Roman"/>
                <w:bCs/>
                <w:noProof/>
              </w:rPr>
              <w:t>are</w:t>
            </w:r>
            <w:r w:rsidR="00EE6567" w:rsidRPr="009642F7">
              <w:rPr>
                <w:rFonts w:ascii="Times New Roman" w:hAnsi="Times New Roman" w:cs="Times New Roman"/>
                <w:bCs/>
                <w:noProof/>
              </w:rPr>
              <w:t xml:space="preserve"> firm-year observations. </w:t>
            </w:r>
            <w:r w:rsidR="00EE6567" w:rsidRPr="009642F7">
              <w:rPr>
                <w:rFonts w:ascii="Times New Roman" w:hAnsi="Times New Roman" w:cs="Times New Roman"/>
                <w:noProof/>
              </w:rPr>
              <w:t>[</w:t>
            </w:r>
            <w:r w:rsidR="00EE6567" w:rsidRPr="009642F7">
              <w:rPr>
                <w:rFonts w:ascii="Times New Roman" w:hAnsi="Times New Roman" w:cs="Times New Roman"/>
                <w:i/>
                <w:noProof/>
              </w:rPr>
              <w:t>t</w:t>
            </w:r>
            <w:r w:rsidR="00EE6567" w:rsidRPr="009642F7">
              <w:rPr>
                <w:rFonts w:ascii="Times New Roman" w:hAnsi="Times New Roman" w:cs="Times New Roman"/>
                <w:noProof/>
              </w:rPr>
              <w:t xml:space="preserve">] are the </w:t>
            </w:r>
            <w:r w:rsidR="00EE6567" w:rsidRPr="009642F7">
              <w:rPr>
                <w:rFonts w:ascii="Times New Roman" w:hAnsi="Times New Roman" w:cs="Times New Roman"/>
                <w:i/>
                <w:noProof/>
              </w:rPr>
              <w:t>t</w:t>
            </w:r>
            <w:r w:rsidR="00EE6567" w:rsidRPr="009642F7">
              <w:rPr>
                <w:rFonts w:ascii="Times New Roman" w:hAnsi="Times New Roman" w:cs="Times New Roman"/>
                <w:noProof/>
              </w:rPr>
              <w:t xml:space="preserve">-statistics, adopted to access the </w:t>
            </w:r>
            <w:r w:rsidR="00EE6567" w:rsidRPr="009642F7">
              <w:rPr>
                <w:rFonts w:ascii="Times New Roman" w:hAnsi="Times New Roman" w:cs="Times New Roman"/>
                <w:bCs/>
                <w:noProof/>
              </w:rPr>
              <w:t xml:space="preserve">hypothesis that the difference in average between High and Low </w:t>
            </w:r>
            <w:r w:rsidR="00EE6567" w:rsidRPr="009642F7">
              <w:rPr>
                <w:rFonts w:ascii="Times New Roman" w:hAnsi="Times New Roman" w:cs="Times New Roman"/>
                <w:bCs/>
                <w:i/>
                <w:noProof/>
              </w:rPr>
              <w:t>Media</w:t>
            </w:r>
            <w:r w:rsidR="00EE6567" w:rsidRPr="009642F7">
              <w:rPr>
                <w:rFonts w:ascii="Times New Roman" w:hAnsi="Times New Roman" w:cs="Times New Roman"/>
                <w:bCs/>
                <w:noProof/>
              </w:rPr>
              <w:t xml:space="preserve"> quintiles is zero. </w:t>
            </w:r>
            <w:r w:rsidR="00EE6567" w:rsidRPr="009642F7">
              <w:rPr>
                <w:rFonts w:ascii="Times New Roman" w:hAnsi="Times New Roman" w:cs="Times New Roman"/>
                <w:noProof/>
              </w:rPr>
              <w:t>*** indicates statistical significance at the 1% level. All data are from the TEJ database.</w:t>
            </w:r>
          </w:p>
        </w:tc>
      </w:tr>
      <w:tr w:rsidR="009642F7" w:rsidRPr="009642F7" w14:paraId="2236B7AC" w14:textId="77777777" w:rsidTr="004D7FCE">
        <w:trPr>
          <w:trHeight w:val="330"/>
        </w:trPr>
        <w:tc>
          <w:tcPr>
            <w:tcW w:w="908" w:type="pct"/>
            <w:tcBorders>
              <w:top w:val="nil"/>
              <w:left w:val="nil"/>
              <w:bottom w:val="single" w:sz="4" w:space="0" w:color="auto"/>
              <w:right w:val="nil"/>
            </w:tcBorders>
            <w:shd w:val="clear" w:color="auto" w:fill="auto"/>
            <w:noWrap/>
            <w:vAlign w:val="center"/>
            <w:hideMark/>
          </w:tcPr>
          <w:p w14:paraId="63B56A62" w14:textId="77777777" w:rsidR="00D85914" w:rsidRPr="009642F7" w:rsidRDefault="00266B34" w:rsidP="0044245A">
            <w:pPr>
              <w:snapToGrid w:val="0"/>
              <w:rPr>
                <w:rFonts w:ascii="Times New Roman" w:hAnsi="Times New Roman" w:cs="Times New Roman"/>
              </w:rPr>
            </w:pPr>
            <w:r w:rsidRPr="009642F7">
              <w:rPr>
                <w:rFonts w:ascii="Times New Roman" w:hAnsi="Times New Roman" w:cs="Times New Roman"/>
                <w:i/>
              </w:rPr>
              <w:t>Media</w:t>
            </w:r>
            <w:r w:rsidRPr="009642F7">
              <w:rPr>
                <w:rFonts w:ascii="Times New Roman" w:hAnsi="Times New Roman" w:cs="Times New Roman"/>
              </w:rPr>
              <w:t xml:space="preserve"> </w:t>
            </w:r>
            <w:r w:rsidRPr="009642F7">
              <w:rPr>
                <w:rFonts w:ascii="Times New Roman" w:hAnsi="Times New Roman" w:cs="Times New Roman"/>
                <w:bCs/>
                <w:noProof/>
              </w:rPr>
              <w:t>Quintile</w:t>
            </w:r>
          </w:p>
        </w:tc>
        <w:tc>
          <w:tcPr>
            <w:tcW w:w="683" w:type="pct"/>
            <w:tcBorders>
              <w:top w:val="nil"/>
              <w:left w:val="nil"/>
              <w:bottom w:val="single" w:sz="4" w:space="0" w:color="auto"/>
              <w:right w:val="nil"/>
            </w:tcBorders>
            <w:shd w:val="clear" w:color="auto" w:fill="auto"/>
            <w:noWrap/>
            <w:vAlign w:val="center"/>
            <w:hideMark/>
          </w:tcPr>
          <w:p w14:paraId="41BF0C1D" w14:textId="77777777" w:rsidR="00D85914" w:rsidRPr="009642F7" w:rsidRDefault="00D85914" w:rsidP="0044245A">
            <w:pPr>
              <w:snapToGrid w:val="0"/>
              <w:jc w:val="center"/>
              <w:rPr>
                <w:rFonts w:ascii="Times New Roman" w:hAnsi="Times New Roman" w:cs="Times New Roman"/>
              </w:rPr>
            </w:pPr>
            <w:r w:rsidRPr="009642F7">
              <w:rPr>
                <w:rFonts w:ascii="Times New Roman" w:hAnsi="Times New Roman" w:cs="Times New Roman"/>
              </w:rPr>
              <w:t>High</w:t>
            </w:r>
          </w:p>
        </w:tc>
        <w:tc>
          <w:tcPr>
            <w:tcW w:w="683" w:type="pct"/>
            <w:tcBorders>
              <w:top w:val="nil"/>
              <w:left w:val="nil"/>
              <w:bottom w:val="single" w:sz="4" w:space="0" w:color="auto"/>
              <w:right w:val="nil"/>
            </w:tcBorders>
            <w:shd w:val="clear" w:color="auto" w:fill="auto"/>
            <w:noWrap/>
            <w:vAlign w:val="center"/>
            <w:hideMark/>
          </w:tcPr>
          <w:p w14:paraId="59409E8F" w14:textId="77777777" w:rsidR="00D85914" w:rsidRPr="009642F7" w:rsidRDefault="00D85914" w:rsidP="0044245A">
            <w:pPr>
              <w:snapToGrid w:val="0"/>
              <w:jc w:val="center"/>
              <w:rPr>
                <w:rFonts w:ascii="Times New Roman" w:hAnsi="Times New Roman" w:cs="Times New Roman"/>
              </w:rPr>
            </w:pPr>
            <w:r w:rsidRPr="009642F7">
              <w:rPr>
                <w:rFonts w:ascii="Times New Roman" w:hAnsi="Times New Roman" w:cs="Times New Roman"/>
              </w:rPr>
              <w:t>Q4</w:t>
            </w:r>
          </w:p>
        </w:tc>
        <w:tc>
          <w:tcPr>
            <w:tcW w:w="683" w:type="pct"/>
            <w:tcBorders>
              <w:top w:val="nil"/>
              <w:left w:val="nil"/>
              <w:bottom w:val="single" w:sz="4" w:space="0" w:color="auto"/>
              <w:right w:val="nil"/>
            </w:tcBorders>
            <w:shd w:val="clear" w:color="auto" w:fill="auto"/>
            <w:noWrap/>
            <w:vAlign w:val="center"/>
            <w:hideMark/>
          </w:tcPr>
          <w:p w14:paraId="1F0FAE9D" w14:textId="77777777" w:rsidR="00D85914" w:rsidRPr="009642F7" w:rsidRDefault="00D85914" w:rsidP="0044245A">
            <w:pPr>
              <w:snapToGrid w:val="0"/>
              <w:jc w:val="center"/>
              <w:rPr>
                <w:rFonts w:ascii="Times New Roman" w:hAnsi="Times New Roman" w:cs="Times New Roman"/>
              </w:rPr>
            </w:pPr>
            <w:r w:rsidRPr="009642F7">
              <w:rPr>
                <w:rFonts w:ascii="Times New Roman" w:hAnsi="Times New Roman" w:cs="Times New Roman"/>
              </w:rPr>
              <w:t>Q3</w:t>
            </w:r>
          </w:p>
        </w:tc>
        <w:tc>
          <w:tcPr>
            <w:tcW w:w="683" w:type="pct"/>
            <w:tcBorders>
              <w:top w:val="nil"/>
              <w:left w:val="nil"/>
              <w:bottom w:val="single" w:sz="4" w:space="0" w:color="auto"/>
              <w:right w:val="nil"/>
            </w:tcBorders>
            <w:shd w:val="clear" w:color="auto" w:fill="auto"/>
            <w:noWrap/>
            <w:vAlign w:val="center"/>
            <w:hideMark/>
          </w:tcPr>
          <w:p w14:paraId="37AA8EA2" w14:textId="77777777" w:rsidR="00D85914" w:rsidRPr="009642F7" w:rsidRDefault="00D85914" w:rsidP="0044245A">
            <w:pPr>
              <w:snapToGrid w:val="0"/>
              <w:jc w:val="center"/>
              <w:rPr>
                <w:rFonts w:ascii="Times New Roman" w:hAnsi="Times New Roman" w:cs="Times New Roman"/>
              </w:rPr>
            </w:pPr>
            <w:r w:rsidRPr="009642F7">
              <w:rPr>
                <w:rFonts w:ascii="Times New Roman" w:hAnsi="Times New Roman" w:cs="Times New Roman"/>
              </w:rPr>
              <w:t>Q2</w:t>
            </w:r>
          </w:p>
        </w:tc>
        <w:tc>
          <w:tcPr>
            <w:tcW w:w="682" w:type="pct"/>
            <w:tcBorders>
              <w:top w:val="nil"/>
              <w:left w:val="nil"/>
              <w:bottom w:val="single" w:sz="4" w:space="0" w:color="auto"/>
              <w:right w:val="nil"/>
            </w:tcBorders>
            <w:shd w:val="clear" w:color="auto" w:fill="auto"/>
            <w:noWrap/>
            <w:vAlign w:val="center"/>
            <w:hideMark/>
          </w:tcPr>
          <w:p w14:paraId="252EAF46" w14:textId="77777777" w:rsidR="00D85914" w:rsidRPr="009642F7" w:rsidRDefault="00D85914" w:rsidP="0044245A">
            <w:pPr>
              <w:snapToGrid w:val="0"/>
              <w:jc w:val="center"/>
              <w:rPr>
                <w:rFonts w:ascii="Times New Roman" w:hAnsi="Times New Roman" w:cs="Times New Roman"/>
              </w:rPr>
            </w:pPr>
            <w:r w:rsidRPr="009642F7">
              <w:rPr>
                <w:rFonts w:ascii="Times New Roman" w:hAnsi="Times New Roman" w:cs="Times New Roman"/>
              </w:rPr>
              <w:t>Low</w:t>
            </w:r>
          </w:p>
        </w:tc>
        <w:tc>
          <w:tcPr>
            <w:tcW w:w="679" w:type="pct"/>
            <w:tcBorders>
              <w:top w:val="nil"/>
              <w:left w:val="nil"/>
              <w:bottom w:val="single" w:sz="4" w:space="0" w:color="auto"/>
              <w:right w:val="nil"/>
            </w:tcBorders>
            <w:shd w:val="clear" w:color="auto" w:fill="auto"/>
            <w:noWrap/>
            <w:vAlign w:val="center"/>
            <w:hideMark/>
          </w:tcPr>
          <w:p w14:paraId="0B06E2C8" w14:textId="77777777" w:rsidR="00D85914" w:rsidRPr="009642F7" w:rsidRDefault="00D85914" w:rsidP="0044245A">
            <w:pPr>
              <w:snapToGrid w:val="0"/>
              <w:jc w:val="center"/>
              <w:rPr>
                <w:rFonts w:ascii="Times New Roman" w:hAnsi="Times New Roman" w:cs="Times New Roman"/>
              </w:rPr>
            </w:pPr>
            <w:r w:rsidRPr="009642F7">
              <w:rPr>
                <w:rFonts w:ascii="Times New Roman" w:hAnsi="Times New Roman" w:cs="Times New Roman"/>
              </w:rPr>
              <w:t>High</w:t>
            </w:r>
            <w:r w:rsidR="00EE6567" w:rsidRPr="009642F7">
              <w:rPr>
                <w:rFonts w:ascii="Times New Roman" w:hAnsi="Times New Roman" w:cs="Times New Roman"/>
                <w:bCs/>
                <w:noProof/>
              </w:rPr>
              <w:t>−</w:t>
            </w:r>
            <w:r w:rsidRPr="009642F7">
              <w:rPr>
                <w:rFonts w:ascii="Times New Roman" w:hAnsi="Times New Roman" w:cs="Times New Roman"/>
              </w:rPr>
              <w:t>Low</w:t>
            </w:r>
          </w:p>
        </w:tc>
      </w:tr>
      <w:tr w:rsidR="009642F7" w:rsidRPr="009642F7" w14:paraId="52168811" w14:textId="77777777" w:rsidTr="004D7FCE">
        <w:trPr>
          <w:trHeight w:val="330"/>
        </w:trPr>
        <w:tc>
          <w:tcPr>
            <w:tcW w:w="908" w:type="pct"/>
            <w:tcBorders>
              <w:top w:val="nil"/>
              <w:left w:val="nil"/>
              <w:bottom w:val="nil"/>
              <w:right w:val="nil"/>
            </w:tcBorders>
            <w:shd w:val="clear" w:color="auto" w:fill="auto"/>
            <w:noWrap/>
            <w:vAlign w:val="center"/>
            <w:hideMark/>
          </w:tcPr>
          <w:p w14:paraId="283110FC" w14:textId="77777777" w:rsidR="0044245A" w:rsidRPr="009642F7" w:rsidRDefault="0044245A" w:rsidP="0044245A">
            <w:pPr>
              <w:snapToGrid w:val="0"/>
              <w:rPr>
                <w:rFonts w:ascii="Times New Roman" w:hAnsi="Times New Roman" w:cs="Times New Roman"/>
                <w:i/>
              </w:rPr>
            </w:pPr>
            <w:r w:rsidRPr="009642F7">
              <w:rPr>
                <w:rFonts w:ascii="Times New Roman" w:hAnsi="Times New Roman" w:cs="Times New Roman"/>
                <w:i/>
              </w:rPr>
              <w:t>N</w:t>
            </w:r>
          </w:p>
        </w:tc>
        <w:tc>
          <w:tcPr>
            <w:tcW w:w="683" w:type="pct"/>
            <w:tcBorders>
              <w:top w:val="nil"/>
              <w:left w:val="nil"/>
              <w:bottom w:val="nil"/>
              <w:right w:val="nil"/>
            </w:tcBorders>
            <w:shd w:val="clear" w:color="auto" w:fill="auto"/>
            <w:noWrap/>
            <w:vAlign w:val="center"/>
            <w:hideMark/>
          </w:tcPr>
          <w:p w14:paraId="7D6562AB"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5,716</w:t>
            </w:r>
          </w:p>
        </w:tc>
        <w:tc>
          <w:tcPr>
            <w:tcW w:w="683" w:type="pct"/>
            <w:tcBorders>
              <w:top w:val="nil"/>
              <w:left w:val="nil"/>
              <w:bottom w:val="nil"/>
              <w:right w:val="nil"/>
            </w:tcBorders>
            <w:shd w:val="clear" w:color="auto" w:fill="auto"/>
            <w:noWrap/>
            <w:vAlign w:val="center"/>
            <w:hideMark/>
          </w:tcPr>
          <w:p w14:paraId="35873322"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5,666</w:t>
            </w:r>
          </w:p>
        </w:tc>
        <w:tc>
          <w:tcPr>
            <w:tcW w:w="683" w:type="pct"/>
            <w:tcBorders>
              <w:top w:val="nil"/>
              <w:left w:val="nil"/>
              <w:bottom w:val="nil"/>
              <w:right w:val="nil"/>
            </w:tcBorders>
            <w:shd w:val="clear" w:color="auto" w:fill="auto"/>
            <w:noWrap/>
            <w:vAlign w:val="center"/>
            <w:hideMark/>
          </w:tcPr>
          <w:p w14:paraId="1EC16051"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5,717</w:t>
            </w:r>
          </w:p>
        </w:tc>
        <w:tc>
          <w:tcPr>
            <w:tcW w:w="683" w:type="pct"/>
            <w:tcBorders>
              <w:top w:val="nil"/>
              <w:left w:val="nil"/>
              <w:bottom w:val="nil"/>
              <w:right w:val="nil"/>
            </w:tcBorders>
            <w:shd w:val="clear" w:color="auto" w:fill="auto"/>
            <w:noWrap/>
            <w:vAlign w:val="center"/>
            <w:hideMark/>
          </w:tcPr>
          <w:p w14:paraId="7B98C968"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5,766</w:t>
            </w:r>
          </w:p>
        </w:tc>
        <w:tc>
          <w:tcPr>
            <w:tcW w:w="682" w:type="pct"/>
            <w:tcBorders>
              <w:top w:val="nil"/>
              <w:left w:val="nil"/>
              <w:bottom w:val="nil"/>
              <w:right w:val="nil"/>
            </w:tcBorders>
            <w:shd w:val="clear" w:color="auto" w:fill="auto"/>
            <w:noWrap/>
            <w:vAlign w:val="center"/>
            <w:hideMark/>
          </w:tcPr>
          <w:p w14:paraId="2F738DA6"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5,710</w:t>
            </w:r>
          </w:p>
        </w:tc>
        <w:tc>
          <w:tcPr>
            <w:tcW w:w="679" w:type="pct"/>
            <w:tcBorders>
              <w:top w:val="nil"/>
              <w:left w:val="nil"/>
              <w:bottom w:val="nil"/>
              <w:right w:val="nil"/>
            </w:tcBorders>
            <w:shd w:val="clear" w:color="auto" w:fill="auto"/>
            <w:noWrap/>
            <w:vAlign w:val="center"/>
            <w:hideMark/>
          </w:tcPr>
          <w:p w14:paraId="7F0DDE4F"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bCs/>
                <w:noProof/>
              </w:rPr>
              <w:t>−</w:t>
            </w:r>
          </w:p>
        </w:tc>
      </w:tr>
      <w:tr w:rsidR="009642F7" w:rsidRPr="009642F7" w14:paraId="1AF2F995" w14:textId="77777777" w:rsidTr="004D7FCE">
        <w:trPr>
          <w:trHeight w:val="330"/>
        </w:trPr>
        <w:tc>
          <w:tcPr>
            <w:tcW w:w="908" w:type="pct"/>
            <w:tcBorders>
              <w:top w:val="nil"/>
              <w:left w:val="nil"/>
              <w:bottom w:val="nil"/>
              <w:right w:val="nil"/>
            </w:tcBorders>
            <w:shd w:val="clear" w:color="auto" w:fill="auto"/>
            <w:noWrap/>
            <w:vAlign w:val="center"/>
          </w:tcPr>
          <w:p w14:paraId="456EC852" w14:textId="77777777" w:rsidR="0044245A" w:rsidRPr="009642F7" w:rsidRDefault="0044245A" w:rsidP="0044245A">
            <w:pPr>
              <w:snapToGrid w:val="0"/>
              <w:rPr>
                <w:rFonts w:ascii="Times New Roman" w:hAnsi="Times New Roman" w:cs="Times New Roman"/>
                <w:i/>
              </w:rPr>
            </w:pPr>
            <w:r w:rsidRPr="009642F7">
              <w:rPr>
                <w:rFonts w:ascii="Times New Roman" w:hAnsi="Times New Roman" w:cs="Times New Roman"/>
                <w:i/>
              </w:rPr>
              <w:t>Media</w:t>
            </w:r>
          </w:p>
        </w:tc>
        <w:tc>
          <w:tcPr>
            <w:tcW w:w="683" w:type="pct"/>
            <w:tcBorders>
              <w:top w:val="nil"/>
              <w:left w:val="nil"/>
              <w:bottom w:val="nil"/>
              <w:right w:val="nil"/>
            </w:tcBorders>
            <w:shd w:val="clear" w:color="auto" w:fill="auto"/>
            <w:noWrap/>
            <w:vAlign w:val="center"/>
          </w:tcPr>
          <w:p w14:paraId="4607CAF4"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88.11</w:t>
            </w:r>
          </w:p>
        </w:tc>
        <w:tc>
          <w:tcPr>
            <w:tcW w:w="683" w:type="pct"/>
            <w:tcBorders>
              <w:top w:val="nil"/>
              <w:left w:val="nil"/>
              <w:bottom w:val="nil"/>
              <w:right w:val="nil"/>
            </w:tcBorders>
            <w:shd w:val="clear" w:color="auto" w:fill="auto"/>
            <w:noWrap/>
            <w:vAlign w:val="center"/>
          </w:tcPr>
          <w:p w14:paraId="3401D253"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38.96</w:t>
            </w:r>
          </w:p>
        </w:tc>
        <w:tc>
          <w:tcPr>
            <w:tcW w:w="683" w:type="pct"/>
            <w:tcBorders>
              <w:top w:val="nil"/>
              <w:left w:val="nil"/>
              <w:bottom w:val="nil"/>
              <w:right w:val="nil"/>
            </w:tcBorders>
            <w:shd w:val="clear" w:color="auto" w:fill="auto"/>
            <w:noWrap/>
            <w:vAlign w:val="center"/>
          </w:tcPr>
          <w:p w14:paraId="44EE9245"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27.78</w:t>
            </w:r>
          </w:p>
        </w:tc>
        <w:tc>
          <w:tcPr>
            <w:tcW w:w="683" w:type="pct"/>
            <w:tcBorders>
              <w:top w:val="nil"/>
              <w:left w:val="nil"/>
              <w:bottom w:val="nil"/>
              <w:right w:val="nil"/>
            </w:tcBorders>
            <w:shd w:val="clear" w:color="auto" w:fill="auto"/>
            <w:noWrap/>
            <w:vAlign w:val="center"/>
          </w:tcPr>
          <w:p w14:paraId="0F6E2BEC"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20.23</w:t>
            </w:r>
          </w:p>
        </w:tc>
        <w:tc>
          <w:tcPr>
            <w:tcW w:w="682" w:type="pct"/>
            <w:tcBorders>
              <w:top w:val="nil"/>
              <w:left w:val="nil"/>
              <w:bottom w:val="nil"/>
              <w:right w:val="nil"/>
            </w:tcBorders>
            <w:shd w:val="clear" w:color="auto" w:fill="auto"/>
            <w:noWrap/>
            <w:vAlign w:val="center"/>
          </w:tcPr>
          <w:p w14:paraId="1097C1D2"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11.78</w:t>
            </w:r>
          </w:p>
        </w:tc>
        <w:tc>
          <w:tcPr>
            <w:tcW w:w="679" w:type="pct"/>
            <w:tcBorders>
              <w:top w:val="nil"/>
              <w:left w:val="nil"/>
              <w:bottom w:val="nil"/>
              <w:right w:val="nil"/>
            </w:tcBorders>
            <w:shd w:val="clear" w:color="auto" w:fill="auto"/>
            <w:noWrap/>
            <w:vAlign w:val="center"/>
          </w:tcPr>
          <w:p w14:paraId="28F35AE6"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bCs/>
                <w:noProof/>
              </w:rPr>
              <w:t>76.33</w:t>
            </w:r>
          </w:p>
        </w:tc>
      </w:tr>
      <w:tr w:rsidR="009642F7" w:rsidRPr="009642F7" w14:paraId="74BDE49B" w14:textId="77777777" w:rsidTr="004D7FCE">
        <w:trPr>
          <w:trHeight w:val="330"/>
        </w:trPr>
        <w:tc>
          <w:tcPr>
            <w:tcW w:w="908" w:type="pct"/>
            <w:tcBorders>
              <w:top w:val="nil"/>
              <w:left w:val="nil"/>
              <w:bottom w:val="nil"/>
              <w:right w:val="nil"/>
            </w:tcBorders>
            <w:shd w:val="clear" w:color="auto" w:fill="auto"/>
            <w:noWrap/>
            <w:vAlign w:val="center"/>
            <w:hideMark/>
          </w:tcPr>
          <w:p w14:paraId="765D7C4D" w14:textId="77777777" w:rsidR="00B92D4B" w:rsidRPr="009642F7" w:rsidRDefault="00B92D4B" w:rsidP="0044245A">
            <w:pPr>
              <w:snapToGrid w:val="0"/>
              <w:rPr>
                <w:rFonts w:ascii="Times New Roman" w:hAnsi="Times New Roman" w:cs="Times New Roman"/>
              </w:rPr>
            </w:pPr>
            <w:r w:rsidRPr="009642F7">
              <w:rPr>
                <w:rFonts w:ascii="Times New Roman" w:hAnsi="Times New Roman" w:cs="Times New Roman"/>
                <w:i/>
              </w:rPr>
              <w:t>Restat</w:t>
            </w:r>
            <w:r w:rsidRPr="009642F7">
              <w:rPr>
                <w:rFonts w:ascii="Times New Roman" w:hAnsi="Times New Roman" w:cs="Times New Roman"/>
              </w:rPr>
              <w:t xml:space="preserve"> (%)</w:t>
            </w:r>
          </w:p>
        </w:tc>
        <w:tc>
          <w:tcPr>
            <w:tcW w:w="683" w:type="pct"/>
            <w:tcBorders>
              <w:top w:val="nil"/>
              <w:left w:val="nil"/>
              <w:bottom w:val="nil"/>
              <w:right w:val="nil"/>
            </w:tcBorders>
            <w:shd w:val="clear" w:color="auto" w:fill="auto"/>
            <w:noWrap/>
            <w:vAlign w:val="center"/>
            <w:hideMark/>
          </w:tcPr>
          <w:p w14:paraId="7B76987F" w14:textId="77777777" w:rsidR="00B92D4B" w:rsidRPr="009642F7" w:rsidRDefault="00B92D4B" w:rsidP="0044245A">
            <w:pPr>
              <w:snapToGrid w:val="0"/>
              <w:jc w:val="center"/>
              <w:rPr>
                <w:rFonts w:ascii="Times New Roman" w:hAnsi="Times New Roman" w:cs="Times New Roman"/>
              </w:rPr>
            </w:pPr>
            <w:r w:rsidRPr="009642F7">
              <w:rPr>
                <w:rFonts w:ascii="Times New Roman" w:hAnsi="Times New Roman" w:cs="Times New Roman"/>
              </w:rPr>
              <w:t>5.81</w:t>
            </w:r>
          </w:p>
        </w:tc>
        <w:tc>
          <w:tcPr>
            <w:tcW w:w="683" w:type="pct"/>
            <w:tcBorders>
              <w:top w:val="nil"/>
              <w:left w:val="nil"/>
              <w:bottom w:val="nil"/>
              <w:right w:val="nil"/>
            </w:tcBorders>
            <w:shd w:val="clear" w:color="auto" w:fill="auto"/>
            <w:noWrap/>
            <w:vAlign w:val="center"/>
            <w:hideMark/>
          </w:tcPr>
          <w:p w14:paraId="0FC52A2A" w14:textId="77777777" w:rsidR="00B92D4B" w:rsidRPr="009642F7" w:rsidRDefault="00B92D4B" w:rsidP="0044245A">
            <w:pPr>
              <w:snapToGrid w:val="0"/>
              <w:jc w:val="center"/>
              <w:rPr>
                <w:rFonts w:ascii="Times New Roman" w:hAnsi="Times New Roman" w:cs="Times New Roman"/>
              </w:rPr>
            </w:pPr>
            <w:r w:rsidRPr="009642F7">
              <w:rPr>
                <w:rFonts w:ascii="Times New Roman" w:hAnsi="Times New Roman" w:cs="Times New Roman"/>
              </w:rPr>
              <w:t>4.50</w:t>
            </w:r>
          </w:p>
        </w:tc>
        <w:tc>
          <w:tcPr>
            <w:tcW w:w="683" w:type="pct"/>
            <w:tcBorders>
              <w:top w:val="nil"/>
              <w:left w:val="nil"/>
              <w:bottom w:val="nil"/>
              <w:right w:val="nil"/>
            </w:tcBorders>
            <w:shd w:val="clear" w:color="auto" w:fill="auto"/>
            <w:noWrap/>
            <w:vAlign w:val="center"/>
            <w:hideMark/>
          </w:tcPr>
          <w:p w14:paraId="19EF41A3" w14:textId="77777777" w:rsidR="00B92D4B" w:rsidRPr="009642F7" w:rsidRDefault="00B92D4B" w:rsidP="0044245A">
            <w:pPr>
              <w:snapToGrid w:val="0"/>
              <w:jc w:val="center"/>
              <w:rPr>
                <w:rFonts w:ascii="Times New Roman" w:hAnsi="Times New Roman" w:cs="Times New Roman"/>
              </w:rPr>
            </w:pPr>
            <w:r w:rsidRPr="009642F7">
              <w:rPr>
                <w:rFonts w:ascii="Times New Roman" w:hAnsi="Times New Roman" w:cs="Times New Roman"/>
              </w:rPr>
              <w:t>3.01</w:t>
            </w:r>
          </w:p>
        </w:tc>
        <w:tc>
          <w:tcPr>
            <w:tcW w:w="683" w:type="pct"/>
            <w:tcBorders>
              <w:top w:val="nil"/>
              <w:left w:val="nil"/>
              <w:bottom w:val="nil"/>
              <w:right w:val="nil"/>
            </w:tcBorders>
            <w:shd w:val="clear" w:color="auto" w:fill="auto"/>
            <w:noWrap/>
            <w:vAlign w:val="center"/>
            <w:hideMark/>
          </w:tcPr>
          <w:p w14:paraId="0AB5BC6C" w14:textId="77777777" w:rsidR="00B92D4B" w:rsidRPr="009642F7" w:rsidRDefault="00B92D4B" w:rsidP="0044245A">
            <w:pPr>
              <w:snapToGrid w:val="0"/>
              <w:jc w:val="center"/>
              <w:rPr>
                <w:rFonts w:ascii="Times New Roman" w:hAnsi="Times New Roman" w:cs="Times New Roman"/>
              </w:rPr>
            </w:pPr>
            <w:r w:rsidRPr="009642F7">
              <w:rPr>
                <w:rFonts w:ascii="Times New Roman" w:hAnsi="Times New Roman" w:cs="Times New Roman"/>
              </w:rPr>
              <w:t>2.88</w:t>
            </w:r>
          </w:p>
        </w:tc>
        <w:tc>
          <w:tcPr>
            <w:tcW w:w="682" w:type="pct"/>
            <w:tcBorders>
              <w:top w:val="nil"/>
              <w:left w:val="nil"/>
              <w:bottom w:val="nil"/>
              <w:right w:val="nil"/>
            </w:tcBorders>
            <w:shd w:val="clear" w:color="auto" w:fill="auto"/>
            <w:noWrap/>
            <w:vAlign w:val="center"/>
            <w:hideMark/>
          </w:tcPr>
          <w:p w14:paraId="790A232B" w14:textId="77777777" w:rsidR="00B92D4B" w:rsidRPr="009642F7" w:rsidRDefault="00B92D4B" w:rsidP="0044245A">
            <w:pPr>
              <w:snapToGrid w:val="0"/>
              <w:jc w:val="center"/>
              <w:rPr>
                <w:rFonts w:ascii="Times New Roman" w:hAnsi="Times New Roman" w:cs="Times New Roman"/>
              </w:rPr>
            </w:pPr>
            <w:r w:rsidRPr="009642F7">
              <w:rPr>
                <w:rFonts w:ascii="Times New Roman" w:hAnsi="Times New Roman" w:cs="Times New Roman"/>
              </w:rPr>
              <w:t>2.73</w:t>
            </w:r>
          </w:p>
        </w:tc>
        <w:tc>
          <w:tcPr>
            <w:tcW w:w="679" w:type="pct"/>
            <w:tcBorders>
              <w:top w:val="nil"/>
              <w:left w:val="nil"/>
              <w:bottom w:val="nil"/>
              <w:right w:val="nil"/>
            </w:tcBorders>
            <w:shd w:val="clear" w:color="auto" w:fill="auto"/>
            <w:noWrap/>
            <w:vAlign w:val="center"/>
            <w:hideMark/>
          </w:tcPr>
          <w:p w14:paraId="14F421B5" w14:textId="77777777" w:rsidR="00B92D4B" w:rsidRPr="009642F7" w:rsidRDefault="00B92D4B" w:rsidP="0044245A">
            <w:pPr>
              <w:snapToGrid w:val="0"/>
              <w:jc w:val="center"/>
              <w:rPr>
                <w:rFonts w:ascii="Times New Roman" w:hAnsi="Times New Roman" w:cs="Times New Roman"/>
              </w:rPr>
            </w:pPr>
            <w:r w:rsidRPr="009642F7">
              <w:rPr>
                <w:rFonts w:ascii="Times New Roman" w:hAnsi="Times New Roman" w:cs="Times New Roman"/>
              </w:rPr>
              <w:t>3.</w:t>
            </w:r>
            <w:r w:rsidR="0044245A" w:rsidRPr="009642F7">
              <w:rPr>
                <w:rFonts w:ascii="Times New Roman" w:hAnsi="Times New Roman" w:cs="Times New Roman"/>
              </w:rPr>
              <w:t>08</w:t>
            </w:r>
          </w:p>
        </w:tc>
      </w:tr>
      <w:tr w:rsidR="0044245A" w:rsidRPr="009642F7" w14:paraId="637D2AD9" w14:textId="77777777" w:rsidTr="004D7FCE">
        <w:trPr>
          <w:trHeight w:val="330"/>
        </w:trPr>
        <w:tc>
          <w:tcPr>
            <w:tcW w:w="908" w:type="pct"/>
            <w:tcBorders>
              <w:top w:val="nil"/>
              <w:left w:val="nil"/>
              <w:bottom w:val="single" w:sz="4" w:space="0" w:color="auto"/>
              <w:right w:val="nil"/>
            </w:tcBorders>
            <w:shd w:val="clear" w:color="auto" w:fill="auto"/>
            <w:noWrap/>
            <w:vAlign w:val="center"/>
            <w:hideMark/>
          </w:tcPr>
          <w:p w14:paraId="33F815EE" w14:textId="77777777" w:rsidR="0044245A" w:rsidRPr="009642F7" w:rsidRDefault="0044245A" w:rsidP="0044245A">
            <w:pPr>
              <w:snapToGrid w:val="0"/>
              <w:rPr>
                <w:rFonts w:ascii="Times New Roman" w:hAnsi="Times New Roman" w:cs="Times New Roman"/>
              </w:rPr>
            </w:pPr>
            <w:r w:rsidRPr="009642F7">
              <w:rPr>
                <w:rFonts w:ascii="Times New Roman" w:hAnsi="Times New Roman" w:cs="Times New Roman"/>
              </w:rPr>
              <w:t>[</w:t>
            </w:r>
            <w:r w:rsidRPr="009642F7">
              <w:rPr>
                <w:rFonts w:ascii="Times New Roman" w:hAnsi="Times New Roman" w:cs="Times New Roman"/>
                <w:i/>
              </w:rPr>
              <w:t>t</w:t>
            </w:r>
            <w:r w:rsidRPr="009642F7">
              <w:rPr>
                <w:rFonts w:ascii="Times New Roman" w:hAnsi="Times New Roman" w:cs="Times New Roman"/>
              </w:rPr>
              <w:t>]</w:t>
            </w:r>
          </w:p>
        </w:tc>
        <w:tc>
          <w:tcPr>
            <w:tcW w:w="683" w:type="pct"/>
            <w:tcBorders>
              <w:top w:val="nil"/>
              <w:left w:val="nil"/>
              <w:bottom w:val="single" w:sz="4" w:space="0" w:color="auto"/>
              <w:right w:val="nil"/>
            </w:tcBorders>
            <w:shd w:val="clear" w:color="auto" w:fill="auto"/>
            <w:noWrap/>
            <w:vAlign w:val="center"/>
            <w:hideMark/>
          </w:tcPr>
          <w:p w14:paraId="4F6E1C9C"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[18.77]***</w:t>
            </w:r>
          </w:p>
        </w:tc>
        <w:tc>
          <w:tcPr>
            <w:tcW w:w="683" w:type="pct"/>
            <w:tcBorders>
              <w:top w:val="nil"/>
              <w:left w:val="nil"/>
              <w:bottom w:val="single" w:sz="4" w:space="0" w:color="auto"/>
              <w:right w:val="nil"/>
            </w:tcBorders>
            <w:shd w:val="clear" w:color="auto" w:fill="auto"/>
            <w:noWrap/>
            <w:vAlign w:val="center"/>
            <w:hideMark/>
          </w:tcPr>
          <w:p w14:paraId="4E4C5BA5"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[16.34]***</w:t>
            </w:r>
          </w:p>
        </w:tc>
        <w:tc>
          <w:tcPr>
            <w:tcW w:w="683" w:type="pct"/>
            <w:tcBorders>
              <w:top w:val="nil"/>
              <w:left w:val="nil"/>
              <w:bottom w:val="single" w:sz="4" w:space="0" w:color="auto"/>
              <w:right w:val="nil"/>
            </w:tcBorders>
            <w:shd w:val="clear" w:color="auto" w:fill="auto"/>
            <w:noWrap/>
            <w:vAlign w:val="center"/>
            <w:hideMark/>
          </w:tcPr>
          <w:p w14:paraId="6264B403"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[13.32]***</w:t>
            </w:r>
          </w:p>
        </w:tc>
        <w:tc>
          <w:tcPr>
            <w:tcW w:w="683" w:type="pct"/>
            <w:tcBorders>
              <w:top w:val="nil"/>
              <w:left w:val="nil"/>
              <w:bottom w:val="single" w:sz="4" w:space="0" w:color="auto"/>
              <w:right w:val="nil"/>
            </w:tcBorders>
            <w:shd w:val="clear" w:color="auto" w:fill="auto"/>
            <w:noWrap/>
            <w:vAlign w:val="center"/>
            <w:hideMark/>
          </w:tcPr>
          <w:p w14:paraId="4C5AC695"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[13.07]***</w:t>
            </w:r>
          </w:p>
        </w:tc>
        <w:tc>
          <w:tcPr>
            <w:tcW w:w="682" w:type="pct"/>
            <w:tcBorders>
              <w:top w:val="nil"/>
              <w:left w:val="nil"/>
              <w:bottom w:val="single" w:sz="4" w:space="0" w:color="auto"/>
              <w:right w:val="nil"/>
            </w:tcBorders>
            <w:shd w:val="clear" w:color="auto" w:fill="auto"/>
            <w:noWrap/>
            <w:vAlign w:val="center"/>
            <w:hideMark/>
          </w:tcPr>
          <w:p w14:paraId="518126C2"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[12.66]***</w:t>
            </w:r>
          </w:p>
        </w:tc>
        <w:tc>
          <w:tcPr>
            <w:tcW w:w="679" w:type="pct"/>
            <w:tcBorders>
              <w:top w:val="nil"/>
              <w:left w:val="nil"/>
              <w:bottom w:val="single" w:sz="4" w:space="0" w:color="auto"/>
              <w:right w:val="nil"/>
            </w:tcBorders>
            <w:shd w:val="clear" w:color="auto" w:fill="auto"/>
            <w:noWrap/>
            <w:vAlign w:val="center"/>
            <w:hideMark/>
          </w:tcPr>
          <w:p w14:paraId="62B8B824" w14:textId="77777777" w:rsidR="0044245A" w:rsidRPr="009642F7" w:rsidRDefault="0044245A" w:rsidP="0044245A">
            <w:pPr>
              <w:snapToGrid w:val="0"/>
              <w:jc w:val="center"/>
              <w:rPr>
                <w:rFonts w:ascii="Times New Roman" w:hAnsi="Times New Roman" w:cs="Times New Roman"/>
              </w:rPr>
            </w:pPr>
            <w:r w:rsidRPr="009642F7">
              <w:rPr>
                <w:rFonts w:ascii="Times New Roman" w:hAnsi="Times New Roman" w:cs="Times New Roman"/>
              </w:rPr>
              <w:t>[8.15]***</w:t>
            </w:r>
          </w:p>
        </w:tc>
      </w:tr>
    </w:tbl>
    <w:p w14:paraId="53E1A4A4" w14:textId="77777777" w:rsidR="00D85914" w:rsidRPr="009642F7" w:rsidRDefault="00D85914">
      <w:pPr>
        <w:rPr>
          <w:rFonts w:ascii="Times New Roman" w:hAnsi="Times New Roman" w:cs="Times New Roman"/>
        </w:rPr>
      </w:pPr>
    </w:p>
    <w:p w14:paraId="1276114E" w14:textId="77777777" w:rsidR="008B2BB5" w:rsidRPr="009642F7" w:rsidRDefault="008B2BB5">
      <w:pPr>
        <w:rPr>
          <w:rFonts w:ascii="Times New Roman" w:hAnsi="Times New Roman" w:cs="Times New Roman"/>
        </w:rPr>
      </w:pPr>
    </w:p>
    <w:p w14:paraId="56829C20" w14:textId="77777777" w:rsidR="008B2BB5" w:rsidRPr="009642F7" w:rsidRDefault="008B2BB5">
      <w:pPr>
        <w:rPr>
          <w:rFonts w:ascii="Times New Roman" w:hAnsi="Times New Roman" w:cs="Times New Roman"/>
        </w:rPr>
      </w:pPr>
      <w:r w:rsidRPr="009642F7">
        <w:rPr>
          <w:rFonts w:ascii="Times New Roman" w:hAnsi="Times New Roman" w:cs="Times New Roman"/>
        </w:rPr>
        <w:br w:type="page"/>
      </w:r>
    </w:p>
    <w:tbl>
      <w:tblPr>
        <w:tblW w:w="5000" w:type="pct"/>
        <w:tblCellMar>
          <w:left w:w="28" w:type="dxa"/>
          <w:right w:w="28" w:type="dxa"/>
        </w:tblCellMar>
        <w:tblLook w:val="04A0" w:firstRow="1" w:lastRow="0" w:firstColumn="1" w:lastColumn="0" w:noHBand="0" w:noVBand="1"/>
      </w:tblPr>
      <w:tblGrid>
        <w:gridCol w:w="1735"/>
        <w:gridCol w:w="780"/>
        <w:gridCol w:w="800"/>
        <w:gridCol w:w="965"/>
        <w:gridCol w:w="135"/>
        <w:gridCol w:w="780"/>
        <w:gridCol w:w="800"/>
        <w:gridCol w:w="965"/>
        <w:gridCol w:w="135"/>
        <w:gridCol w:w="780"/>
        <w:gridCol w:w="800"/>
        <w:gridCol w:w="963"/>
      </w:tblGrid>
      <w:tr w:rsidR="009642F7" w:rsidRPr="009642F7" w14:paraId="48463C71" w14:textId="77777777" w:rsidTr="004B0065">
        <w:trPr>
          <w:trHeight w:val="330"/>
        </w:trPr>
        <w:tc>
          <w:tcPr>
            <w:tcW w:w="5000" w:type="pct"/>
            <w:gridSpan w:val="12"/>
            <w:tcBorders>
              <w:top w:val="nil"/>
              <w:left w:val="nil"/>
              <w:bottom w:val="single" w:sz="4" w:space="0" w:color="auto"/>
              <w:right w:val="nil"/>
            </w:tcBorders>
            <w:shd w:val="clear" w:color="auto" w:fill="auto"/>
            <w:noWrap/>
            <w:vAlign w:val="center"/>
          </w:tcPr>
          <w:p w14:paraId="6BAC59B4" w14:textId="77777777" w:rsidR="00B31A24" w:rsidRPr="009642F7" w:rsidRDefault="00B31A24" w:rsidP="009C10FA">
            <w:pPr>
              <w:snapToGrid w:val="0"/>
              <w:jc w:val="center"/>
              <w:rPr>
                <w:rFonts w:ascii="Times New Roman" w:hAnsi="Times New Roman" w:cs="Times New Roman"/>
                <w:b/>
              </w:rPr>
            </w:pPr>
            <w:r w:rsidRPr="009642F7">
              <w:rPr>
                <w:rFonts w:ascii="Times New Roman" w:hAnsi="Times New Roman" w:cs="Times New Roman"/>
                <w:b/>
              </w:rPr>
              <w:lastRenderedPageBreak/>
              <w:t>Table 4. Media Coverage and the Incidence of Financial Restatements: Probit Regressions</w:t>
            </w:r>
          </w:p>
          <w:p w14:paraId="4DFA45AD" w14:textId="77777777" w:rsidR="00924873" w:rsidRPr="009642F7" w:rsidRDefault="00B31A24" w:rsidP="009C10FA">
            <w:pPr>
              <w:snapToGrid w:val="0"/>
              <w:jc w:val="both"/>
              <w:rPr>
                <w:rFonts w:ascii="Times New Roman" w:hAnsi="Times New Roman" w:cs="Times New Roman"/>
              </w:rPr>
            </w:pPr>
            <w:r w:rsidRPr="009642F7">
              <w:rPr>
                <w:rFonts w:ascii="Times New Roman" w:hAnsi="Times New Roman" w:cs="Times New Roman"/>
              </w:rPr>
              <w:t xml:space="preserve">This table reports the results of Probit regressions with </w:t>
            </w:r>
            <w:r w:rsidRPr="009642F7">
              <w:rPr>
                <w:rFonts w:ascii="Times New Roman" w:hAnsi="Times New Roman" w:cs="Times New Roman"/>
                <w:i/>
              </w:rPr>
              <w:t>Restat</w:t>
            </w:r>
            <w:r w:rsidRPr="009642F7">
              <w:rPr>
                <w:rFonts w:ascii="Times New Roman" w:hAnsi="Times New Roman" w:cs="Times New Roman"/>
              </w:rPr>
              <w:t xml:space="preserve"> </w:t>
            </w:r>
            <w:r w:rsidRPr="009642F7">
              <w:rPr>
                <w:rFonts w:ascii="Times New Roman" w:eastAsia="HeiT" w:hAnsi="Times New Roman" w:cs="Times New Roman"/>
                <w:bCs/>
              </w:rPr>
              <w:t xml:space="preserve">as the dependent variable and </w:t>
            </w:r>
            <w:r w:rsidRPr="009642F7">
              <w:rPr>
                <w:rFonts w:ascii="Times New Roman" w:eastAsia="HeiT" w:hAnsi="Times New Roman" w:cs="Times New Roman"/>
                <w:bCs/>
                <w:i/>
              </w:rPr>
              <w:t>Ln</w:t>
            </w:r>
            <w:r w:rsidRPr="009642F7">
              <w:rPr>
                <w:rFonts w:ascii="Times New Roman" w:hAnsi="Times New Roman" w:cs="Times New Roman"/>
                <w:i/>
              </w:rPr>
              <w:t>Media</w:t>
            </w:r>
            <w:r w:rsidRPr="009642F7">
              <w:rPr>
                <w:rFonts w:ascii="Times New Roman" w:eastAsia="HeiT" w:hAnsi="Times New Roman" w:cs="Times New Roman"/>
                <w:bCs/>
              </w:rPr>
              <w:t xml:space="preserve"> as the main independent variable by controlling for a set of variables.</w:t>
            </w:r>
            <w:r w:rsidR="00924873" w:rsidRPr="009642F7">
              <w:rPr>
                <w:rFonts w:ascii="Times New Roman" w:eastAsia="HeiT" w:hAnsi="Times New Roman" w:cs="Times New Roman"/>
                <w:bCs/>
              </w:rPr>
              <w:t xml:space="preserve"> The </w:t>
            </w:r>
            <w:r w:rsidR="00924873" w:rsidRPr="009642F7">
              <w:rPr>
                <w:rFonts w:ascii="Times New Roman" w:hAnsi="Times New Roman" w:cs="Times New Roman"/>
              </w:rPr>
              <w:t>Probit regression models we estimate are as follows:</w:t>
            </w:r>
          </w:p>
          <w:p w14:paraId="154FDE49" w14:textId="77777777" w:rsidR="00924873" w:rsidRPr="009642F7" w:rsidRDefault="00000000" w:rsidP="009C10FA">
            <w:pPr>
              <w:snapToGrid w:val="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Restat</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eastAsia="HeiT" w:hAnsi="Cambria Math" w:cs="Times New Roman"/>
                    </w:rPr>
                    <m:t>Ln</m:t>
                  </m:r>
                  <m:r>
                    <w:rPr>
                      <w:rFonts w:ascii="Cambria Math" w:hAnsi="Cambria Math" w:cs="Times New Roman"/>
                    </w:rPr>
                    <m:t>Media</m:t>
                  </m:r>
                </m:e>
                <m:sub>
                  <m:r>
                    <w:rPr>
                      <w:rFonts w:ascii="Cambria Math" w:hAnsi="Cambria Math" w:cs="Times New Roman"/>
                    </w:rPr>
                    <m:t>i,t-n</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p</m:t>
                  </m:r>
                </m:sub>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p</m:t>
                      </m:r>
                    </m:sub>
                  </m:sSub>
                  <m:sSubSup>
                    <m:sSubSupPr>
                      <m:ctrlPr>
                        <w:rPr>
                          <w:rFonts w:ascii="Cambria Math" w:hAnsi="Cambria Math" w:cs="Times New Roman"/>
                          <w:i/>
                        </w:rPr>
                      </m:ctrlPr>
                    </m:sSubSupPr>
                    <m:e>
                      <m:r>
                        <w:rPr>
                          <w:rFonts w:ascii="Cambria Math" w:hAnsi="Cambria Math" w:cs="Times New Roman"/>
                        </w:rPr>
                        <m:t>×control</m:t>
                      </m:r>
                    </m:e>
                    <m:sub>
                      <m:r>
                        <w:rPr>
                          <w:rFonts w:ascii="Cambria Math" w:hAnsi="Cambria Math" w:cs="Times New Roman"/>
                        </w:rPr>
                        <m:t>i,t-n</m:t>
                      </m:r>
                    </m:sub>
                    <m:sup>
                      <m:r>
                        <w:rPr>
                          <w:rFonts w:ascii="Cambria Math" w:hAnsi="Cambria Math" w:cs="Times New Roman"/>
                        </w:rPr>
                        <m:t>p</m:t>
                      </m:r>
                    </m:sup>
                  </m:sSubSup>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oMath>
            <w:r w:rsidR="00924873" w:rsidRPr="009642F7">
              <w:rPr>
                <w:rFonts w:ascii="Times New Roman" w:hAnsi="Times New Roman" w:cs="Times New Roman"/>
              </w:rPr>
              <w:t xml:space="preserve">  </w:t>
            </w:r>
          </w:p>
          <w:p w14:paraId="340F413B" w14:textId="77777777" w:rsidR="00B31A24" w:rsidRPr="009642F7" w:rsidRDefault="00924873" w:rsidP="009C10FA">
            <w:pPr>
              <w:snapToGrid w:val="0"/>
              <w:jc w:val="both"/>
              <w:rPr>
                <w:rFonts w:ascii="Times New Roman" w:hAnsi="Times New Roman" w:cs="Times New Roman"/>
                <w:sz w:val="20"/>
                <w:szCs w:val="21"/>
              </w:rPr>
            </w:pPr>
            <w:r w:rsidRPr="009642F7">
              <w:rPr>
                <w:rFonts w:ascii="Times New Roman" w:eastAsia="HeiT" w:hAnsi="Times New Roman" w:cs="Times New Roman"/>
                <w:bCs/>
              </w:rPr>
              <w:t xml:space="preserve">where the dependent variable, </w:t>
            </w:r>
            <m:oMath>
              <m:sSub>
                <m:sSubPr>
                  <m:ctrlPr>
                    <w:rPr>
                      <w:rFonts w:ascii="Cambria Math" w:hAnsi="Cambria Math" w:cs="Times New Roman"/>
                      <w:i/>
                    </w:rPr>
                  </m:ctrlPr>
                </m:sSubPr>
                <m:e>
                  <m:r>
                    <w:rPr>
                      <w:rFonts w:ascii="Cambria Math" w:hAnsi="Cambria Math" w:cs="Times New Roman"/>
                    </w:rPr>
                    <m:t>Restat</m:t>
                  </m:r>
                </m:e>
                <m:sub>
                  <m:r>
                    <w:rPr>
                      <w:rFonts w:ascii="Cambria Math" w:hAnsi="Cambria Math" w:cs="Times New Roman"/>
                    </w:rPr>
                    <m:t>i,t</m:t>
                  </m:r>
                </m:sub>
              </m:sSub>
            </m:oMath>
            <w:r w:rsidRPr="009642F7">
              <w:rPr>
                <w:rFonts w:ascii="Times New Roman" w:eastAsia="HeiT" w:hAnsi="Times New Roman" w:cs="Times New Roman"/>
              </w:rPr>
              <w:t>,</w:t>
            </w:r>
            <w:r w:rsidRPr="009642F7">
              <w:rPr>
                <w:rFonts w:ascii="Times New Roman" w:eastAsia="HeiT" w:hAnsi="Times New Roman" w:cs="Times New Roman"/>
                <w:bCs/>
              </w:rPr>
              <w:t xml:space="preserve"> is an indicator variable equal to one, if there is at least one restatement in the year </w:t>
            </w:r>
            <m:oMath>
              <m:r>
                <w:rPr>
                  <w:rFonts w:ascii="Cambria Math" w:hAnsi="Cambria Math" w:cs="Times New Roman"/>
                </w:rPr>
                <m:t>t</m:t>
              </m:r>
            </m:oMath>
            <w:r w:rsidRPr="009642F7">
              <w:rPr>
                <w:rFonts w:ascii="Times New Roman" w:eastAsia="HeiT" w:hAnsi="Times New Roman" w:cs="Times New Roman"/>
                <w:bCs/>
              </w:rPr>
              <w:t xml:space="preserve">, and zero otherwise. </w:t>
            </w:r>
            <m:oMath>
              <m:sSub>
                <m:sSubPr>
                  <m:ctrlPr>
                    <w:rPr>
                      <w:rFonts w:ascii="Cambria Math" w:hAnsi="Cambria Math" w:cs="Times New Roman"/>
                      <w:i/>
                    </w:rPr>
                  </m:ctrlPr>
                </m:sSubPr>
                <m:e>
                  <m:r>
                    <w:rPr>
                      <w:rFonts w:ascii="Cambria Math" w:eastAsia="HeiT" w:hAnsi="Cambria Math" w:cs="Times New Roman"/>
                    </w:rPr>
                    <m:t>Ln</m:t>
                  </m:r>
                  <m:r>
                    <w:rPr>
                      <w:rFonts w:ascii="Cambria Math" w:hAnsi="Cambria Math" w:cs="Times New Roman"/>
                    </w:rPr>
                    <m:t>Media</m:t>
                  </m:r>
                </m:e>
                <m:sub>
                  <m:r>
                    <w:rPr>
                      <w:rFonts w:ascii="Cambria Math" w:hAnsi="Cambria Math" w:cs="Times New Roman"/>
                    </w:rPr>
                    <m:t>i,t-n</m:t>
                  </m:r>
                </m:sub>
              </m:sSub>
            </m:oMath>
            <w:r w:rsidRPr="009642F7">
              <w:rPr>
                <w:rFonts w:ascii="Times New Roman" w:eastAsia="HeiT" w:hAnsi="Times New Roman" w:cs="Times New Roman"/>
              </w:rPr>
              <w:t xml:space="preserve"> is the natural logarithm of </w:t>
            </w:r>
            <w:r w:rsidRPr="009642F7">
              <w:rPr>
                <w:rFonts w:ascii="Times New Roman" w:eastAsia="HeiT" w:hAnsi="Times New Roman" w:cs="Times New Roman"/>
                <w:i/>
              </w:rPr>
              <w:t>Media</w:t>
            </w:r>
            <w:r w:rsidRPr="009642F7">
              <w:rPr>
                <w:rFonts w:ascii="Times New Roman" w:eastAsia="HeiT" w:hAnsi="Times New Roman" w:cs="Times New Roman"/>
              </w:rPr>
              <w:t xml:space="preserve"> </w:t>
            </w:r>
            <w:r w:rsidRPr="009642F7">
              <w:rPr>
                <w:rFonts w:ascii="Times New Roman" w:eastAsia="HeiT" w:hAnsi="Times New Roman" w:cs="Times New Roman"/>
                <w:bCs/>
              </w:rPr>
              <w:t xml:space="preserve">in the year </w:t>
            </w:r>
            <m:oMath>
              <m:r>
                <w:rPr>
                  <w:rFonts w:ascii="Cambria Math" w:hAnsi="Cambria Math" w:cs="Times New Roman"/>
                </w:rPr>
                <m:t>t-n</m:t>
              </m:r>
            </m:oMath>
            <w:r w:rsidRPr="009642F7">
              <w:rPr>
                <w:rFonts w:ascii="Times New Roman" w:eastAsia="HeiT"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control</m:t>
                  </m:r>
                </m:e>
                <m:sub>
                  <m:r>
                    <w:rPr>
                      <w:rFonts w:ascii="Cambria Math" w:hAnsi="Cambria Math" w:cs="Times New Roman"/>
                    </w:rPr>
                    <m:t>i,t-1</m:t>
                  </m:r>
                </m:sub>
                <m:sup>
                  <m:r>
                    <w:rPr>
                      <w:rFonts w:ascii="Cambria Math" w:hAnsi="Cambria Math" w:cs="Times New Roman"/>
                    </w:rPr>
                    <m:t>p</m:t>
                  </m:r>
                </m:sup>
              </m:sSubSup>
            </m:oMath>
            <w:r w:rsidRPr="009642F7">
              <w:rPr>
                <w:rFonts w:ascii="Times New Roman" w:eastAsia="HeiT" w:hAnsi="Times New Roman" w:cs="Times New Roman"/>
              </w:rPr>
              <w:t xml:space="preserve"> are a set of firm characteristic and corporate governance control variables for firm </w:t>
            </w:r>
            <w:r w:rsidRPr="009642F7">
              <w:rPr>
                <w:rFonts w:ascii="Times New Roman" w:eastAsia="HeiT" w:hAnsi="Times New Roman" w:cs="Times New Roman"/>
                <w:i/>
              </w:rPr>
              <w:t>i</w:t>
            </w:r>
            <w:r w:rsidRPr="009642F7">
              <w:rPr>
                <w:rFonts w:ascii="Times New Roman" w:eastAsia="HeiT" w:hAnsi="Times New Roman" w:cs="Times New Roman"/>
              </w:rPr>
              <w:t xml:space="preserve"> in year </w:t>
            </w:r>
            <m:oMath>
              <m:r>
                <w:rPr>
                  <w:rFonts w:ascii="Cambria Math" w:hAnsi="Cambria Math" w:cs="Times New Roman"/>
                </w:rPr>
                <m:t>t-n</m:t>
              </m:r>
            </m:oMath>
            <w:r w:rsidRPr="009642F7">
              <w:rPr>
                <w:rFonts w:ascii="Times New Roman" w:eastAsia="HeiT" w:hAnsi="Times New Roman" w:cs="Times New Roman"/>
              </w:rPr>
              <w:t xml:space="preserve">, including </w:t>
            </w:r>
            <w:r w:rsidRPr="009642F7">
              <w:rPr>
                <w:rFonts w:ascii="Times New Roman" w:eastAsia="HeiT" w:hAnsi="Times New Roman" w:cs="Times New Roman"/>
                <w:i/>
              </w:rPr>
              <w:t>LnTA</w:t>
            </w:r>
            <w:r w:rsidRPr="009642F7">
              <w:rPr>
                <w:rFonts w:ascii="Times New Roman" w:eastAsia="HeiT" w:hAnsi="Times New Roman" w:cs="Times New Roman"/>
              </w:rPr>
              <w:t xml:space="preserve">, </w:t>
            </w:r>
            <w:r w:rsidRPr="009642F7">
              <w:rPr>
                <w:rFonts w:ascii="Times New Roman" w:eastAsia="HeiT" w:hAnsi="Times New Roman" w:cs="Times New Roman"/>
                <w:i/>
              </w:rPr>
              <w:t>TobinQ</w:t>
            </w:r>
            <w:r w:rsidRPr="009642F7">
              <w:rPr>
                <w:rFonts w:ascii="Times New Roman" w:eastAsia="HeiT" w:hAnsi="Times New Roman" w:cs="Times New Roman"/>
              </w:rPr>
              <w:t xml:space="preserve">, </w:t>
            </w:r>
            <w:r w:rsidRPr="009642F7">
              <w:rPr>
                <w:rFonts w:ascii="Times New Roman" w:eastAsia="HeiT" w:hAnsi="Times New Roman" w:cs="Times New Roman"/>
                <w:i/>
              </w:rPr>
              <w:t>SG</w:t>
            </w:r>
            <w:r w:rsidRPr="009642F7">
              <w:rPr>
                <w:rFonts w:ascii="Times New Roman" w:eastAsia="HeiT" w:hAnsi="Times New Roman" w:cs="Times New Roman"/>
              </w:rPr>
              <w:t xml:space="preserve">, </w:t>
            </w:r>
            <w:r w:rsidRPr="009642F7">
              <w:rPr>
                <w:rFonts w:ascii="Times New Roman" w:eastAsia="HeiT" w:hAnsi="Times New Roman" w:cs="Times New Roman"/>
                <w:i/>
              </w:rPr>
              <w:t>DEBT</w:t>
            </w:r>
            <w:r w:rsidRPr="009642F7">
              <w:rPr>
                <w:rFonts w:ascii="Times New Roman" w:eastAsia="HeiT" w:hAnsi="Times New Roman" w:cs="Times New Roman"/>
              </w:rPr>
              <w:t xml:space="preserve">, </w:t>
            </w:r>
            <w:r w:rsidRPr="009642F7">
              <w:rPr>
                <w:rFonts w:ascii="Times New Roman" w:eastAsia="HeiT" w:hAnsi="Times New Roman" w:cs="Times New Roman"/>
                <w:i/>
              </w:rPr>
              <w:t>ROA</w:t>
            </w:r>
            <w:r w:rsidRPr="009642F7">
              <w:rPr>
                <w:rFonts w:ascii="Times New Roman" w:eastAsia="HeiT" w:hAnsi="Times New Roman" w:cs="Times New Roman"/>
              </w:rPr>
              <w:t xml:space="preserve">, </w:t>
            </w:r>
            <w:r w:rsidRPr="009642F7">
              <w:rPr>
                <w:rFonts w:ascii="Times New Roman" w:eastAsia="HeiT" w:hAnsi="Times New Roman" w:cs="Times New Roman"/>
                <w:i/>
              </w:rPr>
              <w:t>DIV</w:t>
            </w:r>
            <w:r w:rsidRPr="009642F7">
              <w:rPr>
                <w:rFonts w:ascii="Times New Roman" w:eastAsia="HeiT" w:hAnsi="Times New Roman" w:cs="Times New Roman"/>
              </w:rPr>
              <w:t xml:space="preserve">, </w:t>
            </w:r>
            <w:r w:rsidRPr="009642F7">
              <w:rPr>
                <w:rFonts w:ascii="Times New Roman" w:eastAsia="HeiT" w:hAnsi="Times New Roman" w:cs="Times New Roman"/>
                <w:i/>
              </w:rPr>
              <w:t>BSIZE</w:t>
            </w:r>
            <w:r w:rsidRPr="009642F7">
              <w:rPr>
                <w:rFonts w:ascii="Times New Roman" w:eastAsia="HeiT" w:hAnsi="Times New Roman" w:cs="Times New Roman"/>
              </w:rPr>
              <w:t xml:space="preserve">, </w:t>
            </w:r>
            <w:r w:rsidRPr="009642F7">
              <w:rPr>
                <w:rFonts w:ascii="Times New Roman" w:eastAsia="HeiT" w:hAnsi="Times New Roman" w:cs="Times New Roman"/>
                <w:i/>
              </w:rPr>
              <w:t>BIND</w:t>
            </w:r>
            <w:r w:rsidRPr="009642F7">
              <w:rPr>
                <w:rFonts w:ascii="Times New Roman" w:eastAsia="HeiT" w:hAnsi="Times New Roman" w:cs="Times New Roman"/>
              </w:rPr>
              <w:t xml:space="preserve">, </w:t>
            </w:r>
            <w:r w:rsidRPr="009642F7">
              <w:rPr>
                <w:rFonts w:ascii="Times New Roman" w:eastAsia="HeiT" w:hAnsi="Times New Roman" w:cs="Times New Roman"/>
                <w:i/>
              </w:rPr>
              <w:t>BOR</w:t>
            </w:r>
            <w:r w:rsidRPr="009642F7">
              <w:rPr>
                <w:rFonts w:ascii="Times New Roman" w:eastAsia="HeiT" w:hAnsi="Times New Roman" w:cs="Times New Roman"/>
              </w:rPr>
              <w:t xml:space="preserve">, </w:t>
            </w:r>
            <w:r w:rsidRPr="009642F7">
              <w:rPr>
                <w:rFonts w:ascii="Times New Roman" w:eastAsia="HeiT" w:hAnsi="Times New Roman" w:cs="Times New Roman"/>
                <w:i/>
              </w:rPr>
              <w:t>BLOCK</w:t>
            </w:r>
            <w:r w:rsidRPr="009642F7">
              <w:rPr>
                <w:rFonts w:ascii="Times New Roman" w:eastAsia="HeiT" w:hAnsi="Times New Roman" w:cs="Times New Roman"/>
              </w:rPr>
              <w:t xml:space="preserve">, </w:t>
            </w:r>
            <w:r w:rsidRPr="009642F7">
              <w:rPr>
                <w:rFonts w:ascii="Times New Roman" w:eastAsia="HeiT" w:hAnsi="Times New Roman" w:cs="Times New Roman"/>
                <w:i/>
              </w:rPr>
              <w:t>XCR</w:t>
            </w:r>
            <w:r w:rsidRPr="009642F7">
              <w:rPr>
                <w:rFonts w:ascii="Times New Roman" w:eastAsia="HeiT" w:hAnsi="Times New Roman" w:cs="Times New Roman"/>
              </w:rPr>
              <w:t xml:space="preserve">, and </w:t>
            </w:r>
            <w:r w:rsidRPr="009642F7">
              <w:rPr>
                <w:rFonts w:ascii="Times New Roman" w:eastAsia="HeiT" w:hAnsi="Times New Roman" w:cs="Times New Roman"/>
                <w:i/>
              </w:rPr>
              <w:t>BDUAL</w:t>
            </w:r>
            <w:r w:rsidRPr="009642F7">
              <w:rPr>
                <w:rFonts w:ascii="Times New Roman" w:eastAsia="HeiT" w:hAnsi="Times New Roman" w:cs="Times New Roman"/>
              </w:rPr>
              <w:t xml:space="preserve">. </w:t>
            </w:r>
            <w:r w:rsidR="009C10FA" w:rsidRPr="009642F7">
              <w:rPr>
                <w:rFonts w:ascii="Times New Roman" w:hAnsi="Times New Roman" w:cs="Times New Roman"/>
                <w:noProof/>
              </w:rPr>
              <w:t>Our sample contains the TWSE/TPEx stocks during the period of 2000</w:t>
            </w:r>
            <w:r w:rsidR="009C10FA" w:rsidRPr="009642F7">
              <w:rPr>
                <w:rFonts w:ascii="Times New Roman" w:hAnsi="Times New Roman" w:cs="Times New Roman"/>
                <w:bCs/>
                <w:noProof/>
              </w:rPr>
              <w:t>−</w:t>
            </w:r>
            <w:r w:rsidR="009C10FA" w:rsidRPr="009642F7">
              <w:rPr>
                <w:rFonts w:ascii="Times New Roman" w:hAnsi="Times New Roman" w:cs="Times New Roman"/>
                <w:noProof/>
              </w:rPr>
              <w:t xml:space="preserve">2021. </w:t>
            </w:r>
            <w:r w:rsidR="009C10FA" w:rsidRPr="009642F7">
              <w:rPr>
                <w:rFonts w:ascii="Times New Roman" w:hAnsi="Times New Roman" w:cs="Times New Roman"/>
                <w:bCs/>
                <w:noProof/>
              </w:rPr>
              <w:t>S</w:t>
            </w:r>
            <w:r w:rsidR="009C10FA" w:rsidRPr="009642F7">
              <w:rPr>
                <w:rFonts w:ascii="Times New Roman" w:hAnsi="Times New Roman" w:cs="Times New Roman"/>
                <w:noProof/>
              </w:rPr>
              <w:t xml:space="preserve">tocks in financial industries (two-digit industrial </w:t>
            </w:r>
            <w:r w:rsidR="009C10FA" w:rsidRPr="009642F7">
              <w:rPr>
                <w:rFonts w:ascii="Times New Roman" w:hAnsi="Times New Roman" w:cs="Times New Roman"/>
                <w:noProof/>
                <w:shd w:val="clear" w:color="auto" w:fill="FFFFFF"/>
              </w:rPr>
              <w:t>codes</w:t>
            </w:r>
            <w:r w:rsidR="009C10FA" w:rsidRPr="009642F7">
              <w:rPr>
                <w:rFonts w:ascii="Times New Roman" w:hAnsi="Times New Roman" w:cs="Times New Roman"/>
                <w:noProof/>
              </w:rPr>
              <w:t xml:space="preserve"> 28, 58, and 60) are deleted.</w:t>
            </w:r>
            <w:r w:rsidR="009C10FA" w:rsidRPr="009642F7">
              <w:rPr>
                <w:rFonts w:ascii="Times New Roman" w:hAnsi="Times New Roman" w:cs="Times New Roman"/>
                <w:i/>
              </w:rPr>
              <w:t xml:space="preserve"> p</w:t>
            </w:r>
            <w:r w:rsidR="009C10FA" w:rsidRPr="009642F7">
              <w:rPr>
                <w:rFonts w:ascii="Times New Roman" w:hAnsi="Times New Roman" w:cs="Times New Roman"/>
              </w:rPr>
              <w:t>-value</w:t>
            </w:r>
            <w:r w:rsidR="009C10FA" w:rsidRPr="009642F7">
              <w:rPr>
                <w:rFonts w:ascii="Times New Roman" w:eastAsia="HeiT" w:hAnsi="Times New Roman" w:cs="Times New Roman"/>
                <w:bCs/>
              </w:rPr>
              <w:t xml:space="preserve"> for t</w:t>
            </w:r>
            <w:r w:rsidR="009C10FA" w:rsidRPr="009642F7">
              <w:rPr>
                <w:rFonts w:ascii="Times New Roman" w:hAnsi="Times New Roman" w:cs="Times New Roman"/>
              </w:rPr>
              <w:t xml:space="preserve">he Wald chi-square of the estimated coefficients are reported in the parentheses. *, **, and *** denote significance levels of 10%, 5%, and 1%, respectively. </w:t>
            </w:r>
            <w:r w:rsidR="009C10FA" w:rsidRPr="009642F7">
              <w:rPr>
                <w:rFonts w:ascii="Times New Roman" w:hAnsi="Times New Roman" w:cs="Times New Roman"/>
                <w:bCs/>
                <w:i/>
                <w:noProof/>
              </w:rPr>
              <w:t>N</w:t>
            </w:r>
            <w:r w:rsidR="009C10FA" w:rsidRPr="009642F7">
              <w:rPr>
                <w:rFonts w:ascii="Times New Roman" w:hAnsi="Times New Roman" w:cs="Times New Roman"/>
                <w:bCs/>
                <w:noProof/>
              </w:rPr>
              <w:t xml:space="preserve"> are firm-year observations. </w:t>
            </w:r>
            <w:r w:rsidR="009C10FA" w:rsidRPr="009642F7">
              <w:rPr>
                <w:rFonts w:ascii="Times New Roman" w:hAnsi="Times New Roman" w:cs="Times New Roman"/>
                <w:noProof/>
              </w:rPr>
              <w:t>All data are from the TEJ database.</w:t>
            </w:r>
          </w:p>
        </w:tc>
      </w:tr>
      <w:tr w:rsidR="009642F7" w:rsidRPr="009642F7" w14:paraId="3E456A91" w14:textId="77777777" w:rsidTr="004B0065">
        <w:tc>
          <w:tcPr>
            <w:tcW w:w="925" w:type="pct"/>
            <w:tcBorders>
              <w:top w:val="nil"/>
              <w:left w:val="nil"/>
              <w:bottom w:val="single" w:sz="4" w:space="0" w:color="auto"/>
              <w:right w:val="nil"/>
            </w:tcBorders>
            <w:shd w:val="clear" w:color="auto" w:fill="auto"/>
            <w:noWrap/>
            <w:vAlign w:val="center"/>
            <w:hideMark/>
          </w:tcPr>
          <w:p w14:paraId="498983E1" w14:textId="77777777" w:rsidR="00B31A24" w:rsidRPr="009642F7" w:rsidRDefault="00B31A24" w:rsidP="00B31A24">
            <w:pPr>
              <w:snapToGrid w:val="0"/>
              <w:rPr>
                <w:rFonts w:ascii="Times New Roman" w:hAnsi="Times New Roman" w:cs="Times New Roman"/>
                <w:sz w:val="20"/>
                <w:szCs w:val="21"/>
              </w:rPr>
            </w:pPr>
            <w:r w:rsidRPr="009642F7">
              <w:rPr>
                <w:rFonts w:ascii="Times New Roman" w:hAnsi="Times New Roman" w:cs="Times New Roman"/>
                <w:sz w:val="20"/>
                <w:szCs w:val="21"/>
              </w:rPr>
              <w:t xml:space="preserve">　</w:t>
            </w:r>
          </w:p>
        </w:tc>
        <w:tc>
          <w:tcPr>
            <w:tcW w:w="1323" w:type="pct"/>
            <w:gridSpan w:val="3"/>
            <w:tcBorders>
              <w:top w:val="nil"/>
              <w:left w:val="nil"/>
              <w:bottom w:val="single" w:sz="4" w:space="0" w:color="auto"/>
              <w:right w:val="nil"/>
            </w:tcBorders>
            <w:shd w:val="clear" w:color="auto" w:fill="auto"/>
            <w:noWrap/>
            <w:vAlign w:val="center"/>
            <w:hideMark/>
          </w:tcPr>
          <w:p w14:paraId="3B953DDC" w14:textId="77777777" w:rsidR="00B31A24" w:rsidRPr="009642F7" w:rsidRDefault="00B31A24"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(1)</w:t>
            </w:r>
          </w:p>
        </w:tc>
        <w:tc>
          <w:tcPr>
            <w:tcW w:w="52" w:type="pct"/>
            <w:tcBorders>
              <w:top w:val="nil"/>
              <w:left w:val="nil"/>
              <w:bottom w:val="single" w:sz="4" w:space="0" w:color="auto"/>
              <w:right w:val="nil"/>
            </w:tcBorders>
            <w:shd w:val="clear" w:color="auto" w:fill="auto"/>
            <w:noWrap/>
            <w:vAlign w:val="center"/>
            <w:hideMark/>
          </w:tcPr>
          <w:p w14:paraId="6772E2B5" w14:textId="77777777" w:rsidR="00B31A24" w:rsidRPr="009642F7" w:rsidRDefault="00B31A24" w:rsidP="00B31A24">
            <w:pPr>
              <w:snapToGrid w:val="0"/>
              <w:rPr>
                <w:rFonts w:ascii="Times New Roman" w:hAnsi="Times New Roman" w:cs="Times New Roman"/>
                <w:sz w:val="20"/>
                <w:szCs w:val="21"/>
              </w:rPr>
            </w:pPr>
            <w:r w:rsidRPr="009642F7">
              <w:rPr>
                <w:rFonts w:ascii="Times New Roman" w:hAnsi="Times New Roman" w:cs="Times New Roman"/>
                <w:sz w:val="20"/>
                <w:szCs w:val="21"/>
              </w:rPr>
              <w:t xml:space="preserve">　</w:t>
            </w:r>
          </w:p>
        </w:tc>
        <w:tc>
          <w:tcPr>
            <w:tcW w:w="1323" w:type="pct"/>
            <w:gridSpan w:val="3"/>
            <w:tcBorders>
              <w:top w:val="nil"/>
              <w:left w:val="nil"/>
              <w:bottom w:val="single" w:sz="4" w:space="0" w:color="auto"/>
              <w:right w:val="nil"/>
            </w:tcBorders>
            <w:shd w:val="clear" w:color="auto" w:fill="auto"/>
            <w:noWrap/>
            <w:vAlign w:val="center"/>
            <w:hideMark/>
          </w:tcPr>
          <w:p w14:paraId="3D702607" w14:textId="77777777" w:rsidR="00B31A24" w:rsidRPr="009642F7" w:rsidRDefault="00B31A24"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(2)</w:t>
            </w:r>
          </w:p>
          <w:p w14:paraId="126FA014" w14:textId="77777777" w:rsidR="00B31A24" w:rsidRPr="009642F7" w:rsidRDefault="00B31A24" w:rsidP="00B31A24">
            <w:pPr>
              <w:snapToGrid w:val="0"/>
              <w:rPr>
                <w:rFonts w:ascii="Times New Roman" w:hAnsi="Times New Roman" w:cs="Times New Roman"/>
                <w:sz w:val="20"/>
                <w:szCs w:val="21"/>
              </w:rPr>
            </w:pPr>
          </w:p>
        </w:tc>
        <w:tc>
          <w:tcPr>
            <w:tcW w:w="52" w:type="pct"/>
            <w:tcBorders>
              <w:top w:val="nil"/>
              <w:left w:val="nil"/>
              <w:bottom w:val="single" w:sz="4" w:space="0" w:color="auto"/>
              <w:right w:val="nil"/>
            </w:tcBorders>
            <w:shd w:val="clear" w:color="auto" w:fill="auto"/>
            <w:noWrap/>
            <w:vAlign w:val="center"/>
            <w:hideMark/>
          </w:tcPr>
          <w:p w14:paraId="5F5CE852" w14:textId="77777777" w:rsidR="00B31A24" w:rsidRPr="009642F7" w:rsidRDefault="00B31A24" w:rsidP="00B31A24">
            <w:pPr>
              <w:snapToGrid w:val="0"/>
              <w:rPr>
                <w:rFonts w:ascii="Times New Roman" w:hAnsi="Times New Roman" w:cs="Times New Roman"/>
                <w:sz w:val="20"/>
                <w:szCs w:val="21"/>
              </w:rPr>
            </w:pPr>
            <w:r w:rsidRPr="009642F7">
              <w:rPr>
                <w:rFonts w:ascii="Times New Roman" w:hAnsi="Times New Roman" w:cs="Times New Roman"/>
                <w:sz w:val="20"/>
                <w:szCs w:val="21"/>
              </w:rPr>
              <w:t xml:space="preserve">　</w:t>
            </w:r>
          </w:p>
        </w:tc>
        <w:tc>
          <w:tcPr>
            <w:tcW w:w="1323" w:type="pct"/>
            <w:gridSpan w:val="3"/>
            <w:tcBorders>
              <w:top w:val="nil"/>
              <w:left w:val="nil"/>
              <w:bottom w:val="single" w:sz="4" w:space="0" w:color="auto"/>
              <w:right w:val="nil"/>
            </w:tcBorders>
            <w:shd w:val="clear" w:color="auto" w:fill="auto"/>
            <w:noWrap/>
            <w:vAlign w:val="center"/>
            <w:hideMark/>
          </w:tcPr>
          <w:p w14:paraId="0A496F74" w14:textId="77777777" w:rsidR="00B31A24" w:rsidRPr="009642F7" w:rsidRDefault="00B31A24"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(3)</w:t>
            </w:r>
          </w:p>
        </w:tc>
      </w:tr>
      <w:tr w:rsidR="009642F7" w:rsidRPr="009642F7" w14:paraId="2C08C51F" w14:textId="77777777" w:rsidTr="004B0065">
        <w:tc>
          <w:tcPr>
            <w:tcW w:w="925" w:type="pct"/>
            <w:tcBorders>
              <w:top w:val="nil"/>
              <w:left w:val="nil"/>
              <w:bottom w:val="single" w:sz="4" w:space="0" w:color="auto"/>
              <w:right w:val="nil"/>
            </w:tcBorders>
            <w:shd w:val="clear" w:color="auto" w:fill="auto"/>
            <w:noWrap/>
            <w:vAlign w:val="center"/>
            <w:hideMark/>
          </w:tcPr>
          <w:p w14:paraId="081603B6" w14:textId="77777777" w:rsidR="00B31A24" w:rsidRPr="009642F7" w:rsidRDefault="00B31A24" w:rsidP="00B31A24">
            <w:pPr>
              <w:snapToGrid w:val="0"/>
              <w:rPr>
                <w:rFonts w:ascii="Times New Roman" w:hAnsi="Times New Roman" w:cs="Times New Roman"/>
                <w:sz w:val="20"/>
                <w:szCs w:val="21"/>
              </w:rPr>
            </w:pPr>
            <w:r w:rsidRPr="009642F7">
              <w:rPr>
                <w:rFonts w:ascii="Times New Roman" w:hAnsi="Times New Roman" w:cs="Times New Roman"/>
                <w:sz w:val="20"/>
                <w:szCs w:val="21"/>
              </w:rPr>
              <w:t xml:space="preserve">　</w:t>
            </w:r>
          </w:p>
        </w:tc>
        <w:tc>
          <w:tcPr>
            <w:tcW w:w="404" w:type="pct"/>
            <w:tcBorders>
              <w:top w:val="nil"/>
              <w:left w:val="nil"/>
              <w:bottom w:val="single" w:sz="4" w:space="0" w:color="auto"/>
              <w:right w:val="nil"/>
            </w:tcBorders>
            <w:shd w:val="clear" w:color="auto" w:fill="auto"/>
            <w:noWrap/>
            <w:vAlign w:val="center"/>
            <w:hideMark/>
          </w:tcPr>
          <w:p w14:paraId="4F991816" w14:textId="77777777" w:rsidR="00B31A24" w:rsidRPr="009642F7" w:rsidRDefault="00B31A24" w:rsidP="009C10FA">
            <w:pPr>
              <w:snapToGrid w:val="0"/>
              <w:jc w:val="right"/>
              <w:rPr>
                <w:rFonts w:ascii="Times New Roman" w:eastAsia="HeiT" w:hAnsi="Times New Roman" w:cs="Times New Roman"/>
                <w:bCs/>
                <w:sz w:val="20"/>
                <w:szCs w:val="21"/>
              </w:rPr>
            </w:pPr>
            <w:r w:rsidRPr="009642F7">
              <w:rPr>
                <w:rFonts w:ascii="Times New Roman" w:eastAsia="HeiT" w:hAnsi="Times New Roman" w:cs="Times New Roman"/>
                <w:bCs/>
                <w:sz w:val="20"/>
                <w:szCs w:val="21"/>
              </w:rPr>
              <w:t>Estimate</w:t>
            </w:r>
          </w:p>
        </w:tc>
        <w:tc>
          <w:tcPr>
            <w:tcW w:w="415" w:type="pct"/>
            <w:tcBorders>
              <w:top w:val="nil"/>
              <w:left w:val="nil"/>
              <w:bottom w:val="single" w:sz="4" w:space="0" w:color="auto"/>
              <w:right w:val="nil"/>
            </w:tcBorders>
            <w:shd w:val="clear" w:color="auto" w:fill="auto"/>
            <w:noWrap/>
            <w:vAlign w:val="center"/>
            <w:hideMark/>
          </w:tcPr>
          <w:p w14:paraId="3F3DDBF5" w14:textId="77777777" w:rsidR="00B31A24" w:rsidRPr="009642F7" w:rsidRDefault="00B31A24" w:rsidP="009C10FA">
            <w:pPr>
              <w:snapToGrid w:val="0"/>
              <w:jc w:val="right"/>
              <w:rPr>
                <w:rFonts w:ascii="Times New Roman" w:eastAsia="HeiT" w:hAnsi="Times New Roman" w:cs="Times New Roman"/>
                <w:bCs/>
                <w:sz w:val="20"/>
                <w:szCs w:val="21"/>
              </w:rPr>
            </w:pPr>
            <w:r w:rsidRPr="009642F7">
              <w:rPr>
                <w:rFonts w:ascii="Times New Roman" w:eastAsia="HeiT" w:hAnsi="Times New Roman" w:cs="Times New Roman"/>
                <w:bCs/>
                <w:sz w:val="20"/>
                <w:szCs w:val="21"/>
              </w:rPr>
              <w:t xml:space="preserve">Wald </w:t>
            </w:r>
            <m:oMath>
              <m:sSup>
                <m:sSupPr>
                  <m:ctrlPr>
                    <w:rPr>
                      <w:rFonts w:ascii="Cambria Math" w:eastAsia="HeiT" w:hAnsi="Cambria Math" w:cs="Times New Roman"/>
                      <w:bCs/>
                      <w:sz w:val="20"/>
                      <w:szCs w:val="21"/>
                    </w:rPr>
                  </m:ctrlPr>
                </m:sSupPr>
                <m:e>
                  <m:r>
                    <m:rPr>
                      <m:sty m:val="p"/>
                    </m:rPr>
                    <w:rPr>
                      <w:rFonts w:ascii="Cambria Math" w:eastAsia="HeiT" w:hAnsi="Cambria Math" w:cs="Times New Roman"/>
                      <w:sz w:val="20"/>
                      <w:szCs w:val="21"/>
                    </w:rPr>
                    <m:t>χ</m:t>
                  </m:r>
                </m:e>
                <m:sup>
                  <m:r>
                    <w:rPr>
                      <w:rFonts w:ascii="Cambria Math" w:eastAsia="HeiT" w:hAnsi="Cambria Math" w:cs="Times New Roman"/>
                      <w:sz w:val="20"/>
                      <w:szCs w:val="21"/>
                    </w:rPr>
                    <m:t>2</m:t>
                  </m:r>
                </m:sup>
              </m:sSup>
            </m:oMath>
          </w:p>
        </w:tc>
        <w:tc>
          <w:tcPr>
            <w:tcW w:w="505" w:type="pct"/>
            <w:tcBorders>
              <w:top w:val="nil"/>
              <w:left w:val="nil"/>
              <w:bottom w:val="single" w:sz="4" w:space="0" w:color="auto"/>
              <w:right w:val="nil"/>
            </w:tcBorders>
            <w:shd w:val="clear" w:color="auto" w:fill="auto"/>
            <w:noWrap/>
            <w:vAlign w:val="center"/>
            <w:hideMark/>
          </w:tcPr>
          <w:p w14:paraId="432C2949" w14:textId="77777777" w:rsidR="00B31A24" w:rsidRPr="009642F7" w:rsidRDefault="00B31A24" w:rsidP="00B31A24">
            <w:pPr>
              <w:snapToGrid w:val="0"/>
              <w:jc w:val="center"/>
              <w:rPr>
                <w:rFonts w:ascii="Times New Roman" w:hAnsi="Times New Roman" w:cs="Times New Roman"/>
                <w:sz w:val="20"/>
                <w:szCs w:val="21"/>
              </w:rPr>
            </w:pPr>
            <w:r w:rsidRPr="009642F7">
              <w:rPr>
                <w:rFonts w:ascii="Times New Roman" w:hAnsi="Times New Roman" w:cs="Times New Roman"/>
                <w:i/>
                <w:sz w:val="20"/>
                <w:szCs w:val="21"/>
              </w:rPr>
              <w:t>p</w:t>
            </w:r>
            <w:r w:rsidRPr="009642F7">
              <w:rPr>
                <w:rFonts w:ascii="Times New Roman" w:hAnsi="Times New Roman" w:cs="Times New Roman"/>
                <w:sz w:val="20"/>
                <w:szCs w:val="21"/>
              </w:rPr>
              <w:t>-value</w:t>
            </w:r>
          </w:p>
        </w:tc>
        <w:tc>
          <w:tcPr>
            <w:tcW w:w="52" w:type="pct"/>
            <w:tcBorders>
              <w:top w:val="nil"/>
              <w:left w:val="nil"/>
              <w:bottom w:val="single" w:sz="4" w:space="0" w:color="auto"/>
              <w:right w:val="nil"/>
            </w:tcBorders>
            <w:shd w:val="clear" w:color="auto" w:fill="auto"/>
            <w:noWrap/>
            <w:vAlign w:val="center"/>
            <w:hideMark/>
          </w:tcPr>
          <w:p w14:paraId="1038A2D9" w14:textId="77777777" w:rsidR="00B31A24" w:rsidRPr="009642F7" w:rsidRDefault="00B31A24" w:rsidP="00B31A24">
            <w:pPr>
              <w:snapToGrid w:val="0"/>
              <w:jc w:val="center"/>
              <w:rPr>
                <w:rFonts w:ascii="Times New Roman" w:hAnsi="Times New Roman" w:cs="Times New Roman"/>
                <w:sz w:val="20"/>
                <w:szCs w:val="21"/>
              </w:rPr>
            </w:pPr>
          </w:p>
        </w:tc>
        <w:tc>
          <w:tcPr>
            <w:tcW w:w="404" w:type="pct"/>
            <w:tcBorders>
              <w:top w:val="nil"/>
              <w:left w:val="nil"/>
              <w:bottom w:val="single" w:sz="4" w:space="0" w:color="auto"/>
              <w:right w:val="nil"/>
            </w:tcBorders>
            <w:shd w:val="clear" w:color="auto" w:fill="auto"/>
            <w:noWrap/>
            <w:vAlign w:val="center"/>
            <w:hideMark/>
          </w:tcPr>
          <w:p w14:paraId="67CC23B0" w14:textId="77777777" w:rsidR="00B31A24" w:rsidRPr="009642F7" w:rsidRDefault="00B31A24" w:rsidP="009C10FA">
            <w:pPr>
              <w:snapToGrid w:val="0"/>
              <w:jc w:val="right"/>
              <w:rPr>
                <w:rFonts w:ascii="Times New Roman" w:eastAsia="HeiT" w:hAnsi="Times New Roman" w:cs="Times New Roman"/>
                <w:bCs/>
                <w:sz w:val="20"/>
                <w:szCs w:val="21"/>
              </w:rPr>
            </w:pPr>
            <w:r w:rsidRPr="009642F7">
              <w:rPr>
                <w:rFonts w:ascii="Times New Roman" w:eastAsia="HeiT" w:hAnsi="Times New Roman" w:cs="Times New Roman"/>
                <w:bCs/>
                <w:sz w:val="20"/>
                <w:szCs w:val="21"/>
              </w:rPr>
              <w:t>Estimate</w:t>
            </w:r>
          </w:p>
        </w:tc>
        <w:tc>
          <w:tcPr>
            <w:tcW w:w="415" w:type="pct"/>
            <w:tcBorders>
              <w:top w:val="nil"/>
              <w:left w:val="nil"/>
              <w:bottom w:val="single" w:sz="4" w:space="0" w:color="auto"/>
              <w:right w:val="nil"/>
            </w:tcBorders>
            <w:shd w:val="clear" w:color="auto" w:fill="auto"/>
            <w:noWrap/>
            <w:vAlign w:val="center"/>
            <w:hideMark/>
          </w:tcPr>
          <w:p w14:paraId="1D82145F" w14:textId="77777777" w:rsidR="00B31A24" w:rsidRPr="009642F7" w:rsidRDefault="00B31A24" w:rsidP="009C10FA">
            <w:pPr>
              <w:snapToGrid w:val="0"/>
              <w:jc w:val="right"/>
              <w:rPr>
                <w:rFonts w:ascii="Times New Roman" w:eastAsia="HeiT" w:hAnsi="Times New Roman" w:cs="Times New Roman"/>
                <w:bCs/>
                <w:sz w:val="20"/>
                <w:szCs w:val="21"/>
              </w:rPr>
            </w:pPr>
            <w:r w:rsidRPr="009642F7">
              <w:rPr>
                <w:rFonts w:ascii="Times New Roman" w:eastAsia="HeiT" w:hAnsi="Times New Roman" w:cs="Times New Roman"/>
                <w:bCs/>
                <w:sz w:val="20"/>
                <w:szCs w:val="21"/>
              </w:rPr>
              <w:t xml:space="preserve">Wald </w:t>
            </w:r>
            <m:oMath>
              <m:sSup>
                <m:sSupPr>
                  <m:ctrlPr>
                    <w:rPr>
                      <w:rFonts w:ascii="Cambria Math" w:eastAsia="HeiT" w:hAnsi="Cambria Math" w:cs="Times New Roman"/>
                      <w:bCs/>
                      <w:sz w:val="20"/>
                      <w:szCs w:val="21"/>
                    </w:rPr>
                  </m:ctrlPr>
                </m:sSupPr>
                <m:e>
                  <m:r>
                    <m:rPr>
                      <m:sty m:val="p"/>
                    </m:rPr>
                    <w:rPr>
                      <w:rFonts w:ascii="Cambria Math" w:eastAsia="HeiT" w:hAnsi="Cambria Math" w:cs="Times New Roman"/>
                      <w:sz w:val="20"/>
                      <w:szCs w:val="21"/>
                    </w:rPr>
                    <m:t>χ</m:t>
                  </m:r>
                </m:e>
                <m:sup>
                  <m:r>
                    <w:rPr>
                      <w:rFonts w:ascii="Cambria Math" w:eastAsia="HeiT" w:hAnsi="Cambria Math" w:cs="Times New Roman"/>
                      <w:sz w:val="20"/>
                      <w:szCs w:val="21"/>
                    </w:rPr>
                    <m:t>2</m:t>
                  </m:r>
                </m:sup>
              </m:sSup>
            </m:oMath>
          </w:p>
        </w:tc>
        <w:tc>
          <w:tcPr>
            <w:tcW w:w="505" w:type="pct"/>
            <w:tcBorders>
              <w:top w:val="nil"/>
              <w:left w:val="nil"/>
              <w:bottom w:val="single" w:sz="4" w:space="0" w:color="auto"/>
              <w:right w:val="nil"/>
            </w:tcBorders>
            <w:shd w:val="clear" w:color="auto" w:fill="auto"/>
            <w:noWrap/>
            <w:vAlign w:val="center"/>
            <w:hideMark/>
          </w:tcPr>
          <w:p w14:paraId="2254368A" w14:textId="77777777" w:rsidR="00B31A24" w:rsidRPr="009642F7" w:rsidRDefault="00B31A24" w:rsidP="00B31A24">
            <w:pPr>
              <w:snapToGrid w:val="0"/>
              <w:jc w:val="center"/>
              <w:rPr>
                <w:rFonts w:ascii="Times New Roman" w:hAnsi="Times New Roman" w:cs="Times New Roman"/>
                <w:sz w:val="20"/>
                <w:szCs w:val="21"/>
              </w:rPr>
            </w:pPr>
            <w:r w:rsidRPr="009642F7">
              <w:rPr>
                <w:rFonts w:ascii="Times New Roman" w:hAnsi="Times New Roman" w:cs="Times New Roman"/>
                <w:i/>
                <w:sz w:val="20"/>
                <w:szCs w:val="21"/>
              </w:rPr>
              <w:t>p</w:t>
            </w:r>
            <w:r w:rsidRPr="009642F7">
              <w:rPr>
                <w:rFonts w:ascii="Times New Roman" w:hAnsi="Times New Roman" w:cs="Times New Roman"/>
                <w:sz w:val="20"/>
                <w:szCs w:val="21"/>
              </w:rPr>
              <w:t>-value</w:t>
            </w:r>
          </w:p>
        </w:tc>
        <w:tc>
          <w:tcPr>
            <w:tcW w:w="52" w:type="pct"/>
            <w:tcBorders>
              <w:top w:val="nil"/>
              <w:left w:val="nil"/>
              <w:bottom w:val="single" w:sz="4" w:space="0" w:color="auto"/>
              <w:right w:val="nil"/>
            </w:tcBorders>
            <w:shd w:val="clear" w:color="auto" w:fill="auto"/>
            <w:noWrap/>
            <w:vAlign w:val="center"/>
            <w:hideMark/>
          </w:tcPr>
          <w:p w14:paraId="13BCFE30" w14:textId="77777777" w:rsidR="00B31A24" w:rsidRPr="009642F7" w:rsidRDefault="00B31A24" w:rsidP="00B31A24">
            <w:pPr>
              <w:snapToGrid w:val="0"/>
              <w:jc w:val="center"/>
              <w:rPr>
                <w:rFonts w:ascii="Times New Roman" w:hAnsi="Times New Roman" w:cs="Times New Roman"/>
                <w:sz w:val="20"/>
                <w:szCs w:val="21"/>
              </w:rPr>
            </w:pPr>
          </w:p>
        </w:tc>
        <w:tc>
          <w:tcPr>
            <w:tcW w:w="404" w:type="pct"/>
            <w:tcBorders>
              <w:top w:val="nil"/>
              <w:left w:val="nil"/>
              <w:bottom w:val="single" w:sz="4" w:space="0" w:color="auto"/>
              <w:right w:val="nil"/>
            </w:tcBorders>
            <w:shd w:val="clear" w:color="auto" w:fill="auto"/>
            <w:noWrap/>
            <w:vAlign w:val="center"/>
            <w:hideMark/>
          </w:tcPr>
          <w:p w14:paraId="547037CD" w14:textId="77777777" w:rsidR="00B31A24" w:rsidRPr="009642F7" w:rsidRDefault="00B31A24" w:rsidP="009C10FA">
            <w:pPr>
              <w:snapToGrid w:val="0"/>
              <w:jc w:val="right"/>
              <w:rPr>
                <w:rFonts w:ascii="Times New Roman" w:eastAsia="HeiT" w:hAnsi="Times New Roman" w:cs="Times New Roman"/>
                <w:bCs/>
                <w:sz w:val="20"/>
                <w:szCs w:val="21"/>
              </w:rPr>
            </w:pPr>
            <w:r w:rsidRPr="009642F7">
              <w:rPr>
                <w:rFonts w:ascii="Times New Roman" w:eastAsia="HeiT" w:hAnsi="Times New Roman" w:cs="Times New Roman"/>
                <w:bCs/>
                <w:sz w:val="20"/>
                <w:szCs w:val="21"/>
              </w:rPr>
              <w:t>Estimate</w:t>
            </w:r>
          </w:p>
        </w:tc>
        <w:tc>
          <w:tcPr>
            <w:tcW w:w="415" w:type="pct"/>
            <w:tcBorders>
              <w:top w:val="nil"/>
              <w:left w:val="nil"/>
              <w:bottom w:val="single" w:sz="4" w:space="0" w:color="auto"/>
              <w:right w:val="nil"/>
            </w:tcBorders>
            <w:shd w:val="clear" w:color="auto" w:fill="auto"/>
            <w:noWrap/>
            <w:vAlign w:val="center"/>
            <w:hideMark/>
          </w:tcPr>
          <w:p w14:paraId="70198E6F" w14:textId="77777777" w:rsidR="00B31A24" w:rsidRPr="009642F7" w:rsidRDefault="00B31A24" w:rsidP="009C10FA">
            <w:pPr>
              <w:snapToGrid w:val="0"/>
              <w:jc w:val="right"/>
              <w:rPr>
                <w:rFonts w:ascii="Times New Roman" w:eastAsia="HeiT" w:hAnsi="Times New Roman" w:cs="Times New Roman"/>
                <w:bCs/>
                <w:sz w:val="20"/>
                <w:szCs w:val="21"/>
              </w:rPr>
            </w:pPr>
            <w:r w:rsidRPr="009642F7">
              <w:rPr>
                <w:rFonts w:ascii="Times New Roman" w:eastAsia="HeiT" w:hAnsi="Times New Roman" w:cs="Times New Roman"/>
                <w:bCs/>
                <w:sz w:val="20"/>
                <w:szCs w:val="21"/>
              </w:rPr>
              <w:t xml:space="preserve">Wald </w:t>
            </w:r>
            <m:oMath>
              <m:sSup>
                <m:sSupPr>
                  <m:ctrlPr>
                    <w:rPr>
                      <w:rFonts w:ascii="Cambria Math" w:eastAsia="HeiT" w:hAnsi="Cambria Math" w:cs="Times New Roman"/>
                      <w:bCs/>
                      <w:sz w:val="20"/>
                      <w:szCs w:val="21"/>
                    </w:rPr>
                  </m:ctrlPr>
                </m:sSupPr>
                <m:e>
                  <m:r>
                    <m:rPr>
                      <m:sty m:val="p"/>
                    </m:rPr>
                    <w:rPr>
                      <w:rFonts w:ascii="Cambria Math" w:eastAsia="HeiT" w:hAnsi="Cambria Math" w:cs="Times New Roman"/>
                      <w:sz w:val="20"/>
                      <w:szCs w:val="21"/>
                    </w:rPr>
                    <m:t>χ</m:t>
                  </m:r>
                </m:e>
                <m:sup>
                  <m:r>
                    <w:rPr>
                      <w:rFonts w:ascii="Cambria Math" w:eastAsia="HeiT" w:hAnsi="Cambria Math" w:cs="Times New Roman"/>
                      <w:sz w:val="20"/>
                      <w:szCs w:val="21"/>
                    </w:rPr>
                    <m:t>2</m:t>
                  </m:r>
                </m:sup>
              </m:sSup>
            </m:oMath>
          </w:p>
        </w:tc>
        <w:tc>
          <w:tcPr>
            <w:tcW w:w="505" w:type="pct"/>
            <w:tcBorders>
              <w:top w:val="nil"/>
              <w:left w:val="nil"/>
              <w:bottom w:val="single" w:sz="4" w:space="0" w:color="auto"/>
              <w:right w:val="nil"/>
            </w:tcBorders>
            <w:shd w:val="clear" w:color="auto" w:fill="auto"/>
            <w:noWrap/>
            <w:vAlign w:val="center"/>
            <w:hideMark/>
          </w:tcPr>
          <w:p w14:paraId="1F7A25CC" w14:textId="77777777" w:rsidR="00B31A24" w:rsidRPr="009642F7" w:rsidRDefault="00B31A24" w:rsidP="00B31A24">
            <w:pPr>
              <w:snapToGrid w:val="0"/>
              <w:jc w:val="center"/>
              <w:rPr>
                <w:rFonts w:ascii="Times New Roman" w:hAnsi="Times New Roman" w:cs="Times New Roman"/>
                <w:sz w:val="20"/>
                <w:szCs w:val="21"/>
              </w:rPr>
            </w:pPr>
            <w:r w:rsidRPr="009642F7">
              <w:rPr>
                <w:rFonts w:ascii="Times New Roman" w:hAnsi="Times New Roman" w:cs="Times New Roman"/>
                <w:i/>
                <w:sz w:val="20"/>
                <w:szCs w:val="21"/>
              </w:rPr>
              <w:t>p</w:t>
            </w:r>
            <w:r w:rsidRPr="009642F7">
              <w:rPr>
                <w:rFonts w:ascii="Times New Roman" w:hAnsi="Times New Roman" w:cs="Times New Roman"/>
                <w:sz w:val="20"/>
                <w:szCs w:val="21"/>
              </w:rPr>
              <w:t>-value</w:t>
            </w:r>
          </w:p>
        </w:tc>
      </w:tr>
      <w:tr w:rsidR="009642F7" w:rsidRPr="009642F7" w14:paraId="7F9387EC" w14:textId="77777777" w:rsidTr="004B0065">
        <w:tc>
          <w:tcPr>
            <w:tcW w:w="925" w:type="pct"/>
            <w:tcBorders>
              <w:top w:val="nil"/>
              <w:left w:val="nil"/>
              <w:bottom w:val="nil"/>
              <w:right w:val="nil"/>
            </w:tcBorders>
            <w:shd w:val="clear" w:color="auto" w:fill="auto"/>
            <w:hideMark/>
          </w:tcPr>
          <w:p w14:paraId="677F1113" w14:textId="77777777" w:rsidR="008B2BB5" w:rsidRPr="009642F7" w:rsidRDefault="008B2BB5" w:rsidP="00B31A24">
            <w:pPr>
              <w:snapToGrid w:val="0"/>
              <w:rPr>
                <w:rFonts w:ascii="Times New Roman" w:eastAsia="HeiT" w:hAnsi="Times New Roman" w:cs="Times New Roman"/>
                <w:bCs/>
                <w:sz w:val="22"/>
                <w:szCs w:val="21"/>
              </w:rPr>
            </w:pPr>
            <w:r w:rsidRPr="009642F7">
              <w:rPr>
                <w:rFonts w:ascii="Times New Roman" w:eastAsia="HeiT" w:hAnsi="Times New Roman" w:cs="Times New Roman"/>
                <w:bCs/>
                <w:sz w:val="22"/>
                <w:szCs w:val="21"/>
              </w:rPr>
              <w:t>Intercept</w:t>
            </w:r>
          </w:p>
        </w:tc>
        <w:tc>
          <w:tcPr>
            <w:tcW w:w="404" w:type="pct"/>
            <w:tcBorders>
              <w:top w:val="nil"/>
              <w:left w:val="nil"/>
              <w:bottom w:val="nil"/>
              <w:right w:val="nil"/>
            </w:tcBorders>
            <w:shd w:val="clear" w:color="auto" w:fill="auto"/>
            <w:noWrap/>
            <w:hideMark/>
          </w:tcPr>
          <w:p w14:paraId="10BEE570" w14:textId="77777777" w:rsidR="008B2BB5"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2.894</w:t>
            </w:r>
          </w:p>
        </w:tc>
        <w:tc>
          <w:tcPr>
            <w:tcW w:w="415" w:type="pct"/>
            <w:tcBorders>
              <w:top w:val="nil"/>
              <w:left w:val="nil"/>
              <w:bottom w:val="nil"/>
              <w:right w:val="nil"/>
            </w:tcBorders>
            <w:shd w:val="clear" w:color="auto" w:fill="auto"/>
            <w:hideMark/>
          </w:tcPr>
          <w:p w14:paraId="0674C3DF"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1860.5</w:t>
            </w:r>
          </w:p>
        </w:tc>
        <w:tc>
          <w:tcPr>
            <w:tcW w:w="505" w:type="pct"/>
            <w:tcBorders>
              <w:top w:val="nil"/>
              <w:left w:val="nil"/>
              <w:bottom w:val="nil"/>
              <w:right w:val="nil"/>
            </w:tcBorders>
            <w:shd w:val="clear" w:color="auto" w:fill="auto"/>
            <w:hideMark/>
          </w:tcPr>
          <w:p w14:paraId="488AEEBE" w14:textId="77777777" w:rsidR="008B2BB5" w:rsidRPr="009642F7" w:rsidRDefault="00B31A24"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&lt;0.01</w:t>
            </w:r>
            <w:r w:rsidRPr="009642F7">
              <w:rPr>
                <w:rFonts w:ascii="Times New Roman" w:eastAsia="HeiT" w:hAnsi="Times New Roman" w:cs="Times New Roman"/>
                <w:sz w:val="20"/>
                <w:szCs w:val="21"/>
              </w:rPr>
              <w:t>)***</w:t>
            </w:r>
          </w:p>
        </w:tc>
        <w:tc>
          <w:tcPr>
            <w:tcW w:w="52" w:type="pct"/>
            <w:tcBorders>
              <w:top w:val="nil"/>
              <w:left w:val="nil"/>
              <w:bottom w:val="nil"/>
              <w:right w:val="nil"/>
            </w:tcBorders>
            <w:shd w:val="clear" w:color="auto" w:fill="auto"/>
            <w:noWrap/>
            <w:vAlign w:val="center"/>
            <w:hideMark/>
          </w:tcPr>
          <w:p w14:paraId="14F5D9B9" w14:textId="77777777" w:rsidR="008B2BB5" w:rsidRPr="009642F7" w:rsidRDefault="008B2BB5" w:rsidP="00B31A24">
            <w:pPr>
              <w:snapToGrid w:val="0"/>
              <w:jc w:val="center"/>
              <w:rPr>
                <w:rFonts w:ascii="Times New Roman" w:eastAsia="HeiT" w:hAnsi="Times New Roman" w:cs="Times New Roman"/>
                <w:sz w:val="20"/>
                <w:szCs w:val="21"/>
              </w:rPr>
            </w:pPr>
          </w:p>
        </w:tc>
        <w:tc>
          <w:tcPr>
            <w:tcW w:w="404" w:type="pct"/>
            <w:tcBorders>
              <w:top w:val="nil"/>
              <w:left w:val="nil"/>
              <w:bottom w:val="nil"/>
              <w:right w:val="nil"/>
            </w:tcBorders>
            <w:shd w:val="clear" w:color="auto" w:fill="auto"/>
            <w:noWrap/>
            <w:hideMark/>
          </w:tcPr>
          <w:p w14:paraId="36AE5ADC" w14:textId="77777777" w:rsidR="008B2BB5"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4.173</w:t>
            </w:r>
          </w:p>
        </w:tc>
        <w:tc>
          <w:tcPr>
            <w:tcW w:w="415" w:type="pct"/>
            <w:tcBorders>
              <w:top w:val="nil"/>
              <w:left w:val="nil"/>
              <w:bottom w:val="nil"/>
              <w:right w:val="nil"/>
            </w:tcBorders>
            <w:shd w:val="clear" w:color="auto" w:fill="auto"/>
            <w:hideMark/>
          </w:tcPr>
          <w:p w14:paraId="59E07CCB"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395.96</w:t>
            </w:r>
          </w:p>
        </w:tc>
        <w:tc>
          <w:tcPr>
            <w:tcW w:w="505" w:type="pct"/>
            <w:tcBorders>
              <w:top w:val="nil"/>
              <w:left w:val="nil"/>
              <w:bottom w:val="nil"/>
              <w:right w:val="nil"/>
            </w:tcBorders>
            <w:shd w:val="clear" w:color="auto" w:fill="auto"/>
            <w:hideMark/>
          </w:tcPr>
          <w:p w14:paraId="14204D8B"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&lt;0.01</w:t>
            </w:r>
            <w:r w:rsidRPr="009642F7">
              <w:rPr>
                <w:rFonts w:ascii="Times New Roman" w:eastAsia="HeiT" w:hAnsi="Times New Roman" w:cs="Times New Roman"/>
                <w:sz w:val="20"/>
                <w:szCs w:val="21"/>
              </w:rPr>
              <w:t>)***</w:t>
            </w:r>
          </w:p>
        </w:tc>
        <w:tc>
          <w:tcPr>
            <w:tcW w:w="52" w:type="pct"/>
            <w:tcBorders>
              <w:top w:val="nil"/>
              <w:left w:val="nil"/>
              <w:bottom w:val="nil"/>
              <w:right w:val="nil"/>
            </w:tcBorders>
            <w:shd w:val="clear" w:color="auto" w:fill="auto"/>
            <w:noWrap/>
            <w:vAlign w:val="center"/>
            <w:hideMark/>
          </w:tcPr>
          <w:p w14:paraId="364B8026" w14:textId="77777777" w:rsidR="008B2BB5" w:rsidRPr="009642F7" w:rsidRDefault="008B2BB5" w:rsidP="00B31A24">
            <w:pPr>
              <w:snapToGrid w:val="0"/>
              <w:jc w:val="center"/>
              <w:rPr>
                <w:rFonts w:ascii="Times New Roman" w:eastAsia="HeiT" w:hAnsi="Times New Roman" w:cs="Times New Roman"/>
                <w:sz w:val="20"/>
                <w:szCs w:val="21"/>
              </w:rPr>
            </w:pPr>
          </w:p>
        </w:tc>
        <w:tc>
          <w:tcPr>
            <w:tcW w:w="404" w:type="pct"/>
            <w:tcBorders>
              <w:top w:val="nil"/>
              <w:left w:val="nil"/>
              <w:bottom w:val="nil"/>
              <w:right w:val="nil"/>
            </w:tcBorders>
            <w:shd w:val="clear" w:color="auto" w:fill="auto"/>
            <w:noWrap/>
            <w:hideMark/>
          </w:tcPr>
          <w:p w14:paraId="0980038E" w14:textId="77777777" w:rsidR="008B2BB5"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4.203</w:t>
            </w:r>
          </w:p>
        </w:tc>
        <w:tc>
          <w:tcPr>
            <w:tcW w:w="415" w:type="pct"/>
            <w:tcBorders>
              <w:top w:val="nil"/>
              <w:left w:val="nil"/>
              <w:bottom w:val="nil"/>
              <w:right w:val="nil"/>
            </w:tcBorders>
            <w:shd w:val="clear" w:color="auto" w:fill="auto"/>
            <w:hideMark/>
          </w:tcPr>
          <w:p w14:paraId="0F151895"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297.76</w:t>
            </w:r>
          </w:p>
        </w:tc>
        <w:tc>
          <w:tcPr>
            <w:tcW w:w="505" w:type="pct"/>
            <w:tcBorders>
              <w:top w:val="nil"/>
              <w:left w:val="nil"/>
              <w:bottom w:val="nil"/>
              <w:right w:val="nil"/>
            </w:tcBorders>
            <w:shd w:val="clear" w:color="auto" w:fill="auto"/>
            <w:hideMark/>
          </w:tcPr>
          <w:p w14:paraId="375CD63C"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&lt;0.01</w:t>
            </w:r>
            <w:r w:rsidRPr="009642F7">
              <w:rPr>
                <w:rFonts w:ascii="Times New Roman" w:eastAsia="HeiT" w:hAnsi="Times New Roman" w:cs="Times New Roman"/>
                <w:sz w:val="20"/>
                <w:szCs w:val="21"/>
              </w:rPr>
              <w:t>)***</w:t>
            </w:r>
          </w:p>
        </w:tc>
      </w:tr>
      <w:tr w:rsidR="009642F7" w:rsidRPr="009642F7" w14:paraId="4F0C9951" w14:textId="77777777" w:rsidTr="004B0065">
        <w:tc>
          <w:tcPr>
            <w:tcW w:w="925" w:type="pct"/>
            <w:tcBorders>
              <w:top w:val="nil"/>
              <w:left w:val="nil"/>
              <w:bottom w:val="nil"/>
              <w:right w:val="nil"/>
            </w:tcBorders>
            <w:shd w:val="clear" w:color="auto" w:fill="auto"/>
            <w:hideMark/>
          </w:tcPr>
          <w:p w14:paraId="59D2578D" w14:textId="77777777" w:rsidR="008B2BB5" w:rsidRPr="009642F7" w:rsidRDefault="00B31A24" w:rsidP="00B31A24">
            <w:pPr>
              <w:snapToGrid w:val="0"/>
              <w:rPr>
                <w:rFonts w:ascii="Times New Roman" w:eastAsia="HeiT" w:hAnsi="Times New Roman" w:cs="Times New Roman"/>
                <w:b/>
                <w:bCs/>
                <w:i/>
                <w:sz w:val="22"/>
                <w:szCs w:val="21"/>
              </w:rPr>
            </w:pPr>
            <w:r w:rsidRPr="009642F7">
              <w:rPr>
                <w:rFonts w:ascii="Times New Roman" w:eastAsia="HeiT" w:hAnsi="Times New Roman" w:cs="Times New Roman"/>
                <w:b/>
                <w:bCs/>
                <w:i/>
                <w:sz w:val="22"/>
                <w:szCs w:val="21"/>
              </w:rPr>
              <w:t>Ln</w:t>
            </w:r>
            <w:r w:rsidR="008B2BB5" w:rsidRPr="009642F7">
              <w:rPr>
                <w:rFonts w:ascii="Times New Roman" w:eastAsia="HeiT" w:hAnsi="Times New Roman" w:cs="Times New Roman"/>
                <w:b/>
                <w:bCs/>
                <w:i/>
                <w:sz w:val="22"/>
                <w:szCs w:val="21"/>
              </w:rPr>
              <w:t>M</w:t>
            </w:r>
            <w:r w:rsidRPr="009642F7">
              <w:rPr>
                <w:rFonts w:ascii="Times New Roman" w:eastAsia="HeiT" w:hAnsi="Times New Roman" w:cs="Times New Roman"/>
                <w:b/>
                <w:bCs/>
                <w:i/>
                <w:sz w:val="22"/>
                <w:szCs w:val="21"/>
              </w:rPr>
              <w:t>edia</w:t>
            </w:r>
          </w:p>
        </w:tc>
        <w:tc>
          <w:tcPr>
            <w:tcW w:w="404" w:type="pct"/>
            <w:tcBorders>
              <w:top w:val="nil"/>
              <w:left w:val="nil"/>
              <w:bottom w:val="nil"/>
              <w:right w:val="nil"/>
            </w:tcBorders>
            <w:shd w:val="clear" w:color="auto" w:fill="auto"/>
            <w:hideMark/>
          </w:tcPr>
          <w:p w14:paraId="7575AEEF" w14:textId="77777777" w:rsidR="008B2BB5" w:rsidRPr="009642F7" w:rsidRDefault="008B2BB5" w:rsidP="000E3F3E">
            <w:pPr>
              <w:snapToGrid w:val="0"/>
              <w:ind w:rightChars="50" w:right="120"/>
              <w:jc w:val="right"/>
              <w:rPr>
                <w:rFonts w:ascii="Times New Roman" w:eastAsia="HeiT" w:hAnsi="Times New Roman" w:cs="Times New Roman"/>
                <w:b/>
                <w:sz w:val="20"/>
                <w:szCs w:val="21"/>
              </w:rPr>
            </w:pPr>
            <w:r w:rsidRPr="009642F7">
              <w:rPr>
                <w:rFonts w:ascii="Times New Roman" w:eastAsia="HeiT" w:hAnsi="Times New Roman" w:cs="Times New Roman"/>
                <w:b/>
                <w:sz w:val="20"/>
                <w:szCs w:val="21"/>
              </w:rPr>
              <w:t>0.320</w:t>
            </w:r>
          </w:p>
        </w:tc>
        <w:tc>
          <w:tcPr>
            <w:tcW w:w="415" w:type="pct"/>
            <w:tcBorders>
              <w:top w:val="nil"/>
              <w:left w:val="nil"/>
              <w:bottom w:val="nil"/>
              <w:right w:val="nil"/>
            </w:tcBorders>
            <w:shd w:val="clear" w:color="auto" w:fill="auto"/>
            <w:hideMark/>
          </w:tcPr>
          <w:p w14:paraId="3EC50A8C" w14:textId="77777777" w:rsidR="008B2BB5" w:rsidRPr="009642F7" w:rsidRDefault="008B2BB5" w:rsidP="000E3F3E">
            <w:pPr>
              <w:snapToGrid w:val="0"/>
              <w:ind w:rightChars="50" w:right="120"/>
              <w:jc w:val="right"/>
              <w:rPr>
                <w:rFonts w:ascii="Times New Roman" w:eastAsia="HeiT" w:hAnsi="Times New Roman" w:cs="Times New Roman"/>
                <w:b/>
                <w:sz w:val="20"/>
                <w:szCs w:val="21"/>
              </w:rPr>
            </w:pPr>
            <w:r w:rsidRPr="009642F7">
              <w:rPr>
                <w:rFonts w:ascii="Times New Roman" w:eastAsia="HeiT" w:hAnsi="Times New Roman" w:cs="Times New Roman"/>
                <w:b/>
                <w:sz w:val="20"/>
                <w:szCs w:val="21"/>
              </w:rPr>
              <w:t>306.0</w:t>
            </w:r>
          </w:p>
        </w:tc>
        <w:tc>
          <w:tcPr>
            <w:tcW w:w="505" w:type="pct"/>
            <w:tcBorders>
              <w:top w:val="nil"/>
              <w:left w:val="nil"/>
              <w:bottom w:val="nil"/>
              <w:right w:val="nil"/>
            </w:tcBorders>
            <w:shd w:val="clear" w:color="auto" w:fill="auto"/>
            <w:hideMark/>
          </w:tcPr>
          <w:p w14:paraId="2832834A" w14:textId="77777777" w:rsidR="008B2BB5" w:rsidRPr="009642F7" w:rsidRDefault="00B31A24" w:rsidP="00B31A24">
            <w:pPr>
              <w:snapToGrid w:val="0"/>
              <w:jc w:val="center"/>
              <w:rPr>
                <w:rFonts w:ascii="Times New Roman" w:eastAsia="HeiT" w:hAnsi="Times New Roman" w:cs="Times New Roman"/>
                <w:b/>
                <w:sz w:val="20"/>
                <w:szCs w:val="21"/>
              </w:rPr>
            </w:pPr>
            <w:r w:rsidRPr="009642F7">
              <w:rPr>
                <w:rFonts w:ascii="Times New Roman" w:eastAsia="HeiT" w:hAnsi="Times New Roman" w:cs="Times New Roman"/>
                <w:b/>
                <w:sz w:val="20"/>
                <w:szCs w:val="21"/>
              </w:rPr>
              <w:t>(</w:t>
            </w:r>
            <w:r w:rsidR="008B2BB5" w:rsidRPr="009642F7">
              <w:rPr>
                <w:rFonts w:ascii="Times New Roman" w:eastAsia="HeiT" w:hAnsi="Times New Roman" w:cs="Times New Roman"/>
                <w:b/>
                <w:sz w:val="20"/>
                <w:szCs w:val="21"/>
              </w:rPr>
              <w:t>&lt;0.01</w:t>
            </w:r>
            <w:r w:rsidRPr="009642F7">
              <w:rPr>
                <w:rFonts w:ascii="Times New Roman" w:eastAsia="HeiT" w:hAnsi="Times New Roman" w:cs="Times New Roman"/>
                <w:b/>
                <w:sz w:val="20"/>
                <w:szCs w:val="21"/>
              </w:rPr>
              <w:t>)***</w:t>
            </w:r>
          </w:p>
        </w:tc>
        <w:tc>
          <w:tcPr>
            <w:tcW w:w="52" w:type="pct"/>
            <w:tcBorders>
              <w:top w:val="nil"/>
              <w:left w:val="nil"/>
              <w:bottom w:val="nil"/>
              <w:right w:val="nil"/>
            </w:tcBorders>
            <w:shd w:val="clear" w:color="auto" w:fill="auto"/>
            <w:noWrap/>
            <w:vAlign w:val="center"/>
            <w:hideMark/>
          </w:tcPr>
          <w:p w14:paraId="34E36CF9" w14:textId="77777777" w:rsidR="008B2BB5" w:rsidRPr="009642F7" w:rsidRDefault="008B2BB5" w:rsidP="00B31A24">
            <w:pPr>
              <w:snapToGrid w:val="0"/>
              <w:jc w:val="center"/>
              <w:rPr>
                <w:rFonts w:ascii="Times New Roman" w:eastAsia="HeiT" w:hAnsi="Times New Roman" w:cs="Times New Roman"/>
                <w:b/>
                <w:sz w:val="20"/>
                <w:szCs w:val="21"/>
              </w:rPr>
            </w:pPr>
          </w:p>
        </w:tc>
        <w:tc>
          <w:tcPr>
            <w:tcW w:w="404" w:type="pct"/>
            <w:tcBorders>
              <w:top w:val="nil"/>
              <w:left w:val="nil"/>
              <w:bottom w:val="nil"/>
              <w:right w:val="nil"/>
            </w:tcBorders>
            <w:shd w:val="clear" w:color="auto" w:fill="auto"/>
            <w:hideMark/>
          </w:tcPr>
          <w:p w14:paraId="13D8640D" w14:textId="77777777" w:rsidR="008B2BB5" w:rsidRPr="009642F7" w:rsidRDefault="008B2BB5" w:rsidP="000E3F3E">
            <w:pPr>
              <w:snapToGrid w:val="0"/>
              <w:ind w:rightChars="50" w:right="120"/>
              <w:jc w:val="right"/>
              <w:rPr>
                <w:rFonts w:ascii="Times New Roman" w:eastAsia="HeiT" w:hAnsi="Times New Roman" w:cs="Times New Roman"/>
                <w:b/>
                <w:sz w:val="20"/>
                <w:szCs w:val="21"/>
              </w:rPr>
            </w:pPr>
            <w:r w:rsidRPr="009642F7">
              <w:rPr>
                <w:rFonts w:ascii="Times New Roman" w:eastAsia="HeiT" w:hAnsi="Times New Roman" w:cs="Times New Roman"/>
                <w:b/>
                <w:sz w:val="20"/>
                <w:szCs w:val="21"/>
              </w:rPr>
              <w:t>0.129</w:t>
            </w:r>
          </w:p>
        </w:tc>
        <w:tc>
          <w:tcPr>
            <w:tcW w:w="415" w:type="pct"/>
            <w:tcBorders>
              <w:top w:val="nil"/>
              <w:left w:val="nil"/>
              <w:bottom w:val="nil"/>
              <w:right w:val="nil"/>
            </w:tcBorders>
            <w:shd w:val="clear" w:color="auto" w:fill="auto"/>
            <w:hideMark/>
          </w:tcPr>
          <w:p w14:paraId="6F830729" w14:textId="77777777" w:rsidR="008B2BB5" w:rsidRPr="009642F7" w:rsidRDefault="008B2BB5" w:rsidP="000E3F3E">
            <w:pPr>
              <w:snapToGrid w:val="0"/>
              <w:ind w:rightChars="50" w:right="120"/>
              <w:jc w:val="right"/>
              <w:rPr>
                <w:rFonts w:ascii="Times New Roman" w:eastAsia="HeiT" w:hAnsi="Times New Roman" w:cs="Times New Roman"/>
                <w:b/>
                <w:sz w:val="20"/>
                <w:szCs w:val="21"/>
              </w:rPr>
            </w:pPr>
            <w:r w:rsidRPr="009642F7">
              <w:rPr>
                <w:rFonts w:ascii="Times New Roman" w:eastAsia="HeiT" w:hAnsi="Times New Roman" w:cs="Times New Roman"/>
                <w:b/>
                <w:sz w:val="20"/>
                <w:szCs w:val="21"/>
              </w:rPr>
              <w:t>14.49</w:t>
            </w:r>
          </w:p>
        </w:tc>
        <w:tc>
          <w:tcPr>
            <w:tcW w:w="505" w:type="pct"/>
            <w:tcBorders>
              <w:top w:val="nil"/>
              <w:left w:val="nil"/>
              <w:bottom w:val="nil"/>
              <w:right w:val="nil"/>
            </w:tcBorders>
            <w:shd w:val="clear" w:color="auto" w:fill="auto"/>
            <w:hideMark/>
          </w:tcPr>
          <w:p w14:paraId="10B691D4" w14:textId="77777777" w:rsidR="008B2BB5" w:rsidRPr="009642F7" w:rsidRDefault="00B31A24" w:rsidP="00B31A24">
            <w:pPr>
              <w:snapToGrid w:val="0"/>
              <w:rPr>
                <w:rFonts w:ascii="Times New Roman" w:eastAsia="HeiT" w:hAnsi="Times New Roman" w:cs="Times New Roman"/>
                <w:b/>
                <w:sz w:val="20"/>
                <w:szCs w:val="21"/>
              </w:rPr>
            </w:pPr>
            <w:r w:rsidRPr="009642F7">
              <w:rPr>
                <w:rFonts w:ascii="Times New Roman" w:eastAsia="HeiT" w:hAnsi="Times New Roman" w:cs="Times New Roman"/>
                <w:b/>
                <w:sz w:val="20"/>
                <w:szCs w:val="21"/>
              </w:rPr>
              <w:t>(</w:t>
            </w:r>
            <w:r w:rsidR="008B2BB5" w:rsidRPr="009642F7">
              <w:rPr>
                <w:rFonts w:ascii="Times New Roman" w:eastAsia="HeiT" w:hAnsi="Times New Roman" w:cs="Times New Roman"/>
                <w:b/>
                <w:sz w:val="20"/>
                <w:szCs w:val="21"/>
              </w:rPr>
              <w:t>&lt;0.01</w:t>
            </w:r>
            <w:r w:rsidRPr="009642F7">
              <w:rPr>
                <w:rFonts w:ascii="Times New Roman" w:eastAsia="HeiT" w:hAnsi="Times New Roman" w:cs="Times New Roman"/>
                <w:b/>
                <w:sz w:val="20"/>
                <w:szCs w:val="21"/>
              </w:rPr>
              <w:t>)***</w:t>
            </w:r>
          </w:p>
        </w:tc>
        <w:tc>
          <w:tcPr>
            <w:tcW w:w="52" w:type="pct"/>
            <w:tcBorders>
              <w:top w:val="nil"/>
              <w:left w:val="nil"/>
              <w:bottom w:val="nil"/>
              <w:right w:val="nil"/>
            </w:tcBorders>
            <w:shd w:val="clear" w:color="auto" w:fill="auto"/>
            <w:noWrap/>
            <w:vAlign w:val="center"/>
            <w:hideMark/>
          </w:tcPr>
          <w:p w14:paraId="47053514" w14:textId="77777777" w:rsidR="008B2BB5" w:rsidRPr="009642F7" w:rsidRDefault="008B2BB5" w:rsidP="00B31A24">
            <w:pPr>
              <w:snapToGrid w:val="0"/>
              <w:jc w:val="center"/>
              <w:rPr>
                <w:rFonts w:ascii="Times New Roman" w:eastAsia="HeiT" w:hAnsi="Times New Roman" w:cs="Times New Roman"/>
                <w:b/>
                <w:sz w:val="20"/>
                <w:szCs w:val="21"/>
              </w:rPr>
            </w:pPr>
          </w:p>
        </w:tc>
        <w:tc>
          <w:tcPr>
            <w:tcW w:w="404" w:type="pct"/>
            <w:tcBorders>
              <w:top w:val="nil"/>
              <w:left w:val="nil"/>
              <w:bottom w:val="nil"/>
              <w:right w:val="nil"/>
            </w:tcBorders>
            <w:shd w:val="clear" w:color="auto" w:fill="auto"/>
            <w:hideMark/>
          </w:tcPr>
          <w:p w14:paraId="2DD2098C" w14:textId="77777777" w:rsidR="008B2BB5" w:rsidRPr="009642F7" w:rsidRDefault="008B2BB5" w:rsidP="000E3F3E">
            <w:pPr>
              <w:snapToGrid w:val="0"/>
              <w:ind w:rightChars="50" w:right="120"/>
              <w:jc w:val="right"/>
              <w:rPr>
                <w:rFonts w:ascii="Times New Roman" w:eastAsia="HeiT" w:hAnsi="Times New Roman" w:cs="Times New Roman"/>
                <w:b/>
                <w:sz w:val="20"/>
                <w:szCs w:val="21"/>
              </w:rPr>
            </w:pPr>
            <w:r w:rsidRPr="009642F7">
              <w:rPr>
                <w:rFonts w:ascii="Times New Roman" w:eastAsia="HeiT" w:hAnsi="Times New Roman" w:cs="Times New Roman"/>
                <w:b/>
                <w:sz w:val="20"/>
                <w:szCs w:val="21"/>
              </w:rPr>
              <w:t>0.139</w:t>
            </w:r>
          </w:p>
        </w:tc>
        <w:tc>
          <w:tcPr>
            <w:tcW w:w="415" w:type="pct"/>
            <w:tcBorders>
              <w:top w:val="nil"/>
              <w:left w:val="nil"/>
              <w:bottom w:val="nil"/>
              <w:right w:val="nil"/>
            </w:tcBorders>
            <w:shd w:val="clear" w:color="auto" w:fill="auto"/>
            <w:hideMark/>
          </w:tcPr>
          <w:p w14:paraId="6DC50C0F" w14:textId="77777777" w:rsidR="008B2BB5" w:rsidRPr="009642F7" w:rsidRDefault="008B2BB5" w:rsidP="000E3F3E">
            <w:pPr>
              <w:snapToGrid w:val="0"/>
              <w:ind w:rightChars="50" w:right="120"/>
              <w:jc w:val="right"/>
              <w:rPr>
                <w:rFonts w:ascii="Times New Roman" w:eastAsia="HeiT" w:hAnsi="Times New Roman" w:cs="Times New Roman"/>
                <w:b/>
                <w:sz w:val="20"/>
                <w:szCs w:val="21"/>
              </w:rPr>
            </w:pPr>
            <w:r w:rsidRPr="009642F7">
              <w:rPr>
                <w:rFonts w:ascii="Times New Roman" w:eastAsia="HeiT" w:hAnsi="Times New Roman" w:cs="Times New Roman"/>
                <w:b/>
                <w:sz w:val="20"/>
                <w:szCs w:val="21"/>
              </w:rPr>
              <w:t>16.62</w:t>
            </w:r>
          </w:p>
        </w:tc>
        <w:tc>
          <w:tcPr>
            <w:tcW w:w="505" w:type="pct"/>
            <w:tcBorders>
              <w:top w:val="nil"/>
              <w:left w:val="nil"/>
              <w:bottom w:val="nil"/>
              <w:right w:val="nil"/>
            </w:tcBorders>
            <w:shd w:val="clear" w:color="auto" w:fill="auto"/>
            <w:hideMark/>
          </w:tcPr>
          <w:p w14:paraId="3B6C913D" w14:textId="77777777" w:rsidR="008B2BB5" w:rsidRPr="009642F7" w:rsidRDefault="00B31A24" w:rsidP="00B31A24">
            <w:pPr>
              <w:snapToGrid w:val="0"/>
              <w:rPr>
                <w:rFonts w:ascii="Times New Roman" w:eastAsia="HeiT" w:hAnsi="Times New Roman" w:cs="Times New Roman"/>
                <w:b/>
                <w:sz w:val="20"/>
                <w:szCs w:val="21"/>
              </w:rPr>
            </w:pPr>
            <w:r w:rsidRPr="009642F7">
              <w:rPr>
                <w:rFonts w:ascii="Times New Roman" w:eastAsia="HeiT" w:hAnsi="Times New Roman" w:cs="Times New Roman"/>
                <w:b/>
                <w:sz w:val="20"/>
                <w:szCs w:val="21"/>
              </w:rPr>
              <w:t>(</w:t>
            </w:r>
            <w:r w:rsidR="008B2BB5" w:rsidRPr="009642F7">
              <w:rPr>
                <w:rFonts w:ascii="Times New Roman" w:eastAsia="HeiT" w:hAnsi="Times New Roman" w:cs="Times New Roman"/>
                <w:b/>
                <w:sz w:val="20"/>
                <w:szCs w:val="21"/>
              </w:rPr>
              <w:t>&lt;0.01</w:t>
            </w:r>
            <w:r w:rsidRPr="009642F7">
              <w:rPr>
                <w:rFonts w:ascii="Times New Roman" w:eastAsia="HeiT" w:hAnsi="Times New Roman" w:cs="Times New Roman"/>
                <w:b/>
                <w:sz w:val="20"/>
                <w:szCs w:val="21"/>
              </w:rPr>
              <w:t>)***</w:t>
            </w:r>
          </w:p>
        </w:tc>
      </w:tr>
      <w:tr w:rsidR="009642F7" w:rsidRPr="009642F7" w14:paraId="499AD042" w14:textId="77777777" w:rsidTr="004B0065">
        <w:tc>
          <w:tcPr>
            <w:tcW w:w="925" w:type="pct"/>
            <w:tcBorders>
              <w:top w:val="nil"/>
              <w:left w:val="nil"/>
              <w:bottom w:val="nil"/>
              <w:right w:val="nil"/>
            </w:tcBorders>
            <w:shd w:val="clear" w:color="auto" w:fill="auto"/>
            <w:hideMark/>
          </w:tcPr>
          <w:p w14:paraId="31628F32" w14:textId="77777777" w:rsidR="008B2BB5" w:rsidRPr="009642F7" w:rsidRDefault="00B31A24"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Ln</w:t>
            </w:r>
            <w:r w:rsidR="008B2BB5" w:rsidRPr="009642F7">
              <w:rPr>
                <w:rFonts w:ascii="Times New Roman" w:eastAsia="HeiT" w:hAnsi="Times New Roman" w:cs="Times New Roman"/>
                <w:bCs/>
                <w:i/>
                <w:sz w:val="22"/>
                <w:szCs w:val="21"/>
              </w:rPr>
              <w:t>TA</w:t>
            </w:r>
          </w:p>
        </w:tc>
        <w:tc>
          <w:tcPr>
            <w:tcW w:w="404" w:type="pct"/>
            <w:tcBorders>
              <w:top w:val="nil"/>
              <w:left w:val="nil"/>
              <w:bottom w:val="nil"/>
              <w:right w:val="nil"/>
            </w:tcBorders>
            <w:shd w:val="clear" w:color="auto" w:fill="auto"/>
            <w:noWrap/>
            <w:vAlign w:val="center"/>
            <w:hideMark/>
          </w:tcPr>
          <w:p w14:paraId="2D1C31AE"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2DAAA2C0"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06325E9E"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55649615"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hideMark/>
          </w:tcPr>
          <w:p w14:paraId="0EDE96CC"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0.073</w:t>
            </w:r>
          </w:p>
        </w:tc>
        <w:tc>
          <w:tcPr>
            <w:tcW w:w="415" w:type="pct"/>
            <w:tcBorders>
              <w:top w:val="nil"/>
              <w:left w:val="nil"/>
              <w:bottom w:val="nil"/>
              <w:right w:val="nil"/>
            </w:tcBorders>
            <w:shd w:val="clear" w:color="auto" w:fill="auto"/>
            <w:hideMark/>
          </w:tcPr>
          <w:p w14:paraId="0C4BCA8F"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22.38</w:t>
            </w:r>
          </w:p>
        </w:tc>
        <w:tc>
          <w:tcPr>
            <w:tcW w:w="505" w:type="pct"/>
            <w:tcBorders>
              <w:top w:val="nil"/>
              <w:left w:val="nil"/>
              <w:bottom w:val="nil"/>
              <w:right w:val="nil"/>
            </w:tcBorders>
            <w:shd w:val="clear" w:color="auto" w:fill="auto"/>
            <w:hideMark/>
          </w:tcPr>
          <w:p w14:paraId="52A67723"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&lt;0.01</w:t>
            </w:r>
            <w:r w:rsidRPr="009642F7">
              <w:rPr>
                <w:rFonts w:ascii="Times New Roman" w:eastAsia="HeiT" w:hAnsi="Times New Roman" w:cs="Times New Roman"/>
                <w:sz w:val="20"/>
                <w:szCs w:val="21"/>
              </w:rPr>
              <w:t>)***</w:t>
            </w:r>
          </w:p>
        </w:tc>
        <w:tc>
          <w:tcPr>
            <w:tcW w:w="52" w:type="pct"/>
            <w:tcBorders>
              <w:top w:val="nil"/>
              <w:left w:val="nil"/>
              <w:bottom w:val="nil"/>
              <w:right w:val="nil"/>
            </w:tcBorders>
            <w:shd w:val="clear" w:color="auto" w:fill="auto"/>
            <w:noWrap/>
            <w:vAlign w:val="center"/>
            <w:hideMark/>
          </w:tcPr>
          <w:p w14:paraId="5735537A" w14:textId="77777777" w:rsidR="008B2BB5" w:rsidRPr="009642F7" w:rsidRDefault="008B2BB5" w:rsidP="00B31A24">
            <w:pPr>
              <w:snapToGrid w:val="0"/>
              <w:jc w:val="center"/>
              <w:rPr>
                <w:rFonts w:ascii="Times New Roman" w:eastAsia="HeiT" w:hAnsi="Times New Roman" w:cs="Times New Roman"/>
                <w:sz w:val="20"/>
                <w:szCs w:val="21"/>
              </w:rPr>
            </w:pPr>
          </w:p>
        </w:tc>
        <w:tc>
          <w:tcPr>
            <w:tcW w:w="404" w:type="pct"/>
            <w:tcBorders>
              <w:top w:val="nil"/>
              <w:left w:val="nil"/>
              <w:bottom w:val="nil"/>
              <w:right w:val="nil"/>
            </w:tcBorders>
            <w:shd w:val="clear" w:color="auto" w:fill="auto"/>
            <w:hideMark/>
          </w:tcPr>
          <w:p w14:paraId="33D06063"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0.083</w:t>
            </w:r>
          </w:p>
        </w:tc>
        <w:tc>
          <w:tcPr>
            <w:tcW w:w="415" w:type="pct"/>
            <w:tcBorders>
              <w:top w:val="nil"/>
              <w:left w:val="nil"/>
              <w:bottom w:val="nil"/>
              <w:right w:val="nil"/>
            </w:tcBorders>
            <w:shd w:val="clear" w:color="auto" w:fill="auto"/>
            <w:hideMark/>
          </w:tcPr>
          <w:p w14:paraId="5C0E9379"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24.75</w:t>
            </w:r>
          </w:p>
        </w:tc>
        <w:tc>
          <w:tcPr>
            <w:tcW w:w="505" w:type="pct"/>
            <w:tcBorders>
              <w:top w:val="nil"/>
              <w:left w:val="nil"/>
              <w:bottom w:val="nil"/>
              <w:right w:val="nil"/>
            </w:tcBorders>
            <w:shd w:val="clear" w:color="auto" w:fill="auto"/>
            <w:hideMark/>
          </w:tcPr>
          <w:p w14:paraId="363C7D2C"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&lt;0.01</w:t>
            </w:r>
            <w:r w:rsidRPr="009642F7">
              <w:rPr>
                <w:rFonts w:ascii="Times New Roman" w:eastAsia="HeiT" w:hAnsi="Times New Roman" w:cs="Times New Roman"/>
                <w:sz w:val="20"/>
                <w:szCs w:val="21"/>
              </w:rPr>
              <w:t>)***</w:t>
            </w:r>
          </w:p>
        </w:tc>
      </w:tr>
      <w:tr w:rsidR="009642F7" w:rsidRPr="009642F7" w14:paraId="0AC37D5D" w14:textId="77777777" w:rsidTr="004B0065">
        <w:tc>
          <w:tcPr>
            <w:tcW w:w="925" w:type="pct"/>
            <w:tcBorders>
              <w:top w:val="nil"/>
              <w:left w:val="nil"/>
              <w:bottom w:val="nil"/>
              <w:right w:val="nil"/>
            </w:tcBorders>
            <w:shd w:val="clear" w:color="auto" w:fill="auto"/>
            <w:hideMark/>
          </w:tcPr>
          <w:p w14:paraId="5334548F"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T</w:t>
            </w:r>
            <w:r w:rsidR="00B31A24" w:rsidRPr="009642F7">
              <w:rPr>
                <w:rFonts w:ascii="Times New Roman" w:eastAsia="HeiT" w:hAnsi="Times New Roman" w:cs="Times New Roman"/>
                <w:bCs/>
                <w:i/>
                <w:sz w:val="22"/>
                <w:szCs w:val="21"/>
              </w:rPr>
              <w:t>obin</w:t>
            </w:r>
            <w:r w:rsidRPr="009642F7">
              <w:rPr>
                <w:rFonts w:ascii="Times New Roman" w:eastAsia="HeiT" w:hAnsi="Times New Roman" w:cs="Times New Roman"/>
                <w:bCs/>
                <w:i/>
                <w:sz w:val="22"/>
                <w:szCs w:val="21"/>
              </w:rPr>
              <w:t>Q</w:t>
            </w:r>
          </w:p>
        </w:tc>
        <w:tc>
          <w:tcPr>
            <w:tcW w:w="404" w:type="pct"/>
            <w:tcBorders>
              <w:top w:val="nil"/>
              <w:left w:val="nil"/>
              <w:bottom w:val="nil"/>
              <w:right w:val="nil"/>
            </w:tcBorders>
            <w:shd w:val="clear" w:color="auto" w:fill="auto"/>
            <w:noWrap/>
            <w:vAlign w:val="center"/>
            <w:hideMark/>
          </w:tcPr>
          <w:p w14:paraId="199CD0F6"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30092D22"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6B153AEE"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2882A48A"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hideMark/>
          </w:tcPr>
          <w:p w14:paraId="36EF0126"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0.027</w:t>
            </w:r>
          </w:p>
        </w:tc>
        <w:tc>
          <w:tcPr>
            <w:tcW w:w="415" w:type="pct"/>
            <w:tcBorders>
              <w:top w:val="nil"/>
              <w:left w:val="nil"/>
              <w:bottom w:val="nil"/>
              <w:right w:val="nil"/>
            </w:tcBorders>
            <w:shd w:val="clear" w:color="auto" w:fill="auto"/>
            <w:hideMark/>
          </w:tcPr>
          <w:p w14:paraId="0A0BDF6E"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3.51</w:t>
            </w:r>
          </w:p>
        </w:tc>
        <w:tc>
          <w:tcPr>
            <w:tcW w:w="505" w:type="pct"/>
            <w:tcBorders>
              <w:top w:val="nil"/>
              <w:left w:val="nil"/>
              <w:bottom w:val="nil"/>
              <w:right w:val="nil"/>
            </w:tcBorders>
            <w:shd w:val="clear" w:color="auto" w:fill="auto"/>
            <w:hideMark/>
          </w:tcPr>
          <w:p w14:paraId="04874386"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0.06</w:t>
            </w:r>
            <w:r w:rsidRPr="009642F7">
              <w:rPr>
                <w:rFonts w:ascii="Times New Roman" w:eastAsia="HeiT" w:hAnsi="Times New Roman" w:cs="Times New Roman"/>
                <w:sz w:val="20"/>
                <w:szCs w:val="21"/>
              </w:rPr>
              <w:t>)*</w:t>
            </w:r>
          </w:p>
        </w:tc>
        <w:tc>
          <w:tcPr>
            <w:tcW w:w="52" w:type="pct"/>
            <w:tcBorders>
              <w:top w:val="nil"/>
              <w:left w:val="nil"/>
              <w:bottom w:val="nil"/>
              <w:right w:val="nil"/>
            </w:tcBorders>
            <w:shd w:val="clear" w:color="auto" w:fill="auto"/>
            <w:noWrap/>
            <w:vAlign w:val="center"/>
            <w:hideMark/>
          </w:tcPr>
          <w:p w14:paraId="543626DF" w14:textId="77777777" w:rsidR="008B2BB5" w:rsidRPr="009642F7" w:rsidRDefault="008B2BB5" w:rsidP="00B31A24">
            <w:pPr>
              <w:snapToGrid w:val="0"/>
              <w:jc w:val="center"/>
              <w:rPr>
                <w:rFonts w:ascii="Times New Roman" w:eastAsia="HeiT" w:hAnsi="Times New Roman" w:cs="Times New Roman"/>
                <w:sz w:val="20"/>
                <w:szCs w:val="21"/>
              </w:rPr>
            </w:pPr>
          </w:p>
        </w:tc>
        <w:tc>
          <w:tcPr>
            <w:tcW w:w="404" w:type="pct"/>
            <w:tcBorders>
              <w:top w:val="nil"/>
              <w:left w:val="nil"/>
              <w:bottom w:val="nil"/>
              <w:right w:val="nil"/>
            </w:tcBorders>
            <w:shd w:val="clear" w:color="auto" w:fill="auto"/>
            <w:hideMark/>
          </w:tcPr>
          <w:p w14:paraId="3C7E25E2"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0.024</w:t>
            </w:r>
          </w:p>
        </w:tc>
        <w:tc>
          <w:tcPr>
            <w:tcW w:w="415" w:type="pct"/>
            <w:tcBorders>
              <w:top w:val="nil"/>
              <w:left w:val="nil"/>
              <w:bottom w:val="nil"/>
              <w:right w:val="nil"/>
            </w:tcBorders>
            <w:shd w:val="clear" w:color="auto" w:fill="auto"/>
            <w:hideMark/>
          </w:tcPr>
          <w:p w14:paraId="4E802605"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2.7</w:t>
            </w:r>
            <w:r w:rsidR="00B31A24" w:rsidRPr="009642F7">
              <w:rPr>
                <w:rFonts w:ascii="Times New Roman" w:eastAsia="HeiT" w:hAnsi="Times New Roman" w:cs="Times New Roman"/>
                <w:sz w:val="20"/>
                <w:szCs w:val="21"/>
              </w:rPr>
              <w:t>9</w:t>
            </w:r>
          </w:p>
        </w:tc>
        <w:tc>
          <w:tcPr>
            <w:tcW w:w="505" w:type="pct"/>
            <w:tcBorders>
              <w:top w:val="nil"/>
              <w:left w:val="nil"/>
              <w:bottom w:val="nil"/>
              <w:right w:val="nil"/>
            </w:tcBorders>
            <w:shd w:val="clear" w:color="auto" w:fill="auto"/>
            <w:hideMark/>
          </w:tcPr>
          <w:p w14:paraId="253F5C45"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w:t>
            </w:r>
            <w:r w:rsidRPr="009642F7">
              <w:rPr>
                <w:rFonts w:ascii="Times New Roman" w:eastAsia="HeiT" w:hAnsi="Times New Roman" w:cs="Times New Roman"/>
                <w:sz w:val="20"/>
                <w:szCs w:val="21"/>
              </w:rPr>
              <w:t>09)*</w:t>
            </w:r>
          </w:p>
        </w:tc>
      </w:tr>
      <w:tr w:rsidR="009642F7" w:rsidRPr="009642F7" w14:paraId="7710719A" w14:textId="77777777" w:rsidTr="004B0065">
        <w:tc>
          <w:tcPr>
            <w:tcW w:w="925" w:type="pct"/>
            <w:tcBorders>
              <w:top w:val="nil"/>
              <w:left w:val="nil"/>
              <w:bottom w:val="nil"/>
              <w:right w:val="nil"/>
            </w:tcBorders>
            <w:shd w:val="clear" w:color="auto" w:fill="auto"/>
            <w:hideMark/>
          </w:tcPr>
          <w:p w14:paraId="08AD1867"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SG</w:t>
            </w:r>
          </w:p>
        </w:tc>
        <w:tc>
          <w:tcPr>
            <w:tcW w:w="404" w:type="pct"/>
            <w:tcBorders>
              <w:top w:val="nil"/>
              <w:left w:val="nil"/>
              <w:bottom w:val="nil"/>
              <w:right w:val="nil"/>
            </w:tcBorders>
            <w:shd w:val="clear" w:color="auto" w:fill="auto"/>
            <w:noWrap/>
            <w:vAlign w:val="center"/>
            <w:hideMark/>
          </w:tcPr>
          <w:p w14:paraId="738DE30F"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254CA6C5"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08A691D6"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7935700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hideMark/>
          </w:tcPr>
          <w:p w14:paraId="121843C5"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0.000</w:t>
            </w:r>
          </w:p>
        </w:tc>
        <w:tc>
          <w:tcPr>
            <w:tcW w:w="415" w:type="pct"/>
            <w:tcBorders>
              <w:top w:val="nil"/>
              <w:left w:val="nil"/>
              <w:bottom w:val="nil"/>
              <w:right w:val="nil"/>
            </w:tcBorders>
            <w:shd w:val="clear" w:color="auto" w:fill="auto"/>
            <w:hideMark/>
          </w:tcPr>
          <w:p w14:paraId="47EC9417"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0.01</w:t>
            </w:r>
          </w:p>
        </w:tc>
        <w:tc>
          <w:tcPr>
            <w:tcW w:w="505" w:type="pct"/>
            <w:tcBorders>
              <w:top w:val="nil"/>
              <w:left w:val="nil"/>
              <w:bottom w:val="nil"/>
              <w:right w:val="nil"/>
            </w:tcBorders>
            <w:shd w:val="clear" w:color="auto" w:fill="auto"/>
            <w:hideMark/>
          </w:tcPr>
          <w:p w14:paraId="59FA00AF"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0.92</w:t>
            </w:r>
            <w:r w:rsidRPr="009642F7">
              <w:rPr>
                <w:rFonts w:ascii="Times New Roman" w:eastAsia="HeiT" w:hAnsi="Times New Roman" w:cs="Times New Roman"/>
                <w:sz w:val="20"/>
                <w:szCs w:val="21"/>
              </w:rPr>
              <w:t>)</w:t>
            </w:r>
          </w:p>
        </w:tc>
        <w:tc>
          <w:tcPr>
            <w:tcW w:w="52" w:type="pct"/>
            <w:tcBorders>
              <w:top w:val="nil"/>
              <w:left w:val="nil"/>
              <w:bottom w:val="nil"/>
              <w:right w:val="nil"/>
            </w:tcBorders>
            <w:shd w:val="clear" w:color="auto" w:fill="auto"/>
            <w:noWrap/>
            <w:vAlign w:val="center"/>
            <w:hideMark/>
          </w:tcPr>
          <w:p w14:paraId="66F91A9B" w14:textId="77777777" w:rsidR="008B2BB5" w:rsidRPr="009642F7" w:rsidRDefault="008B2BB5" w:rsidP="00B31A24">
            <w:pPr>
              <w:snapToGrid w:val="0"/>
              <w:jc w:val="center"/>
              <w:rPr>
                <w:rFonts w:ascii="Times New Roman" w:eastAsia="HeiT" w:hAnsi="Times New Roman" w:cs="Times New Roman"/>
                <w:sz w:val="20"/>
                <w:szCs w:val="21"/>
              </w:rPr>
            </w:pPr>
          </w:p>
        </w:tc>
        <w:tc>
          <w:tcPr>
            <w:tcW w:w="404" w:type="pct"/>
            <w:tcBorders>
              <w:top w:val="nil"/>
              <w:left w:val="nil"/>
              <w:bottom w:val="nil"/>
              <w:right w:val="nil"/>
            </w:tcBorders>
            <w:shd w:val="clear" w:color="auto" w:fill="auto"/>
            <w:noWrap/>
            <w:hideMark/>
          </w:tcPr>
          <w:p w14:paraId="7D7E8EC3"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0.000</w:t>
            </w:r>
          </w:p>
        </w:tc>
        <w:tc>
          <w:tcPr>
            <w:tcW w:w="415" w:type="pct"/>
            <w:tcBorders>
              <w:top w:val="nil"/>
              <w:left w:val="nil"/>
              <w:bottom w:val="nil"/>
              <w:right w:val="nil"/>
            </w:tcBorders>
            <w:shd w:val="clear" w:color="auto" w:fill="auto"/>
            <w:hideMark/>
          </w:tcPr>
          <w:p w14:paraId="7B37C29A"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0.01</w:t>
            </w:r>
          </w:p>
        </w:tc>
        <w:tc>
          <w:tcPr>
            <w:tcW w:w="505" w:type="pct"/>
            <w:tcBorders>
              <w:top w:val="nil"/>
              <w:left w:val="nil"/>
              <w:bottom w:val="nil"/>
              <w:right w:val="nil"/>
            </w:tcBorders>
            <w:shd w:val="clear" w:color="auto" w:fill="auto"/>
            <w:hideMark/>
          </w:tcPr>
          <w:p w14:paraId="25318037"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0.91</w:t>
            </w:r>
            <w:r w:rsidRPr="009642F7">
              <w:rPr>
                <w:rFonts w:ascii="Times New Roman" w:eastAsia="HeiT" w:hAnsi="Times New Roman" w:cs="Times New Roman"/>
                <w:sz w:val="20"/>
                <w:szCs w:val="21"/>
              </w:rPr>
              <w:t>)</w:t>
            </w:r>
          </w:p>
        </w:tc>
      </w:tr>
      <w:tr w:rsidR="009642F7" w:rsidRPr="009642F7" w14:paraId="1F16DF5B" w14:textId="77777777" w:rsidTr="004B0065">
        <w:tc>
          <w:tcPr>
            <w:tcW w:w="925" w:type="pct"/>
            <w:tcBorders>
              <w:top w:val="nil"/>
              <w:left w:val="nil"/>
              <w:bottom w:val="nil"/>
              <w:right w:val="nil"/>
            </w:tcBorders>
            <w:shd w:val="clear" w:color="auto" w:fill="auto"/>
            <w:hideMark/>
          </w:tcPr>
          <w:p w14:paraId="4CE326EB"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DEBT</w:t>
            </w:r>
          </w:p>
        </w:tc>
        <w:tc>
          <w:tcPr>
            <w:tcW w:w="404" w:type="pct"/>
            <w:tcBorders>
              <w:top w:val="nil"/>
              <w:left w:val="nil"/>
              <w:bottom w:val="nil"/>
              <w:right w:val="nil"/>
            </w:tcBorders>
            <w:shd w:val="clear" w:color="auto" w:fill="auto"/>
            <w:noWrap/>
            <w:vAlign w:val="center"/>
            <w:hideMark/>
          </w:tcPr>
          <w:p w14:paraId="4158D685"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082A7B4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60C8B0F4"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0E397023"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hideMark/>
          </w:tcPr>
          <w:p w14:paraId="4C8FACFB"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0.007</w:t>
            </w:r>
          </w:p>
        </w:tc>
        <w:tc>
          <w:tcPr>
            <w:tcW w:w="415" w:type="pct"/>
            <w:tcBorders>
              <w:top w:val="nil"/>
              <w:left w:val="nil"/>
              <w:bottom w:val="nil"/>
              <w:right w:val="nil"/>
            </w:tcBorders>
            <w:shd w:val="clear" w:color="auto" w:fill="auto"/>
            <w:hideMark/>
          </w:tcPr>
          <w:p w14:paraId="3EEBF0DA"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42.54</w:t>
            </w:r>
          </w:p>
        </w:tc>
        <w:tc>
          <w:tcPr>
            <w:tcW w:w="505" w:type="pct"/>
            <w:tcBorders>
              <w:top w:val="nil"/>
              <w:left w:val="nil"/>
              <w:bottom w:val="nil"/>
              <w:right w:val="nil"/>
            </w:tcBorders>
            <w:shd w:val="clear" w:color="auto" w:fill="auto"/>
            <w:hideMark/>
          </w:tcPr>
          <w:p w14:paraId="7C83A299"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&lt;0.01</w:t>
            </w:r>
            <w:r w:rsidRPr="009642F7">
              <w:rPr>
                <w:rFonts w:ascii="Times New Roman" w:eastAsia="HeiT" w:hAnsi="Times New Roman" w:cs="Times New Roman"/>
                <w:sz w:val="20"/>
                <w:szCs w:val="21"/>
              </w:rPr>
              <w:t>)***</w:t>
            </w:r>
          </w:p>
        </w:tc>
        <w:tc>
          <w:tcPr>
            <w:tcW w:w="52" w:type="pct"/>
            <w:tcBorders>
              <w:top w:val="nil"/>
              <w:left w:val="nil"/>
              <w:bottom w:val="nil"/>
              <w:right w:val="nil"/>
            </w:tcBorders>
            <w:shd w:val="clear" w:color="auto" w:fill="auto"/>
            <w:noWrap/>
            <w:vAlign w:val="center"/>
            <w:hideMark/>
          </w:tcPr>
          <w:p w14:paraId="6101CBC1" w14:textId="77777777" w:rsidR="008B2BB5" w:rsidRPr="009642F7" w:rsidRDefault="008B2BB5" w:rsidP="00B31A24">
            <w:pPr>
              <w:snapToGrid w:val="0"/>
              <w:jc w:val="center"/>
              <w:rPr>
                <w:rFonts w:ascii="Times New Roman" w:eastAsia="HeiT" w:hAnsi="Times New Roman" w:cs="Times New Roman"/>
                <w:sz w:val="20"/>
                <w:szCs w:val="21"/>
              </w:rPr>
            </w:pPr>
          </w:p>
        </w:tc>
        <w:tc>
          <w:tcPr>
            <w:tcW w:w="404" w:type="pct"/>
            <w:tcBorders>
              <w:top w:val="nil"/>
              <w:left w:val="nil"/>
              <w:bottom w:val="nil"/>
              <w:right w:val="nil"/>
            </w:tcBorders>
            <w:shd w:val="clear" w:color="auto" w:fill="auto"/>
            <w:hideMark/>
          </w:tcPr>
          <w:p w14:paraId="1CF294D7"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0.007</w:t>
            </w:r>
          </w:p>
        </w:tc>
        <w:tc>
          <w:tcPr>
            <w:tcW w:w="415" w:type="pct"/>
            <w:tcBorders>
              <w:top w:val="nil"/>
              <w:left w:val="nil"/>
              <w:bottom w:val="nil"/>
              <w:right w:val="nil"/>
            </w:tcBorders>
            <w:shd w:val="clear" w:color="auto" w:fill="auto"/>
            <w:hideMark/>
          </w:tcPr>
          <w:p w14:paraId="2144BAE6"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39.23</w:t>
            </w:r>
          </w:p>
        </w:tc>
        <w:tc>
          <w:tcPr>
            <w:tcW w:w="505" w:type="pct"/>
            <w:tcBorders>
              <w:top w:val="nil"/>
              <w:left w:val="nil"/>
              <w:bottom w:val="nil"/>
              <w:right w:val="nil"/>
            </w:tcBorders>
            <w:shd w:val="clear" w:color="auto" w:fill="auto"/>
            <w:hideMark/>
          </w:tcPr>
          <w:p w14:paraId="64C2C545"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&lt;0.01</w:t>
            </w:r>
            <w:r w:rsidRPr="009642F7">
              <w:rPr>
                <w:rFonts w:ascii="Times New Roman" w:eastAsia="HeiT" w:hAnsi="Times New Roman" w:cs="Times New Roman"/>
                <w:sz w:val="20"/>
                <w:szCs w:val="21"/>
              </w:rPr>
              <w:t>)***</w:t>
            </w:r>
          </w:p>
        </w:tc>
      </w:tr>
      <w:tr w:rsidR="009642F7" w:rsidRPr="009642F7" w14:paraId="1652BAE0" w14:textId="77777777" w:rsidTr="004B0065">
        <w:tc>
          <w:tcPr>
            <w:tcW w:w="925" w:type="pct"/>
            <w:tcBorders>
              <w:top w:val="nil"/>
              <w:left w:val="nil"/>
              <w:bottom w:val="nil"/>
              <w:right w:val="nil"/>
            </w:tcBorders>
            <w:shd w:val="clear" w:color="auto" w:fill="auto"/>
            <w:hideMark/>
          </w:tcPr>
          <w:p w14:paraId="4B836021"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ROA</w:t>
            </w:r>
          </w:p>
        </w:tc>
        <w:tc>
          <w:tcPr>
            <w:tcW w:w="404" w:type="pct"/>
            <w:tcBorders>
              <w:top w:val="nil"/>
              <w:left w:val="nil"/>
              <w:bottom w:val="nil"/>
              <w:right w:val="nil"/>
            </w:tcBorders>
            <w:shd w:val="clear" w:color="auto" w:fill="auto"/>
            <w:noWrap/>
            <w:vAlign w:val="center"/>
            <w:hideMark/>
          </w:tcPr>
          <w:p w14:paraId="0A0BA310"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7B7B64D1"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47D7951F"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34808F05"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hideMark/>
          </w:tcPr>
          <w:p w14:paraId="42FB749B" w14:textId="77777777" w:rsidR="008B2BB5"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0.009</w:t>
            </w:r>
          </w:p>
        </w:tc>
        <w:tc>
          <w:tcPr>
            <w:tcW w:w="415" w:type="pct"/>
            <w:tcBorders>
              <w:top w:val="nil"/>
              <w:left w:val="nil"/>
              <w:bottom w:val="nil"/>
              <w:right w:val="nil"/>
            </w:tcBorders>
            <w:shd w:val="clear" w:color="auto" w:fill="auto"/>
            <w:hideMark/>
          </w:tcPr>
          <w:p w14:paraId="43B52437"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19.43</w:t>
            </w:r>
          </w:p>
        </w:tc>
        <w:tc>
          <w:tcPr>
            <w:tcW w:w="505" w:type="pct"/>
            <w:tcBorders>
              <w:top w:val="nil"/>
              <w:left w:val="nil"/>
              <w:bottom w:val="nil"/>
              <w:right w:val="nil"/>
            </w:tcBorders>
            <w:shd w:val="clear" w:color="auto" w:fill="auto"/>
            <w:hideMark/>
          </w:tcPr>
          <w:p w14:paraId="173B3DE1"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&lt;0.01</w:t>
            </w:r>
            <w:r w:rsidRPr="009642F7">
              <w:rPr>
                <w:rFonts w:ascii="Times New Roman" w:eastAsia="HeiT" w:hAnsi="Times New Roman" w:cs="Times New Roman"/>
                <w:sz w:val="20"/>
                <w:szCs w:val="21"/>
              </w:rPr>
              <w:t>)***</w:t>
            </w:r>
          </w:p>
        </w:tc>
        <w:tc>
          <w:tcPr>
            <w:tcW w:w="52" w:type="pct"/>
            <w:tcBorders>
              <w:top w:val="nil"/>
              <w:left w:val="nil"/>
              <w:bottom w:val="nil"/>
              <w:right w:val="nil"/>
            </w:tcBorders>
            <w:shd w:val="clear" w:color="auto" w:fill="auto"/>
            <w:noWrap/>
            <w:vAlign w:val="center"/>
            <w:hideMark/>
          </w:tcPr>
          <w:p w14:paraId="56C1A9CB" w14:textId="77777777" w:rsidR="008B2BB5" w:rsidRPr="009642F7" w:rsidRDefault="008B2BB5" w:rsidP="00B31A24">
            <w:pPr>
              <w:snapToGrid w:val="0"/>
              <w:jc w:val="center"/>
              <w:rPr>
                <w:rFonts w:ascii="Times New Roman" w:eastAsia="HeiT" w:hAnsi="Times New Roman" w:cs="Times New Roman"/>
                <w:sz w:val="20"/>
                <w:szCs w:val="21"/>
              </w:rPr>
            </w:pPr>
          </w:p>
        </w:tc>
        <w:tc>
          <w:tcPr>
            <w:tcW w:w="404" w:type="pct"/>
            <w:tcBorders>
              <w:top w:val="nil"/>
              <w:left w:val="nil"/>
              <w:bottom w:val="nil"/>
              <w:right w:val="nil"/>
            </w:tcBorders>
            <w:shd w:val="clear" w:color="auto" w:fill="auto"/>
            <w:noWrap/>
            <w:hideMark/>
          </w:tcPr>
          <w:p w14:paraId="5E9BAE68" w14:textId="77777777" w:rsidR="008B2BB5"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0.010</w:t>
            </w:r>
          </w:p>
        </w:tc>
        <w:tc>
          <w:tcPr>
            <w:tcW w:w="415" w:type="pct"/>
            <w:tcBorders>
              <w:top w:val="nil"/>
              <w:left w:val="nil"/>
              <w:bottom w:val="nil"/>
              <w:right w:val="nil"/>
            </w:tcBorders>
            <w:shd w:val="clear" w:color="auto" w:fill="auto"/>
            <w:hideMark/>
          </w:tcPr>
          <w:p w14:paraId="157EA792"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21.09</w:t>
            </w:r>
          </w:p>
        </w:tc>
        <w:tc>
          <w:tcPr>
            <w:tcW w:w="505" w:type="pct"/>
            <w:tcBorders>
              <w:top w:val="nil"/>
              <w:left w:val="nil"/>
              <w:bottom w:val="nil"/>
              <w:right w:val="nil"/>
            </w:tcBorders>
            <w:shd w:val="clear" w:color="auto" w:fill="auto"/>
            <w:hideMark/>
          </w:tcPr>
          <w:p w14:paraId="36EF5312"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&lt;0.01</w:t>
            </w:r>
            <w:r w:rsidRPr="009642F7">
              <w:rPr>
                <w:rFonts w:ascii="Times New Roman" w:eastAsia="HeiT" w:hAnsi="Times New Roman" w:cs="Times New Roman"/>
                <w:sz w:val="20"/>
                <w:szCs w:val="21"/>
              </w:rPr>
              <w:t>)***</w:t>
            </w:r>
          </w:p>
        </w:tc>
      </w:tr>
      <w:tr w:rsidR="009642F7" w:rsidRPr="009642F7" w14:paraId="50F7566C" w14:textId="77777777" w:rsidTr="004B0065">
        <w:tc>
          <w:tcPr>
            <w:tcW w:w="925" w:type="pct"/>
            <w:tcBorders>
              <w:top w:val="nil"/>
              <w:left w:val="nil"/>
              <w:bottom w:val="nil"/>
              <w:right w:val="nil"/>
            </w:tcBorders>
            <w:shd w:val="clear" w:color="auto" w:fill="auto"/>
            <w:hideMark/>
          </w:tcPr>
          <w:p w14:paraId="7ED7D4F9"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DIV</w:t>
            </w:r>
          </w:p>
        </w:tc>
        <w:tc>
          <w:tcPr>
            <w:tcW w:w="404" w:type="pct"/>
            <w:tcBorders>
              <w:top w:val="nil"/>
              <w:left w:val="nil"/>
              <w:bottom w:val="nil"/>
              <w:right w:val="nil"/>
            </w:tcBorders>
            <w:shd w:val="clear" w:color="auto" w:fill="auto"/>
            <w:noWrap/>
            <w:vAlign w:val="center"/>
            <w:hideMark/>
          </w:tcPr>
          <w:p w14:paraId="39125E1A"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10B0D8D9"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6B7BC8A8"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06CDCE58"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hideMark/>
          </w:tcPr>
          <w:p w14:paraId="2071BC72" w14:textId="77777777" w:rsidR="008B2BB5"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0.009</w:t>
            </w:r>
          </w:p>
        </w:tc>
        <w:tc>
          <w:tcPr>
            <w:tcW w:w="415" w:type="pct"/>
            <w:tcBorders>
              <w:top w:val="nil"/>
              <w:left w:val="nil"/>
              <w:bottom w:val="nil"/>
              <w:right w:val="nil"/>
            </w:tcBorders>
            <w:shd w:val="clear" w:color="auto" w:fill="auto"/>
            <w:hideMark/>
          </w:tcPr>
          <w:p w14:paraId="465716EA"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2.37</w:t>
            </w:r>
          </w:p>
        </w:tc>
        <w:tc>
          <w:tcPr>
            <w:tcW w:w="505" w:type="pct"/>
            <w:tcBorders>
              <w:top w:val="nil"/>
              <w:left w:val="nil"/>
              <w:bottom w:val="nil"/>
              <w:right w:val="nil"/>
            </w:tcBorders>
            <w:shd w:val="clear" w:color="auto" w:fill="auto"/>
            <w:hideMark/>
          </w:tcPr>
          <w:p w14:paraId="1616DD03"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0.12</w:t>
            </w:r>
            <w:r w:rsidRPr="009642F7">
              <w:rPr>
                <w:rFonts w:ascii="Times New Roman" w:eastAsia="HeiT" w:hAnsi="Times New Roman" w:cs="Times New Roman"/>
                <w:sz w:val="20"/>
                <w:szCs w:val="21"/>
              </w:rPr>
              <w:t>)</w:t>
            </w:r>
          </w:p>
        </w:tc>
        <w:tc>
          <w:tcPr>
            <w:tcW w:w="52" w:type="pct"/>
            <w:tcBorders>
              <w:top w:val="nil"/>
              <w:left w:val="nil"/>
              <w:bottom w:val="nil"/>
              <w:right w:val="nil"/>
            </w:tcBorders>
            <w:shd w:val="clear" w:color="auto" w:fill="auto"/>
            <w:noWrap/>
            <w:vAlign w:val="center"/>
            <w:hideMark/>
          </w:tcPr>
          <w:p w14:paraId="062972F1" w14:textId="77777777" w:rsidR="008B2BB5" w:rsidRPr="009642F7" w:rsidRDefault="008B2BB5" w:rsidP="00B31A24">
            <w:pPr>
              <w:snapToGrid w:val="0"/>
              <w:jc w:val="center"/>
              <w:rPr>
                <w:rFonts w:ascii="Times New Roman" w:eastAsia="HeiT" w:hAnsi="Times New Roman" w:cs="Times New Roman"/>
                <w:sz w:val="20"/>
                <w:szCs w:val="21"/>
              </w:rPr>
            </w:pPr>
          </w:p>
        </w:tc>
        <w:tc>
          <w:tcPr>
            <w:tcW w:w="404" w:type="pct"/>
            <w:tcBorders>
              <w:top w:val="nil"/>
              <w:left w:val="nil"/>
              <w:bottom w:val="nil"/>
              <w:right w:val="nil"/>
            </w:tcBorders>
            <w:shd w:val="clear" w:color="auto" w:fill="auto"/>
            <w:noWrap/>
            <w:hideMark/>
          </w:tcPr>
          <w:p w14:paraId="7F2B3986" w14:textId="77777777" w:rsidR="008B2BB5"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0.009</w:t>
            </w:r>
          </w:p>
        </w:tc>
        <w:tc>
          <w:tcPr>
            <w:tcW w:w="415" w:type="pct"/>
            <w:tcBorders>
              <w:top w:val="nil"/>
              <w:left w:val="nil"/>
              <w:bottom w:val="nil"/>
              <w:right w:val="nil"/>
            </w:tcBorders>
            <w:shd w:val="clear" w:color="auto" w:fill="auto"/>
            <w:hideMark/>
          </w:tcPr>
          <w:p w14:paraId="384ACFCD"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2.35</w:t>
            </w:r>
          </w:p>
        </w:tc>
        <w:tc>
          <w:tcPr>
            <w:tcW w:w="505" w:type="pct"/>
            <w:tcBorders>
              <w:top w:val="nil"/>
              <w:left w:val="nil"/>
              <w:bottom w:val="nil"/>
              <w:right w:val="nil"/>
            </w:tcBorders>
            <w:shd w:val="clear" w:color="auto" w:fill="auto"/>
            <w:hideMark/>
          </w:tcPr>
          <w:p w14:paraId="2912CAB5"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0.13</w:t>
            </w:r>
            <w:r w:rsidRPr="009642F7">
              <w:rPr>
                <w:rFonts w:ascii="Times New Roman" w:eastAsia="HeiT" w:hAnsi="Times New Roman" w:cs="Times New Roman"/>
                <w:sz w:val="20"/>
                <w:szCs w:val="21"/>
              </w:rPr>
              <w:t>)</w:t>
            </w:r>
          </w:p>
        </w:tc>
      </w:tr>
      <w:tr w:rsidR="009642F7" w:rsidRPr="009642F7" w14:paraId="6B512B33" w14:textId="77777777" w:rsidTr="004B0065">
        <w:tc>
          <w:tcPr>
            <w:tcW w:w="925" w:type="pct"/>
            <w:tcBorders>
              <w:top w:val="nil"/>
              <w:left w:val="nil"/>
              <w:bottom w:val="nil"/>
              <w:right w:val="nil"/>
            </w:tcBorders>
            <w:shd w:val="clear" w:color="auto" w:fill="auto"/>
            <w:hideMark/>
          </w:tcPr>
          <w:p w14:paraId="3BBB50D1"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BSIZE</w:t>
            </w:r>
          </w:p>
        </w:tc>
        <w:tc>
          <w:tcPr>
            <w:tcW w:w="404" w:type="pct"/>
            <w:tcBorders>
              <w:top w:val="nil"/>
              <w:left w:val="nil"/>
              <w:bottom w:val="nil"/>
              <w:right w:val="nil"/>
            </w:tcBorders>
            <w:shd w:val="clear" w:color="auto" w:fill="auto"/>
            <w:noWrap/>
            <w:vAlign w:val="center"/>
            <w:hideMark/>
          </w:tcPr>
          <w:p w14:paraId="1C1824C4"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65472793"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75C63154"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4F5F582E"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17C6AF82"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3C47DD0D"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2BF818DC"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67DE814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hideMark/>
          </w:tcPr>
          <w:p w14:paraId="5E12FE20" w14:textId="77777777" w:rsidR="008B2BB5"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0.015</w:t>
            </w:r>
          </w:p>
        </w:tc>
        <w:tc>
          <w:tcPr>
            <w:tcW w:w="415" w:type="pct"/>
            <w:tcBorders>
              <w:top w:val="nil"/>
              <w:left w:val="nil"/>
              <w:bottom w:val="nil"/>
              <w:right w:val="nil"/>
            </w:tcBorders>
            <w:shd w:val="clear" w:color="auto" w:fill="auto"/>
            <w:hideMark/>
          </w:tcPr>
          <w:p w14:paraId="19ABF056"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5.03</w:t>
            </w:r>
          </w:p>
        </w:tc>
        <w:tc>
          <w:tcPr>
            <w:tcW w:w="505" w:type="pct"/>
            <w:tcBorders>
              <w:top w:val="nil"/>
              <w:left w:val="nil"/>
              <w:bottom w:val="nil"/>
              <w:right w:val="nil"/>
            </w:tcBorders>
            <w:shd w:val="clear" w:color="auto" w:fill="auto"/>
            <w:hideMark/>
          </w:tcPr>
          <w:p w14:paraId="742FDD7E"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0.02</w:t>
            </w:r>
            <w:r w:rsidRPr="009642F7">
              <w:rPr>
                <w:rFonts w:ascii="Times New Roman" w:eastAsia="HeiT" w:hAnsi="Times New Roman" w:cs="Times New Roman"/>
                <w:sz w:val="20"/>
                <w:szCs w:val="21"/>
              </w:rPr>
              <w:t>)**</w:t>
            </w:r>
          </w:p>
        </w:tc>
      </w:tr>
      <w:tr w:rsidR="009642F7" w:rsidRPr="009642F7" w14:paraId="5350D0EC" w14:textId="77777777" w:rsidTr="004B0065">
        <w:tc>
          <w:tcPr>
            <w:tcW w:w="925" w:type="pct"/>
            <w:tcBorders>
              <w:top w:val="nil"/>
              <w:left w:val="nil"/>
              <w:bottom w:val="nil"/>
              <w:right w:val="nil"/>
            </w:tcBorders>
            <w:shd w:val="clear" w:color="auto" w:fill="auto"/>
            <w:hideMark/>
          </w:tcPr>
          <w:p w14:paraId="23F32A42" w14:textId="77777777" w:rsidR="00B31A24" w:rsidRPr="009642F7" w:rsidRDefault="00B31A24" w:rsidP="00513AE7">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BIND</w:t>
            </w:r>
          </w:p>
        </w:tc>
        <w:tc>
          <w:tcPr>
            <w:tcW w:w="404" w:type="pct"/>
            <w:tcBorders>
              <w:top w:val="nil"/>
              <w:left w:val="nil"/>
              <w:bottom w:val="nil"/>
              <w:right w:val="nil"/>
            </w:tcBorders>
            <w:shd w:val="clear" w:color="auto" w:fill="auto"/>
            <w:noWrap/>
            <w:vAlign w:val="center"/>
            <w:hideMark/>
          </w:tcPr>
          <w:p w14:paraId="42A8DAA7" w14:textId="77777777" w:rsidR="00B31A24" w:rsidRPr="009642F7" w:rsidRDefault="00B31A24" w:rsidP="00513AE7">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62D906BE" w14:textId="77777777" w:rsidR="00B31A24" w:rsidRPr="009642F7" w:rsidRDefault="00B31A24" w:rsidP="00513AE7">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3AE48B34" w14:textId="77777777" w:rsidR="00B31A24" w:rsidRPr="009642F7" w:rsidRDefault="00B31A24" w:rsidP="00513AE7">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6CBD1E1C" w14:textId="77777777" w:rsidR="00B31A24" w:rsidRPr="009642F7" w:rsidRDefault="00B31A24" w:rsidP="00513AE7">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2E38F84E" w14:textId="77777777" w:rsidR="00B31A24" w:rsidRPr="009642F7" w:rsidRDefault="00B31A24" w:rsidP="00513AE7">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5A9AA3F9" w14:textId="77777777" w:rsidR="00B31A24" w:rsidRPr="009642F7" w:rsidRDefault="00B31A24" w:rsidP="00513AE7">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799166EA" w14:textId="77777777" w:rsidR="00B31A24" w:rsidRPr="009642F7" w:rsidRDefault="00B31A24" w:rsidP="00513AE7">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5A260895" w14:textId="77777777" w:rsidR="00B31A24" w:rsidRPr="009642F7" w:rsidRDefault="00B31A24" w:rsidP="00513AE7">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hideMark/>
          </w:tcPr>
          <w:p w14:paraId="0024136D" w14:textId="77777777" w:rsidR="00B31A24"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−0.279</w:t>
            </w:r>
          </w:p>
        </w:tc>
        <w:tc>
          <w:tcPr>
            <w:tcW w:w="415" w:type="pct"/>
            <w:tcBorders>
              <w:top w:val="nil"/>
              <w:left w:val="nil"/>
              <w:bottom w:val="nil"/>
              <w:right w:val="nil"/>
            </w:tcBorders>
            <w:shd w:val="clear" w:color="auto" w:fill="auto"/>
            <w:hideMark/>
          </w:tcPr>
          <w:p w14:paraId="0309E12B" w14:textId="77777777" w:rsidR="00B31A24"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4.39</w:t>
            </w:r>
          </w:p>
        </w:tc>
        <w:tc>
          <w:tcPr>
            <w:tcW w:w="505" w:type="pct"/>
            <w:tcBorders>
              <w:top w:val="nil"/>
              <w:left w:val="nil"/>
              <w:bottom w:val="nil"/>
              <w:right w:val="nil"/>
            </w:tcBorders>
            <w:shd w:val="clear" w:color="auto" w:fill="auto"/>
            <w:hideMark/>
          </w:tcPr>
          <w:p w14:paraId="2D0FD450" w14:textId="77777777" w:rsidR="00B31A24" w:rsidRPr="009642F7" w:rsidRDefault="00B31A24" w:rsidP="00513AE7">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(0.04)**</w:t>
            </w:r>
          </w:p>
        </w:tc>
      </w:tr>
      <w:tr w:rsidR="009642F7" w:rsidRPr="009642F7" w14:paraId="07611404" w14:textId="77777777" w:rsidTr="004B0065">
        <w:tc>
          <w:tcPr>
            <w:tcW w:w="925" w:type="pct"/>
            <w:tcBorders>
              <w:top w:val="nil"/>
              <w:left w:val="nil"/>
              <w:bottom w:val="nil"/>
              <w:right w:val="nil"/>
            </w:tcBorders>
            <w:shd w:val="clear" w:color="auto" w:fill="auto"/>
            <w:hideMark/>
          </w:tcPr>
          <w:p w14:paraId="5E6BDFD0"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BOR</w:t>
            </w:r>
          </w:p>
        </w:tc>
        <w:tc>
          <w:tcPr>
            <w:tcW w:w="404" w:type="pct"/>
            <w:tcBorders>
              <w:top w:val="nil"/>
              <w:left w:val="nil"/>
              <w:bottom w:val="nil"/>
              <w:right w:val="nil"/>
            </w:tcBorders>
            <w:shd w:val="clear" w:color="auto" w:fill="auto"/>
            <w:noWrap/>
            <w:vAlign w:val="center"/>
            <w:hideMark/>
          </w:tcPr>
          <w:p w14:paraId="6B760A46"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2A7505DC"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666E8816"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3967928D"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556E0DE7"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7A183938"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0E58258A"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66A4CCE9"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hideMark/>
          </w:tcPr>
          <w:p w14:paraId="5B56062C"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0.002</w:t>
            </w:r>
          </w:p>
        </w:tc>
        <w:tc>
          <w:tcPr>
            <w:tcW w:w="415" w:type="pct"/>
            <w:tcBorders>
              <w:top w:val="nil"/>
              <w:left w:val="nil"/>
              <w:bottom w:val="nil"/>
              <w:right w:val="nil"/>
            </w:tcBorders>
            <w:shd w:val="clear" w:color="auto" w:fill="auto"/>
            <w:hideMark/>
          </w:tcPr>
          <w:p w14:paraId="0E37A5AC"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1.43</w:t>
            </w:r>
          </w:p>
        </w:tc>
        <w:tc>
          <w:tcPr>
            <w:tcW w:w="505" w:type="pct"/>
            <w:tcBorders>
              <w:top w:val="nil"/>
              <w:left w:val="nil"/>
              <w:bottom w:val="nil"/>
              <w:right w:val="nil"/>
            </w:tcBorders>
            <w:shd w:val="clear" w:color="auto" w:fill="auto"/>
            <w:hideMark/>
          </w:tcPr>
          <w:p w14:paraId="07DB693E"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0.23</w:t>
            </w:r>
            <w:r w:rsidRPr="009642F7">
              <w:rPr>
                <w:rFonts w:ascii="Times New Roman" w:eastAsia="HeiT" w:hAnsi="Times New Roman" w:cs="Times New Roman"/>
                <w:sz w:val="20"/>
                <w:szCs w:val="21"/>
              </w:rPr>
              <w:t>)</w:t>
            </w:r>
          </w:p>
        </w:tc>
      </w:tr>
      <w:tr w:rsidR="009642F7" w:rsidRPr="009642F7" w14:paraId="0481FD87" w14:textId="77777777" w:rsidTr="004B0065">
        <w:tc>
          <w:tcPr>
            <w:tcW w:w="925" w:type="pct"/>
            <w:tcBorders>
              <w:top w:val="nil"/>
              <w:left w:val="nil"/>
              <w:bottom w:val="nil"/>
              <w:right w:val="nil"/>
            </w:tcBorders>
            <w:shd w:val="clear" w:color="auto" w:fill="auto"/>
            <w:hideMark/>
          </w:tcPr>
          <w:p w14:paraId="3249A28A"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BLOCK</w:t>
            </w:r>
          </w:p>
        </w:tc>
        <w:tc>
          <w:tcPr>
            <w:tcW w:w="404" w:type="pct"/>
            <w:tcBorders>
              <w:top w:val="nil"/>
              <w:left w:val="nil"/>
              <w:bottom w:val="nil"/>
              <w:right w:val="nil"/>
            </w:tcBorders>
            <w:shd w:val="clear" w:color="auto" w:fill="auto"/>
            <w:noWrap/>
            <w:vAlign w:val="center"/>
            <w:hideMark/>
          </w:tcPr>
          <w:p w14:paraId="4DED4DBE"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23CC420D"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6E0E9FE5"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421916B7"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57895481"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4A7BB387"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06A313A5"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39354D00"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hideMark/>
          </w:tcPr>
          <w:p w14:paraId="4CD7CB59"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0.002</w:t>
            </w:r>
          </w:p>
        </w:tc>
        <w:tc>
          <w:tcPr>
            <w:tcW w:w="415" w:type="pct"/>
            <w:tcBorders>
              <w:top w:val="nil"/>
              <w:left w:val="nil"/>
              <w:bottom w:val="nil"/>
              <w:right w:val="nil"/>
            </w:tcBorders>
            <w:shd w:val="clear" w:color="auto" w:fill="auto"/>
            <w:hideMark/>
          </w:tcPr>
          <w:p w14:paraId="0DA0E0B7"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1.29</w:t>
            </w:r>
          </w:p>
        </w:tc>
        <w:tc>
          <w:tcPr>
            <w:tcW w:w="505" w:type="pct"/>
            <w:tcBorders>
              <w:top w:val="nil"/>
              <w:left w:val="nil"/>
              <w:bottom w:val="nil"/>
              <w:right w:val="nil"/>
            </w:tcBorders>
            <w:shd w:val="clear" w:color="auto" w:fill="auto"/>
            <w:hideMark/>
          </w:tcPr>
          <w:p w14:paraId="6FD9759D"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0.26</w:t>
            </w:r>
            <w:r w:rsidRPr="009642F7">
              <w:rPr>
                <w:rFonts w:ascii="Times New Roman" w:eastAsia="HeiT" w:hAnsi="Times New Roman" w:cs="Times New Roman"/>
                <w:sz w:val="20"/>
                <w:szCs w:val="21"/>
              </w:rPr>
              <w:t>)</w:t>
            </w:r>
          </w:p>
        </w:tc>
      </w:tr>
      <w:tr w:rsidR="009642F7" w:rsidRPr="009642F7" w14:paraId="7C7BEAD9" w14:textId="77777777" w:rsidTr="004B0065">
        <w:tc>
          <w:tcPr>
            <w:tcW w:w="925" w:type="pct"/>
            <w:tcBorders>
              <w:top w:val="nil"/>
              <w:left w:val="nil"/>
              <w:bottom w:val="nil"/>
              <w:right w:val="nil"/>
            </w:tcBorders>
            <w:shd w:val="clear" w:color="auto" w:fill="auto"/>
            <w:hideMark/>
          </w:tcPr>
          <w:p w14:paraId="09E7D054"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XCR</w:t>
            </w:r>
          </w:p>
        </w:tc>
        <w:tc>
          <w:tcPr>
            <w:tcW w:w="404" w:type="pct"/>
            <w:tcBorders>
              <w:top w:val="nil"/>
              <w:left w:val="nil"/>
              <w:bottom w:val="nil"/>
              <w:right w:val="nil"/>
            </w:tcBorders>
            <w:shd w:val="clear" w:color="auto" w:fill="auto"/>
            <w:noWrap/>
            <w:vAlign w:val="center"/>
            <w:hideMark/>
          </w:tcPr>
          <w:p w14:paraId="1D2FE768"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51CD3FCC"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4A1545B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2D2101DC"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6651101D"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4EE41568"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1F160DB3"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2C185A7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hideMark/>
          </w:tcPr>
          <w:p w14:paraId="3D53DAFA" w14:textId="77777777" w:rsidR="008B2BB5" w:rsidRPr="009642F7" w:rsidRDefault="00B31A24"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0.001</w:t>
            </w:r>
          </w:p>
        </w:tc>
        <w:tc>
          <w:tcPr>
            <w:tcW w:w="415" w:type="pct"/>
            <w:tcBorders>
              <w:top w:val="nil"/>
              <w:left w:val="nil"/>
              <w:bottom w:val="nil"/>
              <w:right w:val="nil"/>
            </w:tcBorders>
            <w:shd w:val="clear" w:color="auto" w:fill="auto"/>
            <w:hideMark/>
          </w:tcPr>
          <w:p w14:paraId="55048ECC"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1.33</w:t>
            </w:r>
          </w:p>
        </w:tc>
        <w:tc>
          <w:tcPr>
            <w:tcW w:w="505" w:type="pct"/>
            <w:tcBorders>
              <w:top w:val="nil"/>
              <w:left w:val="nil"/>
              <w:bottom w:val="nil"/>
              <w:right w:val="nil"/>
            </w:tcBorders>
            <w:shd w:val="clear" w:color="auto" w:fill="auto"/>
            <w:hideMark/>
          </w:tcPr>
          <w:p w14:paraId="2AE70A1E" w14:textId="77777777" w:rsidR="008B2BB5" w:rsidRPr="009642F7" w:rsidRDefault="008B2BB5"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0.25</w:t>
            </w:r>
            <w:r w:rsidR="00B31A24" w:rsidRPr="009642F7">
              <w:rPr>
                <w:rFonts w:ascii="Times New Roman" w:eastAsia="HeiT" w:hAnsi="Times New Roman" w:cs="Times New Roman"/>
                <w:sz w:val="20"/>
                <w:szCs w:val="21"/>
              </w:rPr>
              <w:t>)</w:t>
            </w:r>
          </w:p>
        </w:tc>
      </w:tr>
      <w:tr w:rsidR="009642F7" w:rsidRPr="009642F7" w14:paraId="1E8B1ED3" w14:textId="77777777" w:rsidTr="004B0065">
        <w:tc>
          <w:tcPr>
            <w:tcW w:w="925" w:type="pct"/>
            <w:tcBorders>
              <w:top w:val="nil"/>
              <w:left w:val="nil"/>
              <w:bottom w:val="nil"/>
              <w:right w:val="nil"/>
            </w:tcBorders>
            <w:shd w:val="clear" w:color="auto" w:fill="auto"/>
            <w:hideMark/>
          </w:tcPr>
          <w:p w14:paraId="38ED91C0" w14:textId="77777777" w:rsidR="008B2BB5" w:rsidRPr="009642F7" w:rsidRDefault="008B2BB5" w:rsidP="00B31A24">
            <w:pPr>
              <w:snapToGrid w:val="0"/>
              <w:rPr>
                <w:rFonts w:ascii="Times New Roman" w:eastAsia="HeiT" w:hAnsi="Times New Roman" w:cs="Times New Roman"/>
                <w:bCs/>
                <w:i/>
                <w:sz w:val="22"/>
                <w:szCs w:val="21"/>
              </w:rPr>
            </w:pPr>
            <w:r w:rsidRPr="009642F7">
              <w:rPr>
                <w:rFonts w:ascii="Times New Roman" w:eastAsia="HeiT" w:hAnsi="Times New Roman" w:cs="Times New Roman"/>
                <w:bCs/>
                <w:i/>
                <w:sz w:val="22"/>
                <w:szCs w:val="21"/>
              </w:rPr>
              <w:t>B</w:t>
            </w:r>
            <w:r w:rsidR="00B31A24" w:rsidRPr="009642F7">
              <w:rPr>
                <w:rFonts w:ascii="Times New Roman" w:eastAsia="HeiT" w:hAnsi="Times New Roman" w:cs="Times New Roman"/>
                <w:bCs/>
                <w:i/>
                <w:sz w:val="22"/>
                <w:szCs w:val="21"/>
              </w:rPr>
              <w:t>DUAL</w:t>
            </w:r>
          </w:p>
        </w:tc>
        <w:tc>
          <w:tcPr>
            <w:tcW w:w="404" w:type="pct"/>
            <w:tcBorders>
              <w:top w:val="nil"/>
              <w:left w:val="nil"/>
              <w:bottom w:val="nil"/>
              <w:right w:val="nil"/>
            </w:tcBorders>
            <w:shd w:val="clear" w:color="auto" w:fill="auto"/>
            <w:noWrap/>
            <w:vAlign w:val="center"/>
            <w:hideMark/>
          </w:tcPr>
          <w:p w14:paraId="0CFD439A" w14:textId="77777777" w:rsidR="008B2BB5" w:rsidRPr="009642F7" w:rsidRDefault="008B2BB5" w:rsidP="00B31A24">
            <w:pPr>
              <w:snapToGrid w:val="0"/>
              <w:jc w:val="center"/>
              <w:rPr>
                <w:rFonts w:ascii="Times New Roman" w:eastAsia="HeiT" w:hAnsi="Times New Roman" w:cs="Times New Roman"/>
                <w:bCs/>
                <w:sz w:val="20"/>
                <w:szCs w:val="21"/>
              </w:rPr>
            </w:pPr>
          </w:p>
        </w:tc>
        <w:tc>
          <w:tcPr>
            <w:tcW w:w="415" w:type="pct"/>
            <w:tcBorders>
              <w:top w:val="nil"/>
              <w:left w:val="nil"/>
              <w:bottom w:val="nil"/>
              <w:right w:val="nil"/>
            </w:tcBorders>
            <w:shd w:val="clear" w:color="auto" w:fill="auto"/>
            <w:noWrap/>
            <w:vAlign w:val="center"/>
            <w:hideMark/>
          </w:tcPr>
          <w:p w14:paraId="6B171E0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70E8878D"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23A51A4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0FEE82A5"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4C16ADC9"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1D15DA8D"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6A6E2797"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hideMark/>
          </w:tcPr>
          <w:p w14:paraId="1EF1B9ED"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0.001</w:t>
            </w:r>
          </w:p>
        </w:tc>
        <w:tc>
          <w:tcPr>
            <w:tcW w:w="415" w:type="pct"/>
            <w:tcBorders>
              <w:top w:val="nil"/>
              <w:left w:val="nil"/>
              <w:bottom w:val="nil"/>
              <w:right w:val="nil"/>
            </w:tcBorders>
            <w:shd w:val="clear" w:color="auto" w:fill="auto"/>
            <w:hideMark/>
          </w:tcPr>
          <w:p w14:paraId="3A768C6B" w14:textId="77777777" w:rsidR="008B2BB5" w:rsidRPr="009642F7" w:rsidRDefault="008B2BB5" w:rsidP="000E3F3E">
            <w:pPr>
              <w:snapToGrid w:val="0"/>
              <w:ind w:rightChars="50" w:right="120"/>
              <w:jc w:val="right"/>
              <w:rPr>
                <w:rFonts w:ascii="Times New Roman" w:eastAsia="HeiT" w:hAnsi="Times New Roman" w:cs="Times New Roman"/>
                <w:sz w:val="20"/>
                <w:szCs w:val="21"/>
              </w:rPr>
            </w:pPr>
            <w:r w:rsidRPr="009642F7">
              <w:rPr>
                <w:rFonts w:ascii="Times New Roman" w:eastAsia="HeiT" w:hAnsi="Times New Roman" w:cs="Times New Roman"/>
                <w:sz w:val="20"/>
                <w:szCs w:val="21"/>
              </w:rPr>
              <w:t>2.25</w:t>
            </w:r>
          </w:p>
        </w:tc>
        <w:tc>
          <w:tcPr>
            <w:tcW w:w="505" w:type="pct"/>
            <w:tcBorders>
              <w:top w:val="nil"/>
              <w:left w:val="nil"/>
              <w:bottom w:val="nil"/>
              <w:right w:val="nil"/>
            </w:tcBorders>
            <w:shd w:val="clear" w:color="auto" w:fill="auto"/>
            <w:hideMark/>
          </w:tcPr>
          <w:p w14:paraId="70F5BE1C" w14:textId="77777777" w:rsidR="008B2BB5" w:rsidRPr="009642F7" w:rsidRDefault="00B31A24" w:rsidP="00B31A24">
            <w:pPr>
              <w:snapToGrid w:val="0"/>
              <w:rPr>
                <w:rFonts w:ascii="Times New Roman" w:eastAsia="HeiT" w:hAnsi="Times New Roman" w:cs="Times New Roman"/>
                <w:sz w:val="20"/>
                <w:szCs w:val="21"/>
              </w:rPr>
            </w:pPr>
            <w:r w:rsidRPr="009642F7">
              <w:rPr>
                <w:rFonts w:ascii="Times New Roman" w:eastAsia="HeiT" w:hAnsi="Times New Roman" w:cs="Times New Roman"/>
                <w:sz w:val="20"/>
                <w:szCs w:val="21"/>
              </w:rPr>
              <w:t>(</w:t>
            </w:r>
            <w:r w:rsidR="008B2BB5" w:rsidRPr="009642F7">
              <w:rPr>
                <w:rFonts w:ascii="Times New Roman" w:eastAsia="HeiT" w:hAnsi="Times New Roman" w:cs="Times New Roman"/>
                <w:sz w:val="20"/>
                <w:szCs w:val="21"/>
              </w:rPr>
              <w:t>0.13</w:t>
            </w:r>
            <w:r w:rsidRPr="009642F7">
              <w:rPr>
                <w:rFonts w:ascii="Times New Roman" w:eastAsia="HeiT" w:hAnsi="Times New Roman" w:cs="Times New Roman"/>
                <w:sz w:val="20"/>
                <w:szCs w:val="21"/>
              </w:rPr>
              <w:t>)</w:t>
            </w:r>
          </w:p>
        </w:tc>
      </w:tr>
      <w:tr w:rsidR="009642F7" w:rsidRPr="009642F7" w14:paraId="76C64E96" w14:textId="77777777" w:rsidTr="004B0065">
        <w:tc>
          <w:tcPr>
            <w:tcW w:w="925" w:type="pct"/>
            <w:tcBorders>
              <w:top w:val="nil"/>
              <w:left w:val="nil"/>
              <w:bottom w:val="nil"/>
              <w:right w:val="nil"/>
            </w:tcBorders>
            <w:shd w:val="clear" w:color="auto" w:fill="auto"/>
            <w:noWrap/>
            <w:vAlign w:val="center"/>
            <w:hideMark/>
          </w:tcPr>
          <w:p w14:paraId="5A2A58CC" w14:textId="77777777" w:rsidR="008B2BB5" w:rsidRPr="009642F7" w:rsidRDefault="008B2BB5" w:rsidP="00B31A24">
            <w:pPr>
              <w:snapToGrid w:val="0"/>
              <w:jc w:val="right"/>
              <w:rPr>
                <w:rFonts w:ascii="Times New Roman" w:eastAsia="HeiT"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259D6347" w14:textId="77777777" w:rsidR="008B2BB5" w:rsidRPr="009642F7" w:rsidRDefault="008B2BB5" w:rsidP="00B31A24">
            <w:pPr>
              <w:snapToGrid w:val="0"/>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21F6541E" w14:textId="77777777" w:rsidR="008B2BB5" w:rsidRPr="009642F7" w:rsidRDefault="008B2BB5" w:rsidP="00B31A24">
            <w:pPr>
              <w:snapToGrid w:val="0"/>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0205B4A8" w14:textId="77777777" w:rsidR="008B2BB5" w:rsidRPr="009642F7" w:rsidRDefault="008B2BB5" w:rsidP="00B31A24">
            <w:pPr>
              <w:snapToGrid w:val="0"/>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2FF03586" w14:textId="77777777" w:rsidR="008B2BB5" w:rsidRPr="009642F7" w:rsidRDefault="008B2BB5" w:rsidP="00B31A24">
            <w:pPr>
              <w:snapToGrid w:val="0"/>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2D421AC4" w14:textId="77777777" w:rsidR="008B2BB5" w:rsidRPr="009642F7" w:rsidRDefault="008B2BB5" w:rsidP="00B31A24">
            <w:pPr>
              <w:snapToGrid w:val="0"/>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5C09ADD0" w14:textId="77777777" w:rsidR="008B2BB5" w:rsidRPr="009642F7" w:rsidRDefault="008B2BB5" w:rsidP="00B31A24">
            <w:pPr>
              <w:snapToGrid w:val="0"/>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7A5DF1E1" w14:textId="77777777" w:rsidR="008B2BB5" w:rsidRPr="009642F7" w:rsidRDefault="008B2BB5" w:rsidP="00B31A24">
            <w:pPr>
              <w:snapToGrid w:val="0"/>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01154578" w14:textId="77777777" w:rsidR="008B2BB5" w:rsidRPr="009642F7" w:rsidRDefault="008B2BB5" w:rsidP="00B31A24">
            <w:pPr>
              <w:snapToGrid w:val="0"/>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2816C278" w14:textId="77777777" w:rsidR="008B2BB5" w:rsidRPr="009642F7" w:rsidRDefault="008B2BB5" w:rsidP="00B31A24">
            <w:pPr>
              <w:snapToGrid w:val="0"/>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0C2F4014" w14:textId="77777777" w:rsidR="008B2BB5" w:rsidRPr="009642F7" w:rsidRDefault="008B2BB5" w:rsidP="00B31A24">
            <w:pPr>
              <w:snapToGrid w:val="0"/>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0BB9ED03" w14:textId="77777777" w:rsidR="008B2BB5" w:rsidRPr="009642F7" w:rsidRDefault="008B2BB5" w:rsidP="00B31A24">
            <w:pPr>
              <w:snapToGrid w:val="0"/>
              <w:rPr>
                <w:rFonts w:ascii="Times New Roman" w:eastAsia="Times New Roman" w:hAnsi="Times New Roman" w:cs="Times New Roman"/>
                <w:sz w:val="20"/>
                <w:szCs w:val="21"/>
              </w:rPr>
            </w:pPr>
          </w:p>
        </w:tc>
      </w:tr>
      <w:tr w:rsidR="009642F7" w:rsidRPr="009642F7" w14:paraId="014DCEC9" w14:textId="77777777" w:rsidTr="004B0065">
        <w:tc>
          <w:tcPr>
            <w:tcW w:w="925" w:type="pct"/>
            <w:tcBorders>
              <w:top w:val="nil"/>
              <w:left w:val="nil"/>
              <w:bottom w:val="nil"/>
              <w:right w:val="nil"/>
            </w:tcBorders>
            <w:shd w:val="clear" w:color="auto" w:fill="auto"/>
            <w:noWrap/>
            <w:vAlign w:val="center"/>
            <w:hideMark/>
          </w:tcPr>
          <w:p w14:paraId="30C1C56B" w14:textId="77777777" w:rsidR="008B2BB5" w:rsidRPr="009642F7" w:rsidRDefault="008B2BB5" w:rsidP="00B31A24">
            <w:pPr>
              <w:snapToGrid w:val="0"/>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14BF71EA" w14:textId="77777777" w:rsidR="008B2BB5" w:rsidRPr="009642F7" w:rsidRDefault="008B2BB5" w:rsidP="00B31A24">
            <w:pPr>
              <w:snapToGrid w:val="0"/>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0F81E1E5" w14:textId="77777777" w:rsidR="008B2BB5" w:rsidRPr="009642F7" w:rsidRDefault="008B2BB5" w:rsidP="00B31A24">
            <w:pPr>
              <w:snapToGrid w:val="0"/>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04C3D766" w14:textId="77777777" w:rsidR="008B2BB5" w:rsidRPr="009642F7" w:rsidRDefault="008B2BB5" w:rsidP="00B31A24">
            <w:pPr>
              <w:snapToGrid w:val="0"/>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682B2949" w14:textId="77777777" w:rsidR="008B2BB5" w:rsidRPr="009642F7" w:rsidRDefault="008B2BB5" w:rsidP="00B31A24">
            <w:pPr>
              <w:snapToGrid w:val="0"/>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5ADBCF6D" w14:textId="77777777" w:rsidR="008B2BB5" w:rsidRPr="009642F7" w:rsidRDefault="008B2BB5" w:rsidP="00B31A24">
            <w:pPr>
              <w:snapToGrid w:val="0"/>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3DB176BE" w14:textId="77777777" w:rsidR="008B2BB5" w:rsidRPr="009642F7" w:rsidRDefault="008B2BB5" w:rsidP="00B31A24">
            <w:pPr>
              <w:snapToGrid w:val="0"/>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5C253150" w14:textId="77777777" w:rsidR="008B2BB5" w:rsidRPr="009642F7" w:rsidRDefault="008B2BB5" w:rsidP="00B31A24">
            <w:pPr>
              <w:snapToGrid w:val="0"/>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19E19F2F" w14:textId="77777777" w:rsidR="008B2BB5" w:rsidRPr="009642F7" w:rsidRDefault="008B2BB5" w:rsidP="00B31A24">
            <w:pPr>
              <w:snapToGrid w:val="0"/>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7FA48EBC" w14:textId="77777777" w:rsidR="008B2BB5" w:rsidRPr="009642F7" w:rsidRDefault="008B2BB5" w:rsidP="00B31A24">
            <w:pPr>
              <w:snapToGrid w:val="0"/>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6704B922" w14:textId="77777777" w:rsidR="008B2BB5" w:rsidRPr="009642F7" w:rsidRDefault="008B2BB5" w:rsidP="00B31A24">
            <w:pPr>
              <w:snapToGrid w:val="0"/>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3B3F2A7D" w14:textId="77777777" w:rsidR="008B2BB5" w:rsidRPr="009642F7" w:rsidRDefault="008B2BB5" w:rsidP="00B31A24">
            <w:pPr>
              <w:snapToGrid w:val="0"/>
              <w:rPr>
                <w:rFonts w:ascii="Times New Roman" w:eastAsia="Times New Roman" w:hAnsi="Times New Roman" w:cs="Times New Roman"/>
                <w:sz w:val="20"/>
                <w:szCs w:val="21"/>
              </w:rPr>
            </w:pPr>
          </w:p>
        </w:tc>
      </w:tr>
      <w:tr w:rsidR="009642F7" w:rsidRPr="009642F7" w14:paraId="163385FB" w14:textId="77777777" w:rsidTr="004B0065">
        <w:tc>
          <w:tcPr>
            <w:tcW w:w="925" w:type="pct"/>
            <w:tcBorders>
              <w:top w:val="nil"/>
              <w:left w:val="nil"/>
              <w:bottom w:val="nil"/>
              <w:right w:val="nil"/>
            </w:tcBorders>
            <w:shd w:val="clear" w:color="auto" w:fill="auto"/>
            <w:noWrap/>
            <w:vAlign w:val="center"/>
          </w:tcPr>
          <w:p w14:paraId="2102B28A" w14:textId="77777777" w:rsidR="00B31A24" w:rsidRPr="009642F7" w:rsidRDefault="00B31A24" w:rsidP="00B31A24">
            <w:pPr>
              <w:snapToGrid w:val="0"/>
              <w:rPr>
                <w:rFonts w:ascii="Times New Roman" w:hAnsi="Times New Roman" w:cs="Times New Roman"/>
                <w:sz w:val="20"/>
                <w:szCs w:val="21"/>
              </w:rPr>
            </w:pPr>
          </w:p>
        </w:tc>
        <w:tc>
          <w:tcPr>
            <w:tcW w:w="404" w:type="pct"/>
            <w:tcBorders>
              <w:top w:val="nil"/>
              <w:left w:val="nil"/>
              <w:bottom w:val="nil"/>
              <w:right w:val="nil"/>
            </w:tcBorders>
            <w:shd w:val="clear" w:color="auto" w:fill="auto"/>
            <w:noWrap/>
            <w:vAlign w:val="center"/>
          </w:tcPr>
          <w:p w14:paraId="7F88107A" w14:textId="77777777" w:rsidR="00B31A24" w:rsidRPr="009642F7" w:rsidRDefault="00B31A24" w:rsidP="00B31A24">
            <w:pPr>
              <w:snapToGrid w:val="0"/>
              <w:jc w:val="center"/>
              <w:rPr>
                <w:rFonts w:ascii="Times New Roman" w:hAnsi="Times New Roman" w:cs="Times New Roman"/>
                <w:sz w:val="20"/>
                <w:szCs w:val="21"/>
              </w:rPr>
            </w:pPr>
          </w:p>
        </w:tc>
        <w:tc>
          <w:tcPr>
            <w:tcW w:w="415" w:type="pct"/>
            <w:tcBorders>
              <w:top w:val="nil"/>
              <w:left w:val="nil"/>
              <w:bottom w:val="nil"/>
              <w:right w:val="nil"/>
            </w:tcBorders>
            <w:shd w:val="clear" w:color="auto" w:fill="auto"/>
            <w:noWrap/>
            <w:vAlign w:val="center"/>
          </w:tcPr>
          <w:p w14:paraId="21ED1471" w14:textId="77777777" w:rsidR="00B31A24" w:rsidRPr="009642F7" w:rsidRDefault="00B31A24" w:rsidP="00B31A24">
            <w:pPr>
              <w:snapToGrid w:val="0"/>
              <w:jc w:val="center"/>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tcPr>
          <w:p w14:paraId="1F35F584" w14:textId="77777777" w:rsidR="00B31A24" w:rsidRPr="009642F7" w:rsidRDefault="00B31A24"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tcPr>
          <w:p w14:paraId="741880D9" w14:textId="77777777" w:rsidR="00B31A24" w:rsidRPr="009642F7" w:rsidRDefault="00B31A24"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tcPr>
          <w:p w14:paraId="6B13F200" w14:textId="77777777" w:rsidR="00B31A24" w:rsidRPr="009642F7" w:rsidRDefault="00B31A24" w:rsidP="00B31A24">
            <w:pPr>
              <w:snapToGrid w:val="0"/>
              <w:jc w:val="center"/>
              <w:rPr>
                <w:rFonts w:ascii="Times New Roman" w:hAnsi="Times New Roman" w:cs="Times New Roman"/>
                <w:sz w:val="20"/>
                <w:szCs w:val="21"/>
              </w:rPr>
            </w:pPr>
          </w:p>
        </w:tc>
        <w:tc>
          <w:tcPr>
            <w:tcW w:w="415" w:type="pct"/>
            <w:tcBorders>
              <w:top w:val="nil"/>
              <w:left w:val="nil"/>
              <w:bottom w:val="nil"/>
              <w:right w:val="nil"/>
            </w:tcBorders>
            <w:shd w:val="clear" w:color="auto" w:fill="auto"/>
            <w:noWrap/>
            <w:vAlign w:val="center"/>
          </w:tcPr>
          <w:p w14:paraId="7737DCDD" w14:textId="77777777" w:rsidR="00B31A24" w:rsidRPr="009642F7" w:rsidRDefault="00B31A24" w:rsidP="00B31A24">
            <w:pPr>
              <w:snapToGrid w:val="0"/>
              <w:jc w:val="center"/>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tcPr>
          <w:p w14:paraId="3520F5A9" w14:textId="77777777" w:rsidR="00B31A24" w:rsidRPr="009642F7" w:rsidRDefault="00B31A24"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tcPr>
          <w:p w14:paraId="4C7D131C" w14:textId="77777777" w:rsidR="00B31A24" w:rsidRPr="009642F7" w:rsidRDefault="00B31A24"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tcPr>
          <w:p w14:paraId="7552F448" w14:textId="77777777" w:rsidR="00B31A24" w:rsidRPr="009642F7" w:rsidRDefault="00B31A24" w:rsidP="00B31A24">
            <w:pPr>
              <w:snapToGrid w:val="0"/>
              <w:jc w:val="center"/>
              <w:rPr>
                <w:rFonts w:ascii="Times New Roman" w:hAnsi="Times New Roman" w:cs="Times New Roman"/>
                <w:sz w:val="20"/>
                <w:szCs w:val="21"/>
              </w:rPr>
            </w:pPr>
          </w:p>
        </w:tc>
        <w:tc>
          <w:tcPr>
            <w:tcW w:w="415" w:type="pct"/>
            <w:tcBorders>
              <w:top w:val="nil"/>
              <w:left w:val="nil"/>
              <w:bottom w:val="nil"/>
              <w:right w:val="nil"/>
            </w:tcBorders>
            <w:shd w:val="clear" w:color="auto" w:fill="auto"/>
            <w:noWrap/>
            <w:vAlign w:val="center"/>
          </w:tcPr>
          <w:p w14:paraId="0A726991" w14:textId="77777777" w:rsidR="00B31A24" w:rsidRPr="009642F7" w:rsidRDefault="00B31A24" w:rsidP="00B31A24">
            <w:pPr>
              <w:snapToGrid w:val="0"/>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tcPr>
          <w:p w14:paraId="62489972" w14:textId="77777777" w:rsidR="00B31A24" w:rsidRPr="009642F7" w:rsidRDefault="00B31A24" w:rsidP="00B31A24">
            <w:pPr>
              <w:snapToGrid w:val="0"/>
              <w:rPr>
                <w:rFonts w:ascii="Times New Roman" w:eastAsia="Times New Roman" w:hAnsi="Times New Roman" w:cs="Times New Roman"/>
                <w:sz w:val="20"/>
                <w:szCs w:val="21"/>
              </w:rPr>
            </w:pPr>
          </w:p>
        </w:tc>
      </w:tr>
      <w:tr w:rsidR="009642F7" w:rsidRPr="009642F7" w14:paraId="6FAB025F" w14:textId="77777777" w:rsidTr="004B0065">
        <w:tc>
          <w:tcPr>
            <w:tcW w:w="925" w:type="pct"/>
            <w:tcBorders>
              <w:top w:val="nil"/>
              <w:left w:val="nil"/>
              <w:bottom w:val="nil"/>
              <w:right w:val="nil"/>
            </w:tcBorders>
            <w:shd w:val="clear" w:color="auto" w:fill="auto"/>
            <w:noWrap/>
            <w:vAlign w:val="center"/>
            <w:hideMark/>
          </w:tcPr>
          <w:p w14:paraId="51A7A04F" w14:textId="77777777" w:rsidR="008B2BB5" w:rsidRPr="009642F7" w:rsidRDefault="008B2BB5" w:rsidP="00B31A24">
            <w:pPr>
              <w:snapToGrid w:val="0"/>
              <w:rPr>
                <w:rFonts w:ascii="Times New Roman" w:hAnsi="Times New Roman" w:cs="Times New Roman"/>
                <w:sz w:val="19"/>
                <w:szCs w:val="19"/>
              </w:rPr>
            </w:pPr>
            <w:r w:rsidRPr="009642F7">
              <w:rPr>
                <w:rFonts w:ascii="Times New Roman" w:hAnsi="Times New Roman" w:cs="Times New Roman"/>
                <w:sz w:val="19"/>
                <w:szCs w:val="19"/>
              </w:rPr>
              <w:t>Industry</w:t>
            </w:r>
            <w:r w:rsidR="00B31A24" w:rsidRPr="009642F7">
              <w:rPr>
                <w:rFonts w:ascii="Times New Roman" w:hAnsi="Times New Roman" w:cs="Times New Roman"/>
                <w:sz w:val="19"/>
                <w:szCs w:val="19"/>
              </w:rPr>
              <w:t>-</w:t>
            </w:r>
            <w:r w:rsidRPr="009642F7">
              <w:rPr>
                <w:rFonts w:ascii="Times New Roman" w:hAnsi="Times New Roman" w:cs="Times New Roman"/>
                <w:sz w:val="19"/>
                <w:szCs w:val="19"/>
              </w:rPr>
              <w:t>Fixed Effect</w:t>
            </w:r>
          </w:p>
        </w:tc>
        <w:tc>
          <w:tcPr>
            <w:tcW w:w="404" w:type="pct"/>
            <w:tcBorders>
              <w:top w:val="nil"/>
              <w:left w:val="nil"/>
              <w:bottom w:val="nil"/>
              <w:right w:val="nil"/>
            </w:tcBorders>
            <w:shd w:val="clear" w:color="auto" w:fill="auto"/>
            <w:noWrap/>
            <w:vAlign w:val="center"/>
            <w:hideMark/>
          </w:tcPr>
          <w:p w14:paraId="26BDE465" w14:textId="77777777" w:rsidR="008B2BB5" w:rsidRPr="009642F7" w:rsidRDefault="008B2BB5"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No</w:t>
            </w:r>
          </w:p>
        </w:tc>
        <w:tc>
          <w:tcPr>
            <w:tcW w:w="415" w:type="pct"/>
            <w:tcBorders>
              <w:top w:val="nil"/>
              <w:left w:val="nil"/>
              <w:bottom w:val="nil"/>
              <w:right w:val="nil"/>
            </w:tcBorders>
            <w:shd w:val="clear" w:color="auto" w:fill="auto"/>
            <w:noWrap/>
            <w:vAlign w:val="center"/>
            <w:hideMark/>
          </w:tcPr>
          <w:p w14:paraId="5DEFCD88" w14:textId="77777777" w:rsidR="008B2BB5" w:rsidRPr="009642F7" w:rsidRDefault="008B2BB5" w:rsidP="00B31A24">
            <w:pPr>
              <w:snapToGrid w:val="0"/>
              <w:jc w:val="center"/>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53ACC840"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268B2408"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42F20625" w14:textId="77777777" w:rsidR="008B2BB5" w:rsidRPr="009642F7" w:rsidRDefault="008B2BB5"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Yes</w:t>
            </w:r>
          </w:p>
        </w:tc>
        <w:tc>
          <w:tcPr>
            <w:tcW w:w="415" w:type="pct"/>
            <w:tcBorders>
              <w:top w:val="nil"/>
              <w:left w:val="nil"/>
              <w:bottom w:val="nil"/>
              <w:right w:val="nil"/>
            </w:tcBorders>
            <w:shd w:val="clear" w:color="auto" w:fill="auto"/>
            <w:noWrap/>
            <w:vAlign w:val="center"/>
            <w:hideMark/>
          </w:tcPr>
          <w:p w14:paraId="59E29EF8" w14:textId="77777777" w:rsidR="008B2BB5" w:rsidRPr="009642F7" w:rsidRDefault="008B2BB5" w:rsidP="00B31A24">
            <w:pPr>
              <w:snapToGrid w:val="0"/>
              <w:jc w:val="center"/>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65F96EA7"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2D16DF5A"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61833BA3" w14:textId="77777777" w:rsidR="008B2BB5" w:rsidRPr="009642F7" w:rsidRDefault="008B2BB5"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Yes</w:t>
            </w:r>
          </w:p>
        </w:tc>
        <w:tc>
          <w:tcPr>
            <w:tcW w:w="415" w:type="pct"/>
            <w:tcBorders>
              <w:top w:val="nil"/>
              <w:left w:val="nil"/>
              <w:bottom w:val="nil"/>
              <w:right w:val="nil"/>
            </w:tcBorders>
            <w:shd w:val="clear" w:color="auto" w:fill="auto"/>
            <w:noWrap/>
            <w:vAlign w:val="center"/>
            <w:hideMark/>
          </w:tcPr>
          <w:p w14:paraId="0293C20C" w14:textId="77777777" w:rsidR="008B2BB5" w:rsidRPr="009642F7" w:rsidRDefault="008B2BB5" w:rsidP="00B31A24">
            <w:pPr>
              <w:snapToGrid w:val="0"/>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7987F410" w14:textId="77777777" w:rsidR="008B2BB5" w:rsidRPr="009642F7" w:rsidRDefault="008B2BB5" w:rsidP="00B31A24">
            <w:pPr>
              <w:snapToGrid w:val="0"/>
              <w:rPr>
                <w:rFonts w:ascii="Times New Roman" w:eastAsia="Times New Roman" w:hAnsi="Times New Roman" w:cs="Times New Roman"/>
                <w:sz w:val="20"/>
                <w:szCs w:val="21"/>
              </w:rPr>
            </w:pPr>
          </w:p>
        </w:tc>
      </w:tr>
      <w:tr w:rsidR="009642F7" w:rsidRPr="009642F7" w14:paraId="48151209" w14:textId="77777777" w:rsidTr="004B0065">
        <w:tc>
          <w:tcPr>
            <w:tcW w:w="925" w:type="pct"/>
            <w:tcBorders>
              <w:top w:val="nil"/>
              <w:left w:val="nil"/>
              <w:bottom w:val="nil"/>
              <w:right w:val="nil"/>
            </w:tcBorders>
            <w:shd w:val="clear" w:color="auto" w:fill="auto"/>
            <w:noWrap/>
            <w:vAlign w:val="center"/>
            <w:hideMark/>
          </w:tcPr>
          <w:p w14:paraId="0E86F153" w14:textId="77777777" w:rsidR="008B2BB5" w:rsidRPr="009642F7" w:rsidRDefault="008B2BB5" w:rsidP="00B31A24">
            <w:pPr>
              <w:snapToGrid w:val="0"/>
              <w:rPr>
                <w:rFonts w:ascii="Times New Roman" w:hAnsi="Times New Roman" w:cs="Times New Roman"/>
                <w:sz w:val="19"/>
                <w:szCs w:val="19"/>
              </w:rPr>
            </w:pPr>
            <w:r w:rsidRPr="009642F7">
              <w:rPr>
                <w:rFonts w:ascii="Times New Roman" w:hAnsi="Times New Roman" w:cs="Times New Roman"/>
                <w:sz w:val="19"/>
                <w:szCs w:val="19"/>
              </w:rPr>
              <w:t>Year</w:t>
            </w:r>
            <w:r w:rsidR="00B31A24" w:rsidRPr="009642F7">
              <w:rPr>
                <w:rFonts w:ascii="Times New Roman" w:hAnsi="Times New Roman" w:cs="Times New Roman"/>
                <w:sz w:val="19"/>
                <w:szCs w:val="19"/>
              </w:rPr>
              <w:t>-</w:t>
            </w:r>
            <w:r w:rsidRPr="009642F7">
              <w:rPr>
                <w:rFonts w:ascii="Times New Roman" w:hAnsi="Times New Roman" w:cs="Times New Roman"/>
                <w:sz w:val="19"/>
                <w:szCs w:val="19"/>
              </w:rPr>
              <w:t>Fixed Effect</w:t>
            </w:r>
          </w:p>
        </w:tc>
        <w:tc>
          <w:tcPr>
            <w:tcW w:w="404" w:type="pct"/>
            <w:tcBorders>
              <w:top w:val="nil"/>
              <w:left w:val="nil"/>
              <w:bottom w:val="nil"/>
              <w:right w:val="nil"/>
            </w:tcBorders>
            <w:shd w:val="clear" w:color="auto" w:fill="auto"/>
            <w:noWrap/>
            <w:vAlign w:val="center"/>
            <w:hideMark/>
          </w:tcPr>
          <w:p w14:paraId="69E4A589"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No</w:t>
            </w:r>
          </w:p>
        </w:tc>
        <w:tc>
          <w:tcPr>
            <w:tcW w:w="415" w:type="pct"/>
            <w:tcBorders>
              <w:top w:val="nil"/>
              <w:left w:val="nil"/>
              <w:bottom w:val="nil"/>
              <w:right w:val="nil"/>
            </w:tcBorders>
            <w:shd w:val="clear" w:color="auto" w:fill="auto"/>
            <w:noWrap/>
            <w:vAlign w:val="center"/>
            <w:hideMark/>
          </w:tcPr>
          <w:p w14:paraId="03AF754E" w14:textId="77777777" w:rsidR="008B2BB5" w:rsidRPr="009642F7" w:rsidRDefault="008B2BB5" w:rsidP="00B31A24">
            <w:pPr>
              <w:snapToGrid w:val="0"/>
              <w:jc w:val="center"/>
              <w:rPr>
                <w:rFonts w:ascii="Times New Roman" w:eastAsia="HeiT"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7D33E076"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4A3718BC"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3EBCC687" w14:textId="77777777" w:rsidR="008B2BB5" w:rsidRPr="009642F7" w:rsidRDefault="008B2BB5"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Yes</w:t>
            </w:r>
          </w:p>
        </w:tc>
        <w:tc>
          <w:tcPr>
            <w:tcW w:w="415" w:type="pct"/>
            <w:tcBorders>
              <w:top w:val="nil"/>
              <w:left w:val="nil"/>
              <w:bottom w:val="nil"/>
              <w:right w:val="nil"/>
            </w:tcBorders>
            <w:shd w:val="clear" w:color="auto" w:fill="auto"/>
            <w:noWrap/>
            <w:vAlign w:val="center"/>
            <w:hideMark/>
          </w:tcPr>
          <w:p w14:paraId="6B1907E6" w14:textId="77777777" w:rsidR="008B2BB5" w:rsidRPr="009642F7" w:rsidRDefault="008B2BB5" w:rsidP="00B31A24">
            <w:pPr>
              <w:snapToGrid w:val="0"/>
              <w:jc w:val="center"/>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3A51011C"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50A46111"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4D2CB778" w14:textId="77777777" w:rsidR="008B2BB5" w:rsidRPr="009642F7" w:rsidRDefault="008B2BB5"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Yes</w:t>
            </w:r>
          </w:p>
        </w:tc>
        <w:tc>
          <w:tcPr>
            <w:tcW w:w="415" w:type="pct"/>
            <w:tcBorders>
              <w:top w:val="nil"/>
              <w:left w:val="nil"/>
              <w:bottom w:val="nil"/>
              <w:right w:val="nil"/>
            </w:tcBorders>
            <w:shd w:val="clear" w:color="auto" w:fill="auto"/>
            <w:noWrap/>
            <w:vAlign w:val="center"/>
            <w:hideMark/>
          </w:tcPr>
          <w:p w14:paraId="47875ED2" w14:textId="77777777" w:rsidR="008B2BB5" w:rsidRPr="009642F7" w:rsidRDefault="008B2BB5" w:rsidP="00B31A24">
            <w:pPr>
              <w:snapToGrid w:val="0"/>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2F4D6B2B" w14:textId="77777777" w:rsidR="008B2BB5" w:rsidRPr="009642F7" w:rsidRDefault="008B2BB5" w:rsidP="00B31A24">
            <w:pPr>
              <w:snapToGrid w:val="0"/>
              <w:rPr>
                <w:rFonts w:ascii="Times New Roman" w:eastAsia="Times New Roman" w:hAnsi="Times New Roman" w:cs="Times New Roman"/>
                <w:sz w:val="20"/>
                <w:szCs w:val="21"/>
              </w:rPr>
            </w:pPr>
          </w:p>
        </w:tc>
      </w:tr>
      <w:tr w:rsidR="009642F7" w:rsidRPr="009642F7" w14:paraId="348443EA" w14:textId="77777777" w:rsidTr="004B0065">
        <w:tc>
          <w:tcPr>
            <w:tcW w:w="925" w:type="pct"/>
            <w:tcBorders>
              <w:top w:val="nil"/>
              <w:left w:val="nil"/>
              <w:bottom w:val="nil"/>
              <w:right w:val="nil"/>
            </w:tcBorders>
            <w:shd w:val="clear" w:color="auto" w:fill="auto"/>
            <w:noWrap/>
            <w:vAlign w:val="center"/>
            <w:hideMark/>
          </w:tcPr>
          <w:p w14:paraId="6B61ACB2" w14:textId="77777777" w:rsidR="008B2BB5" w:rsidRPr="009642F7" w:rsidRDefault="008B2BB5" w:rsidP="00B31A24">
            <w:pPr>
              <w:snapToGrid w:val="0"/>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1D2B292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1BD71DE1"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26A2109D"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326422A4"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4691AB9E"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5D71B585"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6E4DA972"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346A7D77"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745C0C3A"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0A4E10A6" w14:textId="77777777" w:rsidR="008B2BB5" w:rsidRPr="009642F7" w:rsidRDefault="008B2BB5" w:rsidP="00B31A24">
            <w:pPr>
              <w:snapToGrid w:val="0"/>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6FE16247" w14:textId="77777777" w:rsidR="008B2BB5" w:rsidRPr="009642F7" w:rsidRDefault="008B2BB5" w:rsidP="00B31A24">
            <w:pPr>
              <w:snapToGrid w:val="0"/>
              <w:rPr>
                <w:rFonts w:ascii="Times New Roman" w:eastAsia="Times New Roman" w:hAnsi="Times New Roman" w:cs="Times New Roman"/>
                <w:sz w:val="20"/>
                <w:szCs w:val="21"/>
              </w:rPr>
            </w:pPr>
          </w:p>
        </w:tc>
      </w:tr>
      <w:tr w:rsidR="009642F7" w:rsidRPr="009642F7" w14:paraId="31E4FBBF" w14:textId="77777777" w:rsidTr="004B0065">
        <w:tc>
          <w:tcPr>
            <w:tcW w:w="925" w:type="pct"/>
            <w:tcBorders>
              <w:top w:val="nil"/>
              <w:left w:val="nil"/>
              <w:bottom w:val="nil"/>
              <w:right w:val="nil"/>
            </w:tcBorders>
            <w:shd w:val="clear" w:color="auto" w:fill="auto"/>
            <w:noWrap/>
            <w:vAlign w:val="center"/>
            <w:hideMark/>
          </w:tcPr>
          <w:p w14:paraId="512E473E" w14:textId="77777777" w:rsidR="008B2BB5" w:rsidRPr="009642F7" w:rsidRDefault="008B2BB5" w:rsidP="00B31A24">
            <w:pPr>
              <w:snapToGrid w:val="0"/>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776FEA30"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1B783D62"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6ED79B83"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6075D24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2311820E"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71B721C2"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1997050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51A92A52"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61C975E3"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15" w:type="pct"/>
            <w:tcBorders>
              <w:top w:val="nil"/>
              <w:left w:val="nil"/>
              <w:bottom w:val="nil"/>
              <w:right w:val="nil"/>
            </w:tcBorders>
            <w:shd w:val="clear" w:color="auto" w:fill="auto"/>
            <w:noWrap/>
            <w:vAlign w:val="center"/>
            <w:hideMark/>
          </w:tcPr>
          <w:p w14:paraId="08BC671A" w14:textId="77777777" w:rsidR="008B2BB5" w:rsidRPr="009642F7" w:rsidRDefault="008B2BB5" w:rsidP="00B31A24">
            <w:pPr>
              <w:snapToGrid w:val="0"/>
              <w:rPr>
                <w:rFonts w:ascii="Times New Roman" w:eastAsia="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3ECBF78F" w14:textId="77777777" w:rsidR="008B2BB5" w:rsidRPr="009642F7" w:rsidRDefault="008B2BB5" w:rsidP="00B31A24">
            <w:pPr>
              <w:snapToGrid w:val="0"/>
              <w:rPr>
                <w:rFonts w:ascii="Times New Roman" w:eastAsia="Times New Roman" w:hAnsi="Times New Roman" w:cs="Times New Roman"/>
                <w:sz w:val="20"/>
                <w:szCs w:val="21"/>
              </w:rPr>
            </w:pPr>
          </w:p>
        </w:tc>
      </w:tr>
      <w:tr w:rsidR="009642F7" w:rsidRPr="009642F7" w14:paraId="4D5E5F38" w14:textId="77777777" w:rsidTr="004B0065">
        <w:tc>
          <w:tcPr>
            <w:tcW w:w="925" w:type="pct"/>
            <w:tcBorders>
              <w:top w:val="nil"/>
              <w:left w:val="nil"/>
              <w:bottom w:val="nil"/>
              <w:right w:val="nil"/>
            </w:tcBorders>
            <w:shd w:val="clear" w:color="auto" w:fill="auto"/>
            <w:noWrap/>
            <w:vAlign w:val="center"/>
          </w:tcPr>
          <w:p w14:paraId="389A9D36" w14:textId="77777777" w:rsidR="00B31A24" w:rsidRPr="009642F7" w:rsidRDefault="00B31A24" w:rsidP="00B31A24">
            <w:pPr>
              <w:snapToGrid w:val="0"/>
              <w:rPr>
                <w:rFonts w:ascii="Times New Roman" w:hAnsi="Times New Roman" w:cs="Times New Roman"/>
                <w:i/>
                <w:sz w:val="20"/>
                <w:szCs w:val="21"/>
              </w:rPr>
            </w:pPr>
          </w:p>
        </w:tc>
        <w:tc>
          <w:tcPr>
            <w:tcW w:w="404" w:type="pct"/>
            <w:tcBorders>
              <w:top w:val="nil"/>
              <w:left w:val="nil"/>
              <w:bottom w:val="nil"/>
              <w:right w:val="nil"/>
            </w:tcBorders>
            <w:shd w:val="clear" w:color="auto" w:fill="auto"/>
            <w:noWrap/>
            <w:vAlign w:val="center"/>
          </w:tcPr>
          <w:p w14:paraId="1E8DFDC1" w14:textId="77777777" w:rsidR="00B31A24" w:rsidRPr="009642F7" w:rsidRDefault="00B31A24" w:rsidP="00B31A24">
            <w:pPr>
              <w:snapToGrid w:val="0"/>
              <w:jc w:val="center"/>
              <w:rPr>
                <w:rFonts w:ascii="Times New Roman" w:eastAsia="HeiT" w:hAnsi="Times New Roman" w:cs="Times New Roman"/>
                <w:sz w:val="20"/>
                <w:szCs w:val="21"/>
              </w:rPr>
            </w:pPr>
          </w:p>
        </w:tc>
        <w:tc>
          <w:tcPr>
            <w:tcW w:w="415" w:type="pct"/>
            <w:tcBorders>
              <w:top w:val="nil"/>
              <w:left w:val="nil"/>
              <w:bottom w:val="nil"/>
              <w:right w:val="nil"/>
            </w:tcBorders>
            <w:shd w:val="clear" w:color="auto" w:fill="auto"/>
            <w:noWrap/>
            <w:vAlign w:val="center"/>
          </w:tcPr>
          <w:p w14:paraId="484CA67C" w14:textId="77777777" w:rsidR="00B31A24" w:rsidRPr="009642F7" w:rsidRDefault="00B31A24" w:rsidP="00B31A24">
            <w:pPr>
              <w:snapToGrid w:val="0"/>
              <w:jc w:val="center"/>
              <w:rPr>
                <w:rFonts w:ascii="Times New Roman" w:eastAsia="HeiT" w:hAnsi="Times New Roman" w:cs="Times New Roman"/>
                <w:sz w:val="20"/>
                <w:szCs w:val="21"/>
              </w:rPr>
            </w:pPr>
          </w:p>
        </w:tc>
        <w:tc>
          <w:tcPr>
            <w:tcW w:w="505" w:type="pct"/>
            <w:tcBorders>
              <w:top w:val="nil"/>
              <w:left w:val="nil"/>
              <w:bottom w:val="nil"/>
              <w:right w:val="nil"/>
            </w:tcBorders>
            <w:shd w:val="clear" w:color="auto" w:fill="auto"/>
            <w:noWrap/>
            <w:vAlign w:val="center"/>
          </w:tcPr>
          <w:p w14:paraId="3F9BC6ED" w14:textId="77777777" w:rsidR="00B31A24" w:rsidRPr="009642F7" w:rsidRDefault="00B31A24"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tcPr>
          <w:p w14:paraId="562B50CE" w14:textId="77777777" w:rsidR="00B31A24" w:rsidRPr="009642F7" w:rsidRDefault="00B31A24"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tcPr>
          <w:p w14:paraId="56C7DF74" w14:textId="77777777" w:rsidR="00B31A24" w:rsidRPr="009642F7" w:rsidRDefault="00B31A24" w:rsidP="00B31A24">
            <w:pPr>
              <w:snapToGrid w:val="0"/>
              <w:jc w:val="center"/>
              <w:rPr>
                <w:rFonts w:ascii="Times New Roman" w:hAnsi="Times New Roman" w:cs="Times New Roman"/>
                <w:sz w:val="20"/>
                <w:szCs w:val="21"/>
              </w:rPr>
            </w:pPr>
          </w:p>
        </w:tc>
        <w:tc>
          <w:tcPr>
            <w:tcW w:w="415" w:type="pct"/>
            <w:tcBorders>
              <w:top w:val="nil"/>
              <w:left w:val="nil"/>
              <w:bottom w:val="nil"/>
              <w:right w:val="nil"/>
            </w:tcBorders>
            <w:shd w:val="clear" w:color="auto" w:fill="auto"/>
            <w:noWrap/>
            <w:vAlign w:val="center"/>
          </w:tcPr>
          <w:p w14:paraId="4CD43F34" w14:textId="77777777" w:rsidR="00B31A24" w:rsidRPr="009642F7" w:rsidRDefault="00B31A24" w:rsidP="00B31A24">
            <w:pPr>
              <w:snapToGrid w:val="0"/>
              <w:jc w:val="center"/>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tcPr>
          <w:p w14:paraId="05899479" w14:textId="77777777" w:rsidR="00B31A24" w:rsidRPr="009642F7" w:rsidRDefault="00B31A24"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tcPr>
          <w:p w14:paraId="0A118CA0" w14:textId="77777777" w:rsidR="00B31A24" w:rsidRPr="009642F7" w:rsidRDefault="00B31A24"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tcPr>
          <w:p w14:paraId="5E4C7F1C" w14:textId="77777777" w:rsidR="00B31A24" w:rsidRPr="009642F7" w:rsidRDefault="00B31A24" w:rsidP="00B31A24">
            <w:pPr>
              <w:snapToGrid w:val="0"/>
              <w:jc w:val="center"/>
              <w:rPr>
                <w:rFonts w:ascii="Times New Roman" w:hAnsi="Times New Roman" w:cs="Times New Roman"/>
                <w:sz w:val="20"/>
                <w:szCs w:val="21"/>
              </w:rPr>
            </w:pPr>
          </w:p>
        </w:tc>
        <w:tc>
          <w:tcPr>
            <w:tcW w:w="415" w:type="pct"/>
            <w:tcBorders>
              <w:top w:val="nil"/>
              <w:left w:val="nil"/>
              <w:bottom w:val="nil"/>
              <w:right w:val="nil"/>
            </w:tcBorders>
            <w:shd w:val="clear" w:color="auto" w:fill="auto"/>
            <w:noWrap/>
            <w:vAlign w:val="center"/>
          </w:tcPr>
          <w:p w14:paraId="37B53CB9" w14:textId="77777777" w:rsidR="00B31A24" w:rsidRPr="009642F7" w:rsidRDefault="00B31A24" w:rsidP="00B31A24">
            <w:pPr>
              <w:snapToGrid w:val="0"/>
              <w:jc w:val="right"/>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tcPr>
          <w:p w14:paraId="3EE76018" w14:textId="77777777" w:rsidR="00B31A24" w:rsidRPr="009642F7" w:rsidRDefault="00B31A24" w:rsidP="00B31A24">
            <w:pPr>
              <w:snapToGrid w:val="0"/>
              <w:rPr>
                <w:rFonts w:ascii="Times New Roman" w:eastAsia="Times New Roman" w:hAnsi="Times New Roman" w:cs="Times New Roman"/>
                <w:sz w:val="20"/>
                <w:szCs w:val="21"/>
              </w:rPr>
            </w:pPr>
          </w:p>
        </w:tc>
      </w:tr>
      <w:tr w:rsidR="009642F7" w:rsidRPr="009642F7" w14:paraId="264ED931" w14:textId="77777777" w:rsidTr="004B0065">
        <w:tc>
          <w:tcPr>
            <w:tcW w:w="925" w:type="pct"/>
            <w:tcBorders>
              <w:top w:val="nil"/>
              <w:left w:val="nil"/>
              <w:bottom w:val="nil"/>
              <w:right w:val="nil"/>
            </w:tcBorders>
            <w:shd w:val="clear" w:color="auto" w:fill="auto"/>
            <w:noWrap/>
            <w:vAlign w:val="center"/>
            <w:hideMark/>
          </w:tcPr>
          <w:p w14:paraId="3877D3C4" w14:textId="77777777" w:rsidR="008B2BB5" w:rsidRPr="009642F7" w:rsidRDefault="00B31A24" w:rsidP="00B31A24">
            <w:pPr>
              <w:snapToGrid w:val="0"/>
              <w:rPr>
                <w:rFonts w:ascii="Times New Roman" w:hAnsi="Times New Roman" w:cs="Times New Roman"/>
                <w:i/>
                <w:sz w:val="20"/>
                <w:szCs w:val="21"/>
              </w:rPr>
            </w:pPr>
            <w:r w:rsidRPr="009642F7">
              <w:rPr>
                <w:rFonts w:ascii="Times New Roman" w:hAnsi="Times New Roman" w:cs="Times New Roman"/>
                <w:i/>
                <w:sz w:val="20"/>
                <w:szCs w:val="21"/>
              </w:rPr>
              <w:t>N</w:t>
            </w:r>
          </w:p>
        </w:tc>
        <w:tc>
          <w:tcPr>
            <w:tcW w:w="404" w:type="pct"/>
            <w:tcBorders>
              <w:top w:val="nil"/>
              <w:left w:val="nil"/>
              <w:bottom w:val="nil"/>
              <w:right w:val="nil"/>
            </w:tcBorders>
            <w:shd w:val="clear" w:color="auto" w:fill="auto"/>
            <w:noWrap/>
            <w:vAlign w:val="center"/>
            <w:hideMark/>
          </w:tcPr>
          <w:p w14:paraId="6803D9AC"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28</w:t>
            </w:r>
            <w:r w:rsidR="00B31A24" w:rsidRPr="009642F7">
              <w:rPr>
                <w:rFonts w:ascii="Times New Roman" w:eastAsia="HeiT" w:hAnsi="Times New Roman" w:cs="Times New Roman"/>
                <w:sz w:val="20"/>
                <w:szCs w:val="21"/>
              </w:rPr>
              <w:t>,</w:t>
            </w:r>
            <w:r w:rsidRPr="009642F7">
              <w:rPr>
                <w:rFonts w:ascii="Times New Roman" w:eastAsia="HeiT" w:hAnsi="Times New Roman" w:cs="Times New Roman"/>
                <w:sz w:val="20"/>
                <w:szCs w:val="21"/>
              </w:rPr>
              <w:t>575</w:t>
            </w:r>
          </w:p>
        </w:tc>
        <w:tc>
          <w:tcPr>
            <w:tcW w:w="415" w:type="pct"/>
            <w:tcBorders>
              <w:top w:val="nil"/>
              <w:left w:val="nil"/>
              <w:bottom w:val="nil"/>
              <w:right w:val="nil"/>
            </w:tcBorders>
            <w:shd w:val="clear" w:color="auto" w:fill="auto"/>
            <w:noWrap/>
            <w:vAlign w:val="center"/>
            <w:hideMark/>
          </w:tcPr>
          <w:p w14:paraId="76C282A8" w14:textId="77777777" w:rsidR="008B2BB5" w:rsidRPr="009642F7" w:rsidRDefault="008B2BB5" w:rsidP="00B31A24">
            <w:pPr>
              <w:snapToGrid w:val="0"/>
              <w:jc w:val="center"/>
              <w:rPr>
                <w:rFonts w:ascii="Times New Roman" w:eastAsia="HeiT"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1F1B6BCE"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7A039294"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761B2250" w14:textId="77777777" w:rsidR="008B2BB5" w:rsidRPr="009642F7" w:rsidRDefault="008B2BB5"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26</w:t>
            </w:r>
            <w:r w:rsidR="00B31A24" w:rsidRPr="009642F7">
              <w:rPr>
                <w:rFonts w:ascii="Times New Roman" w:hAnsi="Times New Roman" w:cs="Times New Roman"/>
                <w:sz w:val="20"/>
                <w:szCs w:val="21"/>
              </w:rPr>
              <w:t>,</w:t>
            </w:r>
            <w:r w:rsidRPr="009642F7">
              <w:rPr>
                <w:rFonts w:ascii="Times New Roman" w:hAnsi="Times New Roman" w:cs="Times New Roman"/>
                <w:sz w:val="20"/>
                <w:szCs w:val="21"/>
              </w:rPr>
              <w:t>594</w:t>
            </w:r>
          </w:p>
        </w:tc>
        <w:tc>
          <w:tcPr>
            <w:tcW w:w="415" w:type="pct"/>
            <w:tcBorders>
              <w:top w:val="nil"/>
              <w:left w:val="nil"/>
              <w:bottom w:val="nil"/>
              <w:right w:val="nil"/>
            </w:tcBorders>
            <w:shd w:val="clear" w:color="auto" w:fill="auto"/>
            <w:noWrap/>
            <w:vAlign w:val="center"/>
            <w:hideMark/>
          </w:tcPr>
          <w:p w14:paraId="0A003C4B" w14:textId="77777777" w:rsidR="008B2BB5" w:rsidRPr="009642F7" w:rsidRDefault="008B2BB5" w:rsidP="00B31A24">
            <w:pPr>
              <w:snapToGrid w:val="0"/>
              <w:jc w:val="center"/>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4615CC02"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4D403C7F"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345DB0D3" w14:textId="77777777" w:rsidR="008B2BB5" w:rsidRPr="009642F7" w:rsidRDefault="008B2BB5" w:rsidP="00B31A24">
            <w:pPr>
              <w:snapToGrid w:val="0"/>
              <w:jc w:val="center"/>
              <w:rPr>
                <w:rFonts w:ascii="Times New Roman" w:hAnsi="Times New Roman" w:cs="Times New Roman"/>
                <w:sz w:val="20"/>
                <w:szCs w:val="21"/>
              </w:rPr>
            </w:pPr>
            <w:r w:rsidRPr="009642F7">
              <w:rPr>
                <w:rFonts w:ascii="Times New Roman" w:hAnsi="Times New Roman" w:cs="Times New Roman"/>
                <w:sz w:val="20"/>
                <w:szCs w:val="21"/>
              </w:rPr>
              <w:t>26</w:t>
            </w:r>
            <w:r w:rsidR="00B31A24" w:rsidRPr="009642F7">
              <w:rPr>
                <w:rFonts w:ascii="Times New Roman" w:hAnsi="Times New Roman" w:cs="Times New Roman"/>
                <w:sz w:val="20"/>
                <w:szCs w:val="21"/>
              </w:rPr>
              <w:t>,</w:t>
            </w:r>
            <w:r w:rsidRPr="009642F7">
              <w:rPr>
                <w:rFonts w:ascii="Times New Roman" w:hAnsi="Times New Roman" w:cs="Times New Roman"/>
                <w:sz w:val="20"/>
                <w:szCs w:val="21"/>
              </w:rPr>
              <w:t>578</w:t>
            </w:r>
          </w:p>
        </w:tc>
        <w:tc>
          <w:tcPr>
            <w:tcW w:w="415" w:type="pct"/>
            <w:tcBorders>
              <w:top w:val="nil"/>
              <w:left w:val="nil"/>
              <w:bottom w:val="nil"/>
              <w:right w:val="nil"/>
            </w:tcBorders>
            <w:shd w:val="clear" w:color="auto" w:fill="auto"/>
            <w:noWrap/>
            <w:vAlign w:val="center"/>
            <w:hideMark/>
          </w:tcPr>
          <w:p w14:paraId="09555C95" w14:textId="77777777" w:rsidR="008B2BB5" w:rsidRPr="009642F7" w:rsidRDefault="008B2BB5" w:rsidP="00B31A24">
            <w:pPr>
              <w:snapToGrid w:val="0"/>
              <w:jc w:val="right"/>
              <w:rPr>
                <w:rFonts w:ascii="Times New Roman"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2ACD7002" w14:textId="77777777" w:rsidR="008B2BB5" w:rsidRPr="009642F7" w:rsidRDefault="008B2BB5" w:rsidP="00B31A24">
            <w:pPr>
              <w:snapToGrid w:val="0"/>
              <w:rPr>
                <w:rFonts w:ascii="Times New Roman" w:eastAsia="Times New Roman" w:hAnsi="Times New Roman" w:cs="Times New Roman"/>
                <w:sz w:val="20"/>
                <w:szCs w:val="21"/>
              </w:rPr>
            </w:pPr>
          </w:p>
        </w:tc>
      </w:tr>
      <w:tr w:rsidR="009642F7" w:rsidRPr="009642F7" w14:paraId="4D6B943D" w14:textId="77777777" w:rsidTr="004B0065">
        <w:tc>
          <w:tcPr>
            <w:tcW w:w="925" w:type="pct"/>
            <w:tcBorders>
              <w:top w:val="nil"/>
              <w:left w:val="nil"/>
              <w:bottom w:val="nil"/>
              <w:right w:val="nil"/>
            </w:tcBorders>
            <w:shd w:val="clear" w:color="auto" w:fill="auto"/>
            <w:noWrap/>
            <w:vAlign w:val="center"/>
            <w:hideMark/>
          </w:tcPr>
          <w:p w14:paraId="39EEE5D2" w14:textId="77777777" w:rsidR="008B2BB5" w:rsidRPr="009642F7" w:rsidRDefault="008B2BB5" w:rsidP="00B31A24">
            <w:pPr>
              <w:snapToGrid w:val="0"/>
              <w:rPr>
                <w:rFonts w:ascii="Times New Roman" w:hAnsi="Times New Roman" w:cs="Times New Roman"/>
                <w:sz w:val="20"/>
                <w:szCs w:val="21"/>
              </w:rPr>
            </w:pPr>
            <w:r w:rsidRPr="009642F7">
              <w:rPr>
                <w:rFonts w:ascii="Times New Roman" w:hAnsi="Times New Roman" w:cs="Times New Roman"/>
                <w:sz w:val="20"/>
                <w:szCs w:val="21"/>
              </w:rPr>
              <w:t>−2 Log</w:t>
            </w:r>
            <w:r w:rsidR="00B31A24" w:rsidRPr="009642F7">
              <w:rPr>
                <w:rFonts w:ascii="Times New Roman" w:hAnsi="Times New Roman" w:cs="Times New Roman"/>
                <w:sz w:val="20"/>
                <w:szCs w:val="21"/>
              </w:rPr>
              <w:t>−</w:t>
            </w:r>
            <w:r w:rsidRPr="009642F7">
              <w:rPr>
                <w:rFonts w:ascii="Times New Roman" w:hAnsi="Times New Roman" w:cs="Times New Roman"/>
                <w:sz w:val="20"/>
                <w:szCs w:val="21"/>
              </w:rPr>
              <w:t>likelihood</w:t>
            </w:r>
          </w:p>
        </w:tc>
        <w:tc>
          <w:tcPr>
            <w:tcW w:w="404" w:type="pct"/>
            <w:tcBorders>
              <w:top w:val="nil"/>
              <w:left w:val="nil"/>
              <w:bottom w:val="nil"/>
              <w:right w:val="nil"/>
            </w:tcBorders>
            <w:shd w:val="clear" w:color="auto" w:fill="auto"/>
            <w:noWrap/>
            <w:vAlign w:val="center"/>
            <w:hideMark/>
          </w:tcPr>
          <w:p w14:paraId="1CF38BE6"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8880.</w:t>
            </w:r>
            <w:r w:rsidR="00B31A24" w:rsidRPr="009642F7">
              <w:rPr>
                <w:rFonts w:ascii="Times New Roman" w:eastAsia="HeiT" w:hAnsi="Times New Roman" w:cs="Times New Roman"/>
                <w:sz w:val="20"/>
                <w:szCs w:val="21"/>
              </w:rPr>
              <w:t>4</w:t>
            </w:r>
          </w:p>
        </w:tc>
        <w:tc>
          <w:tcPr>
            <w:tcW w:w="415" w:type="pct"/>
            <w:tcBorders>
              <w:top w:val="nil"/>
              <w:left w:val="nil"/>
              <w:bottom w:val="nil"/>
              <w:right w:val="nil"/>
            </w:tcBorders>
            <w:shd w:val="clear" w:color="auto" w:fill="auto"/>
            <w:noWrap/>
            <w:vAlign w:val="center"/>
            <w:hideMark/>
          </w:tcPr>
          <w:p w14:paraId="464AAB87" w14:textId="77777777" w:rsidR="008B2BB5" w:rsidRPr="009642F7" w:rsidRDefault="008B2BB5" w:rsidP="00B31A24">
            <w:pPr>
              <w:snapToGrid w:val="0"/>
              <w:jc w:val="center"/>
              <w:rPr>
                <w:rFonts w:ascii="Times New Roman" w:eastAsia="HeiT"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39A343FE"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47743AF8"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510711D0"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7078.</w:t>
            </w:r>
            <w:r w:rsidR="00B31A24" w:rsidRPr="009642F7">
              <w:rPr>
                <w:rFonts w:ascii="Times New Roman" w:eastAsia="HeiT" w:hAnsi="Times New Roman" w:cs="Times New Roman"/>
                <w:sz w:val="20"/>
                <w:szCs w:val="21"/>
              </w:rPr>
              <w:t>9</w:t>
            </w:r>
          </w:p>
        </w:tc>
        <w:tc>
          <w:tcPr>
            <w:tcW w:w="415" w:type="pct"/>
            <w:tcBorders>
              <w:top w:val="nil"/>
              <w:left w:val="nil"/>
              <w:bottom w:val="nil"/>
              <w:right w:val="nil"/>
            </w:tcBorders>
            <w:shd w:val="clear" w:color="auto" w:fill="auto"/>
            <w:noWrap/>
            <w:vAlign w:val="center"/>
            <w:hideMark/>
          </w:tcPr>
          <w:p w14:paraId="17432A9D" w14:textId="77777777" w:rsidR="008B2BB5" w:rsidRPr="009642F7" w:rsidRDefault="008B2BB5" w:rsidP="00B31A24">
            <w:pPr>
              <w:snapToGrid w:val="0"/>
              <w:jc w:val="center"/>
              <w:rPr>
                <w:rFonts w:ascii="Times New Roman" w:eastAsia="HeiT"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06C6788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070B261F"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51C21A86"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7044.</w:t>
            </w:r>
            <w:r w:rsidR="00B31A24" w:rsidRPr="009642F7">
              <w:rPr>
                <w:rFonts w:ascii="Times New Roman" w:eastAsia="HeiT" w:hAnsi="Times New Roman" w:cs="Times New Roman"/>
                <w:sz w:val="20"/>
                <w:szCs w:val="21"/>
              </w:rPr>
              <w:t>7</w:t>
            </w:r>
          </w:p>
        </w:tc>
        <w:tc>
          <w:tcPr>
            <w:tcW w:w="415" w:type="pct"/>
            <w:tcBorders>
              <w:top w:val="nil"/>
              <w:left w:val="nil"/>
              <w:bottom w:val="nil"/>
              <w:right w:val="nil"/>
            </w:tcBorders>
            <w:shd w:val="clear" w:color="auto" w:fill="auto"/>
            <w:noWrap/>
            <w:vAlign w:val="center"/>
            <w:hideMark/>
          </w:tcPr>
          <w:p w14:paraId="1E80676A" w14:textId="77777777" w:rsidR="008B2BB5" w:rsidRPr="009642F7" w:rsidRDefault="008B2BB5" w:rsidP="00B31A24">
            <w:pPr>
              <w:snapToGrid w:val="0"/>
              <w:jc w:val="right"/>
              <w:rPr>
                <w:rFonts w:ascii="Times New Roman" w:eastAsia="HeiT"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3F0C1417" w14:textId="77777777" w:rsidR="008B2BB5" w:rsidRPr="009642F7" w:rsidRDefault="008B2BB5" w:rsidP="00B31A24">
            <w:pPr>
              <w:snapToGrid w:val="0"/>
              <w:rPr>
                <w:rFonts w:ascii="Times New Roman" w:eastAsia="Times New Roman" w:hAnsi="Times New Roman" w:cs="Times New Roman"/>
                <w:sz w:val="20"/>
                <w:szCs w:val="21"/>
              </w:rPr>
            </w:pPr>
          </w:p>
        </w:tc>
      </w:tr>
      <w:tr w:rsidR="009642F7" w:rsidRPr="009642F7" w14:paraId="7325FBCB" w14:textId="77777777" w:rsidTr="004B0065">
        <w:tc>
          <w:tcPr>
            <w:tcW w:w="925" w:type="pct"/>
            <w:tcBorders>
              <w:top w:val="nil"/>
              <w:left w:val="nil"/>
              <w:bottom w:val="nil"/>
              <w:right w:val="nil"/>
            </w:tcBorders>
            <w:shd w:val="clear" w:color="auto" w:fill="auto"/>
            <w:noWrap/>
            <w:vAlign w:val="center"/>
            <w:hideMark/>
          </w:tcPr>
          <w:p w14:paraId="3322D8DA" w14:textId="77777777" w:rsidR="008B2BB5" w:rsidRPr="009642F7" w:rsidRDefault="008B2BB5" w:rsidP="00B31A24">
            <w:pPr>
              <w:snapToGrid w:val="0"/>
              <w:rPr>
                <w:rFonts w:ascii="Times New Roman" w:hAnsi="Times New Roman" w:cs="Times New Roman"/>
                <w:sz w:val="20"/>
                <w:szCs w:val="21"/>
              </w:rPr>
            </w:pPr>
            <w:r w:rsidRPr="009642F7">
              <w:rPr>
                <w:rFonts w:ascii="Times New Roman" w:hAnsi="Times New Roman" w:cs="Times New Roman"/>
                <w:sz w:val="20"/>
                <w:szCs w:val="21"/>
              </w:rPr>
              <w:t>Percent Concordant</w:t>
            </w:r>
          </w:p>
        </w:tc>
        <w:tc>
          <w:tcPr>
            <w:tcW w:w="404" w:type="pct"/>
            <w:tcBorders>
              <w:top w:val="nil"/>
              <w:left w:val="nil"/>
              <w:bottom w:val="nil"/>
              <w:right w:val="nil"/>
            </w:tcBorders>
            <w:shd w:val="clear" w:color="auto" w:fill="auto"/>
            <w:noWrap/>
            <w:vAlign w:val="center"/>
            <w:hideMark/>
          </w:tcPr>
          <w:p w14:paraId="5AE6043A"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63.3</w:t>
            </w:r>
          </w:p>
        </w:tc>
        <w:tc>
          <w:tcPr>
            <w:tcW w:w="415" w:type="pct"/>
            <w:tcBorders>
              <w:top w:val="nil"/>
              <w:left w:val="nil"/>
              <w:bottom w:val="nil"/>
              <w:right w:val="nil"/>
            </w:tcBorders>
            <w:shd w:val="clear" w:color="auto" w:fill="auto"/>
            <w:noWrap/>
            <w:vAlign w:val="center"/>
            <w:hideMark/>
          </w:tcPr>
          <w:p w14:paraId="453D0787" w14:textId="77777777" w:rsidR="008B2BB5" w:rsidRPr="009642F7" w:rsidRDefault="008B2BB5" w:rsidP="00B31A24">
            <w:pPr>
              <w:snapToGrid w:val="0"/>
              <w:jc w:val="center"/>
              <w:rPr>
                <w:rFonts w:ascii="Times New Roman" w:eastAsia="HeiT"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51569371"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0163483F"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58D74578"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80.5</w:t>
            </w:r>
          </w:p>
        </w:tc>
        <w:tc>
          <w:tcPr>
            <w:tcW w:w="415" w:type="pct"/>
            <w:tcBorders>
              <w:top w:val="nil"/>
              <w:left w:val="nil"/>
              <w:bottom w:val="nil"/>
              <w:right w:val="nil"/>
            </w:tcBorders>
            <w:shd w:val="clear" w:color="auto" w:fill="auto"/>
            <w:noWrap/>
            <w:vAlign w:val="center"/>
            <w:hideMark/>
          </w:tcPr>
          <w:p w14:paraId="5590E95B" w14:textId="77777777" w:rsidR="008B2BB5" w:rsidRPr="009642F7" w:rsidRDefault="008B2BB5" w:rsidP="00B31A24">
            <w:pPr>
              <w:snapToGrid w:val="0"/>
              <w:jc w:val="center"/>
              <w:rPr>
                <w:rFonts w:ascii="Times New Roman" w:eastAsia="HeiT"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3355286B"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52" w:type="pct"/>
            <w:tcBorders>
              <w:top w:val="nil"/>
              <w:left w:val="nil"/>
              <w:bottom w:val="nil"/>
              <w:right w:val="nil"/>
            </w:tcBorders>
            <w:shd w:val="clear" w:color="auto" w:fill="auto"/>
            <w:noWrap/>
            <w:vAlign w:val="center"/>
            <w:hideMark/>
          </w:tcPr>
          <w:p w14:paraId="64FC5AF9" w14:textId="77777777" w:rsidR="008B2BB5" w:rsidRPr="009642F7" w:rsidRDefault="008B2BB5" w:rsidP="00B31A24">
            <w:pPr>
              <w:snapToGrid w:val="0"/>
              <w:jc w:val="center"/>
              <w:rPr>
                <w:rFonts w:ascii="Times New Roman" w:eastAsia="Times New Roman" w:hAnsi="Times New Roman" w:cs="Times New Roman"/>
                <w:sz w:val="20"/>
                <w:szCs w:val="21"/>
              </w:rPr>
            </w:pPr>
          </w:p>
        </w:tc>
        <w:tc>
          <w:tcPr>
            <w:tcW w:w="404" w:type="pct"/>
            <w:tcBorders>
              <w:top w:val="nil"/>
              <w:left w:val="nil"/>
              <w:bottom w:val="nil"/>
              <w:right w:val="nil"/>
            </w:tcBorders>
            <w:shd w:val="clear" w:color="auto" w:fill="auto"/>
            <w:noWrap/>
            <w:vAlign w:val="center"/>
            <w:hideMark/>
          </w:tcPr>
          <w:p w14:paraId="403AF4F3"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80.7</w:t>
            </w:r>
          </w:p>
        </w:tc>
        <w:tc>
          <w:tcPr>
            <w:tcW w:w="415" w:type="pct"/>
            <w:tcBorders>
              <w:top w:val="nil"/>
              <w:left w:val="nil"/>
              <w:bottom w:val="nil"/>
              <w:right w:val="nil"/>
            </w:tcBorders>
            <w:shd w:val="clear" w:color="auto" w:fill="auto"/>
            <w:noWrap/>
            <w:vAlign w:val="center"/>
            <w:hideMark/>
          </w:tcPr>
          <w:p w14:paraId="30D3D6BC" w14:textId="77777777" w:rsidR="008B2BB5" w:rsidRPr="009642F7" w:rsidRDefault="008B2BB5" w:rsidP="00B31A24">
            <w:pPr>
              <w:snapToGrid w:val="0"/>
              <w:jc w:val="right"/>
              <w:rPr>
                <w:rFonts w:ascii="Times New Roman" w:eastAsia="HeiT" w:hAnsi="Times New Roman" w:cs="Times New Roman"/>
                <w:sz w:val="20"/>
                <w:szCs w:val="21"/>
              </w:rPr>
            </w:pPr>
          </w:p>
        </w:tc>
        <w:tc>
          <w:tcPr>
            <w:tcW w:w="505" w:type="pct"/>
            <w:tcBorders>
              <w:top w:val="nil"/>
              <w:left w:val="nil"/>
              <w:bottom w:val="nil"/>
              <w:right w:val="nil"/>
            </w:tcBorders>
            <w:shd w:val="clear" w:color="auto" w:fill="auto"/>
            <w:noWrap/>
            <w:vAlign w:val="center"/>
            <w:hideMark/>
          </w:tcPr>
          <w:p w14:paraId="49E1B693" w14:textId="77777777" w:rsidR="008B2BB5" w:rsidRPr="009642F7" w:rsidRDefault="008B2BB5" w:rsidP="00B31A24">
            <w:pPr>
              <w:snapToGrid w:val="0"/>
              <w:rPr>
                <w:rFonts w:ascii="Times New Roman" w:eastAsia="Times New Roman" w:hAnsi="Times New Roman" w:cs="Times New Roman"/>
                <w:sz w:val="20"/>
                <w:szCs w:val="21"/>
              </w:rPr>
            </w:pPr>
          </w:p>
        </w:tc>
      </w:tr>
      <w:tr w:rsidR="004B0065" w:rsidRPr="009642F7" w14:paraId="52257A22" w14:textId="77777777" w:rsidTr="004B0065">
        <w:tc>
          <w:tcPr>
            <w:tcW w:w="925" w:type="pct"/>
            <w:tcBorders>
              <w:top w:val="nil"/>
              <w:left w:val="nil"/>
              <w:bottom w:val="single" w:sz="4" w:space="0" w:color="auto"/>
              <w:right w:val="nil"/>
            </w:tcBorders>
            <w:shd w:val="clear" w:color="auto" w:fill="auto"/>
            <w:noWrap/>
            <w:vAlign w:val="center"/>
            <w:hideMark/>
          </w:tcPr>
          <w:p w14:paraId="13398526" w14:textId="77777777" w:rsidR="008B2BB5" w:rsidRPr="009642F7" w:rsidRDefault="008B2BB5" w:rsidP="00B31A24">
            <w:pPr>
              <w:snapToGrid w:val="0"/>
              <w:rPr>
                <w:rFonts w:ascii="Times New Roman" w:hAnsi="Times New Roman" w:cs="Times New Roman"/>
                <w:sz w:val="20"/>
                <w:szCs w:val="21"/>
              </w:rPr>
            </w:pPr>
            <w:r w:rsidRPr="009642F7">
              <w:rPr>
                <w:rFonts w:ascii="Times New Roman" w:hAnsi="Times New Roman" w:cs="Times New Roman"/>
                <w:sz w:val="20"/>
                <w:szCs w:val="21"/>
              </w:rPr>
              <w:t xml:space="preserve">Pseudo </w:t>
            </w:r>
            <w:r w:rsidRPr="009642F7">
              <w:rPr>
                <w:rFonts w:ascii="Times New Roman" w:hAnsi="Times New Roman" w:cs="Times New Roman"/>
                <w:i/>
                <w:sz w:val="20"/>
                <w:szCs w:val="21"/>
              </w:rPr>
              <w:t>R</w:t>
            </w:r>
            <w:r w:rsidRPr="009642F7">
              <w:rPr>
                <w:rFonts w:ascii="Times New Roman" w:hAnsi="Times New Roman" w:cs="Times New Roman"/>
                <w:sz w:val="20"/>
                <w:szCs w:val="21"/>
                <w:vertAlign w:val="superscript"/>
              </w:rPr>
              <w:t>2</w:t>
            </w:r>
          </w:p>
        </w:tc>
        <w:tc>
          <w:tcPr>
            <w:tcW w:w="404" w:type="pct"/>
            <w:tcBorders>
              <w:top w:val="nil"/>
              <w:left w:val="nil"/>
              <w:bottom w:val="single" w:sz="4" w:space="0" w:color="auto"/>
              <w:right w:val="nil"/>
            </w:tcBorders>
            <w:shd w:val="clear" w:color="auto" w:fill="auto"/>
            <w:noWrap/>
            <w:vAlign w:val="center"/>
            <w:hideMark/>
          </w:tcPr>
          <w:p w14:paraId="20B5B396" w14:textId="77777777" w:rsidR="008B2BB5" w:rsidRPr="009642F7" w:rsidRDefault="009C10FA"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4.05%</w:t>
            </w:r>
          </w:p>
        </w:tc>
        <w:tc>
          <w:tcPr>
            <w:tcW w:w="415" w:type="pct"/>
            <w:tcBorders>
              <w:top w:val="nil"/>
              <w:left w:val="nil"/>
              <w:bottom w:val="single" w:sz="4" w:space="0" w:color="auto"/>
              <w:right w:val="nil"/>
            </w:tcBorders>
            <w:shd w:val="clear" w:color="auto" w:fill="auto"/>
            <w:noWrap/>
            <w:vAlign w:val="center"/>
            <w:hideMark/>
          </w:tcPr>
          <w:p w14:paraId="75B73E7B" w14:textId="77777777" w:rsidR="008B2BB5" w:rsidRPr="009642F7" w:rsidRDefault="008B2BB5" w:rsidP="00B31A24">
            <w:pPr>
              <w:snapToGrid w:val="0"/>
              <w:jc w:val="center"/>
              <w:rPr>
                <w:rFonts w:ascii="Times New Roman" w:hAnsi="Times New Roman" w:cs="Times New Roman"/>
                <w:sz w:val="20"/>
                <w:szCs w:val="21"/>
              </w:rPr>
            </w:pPr>
          </w:p>
        </w:tc>
        <w:tc>
          <w:tcPr>
            <w:tcW w:w="505" w:type="pct"/>
            <w:tcBorders>
              <w:top w:val="nil"/>
              <w:left w:val="nil"/>
              <w:bottom w:val="single" w:sz="4" w:space="0" w:color="auto"/>
              <w:right w:val="nil"/>
            </w:tcBorders>
            <w:shd w:val="clear" w:color="auto" w:fill="auto"/>
            <w:noWrap/>
            <w:vAlign w:val="center"/>
            <w:hideMark/>
          </w:tcPr>
          <w:p w14:paraId="11E4EF58" w14:textId="77777777" w:rsidR="008B2BB5" w:rsidRPr="009642F7" w:rsidRDefault="008B2BB5" w:rsidP="00B31A24">
            <w:pPr>
              <w:snapToGrid w:val="0"/>
              <w:jc w:val="center"/>
              <w:rPr>
                <w:rFonts w:ascii="Times New Roman" w:hAnsi="Times New Roman" w:cs="Times New Roman"/>
                <w:sz w:val="20"/>
                <w:szCs w:val="21"/>
              </w:rPr>
            </w:pPr>
          </w:p>
        </w:tc>
        <w:tc>
          <w:tcPr>
            <w:tcW w:w="52" w:type="pct"/>
            <w:tcBorders>
              <w:top w:val="nil"/>
              <w:left w:val="nil"/>
              <w:bottom w:val="single" w:sz="4" w:space="0" w:color="auto"/>
              <w:right w:val="nil"/>
            </w:tcBorders>
            <w:shd w:val="clear" w:color="auto" w:fill="auto"/>
            <w:noWrap/>
            <w:vAlign w:val="center"/>
            <w:hideMark/>
          </w:tcPr>
          <w:p w14:paraId="16BEC3C9" w14:textId="77777777" w:rsidR="008B2BB5" w:rsidRPr="009642F7" w:rsidRDefault="008B2BB5" w:rsidP="00B31A24">
            <w:pPr>
              <w:snapToGrid w:val="0"/>
              <w:jc w:val="center"/>
              <w:rPr>
                <w:rFonts w:ascii="Times New Roman" w:hAnsi="Times New Roman" w:cs="Times New Roman"/>
                <w:sz w:val="20"/>
                <w:szCs w:val="21"/>
              </w:rPr>
            </w:pPr>
          </w:p>
        </w:tc>
        <w:tc>
          <w:tcPr>
            <w:tcW w:w="404" w:type="pct"/>
            <w:tcBorders>
              <w:top w:val="nil"/>
              <w:left w:val="nil"/>
              <w:bottom w:val="single" w:sz="4" w:space="0" w:color="auto"/>
              <w:right w:val="nil"/>
            </w:tcBorders>
            <w:shd w:val="clear" w:color="auto" w:fill="auto"/>
            <w:noWrap/>
            <w:vAlign w:val="center"/>
            <w:hideMark/>
          </w:tcPr>
          <w:p w14:paraId="2F69AE11"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18</w:t>
            </w:r>
            <w:r w:rsidR="009C10FA" w:rsidRPr="009642F7">
              <w:rPr>
                <w:rFonts w:ascii="Times New Roman" w:eastAsia="HeiT" w:hAnsi="Times New Roman" w:cs="Times New Roman"/>
                <w:sz w:val="20"/>
                <w:szCs w:val="21"/>
              </w:rPr>
              <w:t>.</w:t>
            </w:r>
            <w:r w:rsidRPr="009642F7">
              <w:rPr>
                <w:rFonts w:ascii="Times New Roman" w:eastAsia="HeiT" w:hAnsi="Times New Roman" w:cs="Times New Roman"/>
                <w:sz w:val="20"/>
                <w:szCs w:val="21"/>
              </w:rPr>
              <w:t>63</w:t>
            </w:r>
            <w:r w:rsidR="009C10FA" w:rsidRPr="009642F7">
              <w:rPr>
                <w:rFonts w:ascii="Times New Roman" w:eastAsia="HeiT" w:hAnsi="Times New Roman" w:cs="Times New Roman"/>
                <w:sz w:val="20"/>
                <w:szCs w:val="21"/>
              </w:rPr>
              <w:t>%</w:t>
            </w:r>
          </w:p>
        </w:tc>
        <w:tc>
          <w:tcPr>
            <w:tcW w:w="415" w:type="pct"/>
            <w:tcBorders>
              <w:top w:val="nil"/>
              <w:left w:val="nil"/>
              <w:bottom w:val="single" w:sz="4" w:space="0" w:color="auto"/>
              <w:right w:val="nil"/>
            </w:tcBorders>
            <w:shd w:val="clear" w:color="auto" w:fill="auto"/>
            <w:noWrap/>
            <w:vAlign w:val="center"/>
            <w:hideMark/>
          </w:tcPr>
          <w:p w14:paraId="044796EC" w14:textId="77777777" w:rsidR="008B2BB5" w:rsidRPr="009642F7" w:rsidRDefault="008B2BB5" w:rsidP="00B31A24">
            <w:pPr>
              <w:snapToGrid w:val="0"/>
              <w:jc w:val="center"/>
              <w:rPr>
                <w:rFonts w:ascii="Times New Roman" w:hAnsi="Times New Roman" w:cs="Times New Roman"/>
                <w:sz w:val="20"/>
                <w:szCs w:val="21"/>
              </w:rPr>
            </w:pPr>
          </w:p>
        </w:tc>
        <w:tc>
          <w:tcPr>
            <w:tcW w:w="505" w:type="pct"/>
            <w:tcBorders>
              <w:top w:val="nil"/>
              <w:left w:val="nil"/>
              <w:bottom w:val="single" w:sz="4" w:space="0" w:color="auto"/>
              <w:right w:val="nil"/>
            </w:tcBorders>
            <w:shd w:val="clear" w:color="auto" w:fill="auto"/>
            <w:noWrap/>
            <w:vAlign w:val="center"/>
            <w:hideMark/>
          </w:tcPr>
          <w:p w14:paraId="49759FEB" w14:textId="77777777" w:rsidR="008B2BB5" w:rsidRPr="009642F7" w:rsidRDefault="008B2BB5" w:rsidP="00B31A24">
            <w:pPr>
              <w:snapToGrid w:val="0"/>
              <w:jc w:val="center"/>
              <w:rPr>
                <w:rFonts w:ascii="Times New Roman" w:hAnsi="Times New Roman" w:cs="Times New Roman"/>
                <w:sz w:val="20"/>
                <w:szCs w:val="21"/>
              </w:rPr>
            </w:pPr>
          </w:p>
        </w:tc>
        <w:tc>
          <w:tcPr>
            <w:tcW w:w="52" w:type="pct"/>
            <w:tcBorders>
              <w:top w:val="nil"/>
              <w:left w:val="nil"/>
              <w:bottom w:val="single" w:sz="4" w:space="0" w:color="auto"/>
              <w:right w:val="nil"/>
            </w:tcBorders>
            <w:shd w:val="clear" w:color="auto" w:fill="auto"/>
            <w:noWrap/>
            <w:vAlign w:val="center"/>
            <w:hideMark/>
          </w:tcPr>
          <w:p w14:paraId="4084DF73" w14:textId="77777777" w:rsidR="008B2BB5" w:rsidRPr="009642F7" w:rsidRDefault="008B2BB5" w:rsidP="00B31A24">
            <w:pPr>
              <w:snapToGrid w:val="0"/>
              <w:jc w:val="center"/>
              <w:rPr>
                <w:rFonts w:ascii="Times New Roman" w:hAnsi="Times New Roman" w:cs="Times New Roman"/>
                <w:sz w:val="20"/>
                <w:szCs w:val="21"/>
              </w:rPr>
            </w:pPr>
          </w:p>
        </w:tc>
        <w:tc>
          <w:tcPr>
            <w:tcW w:w="404" w:type="pct"/>
            <w:tcBorders>
              <w:top w:val="nil"/>
              <w:left w:val="nil"/>
              <w:bottom w:val="single" w:sz="4" w:space="0" w:color="auto"/>
              <w:right w:val="nil"/>
            </w:tcBorders>
            <w:shd w:val="clear" w:color="auto" w:fill="auto"/>
            <w:noWrap/>
            <w:vAlign w:val="center"/>
            <w:hideMark/>
          </w:tcPr>
          <w:p w14:paraId="447D19E4" w14:textId="77777777" w:rsidR="008B2BB5" w:rsidRPr="009642F7" w:rsidRDefault="008B2BB5" w:rsidP="00B31A24">
            <w:pPr>
              <w:snapToGrid w:val="0"/>
              <w:jc w:val="center"/>
              <w:rPr>
                <w:rFonts w:ascii="Times New Roman" w:eastAsia="HeiT" w:hAnsi="Times New Roman" w:cs="Times New Roman"/>
                <w:sz w:val="20"/>
                <w:szCs w:val="21"/>
              </w:rPr>
            </w:pPr>
            <w:r w:rsidRPr="009642F7">
              <w:rPr>
                <w:rFonts w:ascii="Times New Roman" w:eastAsia="HeiT" w:hAnsi="Times New Roman" w:cs="Times New Roman"/>
                <w:sz w:val="20"/>
                <w:szCs w:val="21"/>
              </w:rPr>
              <w:t>18</w:t>
            </w:r>
            <w:r w:rsidR="009C10FA" w:rsidRPr="009642F7">
              <w:rPr>
                <w:rFonts w:ascii="Times New Roman" w:eastAsia="HeiT" w:hAnsi="Times New Roman" w:cs="Times New Roman"/>
                <w:sz w:val="20"/>
                <w:szCs w:val="21"/>
              </w:rPr>
              <w:t>.</w:t>
            </w:r>
            <w:r w:rsidRPr="009642F7">
              <w:rPr>
                <w:rFonts w:ascii="Times New Roman" w:eastAsia="HeiT" w:hAnsi="Times New Roman" w:cs="Times New Roman"/>
                <w:sz w:val="20"/>
                <w:szCs w:val="21"/>
              </w:rPr>
              <w:t>92</w:t>
            </w:r>
            <w:r w:rsidR="009C10FA" w:rsidRPr="009642F7">
              <w:rPr>
                <w:rFonts w:ascii="Times New Roman" w:eastAsia="HeiT" w:hAnsi="Times New Roman" w:cs="Times New Roman"/>
                <w:sz w:val="20"/>
                <w:szCs w:val="21"/>
              </w:rPr>
              <w:t>%</w:t>
            </w:r>
          </w:p>
        </w:tc>
        <w:tc>
          <w:tcPr>
            <w:tcW w:w="415" w:type="pct"/>
            <w:tcBorders>
              <w:top w:val="nil"/>
              <w:left w:val="nil"/>
              <w:bottom w:val="single" w:sz="4" w:space="0" w:color="auto"/>
              <w:right w:val="nil"/>
            </w:tcBorders>
            <w:shd w:val="clear" w:color="auto" w:fill="auto"/>
            <w:noWrap/>
            <w:vAlign w:val="center"/>
            <w:hideMark/>
          </w:tcPr>
          <w:p w14:paraId="0E5714E0" w14:textId="77777777" w:rsidR="008B2BB5" w:rsidRPr="009642F7" w:rsidRDefault="008B2BB5" w:rsidP="00B31A24">
            <w:pPr>
              <w:snapToGrid w:val="0"/>
              <w:rPr>
                <w:rFonts w:ascii="Times New Roman" w:hAnsi="Times New Roman" w:cs="Times New Roman"/>
                <w:sz w:val="20"/>
                <w:szCs w:val="21"/>
              </w:rPr>
            </w:pPr>
            <w:r w:rsidRPr="009642F7">
              <w:rPr>
                <w:rFonts w:ascii="Times New Roman" w:hAnsi="Times New Roman" w:cs="Times New Roman"/>
                <w:sz w:val="20"/>
                <w:szCs w:val="21"/>
              </w:rPr>
              <w:t xml:space="preserve">　</w:t>
            </w:r>
          </w:p>
        </w:tc>
        <w:tc>
          <w:tcPr>
            <w:tcW w:w="505" w:type="pct"/>
            <w:tcBorders>
              <w:top w:val="nil"/>
              <w:left w:val="nil"/>
              <w:bottom w:val="single" w:sz="4" w:space="0" w:color="auto"/>
              <w:right w:val="nil"/>
            </w:tcBorders>
            <w:shd w:val="clear" w:color="auto" w:fill="auto"/>
            <w:noWrap/>
            <w:vAlign w:val="center"/>
            <w:hideMark/>
          </w:tcPr>
          <w:p w14:paraId="3DC88F12" w14:textId="77777777" w:rsidR="008B2BB5" w:rsidRPr="009642F7" w:rsidRDefault="008B2BB5" w:rsidP="00B31A24">
            <w:pPr>
              <w:snapToGrid w:val="0"/>
              <w:rPr>
                <w:rFonts w:ascii="Times New Roman" w:hAnsi="Times New Roman" w:cs="Times New Roman"/>
                <w:sz w:val="20"/>
                <w:szCs w:val="21"/>
              </w:rPr>
            </w:pPr>
            <w:r w:rsidRPr="009642F7">
              <w:rPr>
                <w:rFonts w:ascii="Times New Roman" w:hAnsi="Times New Roman" w:cs="Times New Roman"/>
                <w:sz w:val="20"/>
                <w:szCs w:val="21"/>
              </w:rPr>
              <w:t xml:space="preserve">　</w:t>
            </w:r>
          </w:p>
        </w:tc>
      </w:tr>
    </w:tbl>
    <w:p w14:paraId="02CB46F8" w14:textId="77777777" w:rsidR="008B2BB5" w:rsidRPr="009642F7" w:rsidRDefault="008B2BB5">
      <w:pPr>
        <w:rPr>
          <w:rFonts w:ascii="Times New Roman" w:hAnsi="Times New Roman" w:cs="Times New Roman"/>
        </w:rPr>
      </w:pPr>
    </w:p>
    <w:p w14:paraId="4B6E38B0" w14:textId="77777777" w:rsidR="00513AE7" w:rsidRPr="009642F7" w:rsidRDefault="00513AE7">
      <w:pPr>
        <w:rPr>
          <w:rFonts w:ascii="Times New Roman" w:hAnsi="Times New Roman" w:cs="Times New Roman"/>
        </w:rPr>
      </w:pPr>
    </w:p>
    <w:p w14:paraId="5E81924D" w14:textId="77777777" w:rsidR="0097163A" w:rsidRPr="009642F7" w:rsidRDefault="0097163A">
      <w:pPr>
        <w:rPr>
          <w:rFonts w:ascii="Times New Roman" w:hAnsi="Times New Roman" w:cs="Times New Roman"/>
        </w:rPr>
      </w:pPr>
    </w:p>
    <w:p w14:paraId="2BD68710" w14:textId="77777777" w:rsidR="0097163A" w:rsidRPr="009642F7" w:rsidRDefault="0097163A">
      <w:pPr>
        <w:rPr>
          <w:rFonts w:ascii="Times New Roman" w:hAnsi="Times New Roman" w:cs="Times New Roman"/>
        </w:rPr>
      </w:pPr>
      <w:r w:rsidRPr="009642F7">
        <w:rPr>
          <w:rFonts w:ascii="Times New Roman" w:hAnsi="Times New Roman" w:cs="Times New Roman"/>
        </w:rPr>
        <w:br w:type="page"/>
      </w:r>
    </w:p>
    <w:tbl>
      <w:tblPr>
        <w:tblW w:w="5000" w:type="pct"/>
        <w:tblCellMar>
          <w:left w:w="28" w:type="dxa"/>
          <w:right w:w="28" w:type="dxa"/>
        </w:tblCellMar>
        <w:tblLook w:val="04A0" w:firstRow="1" w:lastRow="0" w:firstColumn="1" w:lastColumn="0" w:noHBand="0" w:noVBand="1"/>
      </w:tblPr>
      <w:tblGrid>
        <w:gridCol w:w="3459"/>
        <w:gridCol w:w="2385"/>
        <w:gridCol w:w="1123"/>
        <w:gridCol w:w="1123"/>
        <w:gridCol w:w="1548"/>
      </w:tblGrid>
      <w:tr w:rsidR="009642F7" w:rsidRPr="009642F7" w14:paraId="510D74FF" w14:textId="77777777" w:rsidTr="003E70AA">
        <w:tc>
          <w:tcPr>
            <w:tcW w:w="5000" w:type="pct"/>
            <w:gridSpan w:val="5"/>
            <w:tcBorders>
              <w:top w:val="nil"/>
              <w:left w:val="nil"/>
              <w:bottom w:val="single" w:sz="4" w:space="0" w:color="auto"/>
              <w:right w:val="nil"/>
            </w:tcBorders>
            <w:shd w:val="clear" w:color="auto" w:fill="auto"/>
            <w:noWrap/>
            <w:vAlign w:val="center"/>
          </w:tcPr>
          <w:p w14:paraId="60084AA6" w14:textId="77777777" w:rsidR="003E70AA" w:rsidRPr="009642F7" w:rsidRDefault="003E70AA" w:rsidP="00917159">
            <w:pPr>
              <w:snapToGrid w:val="0"/>
              <w:jc w:val="center"/>
              <w:rPr>
                <w:rFonts w:ascii="Times New Roman" w:hAnsi="Times New Roman" w:cs="Times New Roman"/>
                <w:b/>
                <w:sz w:val="23"/>
                <w:szCs w:val="23"/>
              </w:rPr>
            </w:pPr>
            <w:r w:rsidRPr="009642F7">
              <w:rPr>
                <w:rFonts w:ascii="Times New Roman" w:hAnsi="Times New Roman" w:cs="Times New Roman"/>
                <w:b/>
                <w:sz w:val="23"/>
                <w:szCs w:val="23"/>
              </w:rPr>
              <w:lastRenderedPageBreak/>
              <w:t>Table 5. Robustness Check</w:t>
            </w:r>
          </w:p>
          <w:p w14:paraId="3924BA57" w14:textId="5C5172D2" w:rsidR="003E70AA" w:rsidRPr="009642F7" w:rsidRDefault="00A075D5" w:rsidP="00917159">
            <w:pPr>
              <w:snapToGrid w:val="0"/>
              <w:jc w:val="both"/>
              <w:rPr>
                <w:rFonts w:ascii="Times New Roman" w:hAnsi="Times New Roman" w:cs="Times New Roman"/>
                <w:sz w:val="23"/>
                <w:szCs w:val="23"/>
              </w:rPr>
            </w:pPr>
            <w:r w:rsidRPr="009642F7">
              <w:rPr>
                <w:rFonts w:ascii="Times New Roman" w:hAnsi="Times New Roman" w:cs="Times New Roman"/>
              </w:rPr>
              <w:t xml:space="preserve">This table reports the results of a set of robustness tests. Model (1) </w:t>
            </w:r>
            <w:r w:rsidR="000C4AD7" w:rsidRPr="009642F7">
              <w:rPr>
                <w:rFonts w:ascii="Times New Roman" w:hAnsi="Times New Roman" w:cs="Times New Roman"/>
              </w:rPr>
              <w:t xml:space="preserve">employs excess media coverage in year </w:t>
            </w:r>
            <m:oMath>
              <m:r>
                <w:rPr>
                  <w:rFonts w:ascii="Cambria Math" w:hAnsi="Cambria Math" w:cs="Times New Roman"/>
                </w:rPr>
                <m:t>t-n</m:t>
              </m:r>
            </m:oMath>
            <w:r w:rsidR="000C4AD7" w:rsidRPr="009642F7">
              <w:rPr>
                <w:rFonts w:ascii="Times New Roman" w:hAnsi="Times New Roman" w:cs="Times New Roman"/>
              </w:rPr>
              <w:t xml:space="preserve"> (</w:t>
            </w:r>
            <m:oMath>
              <m:sSub>
                <m:sSubPr>
                  <m:ctrlPr>
                    <w:rPr>
                      <w:rFonts w:ascii="Cambria Math" w:hAnsi="Cambria Math" w:cs="Times New Roman"/>
                      <w:i/>
                    </w:rPr>
                  </m:ctrlPr>
                </m:sSubPr>
                <m:e>
                  <m:r>
                    <w:rPr>
                      <w:rFonts w:ascii="Cambria Math" w:eastAsia="HeiT" w:hAnsi="Cambria Math" w:cs="Times New Roman"/>
                    </w:rPr>
                    <m:t>LnX</m:t>
                  </m:r>
                  <m:r>
                    <w:rPr>
                      <w:rFonts w:ascii="Cambria Math" w:hAnsi="Cambria Math" w:cs="Times New Roman"/>
                    </w:rPr>
                    <m:t>Media</m:t>
                  </m:r>
                </m:e>
                <m:sub>
                  <m:r>
                    <w:rPr>
                      <w:rFonts w:ascii="Cambria Math" w:hAnsi="Cambria Math" w:cs="Times New Roman"/>
                    </w:rPr>
                    <m:t>i,t-n</m:t>
                  </m:r>
                </m:sub>
              </m:sSub>
            </m:oMath>
            <w:r w:rsidR="000C4AD7" w:rsidRPr="009642F7">
              <w:rPr>
                <w:rFonts w:ascii="Times New Roman" w:hAnsi="Times New Roman" w:cs="Times New Roman"/>
              </w:rPr>
              <w:t>) as the main explanatory variable. Following Chen, Pantzalis, and Park (2013), we measure excess media coverage as the difference between expected and actual counts of media articles, that is, the residual value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0C4AD7" w:rsidRPr="009642F7">
              <w:rPr>
                <w:rFonts w:ascii="Times New Roman" w:hAnsi="Times New Roman" w:cs="Times New Roman"/>
              </w:rPr>
              <w:t>) in the following regression equation (estimated every year):</w:t>
            </w:r>
            <m:oMath>
              <m:r>
                <w:rPr>
                  <w:rFonts w:ascii="Cambria Math" w:hAnsi="Cambria Math" w:cs="Times New Roman"/>
                </w:rPr>
                <m:t xml:space="preserve"> Ln</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Media</m:t>
                      </m:r>
                    </m:e>
                    <m:sub>
                      <m:r>
                        <w:rPr>
                          <w:rFonts w:ascii="Cambria Math" w:hAnsi="Cambria Math" w:cs="Times New Roman"/>
                        </w:rPr>
                        <m:t>i,t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eastAsia="HeiT" w:hAnsi="Cambria Math" w:cs="Times New Roman"/>
                    </w:rPr>
                    <m:t>Ln</m:t>
                  </m:r>
                  <m:r>
                    <w:rPr>
                      <w:rFonts w:ascii="Cambria Math" w:hAnsi="Cambria Math" w:cs="Times New Roman"/>
                    </w:rPr>
                    <m:t>TA</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0C4AD7" w:rsidRPr="009642F7">
              <w:rPr>
                <w:rFonts w:ascii="Times New Roman" w:hAnsi="Times New Roman" w:cs="Times New Roman"/>
              </w:rPr>
              <w:t xml:space="preserve">, where </w:t>
            </w:r>
            <m:oMath>
              <m:sSub>
                <m:sSubPr>
                  <m:ctrlPr>
                    <w:rPr>
                      <w:rFonts w:ascii="Cambria Math" w:hAnsi="Cambria Math" w:cs="Times New Roman"/>
                      <w:i/>
                    </w:rPr>
                  </m:ctrlPr>
                </m:sSubPr>
                <m:e>
                  <m:r>
                    <w:rPr>
                      <w:rFonts w:ascii="Cambria Math" w:eastAsia="HeiT" w:hAnsi="Cambria Math" w:cs="Times New Roman"/>
                    </w:rPr>
                    <m:t>Ln</m:t>
                  </m:r>
                  <m:r>
                    <w:rPr>
                      <w:rFonts w:ascii="Cambria Math" w:hAnsi="Cambria Math" w:cs="Times New Roman"/>
                    </w:rPr>
                    <m:t>TA</m:t>
                  </m:r>
                </m:e>
                <m:sub>
                  <m:r>
                    <w:rPr>
                      <w:rFonts w:ascii="Cambria Math" w:hAnsi="Cambria Math" w:cs="Times New Roman"/>
                    </w:rPr>
                    <m:t>i,t</m:t>
                  </m:r>
                </m:sub>
              </m:sSub>
            </m:oMath>
            <w:r w:rsidR="000C4AD7" w:rsidRPr="009642F7">
              <w:rPr>
                <w:rFonts w:ascii="Times New Roman" w:hAnsi="Times New Roman" w:cs="Times New Roman"/>
              </w:rPr>
              <w:t xml:space="preserve"> </w:t>
            </w:r>
            <w:r w:rsidR="00234170" w:rsidRPr="009642F7">
              <w:rPr>
                <w:rFonts w:ascii="Times New Roman" w:hAnsi="Times New Roman" w:cs="Times New Roman"/>
              </w:rPr>
              <w:t xml:space="preserve">is the log of total asset for firm </w:t>
            </w:r>
            <w:r w:rsidR="00234170" w:rsidRPr="009642F7">
              <w:rPr>
                <w:rFonts w:ascii="Times New Roman" w:hAnsi="Times New Roman" w:cs="Times New Roman"/>
                <w:i/>
              </w:rPr>
              <w:t xml:space="preserve">i </w:t>
            </w:r>
            <w:r w:rsidR="00234170" w:rsidRPr="009642F7">
              <w:rPr>
                <w:rFonts w:ascii="Times New Roman" w:hAnsi="Times New Roman" w:cs="Times New Roman"/>
              </w:rPr>
              <w:t xml:space="preserve">in year </w:t>
            </w:r>
            <w:r w:rsidR="00234170" w:rsidRPr="009642F7">
              <w:rPr>
                <w:rFonts w:ascii="Times New Roman" w:hAnsi="Times New Roman" w:cs="Times New Roman"/>
                <w:i/>
              </w:rPr>
              <w:t>t</w:t>
            </w:r>
            <w:r w:rsidR="00234170" w:rsidRPr="009642F7">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j</m:t>
                  </m:r>
                </m:sub>
              </m:sSub>
            </m:oMath>
            <w:r w:rsidR="00234170" w:rsidRPr="009642F7">
              <w:rPr>
                <w:rFonts w:ascii="Times New Roman" w:hAnsi="Times New Roman" w:cs="Times New Roman"/>
              </w:rPr>
              <w:t xml:space="preserve"> is a vector of industry dummy variables </w:t>
            </w:r>
            <w:r w:rsidR="00424BD1" w:rsidRPr="009642F7">
              <w:rPr>
                <w:rFonts w:ascii="Times New Roman" w:hAnsi="Times New Roman" w:cs="Times New Roman"/>
              </w:rPr>
              <w:t xml:space="preserve">for industry </w:t>
            </w:r>
            <w:r w:rsidR="00424BD1" w:rsidRPr="009642F7">
              <w:rPr>
                <w:rFonts w:ascii="Times New Roman" w:hAnsi="Times New Roman" w:cs="Times New Roman"/>
                <w:i/>
              </w:rPr>
              <w:t>j</w:t>
            </w:r>
            <w:r w:rsidR="00424BD1" w:rsidRPr="009642F7">
              <w:rPr>
                <w:rFonts w:ascii="Times New Roman" w:hAnsi="Times New Roman" w:cs="Times New Roman"/>
              </w:rPr>
              <w:t xml:space="preserve"> </w:t>
            </w:r>
            <w:r w:rsidR="00234170" w:rsidRPr="009642F7">
              <w:rPr>
                <w:rFonts w:ascii="Times New Roman" w:hAnsi="Times New Roman" w:cs="Times New Roman"/>
              </w:rPr>
              <w:t>(the TWSE two-digit industrial codes). Models (2) and (3) replicate Probit regression in Model (3) of Table 4, separately for two sub-periods: 2000−2010 and 2011−2021. Model (4) re-estimates Model (3) of Table 4 based upon the Logistic regression specification.</w:t>
            </w:r>
            <w:r w:rsidR="00234170" w:rsidRPr="009642F7">
              <w:rPr>
                <w:rFonts w:ascii="Times New Roman" w:hAnsi="Times New Roman" w:cs="Times New Roman"/>
                <w:noProof/>
              </w:rPr>
              <w:t xml:space="preserve"> Our sample contains the TWSE/TPEx stocks during the period of 2000</w:t>
            </w:r>
            <w:r w:rsidR="00234170" w:rsidRPr="009642F7">
              <w:rPr>
                <w:rFonts w:ascii="Times New Roman" w:hAnsi="Times New Roman" w:cs="Times New Roman"/>
                <w:bCs/>
                <w:noProof/>
              </w:rPr>
              <w:t>−</w:t>
            </w:r>
            <w:r w:rsidR="00234170" w:rsidRPr="009642F7">
              <w:rPr>
                <w:rFonts w:ascii="Times New Roman" w:hAnsi="Times New Roman" w:cs="Times New Roman"/>
                <w:noProof/>
              </w:rPr>
              <w:t xml:space="preserve">2021. </w:t>
            </w:r>
            <w:r w:rsidR="00234170" w:rsidRPr="009642F7">
              <w:rPr>
                <w:rFonts w:ascii="Times New Roman" w:hAnsi="Times New Roman" w:cs="Times New Roman"/>
                <w:bCs/>
                <w:noProof/>
              </w:rPr>
              <w:t>S</w:t>
            </w:r>
            <w:r w:rsidR="00234170" w:rsidRPr="009642F7">
              <w:rPr>
                <w:rFonts w:ascii="Times New Roman" w:hAnsi="Times New Roman" w:cs="Times New Roman"/>
                <w:noProof/>
              </w:rPr>
              <w:t xml:space="preserve">tocks in financial industries (two-digit industrial </w:t>
            </w:r>
            <w:r w:rsidR="00234170" w:rsidRPr="009642F7">
              <w:rPr>
                <w:rFonts w:ascii="Times New Roman" w:hAnsi="Times New Roman" w:cs="Times New Roman"/>
                <w:noProof/>
                <w:shd w:val="clear" w:color="auto" w:fill="FFFFFF"/>
              </w:rPr>
              <w:t>codes</w:t>
            </w:r>
            <w:r w:rsidR="00234170" w:rsidRPr="009642F7">
              <w:rPr>
                <w:rFonts w:ascii="Times New Roman" w:hAnsi="Times New Roman" w:cs="Times New Roman"/>
                <w:noProof/>
              </w:rPr>
              <w:t xml:space="preserve"> 28, 58, and 60) are deleted.</w:t>
            </w:r>
            <w:r w:rsidR="00234170" w:rsidRPr="009642F7">
              <w:rPr>
                <w:rFonts w:ascii="Times New Roman" w:hAnsi="Times New Roman" w:cs="Times New Roman"/>
              </w:rPr>
              <w:t xml:space="preserve"> To save space, only the coefficients on </w:t>
            </w:r>
            <m:oMath>
              <m:sSub>
                <m:sSubPr>
                  <m:ctrlPr>
                    <w:rPr>
                      <w:rFonts w:ascii="Cambria Math" w:eastAsia="HeiT" w:hAnsi="Cambria Math" w:cs="Times New Roman"/>
                      <w:i/>
                    </w:rPr>
                  </m:ctrlPr>
                </m:sSubPr>
                <m:e>
                  <m:r>
                    <w:rPr>
                      <w:rFonts w:ascii="Cambria Math" w:eastAsia="HeiT" w:hAnsi="Cambria Math" w:cs="Times New Roman"/>
                    </w:rPr>
                    <m:t>Ln</m:t>
                  </m:r>
                  <m:r>
                    <w:rPr>
                      <w:rFonts w:ascii="Cambria Math" w:hAnsi="Cambria Math" w:cs="Times New Roman"/>
                    </w:rPr>
                    <m:t>Media</m:t>
                  </m:r>
                </m:e>
                <m:sub>
                  <m:r>
                    <w:rPr>
                      <w:rFonts w:ascii="Cambria Math" w:eastAsia="HeiT" w:hAnsi="Cambria Math" w:cs="Times New Roman"/>
                    </w:rPr>
                    <m:t>i,t-1</m:t>
                  </m:r>
                </m:sub>
              </m:sSub>
            </m:oMath>
            <w:r w:rsidR="00234170" w:rsidRPr="009642F7">
              <w:rPr>
                <w:rFonts w:ascii="Times New Roman" w:hAnsi="Times New Roman" w:cs="Times New Roman"/>
              </w:rPr>
              <w:t xml:space="preserve">, and their </w:t>
            </w:r>
            <w:r w:rsidR="00234170" w:rsidRPr="009642F7">
              <w:rPr>
                <w:rFonts w:ascii="Times New Roman" w:hAnsi="Times New Roman" w:cs="Times New Roman"/>
                <w:i/>
              </w:rPr>
              <w:t>p</w:t>
            </w:r>
            <w:r w:rsidR="00234170" w:rsidRPr="009642F7">
              <w:rPr>
                <w:rFonts w:ascii="Times New Roman" w:hAnsi="Times New Roman" w:cs="Times New Roman"/>
              </w:rPr>
              <w:t>-value</w:t>
            </w:r>
            <w:r w:rsidR="00234170" w:rsidRPr="009642F7">
              <w:rPr>
                <w:rFonts w:ascii="Times New Roman" w:eastAsia="HeiT" w:hAnsi="Times New Roman" w:cs="Times New Roman"/>
                <w:bCs/>
              </w:rPr>
              <w:t xml:space="preserve"> for t</w:t>
            </w:r>
            <w:r w:rsidR="00234170" w:rsidRPr="009642F7">
              <w:rPr>
                <w:rFonts w:ascii="Times New Roman" w:hAnsi="Times New Roman" w:cs="Times New Roman"/>
              </w:rPr>
              <w:t xml:space="preserve">he Wald chi-square of the estimated coefficients (in the parentheses) are reported. ** and *** denote significance levels of 5% and 1%, respectively. </w:t>
            </w:r>
            <w:r w:rsidR="00234170" w:rsidRPr="009642F7">
              <w:rPr>
                <w:rFonts w:ascii="Times New Roman" w:hAnsi="Times New Roman" w:cs="Times New Roman"/>
                <w:bCs/>
                <w:i/>
                <w:noProof/>
              </w:rPr>
              <w:t>N</w:t>
            </w:r>
            <w:r w:rsidR="00234170" w:rsidRPr="009642F7">
              <w:rPr>
                <w:rFonts w:ascii="Times New Roman" w:hAnsi="Times New Roman" w:cs="Times New Roman"/>
                <w:bCs/>
                <w:noProof/>
              </w:rPr>
              <w:t xml:space="preserve"> are firm-year observations. </w:t>
            </w:r>
            <w:r w:rsidR="00234170" w:rsidRPr="009642F7">
              <w:rPr>
                <w:rFonts w:ascii="Times New Roman" w:hAnsi="Times New Roman" w:cs="Times New Roman"/>
                <w:noProof/>
              </w:rPr>
              <w:t>All data are from the TEJ database.</w:t>
            </w:r>
          </w:p>
        </w:tc>
      </w:tr>
      <w:tr w:rsidR="009642F7" w:rsidRPr="009642F7" w14:paraId="054DF131" w14:textId="77777777" w:rsidTr="003E70AA">
        <w:tc>
          <w:tcPr>
            <w:tcW w:w="1811" w:type="pct"/>
            <w:tcBorders>
              <w:top w:val="nil"/>
              <w:left w:val="nil"/>
              <w:bottom w:val="single" w:sz="4" w:space="0" w:color="auto"/>
              <w:right w:val="nil"/>
            </w:tcBorders>
            <w:shd w:val="clear" w:color="auto" w:fill="auto"/>
            <w:noWrap/>
            <w:vAlign w:val="center"/>
            <w:hideMark/>
          </w:tcPr>
          <w:p w14:paraId="0C4E28DE" w14:textId="77777777" w:rsidR="00277281" w:rsidRPr="009642F7" w:rsidRDefault="00277281" w:rsidP="00917159">
            <w:pPr>
              <w:snapToGrid w:val="0"/>
              <w:rPr>
                <w:rFonts w:ascii="Times New Roman" w:hAnsi="Times New Roman" w:cs="Times New Roman"/>
                <w:sz w:val="23"/>
                <w:szCs w:val="23"/>
              </w:rPr>
            </w:pPr>
          </w:p>
        </w:tc>
        <w:tc>
          <w:tcPr>
            <w:tcW w:w="1242" w:type="pct"/>
            <w:tcBorders>
              <w:top w:val="nil"/>
              <w:left w:val="nil"/>
              <w:bottom w:val="single" w:sz="4" w:space="0" w:color="auto"/>
              <w:right w:val="nil"/>
            </w:tcBorders>
            <w:shd w:val="clear" w:color="auto" w:fill="auto"/>
            <w:noWrap/>
            <w:vAlign w:val="center"/>
            <w:hideMark/>
          </w:tcPr>
          <w:p w14:paraId="2D82720A"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Excess</w:t>
            </w:r>
            <w:r w:rsidR="003E70AA" w:rsidRPr="009642F7">
              <w:rPr>
                <w:rFonts w:ascii="Times New Roman" w:hAnsi="Times New Roman" w:cs="Times New Roman"/>
                <w:sz w:val="23"/>
                <w:szCs w:val="23"/>
              </w:rPr>
              <w:t xml:space="preserve"> </w:t>
            </w:r>
            <w:r w:rsidRPr="009642F7">
              <w:rPr>
                <w:rFonts w:ascii="Times New Roman" w:hAnsi="Times New Roman" w:cs="Times New Roman"/>
                <w:sz w:val="23"/>
                <w:szCs w:val="23"/>
              </w:rPr>
              <w:t>Media Coverage</w:t>
            </w:r>
          </w:p>
          <w:p w14:paraId="005DB59D"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(1)</w:t>
            </w:r>
          </w:p>
        </w:tc>
        <w:tc>
          <w:tcPr>
            <w:tcW w:w="574" w:type="pct"/>
            <w:tcBorders>
              <w:top w:val="nil"/>
              <w:left w:val="nil"/>
              <w:bottom w:val="single" w:sz="4" w:space="0" w:color="auto"/>
              <w:right w:val="nil"/>
            </w:tcBorders>
          </w:tcPr>
          <w:p w14:paraId="260D028E"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2000-2010</w:t>
            </w:r>
          </w:p>
          <w:p w14:paraId="5C27D61B"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(2)</w:t>
            </w:r>
          </w:p>
        </w:tc>
        <w:tc>
          <w:tcPr>
            <w:tcW w:w="574" w:type="pct"/>
            <w:tcBorders>
              <w:top w:val="nil"/>
              <w:left w:val="nil"/>
              <w:bottom w:val="single" w:sz="4" w:space="0" w:color="auto"/>
              <w:right w:val="nil"/>
            </w:tcBorders>
          </w:tcPr>
          <w:p w14:paraId="7F4DADD6"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2011-2021</w:t>
            </w:r>
          </w:p>
          <w:p w14:paraId="6212D763"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(3)</w:t>
            </w:r>
          </w:p>
        </w:tc>
        <w:tc>
          <w:tcPr>
            <w:tcW w:w="800" w:type="pct"/>
            <w:tcBorders>
              <w:top w:val="nil"/>
              <w:left w:val="nil"/>
              <w:bottom w:val="single" w:sz="4" w:space="0" w:color="auto"/>
              <w:right w:val="nil"/>
            </w:tcBorders>
          </w:tcPr>
          <w:p w14:paraId="07DDD97E"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 xml:space="preserve">Logistic </w:t>
            </w:r>
            <w:r w:rsidR="00765046" w:rsidRPr="009642F7">
              <w:rPr>
                <w:rFonts w:ascii="Times New Roman" w:hAnsi="Times New Roman" w:cs="Times New Roman"/>
                <w:sz w:val="23"/>
                <w:szCs w:val="23"/>
              </w:rPr>
              <w:t xml:space="preserve">Model </w:t>
            </w:r>
          </w:p>
          <w:p w14:paraId="64ED7928"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(4)</w:t>
            </w:r>
          </w:p>
        </w:tc>
      </w:tr>
      <w:tr w:rsidR="009642F7" w:rsidRPr="009642F7" w14:paraId="7AEFE422" w14:textId="77777777" w:rsidTr="003E70AA">
        <w:tc>
          <w:tcPr>
            <w:tcW w:w="1811" w:type="pct"/>
            <w:tcBorders>
              <w:top w:val="nil"/>
              <w:left w:val="nil"/>
              <w:bottom w:val="nil"/>
              <w:right w:val="nil"/>
            </w:tcBorders>
            <w:shd w:val="clear" w:color="auto" w:fill="auto"/>
            <w:hideMark/>
          </w:tcPr>
          <w:p w14:paraId="1A2A895E" w14:textId="77777777" w:rsidR="00277281" w:rsidRPr="009642F7" w:rsidRDefault="00277281" w:rsidP="00917159">
            <w:pPr>
              <w:snapToGrid w:val="0"/>
              <w:rPr>
                <w:rFonts w:ascii="Times New Roman" w:eastAsia="HeiT" w:hAnsi="Times New Roman" w:cs="Times New Roman"/>
                <w:bCs/>
                <w:i/>
                <w:sz w:val="23"/>
                <w:szCs w:val="23"/>
              </w:rPr>
            </w:pPr>
            <w:r w:rsidRPr="009642F7">
              <w:rPr>
                <w:rFonts w:ascii="Times New Roman" w:eastAsia="HeiT" w:hAnsi="Times New Roman" w:cs="Times New Roman"/>
                <w:bCs/>
                <w:i/>
                <w:sz w:val="23"/>
                <w:szCs w:val="23"/>
              </w:rPr>
              <w:t>LnXMedia</w:t>
            </w:r>
          </w:p>
        </w:tc>
        <w:tc>
          <w:tcPr>
            <w:tcW w:w="1242" w:type="pct"/>
            <w:tcBorders>
              <w:top w:val="nil"/>
              <w:left w:val="nil"/>
              <w:bottom w:val="nil"/>
              <w:right w:val="nil"/>
            </w:tcBorders>
            <w:shd w:val="clear" w:color="auto" w:fill="auto"/>
            <w:hideMark/>
          </w:tcPr>
          <w:p w14:paraId="6CE4A733" w14:textId="77777777" w:rsidR="00277281" w:rsidRPr="009642F7" w:rsidRDefault="00277281"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0.161</w:t>
            </w:r>
          </w:p>
        </w:tc>
        <w:tc>
          <w:tcPr>
            <w:tcW w:w="574" w:type="pct"/>
            <w:tcBorders>
              <w:top w:val="nil"/>
              <w:left w:val="nil"/>
              <w:bottom w:val="nil"/>
              <w:right w:val="nil"/>
            </w:tcBorders>
          </w:tcPr>
          <w:p w14:paraId="1AEF3761"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662C54C9" w14:textId="77777777" w:rsidR="00277281" w:rsidRPr="009642F7" w:rsidRDefault="00277281" w:rsidP="00917159">
            <w:pPr>
              <w:snapToGrid w:val="0"/>
              <w:jc w:val="center"/>
              <w:rPr>
                <w:rFonts w:ascii="Times New Roman" w:eastAsia="HeiT" w:hAnsi="Times New Roman" w:cs="Times New Roman"/>
                <w:sz w:val="23"/>
                <w:szCs w:val="23"/>
              </w:rPr>
            </w:pPr>
          </w:p>
        </w:tc>
        <w:tc>
          <w:tcPr>
            <w:tcW w:w="800" w:type="pct"/>
            <w:tcBorders>
              <w:top w:val="nil"/>
              <w:left w:val="nil"/>
              <w:bottom w:val="nil"/>
              <w:right w:val="nil"/>
            </w:tcBorders>
          </w:tcPr>
          <w:p w14:paraId="4DBD86F9" w14:textId="77777777" w:rsidR="00277281" w:rsidRPr="009642F7" w:rsidRDefault="00277281" w:rsidP="00917159">
            <w:pPr>
              <w:snapToGrid w:val="0"/>
              <w:jc w:val="center"/>
              <w:rPr>
                <w:rFonts w:ascii="Times New Roman" w:eastAsia="HeiT" w:hAnsi="Times New Roman" w:cs="Times New Roman"/>
                <w:sz w:val="23"/>
                <w:szCs w:val="23"/>
              </w:rPr>
            </w:pPr>
          </w:p>
        </w:tc>
      </w:tr>
      <w:tr w:rsidR="009642F7" w:rsidRPr="009642F7" w14:paraId="734A5FF1" w14:textId="77777777" w:rsidTr="003E70AA">
        <w:tc>
          <w:tcPr>
            <w:tcW w:w="1811" w:type="pct"/>
            <w:tcBorders>
              <w:top w:val="nil"/>
              <w:left w:val="nil"/>
              <w:bottom w:val="nil"/>
              <w:right w:val="nil"/>
            </w:tcBorders>
            <w:shd w:val="clear" w:color="auto" w:fill="auto"/>
            <w:noWrap/>
            <w:vAlign w:val="center"/>
            <w:hideMark/>
          </w:tcPr>
          <w:p w14:paraId="600FD8D9" w14:textId="77777777" w:rsidR="00277281" w:rsidRPr="009642F7" w:rsidRDefault="00277281" w:rsidP="00917159">
            <w:pPr>
              <w:snapToGrid w:val="0"/>
              <w:rPr>
                <w:rFonts w:ascii="Times New Roman" w:hAnsi="Times New Roman" w:cs="Times New Roman"/>
                <w:sz w:val="23"/>
                <w:szCs w:val="23"/>
              </w:rPr>
            </w:pPr>
            <w:r w:rsidRPr="009642F7">
              <w:rPr>
                <w:rFonts w:ascii="Times New Roman" w:eastAsia="HeiT" w:hAnsi="Times New Roman" w:cs="Times New Roman"/>
                <w:bCs/>
                <w:sz w:val="23"/>
                <w:szCs w:val="23"/>
              </w:rPr>
              <w:t xml:space="preserve">Wald </w:t>
            </w:r>
            <m:oMath>
              <m:sSup>
                <m:sSupPr>
                  <m:ctrlPr>
                    <w:rPr>
                      <w:rFonts w:ascii="Cambria Math" w:eastAsia="HeiT" w:hAnsi="Cambria Math" w:cs="Times New Roman"/>
                      <w:bCs/>
                      <w:sz w:val="23"/>
                      <w:szCs w:val="23"/>
                    </w:rPr>
                  </m:ctrlPr>
                </m:sSupPr>
                <m:e>
                  <m:r>
                    <m:rPr>
                      <m:sty m:val="p"/>
                    </m:rPr>
                    <w:rPr>
                      <w:rFonts w:ascii="Cambria Math" w:eastAsia="HeiT" w:hAnsi="Cambria Math" w:cs="Times New Roman"/>
                      <w:sz w:val="23"/>
                      <w:szCs w:val="23"/>
                    </w:rPr>
                    <m:t>χ</m:t>
                  </m:r>
                </m:e>
                <m:sup>
                  <m:r>
                    <w:rPr>
                      <w:rFonts w:ascii="Cambria Math" w:eastAsia="HeiT" w:hAnsi="Cambria Math" w:cs="Times New Roman"/>
                      <w:sz w:val="23"/>
                      <w:szCs w:val="23"/>
                    </w:rPr>
                    <m:t>2</m:t>
                  </m:r>
                </m:sup>
              </m:sSup>
            </m:oMath>
          </w:p>
        </w:tc>
        <w:tc>
          <w:tcPr>
            <w:tcW w:w="1242" w:type="pct"/>
            <w:tcBorders>
              <w:top w:val="nil"/>
              <w:left w:val="nil"/>
              <w:bottom w:val="nil"/>
              <w:right w:val="nil"/>
            </w:tcBorders>
            <w:shd w:val="clear" w:color="auto" w:fill="auto"/>
            <w:hideMark/>
          </w:tcPr>
          <w:p w14:paraId="5AFED745" w14:textId="77777777" w:rsidR="00277281" w:rsidRPr="009642F7" w:rsidRDefault="00277281"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26.70</w:t>
            </w:r>
          </w:p>
        </w:tc>
        <w:tc>
          <w:tcPr>
            <w:tcW w:w="574" w:type="pct"/>
            <w:tcBorders>
              <w:top w:val="nil"/>
              <w:left w:val="nil"/>
              <w:bottom w:val="nil"/>
              <w:right w:val="nil"/>
            </w:tcBorders>
          </w:tcPr>
          <w:p w14:paraId="7D95551E"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64EF650B" w14:textId="77777777" w:rsidR="00277281" w:rsidRPr="009642F7" w:rsidRDefault="00277281" w:rsidP="00917159">
            <w:pPr>
              <w:snapToGrid w:val="0"/>
              <w:jc w:val="center"/>
              <w:rPr>
                <w:rFonts w:ascii="Times New Roman" w:eastAsia="HeiT" w:hAnsi="Times New Roman" w:cs="Times New Roman"/>
                <w:sz w:val="23"/>
                <w:szCs w:val="23"/>
              </w:rPr>
            </w:pPr>
          </w:p>
        </w:tc>
        <w:tc>
          <w:tcPr>
            <w:tcW w:w="800" w:type="pct"/>
            <w:tcBorders>
              <w:top w:val="nil"/>
              <w:left w:val="nil"/>
              <w:bottom w:val="nil"/>
              <w:right w:val="nil"/>
            </w:tcBorders>
          </w:tcPr>
          <w:p w14:paraId="4F044EA8" w14:textId="77777777" w:rsidR="00277281" w:rsidRPr="009642F7" w:rsidRDefault="00277281" w:rsidP="00917159">
            <w:pPr>
              <w:snapToGrid w:val="0"/>
              <w:jc w:val="center"/>
              <w:rPr>
                <w:rFonts w:ascii="Times New Roman" w:eastAsia="HeiT" w:hAnsi="Times New Roman" w:cs="Times New Roman"/>
                <w:sz w:val="23"/>
                <w:szCs w:val="23"/>
              </w:rPr>
            </w:pPr>
          </w:p>
        </w:tc>
      </w:tr>
      <w:tr w:rsidR="009642F7" w:rsidRPr="009642F7" w14:paraId="0A59E7BA" w14:textId="77777777" w:rsidTr="003E70AA">
        <w:tc>
          <w:tcPr>
            <w:tcW w:w="1811" w:type="pct"/>
            <w:tcBorders>
              <w:top w:val="nil"/>
              <w:left w:val="nil"/>
              <w:bottom w:val="nil"/>
              <w:right w:val="nil"/>
            </w:tcBorders>
            <w:shd w:val="clear" w:color="auto" w:fill="auto"/>
            <w:noWrap/>
            <w:vAlign w:val="center"/>
            <w:hideMark/>
          </w:tcPr>
          <w:p w14:paraId="074F8363" w14:textId="77777777" w:rsidR="00277281" w:rsidRPr="009642F7" w:rsidRDefault="00277281" w:rsidP="00917159">
            <w:pPr>
              <w:snapToGrid w:val="0"/>
              <w:rPr>
                <w:rFonts w:ascii="Times New Roman" w:hAnsi="Times New Roman" w:cs="Times New Roman"/>
                <w:sz w:val="23"/>
                <w:szCs w:val="23"/>
              </w:rPr>
            </w:pPr>
            <w:r w:rsidRPr="009642F7">
              <w:rPr>
                <w:rFonts w:ascii="Times New Roman" w:hAnsi="Times New Roman" w:cs="Times New Roman"/>
                <w:i/>
                <w:sz w:val="23"/>
                <w:szCs w:val="23"/>
              </w:rPr>
              <w:t>p</w:t>
            </w:r>
            <w:r w:rsidRPr="009642F7">
              <w:rPr>
                <w:rFonts w:ascii="Times New Roman" w:hAnsi="Times New Roman" w:cs="Times New Roman"/>
                <w:sz w:val="23"/>
                <w:szCs w:val="23"/>
              </w:rPr>
              <w:t xml:space="preserve">-value of </w:t>
            </w:r>
            <w:r w:rsidRPr="009642F7">
              <w:rPr>
                <w:rFonts w:ascii="Times New Roman" w:eastAsia="HeiT" w:hAnsi="Times New Roman" w:cs="Times New Roman"/>
                <w:bCs/>
                <w:sz w:val="23"/>
                <w:szCs w:val="23"/>
              </w:rPr>
              <w:t xml:space="preserve">Wald </w:t>
            </w:r>
            <m:oMath>
              <m:sSup>
                <m:sSupPr>
                  <m:ctrlPr>
                    <w:rPr>
                      <w:rFonts w:ascii="Cambria Math" w:eastAsia="HeiT" w:hAnsi="Cambria Math" w:cs="Times New Roman"/>
                      <w:bCs/>
                      <w:sz w:val="23"/>
                      <w:szCs w:val="23"/>
                    </w:rPr>
                  </m:ctrlPr>
                </m:sSupPr>
                <m:e>
                  <m:r>
                    <m:rPr>
                      <m:sty m:val="p"/>
                    </m:rPr>
                    <w:rPr>
                      <w:rFonts w:ascii="Cambria Math" w:eastAsia="HeiT" w:hAnsi="Cambria Math" w:cs="Times New Roman"/>
                      <w:sz w:val="23"/>
                      <w:szCs w:val="23"/>
                    </w:rPr>
                    <m:t>χ</m:t>
                  </m:r>
                </m:e>
                <m:sup>
                  <m:r>
                    <w:rPr>
                      <w:rFonts w:ascii="Cambria Math" w:eastAsia="HeiT" w:hAnsi="Cambria Math" w:cs="Times New Roman"/>
                      <w:sz w:val="23"/>
                      <w:szCs w:val="23"/>
                    </w:rPr>
                    <m:t>2</m:t>
                  </m:r>
                </m:sup>
              </m:sSup>
            </m:oMath>
          </w:p>
        </w:tc>
        <w:tc>
          <w:tcPr>
            <w:tcW w:w="1242" w:type="pct"/>
            <w:tcBorders>
              <w:top w:val="nil"/>
              <w:left w:val="nil"/>
              <w:bottom w:val="nil"/>
              <w:right w:val="nil"/>
            </w:tcBorders>
            <w:shd w:val="clear" w:color="auto" w:fill="auto"/>
            <w:hideMark/>
          </w:tcPr>
          <w:p w14:paraId="1070108F" w14:textId="77777777" w:rsidR="00277281" w:rsidRPr="009642F7" w:rsidRDefault="00277281"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(&lt;0.01)***</w:t>
            </w:r>
          </w:p>
        </w:tc>
        <w:tc>
          <w:tcPr>
            <w:tcW w:w="574" w:type="pct"/>
            <w:tcBorders>
              <w:top w:val="nil"/>
              <w:left w:val="nil"/>
              <w:bottom w:val="nil"/>
              <w:right w:val="nil"/>
            </w:tcBorders>
          </w:tcPr>
          <w:p w14:paraId="3637FC24"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1CD0C1C7" w14:textId="77777777" w:rsidR="00277281" w:rsidRPr="009642F7" w:rsidRDefault="00277281" w:rsidP="00917159">
            <w:pPr>
              <w:snapToGrid w:val="0"/>
              <w:jc w:val="center"/>
              <w:rPr>
                <w:rFonts w:ascii="Times New Roman" w:eastAsia="HeiT" w:hAnsi="Times New Roman" w:cs="Times New Roman"/>
                <w:sz w:val="23"/>
                <w:szCs w:val="23"/>
              </w:rPr>
            </w:pPr>
          </w:p>
        </w:tc>
        <w:tc>
          <w:tcPr>
            <w:tcW w:w="800" w:type="pct"/>
            <w:tcBorders>
              <w:top w:val="nil"/>
              <w:left w:val="nil"/>
              <w:bottom w:val="nil"/>
              <w:right w:val="nil"/>
            </w:tcBorders>
          </w:tcPr>
          <w:p w14:paraId="0FA6BAD3" w14:textId="77777777" w:rsidR="00277281" w:rsidRPr="009642F7" w:rsidRDefault="00277281" w:rsidP="00917159">
            <w:pPr>
              <w:snapToGrid w:val="0"/>
              <w:jc w:val="center"/>
              <w:rPr>
                <w:rFonts w:ascii="Times New Roman" w:eastAsia="HeiT" w:hAnsi="Times New Roman" w:cs="Times New Roman"/>
                <w:sz w:val="23"/>
                <w:szCs w:val="23"/>
              </w:rPr>
            </w:pPr>
          </w:p>
        </w:tc>
      </w:tr>
      <w:tr w:rsidR="009642F7" w:rsidRPr="009642F7" w14:paraId="1D0106C1" w14:textId="77777777" w:rsidTr="003E70AA">
        <w:tc>
          <w:tcPr>
            <w:tcW w:w="1811" w:type="pct"/>
            <w:tcBorders>
              <w:top w:val="nil"/>
              <w:left w:val="nil"/>
              <w:bottom w:val="nil"/>
              <w:right w:val="nil"/>
            </w:tcBorders>
            <w:shd w:val="clear" w:color="auto" w:fill="auto"/>
            <w:noWrap/>
            <w:vAlign w:val="center"/>
            <w:hideMark/>
          </w:tcPr>
          <w:p w14:paraId="361B9174" w14:textId="77777777" w:rsidR="00277281" w:rsidRPr="009642F7" w:rsidRDefault="00277281" w:rsidP="00917159">
            <w:pPr>
              <w:snapToGrid w:val="0"/>
              <w:rPr>
                <w:rFonts w:ascii="Times New Roman" w:eastAsia="Times New Roman" w:hAnsi="Times New Roman" w:cs="Times New Roman"/>
                <w:sz w:val="23"/>
                <w:szCs w:val="23"/>
              </w:rPr>
            </w:pPr>
          </w:p>
        </w:tc>
        <w:tc>
          <w:tcPr>
            <w:tcW w:w="1242" w:type="pct"/>
            <w:tcBorders>
              <w:top w:val="nil"/>
              <w:left w:val="nil"/>
              <w:bottom w:val="nil"/>
              <w:right w:val="nil"/>
            </w:tcBorders>
            <w:shd w:val="clear" w:color="auto" w:fill="auto"/>
            <w:noWrap/>
            <w:vAlign w:val="center"/>
            <w:hideMark/>
          </w:tcPr>
          <w:p w14:paraId="5AA7E289" w14:textId="77777777" w:rsidR="00277281" w:rsidRPr="009642F7" w:rsidRDefault="00277281" w:rsidP="00917159">
            <w:pPr>
              <w:snapToGrid w:val="0"/>
              <w:jc w:val="center"/>
              <w:rPr>
                <w:rFonts w:ascii="Times New Roman" w:eastAsia="Times New Roman" w:hAnsi="Times New Roman" w:cs="Times New Roman"/>
                <w:sz w:val="23"/>
                <w:szCs w:val="23"/>
              </w:rPr>
            </w:pPr>
          </w:p>
        </w:tc>
        <w:tc>
          <w:tcPr>
            <w:tcW w:w="574" w:type="pct"/>
            <w:tcBorders>
              <w:top w:val="nil"/>
              <w:left w:val="nil"/>
              <w:bottom w:val="nil"/>
              <w:right w:val="nil"/>
            </w:tcBorders>
          </w:tcPr>
          <w:p w14:paraId="75AA81F9" w14:textId="77777777" w:rsidR="00277281" w:rsidRPr="009642F7" w:rsidRDefault="00277281" w:rsidP="00917159">
            <w:pPr>
              <w:snapToGrid w:val="0"/>
              <w:jc w:val="center"/>
              <w:rPr>
                <w:rFonts w:ascii="Times New Roman" w:eastAsia="Times New Roman" w:hAnsi="Times New Roman" w:cs="Times New Roman"/>
                <w:sz w:val="23"/>
                <w:szCs w:val="23"/>
              </w:rPr>
            </w:pPr>
          </w:p>
        </w:tc>
        <w:tc>
          <w:tcPr>
            <w:tcW w:w="574" w:type="pct"/>
            <w:tcBorders>
              <w:top w:val="nil"/>
              <w:left w:val="nil"/>
              <w:bottom w:val="nil"/>
              <w:right w:val="nil"/>
            </w:tcBorders>
          </w:tcPr>
          <w:p w14:paraId="2949365A" w14:textId="77777777" w:rsidR="00277281" w:rsidRPr="009642F7" w:rsidRDefault="00277281" w:rsidP="00917159">
            <w:pPr>
              <w:snapToGrid w:val="0"/>
              <w:jc w:val="center"/>
              <w:rPr>
                <w:rFonts w:ascii="Times New Roman" w:eastAsia="Times New Roman" w:hAnsi="Times New Roman" w:cs="Times New Roman"/>
                <w:sz w:val="23"/>
                <w:szCs w:val="23"/>
              </w:rPr>
            </w:pPr>
          </w:p>
        </w:tc>
        <w:tc>
          <w:tcPr>
            <w:tcW w:w="800" w:type="pct"/>
            <w:tcBorders>
              <w:top w:val="nil"/>
              <w:left w:val="nil"/>
              <w:bottom w:val="nil"/>
              <w:right w:val="nil"/>
            </w:tcBorders>
          </w:tcPr>
          <w:p w14:paraId="78B6EF23" w14:textId="77777777" w:rsidR="00277281" w:rsidRPr="009642F7" w:rsidRDefault="00277281" w:rsidP="00917159">
            <w:pPr>
              <w:snapToGrid w:val="0"/>
              <w:jc w:val="center"/>
              <w:rPr>
                <w:rFonts w:ascii="Times New Roman" w:eastAsia="Times New Roman" w:hAnsi="Times New Roman" w:cs="Times New Roman"/>
                <w:sz w:val="23"/>
                <w:szCs w:val="23"/>
              </w:rPr>
            </w:pPr>
          </w:p>
        </w:tc>
      </w:tr>
      <w:tr w:rsidR="009642F7" w:rsidRPr="009642F7" w14:paraId="604C66FE" w14:textId="77777777" w:rsidTr="003E70AA">
        <w:tc>
          <w:tcPr>
            <w:tcW w:w="1811" w:type="pct"/>
            <w:tcBorders>
              <w:top w:val="nil"/>
              <w:left w:val="nil"/>
              <w:bottom w:val="nil"/>
              <w:right w:val="nil"/>
            </w:tcBorders>
            <w:shd w:val="clear" w:color="auto" w:fill="auto"/>
            <w:noWrap/>
          </w:tcPr>
          <w:p w14:paraId="4B6CE976" w14:textId="77777777" w:rsidR="00277281" w:rsidRPr="009642F7" w:rsidRDefault="00277281" w:rsidP="00917159">
            <w:pPr>
              <w:snapToGrid w:val="0"/>
              <w:rPr>
                <w:rFonts w:ascii="Times New Roman" w:eastAsia="HeiT" w:hAnsi="Times New Roman" w:cs="Times New Roman"/>
                <w:bCs/>
                <w:i/>
                <w:sz w:val="23"/>
                <w:szCs w:val="23"/>
              </w:rPr>
            </w:pPr>
            <w:r w:rsidRPr="009642F7">
              <w:rPr>
                <w:rFonts w:ascii="Times New Roman" w:eastAsia="HeiT" w:hAnsi="Times New Roman" w:cs="Times New Roman"/>
                <w:bCs/>
                <w:i/>
                <w:sz w:val="23"/>
                <w:szCs w:val="23"/>
              </w:rPr>
              <w:t>LnMedia</w:t>
            </w:r>
          </w:p>
        </w:tc>
        <w:tc>
          <w:tcPr>
            <w:tcW w:w="1242" w:type="pct"/>
            <w:tcBorders>
              <w:top w:val="nil"/>
              <w:left w:val="nil"/>
              <w:bottom w:val="nil"/>
              <w:right w:val="nil"/>
            </w:tcBorders>
            <w:shd w:val="clear" w:color="auto" w:fill="auto"/>
            <w:noWrap/>
            <w:vAlign w:val="center"/>
          </w:tcPr>
          <w:p w14:paraId="2C453B6B"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770552C2" w14:textId="77777777" w:rsidR="00277281" w:rsidRPr="009642F7" w:rsidRDefault="00277281" w:rsidP="00917159">
            <w:pPr>
              <w:snapToGrid w:val="0"/>
              <w:jc w:val="center"/>
              <w:rPr>
                <w:rFonts w:ascii="Times New Roman" w:eastAsia="HeiT" w:hAnsi="Times New Roman" w:cs="Times New Roman"/>
                <w:sz w:val="23"/>
                <w:szCs w:val="23"/>
              </w:rPr>
            </w:pPr>
            <w:r w:rsidRPr="009642F7">
              <w:rPr>
                <w:rFonts w:ascii="Times New Roman" w:hAnsi="Times New Roman" w:cs="Times New Roman"/>
                <w:sz w:val="23"/>
                <w:szCs w:val="23"/>
              </w:rPr>
              <w:t>0.107</w:t>
            </w:r>
          </w:p>
        </w:tc>
        <w:tc>
          <w:tcPr>
            <w:tcW w:w="574" w:type="pct"/>
            <w:tcBorders>
              <w:top w:val="nil"/>
              <w:left w:val="nil"/>
              <w:bottom w:val="nil"/>
              <w:right w:val="nil"/>
            </w:tcBorders>
          </w:tcPr>
          <w:p w14:paraId="2244C2FB"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0.0</w:t>
            </w:r>
            <w:r w:rsidR="006751B4" w:rsidRPr="009642F7">
              <w:rPr>
                <w:rFonts w:ascii="Times New Roman" w:hAnsi="Times New Roman" w:cs="Times New Roman"/>
                <w:sz w:val="23"/>
                <w:szCs w:val="23"/>
              </w:rPr>
              <w:t>8</w:t>
            </w:r>
            <w:r w:rsidRPr="009642F7">
              <w:rPr>
                <w:rFonts w:ascii="Times New Roman" w:hAnsi="Times New Roman" w:cs="Times New Roman"/>
                <w:sz w:val="23"/>
                <w:szCs w:val="23"/>
              </w:rPr>
              <w:t>9</w:t>
            </w:r>
          </w:p>
        </w:tc>
        <w:tc>
          <w:tcPr>
            <w:tcW w:w="800" w:type="pct"/>
            <w:tcBorders>
              <w:top w:val="nil"/>
              <w:left w:val="nil"/>
              <w:bottom w:val="nil"/>
              <w:right w:val="nil"/>
            </w:tcBorders>
          </w:tcPr>
          <w:p w14:paraId="42F8DD3E"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0.285</w:t>
            </w:r>
          </w:p>
        </w:tc>
      </w:tr>
      <w:tr w:rsidR="009642F7" w:rsidRPr="009642F7" w14:paraId="3B927933" w14:textId="77777777" w:rsidTr="003E70AA">
        <w:tc>
          <w:tcPr>
            <w:tcW w:w="1811" w:type="pct"/>
            <w:tcBorders>
              <w:top w:val="nil"/>
              <w:left w:val="nil"/>
              <w:bottom w:val="nil"/>
              <w:right w:val="nil"/>
            </w:tcBorders>
            <w:shd w:val="clear" w:color="auto" w:fill="auto"/>
            <w:noWrap/>
            <w:vAlign w:val="center"/>
          </w:tcPr>
          <w:p w14:paraId="6E180572" w14:textId="77777777" w:rsidR="00277281" w:rsidRPr="009642F7" w:rsidRDefault="00277281" w:rsidP="00917159">
            <w:pPr>
              <w:snapToGrid w:val="0"/>
              <w:rPr>
                <w:rFonts w:ascii="Times New Roman" w:hAnsi="Times New Roman" w:cs="Times New Roman"/>
                <w:sz w:val="23"/>
                <w:szCs w:val="23"/>
              </w:rPr>
            </w:pPr>
            <w:r w:rsidRPr="009642F7">
              <w:rPr>
                <w:rFonts w:ascii="Times New Roman" w:eastAsia="HeiT" w:hAnsi="Times New Roman" w:cs="Times New Roman"/>
                <w:bCs/>
                <w:sz w:val="23"/>
                <w:szCs w:val="23"/>
              </w:rPr>
              <w:t xml:space="preserve">Wald </w:t>
            </w:r>
            <m:oMath>
              <m:sSup>
                <m:sSupPr>
                  <m:ctrlPr>
                    <w:rPr>
                      <w:rFonts w:ascii="Cambria Math" w:eastAsia="HeiT" w:hAnsi="Cambria Math" w:cs="Times New Roman"/>
                      <w:bCs/>
                      <w:sz w:val="23"/>
                      <w:szCs w:val="23"/>
                    </w:rPr>
                  </m:ctrlPr>
                </m:sSupPr>
                <m:e>
                  <m:r>
                    <m:rPr>
                      <m:sty m:val="p"/>
                    </m:rPr>
                    <w:rPr>
                      <w:rFonts w:ascii="Cambria Math" w:eastAsia="HeiT" w:hAnsi="Cambria Math" w:cs="Times New Roman"/>
                      <w:sz w:val="23"/>
                      <w:szCs w:val="23"/>
                    </w:rPr>
                    <m:t>χ</m:t>
                  </m:r>
                </m:e>
                <m:sup>
                  <m:r>
                    <w:rPr>
                      <w:rFonts w:ascii="Cambria Math" w:eastAsia="HeiT" w:hAnsi="Cambria Math" w:cs="Times New Roman"/>
                      <w:sz w:val="23"/>
                      <w:szCs w:val="23"/>
                    </w:rPr>
                    <m:t>2</m:t>
                  </m:r>
                </m:sup>
              </m:sSup>
            </m:oMath>
          </w:p>
        </w:tc>
        <w:tc>
          <w:tcPr>
            <w:tcW w:w="1242" w:type="pct"/>
            <w:tcBorders>
              <w:top w:val="nil"/>
              <w:left w:val="nil"/>
              <w:bottom w:val="nil"/>
              <w:right w:val="nil"/>
            </w:tcBorders>
            <w:shd w:val="clear" w:color="auto" w:fill="auto"/>
            <w:noWrap/>
            <w:vAlign w:val="center"/>
          </w:tcPr>
          <w:p w14:paraId="2A95EB30"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546C652E" w14:textId="77777777" w:rsidR="00277281" w:rsidRPr="009642F7" w:rsidRDefault="00277281"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5.17</w:t>
            </w:r>
          </w:p>
        </w:tc>
        <w:tc>
          <w:tcPr>
            <w:tcW w:w="574" w:type="pct"/>
            <w:tcBorders>
              <w:top w:val="nil"/>
              <w:left w:val="nil"/>
              <w:bottom w:val="nil"/>
              <w:right w:val="nil"/>
            </w:tcBorders>
          </w:tcPr>
          <w:p w14:paraId="5D728042" w14:textId="77777777" w:rsidR="00277281" w:rsidRPr="009642F7" w:rsidRDefault="00277281" w:rsidP="00917159">
            <w:pPr>
              <w:snapToGrid w:val="0"/>
              <w:jc w:val="center"/>
              <w:rPr>
                <w:rFonts w:ascii="Times New Roman" w:eastAsia="HeiT" w:hAnsi="Times New Roman" w:cs="Times New Roman"/>
                <w:sz w:val="23"/>
                <w:szCs w:val="23"/>
              </w:rPr>
            </w:pPr>
            <w:r w:rsidRPr="009642F7">
              <w:rPr>
                <w:rFonts w:ascii="Times New Roman" w:hAnsi="Times New Roman" w:cs="Times New Roman"/>
                <w:sz w:val="23"/>
                <w:szCs w:val="23"/>
              </w:rPr>
              <w:t>3.96</w:t>
            </w:r>
          </w:p>
        </w:tc>
        <w:tc>
          <w:tcPr>
            <w:tcW w:w="800" w:type="pct"/>
            <w:tcBorders>
              <w:top w:val="nil"/>
              <w:left w:val="nil"/>
              <w:bottom w:val="nil"/>
              <w:right w:val="nil"/>
            </w:tcBorders>
          </w:tcPr>
          <w:p w14:paraId="0CAF490F" w14:textId="77777777" w:rsidR="00277281" w:rsidRPr="009642F7" w:rsidRDefault="00277281"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16.21</w:t>
            </w:r>
          </w:p>
        </w:tc>
      </w:tr>
      <w:tr w:rsidR="009642F7" w:rsidRPr="009642F7" w14:paraId="5BABB16C" w14:textId="77777777" w:rsidTr="003E70AA">
        <w:tc>
          <w:tcPr>
            <w:tcW w:w="1811" w:type="pct"/>
            <w:tcBorders>
              <w:top w:val="nil"/>
              <w:left w:val="nil"/>
              <w:bottom w:val="nil"/>
              <w:right w:val="nil"/>
            </w:tcBorders>
            <w:shd w:val="clear" w:color="auto" w:fill="auto"/>
            <w:noWrap/>
            <w:vAlign w:val="center"/>
          </w:tcPr>
          <w:p w14:paraId="7D406E91" w14:textId="77777777" w:rsidR="00277281" w:rsidRPr="009642F7" w:rsidRDefault="00277281" w:rsidP="00917159">
            <w:pPr>
              <w:snapToGrid w:val="0"/>
              <w:rPr>
                <w:rFonts w:ascii="Times New Roman" w:hAnsi="Times New Roman" w:cs="Times New Roman"/>
                <w:sz w:val="23"/>
                <w:szCs w:val="23"/>
              </w:rPr>
            </w:pPr>
            <w:r w:rsidRPr="009642F7">
              <w:rPr>
                <w:rFonts w:ascii="Times New Roman" w:hAnsi="Times New Roman" w:cs="Times New Roman"/>
                <w:i/>
                <w:sz w:val="23"/>
                <w:szCs w:val="23"/>
              </w:rPr>
              <w:t>p</w:t>
            </w:r>
            <w:r w:rsidRPr="009642F7">
              <w:rPr>
                <w:rFonts w:ascii="Times New Roman" w:hAnsi="Times New Roman" w:cs="Times New Roman"/>
                <w:sz w:val="23"/>
                <w:szCs w:val="23"/>
              </w:rPr>
              <w:t xml:space="preserve">-value of </w:t>
            </w:r>
            <w:r w:rsidRPr="009642F7">
              <w:rPr>
                <w:rFonts w:ascii="Times New Roman" w:eastAsia="HeiT" w:hAnsi="Times New Roman" w:cs="Times New Roman"/>
                <w:bCs/>
                <w:sz w:val="23"/>
                <w:szCs w:val="23"/>
              </w:rPr>
              <w:t xml:space="preserve">Wald </w:t>
            </w:r>
            <m:oMath>
              <m:sSup>
                <m:sSupPr>
                  <m:ctrlPr>
                    <w:rPr>
                      <w:rFonts w:ascii="Cambria Math" w:eastAsia="HeiT" w:hAnsi="Cambria Math" w:cs="Times New Roman"/>
                      <w:bCs/>
                      <w:sz w:val="23"/>
                      <w:szCs w:val="23"/>
                    </w:rPr>
                  </m:ctrlPr>
                </m:sSupPr>
                <m:e>
                  <m:r>
                    <m:rPr>
                      <m:sty m:val="p"/>
                    </m:rPr>
                    <w:rPr>
                      <w:rFonts w:ascii="Cambria Math" w:eastAsia="HeiT" w:hAnsi="Cambria Math" w:cs="Times New Roman"/>
                      <w:sz w:val="23"/>
                      <w:szCs w:val="23"/>
                    </w:rPr>
                    <m:t>χ</m:t>
                  </m:r>
                </m:e>
                <m:sup>
                  <m:r>
                    <w:rPr>
                      <w:rFonts w:ascii="Cambria Math" w:eastAsia="HeiT" w:hAnsi="Cambria Math" w:cs="Times New Roman"/>
                      <w:sz w:val="23"/>
                      <w:szCs w:val="23"/>
                    </w:rPr>
                    <m:t>2</m:t>
                  </m:r>
                </m:sup>
              </m:sSup>
            </m:oMath>
          </w:p>
        </w:tc>
        <w:tc>
          <w:tcPr>
            <w:tcW w:w="1242" w:type="pct"/>
            <w:tcBorders>
              <w:top w:val="nil"/>
              <w:left w:val="nil"/>
              <w:bottom w:val="nil"/>
              <w:right w:val="nil"/>
            </w:tcBorders>
            <w:shd w:val="clear" w:color="auto" w:fill="auto"/>
            <w:noWrap/>
            <w:vAlign w:val="center"/>
          </w:tcPr>
          <w:p w14:paraId="2BDEB719"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1A230ED4" w14:textId="77777777" w:rsidR="00277281" w:rsidRPr="009642F7" w:rsidRDefault="00277281"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(0.02)**</w:t>
            </w:r>
          </w:p>
        </w:tc>
        <w:tc>
          <w:tcPr>
            <w:tcW w:w="574" w:type="pct"/>
            <w:tcBorders>
              <w:top w:val="nil"/>
              <w:left w:val="nil"/>
              <w:bottom w:val="nil"/>
              <w:right w:val="nil"/>
            </w:tcBorders>
          </w:tcPr>
          <w:p w14:paraId="4DFC9F33" w14:textId="77777777" w:rsidR="00277281" w:rsidRPr="009642F7" w:rsidRDefault="00277281"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(0.04)**</w:t>
            </w:r>
          </w:p>
        </w:tc>
        <w:tc>
          <w:tcPr>
            <w:tcW w:w="800" w:type="pct"/>
            <w:tcBorders>
              <w:top w:val="nil"/>
              <w:left w:val="nil"/>
              <w:bottom w:val="nil"/>
              <w:right w:val="nil"/>
            </w:tcBorders>
          </w:tcPr>
          <w:p w14:paraId="6F744C9A" w14:textId="77777777" w:rsidR="00277281" w:rsidRPr="009642F7" w:rsidRDefault="00277281"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(&lt;0.01)***</w:t>
            </w:r>
          </w:p>
        </w:tc>
      </w:tr>
      <w:tr w:rsidR="009642F7" w:rsidRPr="009642F7" w14:paraId="16D4DE96" w14:textId="77777777" w:rsidTr="003E70AA">
        <w:tc>
          <w:tcPr>
            <w:tcW w:w="1811" w:type="pct"/>
            <w:tcBorders>
              <w:top w:val="nil"/>
              <w:left w:val="nil"/>
              <w:bottom w:val="nil"/>
              <w:right w:val="nil"/>
            </w:tcBorders>
            <w:shd w:val="clear" w:color="auto" w:fill="auto"/>
            <w:noWrap/>
            <w:vAlign w:val="center"/>
          </w:tcPr>
          <w:p w14:paraId="64C25147" w14:textId="77777777" w:rsidR="00277281" w:rsidRPr="009642F7" w:rsidRDefault="00277281" w:rsidP="00917159">
            <w:pPr>
              <w:snapToGrid w:val="0"/>
              <w:rPr>
                <w:rFonts w:ascii="Times New Roman" w:hAnsi="Times New Roman" w:cs="Times New Roman"/>
                <w:i/>
                <w:iCs/>
                <w:sz w:val="23"/>
                <w:szCs w:val="23"/>
              </w:rPr>
            </w:pPr>
          </w:p>
        </w:tc>
        <w:tc>
          <w:tcPr>
            <w:tcW w:w="1242" w:type="pct"/>
            <w:tcBorders>
              <w:top w:val="nil"/>
              <w:left w:val="nil"/>
              <w:bottom w:val="nil"/>
              <w:right w:val="nil"/>
            </w:tcBorders>
            <w:shd w:val="clear" w:color="auto" w:fill="auto"/>
            <w:noWrap/>
            <w:vAlign w:val="center"/>
          </w:tcPr>
          <w:p w14:paraId="0DB4F0DB"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7188AFC9"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23CCB4FF" w14:textId="77777777" w:rsidR="00277281" w:rsidRPr="009642F7" w:rsidRDefault="00277281" w:rsidP="00917159">
            <w:pPr>
              <w:snapToGrid w:val="0"/>
              <w:jc w:val="center"/>
              <w:rPr>
                <w:rFonts w:ascii="Times New Roman" w:eastAsia="HeiT" w:hAnsi="Times New Roman" w:cs="Times New Roman"/>
                <w:sz w:val="23"/>
                <w:szCs w:val="23"/>
              </w:rPr>
            </w:pPr>
          </w:p>
        </w:tc>
        <w:tc>
          <w:tcPr>
            <w:tcW w:w="800" w:type="pct"/>
            <w:tcBorders>
              <w:top w:val="nil"/>
              <w:left w:val="nil"/>
              <w:bottom w:val="nil"/>
              <w:right w:val="nil"/>
            </w:tcBorders>
          </w:tcPr>
          <w:p w14:paraId="7F486197" w14:textId="77777777" w:rsidR="00277281" w:rsidRPr="009642F7" w:rsidRDefault="00277281" w:rsidP="00917159">
            <w:pPr>
              <w:snapToGrid w:val="0"/>
              <w:jc w:val="center"/>
              <w:rPr>
                <w:rFonts w:ascii="Times New Roman" w:eastAsia="HeiT" w:hAnsi="Times New Roman" w:cs="Times New Roman"/>
                <w:sz w:val="23"/>
                <w:szCs w:val="23"/>
              </w:rPr>
            </w:pPr>
          </w:p>
        </w:tc>
      </w:tr>
      <w:tr w:rsidR="009642F7" w:rsidRPr="009642F7" w14:paraId="21CA4F03" w14:textId="77777777" w:rsidTr="003E70AA">
        <w:tc>
          <w:tcPr>
            <w:tcW w:w="1811" w:type="pct"/>
            <w:tcBorders>
              <w:top w:val="nil"/>
              <w:left w:val="nil"/>
              <w:bottom w:val="nil"/>
              <w:right w:val="nil"/>
            </w:tcBorders>
            <w:shd w:val="clear" w:color="auto" w:fill="auto"/>
            <w:noWrap/>
            <w:vAlign w:val="center"/>
          </w:tcPr>
          <w:p w14:paraId="7F6BD65D" w14:textId="77777777" w:rsidR="00277281" w:rsidRPr="009642F7" w:rsidRDefault="00277281" w:rsidP="00917159">
            <w:pPr>
              <w:snapToGrid w:val="0"/>
              <w:rPr>
                <w:rFonts w:ascii="Times New Roman" w:hAnsi="Times New Roman" w:cs="Times New Roman"/>
                <w:i/>
                <w:iCs/>
                <w:sz w:val="23"/>
                <w:szCs w:val="23"/>
              </w:rPr>
            </w:pPr>
          </w:p>
        </w:tc>
        <w:tc>
          <w:tcPr>
            <w:tcW w:w="1242" w:type="pct"/>
            <w:tcBorders>
              <w:top w:val="nil"/>
              <w:left w:val="nil"/>
              <w:bottom w:val="nil"/>
              <w:right w:val="nil"/>
            </w:tcBorders>
            <w:shd w:val="clear" w:color="auto" w:fill="auto"/>
            <w:noWrap/>
            <w:vAlign w:val="center"/>
          </w:tcPr>
          <w:p w14:paraId="670B9EA0"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43D14F3E"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4FD9E5AC" w14:textId="77777777" w:rsidR="00277281" w:rsidRPr="009642F7" w:rsidRDefault="00277281" w:rsidP="00917159">
            <w:pPr>
              <w:snapToGrid w:val="0"/>
              <w:jc w:val="center"/>
              <w:rPr>
                <w:rFonts w:ascii="Times New Roman" w:eastAsia="HeiT" w:hAnsi="Times New Roman" w:cs="Times New Roman"/>
                <w:sz w:val="23"/>
                <w:szCs w:val="23"/>
              </w:rPr>
            </w:pPr>
          </w:p>
        </w:tc>
        <w:tc>
          <w:tcPr>
            <w:tcW w:w="800" w:type="pct"/>
            <w:tcBorders>
              <w:top w:val="nil"/>
              <w:left w:val="nil"/>
              <w:bottom w:val="nil"/>
              <w:right w:val="nil"/>
            </w:tcBorders>
          </w:tcPr>
          <w:p w14:paraId="754CE3C1" w14:textId="77777777" w:rsidR="00277281" w:rsidRPr="009642F7" w:rsidRDefault="00277281" w:rsidP="00917159">
            <w:pPr>
              <w:snapToGrid w:val="0"/>
              <w:jc w:val="center"/>
              <w:rPr>
                <w:rFonts w:ascii="Times New Roman" w:eastAsia="HeiT" w:hAnsi="Times New Roman" w:cs="Times New Roman"/>
                <w:sz w:val="23"/>
                <w:szCs w:val="23"/>
              </w:rPr>
            </w:pPr>
          </w:p>
        </w:tc>
      </w:tr>
      <w:tr w:rsidR="009642F7" w:rsidRPr="009642F7" w14:paraId="4366214C" w14:textId="77777777" w:rsidTr="003E70AA">
        <w:tc>
          <w:tcPr>
            <w:tcW w:w="1811" w:type="pct"/>
            <w:tcBorders>
              <w:top w:val="nil"/>
              <w:left w:val="nil"/>
              <w:bottom w:val="nil"/>
              <w:right w:val="nil"/>
            </w:tcBorders>
            <w:shd w:val="clear" w:color="auto" w:fill="auto"/>
            <w:noWrap/>
            <w:vAlign w:val="center"/>
          </w:tcPr>
          <w:p w14:paraId="6945EF25" w14:textId="77777777" w:rsidR="00277281" w:rsidRPr="009642F7" w:rsidRDefault="00277281" w:rsidP="00917159">
            <w:pPr>
              <w:snapToGrid w:val="0"/>
              <w:rPr>
                <w:rFonts w:ascii="Times New Roman" w:hAnsi="Times New Roman" w:cs="Times New Roman"/>
                <w:i/>
                <w:iCs/>
                <w:sz w:val="23"/>
                <w:szCs w:val="23"/>
              </w:rPr>
            </w:pPr>
          </w:p>
        </w:tc>
        <w:tc>
          <w:tcPr>
            <w:tcW w:w="1242" w:type="pct"/>
            <w:tcBorders>
              <w:top w:val="nil"/>
              <w:left w:val="nil"/>
              <w:bottom w:val="nil"/>
              <w:right w:val="nil"/>
            </w:tcBorders>
            <w:shd w:val="clear" w:color="auto" w:fill="auto"/>
            <w:noWrap/>
            <w:vAlign w:val="center"/>
          </w:tcPr>
          <w:p w14:paraId="3AF43C1A"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46B28D3B"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4AE0FDD4" w14:textId="77777777" w:rsidR="00277281" w:rsidRPr="009642F7" w:rsidRDefault="00277281" w:rsidP="00917159">
            <w:pPr>
              <w:snapToGrid w:val="0"/>
              <w:jc w:val="center"/>
              <w:rPr>
                <w:rFonts w:ascii="Times New Roman" w:eastAsia="HeiT" w:hAnsi="Times New Roman" w:cs="Times New Roman"/>
                <w:sz w:val="23"/>
                <w:szCs w:val="23"/>
              </w:rPr>
            </w:pPr>
          </w:p>
        </w:tc>
        <w:tc>
          <w:tcPr>
            <w:tcW w:w="800" w:type="pct"/>
            <w:tcBorders>
              <w:top w:val="nil"/>
              <w:left w:val="nil"/>
              <w:bottom w:val="nil"/>
              <w:right w:val="nil"/>
            </w:tcBorders>
          </w:tcPr>
          <w:p w14:paraId="34768F59" w14:textId="77777777" w:rsidR="00277281" w:rsidRPr="009642F7" w:rsidRDefault="00277281" w:rsidP="00917159">
            <w:pPr>
              <w:snapToGrid w:val="0"/>
              <w:jc w:val="center"/>
              <w:rPr>
                <w:rFonts w:ascii="Times New Roman" w:eastAsia="HeiT" w:hAnsi="Times New Roman" w:cs="Times New Roman"/>
                <w:sz w:val="23"/>
                <w:szCs w:val="23"/>
              </w:rPr>
            </w:pPr>
          </w:p>
        </w:tc>
      </w:tr>
      <w:tr w:rsidR="009642F7" w:rsidRPr="009642F7" w14:paraId="7C7BDD91" w14:textId="77777777" w:rsidTr="003E70AA">
        <w:tc>
          <w:tcPr>
            <w:tcW w:w="1811" w:type="pct"/>
            <w:tcBorders>
              <w:top w:val="nil"/>
              <w:left w:val="nil"/>
              <w:bottom w:val="nil"/>
              <w:right w:val="nil"/>
            </w:tcBorders>
            <w:shd w:val="clear" w:color="auto" w:fill="auto"/>
            <w:noWrap/>
            <w:vAlign w:val="center"/>
          </w:tcPr>
          <w:p w14:paraId="401843E4" w14:textId="77777777" w:rsidR="003E70AA" w:rsidRPr="009642F7" w:rsidRDefault="003E70AA" w:rsidP="00917159">
            <w:pPr>
              <w:snapToGrid w:val="0"/>
              <w:rPr>
                <w:rFonts w:ascii="Times New Roman" w:hAnsi="Times New Roman" w:cs="Times New Roman"/>
                <w:iCs/>
                <w:sz w:val="23"/>
                <w:szCs w:val="23"/>
              </w:rPr>
            </w:pPr>
            <w:r w:rsidRPr="009642F7">
              <w:rPr>
                <w:rFonts w:ascii="Times New Roman" w:hAnsi="Times New Roman" w:cs="Times New Roman"/>
                <w:iCs/>
                <w:sz w:val="23"/>
                <w:szCs w:val="23"/>
              </w:rPr>
              <w:t>Control Variables</w:t>
            </w:r>
          </w:p>
        </w:tc>
        <w:tc>
          <w:tcPr>
            <w:tcW w:w="1242" w:type="pct"/>
            <w:tcBorders>
              <w:top w:val="nil"/>
              <w:left w:val="nil"/>
              <w:bottom w:val="nil"/>
              <w:right w:val="nil"/>
            </w:tcBorders>
            <w:shd w:val="clear" w:color="auto" w:fill="auto"/>
            <w:noWrap/>
            <w:vAlign w:val="center"/>
          </w:tcPr>
          <w:p w14:paraId="7DF14F27"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Yes</w:t>
            </w:r>
          </w:p>
        </w:tc>
        <w:tc>
          <w:tcPr>
            <w:tcW w:w="574" w:type="pct"/>
            <w:tcBorders>
              <w:top w:val="nil"/>
              <w:left w:val="nil"/>
              <w:bottom w:val="nil"/>
              <w:right w:val="nil"/>
            </w:tcBorders>
            <w:vAlign w:val="center"/>
          </w:tcPr>
          <w:p w14:paraId="2D767664"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Yes</w:t>
            </w:r>
          </w:p>
        </w:tc>
        <w:tc>
          <w:tcPr>
            <w:tcW w:w="574" w:type="pct"/>
            <w:tcBorders>
              <w:top w:val="nil"/>
              <w:left w:val="nil"/>
              <w:bottom w:val="nil"/>
              <w:right w:val="nil"/>
            </w:tcBorders>
            <w:vAlign w:val="center"/>
          </w:tcPr>
          <w:p w14:paraId="34A8B179"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Yes</w:t>
            </w:r>
          </w:p>
        </w:tc>
        <w:tc>
          <w:tcPr>
            <w:tcW w:w="800" w:type="pct"/>
            <w:tcBorders>
              <w:top w:val="nil"/>
              <w:left w:val="nil"/>
              <w:bottom w:val="nil"/>
              <w:right w:val="nil"/>
            </w:tcBorders>
            <w:vAlign w:val="center"/>
          </w:tcPr>
          <w:p w14:paraId="46AD2BF3"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Yes</w:t>
            </w:r>
          </w:p>
        </w:tc>
      </w:tr>
      <w:tr w:rsidR="009642F7" w:rsidRPr="009642F7" w14:paraId="4F0B0ABF" w14:textId="77777777" w:rsidTr="003E70AA">
        <w:tc>
          <w:tcPr>
            <w:tcW w:w="1811" w:type="pct"/>
            <w:tcBorders>
              <w:top w:val="nil"/>
              <w:left w:val="nil"/>
              <w:bottom w:val="nil"/>
              <w:right w:val="nil"/>
            </w:tcBorders>
            <w:shd w:val="clear" w:color="auto" w:fill="auto"/>
            <w:noWrap/>
            <w:vAlign w:val="center"/>
          </w:tcPr>
          <w:p w14:paraId="36F01124" w14:textId="77777777" w:rsidR="003E70AA" w:rsidRPr="009642F7" w:rsidRDefault="003E70AA" w:rsidP="00917159">
            <w:pPr>
              <w:snapToGrid w:val="0"/>
              <w:rPr>
                <w:rFonts w:ascii="Times New Roman" w:hAnsi="Times New Roman" w:cs="Times New Roman"/>
                <w:sz w:val="23"/>
                <w:szCs w:val="23"/>
              </w:rPr>
            </w:pPr>
            <w:r w:rsidRPr="009642F7">
              <w:rPr>
                <w:rFonts w:ascii="Times New Roman" w:hAnsi="Times New Roman" w:cs="Times New Roman"/>
                <w:sz w:val="23"/>
                <w:szCs w:val="23"/>
              </w:rPr>
              <w:t>Industry-Fixed Effect</w:t>
            </w:r>
          </w:p>
        </w:tc>
        <w:tc>
          <w:tcPr>
            <w:tcW w:w="1242" w:type="pct"/>
            <w:tcBorders>
              <w:top w:val="nil"/>
              <w:left w:val="nil"/>
              <w:bottom w:val="nil"/>
              <w:right w:val="nil"/>
            </w:tcBorders>
            <w:shd w:val="clear" w:color="auto" w:fill="auto"/>
            <w:noWrap/>
          </w:tcPr>
          <w:p w14:paraId="32CE6985"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eastAsia="HeiT" w:hAnsi="Times New Roman" w:cs="Times New Roman"/>
                <w:sz w:val="23"/>
                <w:szCs w:val="23"/>
              </w:rPr>
              <w:t>Yes</w:t>
            </w:r>
          </w:p>
        </w:tc>
        <w:tc>
          <w:tcPr>
            <w:tcW w:w="574" w:type="pct"/>
            <w:tcBorders>
              <w:top w:val="nil"/>
              <w:left w:val="nil"/>
              <w:bottom w:val="nil"/>
              <w:right w:val="nil"/>
            </w:tcBorders>
          </w:tcPr>
          <w:p w14:paraId="33B2EC2F"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eastAsia="HeiT" w:hAnsi="Times New Roman" w:cs="Times New Roman"/>
                <w:sz w:val="23"/>
                <w:szCs w:val="23"/>
              </w:rPr>
              <w:t>Yes</w:t>
            </w:r>
          </w:p>
        </w:tc>
        <w:tc>
          <w:tcPr>
            <w:tcW w:w="574" w:type="pct"/>
            <w:tcBorders>
              <w:top w:val="nil"/>
              <w:left w:val="nil"/>
              <w:bottom w:val="nil"/>
              <w:right w:val="nil"/>
            </w:tcBorders>
          </w:tcPr>
          <w:p w14:paraId="721B8AE2"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eastAsia="HeiT" w:hAnsi="Times New Roman" w:cs="Times New Roman"/>
                <w:sz w:val="23"/>
                <w:szCs w:val="23"/>
              </w:rPr>
              <w:t>Yes</w:t>
            </w:r>
          </w:p>
        </w:tc>
        <w:tc>
          <w:tcPr>
            <w:tcW w:w="800" w:type="pct"/>
            <w:tcBorders>
              <w:top w:val="nil"/>
              <w:left w:val="nil"/>
              <w:bottom w:val="nil"/>
              <w:right w:val="nil"/>
            </w:tcBorders>
          </w:tcPr>
          <w:p w14:paraId="25ABE8B4"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eastAsia="HeiT" w:hAnsi="Times New Roman" w:cs="Times New Roman"/>
                <w:sz w:val="23"/>
                <w:szCs w:val="23"/>
              </w:rPr>
              <w:t>Yes</w:t>
            </w:r>
          </w:p>
        </w:tc>
      </w:tr>
      <w:tr w:rsidR="009642F7" w:rsidRPr="009642F7" w14:paraId="5126CF4E" w14:textId="77777777" w:rsidTr="003E70AA">
        <w:tc>
          <w:tcPr>
            <w:tcW w:w="1811" w:type="pct"/>
            <w:tcBorders>
              <w:top w:val="nil"/>
              <w:left w:val="nil"/>
              <w:bottom w:val="nil"/>
              <w:right w:val="nil"/>
            </w:tcBorders>
            <w:shd w:val="clear" w:color="auto" w:fill="auto"/>
            <w:noWrap/>
            <w:vAlign w:val="center"/>
          </w:tcPr>
          <w:p w14:paraId="75A8148E" w14:textId="77777777" w:rsidR="003E70AA" w:rsidRPr="009642F7" w:rsidRDefault="003E70AA" w:rsidP="00917159">
            <w:pPr>
              <w:snapToGrid w:val="0"/>
              <w:rPr>
                <w:rFonts w:ascii="Times New Roman" w:hAnsi="Times New Roman" w:cs="Times New Roman"/>
                <w:sz w:val="23"/>
                <w:szCs w:val="23"/>
              </w:rPr>
            </w:pPr>
            <w:r w:rsidRPr="009642F7">
              <w:rPr>
                <w:rFonts w:ascii="Times New Roman" w:hAnsi="Times New Roman" w:cs="Times New Roman"/>
                <w:sz w:val="23"/>
                <w:szCs w:val="23"/>
              </w:rPr>
              <w:t>Year-Fixed Effect</w:t>
            </w:r>
          </w:p>
        </w:tc>
        <w:tc>
          <w:tcPr>
            <w:tcW w:w="1242" w:type="pct"/>
            <w:tcBorders>
              <w:top w:val="nil"/>
              <w:left w:val="nil"/>
              <w:bottom w:val="nil"/>
              <w:right w:val="nil"/>
            </w:tcBorders>
            <w:shd w:val="clear" w:color="auto" w:fill="auto"/>
            <w:noWrap/>
          </w:tcPr>
          <w:p w14:paraId="4C297D40"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eastAsia="HeiT" w:hAnsi="Times New Roman" w:cs="Times New Roman"/>
                <w:sz w:val="23"/>
                <w:szCs w:val="23"/>
              </w:rPr>
              <w:t>Yes</w:t>
            </w:r>
          </w:p>
        </w:tc>
        <w:tc>
          <w:tcPr>
            <w:tcW w:w="574" w:type="pct"/>
            <w:tcBorders>
              <w:top w:val="nil"/>
              <w:left w:val="nil"/>
              <w:bottom w:val="nil"/>
              <w:right w:val="nil"/>
            </w:tcBorders>
          </w:tcPr>
          <w:p w14:paraId="6EB6EF37"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eastAsia="HeiT" w:hAnsi="Times New Roman" w:cs="Times New Roman"/>
                <w:sz w:val="23"/>
                <w:szCs w:val="23"/>
              </w:rPr>
              <w:t>Yes</w:t>
            </w:r>
          </w:p>
        </w:tc>
        <w:tc>
          <w:tcPr>
            <w:tcW w:w="574" w:type="pct"/>
            <w:tcBorders>
              <w:top w:val="nil"/>
              <w:left w:val="nil"/>
              <w:bottom w:val="nil"/>
              <w:right w:val="nil"/>
            </w:tcBorders>
          </w:tcPr>
          <w:p w14:paraId="7B04118E"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eastAsia="HeiT" w:hAnsi="Times New Roman" w:cs="Times New Roman"/>
                <w:sz w:val="23"/>
                <w:szCs w:val="23"/>
              </w:rPr>
              <w:t>Yes</w:t>
            </w:r>
          </w:p>
        </w:tc>
        <w:tc>
          <w:tcPr>
            <w:tcW w:w="800" w:type="pct"/>
            <w:tcBorders>
              <w:top w:val="nil"/>
              <w:left w:val="nil"/>
              <w:bottom w:val="nil"/>
              <w:right w:val="nil"/>
            </w:tcBorders>
          </w:tcPr>
          <w:p w14:paraId="66226919"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eastAsia="HeiT" w:hAnsi="Times New Roman" w:cs="Times New Roman"/>
                <w:sz w:val="23"/>
                <w:szCs w:val="23"/>
              </w:rPr>
              <w:t>Yes</w:t>
            </w:r>
          </w:p>
        </w:tc>
      </w:tr>
      <w:tr w:rsidR="009642F7" w:rsidRPr="009642F7" w14:paraId="59557820" w14:textId="77777777" w:rsidTr="003E70AA">
        <w:tc>
          <w:tcPr>
            <w:tcW w:w="1811" w:type="pct"/>
            <w:tcBorders>
              <w:top w:val="nil"/>
              <w:left w:val="nil"/>
              <w:bottom w:val="nil"/>
              <w:right w:val="nil"/>
            </w:tcBorders>
            <w:shd w:val="clear" w:color="auto" w:fill="auto"/>
            <w:noWrap/>
            <w:vAlign w:val="center"/>
          </w:tcPr>
          <w:p w14:paraId="58EBBA67" w14:textId="77777777" w:rsidR="00277281" w:rsidRPr="009642F7" w:rsidRDefault="00277281" w:rsidP="00917159">
            <w:pPr>
              <w:snapToGrid w:val="0"/>
              <w:rPr>
                <w:rFonts w:ascii="Times New Roman" w:hAnsi="Times New Roman" w:cs="Times New Roman"/>
                <w:i/>
                <w:iCs/>
                <w:sz w:val="23"/>
                <w:szCs w:val="23"/>
              </w:rPr>
            </w:pPr>
          </w:p>
        </w:tc>
        <w:tc>
          <w:tcPr>
            <w:tcW w:w="1242" w:type="pct"/>
            <w:tcBorders>
              <w:top w:val="nil"/>
              <w:left w:val="nil"/>
              <w:bottom w:val="nil"/>
              <w:right w:val="nil"/>
            </w:tcBorders>
            <w:shd w:val="clear" w:color="auto" w:fill="auto"/>
            <w:noWrap/>
            <w:vAlign w:val="center"/>
          </w:tcPr>
          <w:p w14:paraId="665ADDCD"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46FC0040" w14:textId="77777777" w:rsidR="00277281" w:rsidRPr="009642F7" w:rsidRDefault="00277281"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4CA27DFA" w14:textId="77777777" w:rsidR="00277281" w:rsidRPr="009642F7" w:rsidRDefault="00277281" w:rsidP="00917159">
            <w:pPr>
              <w:snapToGrid w:val="0"/>
              <w:jc w:val="center"/>
              <w:rPr>
                <w:rFonts w:ascii="Times New Roman" w:eastAsia="HeiT" w:hAnsi="Times New Roman" w:cs="Times New Roman"/>
                <w:sz w:val="23"/>
                <w:szCs w:val="23"/>
              </w:rPr>
            </w:pPr>
          </w:p>
        </w:tc>
        <w:tc>
          <w:tcPr>
            <w:tcW w:w="800" w:type="pct"/>
            <w:tcBorders>
              <w:top w:val="nil"/>
              <w:left w:val="nil"/>
              <w:bottom w:val="nil"/>
              <w:right w:val="nil"/>
            </w:tcBorders>
          </w:tcPr>
          <w:p w14:paraId="10C7BAC9" w14:textId="77777777" w:rsidR="00277281" w:rsidRPr="009642F7" w:rsidRDefault="00277281" w:rsidP="00917159">
            <w:pPr>
              <w:snapToGrid w:val="0"/>
              <w:jc w:val="center"/>
              <w:rPr>
                <w:rFonts w:ascii="Times New Roman" w:eastAsia="HeiT" w:hAnsi="Times New Roman" w:cs="Times New Roman"/>
                <w:sz w:val="23"/>
                <w:szCs w:val="23"/>
              </w:rPr>
            </w:pPr>
          </w:p>
        </w:tc>
      </w:tr>
      <w:tr w:rsidR="009642F7" w:rsidRPr="009642F7" w14:paraId="280B90FD" w14:textId="77777777" w:rsidTr="003E70AA">
        <w:tc>
          <w:tcPr>
            <w:tcW w:w="1811" w:type="pct"/>
            <w:tcBorders>
              <w:top w:val="nil"/>
              <w:left w:val="nil"/>
              <w:bottom w:val="nil"/>
              <w:right w:val="nil"/>
            </w:tcBorders>
            <w:shd w:val="clear" w:color="auto" w:fill="auto"/>
            <w:noWrap/>
            <w:vAlign w:val="center"/>
            <w:hideMark/>
          </w:tcPr>
          <w:p w14:paraId="3EEE4BED" w14:textId="77777777" w:rsidR="003E70AA" w:rsidRPr="009642F7" w:rsidRDefault="003E70AA" w:rsidP="00917159">
            <w:pPr>
              <w:snapToGrid w:val="0"/>
              <w:rPr>
                <w:rFonts w:ascii="Times New Roman" w:hAnsi="Times New Roman" w:cs="Times New Roman"/>
                <w:i/>
                <w:iCs/>
                <w:sz w:val="23"/>
                <w:szCs w:val="23"/>
              </w:rPr>
            </w:pPr>
            <w:r w:rsidRPr="009642F7">
              <w:rPr>
                <w:rFonts w:ascii="Times New Roman" w:hAnsi="Times New Roman" w:cs="Times New Roman"/>
                <w:i/>
                <w:iCs/>
                <w:sz w:val="23"/>
                <w:szCs w:val="23"/>
              </w:rPr>
              <w:t>N</w:t>
            </w:r>
          </w:p>
        </w:tc>
        <w:tc>
          <w:tcPr>
            <w:tcW w:w="1242" w:type="pct"/>
            <w:tcBorders>
              <w:top w:val="nil"/>
              <w:left w:val="nil"/>
              <w:bottom w:val="nil"/>
              <w:right w:val="nil"/>
            </w:tcBorders>
            <w:shd w:val="clear" w:color="auto" w:fill="auto"/>
            <w:noWrap/>
            <w:vAlign w:val="center"/>
            <w:hideMark/>
          </w:tcPr>
          <w:p w14:paraId="56E396F1"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26,578</w:t>
            </w:r>
          </w:p>
        </w:tc>
        <w:tc>
          <w:tcPr>
            <w:tcW w:w="574" w:type="pct"/>
            <w:tcBorders>
              <w:top w:val="nil"/>
              <w:left w:val="nil"/>
              <w:bottom w:val="nil"/>
              <w:right w:val="nil"/>
            </w:tcBorders>
          </w:tcPr>
          <w:p w14:paraId="74227F34"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9,919</w:t>
            </w:r>
          </w:p>
        </w:tc>
        <w:tc>
          <w:tcPr>
            <w:tcW w:w="574" w:type="pct"/>
            <w:tcBorders>
              <w:top w:val="nil"/>
              <w:left w:val="nil"/>
              <w:bottom w:val="nil"/>
              <w:right w:val="nil"/>
            </w:tcBorders>
          </w:tcPr>
          <w:p w14:paraId="6A76DE0E"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16,659</w:t>
            </w:r>
          </w:p>
        </w:tc>
        <w:tc>
          <w:tcPr>
            <w:tcW w:w="800" w:type="pct"/>
            <w:tcBorders>
              <w:top w:val="nil"/>
              <w:left w:val="nil"/>
              <w:bottom w:val="nil"/>
              <w:right w:val="nil"/>
            </w:tcBorders>
            <w:vAlign w:val="center"/>
          </w:tcPr>
          <w:p w14:paraId="6D31BC24"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26,578</w:t>
            </w:r>
          </w:p>
        </w:tc>
      </w:tr>
      <w:tr w:rsidR="009642F7" w:rsidRPr="009642F7" w14:paraId="45C0BF99" w14:textId="77777777" w:rsidTr="003E70AA">
        <w:tc>
          <w:tcPr>
            <w:tcW w:w="1811" w:type="pct"/>
            <w:tcBorders>
              <w:top w:val="nil"/>
              <w:left w:val="nil"/>
              <w:bottom w:val="nil"/>
              <w:right w:val="nil"/>
            </w:tcBorders>
            <w:shd w:val="clear" w:color="auto" w:fill="auto"/>
            <w:noWrap/>
            <w:vAlign w:val="center"/>
            <w:hideMark/>
          </w:tcPr>
          <w:p w14:paraId="5EC60091" w14:textId="77777777" w:rsidR="003E70AA" w:rsidRPr="009642F7" w:rsidRDefault="003E70AA" w:rsidP="00917159">
            <w:pPr>
              <w:snapToGrid w:val="0"/>
              <w:rPr>
                <w:rFonts w:ascii="Times New Roman" w:hAnsi="Times New Roman" w:cs="Times New Roman"/>
                <w:sz w:val="23"/>
                <w:szCs w:val="23"/>
              </w:rPr>
            </w:pPr>
            <w:r w:rsidRPr="009642F7">
              <w:rPr>
                <w:rFonts w:ascii="Times New Roman" w:hAnsi="Times New Roman" w:cs="Times New Roman"/>
                <w:sz w:val="23"/>
                <w:szCs w:val="23"/>
              </w:rPr>
              <w:t>−2 Log−likelihood</w:t>
            </w:r>
          </w:p>
        </w:tc>
        <w:tc>
          <w:tcPr>
            <w:tcW w:w="1242" w:type="pct"/>
            <w:tcBorders>
              <w:top w:val="nil"/>
              <w:left w:val="nil"/>
              <w:bottom w:val="nil"/>
              <w:right w:val="nil"/>
            </w:tcBorders>
            <w:shd w:val="clear" w:color="auto" w:fill="auto"/>
            <w:noWrap/>
            <w:vAlign w:val="center"/>
            <w:hideMark/>
          </w:tcPr>
          <w:p w14:paraId="6D109F87"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7661.1</w:t>
            </w:r>
          </w:p>
        </w:tc>
        <w:tc>
          <w:tcPr>
            <w:tcW w:w="574" w:type="pct"/>
            <w:tcBorders>
              <w:top w:val="nil"/>
              <w:left w:val="nil"/>
              <w:bottom w:val="nil"/>
              <w:right w:val="nil"/>
            </w:tcBorders>
          </w:tcPr>
          <w:p w14:paraId="31C4EA9E"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hAnsi="Times New Roman" w:cs="Times New Roman"/>
                <w:sz w:val="23"/>
                <w:szCs w:val="23"/>
              </w:rPr>
              <w:t>4191.7</w:t>
            </w:r>
          </w:p>
        </w:tc>
        <w:tc>
          <w:tcPr>
            <w:tcW w:w="574" w:type="pct"/>
            <w:tcBorders>
              <w:top w:val="nil"/>
              <w:left w:val="nil"/>
              <w:bottom w:val="nil"/>
              <w:right w:val="nil"/>
            </w:tcBorders>
          </w:tcPr>
          <w:p w14:paraId="6A696A84"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2741.4</w:t>
            </w:r>
          </w:p>
        </w:tc>
        <w:tc>
          <w:tcPr>
            <w:tcW w:w="800" w:type="pct"/>
            <w:tcBorders>
              <w:top w:val="nil"/>
              <w:left w:val="nil"/>
              <w:bottom w:val="nil"/>
              <w:right w:val="nil"/>
            </w:tcBorders>
          </w:tcPr>
          <w:p w14:paraId="69282FDA" w14:textId="77777777" w:rsidR="003E70AA" w:rsidRPr="009642F7" w:rsidRDefault="003E70AA" w:rsidP="00917159">
            <w:pPr>
              <w:snapToGrid w:val="0"/>
              <w:jc w:val="center"/>
              <w:rPr>
                <w:rFonts w:ascii="Times New Roman" w:hAnsi="Times New Roman" w:cs="Times New Roman"/>
                <w:sz w:val="23"/>
                <w:szCs w:val="23"/>
              </w:rPr>
            </w:pPr>
          </w:p>
        </w:tc>
      </w:tr>
      <w:tr w:rsidR="009642F7" w:rsidRPr="009642F7" w14:paraId="7AA282AD" w14:textId="77777777" w:rsidTr="003E70AA">
        <w:tc>
          <w:tcPr>
            <w:tcW w:w="1811" w:type="pct"/>
            <w:tcBorders>
              <w:top w:val="nil"/>
              <w:left w:val="nil"/>
              <w:bottom w:val="nil"/>
              <w:right w:val="nil"/>
            </w:tcBorders>
            <w:shd w:val="clear" w:color="auto" w:fill="auto"/>
            <w:noWrap/>
            <w:vAlign w:val="center"/>
            <w:hideMark/>
          </w:tcPr>
          <w:p w14:paraId="0E831EA9" w14:textId="77777777" w:rsidR="003E70AA" w:rsidRPr="009642F7" w:rsidRDefault="003E70AA" w:rsidP="00917159">
            <w:pPr>
              <w:snapToGrid w:val="0"/>
              <w:rPr>
                <w:rFonts w:ascii="Times New Roman" w:hAnsi="Times New Roman" w:cs="Times New Roman"/>
                <w:sz w:val="23"/>
                <w:szCs w:val="23"/>
              </w:rPr>
            </w:pPr>
            <w:r w:rsidRPr="009642F7">
              <w:rPr>
                <w:rFonts w:ascii="Times New Roman" w:hAnsi="Times New Roman" w:cs="Times New Roman"/>
                <w:sz w:val="23"/>
                <w:szCs w:val="23"/>
              </w:rPr>
              <w:t>Percent Concordant</w:t>
            </w:r>
          </w:p>
        </w:tc>
        <w:tc>
          <w:tcPr>
            <w:tcW w:w="1242" w:type="pct"/>
            <w:tcBorders>
              <w:top w:val="nil"/>
              <w:left w:val="nil"/>
              <w:bottom w:val="nil"/>
              <w:right w:val="nil"/>
            </w:tcBorders>
            <w:shd w:val="clear" w:color="auto" w:fill="auto"/>
            <w:noWrap/>
            <w:vAlign w:val="center"/>
            <w:hideMark/>
          </w:tcPr>
          <w:p w14:paraId="573BF736"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80.1</w:t>
            </w:r>
          </w:p>
        </w:tc>
        <w:tc>
          <w:tcPr>
            <w:tcW w:w="574" w:type="pct"/>
            <w:tcBorders>
              <w:top w:val="nil"/>
              <w:left w:val="nil"/>
              <w:bottom w:val="nil"/>
              <w:right w:val="nil"/>
            </w:tcBorders>
          </w:tcPr>
          <w:p w14:paraId="3287A6D6"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hAnsi="Times New Roman" w:cs="Times New Roman"/>
                <w:sz w:val="23"/>
                <w:szCs w:val="23"/>
              </w:rPr>
              <w:t>79.6</w:t>
            </w:r>
          </w:p>
        </w:tc>
        <w:tc>
          <w:tcPr>
            <w:tcW w:w="574" w:type="pct"/>
            <w:tcBorders>
              <w:top w:val="nil"/>
              <w:left w:val="nil"/>
              <w:bottom w:val="nil"/>
              <w:right w:val="nil"/>
            </w:tcBorders>
          </w:tcPr>
          <w:p w14:paraId="19183FE1" w14:textId="77777777" w:rsidR="003E70AA" w:rsidRPr="009642F7" w:rsidRDefault="003E70AA" w:rsidP="00917159">
            <w:pPr>
              <w:snapToGrid w:val="0"/>
              <w:jc w:val="center"/>
              <w:rPr>
                <w:rFonts w:ascii="Times New Roman" w:hAnsi="Times New Roman" w:cs="Times New Roman"/>
                <w:sz w:val="23"/>
                <w:szCs w:val="23"/>
              </w:rPr>
            </w:pPr>
            <w:r w:rsidRPr="009642F7">
              <w:rPr>
                <w:rFonts w:ascii="Times New Roman" w:hAnsi="Times New Roman" w:cs="Times New Roman"/>
                <w:sz w:val="23"/>
                <w:szCs w:val="23"/>
              </w:rPr>
              <w:t>75.5</w:t>
            </w:r>
          </w:p>
        </w:tc>
        <w:tc>
          <w:tcPr>
            <w:tcW w:w="800" w:type="pct"/>
            <w:tcBorders>
              <w:top w:val="nil"/>
              <w:left w:val="nil"/>
              <w:bottom w:val="nil"/>
              <w:right w:val="nil"/>
            </w:tcBorders>
          </w:tcPr>
          <w:p w14:paraId="52574FF0" w14:textId="77777777" w:rsidR="003E70AA" w:rsidRPr="009642F7" w:rsidRDefault="003E70AA" w:rsidP="00917159">
            <w:pPr>
              <w:snapToGrid w:val="0"/>
              <w:jc w:val="center"/>
              <w:rPr>
                <w:rFonts w:ascii="Times New Roman" w:hAnsi="Times New Roman" w:cs="Times New Roman"/>
                <w:sz w:val="23"/>
                <w:szCs w:val="23"/>
              </w:rPr>
            </w:pPr>
          </w:p>
        </w:tc>
      </w:tr>
      <w:tr w:rsidR="009642F7" w:rsidRPr="009642F7" w14:paraId="11B1EDEF" w14:textId="77777777" w:rsidTr="003E70AA">
        <w:tc>
          <w:tcPr>
            <w:tcW w:w="1811" w:type="pct"/>
            <w:tcBorders>
              <w:top w:val="nil"/>
              <w:left w:val="nil"/>
              <w:bottom w:val="nil"/>
              <w:right w:val="nil"/>
            </w:tcBorders>
            <w:shd w:val="clear" w:color="auto" w:fill="auto"/>
            <w:noWrap/>
            <w:vAlign w:val="center"/>
            <w:hideMark/>
          </w:tcPr>
          <w:p w14:paraId="477C148B" w14:textId="77777777" w:rsidR="003E70AA" w:rsidRPr="009642F7" w:rsidRDefault="003E70AA" w:rsidP="00917159">
            <w:pPr>
              <w:snapToGrid w:val="0"/>
              <w:rPr>
                <w:rFonts w:ascii="Times New Roman" w:hAnsi="Times New Roman" w:cs="Times New Roman"/>
                <w:sz w:val="23"/>
                <w:szCs w:val="23"/>
              </w:rPr>
            </w:pPr>
            <w:r w:rsidRPr="009642F7">
              <w:rPr>
                <w:rFonts w:ascii="Times New Roman" w:hAnsi="Times New Roman" w:cs="Times New Roman"/>
                <w:sz w:val="23"/>
                <w:szCs w:val="23"/>
              </w:rPr>
              <w:t xml:space="preserve">Pseudo </w:t>
            </w:r>
            <w:r w:rsidRPr="009642F7">
              <w:rPr>
                <w:rFonts w:ascii="Times New Roman" w:hAnsi="Times New Roman" w:cs="Times New Roman"/>
                <w:i/>
                <w:iCs/>
                <w:sz w:val="23"/>
                <w:szCs w:val="23"/>
              </w:rPr>
              <w:t>R</w:t>
            </w:r>
            <w:r w:rsidRPr="009642F7">
              <w:rPr>
                <w:rFonts w:ascii="Times New Roman" w:hAnsi="Times New Roman" w:cs="Times New Roman"/>
                <w:sz w:val="23"/>
                <w:szCs w:val="23"/>
                <w:vertAlign w:val="superscript"/>
              </w:rPr>
              <w:t>2</w:t>
            </w:r>
          </w:p>
        </w:tc>
        <w:tc>
          <w:tcPr>
            <w:tcW w:w="1242" w:type="pct"/>
            <w:tcBorders>
              <w:top w:val="nil"/>
              <w:left w:val="nil"/>
              <w:bottom w:val="nil"/>
              <w:right w:val="nil"/>
            </w:tcBorders>
            <w:shd w:val="clear" w:color="auto" w:fill="auto"/>
            <w:noWrap/>
            <w:vAlign w:val="center"/>
            <w:hideMark/>
          </w:tcPr>
          <w:p w14:paraId="7E2CEF56"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17.93%</w:t>
            </w:r>
          </w:p>
        </w:tc>
        <w:tc>
          <w:tcPr>
            <w:tcW w:w="574" w:type="pct"/>
            <w:tcBorders>
              <w:top w:val="nil"/>
              <w:left w:val="nil"/>
              <w:bottom w:val="nil"/>
              <w:right w:val="nil"/>
            </w:tcBorders>
            <w:vAlign w:val="center"/>
          </w:tcPr>
          <w:p w14:paraId="1CE6A417"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19.42%</w:t>
            </w:r>
          </w:p>
        </w:tc>
        <w:tc>
          <w:tcPr>
            <w:tcW w:w="574" w:type="pct"/>
            <w:tcBorders>
              <w:top w:val="nil"/>
              <w:left w:val="nil"/>
              <w:bottom w:val="nil"/>
              <w:right w:val="nil"/>
            </w:tcBorders>
          </w:tcPr>
          <w:p w14:paraId="5731C4EB"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10.54%</w:t>
            </w:r>
          </w:p>
        </w:tc>
        <w:tc>
          <w:tcPr>
            <w:tcW w:w="800" w:type="pct"/>
            <w:tcBorders>
              <w:top w:val="nil"/>
              <w:left w:val="nil"/>
              <w:bottom w:val="nil"/>
              <w:right w:val="nil"/>
            </w:tcBorders>
          </w:tcPr>
          <w:p w14:paraId="2B5C5EE9" w14:textId="77777777" w:rsidR="003E70AA" w:rsidRPr="009642F7" w:rsidRDefault="003E70AA" w:rsidP="00917159">
            <w:pPr>
              <w:snapToGrid w:val="0"/>
              <w:jc w:val="center"/>
              <w:rPr>
                <w:rFonts w:ascii="Times New Roman" w:eastAsia="HeiT" w:hAnsi="Times New Roman" w:cs="Times New Roman"/>
                <w:sz w:val="23"/>
                <w:szCs w:val="23"/>
              </w:rPr>
            </w:pPr>
          </w:p>
        </w:tc>
      </w:tr>
      <w:tr w:rsidR="009642F7" w:rsidRPr="009642F7" w14:paraId="382A85AA" w14:textId="77777777" w:rsidTr="003E70AA">
        <w:tc>
          <w:tcPr>
            <w:tcW w:w="1811" w:type="pct"/>
            <w:tcBorders>
              <w:top w:val="nil"/>
              <w:left w:val="nil"/>
              <w:bottom w:val="nil"/>
              <w:right w:val="nil"/>
            </w:tcBorders>
            <w:shd w:val="clear" w:color="auto" w:fill="auto"/>
            <w:noWrap/>
            <w:vAlign w:val="center"/>
          </w:tcPr>
          <w:p w14:paraId="7201A2C4" w14:textId="77777777" w:rsidR="003E70AA" w:rsidRPr="009642F7" w:rsidRDefault="003E70AA" w:rsidP="00917159">
            <w:pPr>
              <w:snapToGrid w:val="0"/>
              <w:rPr>
                <w:rFonts w:ascii="Times New Roman" w:hAnsi="Times New Roman" w:cs="Times New Roman"/>
                <w:sz w:val="23"/>
                <w:szCs w:val="23"/>
              </w:rPr>
            </w:pPr>
            <w:r w:rsidRPr="009642F7">
              <w:rPr>
                <w:rFonts w:ascii="Times New Roman" w:hAnsi="Times New Roman" w:cs="Times New Roman"/>
                <w:sz w:val="23"/>
                <w:szCs w:val="23"/>
              </w:rPr>
              <w:t>Likelihood Ratio Statistic (</w:t>
            </w:r>
            <w:r w:rsidRPr="009642F7">
              <w:rPr>
                <w:rFonts w:ascii="Times New Roman" w:hAnsi="Times New Roman" w:cs="Times New Roman"/>
                <w:i/>
                <w:sz w:val="23"/>
                <w:szCs w:val="23"/>
              </w:rPr>
              <w:t>p</w:t>
            </w:r>
            <w:r w:rsidRPr="009642F7">
              <w:rPr>
                <w:rFonts w:ascii="Times New Roman" w:hAnsi="Times New Roman" w:cs="Times New Roman"/>
                <w:sz w:val="23"/>
                <w:szCs w:val="23"/>
              </w:rPr>
              <w:t>-value)</w:t>
            </w:r>
          </w:p>
        </w:tc>
        <w:tc>
          <w:tcPr>
            <w:tcW w:w="1242" w:type="pct"/>
            <w:tcBorders>
              <w:top w:val="nil"/>
              <w:left w:val="nil"/>
              <w:bottom w:val="nil"/>
              <w:right w:val="nil"/>
            </w:tcBorders>
            <w:shd w:val="clear" w:color="auto" w:fill="auto"/>
            <w:noWrap/>
            <w:vAlign w:val="center"/>
          </w:tcPr>
          <w:p w14:paraId="43CE3B34" w14:textId="77777777" w:rsidR="003E70AA" w:rsidRPr="009642F7" w:rsidRDefault="003E70AA"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vAlign w:val="center"/>
          </w:tcPr>
          <w:p w14:paraId="59C2196C" w14:textId="77777777" w:rsidR="003E70AA" w:rsidRPr="009642F7" w:rsidRDefault="003E70AA" w:rsidP="00917159">
            <w:pPr>
              <w:snapToGrid w:val="0"/>
              <w:jc w:val="center"/>
              <w:rPr>
                <w:rFonts w:ascii="Times New Roman" w:eastAsia="HeiT" w:hAnsi="Times New Roman" w:cs="Times New Roman"/>
                <w:sz w:val="23"/>
                <w:szCs w:val="23"/>
              </w:rPr>
            </w:pPr>
          </w:p>
        </w:tc>
        <w:tc>
          <w:tcPr>
            <w:tcW w:w="574" w:type="pct"/>
            <w:tcBorders>
              <w:top w:val="nil"/>
              <w:left w:val="nil"/>
              <w:bottom w:val="nil"/>
              <w:right w:val="nil"/>
            </w:tcBorders>
          </w:tcPr>
          <w:p w14:paraId="065634C8" w14:textId="77777777" w:rsidR="003E70AA" w:rsidRPr="009642F7" w:rsidRDefault="003E70AA" w:rsidP="00917159">
            <w:pPr>
              <w:snapToGrid w:val="0"/>
              <w:jc w:val="center"/>
              <w:rPr>
                <w:rFonts w:ascii="Times New Roman" w:eastAsia="HeiT" w:hAnsi="Times New Roman" w:cs="Times New Roman"/>
                <w:sz w:val="23"/>
                <w:szCs w:val="23"/>
              </w:rPr>
            </w:pPr>
          </w:p>
        </w:tc>
        <w:tc>
          <w:tcPr>
            <w:tcW w:w="800" w:type="pct"/>
            <w:tcBorders>
              <w:top w:val="nil"/>
              <w:left w:val="nil"/>
              <w:bottom w:val="nil"/>
              <w:right w:val="nil"/>
            </w:tcBorders>
          </w:tcPr>
          <w:p w14:paraId="34338964"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hAnsi="Times New Roman" w:cs="Times New Roman"/>
                <w:sz w:val="23"/>
                <w:szCs w:val="23"/>
              </w:rPr>
              <w:t>1417.2(&lt;0.01)</w:t>
            </w:r>
          </w:p>
        </w:tc>
      </w:tr>
      <w:tr w:rsidR="003E70AA" w:rsidRPr="009642F7" w14:paraId="2B22B31E" w14:textId="77777777" w:rsidTr="003E70AA">
        <w:tc>
          <w:tcPr>
            <w:tcW w:w="1811" w:type="pct"/>
            <w:tcBorders>
              <w:top w:val="nil"/>
              <w:left w:val="nil"/>
              <w:bottom w:val="single" w:sz="4" w:space="0" w:color="auto"/>
              <w:right w:val="nil"/>
            </w:tcBorders>
            <w:shd w:val="clear" w:color="auto" w:fill="auto"/>
            <w:noWrap/>
            <w:vAlign w:val="center"/>
          </w:tcPr>
          <w:p w14:paraId="52569769" w14:textId="77777777" w:rsidR="003E70AA" w:rsidRPr="009642F7" w:rsidRDefault="003E70AA" w:rsidP="00917159">
            <w:pPr>
              <w:snapToGrid w:val="0"/>
              <w:rPr>
                <w:rFonts w:ascii="Times New Roman" w:hAnsi="Times New Roman" w:cs="Times New Roman"/>
                <w:sz w:val="23"/>
                <w:szCs w:val="23"/>
              </w:rPr>
            </w:pPr>
            <w:r w:rsidRPr="009642F7">
              <w:rPr>
                <w:rFonts w:ascii="Times New Roman" w:hAnsi="Times New Roman" w:cs="Times New Roman"/>
                <w:sz w:val="23"/>
                <w:szCs w:val="23"/>
              </w:rPr>
              <w:t xml:space="preserve">Max-rescaled </w:t>
            </w:r>
            <w:r w:rsidRPr="009642F7">
              <w:rPr>
                <w:rFonts w:ascii="Times New Roman" w:hAnsi="Times New Roman" w:cs="Times New Roman"/>
                <w:i/>
                <w:iCs/>
                <w:sz w:val="23"/>
                <w:szCs w:val="23"/>
              </w:rPr>
              <w:t>R</w:t>
            </w:r>
            <w:r w:rsidRPr="009642F7">
              <w:rPr>
                <w:rFonts w:ascii="Times New Roman" w:hAnsi="Times New Roman" w:cs="Times New Roman"/>
                <w:sz w:val="23"/>
                <w:szCs w:val="23"/>
                <w:vertAlign w:val="superscript"/>
              </w:rPr>
              <w:t>2</w:t>
            </w:r>
          </w:p>
        </w:tc>
        <w:tc>
          <w:tcPr>
            <w:tcW w:w="1242" w:type="pct"/>
            <w:tcBorders>
              <w:top w:val="nil"/>
              <w:left w:val="nil"/>
              <w:bottom w:val="single" w:sz="4" w:space="0" w:color="auto"/>
              <w:right w:val="nil"/>
            </w:tcBorders>
            <w:shd w:val="clear" w:color="auto" w:fill="auto"/>
            <w:noWrap/>
            <w:vAlign w:val="center"/>
          </w:tcPr>
          <w:p w14:paraId="5EFB6A03" w14:textId="77777777" w:rsidR="003E70AA" w:rsidRPr="009642F7" w:rsidRDefault="003E70AA" w:rsidP="00917159">
            <w:pPr>
              <w:snapToGrid w:val="0"/>
              <w:jc w:val="center"/>
              <w:rPr>
                <w:rFonts w:ascii="Times New Roman" w:eastAsia="HeiT" w:hAnsi="Times New Roman" w:cs="Times New Roman"/>
                <w:sz w:val="23"/>
                <w:szCs w:val="23"/>
              </w:rPr>
            </w:pPr>
          </w:p>
        </w:tc>
        <w:tc>
          <w:tcPr>
            <w:tcW w:w="574" w:type="pct"/>
            <w:tcBorders>
              <w:top w:val="nil"/>
              <w:left w:val="nil"/>
              <w:bottom w:val="single" w:sz="4" w:space="0" w:color="auto"/>
              <w:right w:val="nil"/>
            </w:tcBorders>
            <w:vAlign w:val="center"/>
          </w:tcPr>
          <w:p w14:paraId="6E1EF13E" w14:textId="77777777" w:rsidR="003E70AA" w:rsidRPr="009642F7" w:rsidRDefault="003E70AA" w:rsidP="00917159">
            <w:pPr>
              <w:snapToGrid w:val="0"/>
              <w:jc w:val="center"/>
              <w:rPr>
                <w:rFonts w:ascii="Times New Roman" w:eastAsia="HeiT" w:hAnsi="Times New Roman" w:cs="Times New Roman"/>
                <w:sz w:val="23"/>
                <w:szCs w:val="23"/>
              </w:rPr>
            </w:pPr>
          </w:p>
        </w:tc>
        <w:tc>
          <w:tcPr>
            <w:tcW w:w="574" w:type="pct"/>
            <w:tcBorders>
              <w:top w:val="nil"/>
              <w:left w:val="nil"/>
              <w:bottom w:val="single" w:sz="4" w:space="0" w:color="auto"/>
              <w:right w:val="nil"/>
            </w:tcBorders>
          </w:tcPr>
          <w:p w14:paraId="3419D6E7" w14:textId="77777777" w:rsidR="003E70AA" w:rsidRPr="009642F7" w:rsidRDefault="003E70AA" w:rsidP="00917159">
            <w:pPr>
              <w:snapToGrid w:val="0"/>
              <w:jc w:val="center"/>
              <w:rPr>
                <w:rFonts w:ascii="Times New Roman" w:eastAsia="HeiT" w:hAnsi="Times New Roman" w:cs="Times New Roman"/>
                <w:sz w:val="23"/>
                <w:szCs w:val="23"/>
              </w:rPr>
            </w:pPr>
          </w:p>
        </w:tc>
        <w:tc>
          <w:tcPr>
            <w:tcW w:w="800" w:type="pct"/>
            <w:tcBorders>
              <w:top w:val="nil"/>
              <w:left w:val="nil"/>
              <w:bottom w:val="single" w:sz="4" w:space="0" w:color="auto"/>
              <w:right w:val="nil"/>
            </w:tcBorders>
          </w:tcPr>
          <w:p w14:paraId="5E562DAA" w14:textId="77777777" w:rsidR="003E70AA" w:rsidRPr="009642F7" w:rsidRDefault="003E70AA" w:rsidP="00917159">
            <w:pPr>
              <w:snapToGrid w:val="0"/>
              <w:jc w:val="center"/>
              <w:rPr>
                <w:rFonts w:ascii="Times New Roman" w:eastAsia="HeiT" w:hAnsi="Times New Roman" w:cs="Times New Roman"/>
                <w:sz w:val="23"/>
                <w:szCs w:val="23"/>
              </w:rPr>
            </w:pPr>
            <w:r w:rsidRPr="009642F7">
              <w:rPr>
                <w:rFonts w:ascii="Times New Roman" w:eastAsia="HeiT" w:hAnsi="Times New Roman" w:cs="Times New Roman"/>
                <w:sz w:val="23"/>
                <w:szCs w:val="23"/>
              </w:rPr>
              <w:t>19.06%</w:t>
            </w:r>
          </w:p>
        </w:tc>
      </w:tr>
    </w:tbl>
    <w:p w14:paraId="6D3E5000" w14:textId="77777777" w:rsidR="0097163A" w:rsidRPr="009642F7" w:rsidRDefault="0097163A">
      <w:pPr>
        <w:rPr>
          <w:rFonts w:ascii="Times New Roman" w:hAnsi="Times New Roman" w:cs="Times New Roman"/>
        </w:rPr>
      </w:pPr>
    </w:p>
    <w:p w14:paraId="0A90027E" w14:textId="77777777" w:rsidR="00513AE7" w:rsidRPr="009642F7" w:rsidRDefault="00513AE7">
      <w:pPr>
        <w:rPr>
          <w:rFonts w:ascii="Times New Roman" w:hAnsi="Times New Roman" w:cs="Times New Roman"/>
        </w:rPr>
      </w:pPr>
      <w:r w:rsidRPr="009642F7">
        <w:rPr>
          <w:rFonts w:ascii="Times New Roman" w:hAnsi="Times New Roman" w:cs="Times New Roman"/>
        </w:rPr>
        <w:br w:type="page"/>
      </w:r>
    </w:p>
    <w:tbl>
      <w:tblPr>
        <w:tblW w:w="5000" w:type="pct"/>
        <w:tblCellMar>
          <w:left w:w="28" w:type="dxa"/>
          <w:right w:w="28" w:type="dxa"/>
        </w:tblCellMar>
        <w:tblLook w:val="04A0" w:firstRow="1" w:lastRow="0" w:firstColumn="1" w:lastColumn="0" w:noHBand="0" w:noVBand="1"/>
      </w:tblPr>
      <w:tblGrid>
        <w:gridCol w:w="3240"/>
        <w:gridCol w:w="1408"/>
        <w:gridCol w:w="1525"/>
        <w:gridCol w:w="1406"/>
        <w:gridCol w:w="248"/>
        <w:gridCol w:w="1811"/>
      </w:tblGrid>
      <w:tr w:rsidR="009642F7" w:rsidRPr="009642F7" w14:paraId="79FC809F" w14:textId="77777777" w:rsidTr="00AC0E68">
        <w:trPr>
          <w:trHeight w:val="330"/>
        </w:trPr>
        <w:tc>
          <w:tcPr>
            <w:tcW w:w="5000" w:type="pct"/>
            <w:gridSpan w:val="6"/>
            <w:tcBorders>
              <w:top w:val="nil"/>
              <w:left w:val="nil"/>
              <w:bottom w:val="single" w:sz="4" w:space="0" w:color="auto"/>
              <w:right w:val="nil"/>
            </w:tcBorders>
            <w:shd w:val="clear" w:color="auto" w:fill="auto"/>
            <w:noWrap/>
            <w:vAlign w:val="center"/>
          </w:tcPr>
          <w:p w14:paraId="51BC643A" w14:textId="77777777" w:rsidR="00AC0E68" w:rsidRPr="009642F7" w:rsidRDefault="00AC0E68" w:rsidP="00AC0E68">
            <w:pPr>
              <w:snapToGrid w:val="0"/>
              <w:jc w:val="center"/>
              <w:rPr>
                <w:rFonts w:ascii="Times New Roman" w:hAnsi="Times New Roman" w:cs="Times New Roman"/>
                <w:b/>
              </w:rPr>
            </w:pPr>
            <w:r w:rsidRPr="009642F7">
              <w:rPr>
                <w:rFonts w:ascii="Times New Roman" w:hAnsi="Times New Roman" w:cs="Times New Roman"/>
                <w:b/>
              </w:rPr>
              <w:lastRenderedPageBreak/>
              <w:t xml:space="preserve">Table </w:t>
            </w:r>
            <w:r w:rsidR="00765046" w:rsidRPr="009642F7">
              <w:rPr>
                <w:rFonts w:ascii="Times New Roman" w:hAnsi="Times New Roman" w:cs="Times New Roman"/>
                <w:b/>
              </w:rPr>
              <w:t>6</w:t>
            </w:r>
            <w:r w:rsidRPr="009642F7">
              <w:rPr>
                <w:rFonts w:ascii="Times New Roman" w:hAnsi="Times New Roman" w:cs="Times New Roman"/>
                <w:b/>
              </w:rPr>
              <w:t xml:space="preserve">. Media Coverage and the Incidence of Financial Restatements: </w:t>
            </w:r>
          </w:p>
          <w:p w14:paraId="435DF7B6" w14:textId="77777777" w:rsidR="00AC0E68" w:rsidRPr="009642F7" w:rsidRDefault="00AC0E68" w:rsidP="00AC0E68">
            <w:pPr>
              <w:snapToGrid w:val="0"/>
              <w:jc w:val="center"/>
              <w:rPr>
                <w:rFonts w:ascii="Times New Roman" w:hAnsi="Times New Roman" w:cs="Times New Roman"/>
                <w:b/>
              </w:rPr>
            </w:pPr>
            <w:r w:rsidRPr="009642F7">
              <w:rPr>
                <w:rFonts w:ascii="Times New Roman" w:hAnsi="Times New Roman" w:cs="Times New Roman"/>
                <w:b/>
              </w:rPr>
              <w:t>Considering Mediating Effect of Qualified Foreign Institutional Investor Ownership</w:t>
            </w:r>
          </w:p>
          <w:p w14:paraId="06F4D783" w14:textId="77777777" w:rsidR="00AC0E68" w:rsidRPr="009642F7" w:rsidRDefault="00651D96" w:rsidP="002959B1">
            <w:pPr>
              <w:snapToGrid w:val="0"/>
              <w:jc w:val="both"/>
              <w:rPr>
                <w:rFonts w:ascii="Times New Roman" w:hAnsi="Times New Roman" w:cs="Times New Roman"/>
              </w:rPr>
            </w:pPr>
            <w:r w:rsidRPr="009642F7">
              <w:rPr>
                <w:rFonts w:ascii="Times New Roman" w:hAnsi="Times New Roman" w:cs="Times New Roman"/>
              </w:rPr>
              <w:t xml:space="preserve">This table reports the results of Probit regressions with </w:t>
            </w:r>
            <w:r w:rsidRPr="009642F7">
              <w:rPr>
                <w:rFonts w:ascii="Times New Roman" w:hAnsi="Times New Roman" w:cs="Times New Roman"/>
                <w:i/>
              </w:rPr>
              <w:t>Restat</w:t>
            </w:r>
            <w:r w:rsidRPr="009642F7">
              <w:rPr>
                <w:rFonts w:ascii="Times New Roman" w:hAnsi="Times New Roman" w:cs="Times New Roman"/>
              </w:rPr>
              <w:t xml:space="preserve"> </w:t>
            </w:r>
            <w:r w:rsidRPr="009642F7">
              <w:rPr>
                <w:rFonts w:ascii="Times New Roman" w:eastAsia="HeiT" w:hAnsi="Times New Roman" w:cs="Times New Roman"/>
                <w:bCs/>
              </w:rPr>
              <w:t xml:space="preserve">as the dependent variable and </w:t>
            </w:r>
            <w:r w:rsidRPr="009642F7">
              <w:rPr>
                <w:rFonts w:ascii="Times New Roman" w:eastAsia="HeiT" w:hAnsi="Times New Roman" w:cs="Times New Roman"/>
                <w:bCs/>
                <w:i/>
              </w:rPr>
              <w:t>Ln</w:t>
            </w:r>
            <w:r w:rsidRPr="009642F7">
              <w:rPr>
                <w:rFonts w:ascii="Times New Roman" w:hAnsi="Times New Roman" w:cs="Times New Roman"/>
                <w:i/>
              </w:rPr>
              <w:t>Media</w:t>
            </w:r>
            <w:r w:rsidRPr="009642F7">
              <w:rPr>
                <w:rFonts w:ascii="Times New Roman" w:eastAsia="HeiT" w:hAnsi="Times New Roman" w:cs="Times New Roman"/>
                <w:bCs/>
              </w:rPr>
              <w:t xml:space="preserve"> as the main independent variable</w:t>
            </w:r>
            <w:r w:rsidRPr="009642F7">
              <w:rPr>
                <w:rFonts w:ascii="Times New Roman" w:hAnsi="Times New Roman" w:cs="Times New Roman"/>
              </w:rPr>
              <w:t xml:space="preserve">, as estimated in Model (3) of Table 4, separately for subsample stocks with high, medium, and low </w:t>
            </w:r>
            <w:r w:rsidRPr="009642F7">
              <w:rPr>
                <w:rFonts w:ascii="Times New Roman" w:hAnsi="Times New Roman" w:cs="Times New Roman"/>
                <w:i/>
              </w:rPr>
              <w:t>QFIIO</w:t>
            </w:r>
            <w:r w:rsidRPr="009642F7">
              <w:rPr>
                <w:rFonts w:ascii="Times New Roman" w:hAnsi="Times New Roman" w:cs="Times New Roman"/>
              </w:rPr>
              <w:t xml:space="preserve"> subsamples. </w:t>
            </w:r>
            <w:r w:rsidRPr="009642F7">
              <w:rPr>
                <w:rFonts w:ascii="Times New Roman" w:hAnsi="Times New Roman" w:cs="Times New Roman"/>
                <w:noProof/>
              </w:rPr>
              <w:t>Our sample contains the TWSE/TPEx stocks during the period of 2000</w:t>
            </w:r>
            <w:r w:rsidRPr="009642F7">
              <w:rPr>
                <w:rFonts w:ascii="Times New Roman" w:hAnsi="Times New Roman" w:cs="Times New Roman"/>
                <w:bCs/>
                <w:noProof/>
              </w:rPr>
              <w:t>−</w:t>
            </w:r>
            <w:r w:rsidRPr="009642F7">
              <w:rPr>
                <w:rFonts w:ascii="Times New Roman" w:hAnsi="Times New Roman" w:cs="Times New Roman"/>
                <w:noProof/>
              </w:rPr>
              <w:t xml:space="preserve">2021. </w:t>
            </w:r>
            <w:r w:rsidRPr="009642F7">
              <w:rPr>
                <w:rFonts w:ascii="Times New Roman" w:hAnsi="Times New Roman" w:cs="Times New Roman"/>
                <w:bCs/>
                <w:noProof/>
              </w:rPr>
              <w:t>S</w:t>
            </w:r>
            <w:r w:rsidRPr="009642F7">
              <w:rPr>
                <w:rFonts w:ascii="Times New Roman" w:hAnsi="Times New Roman" w:cs="Times New Roman"/>
                <w:noProof/>
              </w:rPr>
              <w:t xml:space="preserve">tocks in financial industries (two-digit industrial </w:t>
            </w:r>
            <w:r w:rsidRPr="009642F7">
              <w:rPr>
                <w:rFonts w:ascii="Times New Roman" w:hAnsi="Times New Roman" w:cs="Times New Roman"/>
                <w:noProof/>
                <w:shd w:val="clear" w:color="auto" w:fill="FFFFFF"/>
              </w:rPr>
              <w:t>codes</w:t>
            </w:r>
            <w:r w:rsidRPr="009642F7">
              <w:rPr>
                <w:rFonts w:ascii="Times New Roman" w:hAnsi="Times New Roman" w:cs="Times New Roman"/>
                <w:noProof/>
              </w:rPr>
              <w:t xml:space="preserve"> 28, 58, and 60) are deleted.</w:t>
            </w:r>
            <w:r w:rsidRPr="009642F7">
              <w:rPr>
                <w:rFonts w:ascii="Times New Roman" w:hAnsi="Times New Roman" w:cs="Times New Roman"/>
              </w:rPr>
              <w:t xml:space="preserve"> For each sample year </w:t>
            </w:r>
            <m:oMath>
              <m:r>
                <w:rPr>
                  <w:rFonts w:ascii="Cambria Math" w:hAnsi="Cambria Math" w:cs="Times New Roman"/>
                </w:rPr>
                <m:t>t-n</m:t>
              </m:r>
            </m:oMath>
            <w:r w:rsidRPr="009642F7">
              <w:rPr>
                <w:rFonts w:ascii="Times New Roman" w:hAnsi="Times New Roman" w:cs="Times New Roman"/>
              </w:rPr>
              <w:t xml:space="preserve">, sample stocks are allocated into three subsamples of high, medium, and low </w:t>
            </w:r>
            <w:r w:rsidRPr="009642F7">
              <w:rPr>
                <w:rFonts w:ascii="Times New Roman" w:hAnsi="Times New Roman" w:cs="Times New Roman"/>
                <w:i/>
              </w:rPr>
              <w:t>QFIIO</w:t>
            </w:r>
            <w:r w:rsidRPr="009642F7">
              <w:rPr>
                <w:rFonts w:ascii="Times New Roman" w:hAnsi="Times New Roman" w:cs="Times New Roman"/>
              </w:rPr>
              <w:t xml:space="preserve"> (denoted as High, Medium, and Low). We then conduct the Probit regressions analyses by estimating Model (3) of Table 4 for each </w:t>
            </w:r>
            <w:r w:rsidRPr="009642F7">
              <w:rPr>
                <w:rFonts w:ascii="Times New Roman" w:hAnsi="Times New Roman" w:cs="Times New Roman"/>
                <w:i/>
              </w:rPr>
              <w:t>QFIIO</w:t>
            </w:r>
            <w:r w:rsidRPr="009642F7">
              <w:rPr>
                <w:rFonts w:ascii="Times New Roman" w:hAnsi="Times New Roman" w:cs="Times New Roman"/>
              </w:rPr>
              <w:t xml:space="preserve"> tertiles. To save space, only the coefficients on </w:t>
            </w:r>
            <m:oMath>
              <m:sSub>
                <m:sSubPr>
                  <m:ctrlPr>
                    <w:rPr>
                      <w:rFonts w:ascii="Cambria Math" w:eastAsia="HeiT" w:hAnsi="Cambria Math" w:cs="Times New Roman"/>
                      <w:i/>
                    </w:rPr>
                  </m:ctrlPr>
                </m:sSubPr>
                <m:e>
                  <m:r>
                    <w:rPr>
                      <w:rFonts w:ascii="Cambria Math" w:eastAsia="HeiT" w:hAnsi="Cambria Math" w:cs="Times New Roman"/>
                    </w:rPr>
                    <m:t>Ln</m:t>
                  </m:r>
                  <m:r>
                    <w:rPr>
                      <w:rFonts w:ascii="Cambria Math" w:hAnsi="Cambria Math" w:cs="Times New Roman"/>
                    </w:rPr>
                    <m:t>Media</m:t>
                  </m:r>
                </m:e>
                <m:sub>
                  <m:r>
                    <w:rPr>
                      <w:rFonts w:ascii="Cambria Math" w:eastAsia="HeiT" w:hAnsi="Cambria Math" w:cs="Times New Roman"/>
                    </w:rPr>
                    <m:t>i,t-n</m:t>
                  </m:r>
                </m:sub>
              </m:sSub>
            </m:oMath>
            <w:r w:rsidRPr="009642F7">
              <w:rPr>
                <w:rFonts w:ascii="Times New Roman" w:hAnsi="Times New Roman" w:cs="Times New Roman"/>
              </w:rPr>
              <w:t xml:space="preserve">, and their </w:t>
            </w:r>
            <w:r w:rsidRPr="009642F7">
              <w:rPr>
                <w:rFonts w:ascii="Times New Roman" w:hAnsi="Times New Roman" w:cs="Times New Roman"/>
                <w:i/>
              </w:rPr>
              <w:t>p</w:t>
            </w:r>
            <w:r w:rsidRPr="009642F7">
              <w:rPr>
                <w:rFonts w:ascii="Times New Roman" w:hAnsi="Times New Roman" w:cs="Times New Roman"/>
              </w:rPr>
              <w:t>-value</w:t>
            </w:r>
            <w:r w:rsidRPr="009642F7">
              <w:rPr>
                <w:rFonts w:ascii="Times New Roman" w:eastAsia="HeiT" w:hAnsi="Times New Roman" w:cs="Times New Roman"/>
                <w:bCs/>
              </w:rPr>
              <w:t xml:space="preserve"> for t</w:t>
            </w:r>
            <w:r w:rsidRPr="009642F7">
              <w:rPr>
                <w:rFonts w:ascii="Times New Roman" w:hAnsi="Times New Roman" w:cs="Times New Roman"/>
              </w:rPr>
              <w:t>he Wald chi-square of the estimated coefficients</w:t>
            </w:r>
            <w:r w:rsidR="002959B1" w:rsidRPr="009642F7">
              <w:rPr>
                <w:rFonts w:ascii="Times New Roman" w:hAnsi="Times New Roman" w:cs="Times New Roman"/>
              </w:rPr>
              <w:t xml:space="preserve"> (in the parentheses)</w:t>
            </w:r>
            <w:r w:rsidRPr="009642F7">
              <w:rPr>
                <w:rFonts w:ascii="Times New Roman" w:hAnsi="Times New Roman" w:cs="Times New Roman"/>
              </w:rPr>
              <w:t xml:space="preserve"> are reported. </w:t>
            </w:r>
            <w:r w:rsidRPr="009642F7">
              <w:rPr>
                <w:rFonts w:ascii="Times New Roman" w:hAnsi="Times New Roman" w:cs="Times New Roman"/>
                <w:i/>
              </w:rPr>
              <w:t>F</w:t>
            </w:r>
            <w:r w:rsidRPr="009642F7">
              <w:rPr>
                <w:rFonts w:ascii="Times New Roman" w:hAnsi="Times New Roman" w:cs="Times New Roman"/>
              </w:rPr>
              <w:t xml:space="preserve">-test </w:t>
            </w:r>
            <w:r w:rsidR="002959B1" w:rsidRPr="009642F7">
              <w:rPr>
                <w:rFonts w:ascii="Times New Roman" w:hAnsi="Times New Roman" w:cs="Times New Roman"/>
              </w:rPr>
              <w:t xml:space="preserve">and its </w:t>
            </w:r>
            <w:r w:rsidR="002959B1" w:rsidRPr="009642F7">
              <w:rPr>
                <w:rFonts w:ascii="Times New Roman" w:hAnsi="Times New Roman" w:cs="Times New Roman"/>
                <w:i/>
              </w:rPr>
              <w:t>p</w:t>
            </w:r>
            <w:r w:rsidR="002959B1" w:rsidRPr="009642F7">
              <w:rPr>
                <w:rFonts w:ascii="Times New Roman" w:hAnsi="Times New Roman" w:cs="Times New Roman"/>
              </w:rPr>
              <w:t xml:space="preserve">-value </w:t>
            </w:r>
            <w:r w:rsidRPr="009642F7">
              <w:rPr>
                <w:rFonts w:ascii="Times New Roman" w:hAnsi="Times New Roman" w:cs="Times New Roman"/>
              </w:rPr>
              <w:t xml:space="preserve">are also adopted to compare the coefficients on </w:t>
            </w:r>
            <m:oMath>
              <m:sSub>
                <m:sSubPr>
                  <m:ctrlPr>
                    <w:rPr>
                      <w:rFonts w:ascii="Cambria Math" w:eastAsia="HeiT" w:hAnsi="Cambria Math" w:cs="Times New Roman"/>
                      <w:i/>
                    </w:rPr>
                  </m:ctrlPr>
                </m:sSubPr>
                <m:e>
                  <m:r>
                    <w:rPr>
                      <w:rFonts w:ascii="Cambria Math" w:eastAsia="HeiT" w:hAnsi="Cambria Math" w:cs="Times New Roman"/>
                    </w:rPr>
                    <m:t>Ln</m:t>
                  </m:r>
                  <m:r>
                    <w:rPr>
                      <w:rFonts w:ascii="Cambria Math" w:hAnsi="Cambria Math" w:cs="Times New Roman"/>
                    </w:rPr>
                    <m:t>Media</m:t>
                  </m:r>
                </m:e>
                <m:sub>
                  <m:r>
                    <w:rPr>
                      <w:rFonts w:ascii="Cambria Math" w:eastAsia="HeiT" w:hAnsi="Cambria Math" w:cs="Times New Roman"/>
                    </w:rPr>
                    <m:t>i,t-n</m:t>
                  </m:r>
                </m:sub>
              </m:sSub>
            </m:oMath>
            <w:r w:rsidRPr="009642F7">
              <w:rPr>
                <w:rFonts w:ascii="Times New Roman" w:hAnsi="Times New Roman" w:cs="Times New Roman"/>
              </w:rPr>
              <w:t xml:space="preserve"> between High- and Low-</w:t>
            </w:r>
            <w:r w:rsidRPr="009642F7">
              <w:rPr>
                <w:rFonts w:ascii="Times New Roman" w:hAnsi="Times New Roman" w:cs="Times New Roman"/>
                <w:i/>
              </w:rPr>
              <w:t>QFIIO</w:t>
            </w:r>
            <w:r w:rsidRPr="009642F7">
              <w:rPr>
                <w:rFonts w:ascii="Times New Roman" w:hAnsi="Times New Roman" w:cs="Times New Roman"/>
              </w:rPr>
              <w:t xml:space="preserve"> subsamples.</w:t>
            </w:r>
            <w:r w:rsidR="002959B1" w:rsidRPr="009642F7">
              <w:rPr>
                <w:rFonts w:ascii="Times New Roman" w:hAnsi="Times New Roman" w:cs="Times New Roman"/>
              </w:rPr>
              <w:t xml:space="preserve"> </w:t>
            </w:r>
            <w:r w:rsidRPr="009642F7">
              <w:rPr>
                <w:rFonts w:ascii="Times New Roman" w:hAnsi="Times New Roman" w:cs="Times New Roman"/>
              </w:rPr>
              <w:t>*</w:t>
            </w:r>
            <w:r w:rsidR="002959B1" w:rsidRPr="009642F7">
              <w:rPr>
                <w:rFonts w:ascii="Times New Roman" w:hAnsi="Times New Roman" w:cs="Times New Roman"/>
              </w:rPr>
              <w:t>*</w:t>
            </w:r>
            <w:r w:rsidRPr="009642F7">
              <w:rPr>
                <w:rFonts w:ascii="Times New Roman" w:hAnsi="Times New Roman" w:cs="Times New Roman"/>
              </w:rPr>
              <w:t xml:space="preserve"> and *** denote significance levels of 5% and 1%, respectively. </w:t>
            </w:r>
            <w:r w:rsidRPr="009642F7">
              <w:rPr>
                <w:rFonts w:ascii="Times New Roman" w:hAnsi="Times New Roman" w:cs="Times New Roman"/>
                <w:bCs/>
                <w:i/>
                <w:noProof/>
              </w:rPr>
              <w:t>N</w:t>
            </w:r>
            <w:r w:rsidRPr="009642F7">
              <w:rPr>
                <w:rFonts w:ascii="Times New Roman" w:hAnsi="Times New Roman" w:cs="Times New Roman"/>
                <w:bCs/>
                <w:noProof/>
              </w:rPr>
              <w:t xml:space="preserve"> are firm-year observations. </w:t>
            </w:r>
            <w:r w:rsidRPr="009642F7">
              <w:rPr>
                <w:rFonts w:ascii="Times New Roman" w:hAnsi="Times New Roman" w:cs="Times New Roman"/>
                <w:noProof/>
              </w:rPr>
              <w:t>All data are from the TEJ database.</w:t>
            </w:r>
          </w:p>
        </w:tc>
      </w:tr>
      <w:tr w:rsidR="009642F7" w:rsidRPr="009642F7" w14:paraId="06EF929B" w14:textId="77777777" w:rsidTr="0005758D">
        <w:tc>
          <w:tcPr>
            <w:tcW w:w="1702" w:type="pct"/>
            <w:tcBorders>
              <w:top w:val="nil"/>
              <w:left w:val="nil"/>
              <w:bottom w:val="single" w:sz="4" w:space="0" w:color="auto"/>
              <w:right w:val="nil"/>
            </w:tcBorders>
            <w:shd w:val="clear" w:color="auto" w:fill="auto"/>
            <w:noWrap/>
            <w:vAlign w:val="center"/>
            <w:hideMark/>
          </w:tcPr>
          <w:p w14:paraId="66DF5144" w14:textId="77777777" w:rsidR="00513AE7" w:rsidRPr="009642F7" w:rsidRDefault="00AC0E68" w:rsidP="00AC0E68">
            <w:pPr>
              <w:snapToGrid w:val="0"/>
              <w:rPr>
                <w:rFonts w:ascii="Times New Roman" w:hAnsi="Times New Roman" w:cs="Times New Roman"/>
              </w:rPr>
            </w:pPr>
            <w:r w:rsidRPr="009642F7">
              <w:rPr>
                <w:rFonts w:ascii="Times New Roman" w:hAnsi="Times New Roman" w:cs="Times New Roman"/>
                <w:i/>
              </w:rPr>
              <w:t>QFII</w:t>
            </w:r>
            <w:r w:rsidR="00651D96" w:rsidRPr="009642F7">
              <w:rPr>
                <w:rFonts w:ascii="Times New Roman" w:hAnsi="Times New Roman" w:cs="Times New Roman"/>
                <w:i/>
              </w:rPr>
              <w:t>O</w:t>
            </w:r>
            <w:r w:rsidRPr="009642F7">
              <w:rPr>
                <w:rFonts w:ascii="Times New Roman" w:hAnsi="Times New Roman" w:cs="Times New Roman"/>
              </w:rPr>
              <w:t xml:space="preserve"> Tertiles</w:t>
            </w:r>
          </w:p>
        </w:tc>
        <w:tc>
          <w:tcPr>
            <w:tcW w:w="728" w:type="pct"/>
            <w:tcBorders>
              <w:top w:val="nil"/>
              <w:left w:val="nil"/>
              <w:bottom w:val="single" w:sz="4" w:space="0" w:color="auto"/>
              <w:right w:val="nil"/>
            </w:tcBorders>
            <w:shd w:val="clear" w:color="auto" w:fill="auto"/>
            <w:noWrap/>
            <w:vAlign w:val="center"/>
            <w:hideMark/>
          </w:tcPr>
          <w:p w14:paraId="203D8123" w14:textId="77777777" w:rsidR="00513AE7" w:rsidRPr="009642F7" w:rsidRDefault="00513AE7" w:rsidP="00AC0E68">
            <w:pPr>
              <w:snapToGrid w:val="0"/>
              <w:jc w:val="center"/>
              <w:rPr>
                <w:rFonts w:ascii="Times New Roman" w:hAnsi="Times New Roman" w:cs="Times New Roman"/>
              </w:rPr>
            </w:pPr>
            <w:r w:rsidRPr="009642F7">
              <w:rPr>
                <w:rFonts w:ascii="Times New Roman" w:hAnsi="Times New Roman" w:cs="Times New Roman"/>
              </w:rPr>
              <w:t>High</w:t>
            </w:r>
          </w:p>
        </w:tc>
        <w:tc>
          <w:tcPr>
            <w:tcW w:w="790" w:type="pct"/>
            <w:tcBorders>
              <w:top w:val="nil"/>
              <w:left w:val="nil"/>
              <w:bottom w:val="single" w:sz="4" w:space="0" w:color="auto"/>
              <w:right w:val="nil"/>
            </w:tcBorders>
            <w:shd w:val="clear" w:color="auto" w:fill="auto"/>
            <w:noWrap/>
            <w:vAlign w:val="center"/>
            <w:hideMark/>
          </w:tcPr>
          <w:p w14:paraId="728FD09D" w14:textId="77777777" w:rsidR="00513AE7" w:rsidRPr="009642F7" w:rsidRDefault="00513AE7" w:rsidP="00AC0E68">
            <w:pPr>
              <w:snapToGrid w:val="0"/>
              <w:jc w:val="center"/>
              <w:rPr>
                <w:rFonts w:ascii="Times New Roman" w:hAnsi="Times New Roman" w:cs="Times New Roman"/>
              </w:rPr>
            </w:pPr>
            <w:r w:rsidRPr="009642F7">
              <w:rPr>
                <w:rFonts w:ascii="Times New Roman" w:hAnsi="Times New Roman" w:cs="Times New Roman"/>
              </w:rPr>
              <w:t>Medium</w:t>
            </w:r>
          </w:p>
        </w:tc>
        <w:tc>
          <w:tcPr>
            <w:tcW w:w="727" w:type="pct"/>
            <w:tcBorders>
              <w:top w:val="nil"/>
              <w:left w:val="nil"/>
              <w:bottom w:val="single" w:sz="4" w:space="0" w:color="auto"/>
              <w:right w:val="nil"/>
            </w:tcBorders>
            <w:shd w:val="clear" w:color="auto" w:fill="auto"/>
            <w:noWrap/>
            <w:vAlign w:val="center"/>
            <w:hideMark/>
          </w:tcPr>
          <w:p w14:paraId="1242FA05" w14:textId="77777777" w:rsidR="00513AE7" w:rsidRPr="009642F7" w:rsidRDefault="00513AE7" w:rsidP="00AC0E68">
            <w:pPr>
              <w:snapToGrid w:val="0"/>
              <w:jc w:val="center"/>
              <w:rPr>
                <w:rFonts w:ascii="Times New Roman" w:hAnsi="Times New Roman" w:cs="Times New Roman"/>
              </w:rPr>
            </w:pPr>
            <w:r w:rsidRPr="009642F7">
              <w:rPr>
                <w:rFonts w:ascii="Times New Roman" w:hAnsi="Times New Roman" w:cs="Times New Roman"/>
              </w:rPr>
              <w:t>Low</w:t>
            </w:r>
          </w:p>
        </w:tc>
        <w:tc>
          <w:tcPr>
            <w:tcW w:w="111" w:type="pct"/>
            <w:tcBorders>
              <w:top w:val="nil"/>
              <w:left w:val="nil"/>
              <w:bottom w:val="single" w:sz="4" w:space="0" w:color="auto"/>
              <w:right w:val="nil"/>
            </w:tcBorders>
            <w:shd w:val="clear" w:color="auto" w:fill="auto"/>
            <w:noWrap/>
            <w:vAlign w:val="center"/>
            <w:hideMark/>
          </w:tcPr>
          <w:p w14:paraId="2E7E4358" w14:textId="77777777" w:rsidR="00513AE7" w:rsidRPr="009642F7" w:rsidRDefault="00513AE7" w:rsidP="00AC0E68">
            <w:pPr>
              <w:snapToGrid w:val="0"/>
              <w:jc w:val="center"/>
              <w:rPr>
                <w:rFonts w:ascii="Times New Roman" w:hAnsi="Times New Roman" w:cs="Times New Roman"/>
              </w:rPr>
            </w:pPr>
          </w:p>
        </w:tc>
        <w:tc>
          <w:tcPr>
            <w:tcW w:w="942" w:type="pct"/>
            <w:tcBorders>
              <w:top w:val="nil"/>
              <w:left w:val="nil"/>
              <w:bottom w:val="single" w:sz="4" w:space="0" w:color="auto"/>
              <w:right w:val="nil"/>
            </w:tcBorders>
            <w:shd w:val="clear" w:color="auto" w:fill="auto"/>
            <w:noWrap/>
            <w:vAlign w:val="center"/>
            <w:hideMark/>
          </w:tcPr>
          <w:p w14:paraId="3CEA6348" w14:textId="77777777" w:rsidR="00513AE7" w:rsidRPr="009642F7" w:rsidRDefault="00513AE7" w:rsidP="00AC0E68">
            <w:pPr>
              <w:snapToGrid w:val="0"/>
              <w:jc w:val="center"/>
              <w:rPr>
                <w:rFonts w:ascii="Times New Roman" w:hAnsi="Times New Roman" w:cs="Times New Roman"/>
              </w:rPr>
            </w:pPr>
            <w:r w:rsidRPr="009642F7">
              <w:rPr>
                <w:rFonts w:ascii="Times New Roman" w:hAnsi="Times New Roman" w:cs="Times New Roman"/>
              </w:rPr>
              <w:t>High</w:t>
            </w:r>
            <w:r w:rsidR="00AC0E68" w:rsidRPr="009642F7">
              <w:rPr>
                <w:rFonts w:ascii="Times New Roman" w:eastAsia="HeiT" w:hAnsi="Times New Roman" w:cs="Times New Roman"/>
              </w:rPr>
              <w:t>−</w:t>
            </w:r>
            <w:r w:rsidRPr="009642F7">
              <w:rPr>
                <w:rFonts w:ascii="Times New Roman" w:hAnsi="Times New Roman" w:cs="Times New Roman"/>
              </w:rPr>
              <w:t>Low</w:t>
            </w:r>
          </w:p>
        </w:tc>
      </w:tr>
      <w:tr w:rsidR="009642F7" w:rsidRPr="009642F7" w14:paraId="4A5757D4" w14:textId="77777777" w:rsidTr="0005758D">
        <w:tc>
          <w:tcPr>
            <w:tcW w:w="1702" w:type="pct"/>
            <w:tcBorders>
              <w:top w:val="nil"/>
              <w:left w:val="nil"/>
              <w:bottom w:val="nil"/>
              <w:right w:val="nil"/>
            </w:tcBorders>
            <w:shd w:val="clear" w:color="auto" w:fill="auto"/>
            <w:hideMark/>
          </w:tcPr>
          <w:p w14:paraId="2FD808CB" w14:textId="77777777" w:rsidR="00AC0E68" w:rsidRPr="009642F7" w:rsidRDefault="00AC0E68" w:rsidP="00AC0E68">
            <w:pPr>
              <w:snapToGrid w:val="0"/>
              <w:rPr>
                <w:rFonts w:ascii="Times New Roman" w:eastAsia="HeiT" w:hAnsi="Times New Roman" w:cs="Times New Roman"/>
                <w:bCs/>
                <w:i/>
              </w:rPr>
            </w:pPr>
            <w:r w:rsidRPr="009642F7">
              <w:rPr>
                <w:rFonts w:ascii="Times New Roman" w:eastAsia="HeiT" w:hAnsi="Times New Roman" w:cs="Times New Roman"/>
                <w:bCs/>
                <w:i/>
              </w:rPr>
              <w:t>LnMedia</w:t>
            </w:r>
          </w:p>
        </w:tc>
        <w:tc>
          <w:tcPr>
            <w:tcW w:w="728" w:type="pct"/>
            <w:tcBorders>
              <w:top w:val="nil"/>
              <w:left w:val="nil"/>
              <w:bottom w:val="nil"/>
              <w:right w:val="nil"/>
            </w:tcBorders>
            <w:shd w:val="clear" w:color="auto" w:fill="auto"/>
            <w:hideMark/>
          </w:tcPr>
          <w:p w14:paraId="0DD62E56" w14:textId="77777777" w:rsidR="00AC0E68" w:rsidRPr="009642F7" w:rsidRDefault="00AC0E68" w:rsidP="00AC0E68">
            <w:pPr>
              <w:snapToGrid w:val="0"/>
              <w:jc w:val="center"/>
              <w:rPr>
                <w:rFonts w:ascii="Times New Roman" w:eastAsia="HeiT" w:hAnsi="Times New Roman" w:cs="Times New Roman"/>
              </w:rPr>
            </w:pPr>
            <w:r w:rsidRPr="009642F7">
              <w:rPr>
                <w:rFonts w:ascii="Times New Roman" w:eastAsia="HeiT" w:hAnsi="Times New Roman" w:cs="Times New Roman"/>
              </w:rPr>
              <w:t>0.140</w:t>
            </w:r>
          </w:p>
        </w:tc>
        <w:tc>
          <w:tcPr>
            <w:tcW w:w="790" w:type="pct"/>
            <w:tcBorders>
              <w:top w:val="nil"/>
              <w:left w:val="nil"/>
              <w:bottom w:val="nil"/>
              <w:right w:val="nil"/>
            </w:tcBorders>
            <w:shd w:val="clear" w:color="auto" w:fill="auto"/>
            <w:hideMark/>
          </w:tcPr>
          <w:p w14:paraId="6CBC63DE" w14:textId="77777777" w:rsidR="00AC0E68" w:rsidRPr="009642F7" w:rsidRDefault="00AC0E68" w:rsidP="00AC0E68">
            <w:pPr>
              <w:snapToGrid w:val="0"/>
              <w:jc w:val="center"/>
              <w:rPr>
                <w:rFonts w:ascii="Times New Roman" w:eastAsia="HeiT" w:hAnsi="Times New Roman" w:cs="Times New Roman"/>
              </w:rPr>
            </w:pPr>
            <w:r w:rsidRPr="009642F7">
              <w:rPr>
                <w:rFonts w:ascii="Times New Roman" w:eastAsia="HeiT" w:hAnsi="Times New Roman" w:cs="Times New Roman"/>
              </w:rPr>
              <w:t>0.146</w:t>
            </w:r>
          </w:p>
        </w:tc>
        <w:tc>
          <w:tcPr>
            <w:tcW w:w="727" w:type="pct"/>
            <w:tcBorders>
              <w:top w:val="nil"/>
              <w:left w:val="nil"/>
              <w:bottom w:val="nil"/>
              <w:right w:val="nil"/>
            </w:tcBorders>
            <w:shd w:val="clear" w:color="auto" w:fill="auto"/>
            <w:hideMark/>
          </w:tcPr>
          <w:p w14:paraId="1250388F" w14:textId="77777777" w:rsidR="00AC0E68" w:rsidRPr="009642F7" w:rsidRDefault="00AC0E68" w:rsidP="00AC0E68">
            <w:pPr>
              <w:snapToGrid w:val="0"/>
              <w:jc w:val="center"/>
              <w:rPr>
                <w:rFonts w:ascii="Times New Roman" w:eastAsia="HeiT" w:hAnsi="Times New Roman" w:cs="Times New Roman"/>
              </w:rPr>
            </w:pPr>
            <w:r w:rsidRPr="009642F7">
              <w:rPr>
                <w:rFonts w:ascii="Times New Roman" w:eastAsia="HeiT" w:hAnsi="Times New Roman" w:cs="Times New Roman"/>
              </w:rPr>
              <w:t>0.213</w:t>
            </w:r>
          </w:p>
        </w:tc>
        <w:tc>
          <w:tcPr>
            <w:tcW w:w="111" w:type="pct"/>
            <w:tcBorders>
              <w:top w:val="nil"/>
              <w:left w:val="nil"/>
              <w:bottom w:val="nil"/>
              <w:right w:val="nil"/>
            </w:tcBorders>
            <w:shd w:val="clear" w:color="auto" w:fill="auto"/>
            <w:noWrap/>
            <w:vAlign w:val="center"/>
            <w:hideMark/>
          </w:tcPr>
          <w:p w14:paraId="2A9671A2" w14:textId="77777777" w:rsidR="00AC0E68" w:rsidRPr="009642F7" w:rsidRDefault="00AC0E68" w:rsidP="00AC0E68">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hideMark/>
          </w:tcPr>
          <w:p w14:paraId="689229B8" w14:textId="77777777" w:rsidR="00AC0E68" w:rsidRPr="009642F7" w:rsidRDefault="00AC0E68" w:rsidP="00AC0E68">
            <w:pPr>
              <w:snapToGrid w:val="0"/>
              <w:jc w:val="center"/>
              <w:rPr>
                <w:rFonts w:ascii="Times New Roman" w:hAnsi="Times New Roman" w:cs="Times New Roman"/>
              </w:rPr>
            </w:pPr>
            <w:r w:rsidRPr="009642F7">
              <w:rPr>
                <w:rFonts w:ascii="Times New Roman" w:eastAsia="HeiT" w:hAnsi="Times New Roman" w:cs="Times New Roman"/>
              </w:rPr>
              <w:t>−</w:t>
            </w:r>
            <w:r w:rsidRPr="009642F7">
              <w:rPr>
                <w:rFonts w:ascii="Times New Roman" w:hAnsi="Times New Roman" w:cs="Times New Roman"/>
              </w:rPr>
              <w:t>0.073</w:t>
            </w:r>
          </w:p>
        </w:tc>
      </w:tr>
      <w:tr w:rsidR="009642F7" w:rsidRPr="009642F7" w14:paraId="4ED44588" w14:textId="77777777" w:rsidTr="0005758D">
        <w:tc>
          <w:tcPr>
            <w:tcW w:w="1702" w:type="pct"/>
            <w:tcBorders>
              <w:top w:val="nil"/>
              <w:left w:val="nil"/>
              <w:bottom w:val="nil"/>
              <w:right w:val="nil"/>
            </w:tcBorders>
            <w:shd w:val="clear" w:color="auto" w:fill="auto"/>
            <w:noWrap/>
            <w:vAlign w:val="center"/>
            <w:hideMark/>
          </w:tcPr>
          <w:p w14:paraId="13D12DA5" w14:textId="77777777" w:rsidR="0005758D" w:rsidRPr="009642F7" w:rsidRDefault="0005758D" w:rsidP="0005758D">
            <w:pPr>
              <w:snapToGrid w:val="0"/>
              <w:rPr>
                <w:rFonts w:ascii="Times New Roman" w:hAnsi="Times New Roman" w:cs="Times New Roman"/>
              </w:rPr>
            </w:pPr>
            <w:r w:rsidRPr="009642F7">
              <w:rPr>
                <w:rFonts w:ascii="Times New Roman" w:eastAsia="HeiT" w:hAnsi="Times New Roman" w:cs="Times New Roman"/>
                <w:bCs/>
              </w:rPr>
              <w:t xml:space="preserve">Wald </w:t>
            </w:r>
            <m:oMath>
              <m:sSup>
                <m:sSupPr>
                  <m:ctrlPr>
                    <w:rPr>
                      <w:rFonts w:ascii="Cambria Math" w:eastAsia="HeiT" w:hAnsi="Cambria Math" w:cs="Times New Roman"/>
                      <w:bCs/>
                    </w:rPr>
                  </m:ctrlPr>
                </m:sSupPr>
                <m:e>
                  <m:r>
                    <m:rPr>
                      <m:sty m:val="p"/>
                    </m:rPr>
                    <w:rPr>
                      <w:rFonts w:ascii="Cambria Math" w:eastAsia="HeiT" w:hAnsi="Cambria Math" w:cs="Times New Roman"/>
                    </w:rPr>
                    <m:t>χ</m:t>
                  </m:r>
                </m:e>
                <m:sup>
                  <m:r>
                    <w:rPr>
                      <w:rFonts w:ascii="Cambria Math" w:eastAsia="HeiT" w:hAnsi="Cambria Math" w:cs="Times New Roman"/>
                    </w:rPr>
                    <m:t>2</m:t>
                  </m:r>
                </m:sup>
              </m:sSup>
            </m:oMath>
          </w:p>
        </w:tc>
        <w:tc>
          <w:tcPr>
            <w:tcW w:w="728" w:type="pct"/>
            <w:tcBorders>
              <w:top w:val="nil"/>
              <w:left w:val="nil"/>
              <w:bottom w:val="nil"/>
              <w:right w:val="nil"/>
            </w:tcBorders>
            <w:shd w:val="clear" w:color="auto" w:fill="auto"/>
            <w:hideMark/>
          </w:tcPr>
          <w:p w14:paraId="5AD0CD4F" w14:textId="77777777" w:rsidR="0005758D" w:rsidRPr="009642F7" w:rsidRDefault="0005758D" w:rsidP="0005758D">
            <w:pPr>
              <w:snapToGrid w:val="0"/>
              <w:jc w:val="center"/>
              <w:rPr>
                <w:rFonts w:ascii="Times New Roman" w:eastAsia="HeiT" w:hAnsi="Times New Roman" w:cs="Times New Roman"/>
              </w:rPr>
            </w:pPr>
            <w:r w:rsidRPr="009642F7">
              <w:rPr>
                <w:rFonts w:ascii="Times New Roman" w:eastAsia="HeiT" w:hAnsi="Times New Roman" w:cs="Times New Roman"/>
              </w:rPr>
              <w:t>6.09</w:t>
            </w:r>
          </w:p>
        </w:tc>
        <w:tc>
          <w:tcPr>
            <w:tcW w:w="790" w:type="pct"/>
            <w:tcBorders>
              <w:top w:val="nil"/>
              <w:left w:val="nil"/>
              <w:bottom w:val="nil"/>
              <w:right w:val="nil"/>
            </w:tcBorders>
            <w:shd w:val="clear" w:color="auto" w:fill="auto"/>
            <w:hideMark/>
          </w:tcPr>
          <w:p w14:paraId="17613CA6" w14:textId="77777777" w:rsidR="0005758D" w:rsidRPr="009642F7" w:rsidRDefault="0005758D" w:rsidP="0005758D">
            <w:pPr>
              <w:snapToGrid w:val="0"/>
              <w:jc w:val="center"/>
              <w:rPr>
                <w:rFonts w:ascii="Times New Roman" w:eastAsia="HeiT" w:hAnsi="Times New Roman" w:cs="Times New Roman"/>
              </w:rPr>
            </w:pPr>
            <w:r w:rsidRPr="009642F7">
              <w:rPr>
                <w:rFonts w:ascii="Times New Roman" w:eastAsia="HeiT" w:hAnsi="Times New Roman" w:cs="Times New Roman"/>
              </w:rPr>
              <w:t>3.96</w:t>
            </w:r>
          </w:p>
        </w:tc>
        <w:tc>
          <w:tcPr>
            <w:tcW w:w="727" w:type="pct"/>
            <w:tcBorders>
              <w:top w:val="nil"/>
              <w:left w:val="nil"/>
              <w:bottom w:val="nil"/>
              <w:right w:val="nil"/>
            </w:tcBorders>
            <w:shd w:val="clear" w:color="auto" w:fill="auto"/>
            <w:hideMark/>
          </w:tcPr>
          <w:p w14:paraId="086063D5" w14:textId="77777777" w:rsidR="0005758D" w:rsidRPr="009642F7" w:rsidRDefault="0005758D" w:rsidP="0005758D">
            <w:pPr>
              <w:snapToGrid w:val="0"/>
              <w:jc w:val="center"/>
              <w:rPr>
                <w:rFonts w:ascii="Times New Roman" w:eastAsia="HeiT" w:hAnsi="Times New Roman" w:cs="Times New Roman"/>
              </w:rPr>
            </w:pPr>
            <w:r w:rsidRPr="009642F7">
              <w:rPr>
                <w:rFonts w:ascii="Times New Roman" w:eastAsia="HeiT" w:hAnsi="Times New Roman" w:cs="Times New Roman"/>
              </w:rPr>
              <w:t>7.29</w:t>
            </w:r>
          </w:p>
        </w:tc>
        <w:tc>
          <w:tcPr>
            <w:tcW w:w="111" w:type="pct"/>
            <w:tcBorders>
              <w:top w:val="nil"/>
              <w:left w:val="nil"/>
              <w:bottom w:val="nil"/>
              <w:right w:val="nil"/>
            </w:tcBorders>
            <w:shd w:val="clear" w:color="auto" w:fill="auto"/>
            <w:noWrap/>
            <w:vAlign w:val="center"/>
            <w:hideMark/>
          </w:tcPr>
          <w:p w14:paraId="74E28657" w14:textId="77777777" w:rsidR="0005758D" w:rsidRPr="009642F7" w:rsidRDefault="0005758D" w:rsidP="0005758D">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hideMark/>
          </w:tcPr>
          <w:p w14:paraId="3148BF01" w14:textId="77777777" w:rsidR="0005758D" w:rsidRPr="009642F7" w:rsidRDefault="0005758D" w:rsidP="0005758D">
            <w:pPr>
              <w:snapToGrid w:val="0"/>
              <w:jc w:val="center"/>
              <w:rPr>
                <w:rFonts w:ascii="Times New Roman" w:eastAsia="Times New Roman" w:hAnsi="Times New Roman" w:cs="Times New Roman"/>
              </w:rPr>
            </w:pPr>
          </w:p>
        </w:tc>
      </w:tr>
      <w:tr w:rsidR="009642F7" w:rsidRPr="009642F7" w14:paraId="2DB9DF33" w14:textId="77777777" w:rsidTr="0005758D">
        <w:tc>
          <w:tcPr>
            <w:tcW w:w="1702" w:type="pct"/>
            <w:tcBorders>
              <w:top w:val="nil"/>
              <w:left w:val="nil"/>
              <w:bottom w:val="nil"/>
              <w:right w:val="nil"/>
            </w:tcBorders>
            <w:shd w:val="clear" w:color="auto" w:fill="auto"/>
            <w:noWrap/>
            <w:vAlign w:val="center"/>
            <w:hideMark/>
          </w:tcPr>
          <w:p w14:paraId="407C46C7" w14:textId="77777777" w:rsidR="00AC0E68" w:rsidRPr="009642F7" w:rsidRDefault="00AC0E68" w:rsidP="00AC0E68">
            <w:pPr>
              <w:snapToGrid w:val="0"/>
              <w:rPr>
                <w:rFonts w:ascii="Times New Roman" w:hAnsi="Times New Roman" w:cs="Times New Roman"/>
              </w:rPr>
            </w:pPr>
            <w:r w:rsidRPr="009642F7">
              <w:rPr>
                <w:rFonts w:ascii="Times New Roman" w:hAnsi="Times New Roman" w:cs="Times New Roman"/>
                <w:i/>
              </w:rPr>
              <w:t>p</w:t>
            </w:r>
            <w:r w:rsidRPr="009642F7">
              <w:rPr>
                <w:rFonts w:ascii="Times New Roman" w:hAnsi="Times New Roman" w:cs="Times New Roman"/>
              </w:rPr>
              <w:t>-value</w:t>
            </w:r>
            <w:r w:rsidR="002959B1" w:rsidRPr="009642F7">
              <w:rPr>
                <w:rFonts w:ascii="Times New Roman" w:hAnsi="Times New Roman" w:cs="Times New Roman"/>
              </w:rPr>
              <w:t xml:space="preserve"> of </w:t>
            </w:r>
            <w:r w:rsidR="002959B1" w:rsidRPr="009642F7">
              <w:rPr>
                <w:rFonts w:ascii="Times New Roman" w:eastAsia="HeiT" w:hAnsi="Times New Roman" w:cs="Times New Roman"/>
                <w:bCs/>
              </w:rPr>
              <w:t xml:space="preserve">Wald </w:t>
            </w:r>
            <m:oMath>
              <m:sSup>
                <m:sSupPr>
                  <m:ctrlPr>
                    <w:rPr>
                      <w:rFonts w:ascii="Cambria Math" w:eastAsia="HeiT" w:hAnsi="Cambria Math" w:cs="Times New Roman"/>
                      <w:bCs/>
                    </w:rPr>
                  </m:ctrlPr>
                </m:sSupPr>
                <m:e>
                  <m:r>
                    <m:rPr>
                      <m:sty m:val="p"/>
                    </m:rPr>
                    <w:rPr>
                      <w:rFonts w:ascii="Cambria Math" w:eastAsia="HeiT" w:hAnsi="Cambria Math" w:cs="Times New Roman"/>
                    </w:rPr>
                    <m:t>χ</m:t>
                  </m:r>
                </m:e>
                <m:sup>
                  <m:r>
                    <w:rPr>
                      <w:rFonts w:ascii="Cambria Math" w:eastAsia="HeiT" w:hAnsi="Cambria Math" w:cs="Times New Roman"/>
                    </w:rPr>
                    <m:t>2</m:t>
                  </m:r>
                </m:sup>
              </m:sSup>
            </m:oMath>
          </w:p>
        </w:tc>
        <w:tc>
          <w:tcPr>
            <w:tcW w:w="728" w:type="pct"/>
            <w:tcBorders>
              <w:top w:val="nil"/>
              <w:left w:val="nil"/>
              <w:bottom w:val="nil"/>
              <w:right w:val="nil"/>
            </w:tcBorders>
            <w:shd w:val="clear" w:color="auto" w:fill="auto"/>
            <w:hideMark/>
          </w:tcPr>
          <w:p w14:paraId="7AB407FF" w14:textId="77777777" w:rsidR="00AC0E68" w:rsidRPr="009642F7" w:rsidRDefault="00651D96" w:rsidP="00AC0E68">
            <w:pPr>
              <w:snapToGrid w:val="0"/>
              <w:jc w:val="center"/>
              <w:rPr>
                <w:rFonts w:ascii="Times New Roman" w:eastAsia="HeiT" w:hAnsi="Times New Roman" w:cs="Times New Roman"/>
              </w:rPr>
            </w:pPr>
            <w:r w:rsidRPr="009642F7">
              <w:rPr>
                <w:rFonts w:ascii="Times New Roman" w:eastAsia="HeiT" w:hAnsi="Times New Roman" w:cs="Times New Roman"/>
              </w:rPr>
              <w:t>(</w:t>
            </w:r>
            <w:r w:rsidR="00AC0E68" w:rsidRPr="009642F7">
              <w:rPr>
                <w:rFonts w:ascii="Times New Roman" w:eastAsia="HeiT" w:hAnsi="Times New Roman" w:cs="Times New Roman"/>
              </w:rPr>
              <w:t>0.0</w:t>
            </w:r>
            <w:r w:rsidRPr="009642F7">
              <w:rPr>
                <w:rFonts w:ascii="Times New Roman" w:eastAsia="HeiT" w:hAnsi="Times New Roman" w:cs="Times New Roman"/>
              </w:rPr>
              <w:t>2)**</w:t>
            </w:r>
          </w:p>
        </w:tc>
        <w:tc>
          <w:tcPr>
            <w:tcW w:w="790" w:type="pct"/>
            <w:tcBorders>
              <w:top w:val="nil"/>
              <w:left w:val="nil"/>
              <w:bottom w:val="nil"/>
              <w:right w:val="nil"/>
            </w:tcBorders>
            <w:shd w:val="clear" w:color="auto" w:fill="auto"/>
            <w:hideMark/>
          </w:tcPr>
          <w:p w14:paraId="67A3BB51" w14:textId="77777777" w:rsidR="00AC0E68" w:rsidRPr="009642F7" w:rsidRDefault="00651D96" w:rsidP="00AC0E68">
            <w:pPr>
              <w:snapToGrid w:val="0"/>
              <w:jc w:val="center"/>
              <w:rPr>
                <w:rFonts w:ascii="Times New Roman" w:eastAsia="HeiT" w:hAnsi="Times New Roman" w:cs="Times New Roman"/>
              </w:rPr>
            </w:pPr>
            <w:r w:rsidRPr="009642F7">
              <w:rPr>
                <w:rFonts w:ascii="Times New Roman" w:eastAsia="HeiT" w:hAnsi="Times New Roman" w:cs="Times New Roman"/>
              </w:rPr>
              <w:t>(</w:t>
            </w:r>
            <w:r w:rsidR="00AC0E68" w:rsidRPr="009642F7">
              <w:rPr>
                <w:rFonts w:ascii="Times New Roman" w:eastAsia="HeiT" w:hAnsi="Times New Roman" w:cs="Times New Roman"/>
              </w:rPr>
              <w:t>0.04</w:t>
            </w:r>
            <w:r w:rsidRPr="009642F7">
              <w:rPr>
                <w:rFonts w:ascii="Times New Roman" w:eastAsia="HeiT" w:hAnsi="Times New Roman" w:cs="Times New Roman"/>
              </w:rPr>
              <w:t>)**</w:t>
            </w:r>
          </w:p>
        </w:tc>
        <w:tc>
          <w:tcPr>
            <w:tcW w:w="727" w:type="pct"/>
            <w:tcBorders>
              <w:top w:val="nil"/>
              <w:left w:val="nil"/>
              <w:bottom w:val="nil"/>
              <w:right w:val="nil"/>
            </w:tcBorders>
            <w:shd w:val="clear" w:color="auto" w:fill="auto"/>
            <w:vAlign w:val="center"/>
            <w:hideMark/>
          </w:tcPr>
          <w:p w14:paraId="0F561208" w14:textId="77777777" w:rsidR="00AC0E68" w:rsidRPr="009642F7" w:rsidRDefault="00651D96" w:rsidP="00AC0E68">
            <w:pPr>
              <w:snapToGrid w:val="0"/>
              <w:jc w:val="center"/>
              <w:rPr>
                <w:rFonts w:ascii="Times New Roman" w:hAnsi="Times New Roman" w:cs="Times New Roman"/>
              </w:rPr>
            </w:pPr>
            <w:r w:rsidRPr="009642F7">
              <w:rPr>
                <w:rFonts w:ascii="Times New Roman" w:hAnsi="Times New Roman" w:cs="Times New Roman"/>
              </w:rPr>
              <w:t>(</w:t>
            </w:r>
            <w:r w:rsidR="00AC0E68" w:rsidRPr="009642F7">
              <w:rPr>
                <w:rFonts w:ascii="Times New Roman" w:hAnsi="Times New Roman" w:cs="Times New Roman"/>
              </w:rPr>
              <w:t>&lt;0.01</w:t>
            </w:r>
            <w:r w:rsidRPr="009642F7">
              <w:rPr>
                <w:rFonts w:ascii="Times New Roman" w:hAnsi="Times New Roman" w:cs="Times New Roman"/>
              </w:rPr>
              <w:t>)***</w:t>
            </w:r>
          </w:p>
        </w:tc>
        <w:tc>
          <w:tcPr>
            <w:tcW w:w="111" w:type="pct"/>
            <w:tcBorders>
              <w:top w:val="nil"/>
              <w:left w:val="nil"/>
              <w:bottom w:val="nil"/>
              <w:right w:val="nil"/>
            </w:tcBorders>
            <w:shd w:val="clear" w:color="auto" w:fill="auto"/>
            <w:noWrap/>
            <w:vAlign w:val="center"/>
            <w:hideMark/>
          </w:tcPr>
          <w:p w14:paraId="73FE7D31" w14:textId="77777777" w:rsidR="00AC0E68" w:rsidRPr="009642F7" w:rsidRDefault="00AC0E68" w:rsidP="00AC0E68">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hideMark/>
          </w:tcPr>
          <w:p w14:paraId="0515BB2A" w14:textId="77777777" w:rsidR="00AC0E68" w:rsidRPr="009642F7" w:rsidRDefault="00AC0E68" w:rsidP="00AC0E68">
            <w:pPr>
              <w:snapToGrid w:val="0"/>
              <w:jc w:val="center"/>
              <w:rPr>
                <w:rFonts w:ascii="Times New Roman" w:hAnsi="Times New Roman" w:cs="Times New Roman"/>
              </w:rPr>
            </w:pPr>
          </w:p>
        </w:tc>
      </w:tr>
      <w:tr w:rsidR="009642F7" w:rsidRPr="009642F7" w14:paraId="194B06E5" w14:textId="77777777" w:rsidTr="0005758D">
        <w:tc>
          <w:tcPr>
            <w:tcW w:w="1702" w:type="pct"/>
            <w:tcBorders>
              <w:top w:val="nil"/>
              <w:left w:val="nil"/>
              <w:bottom w:val="nil"/>
              <w:right w:val="nil"/>
            </w:tcBorders>
            <w:shd w:val="clear" w:color="auto" w:fill="auto"/>
            <w:noWrap/>
            <w:vAlign w:val="center"/>
            <w:hideMark/>
          </w:tcPr>
          <w:p w14:paraId="4EB4700F" w14:textId="77777777" w:rsidR="00513AE7" w:rsidRPr="009642F7" w:rsidRDefault="00513AE7" w:rsidP="00AC0E68">
            <w:pPr>
              <w:snapToGrid w:val="0"/>
              <w:rPr>
                <w:rFonts w:ascii="Times New Roman" w:eastAsia="Times New Roman" w:hAnsi="Times New Roman" w:cs="Times New Roman"/>
              </w:rPr>
            </w:pPr>
          </w:p>
        </w:tc>
        <w:tc>
          <w:tcPr>
            <w:tcW w:w="728" w:type="pct"/>
            <w:tcBorders>
              <w:top w:val="nil"/>
              <w:left w:val="nil"/>
              <w:bottom w:val="nil"/>
              <w:right w:val="nil"/>
            </w:tcBorders>
            <w:shd w:val="clear" w:color="auto" w:fill="auto"/>
            <w:noWrap/>
            <w:vAlign w:val="center"/>
            <w:hideMark/>
          </w:tcPr>
          <w:p w14:paraId="7B3BC2B1" w14:textId="77777777" w:rsidR="00513AE7" w:rsidRPr="009642F7" w:rsidRDefault="00513AE7" w:rsidP="00AC0E68">
            <w:pPr>
              <w:snapToGrid w:val="0"/>
              <w:jc w:val="center"/>
              <w:rPr>
                <w:rFonts w:ascii="Times New Roman" w:eastAsia="Times New Roman" w:hAnsi="Times New Roman" w:cs="Times New Roman"/>
              </w:rPr>
            </w:pPr>
          </w:p>
        </w:tc>
        <w:tc>
          <w:tcPr>
            <w:tcW w:w="790" w:type="pct"/>
            <w:tcBorders>
              <w:top w:val="nil"/>
              <w:left w:val="nil"/>
              <w:bottom w:val="nil"/>
              <w:right w:val="nil"/>
            </w:tcBorders>
            <w:shd w:val="clear" w:color="auto" w:fill="auto"/>
            <w:noWrap/>
            <w:vAlign w:val="center"/>
            <w:hideMark/>
          </w:tcPr>
          <w:p w14:paraId="3EA8F8F0" w14:textId="77777777" w:rsidR="00513AE7" w:rsidRPr="009642F7" w:rsidRDefault="00513AE7" w:rsidP="00AC0E68">
            <w:pPr>
              <w:snapToGrid w:val="0"/>
              <w:jc w:val="center"/>
              <w:rPr>
                <w:rFonts w:ascii="Times New Roman" w:eastAsia="Times New Roman" w:hAnsi="Times New Roman" w:cs="Times New Roman"/>
              </w:rPr>
            </w:pPr>
          </w:p>
        </w:tc>
        <w:tc>
          <w:tcPr>
            <w:tcW w:w="727" w:type="pct"/>
            <w:tcBorders>
              <w:top w:val="nil"/>
              <w:left w:val="nil"/>
              <w:bottom w:val="nil"/>
              <w:right w:val="nil"/>
            </w:tcBorders>
            <w:shd w:val="clear" w:color="auto" w:fill="auto"/>
            <w:noWrap/>
            <w:vAlign w:val="center"/>
            <w:hideMark/>
          </w:tcPr>
          <w:p w14:paraId="7362D3BE" w14:textId="77777777" w:rsidR="00513AE7" w:rsidRPr="009642F7" w:rsidRDefault="00513AE7" w:rsidP="00AC0E68">
            <w:pPr>
              <w:snapToGrid w:val="0"/>
              <w:jc w:val="center"/>
              <w:rPr>
                <w:rFonts w:ascii="Times New Roman" w:eastAsia="Times New Roman" w:hAnsi="Times New Roman" w:cs="Times New Roman"/>
              </w:rPr>
            </w:pPr>
          </w:p>
        </w:tc>
        <w:tc>
          <w:tcPr>
            <w:tcW w:w="111" w:type="pct"/>
            <w:tcBorders>
              <w:top w:val="nil"/>
              <w:left w:val="nil"/>
              <w:bottom w:val="nil"/>
              <w:right w:val="nil"/>
            </w:tcBorders>
            <w:shd w:val="clear" w:color="auto" w:fill="auto"/>
            <w:noWrap/>
            <w:vAlign w:val="center"/>
            <w:hideMark/>
          </w:tcPr>
          <w:p w14:paraId="316227F2" w14:textId="77777777" w:rsidR="00513AE7" w:rsidRPr="009642F7" w:rsidRDefault="00513AE7" w:rsidP="00AC0E68">
            <w:pPr>
              <w:snapToGrid w:val="0"/>
              <w:jc w:val="center"/>
              <w:rPr>
                <w:rFonts w:ascii="Times New Roman" w:eastAsia="Times New Roman" w:hAnsi="Times New Roman" w:cs="Times New Roman"/>
              </w:rPr>
            </w:pPr>
          </w:p>
        </w:tc>
        <w:tc>
          <w:tcPr>
            <w:tcW w:w="942" w:type="pct"/>
            <w:tcBorders>
              <w:top w:val="nil"/>
              <w:left w:val="nil"/>
              <w:bottom w:val="nil"/>
              <w:right w:val="nil"/>
            </w:tcBorders>
            <w:shd w:val="clear" w:color="auto" w:fill="auto"/>
            <w:noWrap/>
            <w:vAlign w:val="center"/>
            <w:hideMark/>
          </w:tcPr>
          <w:p w14:paraId="1DA33593" w14:textId="77777777" w:rsidR="00513AE7" w:rsidRPr="009642F7" w:rsidRDefault="00513AE7" w:rsidP="00AC0E68">
            <w:pPr>
              <w:snapToGrid w:val="0"/>
              <w:jc w:val="center"/>
              <w:rPr>
                <w:rFonts w:ascii="Times New Roman" w:eastAsia="Times New Roman" w:hAnsi="Times New Roman" w:cs="Times New Roman"/>
              </w:rPr>
            </w:pPr>
          </w:p>
        </w:tc>
      </w:tr>
      <w:tr w:rsidR="009642F7" w:rsidRPr="009642F7" w14:paraId="00DE6558" w14:textId="77777777" w:rsidTr="0005758D">
        <w:tc>
          <w:tcPr>
            <w:tcW w:w="1702" w:type="pct"/>
            <w:tcBorders>
              <w:top w:val="nil"/>
              <w:left w:val="nil"/>
              <w:bottom w:val="nil"/>
              <w:right w:val="nil"/>
            </w:tcBorders>
            <w:shd w:val="clear" w:color="auto" w:fill="auto"/>
            <w:noWrap/>
            <w:vAlign w:val="center"/>
          </w:tcPr>
          <w:p w14:paraId="6E544566" w14:textId="77777777" w:rsidR="002959B1" w:rsidRPr="009642F7" w:rsidRDefault="002959B1" w:rsidP="00AC0E68">
            <w:pPr>
              <w:snapToGrid w:val="0"/>
              <w:rPr>
                <w:rFonts w:ascii="Times New Roman" w:hAnsi="Times New Roman" w:cs="Times New Roman"/>
                <w:i/>
                <w:iCs/>
              </w:rPr>
            </w:pPr>
          </w:p>
        </w:tc>
        <w:tc>
          <w:tcPr>
            <w:tcW w:w="728" w:type="pct"/>
            <w:tcBorders>
              <w:top w:val="nil"/>
              <w:left w:val="nil"/>
              <w:bottom w:val="nil"/>
              <w:right w:val="nil"/>
            </w:tcBorders>
            <w:shd w:val="clear" w:color="auto" w:fill="auto"/>
            <w:noWrap/>
            <w:vAlign w:val="center"/>
          </w:tcPr>
          <w:p w14:paraId="31F73B76" w14:textId="77777777" w:rsidR="002959B1" w:rsidRPr="009642F7" w:rsidRDefault="002959B1" w:rsidP="00AC0E68">
            <w:pPr>
              <w:snapToGrid w:val="0"/>
              <w:jc w:val="center"/>
              <w:rPr>
                <w:rFonts w:ascii="Times New Roman" w:eastAsia="HeiT" w:hAnsi="Times New Roman" w:cs="Times New Roman"/>
              </w:rPr>
            </w:pPr>
          </w:p>
        </w:tc>
        <w:tc>
          <w:tcPr>
            <w:tcW w:w="790" w:type="pct"/>
            <w:tcBorders>
              <w:top w:val="nil"/>
              <w:left w:val="nil"/>
              <w:bottom w:val="nil"/>
              <w:right w:val="nil"/>
            </w:tcBorders>
            <w:shd w:val="clear" w:color="auto" w:fill="auto"/>
            <w:noWrap/>
            <w:vAlign w:val="center"/>
          </w:tcPr>
          <w:p w14:paraId="74B0FCCC" w14:textId="77777777" w:rsidR="002959B1" w:rsidRPr="009642F7" w:rsidRDefault="002959B1" w:rsidP="00AC0E68">
            <w:pPr>
              <w:snapToGrid w:val="0"/>
              <w:jc w:val="center"/>
              <w:rPr>
                <w:rFonts w:ascii="Times New Roman" w:eastAsia="HeiT" w:hAnsi="Times New Roman" w:cs="Times New Roman"/>
              </w:rPr>
            </w:pPr>
          </w:p>
        </w:tc>
        <w:tc>
          <w:tcPr>
            <w:tcW w:w="727" w:type="pct"/>
            <w:tcBorders>
              <w:top w:val="nil"/>
              <w:left w:val="nil"/>
              <w:bottom w:val="nil"/>
              <w:right w:val="nil"/>
            </w:tcBorders>
            <w:shd w:val="clear" w:color="auto" w:fill="auto"/>
            <w:noWrap/>
            <w:vAlign w:val="center"/>
          </w:tcPr>
          <w:p w14:paraId="44DF23A2" w14:textId="77777777" w:rsidR="002959B1" w:rsidRPr="009642F7" w:rsidRDefault="002959B1" w:rsidP="00AC0E68">
            <w:pPr>
              <w:snapToGrid w:val="0"/>
              <w:jc w:val="center"/>
              <w:rPr>
                <w:rFonts w:ascii="Times New Roman" w:eastAsia="HeiT" w:hAnsi="Times New Roman" w:cs="Times New Roman"/>
              </w:rPr>
            </w:pPr>
          </w:p>
        </w:tc>
        <w:tc>
          <w:tcPr>
            <w:tcW w:w="111" w:type="pct"/>
            <w:tcBorders>
              <w:top w:val="nil"/>
              <w:left w:val="nil"/>
              <w:bottom w:val="nil"/>
              <w:right w:val="nil"/>
            </w:tcBorders>
            <w:shd w:val="clear" w:color="auto" w:fill="auto"/>
            <w:noWrap/>
            <w:vAlign w:val="center"/>
          </w:tcPr>
          <w:p w14:paraId="3F66CBB4" w14:textId="77777777" w:rsidR="002959B1" w:rsidRPr="009642F7" w:rsidRDefault="002959B1" w:rsidP="00AC0E68">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tcPr>
          <w:p w14:paraId="65A187AA" w14:textId="77777777" w:rsidR="002959B1" w:rsidRPr="009642F7" w:rsidRDefault="002959B1" w:rsidP="00AC0E68">
            <w:pPr>
              <w:snapToGrid w:val="0"/>
              <w:jc w:val="center"/>
              <w:rPr>
                <w:rFonts w:ascii="Times New Roman" w:hAnsi="Times New Roman" w:cs="Times New Roman"/>
              </w:rPr>
            </w:pPr>
          </w:p>
        </w:tc>
      </w:tr>
      <w:tr w:rsidR="009642F7" w:rsidRPr="009642F7" w14:paraId="3FC4583B" w14:textId="77777777" w:rsidTr="0005758D">
        <w:tc>
          <w:tcPr>
            <w:tcW w:w="1702" w:type="pct"/>
            <w:tcBorders>
              <w:top w:val="nil"/>
              <w:left w:val="nil"/>
              <w:bottom w:val="nil"/>
              <w:right w:val="nil"/>
            </w:tcBorders>
            <w:shd w:val="clear" w:color="auto" w:fill="auto"/>
            <w:noWrap/>
            <w:vAlign w:val="center"/>
          </w:tcPr>
          <w:p w14:paraId="6EE2999D" w14:textId="77777777" w:rsidR="002959B1" w:rsidRPr="009642F7" w:rsidRDefault="002959B1" w:rsidP="002959B1">
            <w:pPr>
              <w:snapToGrid w:val="0"/>
              <w:rPr>
                <w:rFonts w:ascii="Times New Roman" w:hAnsi="Times New Roman" w:cs="Times New Roman"/>
              </w:rPr>
            </w:pPr>
            <w:r w:rsidRPr="009642F7">
              <w:rPr>
                <w:rFonts w:ascii="Times New Roman" w:hAnsi="Times New Roman" w:cs="Times New Roman"/>
                <w:i/>
              </w:rPr>
              <w:t>p</w:t>
            </w:r>
            <w:r w:rsidRPr="009642F7">
              <w:rPr>
                <w:rFonts w:ascii="Times New Roman" w:hAnsi="Times New Roman" w:cs="Times New Roman"/>
              </w:rPr>
              <w:t xml:space="preserve">-value of </w:t>
            </w:r>
            <w:r w:rsidRPr="009642F7">
              <w:rPr>
                <w:rFonts w:ascii="Times New Roman" w:eastAsia="HeiT" w:hAnsi="Times New Roman" w:cs="Times New Roman"/>
                <w:bCs/>
                <w:i/>
              </w:rPr>
              <w:t>F</w:t>
            </w:r>
            <w:r w:rsidRPr="009642F7">
              <w:rPr>
                <w:rFonts w:ascii="Times New Roman" w:eastAsia="HeiT" w:hAnsi="Times New Roman" w:cs="Times New Roman"/>
                <w:bCs/>
              </w:rPr>
              <w:t>-test</w:t>
            </w:r>
          </w:p>
        </w:tc>
        <w:tc>
          <w:tcPr>
            <w:tcW w:w="728" w:type="pct"/>
            <w:tcBorders>
              <w:top w:val="nil"/>
              <w:left w:val="nil"/>
              <w:bottom w:val="nil"/>
              <w:right w:val="nil"/>
            </w:tcBorders>
            <w:shd w:val="clear" w:color="auto" w:fill="auto"/>
            <w:noWrap/>
            <w:vAlign w:val="center"/>
          </w:tcPr>
          <w:p w14:paraId="062C022B" w14:textId="77777777" w:rsidR="002959B1" w:rsidRPr="009642F7" w:rsidRDefault="002959B1" w:rsidP="002959B1">
            <w:pPr>
              <w:snapToGrid w:val="0"/>
              <w:jc w:val="center"/>
              <w:rPr>
                <w:rFonts w:ascii="Times New Roman" w:eastAsia="HeiT" w:hAnsi="Times New Roman" w:cs="Times New Roman"/>
              </w:rPr>
            </w:pPr>
          </w:p>
        </w:tc>
        <w:tc>
          <w:tcPr>
            <w:tcW w:w="790" w:type="pct"/>
            <w:tcBorders>
              <w:top w:val="nil"/>
              <w:left w:val="nil"/>
              <w:bottom w:val="nil"/>
              <w:right w:val="nil"/>
            </w:tcBorders>
            <w:shd w:val="clear" w:color="auto" w:fill="auto"/>
            <w:noWrap/>
            <w:vAlign w:val="center"/>
          </w:tcPr>
          <w:p w14:paraId="615BDA73" w14:textId="77777777" w:rsidR="002959B1" w:rsidRPr="009642F7" w:rsidRDefault="002959B1" w:rsidP="002959B1">
            <w:pPr>
              <w:snapToGrid w:val="0"/>
              <w:jc w:val="center"/>
              <w:rPr>
                <w:rFonts w:ascii="Times New Roman" w:eastAsia="HeiT" w:hAnsi="Times New Roman" w:cs="Times New Roman"/>
              </w:rPr>
            </w:pPr>
          </w:p>
        </w:tc>
        <w:tc>
          <w:tcPr>
            <w:tcW w:w="727" w:type="pct"/>
            <w:tcBorders>
              <w:top w:val="nil"/>
              <w:left w:val="nil"/>
              <w:bottom w:val="nil"/>
              <w:right w:val="nil"/>
            </w:tcBorders>
            <w:shd w:val="clear" w:color="auto" w:fill="auto"/>
            <w:noWrap/>
            <w:vAlign w:val="center"/>
          </w:tcPr>
          <w:p w14:paraId="1BD85BC6" w14:textId="77777777" w:rsidR="002959B1" w:rsidRPr="009642F7" w:rsidRDefault="002959B1" w:rsidP="002959B1">
            <w:pPr>
              <w:snapToGrid w:val="0"/>
              <w:jc w:val="center"/>
              <w:rPr>
                <w:rFonts w:ascii="Times New Roman" w:eastAsia="HeiT" w:hAnsi="Times New Roman" w:cs="Times New Roman"/>
              </w:rPr>
            </w:pPr>
          </w:p>
        </w:tc>
        <w:tc>
          <w:tcPr>
            <w:tcW w:w="111" w:type="pct"/>
            <w:tcBorders>
              <w:top w:val="nil"/>
              <w:left w:val="nil"/>
              <w:bottom w:val="nil"/>
              <w:right w:val="nil"/>
            </w:tcBorders>
            <w:shd w:val="clear" w:color="auto" w:fill="auto"/>
            <w:noWrap/>
            <w:vAlign w:val="center"/>
          </w:tcPr>
          <w:p w14:paraId="56458748" w14:textId="77777777" w:rsidR="002959B1" w:rsidRPr="009642F7" w:rsidRDefault="002959B1" w:rsidP="002959B1">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tcPr>
          <w:p w14:paraId="4463B284" w14:textId="77777777" w:rsidR="002959B1" w:rsidRPr="009642F7" w:rsidRDefault="002959B1" w:rsidP="002959B1">
            <w:pPr>
              <w:snapToGrid w:val="0"/>
              <w:jc w:val="center"/>
              <w:rPr>
                <w:rFonts w:ascii="Times New Roman" w:eastAsia="Times New Roman" w:hAnsi="Times New Roman" w:cs="Times New Roman"/>
              </w:rPr>
            </w:pPr>
            <w:r w:rsidRPr="009642F7">
              <w:rPr>
                <w:rFonts w:ascii="Times New Roman" w:hAnsi="Times New Roman" w:cs="Times New Roman"/>
              </w:rPr>
              <w:t>(&lt;0.01)***</w:t>
            </w:r>
          </w:p>
        </w:tc>
      </w:tr>
      <w:tr w:rsidR="009642F7" w:rsidRPr="009642F7" w14:paraId="3D182B4B" w14:textId="77777777" w:rsidTr="0005758D">
        <w:tc>
          <w:tcPr>
            <w:tcW w:w="1702" w:type="pct"/>
            <w:tcBorders>
              <w:top w:val="nil"/>
              <w:left w:val="nil"/>
              <w:bottom w:val="nil"/>
              <w:right w:val="nil"/>
            </w:tcBorders>
            <w:shd w:val="clear" w:color="auto" w:fill="auto"/>
            <w:noWrap/>
            <w:vAlign w:val="center"/>
          </w:tcPr>
          <w:p w14:paraId="6A79A6F3" w14:textId="77777777" w:rsidR="002959B1" w:rsidRPr="009642F7" w:rsidRDefault="002959B1" w:rsidP="002959B1">
            <w:pPr>
              <w:snapToGrid w:val="0"/>
              <w:rPr>
                <w:rFonts w:ascii="Times New Roman" w:hAnsi="Times New Roman" w:cs="Times New Roman"/>
                <w:iCs/>
              </w:rPr>
            </w:pPr>
          </w:p>
        </w:tc>
        <w:tc>
          <w:tcPr>
            <w:tcW w:w="728" w:type="pct"/>
            <w:tcBorders>
              <w:top w:val="nil"/>
              <w:left w:val="nil"/>
              <w:bottom w:val="nil"/>
              <w:right w:val="nil"/>
            </w:tcBorders>
            <w:shd w:val="clear" w:color="auto" w:fill="auto"/>
            <w:noWrap/>
            <w:vAlign w:val="center"/>
          </w:tcPr>
          <w:p w14:paraId="5806981C" w14:textId="77777777" w:rsidR="002959B1" w:rsidRPr="009642F7" w:rsidRDefault="002959B1" w:rsidP="002959B1">
            <w:pPr>
              <w:snapToGrid w:val="0"/>
              <w:jc w:val="center"/>
              <w:rPr>
                <w:rFonts w:ascii="Times New Roman" w:eastAsia="HeiT" w:hAnsi="Times New Roman" w:cs="Times New Roman"/>
              </w:rPr>
            </w:pPr>
          </w:p>
        </w:tc>
        <w:tc>
          <w:tcPr>
            <w:tcW w:w="790" w:type="pct"/>
            <w:tcBorders>
              <w:top w:val="nil"/>
              <w:left w:val="nil"/>
              <w:bottom w:val="nil"/>
              <w:right w:val="nil"/>
            </w:tcBorders>
            <w:shd w:val="clear" w:color="auto" w:fill="auto"/>
            <w:noWrap/>
            <w:vAlign w:val="center"/>
          </w:tcPr>
          <w:p w14:paraId="1006503A" w14:textId="77777777" w:rsidR="002959B1" w:rsidRPr="009642F7" w:rsidRDefault="002959B1" w:rsidP="002959B1">
            <w:pPr>
              <w:snapToGrid w:val="0"/>
              <w:jc w:val="center"/>
              <w:rPr>
                <w:rFonts w:ascii="Times New Roman" w:eastAsia="HeiT" w:hAnsi="Times New Roman" w:cs="Times New Roman"/>
              </w:rPr>
            </w:pPr>
          </w:p>
        </w:tc>
        <w:tc>
          <w:tcPr>
            <w:tcW w:w="727" w:type="pct"/>
            <w:tcBorders>
              <w:top w:val="nil"/>
              <w:left w:val="nil"/>
              <w:bottom w:val="nil"/>
              <w:right w:val="nil"/>
            </w:tcBorders>
            <w:shd w:val="clear" w:color="auto" w:fill="auto"/>
            <w:noWrap/>
            <w:vAlign w:val="center"/>
          </w:tcPr>
          <w:p w14:paraId="5D4083AE" w14:textId="77777777" w:rsidR="002959B1" w:rsidRPr="009642F7" w:rsidRDefault="002959B1" w:rsidP="002959B1">
            <w:pPr>
              <w:snapToGrid w:val="0"/>
              <w:jc w:val="center"/>
              <w:rPr>
                <w:rFonts w:ascii="Times New Roman" w:eastAsia="HeiT" w:hAnsi="Times New Roman" w:cs="Times New Roman"/>
              </w:rPr>
            </w:pPr>
          </w:p>
        </w:tc>
        <w:tc>
          <w:tcPr>
            <w:tcW w:w="111" w:type="pct"/>
            <w:tcBorders>
              <w:top w:val="nil"/>
              <w:left w:val="nil"/>
              <w:bottom w:val="nil"/>
              <w:right w:val="nil"/>
            </w:tcBorders>
            <w:shd w:val="clear" w:color="auto" w:fill="auto"/>
            <w:noWrap/>
            <w:vAlign w:val="center"/>
          </w:tcPr>
          <w:p w14:paraId="0F089669" w14:textId="77777777" w:rsidR="002959B1" w:rsidRPr="009642F7" w:rsidRDefault="002959B1" w:rsidP="002959B1">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tcPr>
          <w:p w14:paraId="577EF8B5" w14:textId="77777777" w:rsidR="002959B1" w:rsidRPr="009642F7" w:rsidRDefault="002959B1" w:rsidP="002959B1">
            <w:pPr>
              <w:snapToGrid w:val="0"/>
              <w:jc w:val="center"/>
              <w:rPr>
                <w:rFonts w:ascii="Times New Roman" w:eastAsia="Times New Roman" w:hAnsi="Times New Roman" w:cs="Times New Roman"/>
              </w:rPr>
            </w:pPr>
          </w:p>
        </w:tc>
      </w:tr>
      <w:tr w:rsidR="009642F7" w:rsidRPr="009642F7" w14:paraId="03A487B5" w14:textId="77777777" w:rsidTr="0005758D">
        <w:tc>
          <w:tcPr>
            <w:tcW w:w="1702" w:type="pct"/>
            <w:tcBorders>
              <w:top w:val="nil"/>
              <w:left w:val="nil"/>
              <w:bottom w:val="nil"/>
              <w:right w:val="nil"/>
            </w:tcBorders>
            <w:shd w:val="clear" w:color="auto" w:fill="auto"/>
            <w:noWrap/>
            <w:vAlign w:val="center"/>
          </w:tcPr>
          <w:p w14:paraId="6341B988" w14:textId="77777777" w:rsidR="002959B1" w:rsidRPr="009642F7" w:rsidRDefault="002959B1" w:rsidP="002959B1">
            <w:pPr>
              <w:snapToGrid w:val="0"/>
              <w:rPr>
                <w:rFonts w:ascii="Times New Roman" w:hAnsi="Times New Roman" w:cs="Times New Roman"/>
                <w:iCs/>
              </w:rPr>
            </w:pPr>
            <w:r w:rsidRPr="009642F7">
              <w:rPr>
                <w:rFonts w:ascii="Times New Roman" w:hAnsi="Times New Roman" w:cs="Times New Roman"/>
                <w:iCs/>
              </w:rPr>
              <w:t>Control Variables</w:t>
            </w:r>
          </w:p>
        </w:tc>
        <w:tc>
          <w:tcPr>
            <w:tcW w:w="728" w:type="pct"/>
            <w:tcBorders>
              <w:top w:val="nil"/>
              <w:left w:val="nil"/>
              <w:bottom w:val="nil"/>
              <w:right w:val="nil"/>
            </w:tcBorders>
            <w:shd w:val="clear" w:color="auto" w:fill="auto"/>
            <w:noWrap/>
            <w:vAlign w:val="center"/>
          </w:tcPr>
          <w:p w14:paraId="6B7775B6"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Yes</w:t>
            </w:r>
          </w:p>
        </w:tc>
        <w:tc>
          <w:tcPr>
            <w:tcW w:w="790" w:type="pct"/>
            <w:tcBorders>
              <w:top w:val="nil"/>
              <w:left w:val="nil"/>
              <w:bottom w:val="nil"/>
              <w:right w:val="nil"/>
            </w:tcBorders>
            <w:shd w:val="clear" w:color="auto" w:fill="auto"/>
            <w:noWrap/>
            <w:vAlign w:val="center"/>
          </w:tcPr>
          <w:p w14:paraId="60EBC91E"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Yes</w:t>
            </w:r>
          </w:p>
        </w:tc>
        <w:tc>
          <w:tcPr>
            <w:tcW w:w="727" w:type="pct"/>
            <w:tcBorders>
              <w:top w:val="nil"/>
              <w:left w:val="nil"/>
              <w:bottom w:val="nil"/>
              <w:right w:val="nil"/>
            </w:tcBorders>
            <w:shd w:val="clear" w:color="auto" w:fill="auto"/>
            <w:noWrap/>
            <w:vAlign w:val="center"/>
          </w:tcPr>
          <w:p w14:paraId="508F636E"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Yes</w:t>
            </w:r>
          </w:p>
        </w:tc>
        <w:tc>
          <w:tcPr>
            <w:tcW w:w="111" w:type="pct"/>
            <w:tcBorders>
              <w:top w:val="nil"/>
              <w:left w:val="nil"/>
              <w:bottom w:val="nil"/>
              <w:right w:val="nil"/>
            </w:tcBorders>
            <w:shd w:val="clear" w:color="auto" w:fill="auto"/>
            <w:noWrap/>
            <w:vAlign w:val="center"/>
          </w:tcPr>
          <w:p w14:paraId="27E66381" w14:textId="77777777" w:rsidR="002959B1" w:rsidRPr="009642F7" w:rsidRDefault="002959B1" w:rsidP="002959B1">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tcPr>
          <w:p w14:paraId="4C841EF5" w14:textId="77777777" w:rsidR="002959B1" w:rsidRPr="009642F7" w:rsidRDefault="002959B1" w:rsidP="002959B1">
            <w:pPr>
              <w:snapToGrid w:val="0"/>
              <w:jc w:val="center"/>
              <w:rPr>
                <w:rFonts w:ascii="Times New Roman" w:eastAsia="Times New Roman" w:hAnsi="Times New Roman" w:cs="Times New Roman"/>
              </w:rPr>
            </w:pPr>
          </w:p>
        </w:tc>
      </w:tr>
      <w:tr w:rsidR="009642F7" w:rsidRPr="009642F7" w14:paraId="672DE106" w14:textId="77777777" w:rsidTr="0005758D">
        <w:tc>
          <w:tcPr>
            <w:tcW w:w="1702" w:type="pct"/>
            <w:tcBorders>
              <w:top w:val="nil"/>
              <w:left w:val="nil"/>
              <w:bottom w:val="nil"/>
              <w:right w:val="nil"/>
            </w:tcBorders>
            <w:shd w:val="clear" w:color="auto" w:fill="auto"/>
            <w:noWrap/>
            <w:vAlign w:val="center"/>
          </w:tcPr>
          <w:p w14:paraId="59F6D10A" w14:textId="77777777" w:rsidR="002959B1" w:rsidRPr="009642F7" w:rsidRDefault="002959B1" w:rsidP="002959B1">
            <w:pPr>
              <w:snapToGrid w:val="0"/>
              <w:rPr>
                <w:rFonts w:ascii="Times New Roman" w:hAnsi="Times New Roman" w:cs="Times New Roman"/>
              </w:rPr>
            </w:pPr>
            <w:r w:rsidRPr="009642F7">
              <w:rPr>
                <w:rFonts w:ascii="Times New Roman" w:hAnsi="Times New Roman" w:cs="Times New Roman"/>
              </w:rPr>
              <w:t>Industry-Fixed Effect</w:t>
            </w:r>
          </w:p>
        </w:tc>
        <w:tc>
          <w:tcPr>
            <w:tcW w:w="728" w:type="pct"/>
            <w:tcBorders>
              <w:top w:val="nil"/>
              <w:left w:val="nil"/>
              <w:bottom w:val="nil"/>
              <w:right w:val="nil"/>
            </w:tcBorders>
            <w:shd w:val="clear" w:color="auto" w:fill="auto"/>
            <w:noWrap/>
          </w:tcPr>
          <w:p w14:paraId="6CBE65DD" w14:textId="77777777" w:rsidR="002959B1" w:rsidRPr="009642F7" w:rsidRDefault="002959B1" w:rsidP="002959B1">
            <w:pPr>
              <w:jc w:val="center"/>
              <w:rPr>
                <w:rFonts w:ascii="Times New Roman" w:hAnsi="Times New Roman" w:cs="Times New Roman"/>
              </w:rPr>
            </w:pPr>
            <w:r w:rsidRPr="009642F7">
              <w:rPr>
                <w:rFonts w:ascii="Times New Roman" w:eastAsia="HeiT" w:hAnsi="Times New Roman" w:cs="Times New Roman"/>
              </w:rPr>
              <w:t>Yes</w:t>
            </w:r>
          </w:p>
        </w:tc>
        <w:tc>
          <w:tcPr>
            <w:tcW w:w="790" w:type="pct"/>
            <w:tcBorders>
              <w:top w:val="nil"/>
              <w:left w:val="nil"/>
              <w:bottom w:val="nil"/>
              <w:right w:val="nil"/>
            </w:tcBorders>
            <w:shd w:val="clear" w:color="auto" w:fill="auto"/>
            <w:noWrap/>
          </w:tcPr>
          <w:p w14:paraId="5F56CB71" w14:textId="77777777" w:rsidR="002959B1" w:rsidRPr="009642F7" w:rsidRDefault="002959B1" w:rsidP="002959B1">
            <w:pPr>
              <w:jc w:val="center"/>
              <w:rPr>
                <w:rFonts w:ascii="Times New Roman" w:hAnsi="Times New Roman" w:cs="Times New Roman"/>
              </w:rPr>
            </w:pPr>
            <w:r w:rsidRPr="009642F7">
              <w:rPr>
                <w:rFonts w:ascii="Times New Roman" w:eastAsia="HeiT" w:hAnsi="Times New Roman" w:cs="Times New Roman"/>
              </w:rPr>
              <w:t>Yes</w:t>
            </w:r>
          </w:p>
        </w:tc>
        <w:tc>
          <w:tcPr>
            <w:tcW w:w="727" w:type="pct"/>
            <w:tcBorders>
              <w:top w:val="nil"/>
              <w:left w:val="nil"/>
              <w:bottom w:val="nil"/>
              <w:right w:val="nil"/>
            </w:tcBorders>
            <w:shd w:val="clear" w:color="auto" w:fill="auto"/>
            <w:noWrap/>
          </w:tcPr>
          <w:p w14:paraId="1FC78725" w14:textId="77777777" w:rsidR="002959B1" w:rsidRPr="009642F7" w:rsidRDefault="002959B1" w:rsidP="002959B1">
            <w:pPr>
              <w:jc w:val="center"/>
              <w:rPr>
                <w:rFonts w:ascii="Times New Roman" w:hAnsi="Times New Roman" w:cs="Times New Roman"/>
              </w:rPr>
            </w:pPr>
            <w:r w:rsidRPr="009642F7">
              <w:rPr>
                <w:rFonts w:ascii="Times New Roman" w:eastAsia="HeiT" w:hAnsi="Times New Roman" w:cs="Times New Roman"/>
              </w:rPr>
              <w:t>Yes</w:t>
            </w:r>
          </w:p>
        </w:tc>
        <w:tc>
          <w:tcPr>
            <w:tcW w:w="111" w:type="pct"/>
            <w:tcBorders>
              <w:top w:val="nil"/>
              <w:left w:val="nil"/>
              <w:bottom w:val="nil"/>
              <w:right w:val="nil"/>
            </w:tcBorders>
            <w:shd w:val="clear" w:color="auto" w:fill="auto"/>
            <w:noWrap/>
            <w:vAlign w:val="center"/>
          </w:tcPr>
          <w:p w14:paraId="449848CB" w14:textId="77777777" w:rsidR="002959B1" w:rsidRPr="009642F7" w:rsidRDefault="002959B1" w:rsidP="002959B1">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tcPr>
          <w:p w14:paraId="212D6FFC" w14:textId="77777777" w:rsidR="002959B1" w:rsidRPr="009642F7" w:rsidRDefault="002959B1" w:rsidP="002959B1">
            <w:pPr>
              <w:snapToGrid w:val="0"/>
              <w:jc w:val="center"/>
              <w:rPr>
                <w:rFonts w:ascii="Times New Roman" w:eastAsia="Times New Roman" w:hAnsi="Times New Roman" w:cs="Times New Roman"/>
              </w:rPr>
            </w:pPr>
          </w:p>
        </w:tc>
      </w:tr>
      <w:tr w:rsidR="009642F7" w:rsidRPr="009642F7" w14:paraId="6ED5F94A" w14:textId="77777777" w:rsidTr="0005758D">
        <w:tc>
          <w:tcPr>
            <w:tcW w:w="1702" w:type="pct"/>
            <w:tcBorders>
              <w:top w:val="nil"/>
              <w:left w:val="nil"/>
              <w:bottom w:val="nil"/>
              <w:right w:val="nil"/>
            </w:tcBorders>
            <w:shd w:val="clear" w:color="auto" w:fill="auto"/>
            <w:noWrap/>
            <w:vAlign w:val="center"/>
          </w:tcPr>
          <w:p w14:paraId="661E9226" w14:textId="77777777" w:rsidR="002959B1" w:rsidRPr="009642F7" w:rsidRDefault="002959B1" w:rsidP="002959B1">
            <w:pPr>
              <w:snapToGrid w:val="0"/>
              <w:rPr>
                <w:rFonts w:ascii="Times New Roman" w:hAnsi="Times New Roman" w:cs="Times New Roman"/>
              </w:rPr>
            </w:pPr>
            <w:r w:rsidRPr="009642F7">
              <w:rPr>
                <w:rFonts w:ascii="Times New Roman" w:hAnsi="Times New Roman" w:cs="Times New Roman"/>
              </w:rPr>
              <w:t>Year-Fixed Effect</w:t>
            </w:r>
          </w:p>
        </w:tc>
        <w:tc>
          <w:tcPr>
            <w:tcW w:w="728" w:type="pct"/>
            <w:tcBorders>
              <w:top w:val="nil"/>
              <w:left w:val="nil"/>
              <w:bottom w:val="nil"/>
              <w:right w:val="nil"/>
            </w:tcBorders>
            <w:shd w:val="clear" w:color="auto" w:fill="auto"/>
            <w:noWrap/>
          </w:tcPr>
          <w:p w14:paraId="3DD99605" w14:textId="77777777" w:rsidR="002959B1" w:rsidRPr="009642F7" w:rsidRDefault="002959B1" w:rsidP="002959B1">
            <w:pPr>
              <w:jc w:val="center"/>
              <w:rPr>
                <w:rFonts w:ascii="Times New Roman" w:hAnsi="Times New Roman" w:cs="Times New Roman"/>
              </w:rPr>
            </w:pPr>
            <w:r w:rsidRPr="009642F7">
              <w:rPr>
                <w:rFonts w:ascii="Times New Roman" w:eastAsia="HeiT" w:hAnsi="Times New Roman" w:cs="Times New Roman"/>
              </w:rPr>
              <w:t>Yes</w:t>
            </w:r>
          </w:p>
        </w:tc>
        <w:tc>
          <w:tcPr>
            <w:tcW w:w="790" w:type="pct"/>
            <w:tcBorders>
              <w:top w:val="nil"/>
              <w:left w:val="nil"/>
              <w:bottom w:val="nil"/>
              <w:right w:val="nil"/>
            </w:tcBorders>
            <w:shd w:val="clear" w:color="auto" w:fill="auto"/>
            <w:noWrap/>
          </w:tcPr>
          <w:p w14:paraId="5F5D0BF7" w14:textId="77777777" w:rsidR="002959B1" w:rsidRPr="009642F7" w:rsidRDefault="002959B1" w:rsidP="002959B1">
            <w:pPr>
              <w:jc w:val="center"/>
              <w:rPr>
                <w:rFonts w:ascii="Times New Roman" w:hAnsi="Times New Roman" w:cs="Times New Roman"/>
              </w:rPr>
            </w:pPr>
            <w:r w:rsidRPr="009642F7">
              <w:rPr>
                <w:rFonts w:ascii="Times New Roman" w:eastAsia="HeiT" w:hAnsi="Times New Roman" w:cs="Times New Roman"/>
              </w:rPr>
              <w:t>Yes</w:t>
            </w:r>
          </w:p>
        </w:tc>
        <w:tc>
          <w:tcPr>
            <w:tcW w:w="727" w:type="pct"/>
            <w:tcBorders>
              <w:top w:val="nil"/>
              <w:left w:val="nil"/>
              <w:bottom w:val="nil"/>
              <w:right w:val="nil"/>
            </w:tcBorders>
            <w:shd w:val="clear" w:color="auto" w:fill="auto"/>
            <w:noWrap/>
          </w:tcPr>
          <w:p w14:paraId="0FA0EDE2" w14:textId="77777777" w:rsidR="002959B1" w:rsidRPr="009642F7" w:rsidRDefault="002959B1" w:rsidP="002959B1">
            <w:pPr>
              <w:jc w:val="center"/>
              <w:rPr>
                <w:rFonts w:ascii="Times New Roman" w:hAnsi="Times New Roman" w:cs="Times New Roman"/>
              </w:rPr>
            </w:pPr>
            <w:r w:rsidRPr="009642F7">
              <w:rPr>
                <w:rFonts w:ascii="Times New Roman" w:eastAsia="HeiT" w:hAnsi="Times New Roman" w:cs="Times New Roman"/>
              </w:rPr>
              <w:t>Yes</w:t>
            </w:r>
          </w:p>
        </w:tc>
        <w:tc>
          <w:tcPr>
            <w:tcW w:w="111" w:type="pct"/>
            <w:tcBorders>
              <w:top w:val="nil"/>
              <w:left w:val="nil"/>
              <w:bottom w:val="nil"/>
              <w:right w:val="nil"/>
            </w:tcBorders>
            <w:shd w:val="clear" w:color="auto" w:fill="auto"/>
            <w:noWrap/>
            <w:vAlign w:val="center"/>
          </w:tcPr>
          <w:p w14:paraId="2BD2A0D7" w14:textId="77777777" w:rsidR="002959B1" w:rsidRPr="009642F7" w:rsidRDefault="002959B1" w:rsidP="002959B1">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tcPr>
          <w:p w14:paraId="4A711240" w14:textId="77777777" w:rsidR="002959B1" w:rsidRPr="009642F7" w:rsidRDefault="002959B1" w:rsidP="002959B1">
            <w:pPr>
              <w:snapToGrid w:val="0"/>
              <w:jc w:val="center"/>
              <w:rPr>
                <w:rFonts w:ascii="Times New Roman" w:eastAsia="Times New Roman" w:hAnsi="Times New Roman" w:cs="Times New Roman"/>
              </w:rPr>
            </w:pPr>
          </w:p>
        </w:tc>
      </w:tr>
      <w:tr w:rsidR="009642F7" w:rsidRPr="009642F7" w14:paraId="3BCE2EF4" w14:textId="77777777" w:rsidTr="0005758D">
        <w:tc>
          <w:tcPr>
            <w:tcW w:w="1702" w:type="pct"/>
            <w:tcBorders>
              <w:top w:val="nil"/>
              <w:left w:val="nil"/>
              <w:bottom w:val="nil"/>
              <w:right w:val="nil"/>
            </w:tcBorders>
            <w:shd w:val="clear" w:color="auto" w:fill="auto"/>
            <w:noWrap/>
            <w:vAlign w:val="center"/>
          </w:tcPr>
          <w:p w14:paraId="21C97622" w14:textId="77777777" w:rsidR="002959B1" w:rsidRPr="009642F7" w:rsidRDefault="002959B1" w:rsidP="002959B1">
            <w:pPr>
              <w:snapToGrid w:val="0"/>
              <w:rPr>
                <w:rFonts w:ascii="Times New Roman" w:hAnsi="Times New Roman" w:cs="Times New Roman"/>
                <w:i/>
                <w:iCs/>
              </w:rPr>
            </w:pPr>
          </w:p>
        </w:tc>
        <w:tc>
          <w:tcPr>
            <w:tcW w:w="728" w:type="pct"/>
            <w:tcBorders>
              <w:top w:val="nil"/>
              <w:left w:val="nil"/>
              <w:bottom w:val="nil"/>
              <w:right w:val="nil"/>
            </w:tcBorders>
            <w:shd w:val="clear" w:color="auto" w:fill="auto"/>
            <w:noWrap/>
            <w:vAlign w:val="center"/>
          </w:tcPr>
          <w:p w14:paraId="48C5BFB5" w14:textId="77777777" w:rsidR="002959B1" w:rsidRPr="009642F7" w:rsidRDefault="002959B1" w:rsidP="002959B1">
            <w:pPr>
              <w:snapToGrid w:val="0"/>
              <w:jc w:val="center"/>
              <w:rPr>
                <w:rFonts w:ascii="Times New Roman" w:eastAsia="HeiT" w:hAnsi="Times New Roman" w:cs="Times New Roman"/>
              </w:rPr>
            </w:pPr>
          </w:p>
        </w:tc>
        <w:tc>
          <w:tcPr>
            <w:tcW w:w="790" w:type="pct"/>
            <w:tcBorders>
              <w:top w:val="nil"/>
              <w:left w:val="nil"/>
              <w:bottom w:val="nil"/>
              <w:right w:val="nil"/>
            </w:tcBorders>
            <w:shd w:val="clear" w:color="auto" w:fill="auto"/>
            <w:noWrap/>
            <w:vAlign w:val="center"/>
          </w:tcPr>
          <w:p w14:paraId="655855EC" w14:textId="77777777" w:rsidR="002959B1" w:rsidRPr="009642F7" w:rsidRDefault="002959B1" w:rsidP="002959B1">
            <w:pPr>
              <w:snapToGrid w:val="0"/>
              <w:jc w:val="center"/>
              <w:rPr>
                <w:rFonts w:ascii="Times New Roman" w:eastAsia="HeiT" w:hAnsi="Times New Roman" w:cs="Times New Roman"/>
              </w:rPr>
            </w:pPr>
          </w:p>
        </w:tc>
        <w:tc>
          <w:tcPr>
            <w:tcW w:w="727" w:type="pct"/>
            <w:tcBorders>
              <w:top w:val="nil"/>
              <w:left w:val="nil"/>
              <w:bottom w:val="nil"/>
              <w:right w:val="nil"/>
            </w:tcBorders>
            <w:shd w:val="clear" w:color="auto" w:fill="auto"/>
            <w:noWrap/>
            <w:vAlign w:val="center"/>
          </w:tcPr>
          <w:p w14:paraId="08E53067" w14:textId="77777777" w:rsidR="002959B1" w:rsidRPr="009642F7" w:rsidRDefault="002959B1" w:rsidP="002959B1">
            <w:pPr>
              <w:snapToGrid w:val="0"/>
              <w:jc w:val="center"/>
              <w:rPr>
                <w:rFonts w:ascii="Times New Roman" w:eastAsia="HeiT" w:hAnsi="Times New Roman" w:cs="Times New Roman"/>
              </w:rPr>
            </w:pPr>
          </w:p>
        </w:tc>
        <w:tc>
          <w:tcPr>
            <w:tcW w:w="111" w:type="pct"/>
            <w:tcBorders>
              <w:top w:val="nil"/>
              <w:left w:val="nil"/>
              <w:bottom w:val="nil"/>
              <w:right w:val="nil"/>
            </w:tcBorders>
            <w:shd w:val="clear" w:color="auto" w:fill="auto"/>
            <w:noWrap/>
            <w:vAlign w:val="center"/>
          </w:tcPr>
          <w:p w14:paraId="5B7EA7F2" w14:textId="77777777" w:rsidR="002959B1" w:rsidRPr="009642F7" w:rsidRDefault="002959B1" w:rsidP="002959B1">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tcPr>
          <w:p w14:paraId="24FDE886" w14:textId="77777777" w:rsidR="002959B1" w:rsidRPr="009642F7" w:rsidRDefault="002959B1" w:rsidP="002959B1">
            <w:pPr>
              <w:snapToGrid w:val="0"/>
              <w:jc w:val="center"/>
              <w:rPr>
                <w:rFonts w:ascii="Times New Roman" w:eastAsia="Times New Roman" w:hAnsi="Times New Roman" w:cs="Times New Roman"/>
              </w:rPr>
            </w:pPr>
          </w:p>
        </w:tc>
      </w:tr>
      <w:tr w:rsidR="009642F7" w:rsidRPr="009642F7" w14:paraId="338B4C04" w14:textId="77777777" w:rsidTr="0005758D">
        <w:tc>
          <w:tcPr>
            <w:tcW w:w="1702" w:type="pct"/>
            <w:tcBorders>
              <w:top w:val="nil"/>
              <w:left w:val="nil"/>
              <w:bottom w:val="nil"/>
              <w:right w:val="nil"/>
            </w:tcBorders>
            <w:shd w:val="clear" w:color="auto" w:fill="auto"/>
            <w:noWrap/>
            <w:vAlign w:val="center"/>
            <w:hideMark/>
          </w:tcPr>
          <w:p w14:paraId="6FEC0B0C" w14:textId="77777777" w:rsidR="002959B1" w:rsidRPr="009642F7" w:rsidRDefault="002959B1" w:rsidP="002959B1">
            <w:pPr>
              <w:snapToGrid w:val="0"/>
              <w:rPr>
                <w:rFonts w:ascii="Times New Roman" w:hAnsi="Times New Roman" w:cs="Times New Roman"/>
                <w:i/>
                <w:iCs/>
              </w:rPr>
            </w:pPr>
            <w:r w:rsidRPr="009642F7">
              <w:rPr>
                <w:rFonts w:ascii="Times New Roman" w:hAnsi="Times New Roman" w:cs="Times New Roman"/>
                <w:i/>
                <w:iCs/>
              </w:rPr>
              <w:t>N</w:t>
            </w:r>
          </w:p>
        </w:tc>
        <w:tc>
          <w:tcPr>
            <w:tcW w:w="728" w:type="pct"/>
            <w:tcBorders>
              <w:top w:val="nil"/>
              <w:left w:val="nil"/>
              <w:bottom w:val="nil"/>
              <w:right w:val="nil"/>
            </w:tcBorders>
            <w:shd w:val="clear" w:color="auto" w:fill="auto"/>
            <w:noWrap/>
            <w:vAlign w:val="center"/>
            <w:hideMark/>
          </w:tcPr>
          <w:p w14:paraId="4D70C558"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8,283</w:t>
            </w:r>
          </w:p>
        </w:tc>
        <w:tc>
          <w:tcPr>
            <w:tcW w:w="790" w:type="pct"/>
            <w:tcBorders>
              <w:top w:val="nil"/>
              <w:left w:val="nil"/>
              <w:bottom w:val="nil"/>
              <w:right w:val="nil"/>
            </w:tcBorders>
            <w:shd w:val="clear" w:color="auto" w:fill="auto"/>
            <w:noWrap/>
            <w:vAlign w:val="center"/>
            <w:hideMark/>
          </w:tcPr>
          <w:p w14:paraId="7A4F8FB7"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8,390</w:t>
            </w:r>
          </w:p>
        </w:tc>
        <w:tc>
          <w:tcPr>
            <w:tcW w:w="727" w:type="pct"/>
            <w:tcBorders>
              <w:top w:val="nil"/>
              <w:left w:val="nil"/>
              <w:bottom w:val="nil"/>
              <w:right w:val="nil"/>
            </w:tcBorders>
            <w:shd w:val="clear" w:color="auto" w:fill="auto"/>
            <w:noWrap/>
            <w:vAlign w:val="center"/>
            <w:hideMark/>
          </w:tcPr>
          <w:p w14:paraId="59495C03"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8,367</w:t>
            </w:r>
          </w:p>
        </w:tc>
        <w:tc>
          <w:tcPr>
            <w:tcW w:w="111" w:type="pct"/>
            <w:tcBorders>
              <w:top w:val="nil"/>
              <w:left w:val="nil"/>
              <w:bottom w:val="nil"/>
              <w:right w:val="nil"/>
            </w:tcBorders>
            <w:shd w:val="clear" w:color="auto" w:fill="auto"/>
            <w:noWrap/>
            <w:vAlign w:val="center"/>
            <w:hideMark/>
          </w:tcPr>
          <w:p w14:paraId="6E5BB4BB" w14:textId="77777777" w:rsidR="002959B1" w:rsidRPr="009642F7" w:rsidRDefault="002959B1" w:rsidP="002959B1">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hideMark/>
          </w:tcPr>
          <w:p w14:paraId="4F315B60" w14:textId="77777777" w:rsidR="002959B1" w:rsidRPr="009642F7" w:rsidRDefault="002959B1" w:rsidP="002959B1">
            <w:pPr>
              <w:snapToGrid w:val="0"/>
              <w:jc w:val="center"/>
              <w:rPr>
                <w:rFonts w:ascii="Times New Roman" w:eastAsia="Times New Roman" w:hAnsi="Times New Roman" w:cs="Times New Roman"/>
              </w:rPr>
            </w:pPr>
          </w:p>
        </w:tc>
      </w:tr>
      <w:tr w:rsidR="009642F7" w:rsidRPr="009642F7" w14:paraId="5F4A0EA3" w14:textId="77777777" w:rsidTr="0005758D">
        <w:tc>
          <w:tcPr>
            <w:tcW w:w="1702" w:type="pct"/>
            <w:tcBorders>
              <w:top w:val="nil"/>
              <w:left w:val="nil"/>
              <w:bottom w:val="nil"/>
              <w:right w:val="nil"/>
            </w:tcBorders>
            <w:shd w:val="clear" w:color="auto" w:fill="auto"/>
            <w:noWrap/>
            <w:vAlign w:val="center"/>
            <w:hideMark/>
          </w:tcPr>
          <w:p w14:paraId="01EFFCA4" w14:textId="77777777" w:rsidR="002959B1" w:rsidRPr="009642F7" w:rsidRDefault="002959B1" w:rsidP="002959B1">
            <w:pPr>
              <w:snapToGrid w:val="0"/>
              <w:rPr>
                <w:rFonts w:ascii="Times New Roman" w:hAnsi="Times New Roman" w:cs="Times New Roman"/>
              </w:rPr>
            </w:pPr>
            <w:r w:rsidRPr="009642F7">
              <w:rPr>
                <w:rFonts w:ascii="Times New Roman" w:hAnsi="Times New Roman" w:cs="Times New Roman"/>
              </w:rPr>
              <w:t>−2 Log−likelihood</w:t>
            </w:r>
          </w:p>
        </w:tc>
        <w:tc>
          <w:tcPr>
            <w:tcW w:w="728" w:type="pct"/>
            <w:tcBorders>
              <w:top w:val="nil"/>
              <w:left w:val="nil"/>
              <w:bottom w:val="nil"/>
              <w:right w:val="nil"/>
            </w:tcBorders>
            <w:shd w:val="clear" w:color="auto" w:fill="auto"/>
            <w:noWrap/>
            <w:vAlign w:val="center"/>
            <w:hideMark/>
          </w:tcPr>
          <w:p w14:paraId="6EBBC21E"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2462.8</w:t>
            </w:r>
          </w:p>
        </w:tc>
        <w:tc>
          <w:tcPr>
            <w:tcW w:w="790" w:type="pct"/>
            <w:tcBorders>
              <w:top w:val="nil"/>
              <w:left w:val="nil"/>
              <w:bottom w:val="nil"/>
              <w:right w:val="nil"/>
            </w:tcBorders>
            <w:shd w:val="clear" w:color="auto" w:fill="auto"/>
            <w:noWrap/>
            <w:vAlign w:val="center"/>
            <w:hideMark/>
          </w:tcPr>
          <w:p w14:paraId="3412EEFD"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1994.8</w:t>
            </w:r>
          </w:p>
        </w:tc>
        <w:tc>
          <w:tcPr>
            <w:tcW w:w="727" w:type="pct"/>
            <w:tcBorders>
              <w:top w:val="nil"/>
              <w:left w:val="nil"/>
              <w:bottom w:val="nil"/>
              <w:right w:val="nil"/>
            </w:tcBorders>
            <w:shd w:val="clear" w:color="auto" w:fill="auto"/>
            <w:noWrap/>
            <w:vAlign w:val="center"/>
            <w:hideMark/>
          </w:tcPr>
          <w:p w14:paraId="556734A7"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1842.1</w:t>
            </w:r>
          </w:p>
        </w:tc>
        <w:tc>
          <w:tcPr>
            <w:tcW w:w="111" w:type="pct"/>
            <w:tcBorders>
              <w:top w:val="nil"/>
              <w:left w:val="nil"/>
              <w:bottom w:val="nil"/>
              <w:right w:val="nil"/>
            </w:tcBorders>
            <w:shd w:val="clear" w:color="auto" w:fill="auto"/>
            <w:noWrap/>
            <w:vAlign w:val="center"/>
            <w:hideMark/>
          </w:tcPr>
          <w:p w14:paraId="735BD537" w14:textId="77777777" w:rsidR="002959B1" w:rsidRPr="009642F7" w:rsidRDefault="002959B1" w:rsidP="002959B1">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hideMark/>
          </w:tcPr>
          <w:p w14:paraId="250F8410" w14:textId="77777777" w:rsidR="002959B1" w:rsidRPr="009642F7" w:rsidRDefault="002959B1" w:rsidP="002959B1">
            <w:pPr>
              <w:snapToGrid w:val="0"/>
              <w:jc w:val="center"/>
              <w:rPr>
                <w:rFonts w:ascii="Times New Roman" w:eastAsia="Times New Roman" w:hAnsi="Times New Roman" w:cs="Times New Roman"/>
              </w:rPr>
            </w:pPr>
          </w:p>
        </w:tc>
      </w:tr>
      <w:tr w:rsidR="009642F7" w:rsidRPr="009642F7" w14:paraId="51D5A33D" w14:textId="77777777" w:rsidTr="0005758D">
        <w:tc>
          <w:tcPr>
            <w:tcW w:w="1702" w:type="pct"/>
            <w:tcBorders>
              <w:top w:val="nil"/>
              <w:left w:val="nil"/>
              <w:bottom w:val="nil"/>
              <w:right w:val="nil"/>
            </w:tcBorders>
            <w:shd w:val="clear" w:color="auto" w:fill="auto"/>
            <w:noWrap/>
            <w:vAlign w:val="center"/>
            <w:hideMark/>
          </w:tcPr>
          <w:p w14:paraId="37205F3A" w14:textId="77777777" w:rsidR="002959B1" w:rsidRPr="009642F7" w:rsidRDefault="002959B1" w:rsidP="002959B1">
            <w:pPr>
              <w:snapToGrid w:val="0"/>
              <w:rPr>
                <w:rFonts w:ascii="Times New Roman" w:hAnsi="Times New Roman" w:cs="Times New Roman"/>
              </w:rPr>
            </w:pPr>
            <w:r w:rsidRPr="009642F7">
              <w:rPr>
                <w:rFonts w:ascii="Times New Roman" w:hAnsi="Times New Roman" w:cs="Times New Roman"/>
              </w:rPr>
              <w:t>Percent Concordant</w:t>
            </w:r>
          </w:p>
        </w:tc>
        <w:tc>
          <w:tcPr>
            <w:tcW w:w="728" w:type="pct"/>
            <w:tcBorders>
              <w:top w:val="nil"/>
              <w:left w:val="nil"/>
              <w:bottom w:val="nil"/>
              <w:right w:val="nil"/>
            </w:tcBorders>
            <w:shd w:val="clear" w:color="auto" w:fill="auto"/>
            <w:noWrap/>
            <w:vAlign w:val="center"/>
            <w:hideMark/>
          </w:tcPr>
          <w:p w14:paraId="6FF21001"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84.4</w:t>
            </w:r>
          </w:p>
        </w:tc>
        <w:tc>
          <w:tcPr>
            <w:tcW w:w="790" w:type="pct"/>
            <w:tcBorders>
              <w:top w:val="nil"/>
              <w:left w:val="nil"/>
              <w:bottom w:val="nil"/>
              <w:right w:val="nil"/>
            </w:tcBorders>
            <w:shd w:val="clear" w:color="auto" w:fill="auto"/>
            <w:noWrap/>
            <w:vAlign w:val="center"/>
            <w:hideMark/>
          </w:tcPr>
          <w:p w14:paraId="345CF1B2"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84.5</w:t>
            </w:r>
          </w:p>
        </w:tc>
        <w:tc>
          <w:tcPr>
            <w:tcW w:w="727" w:type="pct"/>
            <w:tcBorders>
              <w:top w:val="nil"/>
              <w:left w:val="nil"/>
              <w:bottom w:val="nil"/>
              <w:right w:val="nil"/>
            </w:tcBorders>
            <w:shd w:val="clear" w:color="auto" w:fill="auto"/>
            <w:noWrap/>
            <w:vAlign w:val="center"/>
            <w:hideMark/>
          </w:tcPr>
          <w:p w14:paraId="6CB112E7"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80.3</w:t>
            </w:r>
          </w:p>
        </w:tc>
        <w:tc>
          <w:tcPr>
            <w:tcW w:w="111" w:type="pct"/>
            <w:tcBorders>
              <w:top w:val="nil"/>
              <w:left w:val="nil"/>
              <w:bottom w:val="nil"/>
              <w:right w:val="nil"/>
            </w:tcBorders>
            <w:shd w:val="clear" w:color="auto" w:fill="auto"/>
            <w:noWrap/>
            <w:vAlign w:val="center"/>
            <w:hideMark/>
          </w:tcPr>
          <w:p w14:paraId="602F0E91" w14:textId="77777777" w:rsidR="002959B1" w:rsidRPr="009642F7" w:rsidRDefault="002959B1" w:rsidP="002959B1">
            <w:pPr>
              <w:snapToGrid w:val="0"/>
              <w:jc w:val="center"/>
              <w:rPr>
                <w:rFonts w:ascii="Times New Roman" w:eastAsia="HeiT" w:hAnsi="Times New Roman" w:cs="Times New Roman"/>
              </w:rPr>
            </w:pPr>
          </w:p>
        </w:tc>
        <w:tc>
          <w:tcPr>
            <w:tcW w:w="942" w:type="pct"/>
            <w:tcBorders>
              <w:top w:val="nil"/>
              <w:left w:val="nil"/>
              <w:bottom w:val="nil"/>
              <w:right w:val="nil"/>
            </w:tcBorders>
            <w:shd w:val="clear" w:color="auto" w:fill="auto"/>
            <w:noWrap/>
            <w:vAlign w:val="center"/>
            <w:hideMark/>
          </w:tcPr>
          <w:p w14:paraId="084ECB30" w14:textId="77777777" w:rsidR="002959B1" w:rsidRPr="009642F7" w:rsidRDefault="002959B1" w:rsidP="002959B1">
            <w:pPr>
              <w:snapToGrid w:val="0"/>
              <w:jc w:val="center"/>
              <w:rPr>
                <w:rFonts w:ascii="Times New Roman" w:eastAsia="Times New Roman" w:hAnsi="Times New Roman" w:cs="Times New Roman"/>
              </w:rPr>
            </w:pPr>
          </w:p>
        </w:tc>
      </w:tr>
      <w:tr w:rsidR="002959B1" w:rsidRPr="009642F7" w14:paraId="497EC14B" w14:textId="77777777" w:rsidTr="0005758D">
        <w:tc>
          <w:tcPr>
            <w:tcW w:w="1702" w:type="pct"/>
            <w:tcBorders>
              <w:top w:val="nil"/>
              <w:left w:val="nil"/>
              <w:bottom w:val="single" w:sz="4" w:space="0" w:color="auto"/>
              <w:right w:val="nil"/>
            </w:tcBorders>
            <w:shd w:val="clear" w:color="auto" w:fill="auto"/>
            <w:noWrap/>
            <w:vAlign w:val="center"/>
            <w:hideMark/>
          </w:tcPr>
          <w:p w14:paraId="0BE43AD9" w14:textId="77777777" w:rsidR="002959B1" w:rsidRPr="009642F7" w:rsidRDefault="002959B1" w:rsidP="002959B1">
            <w:pPr>
              <w:snapToGrid w:val="0"/>
              <w:rPr>
                <w:rFonts w:ascii="Times New Roman" w:hAnsi="Times New Roman" w:cs="Times New Roman"/>
              </w:rPr>
            </w:pPr>
            <w:r w:rsidRPr="009642F7">
              <w:rPr>
                <w:rFonts w:ascii="Times New Roman" w:hAnsi="Times New Roman" w:cs="Times New Roman"/>
              </w:rPr>
              <w:t xml:space="preserve">Pseudo </w:t>
            </w:r>
            <w:r w:rsidRPr="009642F7">
              <w:rPr>
                <w:rFonts w:ascii="Times New Roman" w:hAnsi="Times New Roman" w:cs="Times New Roman"/>
                <w:i/>
                <w:iCs/>
              </w:rPr>
              <w:t>R</w:t>
            </w:r>
            <w:r w:rsidRPr="009642F7">
              <w:rPr>
                <w:rFonts w:ascii="Times New Roman" w:hAnsi="Times New Roman" w:cs="Times New Roman"/>
                <w:vertAlign w:val="superscript"/>
              </w:rPr>
              <w:t>2</w:t>
            </w:r>
          </w:p>
        </w:tc>
        <w:tc>
          <w:tcPr>
            <w:tcW w:w="728" w:type="pct"/>
            <w:tcBorders>
              <w:top w:val="nil"/>
              <w:left w:val="nil"/>
              <w:bottom w:val="single" w:sz="4" w:space="0" w:color="auto"/>
              <w:right w:val="nil"/>
            </w:tcBorders>
            <w:shd w:val="clear" w:color="auto" w:fill="auto"/>
            <w:noWrap/>
            <w:vAlign w:val="center"/>
            <w:hideMark/>
          </w:tcPr>
          <w:p w14:paraId="4DB24895"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25.53%</w:t>
            </w:r>
          </w:p>
        </w:tc>
        <w:tc>
          <w:tcPr>
            <w:tcW w:w="790" w:type="pct"/>
            <w:tcBorders>
              <w:top w:val="nil"/>
              <w:left w:val="nil"/>
              <w:bottom w:val="single" w:sz="4" w:space="0" w:color="auto"/>
              <w:right w:val="nil"/>
            </w:tcBorders>
            <w:shd w:val="clear" w:color="auto" w:fill="auto"/>
            <w:noWrap/>
            <w:vAlign w:val="center"/>
            <w:hideMark/>
          </w:tcPr>
          <w:p w14:paraId="4B976D58"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23.21%</w:t>
            </w:r>
          </w:p>
        </w:tc>
        <w:tc>
          <w:tcPr>
            <w:tcW w:w="727" w:type="pct"/>
            <w:tcBorders>
              <w:top w:val="nil"/>
              <w:left w:val="nil"/>
              <w:bottom w:val="single" w:sz="4" w:space="0" w:color="auto"/>
              <w:right w:val="nil"/>
            </w:tcBorders>
            <w:shd w:val="clear" w:color="auto" w:fill="auto"/>
            <w:noWrap/>
            <w:vAlign w:val="center"/>
            <w:hideMark/>
          </w:tcPr>
          <w:p w14:paraId="0B4AB46B" w14:textId="77777777" w:rsidR="002959B1" w:rsidRPr="009642F7" w:rsidRDefault="002959B1" w:rsidP="002959B1">
            <w:pPr>
              <w:snapToGrid w:val="0"/>
              <w:jc w:val="center"/>
              <w:rPr>
                <w:rFonts w:ascii="Times New Roman" w:eastAsia="HeiT" w:hAnsi="Times New Roman" w:cs="Times New Roman"/>
              </w:rPr>
            </w:pPr>
            <w:r w:rsidRPr="009642F7">
              <w:rPr>
                <w:rFonts w:ascii="Times New Roman" w:eastAsia="HeiT" w:hAnsi="Times New Roman" w:cs="Times New Roman"/>
              </w:rPr>
              <w:t>16.85%</w:t>
            </w:r>
          </w:p>
        </w:tc>
        <w:tc>
          <w:tcPr>
            <w:tcW w:w="111" w:type="pct"/>
            <w:tcBorders>
              <w:top w:val="nil"/>
              <w:left w:val="nil"/>
              <w:bottom w:val="single" w:sz="4" w:space="0" w:color="auto"/>
              <w:right w:val="nil"/>
            </w:tcBorders>
            <w:shd w:val="clear" w:color="auto" w:fill="auto"/>
            <w:noWrap/>
            <w:vAlign w:val="center"/>
            <w:hideMark/>
          </w:tcPr>
          <w:p w14:paraId="4BF8327B" w14:textId="77777777" w:rsidR="002959B1" w:rsidRPr="009642F7" w:rsidRDefault="002959B1" w:rsidP="002959B1">
            <w:pPr>
              <w:snapToGrid w:val="0"/>
              <w:jc w:val="center"/>
              <w:rPr>
                <w:rFonts w:ascii="Times New Roman" w:hAnsi="Times New Roman" w:cs="Times New Roman"/>
              </w:rPr>
            </w:pPr>
          </w:p>
        </w:tc>
        <w:tc>
          <w:tcPr>
            <w:tcW w:w="942" w:type="pct"/>
            <w:tcBorders>
              <w:top w:val="nil"/>
              <w:left w:val="nil"/>
              <w:bottom w:val="single" w:sz="4" w:space="0" w:color="auto"/>
              <w:right w:val="nil"/>
            </w:tcBorders>
            <w:shd w:val="clear" w:color="auto" w:fill="auto"/>
            <w:noWrap/>
            <w:vAlign w:val="center"/>
            <w:hideMark/>
          </w:tcPr>
          <w:p w14:paraId="0BB568B6" w14:textId="77777777" w:rsidR="002959B1" w:rsidRPr="009642F7" w:rsidRDefault="002959B1" w:rsidP="002959B1">
            <w:pPr>
              <w:snapToGrid w:val="0"/>
              <w:jc w:val="center"/>
              <w:rPr>
                <w:rFonts w:ascii="Times New Roman" w:hAnsi="Times New Roman" w:cs="Times New Roman"/>
              </w:rPr>
            </w:pPr>
          </w:p>
        </w:tc>
      </w:tr>
    </w:tbl>
    <w:p w14:paraId="1ECA3669" w14:textId="77777777" w:rsidR="00513AE7" w:rsidRPr="009642F7" w:rsidRDefault="00513AE7">
      <w:pPr>
        <w:rPr>
          <w:rFonts w:ascii="Times New Roman" w:hAnsi="Times New Roman" w:cs="Times New Roman"/>
        </w:rPr>
      </w:pPr>
    </w:p>
    <w:p w14:paraId="4E961DA8" w14:textId="77777777" w:rsidR="00AC0E68" w:rsidRPr="009642F7" w:rsidRDefault="00AC0E68">
      <w:pPr>
        <w:rPr>
          <w:rFonts w:ascii="Times New Roman" w:hAnsi="Times New Roman" w:cs="Times New Roman"/>
        </w:rPr>
      </w:pPr>
    </w:p>
    <w:p w14:paraId="193CD924" w14:textId="77777777" w:rsidR="004D7FCE" w:rsidRPr="009642F7" w:rsidRDefault="004D7FCE">
      <w:pPr>
        <w:rPr>
          <w:rFonts w:ascii="Times New Roman" w:hAnsi="Times New Roman" w:cs="Times New Roman"/>
        </w:rPr>
      </w:pPr>
      <w:r w:rsidRPr="009642F7">
        <w:rPr>
          <w:rFonts w:ascii="Times New Roman" w:hAnsi="Times New Roman" w:cs="Times New Roman"/>
        </w:rPr>
        <w:br w:type="page"/>
      </w:r>
    </w:p>
    <w:tbl>
      <w:tblPr>
        <w:tblW w:w="5000" w:type="pct"/>
        <w:tblCellMar>
          <w:left w:w="28" w:type="dxa"/>
          <w:right w:w="28" w:type="dxa"/>
        </w:tblCellMar>
        <w:tblLook w:val="04A0" w:firstRow="1" w:lastRow="0" w:firstColumn="1" w:lastColumn="0" w:noHBand="0" w:noVBand="1"/>
      </w:tblPr>
      <w:tblGrid>
        <w:gridCol w:w="3123"/>
        <w:gridCol w:w="1424"/>
        <w:gridCol w:w="1530"/>
        <w:gridCol w:w="1418"/>
        <w:gridCol w:w="344"/>
        <w:gridCol w:w="1799"/>
      </w:tblGrid>
      <w:tr w:rsidR="009642F7" w:rsidRPr="009642F7" w14:paraId="36BF88E8" w14:textId="77777777" w:rsidTr="00A075D5">
        <w:trPr>
          <w:trHeight w:val="330"/>
        </w:trPr>
        <w:tc>
          <w:tcPr>
            <w:tcW w:w="5000" w:type="pct"/>
            <w:gridSpan w:val="6"/>
            <w:tcBorders>
              <w:top w:val="nil"/>
              <w:left w:val="nil"/>
              <w:bottom w:val="single" w:sz="4" w:space="0" w:color="auto"/>
              <w:right w:val="nil"/>
            </w:tcBorders>
            <w:shd w:val="clear" w:color="auto" w:fill="auto"/>
            <w:noWrap/>
            <w:vAlign w:val="center"/>
          </w:tcPr>
          <w:p w14:paraId="4E62F113" w14:textId="77777777" w:rsidR="001331BE" w:rsidRPr="009642F7" w:rsidRDefault="001331BE" w:rsidP="00A075D5">
            <w:pPr>
              <w:snapToGrid w:val="0"/>
              <w:jc w:val="center"/>
              <w:rPr>
                <w:rFonts w:ascii="Times New Roman" w:hAnsi="Times New Roman" w:cs="Times New Roman"/>
                <w:b/>
              </w:rPr>
            </w:pPr>
            <w:r w:rsidRPr="009642F7">
              <w:rPr>
                <w:rFonts w:ascii="Times New Roman" w:hAnsi="Times New Roman" w:cs="Times New Roman"/>
                <w:b/>
              </w:rPr>
              <w:lastRenderedPageBreak/>
              <w:t xml:space="preserve">Table </w:t>
            </w:r>
            <w:r w:rsidR="00765046" w:rsidRPr="009642F7">
              <w:rPr>
                <w:rFonts w:ascii="Times New Roman" w:hAnsi="Times New Roman" w:cs="Times New Roman"/>
                <w:b/>
              </w:rPr>
              <w:t>7</w:t>
            </w:r>
            <w:r w:rsidRPr="009642F7">
              <w:rPr>
                <w:rFonts w:ascii="Times New Roman" w:hAnsi="Times New Roman" w:cs="Times New Roman"/>
                <w:b/>
              </w:rPr>
              <w:t xml:space="preserve">. Media Coverage and the Incidence of Financial Restatements: </w:t>
            </w:r>
          </w:p>
          <w:p w14:paraId="44C74C2E" w14:textId="77777777" w:rsidR="001331BE" w:rsidRPr="009642F7" w:rsidRDefault="001331BE" w:rsidP="00A075D5">
            <w:pPr>
              <w:snapToGrid w:val="0"/>
              <w:jc w:val="center"/>
              <w:rPr>
                <w:rFonts w:ascii="Times New Roman" w:hAnsi="Times New Roman" w:cs="Times New Roman"/>
                <w:b/>
              </w:rPr>
            </w:pPr>
            <w:r w:rsidRPr="009642F7">
              <w:rPr>
                <w:rFonts w:ascii="Times New Roman" w:hAnsi="Times New Roman" w:cs="Times New Roman"/>
                <w:b/>
              </w:rPr>
              <w:t xml:space="preserve">Considering Mediating Effect of </w:t>
            </w:r>
            <w:r w:rsidR="002E327E" w:rsidRPr="009642F7">
              <w:rPr>
                <w:rFonts w:ascii="Times New Roman" w:hAnsi="Times New Roman" w:cs="Times New Roman"/>
                <w:b/>
              </w:rPr>
              <w:t xml:space="preserve">Excess </w:t>
            </w:r>
            <w:r w:rsidR="0005758D" w:rsidRPr="009642F7">
              <w:rPr>
                <w:rFonts w:ascii="Times New Roman" w:hAnsi="Times New Roman" w:cs="Times New Roman"/>
                <w:b/>
              </w:rPr>
              <w:t>D&amp;O Insurance Coverage</w:t>
            </w:r>
          </w:p>
          <w:p w14:paraId="2CC2583B" w14:textId="77777777" w:rsidR="001331BE" w:rsidRPr="009642F7" w:rsidRDefault="001331BE" w:rsidP="00A075D5">
            <w:pPr>
              <w:snapToGrid w:val="0"/>
              <w:jc w:val="both"/>
              <w:rPr>
                <w:rFonts w:ascii="Times New Roman" w:hAnsi="Times New Roman" w:cs="Times New Roman"/>
              </w:rPr>
            </w:pPr>
            <w:bookmarkStart w:id="65" w:name="OLE_LINK41"/>
            <w:r w:rsidRPr="009642F7">
              <w:rPr>
                <w:rFonts w:ascii="Times New Roman" w:hAnsi="Times New Roman" w:cs="Times New Roman"/>
              </w:rPr>
              <w:t xml:space="preserve">This table reports the results of Probit regressions with </w:t>
            </w:r>
            <w:r w:rsidRPr="009642F7">
              <w:rPr>
                <w:rFonts w:ascii="Times New Roman" w:hAnsi="Times New Roman" w:cs="Times New Roman"/>
                <w:i/>
              </w:rPr>
              <w:t>Restat</w:t>
            </w:r>
            <w:r w:rsidRPr="009642F7">
              <w:rPr>
                <w:rFonts w:ascii="Times New Roman" w:hAnsi="Times New Roman" w:cs="Times New Roman"/>
              </w:rPr>
              <w:t xml:space="preserve"> </w:t>
            </w:r>
            <w:r w:rsidRPr="009642F7">
              <w:rPr>
                <w:rFonts w:ascii="Times New Roman" w:eastAsia="HeiT" w:hAnsi="Times New Roman" w:cs="Times New Roman"/>
                <w:bCs/>
              </w:rPr>
              <w:t xml:space="preserve">as the dependent variable and </w:t>
            </w:r>
            <w:r w:rsidRPr="009642F7">
              <w:rPr>
                <w:rFonts w:ascii="Times New Roman" w:eastAsia="HeiT" w:hAnsi="Times New Roman" w:cs="Times New Roman"/>
                <w:bCs/>
                <w:i/>
              </w:rPr>
              <w:t>Ln</w:t>
            </w:r>
            <w:r w:rsidRPr="009642F7">
              <w:rPr>
                <w:rFonts w:ascii="Times New Roman" w:hAnsi="Times New Roman" w:cs="Times New Roman"/>
                <w:i/>
              </w:rPr>
              <w:t>Media</w:t>
            </w:r>
            <w:r w:rsidRPr="009642F7">
              <w:rPr>
                <w:rFonts w:ascii="Times New Roman" w:eastAsia="HeiT" w:hAnsi="Times New Roman" w:cs="Times New Roman"/>
                <w:bCs/>
              </w:rPr>
              <w:t xml:space="preserve"> as the main independent variable</w:t>
            </w:r>
            <w:r w:rsidRPr="009642F7">
              <w:rPr>
                <w:rFonts w:ascii="Times New Roman" w:hAnsi="Times New Roman" w:cs="Times New Roman"/>
              </w:rPr>
              <w:t xml:space="preserve">, as estimated in Model (3) of Table 4, separately for subsample stocks with high, medium, and low </w:t>
            </w:r>
            <w:r w:rsidR="002E327E" w:rsidRPr="009642F7">
              <w:rPr>
                <w:rFonts w:ascii="Times New Roman" w:hAnsi="Times New Roman" w:cs="Times New Roman"/>
                <w:i/>
              </w:rPr>
              <w:t>XDOI</w:t>
            </w:r>
            <w:r w:rsidR="002E327E" w:rsidRPr="009642F7">
              <w:rPr>
                <w:rFonts w:ascii="Times New Roman" w:hAnsi="Times New Roman" w:cs="Times New Roman"/>
              </w:rPr>
              <w:t xml:space="preserve"> </w:t>
            </w:r>
            <w:r w:rsidRPr="009642F7">
              <w:rPr>
                <w:rFonts w:ascii="Times New Roman" w:hAnsi="Times New Roman" w:cs="Times New Roman"/>
              </w:rPr>
              <w:t xml:space="preserve">subsamples. </w:t>
            </w:r>
            <w:r w:rsidRPr="009642F7">
              <w:rPr>
                <w:rFonts w:ascii="Times New Roman" w:hAnsi="Times New Roman" w:cs="Times New Roman"/>
                <w:noProof/>
              </w:rPr>
              <w:t xml:space="preserve">Our sample contains the TWSE/TPEx stocks during the period of </w:t>
            </w:r>
            <w:r w:rsidR="0005758D" w:rsidRPr="009642F7">
              <w:rPr>
                <w:rFonts w:ascii="Times New Roman" w:hAnsi="Times New Roman" w:cs="Times New Roman"/>
                <w:noProof/>
              </w:rPr>
              <w:t>2008</w:t>
            </w:r>
            <w:r w:rsidRPr="009642F7">
              <w:rPr>
                <w:rFonts w:ascii="Times New Roman" w:hAnsi="Times New Roman" w:cs="Times New Roman"/>
                <w:bCs/>
                <w:noProof/>
              </w:rPr>
              <w:t>−</w:t>
            </w:r>
            <w:r w:rsidRPr="009642F7">
              <w:rPr>
                <w:rFonts w:ascii="Times New Roman" w:hAnsi="Times New Roman" w:cs="Times New Roman"/>
                <w:noProof/>
              </w:rPr>
              <w:t xml:space="preserve">2021. </w:t>
            </w:r>
            <w:r w:rsidRPr="009642F7">
              <w:rPr>
                <w:rFonts w:ascii="Times New Roman" w:hAnsi="Times New Roman" w:cs="Times New Roman"/>
                <w:bCs/>
                <w:noProof/>
              </w:rPr>
              <w:t>S</w:t>
            </w:r>
            <w:r w:rsidRPr="009642F7">
              <w:rPr>
                <w:rFonts w:ascii="Times New Roman" w:hAnsi="Times New Roman" w:cs="Times New Roman"/>
                <w:noProof/>
              </w:rPr>
              <w:t xml:space="preserve">tocks in financial industries (two-digit industrial </w:t>
            </w:r>
            <w:r w:rsidRPr="009642F7">
              <w:rPr>
                <w:rFonts w:ascii="Times New Roman" w:hAnsi="Times New Roman" w:cs="Times New Roman"/>
                <w:noProof/>
                <w:shd w:val="clear" w:color="auto" w:fill="FFFFFF"/>
              </w:rPr>
              <w:t>codes</w:t>
            </w:r>
            <w:r w:rsidRPr="009642F7">
              <w:rPr>
                <w:rFonts w:ascii="Times New Roman" w:hAnsi="Times New Roman" w:cs="Times New Roman"/>
                <w:noProof/>
              </w:rPr>
              <w:t xml:space="preserve"> 28, 58, and 60) are deleted.</w:t>
            </w:r>
            <w:r w:rsidRPr="009642F7">
              <w:rPr>
                <w:rFonts w:ascii="Times New Roman" w:hAnsi="Times New Roman" w:cs="Times New Roman"/>
              </w:rPr>
              <w:t xml:space="preserve"> For each sample year </w:t>
            </w:r>
            <m:oMath>
              <m:r>
                <w:rPr>
                  <w:rFonts w:ascii="Cambria Math" w:hAnsi="Cambria Math" w:cs="Times New Roman"/>
                </w:rPr>
                <m:t>t-n</m:t>
              </m:r>
            </m:oMath>
            <w:r w:rsidRPr="009642F7">
              <w:rPr>
                <w:rFonts w:ascii="Times New Roman" w:hAnsi="Times New Roman" w:cs="Times New Roman"/>
              </w:rPr>
              <w:t xml:space="preserve">, sample stocks are allocated into three subsamples of high, medium, and low </w:t>
            </w:r>
            <w:r w:rsidR="002E327E" w:rsidRPr="009642F7">
              <w:rPr>
                <w:rFonts w:ascii="Times New Roman" w:hAnsi="Times New Roman" w:cs="Times New Roman"/>
                <w:i/>
              </w:rPr>
              <w:t>XDOI</w:t>
            </w:r>
            <w:r w:rsidR="002E327E" w:rsidRPr="009642F7">
              <w:rPr>
                <w:rFonts w:ascii="Times New Roman" w:hAnsi="Times New Roman" w:cs="Times New Roman"/>
              </w:rPr>
              <w:t xml:space="preserve"> </w:t>
            </w:r>
            <w:r w:rsidRPr="009642F7">
              <w:rPr>
                <w:rFonts w:ascii="Times New Roman" w:hAnsi="Times New Roman" w:cs="Times New Roman"/>
              </w:rPr>
              <w:t xml:space="preserve">(denoted as High, Medium, and Low). We then conduct the Probit regressions analyses by estimating Model (3) of Table 4 for each </w:t>
            </w:r>
            <w:r w:rsidR="002E327E" w:rsidRPr="009642F7">
              <w:rPr>
                <w:rFonts w:ascii="Times New Roman" w:hAnsi="Times New Roman" w:cs="Times New Roman"/>
                <w:i/>
              </w:rPr>
              <w:t>X</w:t>
            </w:r>
            <w:r w:rsidR="00AF30CA" w:rsidRPr="009642F7">
              <w:rPr>
                <w:rFonts w:ascii="Times New Roman" w:hAnsi="Times New Roman" w:cs="Times New Roman"/>
                <w:i/>
              </w:rPr>
              <w:t>DOI</w:t>
            </w:r>
            <w:r w:rsidR="00AF30CA" w:rsidRPr="009642F7">
              <w:rPr>
                <w:rFonts w:ascii="Times New Roman" w:hAnsi="Times New Roman" w:cs="Times New Roman"/>
              </w:rPr>
              <w:t xml:space="preserve"> </w:t>
            </w:r>
            <w:r w:rsidRPr="009642F7">
              <w:rPr>
                <w:rFonts w:ascii="Times New Roman" w:hAnsi="Times New Roman" w:cs="Times New Roman"/>
              </w:rPr>
              <w:t xml:space="preserve">tertiles. </w:t>
            </w:r>
            <w:bookmarkEnd w:id="65"/>
            <w:r w:rsidRPr="009642F7">
              <w:rPr>
                <w:rFonts w:ascii="Times New Roman" w:hAnsi="Times New Roman" w:cs="Times New Roman"/>
              </w:rPr>
              <w:t xml:space="preserve">To save space, only the coefficients on </w:t>
            </w:r>
            <m:oMath>
              <m:sSub>
                <m:sSubPr>
                  <m:ctrlPr>
                    <w:rPr>
                      <w:rFonts w:ascii="Cambria Math" w:eastAsia="HeiT" w:hAnsi="Cambria Math" w:cs="Times New Roman"/>
                      <w:i/>
                    </w:rPr>
                  </m:ctrlPr>
                </m:sSubPr>
                <m:e>
                  <m:r>
                    <w:rPr>
                      <w:rFonts w:ascii="Cambria Math" w:eastAsia="HeiT" w:hAnsi="Cambria Math" w:cs="Times New Roman"/>
                    </w:rPr>
                    <m:t>Ln</m:t>
                  </m:r>
                  <m:r>
                    <w:rPr>
                      <w:rFonts w:ascii="Cambria Math" w:hAnsi="Cambria Math" w:cs="Times New Roman"/>
                    </w:rPr>
                    <m:t>Media</m:t>
                  </m:r>
                </m:e>
                <m:sub>
                  <m:r>
                    <w:rPr>
                      <w:rFonts w:ascii="Cambria Math" w:eastAsia="HeiT" w:hAnsi="Cambria Math" w:cs="Times New Roman"/>
                    </w:rPr>
                    <m:t>i,t-n</m:t>
                  </m:r>
                </m:sub>
              </m:sSub>
            </m:oMath>
            <w:r w:rsidRPr="009642F7">
              <w:rPr>
                <w:rFonts w:ascii="Times New Roman" w:hAnsi="Times New Roman" w:cs="Times New Roman"/>
              </w:rPr>
              <w:t xml:space="preserve">, and their </w:t>
            </w:r>
            <w:r w:rsidRPr="009642F7">
              <w:rPr>
                <w:rFonts w:ascii="Times New Roman" w:hAnsi="Times New Roman" w:cs="Times New Roman"/>
                <w:i/>
              </w:rPr>
              <w:t>p</w:t>
            </w:r>
            <w:r w:rsidRPr="009642F7">
              <w:rPr>
                <w:rFonts w:ascii="Times New Roman" w:hAnsi="Times New Roman" w:cs="Times New Roman"/>
              </w:rPr>
              <w:t>-value</w:t>
            </w:r>
            <w:r w:rsidRPr="009642F7">
              <w:rPr>
                <w:rFonts w:ascii="Times New Roman" w:eastAsia="HeiT" w:hAnsi="Times New Roman" w:cs="Times New Roman"/>
                <w:bCs/>
              </w:rPr>
              <w:t xml:space="preserve"> for t</w:t>
            </w:r>
            <w:r w:rsidRPr="009642F7">
              <w:rPr>
                <w:rFonts w:ascii="Times New Roman" w:hAnsi="Times New Roman" w:cs="Times New Roman"/>
              </w:rPr>
              <w:t xml:space="preserve">he Wald chi-square of the estimated coefficients (in the parentheses) are reported. </w:t>
            </w:r>
            <w:r w:rsidRPr="009642F7">
              <w:rPr>
                <w:rFonts w:ascii="Times New Roman" w:hAnsi="Times New Roman" w:cs="Times New Roman"/>
                <w:i/>
              </w:rPr>
              <w:t>F</w:t>
            </w:r>
            <w:r w:rsidRPr="009642F7">
              <w:rPr>
                <w:rFonts w:ascii="Times New Roman" w:hAnsi="Times New Roman" w:cs="Times New Roman"/>
              </w:rPr>
              <w:t xml:space="preserve">-test and its </w:t>
            </w:r>
            <w:r w:rsidRPr="009642F7">
              <w:rPr>
                <w:rFonts w:ascii="Times New Roman" w:hAnsi="Times New Roman" w:cs="Times New Roman"/>
                <w:i/>
              </w:rPr>
              <w:t>p</w:t>
            </w:r>
            <w:r w:rsidRPr="009642F7">
              <w:rPr>
                <w:rFonts w:ascii="Times New Roman" w:hAnsi="Times New Roman" w:cs="Times New Roman"/>
              </w:rPr>
              <w:t xml:space="preserve">-value are also adopted to compare the coefficients on </w:t>
            </w:r>
            <m:oMath>
              <m:sSub>
                <m:sSubPr>
                  <m:ctrlPr>
                    <w:rPr>
                      <w:rFonts w:ascii="Cambria Math" w:eastAsia="HeiT" w:hAnsi="Cambria Math" w:cs="Times New Roman"/>
                      <w:i/>
                    </w:rPr>
                  </m:ctrlPr>
                </m:sSubPr>
                <m:e>
                  <m:r>
                    <w:rPr>
                      <w:rFonts w:ascii="Cambria Math" w:eastAsia="HeiT" w:hAnsi="Cambria Math" w:cs="Times New Roman"/>
                    </w:rPr>
                    <m:t>Ln</m:t>
                  </m:r>
                  <m:r>
                    <w:rPr>
                      <w:rFonts w:ascii="Cambria Math" w:hAnsi="Cambria Math" w:cs="Times New Roman"/>
                    </w:rPr>
                    <m:t>Media</m:t>
                  </m:r>
                </m:e>
                <m:sub>
                  <m:r>
                    <w:rPr>
                      <w:rFonts w:ascii="Cambria Math" w:eastAsia="HeiT" w:hAnsi="Cambria Math" w:cs="Times New Roman"/>
                    </w:rPr>
                    <m:t>i,t-1</m:t>
                  </m:r>
                </m:sub>
              </m:sSub>
            </m:oMath>
            <w:r w:rsidRPr="009642F7">
              <w:rPr>
                <w:rFonts w:ascii="Times New Roman" w:hAnsi="Times New Roman" w:cs="Times New Roman"/>
              </w:rPr>
              <w:t xml:space="preserve"> between High- and Low-</w:t>
            </w:r>
            <w:r w:rsidR="002E327E" w:rsidRPr="009642F7">
              <w:rPr>
                <w:rFonts w:ascii="Times New Roman" w:hAnsi="Times New Roman" w:cs="Times New Roman"/>
                <w:i/>
              </w:rPr>
              <w:t>XDOI</w:t>
            </w:r>
            <w:r w:rsidR="002E327E" w:rsidRPr="009642F7">
              <w:rPr>
                <w:rFonts w:ascii="Times New Roman" w:hAnsi="Times New Roman" w:cs="Times New Roman"/>
              </w:rPr>
              <w:t xml:space="preserve"> </w:t>
            </w:r>
            <w:r w:rsidRPr="009642F7">
              <w:rPr>
                <w:rFonts w:ascii="Times New Roman" w:hAnsi="Times New Roman" w:cs="Times New Roman"/>
              </w:rPr>
              <w:t xml:space="preserve">subsamples. ** and *** denote significance levels of 5% and 1%, respectively. </w:t>
            </w:r>
            <w:r w:rsidRPr="009642F7">
              <w:rPr>
                <w:rFonts w:ascii="Times New Roman" w:hAnsi="Times New Roman" w:cs="Times New Roman"/>
                <w:bCs/>
                <w:i/>
                <w:noProof/>
              </w:rPr>
              <w:t>N</w:t>
            </w:r>
            <w:r w:rsidRPr="009642F7">
              <w:rPr>
                <w:rFonts w:ascii="Times New Roman" w:hAnsi="Times New Roman" w:cs="Times New Roman"/>
                <w:bCs/>
                <w:noProof/>
              </w:rPr>
              <w:t xml:space="preserve"> are firm-year observations. </w:t>
            </w:r>
            <w:r w:rsidRPr="009642F7">
              <w:rPr>
                <w:rFonts w:ascii="Times New Roman" w:hAnsi="Times New Roman" w:cs="Times New Roman"/>
                <w:noProof/>
              </w:rPr>
              <w:t>All data are from the TEJ database.</w:t>
            </w:r>
          </w:p>
        </w:tc>
      </w:tr>
      <w:tr w:rsidR="009642F7" w:rsidRPr="009642F7" w14:paraId="3212B2BD" w14:textId="77777777" w:rsidTr="004D7FCE">
        <w:tc>
          <w:tcPr>
            <w:tcW w:w="1640" w:type="pct"/>
            <w:tcBorders>
              <w:top w:val="nil"/>
              <w:left w:val="nil"/>
              <w:bottom w:val="single" w:sz="4" w:space="0" w:color="auto"/>
              <w:right w:val="nil"/>
            </w:tcBorders>
            <w:shd w:val="clear" w:color="auto" w:fill="auto"/>
            <w:noWrap/>
            <w:vAlign w:val="center"/>
            <w:hideMark/>
          </w:tcPr>
          <w:p w14:paraId="6CF3EBF8" w14:textId="77777777" w:rsidR="001331BE" w:rsidRPr="009642F7" w:rsidRDefault="002E327E" w:rsidP="002E327E">
            <w:pPr>
              <w:snapToGrid w:val="0"/>
              <w:rPr>
                <w:rFonts w:ascii="Times New Roman" w:hAnsi="Times New Roman" w:cs="Times New Roman"/>
              </w:rPr>
            </w:pPr>
            <w:r w:rsidRPr="009642F7">
              <w:rPr>
                <w:rFonts w:ascii="Times New Roman" w:hAnsi="Times New Roman" w:cs="Times New Roman"/>
                <w:i/>
              </w:rPr>
              <w:t>XDOI</w:t>
            </w:r>
            <w:r w:rsidRPr="009642F7">
              <w:rPr>
                <w:rFonts w:ascii="Times New Roman" w:hAnsi="Times New Roman" w:cs="Times New Roman"/>
              </w:rPr>
              <w:t xml:space="preserve"> </w:t>
            </w:r>
            <w:r w:rsidR="001331BE" w:rsidRPr="009642F7">
              <w:rPr>
                <w:rFonts w:ascii="Times New Roman" w:hAnsi="Times New Roman" w:cs="Times New Roman"/>
              </w:rPr>
              <w:t>Tertiles</w:t>
            </w:r>
          </w:p>
        </w:tc>
        <w:tc>
          <w:tcPr>
            <w:tcW w:w="736" w:type="pct"/>
            <w:tcBorders>
              <w:top w:val="nil"/>
              <w:left w:val="nil"/>
              <w:bottom w:val="single" w:sz="4" w:space="0" w:color="auto"/>
              <w:right w:val="nil"/>
            </w:tcBorders>
            <w:shd w:val="clear" w:color="auto" w:fill="auto"/>
            <w:noWrap/>
            <w:vAlign w:val="center"/>
            <w:hideMark/>
          </w:tcPr>
          <w:p w14:paraId="64B07211" w14:textId="77777777" w:rsidR="001331BE" w:rsidRPr="009642F7" w:rsidRDefault="001331BE" w:rsidP="002E327E">
            <w:pPr>
              <w:snapToGrid w:val="0"/>
              <w:jc w:val="center"/>
              <w:rPr>
                <w:rFonts w:ascii="Times New Roman" w:hAnsi="Times New Roman" w:cs="Times New Roman"/>
              </w:rPr>
            </w:pPr>
            <w:r w:rsidRPr="009642F7">
              <w:rPr>
                <w:rFonts w:ascii="Times New Roman" w:hAnsi="Times New Roman" w:cs="Times New Roman"/>
              </w:rPr>
              <w:t>High</w:t>
            </w:r>
          </w:p>
        </w:tc>
        <w:tc>
          <w:tcPr>
            <w:tcW w:w="793" w:type="pct"/>
            <w:tcBorders>
              <w:top w:val="nil"/>
              <w:left w:val="nil"/>
              <w:bottom w:val="single" w:sz="4" w:space="0" w:color="auto"/>
              <w:right w:val="nil"/>
            </w:tcBorders>
            <w:shd w:val="clear" w:color="auto" w:fill="auto"/>
            <w:noWrap/>
            <w:vAlign w:val="center"/>
            <w:hideMark/>
          </w:tcPr>
          <w:p w14:paraId="6014E272" w14:textId="77777777" w:rsidR="001331BE" w:rsidRPr="009642F7" w:rsidRDefault="001331BE" w:rsidP="002E327E">
            <w:pPr>
              <w:snapToGrid w:val="0"/>
              <w:jc w:val="center"/>
              <w:rPr>
                <w:rFonts w:ascii="Times New Roman" w:hAnsi="Times New Roman" w:cs="Times New Roman"/>
              </w:rPr>
            </w:pPr>
            <w:r w:rsidRPr="009642F7">
              <w:rPr>
                <w:rFonts w:ascii="Times New Roman" w:hAnsi="Times New Roman" w:cs="Times New Roman"/>
              </w:rPr>
              <w:t>Medium</w:t>
            </w:r>
          </w:p>
        </w:tc>
        <w:tc>
          <w:tcPr>
            <w:tcW w:w="733" w:type="pct"/>
            <w:tcBorders>
              <w:top w:val="nil"/>
              <w:left w:val="nil"/>
              <w:bottom w:val="single" w:sz="4" w:space="0" w:color="auto"/>
              <w:right w:val="nil"/>
            </w:tcBorders>
            <w:shd w:val="clear" w:color="auto" w:fill="auto"/>
            <w:noWrap/>
            <w:vAlign w:val="center"/>
            <w:hideMark/>
          </w:tcPr>
          <w:p w14:paraId="1C401B50" w14:textId="77777777" w:rsidR="001331BE" w:rsidRPr="009642F7" w:rsidRDefault="001331BE" w:rsidP="002E327E">
            <w:pPr>
              <w:snapToGrid w:val="0"/>
              <w:jc w:val="center"/>
              <w:rPr>
                <w:rFonts w:ascii="Times New Roman" w:hAnsi="Times New Roman" w:cs="Times New Roman"/>
              </w:rPr>
            </w:pPr>
            <w:r w:rsidRPr="009642F7">
              <w:rPr>
                <w:rFonts w:ascii="Times New Roman" w:hAnsi="Times New Roman" w:cs="Times New Roman"/>
              </w:rPr>
              <w:t>Low</w:t>
            </w:r>
          </w:p>
        </w:tc>
        <w:tc>
          <w:tcPr>
            <w:tcW w:w="162" w:type="pct"/>
            <w:tcBorders>
              <w:top w:val="nil"/>
              <w:left w:val="nil"/>
              <w:bottom w:val="single" w:sz="4" w:space="0" w:color="auto"/>
              <w:right w:val="nil"/>
            </w:tcBorders>
            <w:shd w:val="clear" w:color="auto" w:fill="auto"/>
            <w:noWrap/>
            <w:vAlign w:val="center"/>
            <w:hideMark/>
          </w:tcPr>
          <w:p w14:paraId="6264951E" w14:textId="77777777" w:rsidR="001331BE" w:rsidRPr="009642F7" w:rsidRDefault="001331BE" w:rsidP="002E327E">
            <w:pPr>
              <w:snapToGrid w:val="0"/>
              <w:jc w:val="center"/>
              <w:rPr>
                <w:rFonts w:ascii="Times New Roman" w:hAnsi="Times New Roman" w:cs="Times New Roman"/>
              </w:rPr>
            </w:pPr>
          </w:p>
        </w:tc>
        <w:tc>
          <w:tcPr>
            <w:tcW w:w="936" w:type="pct"/>
            <w:tcBorders>
              <w:top w:val="nil"/>
              <w:left w:val="nil"/>
              <w:bottom w:val="single" w:sz="4" w:space="0" w:color="auto"/>
              <w:right w:val="nil"/>
            </w:tcBorders>
            <w:shd w:val="clear" w:color="auto" w:fill="auto"/>
            <w:noWrap/>
            <w:vAlign w:val="center"/>
            <w:hideMark/>
          </w:tcPr>
          <w:p w14:paraId="47B97D8F" w14:textId="77777777" w:rsidR="001331BE" w:rsidRPr="009642F7" w:rsidRDefault="001331BE" w:rsidP="002E327E">
            <w:pPr>
              <w:snapToGrid w:val="0"/>
              <w:jc w:val="center"/>
              <w:rPr>
                <w:rFonts w:ascii="Times New Roman" w:hAnsi="Times New Roman" w:cs="Times New Roman"/>
              </w:rPr>
            </w:pPr>
            <w:r w:rsidRPr="009642F7">
              <w:rPr>
                <w:rFonts w:ascii="Times New Roman" w:hAnsi="Times New Roman" w:cs="Times New Roman"/>
              </w:rPr>
              <w:t>High</w:t>
            </w:r>
            <w:r w:rsidRPr="009642F7">
              <w:rPr>
                <w:rFonts w:ascii="Times New Roman" w:eastAsia="HeiT" w:hAnsi="Times New Roman" w:cs="Times New Roman"/>
              </w:rPr>
              <w:t>−</w:t>
            </w:r>
            <w:r w:rsidRPr="009642F7">
              <w:rPr>
                <w:rFonts w:ascii="Times New Roman" w:hAnsi="Times New Roman" w:cs="Times New Roman"/>
              </w:rPr>
              <w:t>Low</w:t>
            </w:r>
          </w:p>
        </w:tc>
      </w:tr>
      <w:tr w:rsidR="009642F7" w:rsidRPr="009642F7" w14:paraId="0D7D9E47" w14:textId="77777777" w:rsidTr="004D7FCE">
        <w:tc>
          <w:tcPr>
            <w:tcW w:w="1640" w:type="pct"/>
            <w:tcBorders>
              <w:top w:val="nil"/>
              <w:left w:val="nil"/>
              <w:bottom w:val="nil"/>
              <w:right w:val="nil"/>
            </w:tcBorders>
            <w:shd w:val="clear" w:color="auto" w:fill="auto"/>
            <w:hideMark/>
          </w:tcPr>
          <w:p w14:paraId="125FC3B2" w14:textId="77777777" w:rsidR="0005758D" w:rsidRPr="009642F7" w:rsidRDefault="0005758D" w:rsidP="002E327E">
            <w:pPr>
              <w:snapToGrid w:val="0"/>
              <w:rPr>
                <w:rFonts w:ascii="Times New Roman" w:eastAsia="HeiT" w:hAnsi="Times New Roman" w:cs="Times New Roman"/>
                <w:bCs/>
                <w:i/>
              </w:rPr>
            </w:pPr>
            <w:r w:rsidRPr="009642F7">
              <w:rPr>
                <w:rFonts w:ascii="Times New Roman" w:eastAsia="HeiT" w:hAnsi="Times New Roman" w:cs="Times New Roman"/>
                <w:bCs/>
                <w:i/>
              </w:rPr>
              <w:t>LnMedia</w:t>
            </w:r>
          </w:p>
        </w:tc>
        <w:tc>
          <w:tcPr>
            <w:tcW w:w="736" w:type="pct"/>
            <w:tcBorders>
              <w:top w:val="nil"/>
              <w:left w:val="nil"/>
              <w:bottom w:val="nil"/>
              <w:right w:val="nil"/>
            </w:tcBorders>
            <w:shd w:val="clear" w:color="auto" w:fill="auto"/>
            <w:hideMark/>
          </w:tcPr>
          <w:p w14:paraId="7EE33EA1" w14:textId="77777777" w:rsidR="0005758D"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0.328</w:t>
            </w:r>
          </w:p>
        </w:tc>
        <w:tc>
          <w:tcPr>
            <w:tcW w:w="793" w:type="pct"/>
            <w:tcBorders>
              <w:top w:val="nil"/>
              <w:left w:val="nil"/>
              <w:bottom w:val="nil"/>
              <w:right w:val="nil"/>
            </w:tcBorders>
            <w:shd w:val="clear" w:color="auto" w:fill="auto"/>
            <w:hideMark/>
          </w:tcPr>
          <w:p w14:paraId="6EE6A4D1" w14:textId="77777777" w:rsidR="0005758D"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0.176</w:t>
            </w:r>
          </w:p>
        </w:tc>
        <w:tc>
          <w:tcPr>
            <w:tcW w:w="733" w:type="pct"/>
            <w:tcBorders>
              <w:top w:val="nil"/>
              <w:left w:val="nil"/>
              <w:bottom w:val="nil"/>
              <w:right w:val="nil"/>
            </w:tcBorders>
            <w:shd w:val="clear" w:color="auto" w:fill="auto"/>
            <w:hideMark/>
          </w:tcPr>
          <w:p w14:paraId="214DC95C" w14:textId="77777777" w:rsidR="0005758D"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0.107</w:t>
            </w:r>
          </w:p>
        </w:tc>
        <w:tc>
          <w:tcPr>
            <w:tcW w:w="162" w:type="pct"/>
            <w:tcBorders>
              <w:top w:val="nil"/>
              <w:left w:val="nil"/>
              <w:bottom w:val="nil"/>
              <w:right w:val="nil"/>
            </w:tcBorders>
            <w:shd w:val="clear" w:color="auto" w:fill="auto"/>
            <w:noWrap/>
            <w:vAlign w:val="center"/>
            <w:hideMark/>
          </w:tcPr>
          <w:p w14:paraId="40328366" w14:textId="77777777" w:rsidR="0005758D" w:rsidRPr="009642F7" w:rsidRDefault="0005758D" w:rsidP="002E327E">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hideMark/>
          </w:tcPr>
          <w:p w14:paraId="6CE7A3A3" w14:textId="77777777" w:rsidR="0005758D" w:rsidRPr="009642F7" w:rsidRDefault="0005758D" w:rsidP="002E327E">
            <w:pPr>
              <w:snapToGrid w:val="0"/>
              <w:jc w:val="center"/>
              <w:rPr>
                <w:rFonts w:ascii="Times New Roman" w:hAnsi="Times New Roman" w:cs="Times New Roman"/>
              </w:rPr>
            </w:pPr>
            <w:r w:rsidRPr="009642F7">
              <w:rPr>
                <w:rFonts w:ascii="Times New Roman" w:eastAsia="HeiT" w:hAnsi="Times New Roman" w:cs="Times New Roman"/>
              </w:rPr>
              <w:t>0.221</w:t>
            </w:r>
          </w:p>
        </w:tc>
      </w:tr>
      <w:tr w:rsidR="009642F7" w:rsidRPr="009642F7" w14:paraId="038B0BA6" w14:textId="77777777" w:rsidTr="004D7FCE">
        <w:tc>
          <w:tcPr>
            <w:tcW w:w="1640" w:type="pct"/>
            <w:tcBorders>
              <w:top w:val="nil"/>
              <w:left w:val="nil"/>
              <w:bottom w:val="nil"/>
              <w:right w:val="nil"/>
            </w:tcBorders>
            <w:shd w:val="clear" w:color="auto" w:fill="auto"/>
            <w:noWrap/>
            <w:vAlign w:val="center"/>
            <w:hideMark/>
          </w:tcPr>
          <w:p w14:paraId="272DB939" w14:textId="77777777" w:rsidR="0005758D" w:rsidRPr="009642F7" w:rsidRDefault="0005758D" w:rsidP="002E327E">
            <w:pPr>
              <w:snapToGrid w:val="0"/>
              <w:rPr>
                <w:rFonts w:ascii="Times New Roman" w:hAnsi="Times New Roman" w:cs="Times New Roman"/>
              </w:rPr>
            </w:pPr>
            <w:r w:rsidRPr="009642F7">
              <w:rPr>
                <w:rFonts w:ascii="Times New Roman" w:eastAsia="HeiT" w:hAnsi="Times New Roman" w:cs="Times New Roman"/>
                <w:bCs/>
              </w:rPr>
              <w:t xml:space="preserve">Wald </w:t>
            </w:r>
            <m:oMath>
              <m:sSup>
                <m:sSupPr>
                  <m:ctrlPr>
                    <w:rPr>
                      <w:rFonts w:ascii="Cambria Math" w:eastAsia="HeiT" w:hAnsi="Cambria Math" w:cs="Times New Roman"/>
                      <w:bCs/>
                    </w:rPr>
                  </m:ctrlPr>
                </m:sSupPr>
                <m:e>
                  <m:r>
                    <m:rPr>
                      <m:sty m:val="p"/>
                    </m:rPr>
                    <w:rPr>
                      <w:rFonts w:ascii="Cambria Math" w:eastAsia="HeiT" w:hAnsi="Cambria Math" w:cs="Times New Roman"/>
                    </w:rPr>
                    <m:t>χ</m:t>
                  </m:r>
                </m:e>
                <m:sup>
                  <m:r>
                    <w:rPr>
                      <w:rFonts w:ascii="Cambria Math" w:eastAsia="HeiT" w:hAnsi="Cambria Math" w:cs="Times New Roman"/>
                    </w:rPr>
                    <m:t>2</m:t>
                  </m:r>
                </m:sup>
              </m:sSup>
            </m:oMath>
          </w:p>
        </w:tc>
        <w:tc>
          <w:tcPr>
            <w:tcW w:w="736" w:type="pct"/>
            <w:tcBorders>
              <w:top w:val="nil"/>
              <w:left w:val="nil"/>
              <w:bottom w:val="nil"/>
              <w:right w:val="nil"/>
            </w:tcBorders>
            <w:shd w:val="clear" w:color="auto" w:fill="auto"/>
            <w:hideMark/>
          </w:tcPr>
          <w:p w14:paraId="202798B9" w14:textId="77777777" w:rsidR="0005758D"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4.32</w:t>
            </w:r>
          </w:p>
        </w:tc>
        <w:tc>
          <w:tcPr>
            <w:tcW w:w="793" w:type="pct"/>
            <w:tcBorders>
              <w:top w:val="nil"/>
              <w:left w:val="nil"/>
              <w:bottom w:val="nil"/>
              <w:right w:val="nil"/>
            </w:tcBorders>
            <w:shd w:val="clear" w:color="auto" w:fill="auto"/>
            <w:hideMark/>
          </w:tcPr>
          <w:p w14:paraId="2A1AC2F5" w14:textId="77777777" w:rsidR="0005758D"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1.80</w:t>
            </w:r>
          </w:p>
        </w:tc>
        <w:tc>
          <w:tcPr>
            <w:tcW w:w="733" w:type="pct"/>
            <w:tcBorders>
              <w:top w:val="nil"/>
              <w:left w:val="nil"/>
              <w:bottom w:val="nil"/>
              <w:right w:val="nil"/>
            </w:tcBorders>
            <w:shd w:val="clear" w:color="auto" w:fill="auto"/>
            <w:hideMark/>
          </w:tcPr>
          <w:p w14:paraId="5FB5EAFF" w14:textId="77777777" w:rsidR="0005758D"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1.14</w:t>
            </w:r>
          </w:p>
        </w:tc>
        <w:tc>
          <w:tcPr>
            <w:tcW w:w="162" w:type="pct"/>
            <w:tcBorders>
              <w:top w:val="nil"/>
              <w:left w:val="nil"/>
              <w:bottom w:val="nil"/>
              <w:right w:val="nil"/>
            </w:tcBorders>
            <w:shd w:val="clear" w:color="auto" w:fill="auto"/>
            <w:noWrap/>
            <w:vAlign w:val="center"/>
            <w:hideMark/>
          </w:tcPr>
          <w:p w14:paraId="6105291A" w14:textId="77777777" w:rsidR="0005758D" w:rsidRPr="009642F7" w:rsidRDefault="0005758D" w:rsidP="002E327E">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hideMark/>
          </w:tcPr>
          <w:p w14:paraId="1E06BCF0" w14:textId="77777777" w:rsidR="0005758D" w:rsidRPr="009642F7" w:rsidRDefault="0005758D" w:rsidP="002E327E">
            <w:pPr>
              <w:snapToGrid w:val="0"/>
              <w:jc w:val="center"/>
              <w:rPr>
                <w:rFonts w:ascii="Times New Roman" w:eastAsia="Times New Roman" w:hAnsi="Times New Roman" w:cs="Times New Roman"/>
              </w:rPr>
            </w:pPr>
          </w:p>
        </w:tc>
      </w:tr>
      <w:tr w:rsidR="009642F7" w:rsidRPr="009642F7" w14:paraId="2E9A01D2" w14:textId="77777777" w:rsidTr="004D7FCE">
        <w:tc>
          <w:tcPr>
            <w:tcW w:w="1640" w:type="pct"/>
            <w:tcBorders>
              <w:top w:val="nil"/>
              <w:left w:val="nil"/>
              <w:bottom w:val="nil"/>
              <w:right w:val="nil"/>
            </w:tcBorders>
            <w:shd w:val="clear" w:color="auto" w:fill="auto"/>
            <w:noWrap/>
            <w:vAlign w:val="center"/>
            <w:hideMark/>
          </w:tcPr>
          <w:p w14:paraId="084A8539" w14:textId="77777777" w:rsidR="0005758D" w:rsidRPr="009642F7" w:rsidRDefault="0005758D" w:rsidP="002E327E">
            <w:pPr>
              <w:snapToGrid w:val="0"/>
              <w:rPr>
                <w:rFonts w:ascii="Times New Roman" w:hAnsi="Times New Roman" w:cs="Times New Roman"/>
              </w:rPr>
            </w:pPr>
            <w:r w:rsidRPr="009642F7">
              <w:rPr>
                <w:rFonts w:ascii="Times New Roman" w:hAnsi="Times New Roman" w:cs="Times New Roman"/>
                <w:i/>
              </w:rPr>
              <w:t>p</w:t>
            </w:r>
            <w:r w:rsidRPr="009642F7">
              <w:rPr>
                <w:rFonts w:ascii="Times New Roman" w:hAnsi="Times New Roman" w:cs="Times New Roman"/>
              </w:rPr>
              <w:t xml:space="preserve">-value of </w:t>
            </w:r>
            <w:r w:rsidRPr="009642F7">
              <w:rPr>
                <w:rFonts w:ascii="Times New Roman" w:eastAsia="HeiT" w:hAnsi="Times New Roman" w:cs="Times New Roman"/>
                <w:bCs/>
              </w:rPr>
              <w:t xml:space="preserve">Wald </w:t>
            </w:r>
            <m:oMath>
              <m:sSup>
                <m:sSupPr>
                  <m:ctrlPr>
                    <w:rPr>
                      <w:rFonts w:ascii="Cambria Math" w:eastAsia="HeiT" w:hAnsi="Cambria Math" w:cs="Times New Roman"/>
                      <w:bCs/>
                    </w:rPr>
                  </m:ctrlPr>
                </m:sSupPr>
                <m:e>
                  <m:r>
                    <m:rPr>
                      <m:sty m:val="p"/>
                    </m:rPr>
                    <w:rPr>
                      <w:rFonts w:ascii="Cambria Math" w:eastAsia="HeiT" w:hAnsi="Cambria Math" w:cs="Times New Roman"/>
                    </w:rPr>
                    <m:t>χ</m:t>
                  </m:r>
                </m:e>
                <m:sup>
                  <m:r>
                    <w:rPr>
                      <w:rFonts w:ascii="Cambria Math" w:eastAsia="HeiT" w:hAnsi="Cambria Math" w:cs="Times New Roman"/>
                    </w:rPr>
                    <m:t>2</m:t>
                  </m:r>
                </m:sup>
              </m:sSup>
            </m:oMath>
          </w:p>
        </w:tc>
        <w:tc>
          <w:tcPr>
            <w:tcW w:w="736" w:type="pct"/>
            <w:tcBorders>
              <w:top w:val="nil"/>
              <w:left w:val="nil"/>
              <w:bottom w:val="nil"/>
              <w:right w:val="nil"/>
            </w:tcBorders>
            <w:shd w:val="clear" w:color="auto" w:fill="auto"/>
            <w:hideMark/>
          </w:tcPr>
          <w:p w14:paraId="2DE58BBD" w14:textId="77777777" w:rsidR="0005758D"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(0.04)**</w:t>
            </w:r>
          </w:p>
        </w:tc>
        <w:tc>
          <w:tcPr>
            <w:tcW w:w="793" w:type="pct"/>
            <w:tcBorders>
              <w:top w:val="nil"/>
              <w:left w:val="nil"/>
              <w:bottom w:val="nil"/>
              <w:right w:val="nil"/>
            </w:tcBorders>
            <w:shd w:val="clear" w:color="auto" w:fill="auto"/>
            <w:hideMark/>
          </w:tcPr>
          <w:p w14:paraId="5A2E95B2" w14:textId="77777777" w:rsidR="0005758D"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(0.18)</w:t>
            </w:r>
          </w:p>
        </w:tc>
        <w:tc>
          <w:tcPr>
            <w:tcW w:w="733" w:type="pct"/>
            <w:tcBorders>
              <w:top w:val="nil"/>
              <w:left w:val="nil"/>
              <w:bottom w:val="nil"/>
              <w:right w:val="nil"/>
            </w:tcBorders>
            <w:shd w:val="clear" w:color="auto" w:fill="auto"/>
            <w:hideMark/>
          </w:tcPr>
          <w:p w14:paraId="4831A4CE" w14:textId="77777777" w:rsidR="0005758D"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(0.28)</w:t>
            </w:r>
          </w:p>
        </w:tc>
        <w:tc>
          <w:tcPr>
            <w:tcW w:w="162" w:type="pct"/>
            <w:tcBorders>
              <w:top w:val="nil"/>
              <w:left w:val="nil"/>
              <w:bottom w:val="nil"/>
              <w:right w:val="nil"/>
            </w:tcBorders>
            <w:shd w:val="clear" w:color="auto" w:fill="auto"/>
            <w:noWrap/>
            <w:vAlign w:val="center"/>
            <w:hideMark/>
          </w:tcPr>
          <w:p w14:paraId="338C5631" w14:textId="77777777" w:rsidR="0005758D" w:rsidRPr="009642F7" w:rsidRDefault="0005758D" w:rsidP="002E327E">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hideMark/>
          </w:tcPr>
          <w:p w14:paraId="29D36A19" w14:textId="77777777" w:rsidR="0005758D" w:rsidRPr="009642F7" w:rsidRDefault="0005758D" w:rsidP="002E327E">
            <w:pPr>
              <w:snapToGrid w:val="0"/>
              <w:jc w:val="center"/>
              <w:rPr>
                <w:rFonts w:ascii="Times New Roman" w:hAnsi="Times New Roman" w:cs="Times New Roman"/>
              </w:rPr>
            </w:pPr>
          </w:p>
        </w:tc>
      </w:tr>
      <w:tr w:rsidR="009642F7" w:rsidRPr="009642F7" w14:paraId="4362CD65" w14:textId="77777777" w:rsidTr="004D7FCE">
        <w:tc>
          <w:tcPr>
            <w:tcW w:w="1640" w:type="pct"/>
            <w:tcBorders>
              <w:top w:val="nil"/>
              <w:left w:val="nil"/>
              <w:bottom w:val="nil"/>
              <w:right w:val="nil"/>
            </w:tcBorders>
            <w:shd w:val="clear" w:color="auto" w:fill="auto"/>
            <w:noWrap/>
            <w:vAlign w:val="center"/>
            <w:hideMark/>
          </w:tcPr>
          <w:p w14:paraId="6544ACBA" w14:textId="77777777" w:rsidR="001331BE" w:rsidRPr="009642F7" w:rsidRDefault="001331BE" w:rsidP="00A075D5">
            <w:pPr>
              <w:snapToGrid w:val="0"/>
              <w:rPr>
                <w:rFonts w:ascii="Times New Roman" w:eastAsia="Times New Roman" w:hAnsi="Times New Roman" w:cs="Times New Roman"/>
              </w:rPr>
            </w:pPr>
          </w:p>
        </w:tc>
        <w:tc>
          <w:tcPr>
            <w:tcW w:w="736" w:type="pct"/>
            <w:tcBorders>
              <w:top w:val="nil"/>
              <w:left w:val="nil"/>
              <w:bottom w:val="nil"/>
              <w:right w:val="nil"/>
            </w:tcBorders>
            <w:shd w:val="clear" w:color="auto" w:fill="auto"/>
            <w:noWrap/>
            <w:vAlign w:val="center"/>
            <w:hideMark/>
          </w:tcPr>
          <w:p w14:paraId="16A35ACD" w14:textId="77777777" w:rsidR="001331BE" w:rsidRPr="009642F7" w:rsidRDefault="001331BE" w:rsidP="00A075D5">
            <w:pPr>
              <w:snapToGrid w:val="0"/>
              <w:jc w:val="center"/>
              <w:rPr>
                <w:rFonts w:ascii="Times New Roman" w:eastAsia="Times New Roman" w:hAnsi="Times New Roman" w:cs="Times New Roman"/>
              </w:rPr>
            </w:pPr>
          </w:p>
        </w:tc>
        <w:tc>
          <w:tcPr>
            <w:tcW w:w="793" w:type="pct"/>
            <w:tcBorders>
              <w:top w:val="nil"/>
              <w:left w:val="nil"/>
              <w:bottom w:val="nil"/>
              <w:right w:val="nil"/>
            </w:tcBorders>
            <w:shd w:val="clear" w:color="auto" w:fill="auto"/>
            <w:noWrap/>
            <w:vAlign w:val="center"/>
            <w:hideMark/>
          </w:tcPr>
          <w:p w14:paraId="13DF2E49" w14:textId="77777777" w:rsidR="001331BE" w:rsidRPr="009642F7" w:rsidRDefault="001331BE" w:rsidP="00A075D5">
            <w:pPr>
              <w:snapToGrid w:val="0"/>
              <w:jc w:val="center"/>
              <w:rPr>
                <w:rFonts w:ascii="Times New Roman" w:eastAsia="Times New Roman" w:hAnsi="Times New Roman" w:cs="Times New Roman"/>
              </w:rPr>
            </w:pPr>
          </w:p>
        </w:tc>
        <w:tc>
          <w:tcPr>
            <w:tcW w:w="733" w:type="pct"/>
            <w:tcBorders>
              <w:top w:val="nil"/>
              <w:left w:val="nil"/>
              <w:bottom w:val="nil"/>
              <w:right w:val="nil"/>
            </w:tcBorders>
            <w:shd w:val="clear" w:color="auto" w:fill="auto"/>
            <w:noWrap/>
            <w:vAlign w:val="center"/>
            <w:hideMark/>
          </w:tcPr>
          <w:p w14:paraId="73FF68C1" w14:textId="77777777" w:rsidR="001331BE" w:rsidRPr="009642F7" w:rsidRDefault="001331BE" w:rsidP="00A075D5">
            <w:pPr>
              <w:snapToGrid w:val="0"/>
              <w:jc w:val="center"/>
              <w:rPr>
                <w:rFonts w:ascii="Times New Roman" w:eastAsia="Times New Roman" w:hAnsi="Times New Roman" w:cs="Times New Roman"/>
              </w:rPr>
            </w:pPr>
          </w:p>
        </w:tc>
        <w:tc>
          <w:tcPr>
            <w:tcW w:w="162" w:type="pct"/>
            <w:tcBorders>
              <w:top w:val="nil"/>
              <w:left w:val="nil"/>
              <w:bottom w:val="nil"/>
              <w:right w:val="nil"/>
            </w:tcBorders>
            <w:shd w:val="clear" w:color="auto" w:fill="auto"/>
            <w:noWrap/>
            <w:vAlign w:val="center"/>
            <w:hideMark/>
          </w:tcPr>
          <w:p w14:paraId="2862A3D5" w14:textId="77777777" w:rsidR="001331BE" w:rsidRPr="009642F7" w:rsidRDefault="001331BE" w:rsidP="00A075D5">
            <w:pPr>
              <w:snapToGrid w:val="0"/>
              <w:jc w:val="center"/>
              <w:rPr>
                <w:rFonts w:ascii="Times New Roman" w:eastAsia="Times New Roman" w:hAnsi="Times New Roman" w:cs="Times New Roman"/>
              </w:rPr>
            </w:pPr>
          </w:p>
        </w:tc>
        <w:tc>
          <w:tcPr>
            <w:tcW w:w="936" w:type="pct"/>
            <w:tcBorders>
              <w:top w:val="nil"/>
              <w:left w:val="nil"/>
              <w:bottom w:val="nil"/>
              <w:right w:val="nil"/>
            </w:tcBorders>
            <w:shd w:val="clear" w:color="auto" w:fill="auto"/>
            <w:noWrap/>
            <w:vAlign w:val="center"/>
            <w:hideMark/>
          </w:tcPr>
          <w:p w14:paraId="6B33F59F" w14:textId="77777777" w:rsidR="001331BE" w:rsidRPr="009642F7" w:rsidRDefault="001331BE" w:rsidP="00A075D5">
            <w:pPr>
              <w:snapToGrid w:val="0"/>
              <w:jc w:val="center"/>
              <w:rPr>
                <w:rFonts w:ascii="Times New Roman" w:eastAsia="Times New Roman" w:hAnsi="Times New Roman" w:cs="Times New Roman"/>
              </w:rPr>
            </w:pPr>
          </w:p>
        </w:tc>
      </w:tr>
      <w:tr w:rsidR="009642F7" w:rsidRPr="009642F7" w14:paraId="478A75F2" w14:textId="77777777" w:rsidTr="004D7FCE">
        <w:tc>
          <w:tcPr>
            <w:tcW w:w="1640" w:type="pct"/>
            <w:tcBorders>
              <w:top w:val="nil"/>
              <w:left w:val="nil"/>
              <w:bottom w:val="nil"/>
              <w:right w:val="nil"/>
            </w:tcBorders>
            <w:shd w:val="clear" w:color="auto" w:fill="auto"/>
            <w:noWrap/>
            <w:vAlign w:val="center"/>
          </w:tcPr>
          <w:p w14:paraId="406E869D" w14:textId="77777777" w:rsidR="001331BE" w:rsidRPr="009642F7" w:rsidRDefault="001331BE" w:rsidP="00A075D5">
            <w:pPr>
              <w:snapToGrid w:val="0"/>
              <w:rPr>
                <w:rFonts w:ascii="Times New Roman" w:hAnsi="Times New Roman" w:cs="Times New Roman"/>
                <w:i/>
                <w:iCs/>
              </w:rPr>
            </w:pPr>
          </w:p>
        </w:tc>
        <w:tc>
          <w:tcPr>
            <w:tcW w:w="736" w:type="pct"/>
            <w:tcBorders>
              <w:top w:val="nil"/>
              <w:left w:val="nil"/>
              <w:bottom w:val="nil"/>
              <w:right w:val="nil"/>
            </w:tcBorders>
            <w:shd w:val="clear" w:color="auto" w:fill="auto"/>
            <w:noWrap/>
            <w:vAlign w:val="center"/>
          </w:tcPr>
          <w:p w14:paraId="6B2F1697" w14:textId="77777777" w:rsidR="001331BE" w:rsidRPr="009642F7" w:rsidRDefault="001331BE" w:rsidP="00A075D5">
            <w:pPr>
              <w:snapToGrid w:val="0"/>
              <w:jc w:val="center"/>
              <w:rPr>
                <w:rFonts w:ascii="Times New Roman" w:eastAsia="HeiT" w:hAnsi="Times New Roman" w:cs="Times New Roman"/>
              </w:rPr>
            </w:pPr>
          </w:p>
        </w:tc>
        <w:tc>
          <w:tcPr>
            <w:tcW w:w="793" w:type="pct"/>
            <w:tcBorders>
              <w:top w:val="nil"/>
              <w:left w:val="nil"/>
              <w:bottom w:val="nil"/>
              <w:right w:val="nil"/>
            </w:tcBorders>
            <w:shd w:val="clear" w:color="auto" w:fill="auto"/>
            <w:noWrap/>
            <w:vAlign w:val="center"/>
          </w:tcPr>
          <w:p w14:paraId="08828BBB" w14:textId="77777777" w:rsidR="001331BE" w:rsidRPr="009642F7" w:rsidRDefault="001331BE" w:rsidP="00A075D5">
            <w:pPr>
              <w:snapToGrid w:val="0"/>
              <w:jc w:val="center"/>
              <w:rPr>
                <w:rFonts w:ascii="Times New Roman" w:eastAsia="HeiT" w:hAnsi="Times New Roman" w:cs="Times New Roman"/>
              </w:rPr>
            </w:pPr>
          </w:p>
        </w:tc>
        <w:tc>
          <w:tcPr>
            <w:tcW w:w="733" w:type="pct"/>
            <w:tcBorders>
              <w:top w:val="nil"/>
              <w:left w:val="nil"/>
              <w:bottom w:val="nil"/>
              <w:right w:val="nil"/>
            </w:tcBorders>
            <w:shd w:val="clear" w:color="auto" w:fill="auto"/>
            <w:noWrap/>
            <w:vAlign w:val="center"/>
          </w:tcPr>
          <w:p w14:paraId="13373591" w14:textId="77777777" w:rsidR="001331BE" w:rsidRPr="009642F7" w:rsidRDefault="001331BE" w:rsidP="00A075D5">
            <w:pPr>
              <w:snapToGrid w:val="0"/>
              <w:jc w:val="center"/>
              <w:rPr>
                <w:rFonts w:ascii="Times New Roman" w:eastAsia="HeiT" w:hAnsi="Times New Roman" w:cs="Times New Roman"/>
              </w:rPr>
            </w:pPr>
          </w:p>
        </w:tc>
        <w:tc>
          <w:tcPr>
            <w:tcW w:w="162" w:type="pct"/>
            <w:tcBorders>
              <w:top w:val="nil"/>
              <w:left w:val="nil"/>
              <w:bottom w:val="nil"/>
              <w:right w:val="nil"/>
            </w:tcBorders>
            <w:shd w:val="clear" w:color="auto" w:fill="auto"/>
            <w:noWrap/>
            <w:vAlign w:val="center"/>
          </w:tcPr>
          <w:p w14:paraId="480EAABB" w14:textId="77777777" w:rsidR="001331BE" w:rsidRPr="009642F7" w:rsidRDefault="001331BE" w:rsidP="00A075D5">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tcPr>
          <w:p w14:paraId="75B8A478" w14:textId="77777777" w:rsidR="001331BE" w:rsidRPr="009642F7" w:rsidRDefault="001331BE" w:rsidP="00A075D5">
            <w:pPr>
              <w:snapToGrid w:val="0"/>
              <w:jc w:val="center"/>
              <w:rPr>
                <w:rFonts w:ascii="Times New Roman" w:hAnsi="Times New Roman" w:cs="Times New Roman"/>
              </w:rPr>
            </w:pPr>
          </w:p>
        </w:tc>
      </w:tr>
      <w:tr w:rsidR="009642F7" w:rsidRPr="009642F7" w14:paraId="4C4A1D12" w14:textId="77777777" w:rsidTr="004D7FCE">
        <w:tc>
          <w:tcPr>
            <w:tcW w:w="1640" w:type="pct"/>
            <w:tcBorders>
              <w:top w:val="nil"/>
              <w:left w:val="nil"/>
              <w:bottom w:val="nil"/>
              <w:right w:val="nil"/>
            </w:tcBorders>
            <w:shd w:val="clear" w:color="auto" w:fill="auto"/>
            <w:noWrap/>
            <w:vAlign w:val="center"/>
          </w:tcPr>
          <w:p w14:paraId="25DBA38D" w14:textId="77777777" w:rsidR="001331BE" w:rsidRPr="009642F7" w:rsidRDefault="001331BE" w:rsidP="00A075D5">
            <w:pPr>
              <w:snapToGrid w:val="0"/>
              <w:rPr>
                <w:rFonts w:ascii="Times New Roman" w:hAnsi="Times New Roman" w:cs="Times New Roman"/>
              </w:rPr>
            </w:pPr>
            <w:r w:rsidRPr="009642F7">
              <w:rPr>
                <w:rFonts w:ascii="Times New Roman" w:hAnsi="Times New Roman" w:cs="Times New Roman"/>
                <w:i/>
              </w:rPr>
              <w:t>p</w:t>
            </w:r>
            <w:r w:rsidRPr="009642F7">
              <w:rPr>
                <w:rFonts w:ascii="Times New Roman" w:hAnsi="Times New Roman" w:cs="Times New Roman"/>
              </w:rPr>
              <w:t xml:space="preserve">-value of </w:t>
            </w:r>
            <w:r w:rsidRPr="009642F7">
              <w:rPr>
                <w:rFonts w:ascii="Times New Roman" w:eastAsia="HeiT" w:hAnsi="Times New Roman" w:cs="Times New Roman"/>
                <w:bCs/>
                <w:i/>
              </w:rPr>
              <w:t>F</w:t>
            </w:r>
            <w:r w:rsidRPr="009642F7">
              <w:rPr>
                <w:rFonts w:ascii="Times New Roman" w:eastAsia="HeiT" w:hAnsi="Times New Roman" w:cs="Times New Roman"/>
                <w:bCs/>
              </w:rPr>
              <w:t>-test</w:t>
            </w:r>
          </w:p>
        </w:tc>
        <w:tc>
          <w:tcPr>
            <w:tcW w:w="736" w:type="pct"/>
            <w:tcBorders>
              <w:top w:val="nil"/>
              <w:left w:val="nil"/>
              <w:bottom w:val="nil"/>
              <w:right w:val="nil"/>
            </w:tcBorders>
            <w:shd w:val="clear" w:color="auto" w:fill="auto"/>
            <w:noWrap/>
            <w:vAlign w:val="center"/>
          </w:tcPr>
          <w:p w14:paraId="761E1B81" w14:textId="77777777" w:rsidR="001331BE" w:rsidRPr="009642F7" w:rsidRDefault="001331BE" w:rsidP="00A075D5">
            <w:pPr>
              <w:snapToGrid w:val="0"/>
              <w:jc w:val="center"/>
              <w:rPr>
                <w:rFonts w:ascii="Times New Roman" w:eastAsia="HeiT" w:hAnsi="Times New Roman" w:cs="Times New Roman"/>
              </w:rPr>
            </w:pPr>
          </w:p>
        </w:tc>
        <w:tc>
          <w:tcPr>
            <w:tcW w:w="793" w:type="pct"/>
            <w:tcBorders>
              <w:top w:val="nil"/>
              <w:left w:val="nil"/>
              <w:bottom w:val="nil"/>
              <w:right w:val="nil"/>
            </w:tcBorders>
            <w:shd w:val="clear" w:color="auto" w:fill="auto"/>
            <w:noWrap/>
            <w:vAlign w:val="center"/>
          </w:tcPr>
          <w:p w14:paraId="7C122868" w14:textId="77777777" w:rsidR="001331BE" w:rsidRPr="009642F7" w:rsidRDefault="001331BE" w:rsidP="00A075D5">
            <w:pPr>
              <w:snapToGrid w:val="0"/>
              <w:jc w:val="center"/>
              <w:rPr>
                <w:rFonts w:ascii="Times New Roman" w:eastAsia="HeiT" w:hAnsi="Times New Roman" w:cs="Times New Roman"/>
              </w:rPr>
            </w:pPr>
          </w:p>
        </w:tc>
        <w:tc>
          <w:tcPr>
            <w:tcW w:w="733" w:type="pct"/>
            <w:tcBorders>
              <w:top w:val="nil"/>
              <w:left w:val="nil"/>
              <w:bottom w:val="nil"/>
              <w:right w:val="nil"/>
            </w:tcBorders>
            <w:shd w:val="clear" w:color="auto" w:fill="auto"/>
            <w:noWrap/>
            <w:vAlign w:val="center"/>
          </w:tcPr>
          <w:p w14:paraId="5FA52A6C" w14:textId="77777777" w:rsidR="001331BE" w:rsidRPr="009642F7" w:rsidRDefault="001331BE" w:rsidP="00A075D5">
            <w:pPr>
              <w:snapToGrid w:val="0"/>
              <w:jc w:val="center"/>
              <w:rPr>
                <w:rFonts w:ascii="Times New Roman" w:eastAsia="HeiT" w:hAnsi="Times New Roman" w:cs="Times New Roman"/>
              </w:rPr>
            </w:pPr>
          </w:p>
        </w:tc>
        <w:tc>
          <w:tcPr>
            <w:tcW w:w="162" w:type="pct"/>
            <w:tcBorders>
              <w:top w:val="nil"/>
              <w:left w:val="nil"/>
              <w:bottom w:val="nil"/>
              <w:right w:val="nil"/>
            </w:tcBorders>
            <w:shd w:val="clear" w:color="auto" w:fill="auto"/>
            <w:noWrap/>
            <w:vAlign w:val="center"/>
          </w:tcPr>
          <w:p w14:paraId="5E5948D3" w14:textId="77777777" w:rsidR="001331BE" w:rsidRPr="009642F7" w:rsidRDefault="001331BE" w:rsidP="00A075D5">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tcPr>
          <w:p w14:paraId="224BAD75" w14:textId="77777777" w:rsidR="001331BE" w:rsidRPr="009642F7" w:rsidRDefault="001331BE" w:rsidP="00A075D5">
            <w:pPr>
              <w:snapToGrid w:val="0"/>
              <w:jc w:val="center"/>
              <w:rPr>
                <w:rFonts w:ascii="Times New Roman" w:eastAsia="Times New Roman" w:hAnsi="Times New Roman" w:cs="Times New Roman"/>
              </w:rPr>
            </w:pPr>
            <w:r w:rsidRPr="009642F7">
              <w:rPr>
                <w:rFonts w:ascii="Times New Roman" w:hAnsi="Times New Roman" w:cs="Times New Roman"/>
              </w:rPr>
              <w:t>(&lt;0.01)***</w:t>
            </w:r>
          </w:p>
        </w:tc>
      </w:tr>
      <w:tr w:rsidR="009642F7" w:rsidRPr="009642F7" w14:paraId="72D2CD04" w14:textId="77777777" w:rsidTr="004D7FCE">
        <w:tc>
          <w:tcPr>
            <w:tcW w:w="1640" w:type="pct"/>
            <w:tcBorders>
              <w:top w:val="nil"/>
              <w:left w:val="nil"/>
              <w:bottom w:val="nil"/>
              <w:right w:val="nil"/>
            </w:tcBorders>
            <w:shd w:val="clear" w:color="auto" w:fill="auto"/>
            <w:noWrap/>
            <w:vAlign w:val="center"/>
          </w:tcPr>
          <w:p w14:paraId="524A24E3" w14:textId="77777777" w:rsidR="001331BE" w:rsidRPr="009642F7" w:rsidRDefault="001331BE" w:rsidP="00A075D5">
            <w:pPr>
              <w:snapToGrid w:val="0"/>
              <w:rPr>
                <w:rFonts w:ascii="Times New Roman" w:hAnsi="Times New Roman" w:cs="Times New Roman"/>
                <w:iCs/>
              </w:rPr>
            </w:pPr>
          </w:p>
        </w:tc>
        <w:tc>
          <w:tcPr>
            <w:tcW w:w="736" w:type="pct"/>
            <w:tcBorders>
              <w:top w:val="nil"/>
              <w:left w:val="nil"/>
              <w:bottom w:val="nil"/>
              <w:right w:val="nil"/>
            </w:tcBorders>
            <w:shd w:val="clear" w:color="auto" w:fill="auto"/>
            <w:noWrap/>
            <w:vAlign w:val="center"/>
          </w:tcPr>
          <w:p w14:paraId="01760125" w14:textId="77777777" w:rsidR="001331BE" w:rsidRPr="009642F7" w:rsidRDefault="001331BE" w:rsidP="00A075D5">
            <w:pPr>
              <w:snapToGrid w:val="0"/>
              <w:jc w:val="center"/>
              <w:rPr>
                <w:rFonts w:ascii="Times New Roman" w:eastAsia="HeiT" w:hAnsi="Times New Roman" w:cs="Times New Roman"/>
              </w:rPr>
            </w:pPr>
          </w:p>
        </w:tc>
        <w:tc>
          <w:tcPr>
            <w:tcW w:w="793" w:type="pct"/>
            <w:tcBorders>
              <w:top w:val="nil"/>
              <w:left w:val="nil"/>
              <w:bottom w:val="nil"/>
              <w:right w:val="nil"/>
            </w:tcBorders>
            <w:shd w:val="clear" w:color="auto" w:fill="auto"/>
            <w:noWrap/>
            <w:vAlign w:val="center"/>
          </w:tcPr>
          <w:p w14:paraId="27169267" w14:textId="77777777" w:rsidR="001331BE" w:rsidRPr="009642F7" w:rsidRDefault="001331BE" w:rsidP="00A075D5">
            <w:pPr>
              <w:snapToGrid w:val="0"/>
              <w:jc w:val="center"/>
              <w:rPr>
                <w:rFonts w:ascii="Times New Roman" w:eastAsia="HeiT" w:hAnsi="Times New Roman" w:cs="Times New Roman"/>
              </w:rPr>
            </w:pPr>
          </w:p>
        </w:tc>
        <w:tc>
          <w:tcPr>
            <w:tcW w:w="733" w:type="pct"/>
            <w:tcBorders>
              <w:top w:val="nil"/>
              <w:left w:val="nil"/>
              <w:bottom w:val="nil"/>
              <w:right w:val="nil"/>
            </w:tcBorders>
            <w:shd w:val="clear" w:color="auto" w:fill="auto"/>
            <w:noWrap/>
            <w:vAlign w:val="center"/>
          </w:tcPr>
          <w:p w14:paraId="27FB4878" w14:textId="77777777" w:rsidR="001331BE" w:rsidRPr="009642F7" w:rsidRDefault="001331BE" w:rsidP="00A075D5">
            <w:pPr>
              <w:snapToGrid w:val="0"/>
              <w:jc w:val="center"/>
              <w:rPr>
                <w:rFonts w:ascii="Times New Roman" w:eastAsia="HeiT" w:hAnsi="Times New Roman" w:cs="Times New Roman"/>
              </w:rPr>
            </w:pPr>
          </w:p>
        </w:tc>
        <w:tc>
          <w:tcPr>
            <w:tcW w:w="162" w:type="pct"/>
            <w:tcBorders>
              <w:top w:val="nil"/>
              <w:left w:val="nil"/>
              <w:bottom w:val="nil"/>
              <w:right w:val="nil"/>
            </w:tcBorders>
            <w:shd w:val="clear" w:color="auto" w:fill="auto"/>
            <w:noWrap/>
            <w:vAlign w:val="center"/>
          </w:tcPr>
          <w:p w14:paraId="6E17FAC5" w14:textId="77777777" w:rsidR="001331BE" w:rsidRPr="009642F7" w:rsidRDefault="001331BE" w:rsidP="00A075D5">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tcPr>
          <w:p w14:paraId="28FC5197" w14:textId="77777777" w:rsidR="001331BE" w:rsidRPr="009642F7" w:rsidRDefault="001331BE" w:rsidP="00A075D5">
            <w:pPr>
              <w:snapToGrid w:val="0"/>
              <w:jc w:val="center"/>
              <w:rPr>
                <w:rFonts w:ascii="Times New Roman" w:eastAsia="Times New Roman" w:hAnsi="Times New Roman" w:cs="Times New Roman"/>
              </w:rPr>
            </w:pPr>
          </w:p>
        </w:tc>
      </w:tr>
      <w:tr w:rsidR="009642F7" w:rsidRPr="009642F7" w14:paraId="64BD2A32" w14:textId="77777777" w:rsidTr="004D7FCE">
        <w:tc>
          <w:tcPr>
            <w:tcW w:w="1640" w:type="pct"/>
            <w:tcBorders>
              <w:top w:val="nil"/>
              <w:left w:val="nil"/>
              <w:bottom w:val="nil"/>
              <w:right w:val="nil"/>
            </w:tcBorders>
            <w:shd w:val="clear" w:color="auto" w:fill="auto"/>
            <w:noWrap/>
            <w:vAlign w:val="center"/>
          </w:tcPr>
          <w:p w14:paraId="1C101761" w14:textId="77777777" w:rsidR="001331BE" w:rsidRPr="009642F7" w:rsidRDefault="001331BE" w:rsidP="002E327E">
            <w:pPr>
              <w:snapToGrid w:val="0"/>
              <w:rPr>
                <w:rFonts w:ascii="Times New Roman" w:hAnsi="Times New Roman" w:cs="Times New Roman"/>
                <w:iCs/>
              </w:rPr>
            </w:pPr>
            <w:r w:rsidRPr="009642F7">
              <w:rPr>
                <w:rFonts w:ascii="Times New Roman" w:hAnsi="Times New Roman" w:cs="Times New Roman"/>
                <w:iCs/>
              </w:rPr>
              <w:t>Control Variables</w:t>
            </w:r>
          </w:p>
        </w:tc>
        <w:tc>
          <w:tcPr>
            <w:tcW w:w="736" w:type="pct"/>
            <w:tcBorders>
              <w:top w:val="nil"/>
              <w:left w:val="nil"/>
              <w:bottom w:val="nil"/>
              <w:right w:val="nil"/>
            </w:tcBorders>
            <w:shd w:val="clear" w:color="auto" w:fill="auto"/>
            <w:noWrap/>
            <w:vAlign w:val="center"/>
          </w:tcPr>
          <w:p w14:paraId="305DA0B5" w14:textId="77777777" w:rsidR="001331BE" w:rsidRPr="009642F7" w:rsidRDefault="001331BE" w:rsidP="002E327E">
            <w:pPr>
              <w:snapToGrid w:val="0"/>
              <w:jc w:val="center"/>
              <w:rPr>
                <w:rFonts w:ascii="Times New Roman" w:eastAsia="HeiT" w:hAnsi="Times New Roman" w:cs="Times New Roman"/>
              </w:rPr>
            </w:pPr>
            <w:r w:rsidRPr="009642F7">
              <w:rPr>
                <w:rFonts w:ascii="Times New Roman" w:eastAsia="HeiT" w:hAnsi="Times New Roman" w:cs="Times New Roman"/>
              </w:rPr>
              <w:t>Yes</w:t>
            </w:r>
          </w:p>
        </w:tc>
        <w:tc>
          <w:tcPr>
            <w:tcW w:w="793" w:type="pct"/>
            <w:tcBorders>
              <w:top w:val="nil"/>
              <w:left w:val="nil"/>
              <w:bottom w:val="nil"/>
              <w:right w:val="nil"/>
            </w:tcBorders>
            <w:shd w:val="clear" w:color="auto" w:fill="auto"/>
            <w:noWrap/>
            <w:vAlign w:val="center"/>
          </w:tcPr>
          <w:p w14:paraId="12EB09A3" w14:textId="77777777" w:rsidR="001331BE" w:rsidRPr="009642F7" w:rsidRDefault="001331BE" w:rsidP="002E327E">
            <w:pPr>
              <w:snapToGrid w:val="0"/>
              <w:jc w:val="center"/>
              <w:rPr>
                <w:rFonts w:ascii="Times New Roman" w:eastAsia="HeiT" w:hAnsi="Times New Roman" w:cs="Times New Roman"/>
              </w:rPr>
            </w:pPr>
            <w:r w:rsidRPr="009642F7">
              <w:rPr>
                <w:rFonts w:ascii="Times New Roman" w:eastAsia="HeiT" w:hAnsi="Times New Roman" w:cs="Times New Roman"/>
              </w:rPr>
              <w:t>Yes</w:t>
            </w:r>
          </w:p>
        </w:tc>
        <w:tc>
          <w:tcPr>
            <w:tcW w:w="733" w:type="pct"/>
            <w:tcBorders>
              <w:top w:val="nil"/>
              <w:left w:val="nil"/>
              <w:bottom w:val="nil"/>
              <w:right w:val="nil"/>
            </w:tcBorders>
            <w:shd w:val="clear" w:color="auto" w:fill="auto"/>
            <w:noWrap/>
            <w:vAlign w:val="center"/>
          </w:tcPr>
          <w:p w14:paraId="5DDD696F" w14:textId="77777777" w:rsidR="001331BE" w:rsidRPr="009642F7" w:rsidRDefault="001331BE" w:rsidP="002E327E">
            <w:pPr>
              <w:snapToGrid w:val="0"/>
              <w:jc w:val="center"/>
              <w:rPr>
                <w:rFonts w:ascii="Times New Roman" w:eastAsia="HeiT" w:hAnsi="Times New Roman" w:cs="Times New Roman"/>
              </w:rPr>
            </w:pPr>
            <w:r w:rsidRPr="009642F7">
              <w:rPr>
                <w:rFonts w:ascii="Times New Roman" w:eastAsia="HeiT" w:hAnsi="Times New Roman" w:cs="Times New Roman"/>
              </w:rPr>
              <w:t>Yes</w:t>
            </w:r>
          </w:p>
        </w:tc>
        <w:tc>
          <w:tcPr>
            <w:tcW w:w="162" w:type="pct"/>
            <w:tcBorders>
              <w:top w:val="nil"/>
              <w:left w:val="nil"/>
              <w:bottom w:val="nil"/>
              <w:right w:val="nil"/>
            </w:tcBorders>
            <w:shd w:val="clear" w:color="auto" w:fill="auto"/>
            <w:noWrap/>
            <w:vAlign w:val="center"/>
          </w:tcPr>
          <w:p w14:paraId="1222C282" w14:textId="77777777" w:rsidR="001331BE" w:rsidRPr="009642F7" w:rsidRDefault="001331BE" w:rsidP="002E327E">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tcPr>
          <w:p w14:paraId="5A8CC061" w14:textId="77777777" w:rsidR="001331BE" w:rsidRPr="009642F7" w:rsidRDefault="001331BE" w:rsidP="002E327E">
            <w:pPr>
              <w:snapToGrid w:val="0"/>
              <w:jc w:val="center"/>
              <w:rPr>
                <w:rFonts w:ascii="Times New Roman" w:eastAsia="Times New Roman" w:hAnsi="Times New Roman" w:cs="Times New Roman"/>
              </w:rPr>
            </w:pPr>
          </w:p>
        </w:tc>
      </w:tr>
      <w:tr w:rsidR="009642F7" w:rsidRPr="009642F7" w14:paraId="141865BF" w14:textId="77777777" w:rsidTr="004D7FCE">
        <w:tc>
          <w:tcPr>
            <w:tcW w:w="1640" w:type="pct"/>
            <w:tcBorders>
              <w:top w:val="nil"/>
              <w:left w:val="nil"/>
              <w:bottom w:val="nil"/>
              <w:right w:val="nil"/>
            </w:tcBorders>
            <w:shd w:val="clear" w:color="auto" w:fill="auto"/>
            <w:noWrap/>
            <w:vAlign w:val="center"/>
          </w:tcPr>
          <w:p w14:paraId="48089BA7" w14:textId="77777777" w:rsidR="001331BE" w:rsidRPr="009642F7" w:rsidRDefault="001331BE" w:rsidP="002E327E">
            <w:pPr>
              <w:snapToGrid w:val="0"/>
              <w:rPr>
                <w:rFonts w:ascii="Times New Roman" w:hAnsi="Times New Roman" w:cs="Times New Roman"/>
              </w:rPr>
            </w:pPr>
            <w:r w:rsidRPr="009642F7">
              <w:rPr>
                <w:rFonts w:ascii="Times New Roman" w:hAnsi="Times New Roman" w:cs="Times New Roman"/>
              </w:rPr>
              <w:t>Industry-Fixed Effect</w:t>
            </w:r>
          </w:p>
        </w:tc>
        <w:tc>
          <w:tcPr>
            <w:tcW w:w="736" w:type="pct"/>
            <w:tcBorders>
              <w:top w:val="nil"/>
              <w:left w:val="nil"/>
              <w:bottom w:val="nil"/>
              <w:right w:val="nil"/>
            </w:tcBorders>
            <w:shd w:val="clear" w:color="auto" w:fill="auto"/>
            <w:noWrap/>
          </w:tcPr>
          <w:p w14:paraId="0D482732" w14:textId="77777777" w:rsidR="001331BE" w:rsidRPr="009642F7" w:rsidRDefault="001331BE" w:rsidP="002E327E">
            <w:pPr>
              <w:snapToGrid w:val="0"/>
              <w:jc w:val="center"/>
              <w:rPr>
                <w:rFonts w:ascii="Times New Roman" w:hAnsi="Times New Roman" w:cs="Times New Roman"/>
              </w:rPr>
            </w:pPr>
            <w:r w:rsidRPr="009642F7">
              <w:rPr>
                <w:rFonts w:ascii="Times New Roman" w:eastAsia="HeiT" w:hAnsi="Times New Roman" w:cs="Times New Roman"/>
              </w:rPr>
              <w:t>Yes</w:t>
            </w:r>
          </w:p>
        </w:tc>
        <w:tc>
          <w:tcPr>
            <w:tcW w:w="793" w:type="pct"/>
            <w:tcBorders>
              <w:top w:val="nil"/>
              <w:left w:val="nil"/>
              <w:bottom w:val="nil"/>
              <w:right w:val="nil"/>
            </w:tcBorders>
            <w:shd w:val="clear" w:color="auto" w:fill="auto"/>
            <w:noWrap/>
          </w:tcPr>
          <w:p w14:paraId="24144E41" w14:textId="77777777" w:rsidR="001331BE" w:rsidRPr="009642F7" w:rsidRDefault="001331BE" w:rsidP="002E327E">
            <w:pPr>
              <w:snapToGrid w:val="0"/>
              <w:jc w:val="center"/>
              <w:rPr>
                <w:rFonts w:ascii="Times New Roman" w:hAnsi="Times New Roman" w:cs="Times New Roman"/>
              </w:rPr>
            </w:pPr>
            <w:r w:rsidRPr="009642F7">
              <w:rPr>
                <w:rFonts w:ascii="Times New Roman" w:eastAsia="HeiT" w:hAnsi="Times New Roman" w:cs="Times New Roman"/>
              </w:rPr>
              <w:t>Yes</w:t>
            </w:r>
          </w:p>
        </w:tc>
        <w:tc>
          <w:tcPr>
            <w:tcW w:w="733" w:type="pct"/>
            <w:tcBorders>
              <w:top w:val="nil"/>
              <w:left w:val="nil"/>
              <w:bottom w:val="nil"/>
              <w:right w:val="nil"/>
            </w:tcBorders>
            <w:shd w:val="clear" w:color="auto" w:fill="auto"/>
            <w:noWrap/>
          </w:tcPr>
          <w:p w14:paraId="3A0AEA15" w14:textId="77777777" w:rsidR="001331BE" w:rsidRPr="009642F7" w:rsidRDefault="001331BE" w:rsidP="002E327E">
            <w:pPr>
              <w:snapToGrid w:val="0"/>
              <w:jc w:val="center"/>
              <w:rPr>
                <w:rFonts w:ascii="Times New Roman" w:hAnsi="Times New Roman" w:cs="Times New Roman"/>
              </w:rPr>
            </w:pPr>
            <w:r w:rsidRPr="009642F7">
              <w:rPr>
                <w:rFonts w:ascii="Times New Roman" w:eastAsia="HeiT" w:hAnsi="Times New Roman" w:cs="Times New Roman"/>
              </w:rPr>
              <w:t>Yes</w:t>
            </w:r>
          </w:p>
        </w:tc>
        <w:tc>
          <w:tcPr>
            <w:tcW w:w="162" w:type="pct"/>
            <w:tcBorders>
              <w:top w:val="nil"/>
              <w:left w:val="nil"/>
              <w:bottom w:val="nil"/>
              <w:right w:val="nil"/>
            </w:tcBorders>
            <w:shd w:val="clear" w:color="auto" w:fill="auto"/>
            <w:noWrap/>
            <w:vAlign w:val="center"/>
          </w:tcPr>
          <w:p w14:paraId="4FC2F2A2" w14:textId="77777777" w:rsidR="001331BE" w:rsidRPr="009642F7" w:rsidRDefault="001331BE" w:rsidP="002E327E">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tcPr>
          <w:p w14:paraId="04E303E0" w14:textId="77777777" w:rsidR="001331BE" w:rsidRPr="009642F7" w:rsidRDefault="001331BE" w:rsidP="002E327E">
            <w:pPr>
              <w:snapToGrid w:val="0"/>
              <w:jc w:val="center"/>
              <w:rPr>
                <w:rFonts w:ascii="Times New Roman" w:eastAsia="Times New Roman" w:hAnsi="Times New Roman" w:cs="Times New Roman"/>
              </w:rPr>
            </w:pPr>
          </w:p>
        </w:tc>
      </w:tr>
      <w:tr w:rsidR="009642F7" w:rsidRPr="009642F7" w14:paraId="0F5D2637" w14:textId="77777777" w:rsidTr="004D7FCE">
        <w:tc>
          <w:tcPr>
            <w:tcW w:w="1640" w:type="pct"/>
            <w:tcBorders>
              <w:top w:val="nil"/>
              <w:left w:val="nil"/>
              <w:bottom w:val="nil"/>
              <w:right w:val="nil"/>
            </w:tcBorders>
            <w:shd w:val="clear" w:color="auto" w:fill="auto"/>
            <w:noWrap/>
            <w:vAlign w:val="center"/>
          </w:tcPr>
          <w:p w14:paraId="0703FACD" w14:textId="77777777" w:rsidR="001331BE" w:rsidRPr="009642F7" w:rsidRDefault="001331BE" w:rsidP="002E327E">
            <w:pPr>
              <w:snapToGrid w:val="0"/>
              <w:rPr>
                <w:rFonts w:ascii="Times New Roman" w:hAnsi="Times New Roman" w:cs="Times New Roman"/>
              </w:rPr>
            </w:pPr>
            <w:r w:rsidRPr="009642F7">
              <w:rPr>
                <w:rFonts w:ascii="Times New Roman" w:hAnsi="Times New Roman" w:cs="Times New Roman"/>
              </w:rPr>
              <w:t>Year-Fixed Effect</w:t>
            </w:r>
          </w:p>
        </w:tc>
        <w:tc>
          <w:tcPr>
            <w:tcW w:w="736" w:type="pct"/>
            <w:tcBorders>
              <w:top w:val="nil"/>
              <w:left w:val="nil"/>
              <w:bottom w:val="nil"/>
              <w:right w:val="nil"/>
            </w:tcBorders>
            <w:shd w:val="clear" w:color="auto" w:fill="auto"/>
            <w:noWrap/>
          </w:tcPr>
          <w:p w14:paraId="3EB9369B" w14:textId="77777777" w:rsidR="001331BE" w:rsidRPr="009642F7" w:rsidRDefault="001331BE" w:rsidP="002E327E">
            <w:pPr>
              <w:snapToGrid w:val="0"/>
              <w:jc w:val="center"/>
              <w:rPr>
                <w:rFonts w:ascii="Times New Roman" w:hAnsi="Times New Roman" w:cs="Times New Roman"/>
              </w:rPr>
            </w:pPr>
            <w:r w:rsidRPr="009642F7">
              <w:rPr>
                <w:rFonts w:ascii="Times New Roman" w:eastAsia="HeiT" w:hAnsi="Times New Roman" w:cs="Times New Roman"/>
              </w:rPr>
              <w:t>Yes</w:t>
            </w:r>
          </w:p>
        </w:tc>
        <w:tc>
          <w:tcPr>
            <w:tcW w:w="793" w:type="pct"/>
            <w:tcBorders>
              <w:top w:val="nil"/>
              <w:left w:val="nil"/>
              <w:bottom w:val="nil"/>
              <w:right w:val="nil"/>
            </w:tcBorders>
            <w:shd w:val="clear" w:color="auto" w:fill="auto"/>
            <w:noWrap/>
          </w:tcPr>
          <w:p w14:paraId="6270B19F" w14:textId="77777777" w:rsidR="001331BE" w:rsidRPr="009642F7" w:rsidRDefault="001331BE" w:rsidP="002E327E">
            <w:pPr>
              <w:snapToGrid w:val="0"/>
              <w:jc w:val="center"/>
              <w:rPr>
                <w:rFonts w:ascii="Times New Roman" w:hAnsi="Times New Roman" w:cs="Times New Roman"/>
              </w:rPr>
            </w:pPr>
            <w:r w:rsidRPr="009642F7">
              <w:rPr>
                <w:rFonts w:ascii="Times New Roman" w:eastAsia="HeiT" w:hAnsi="Times New Roman" w:cs="Times New Roman"/>
              </w:rPr>
              <w:t>Yes</w:t>
            </w:r>
          </w:p>
        </w:tc>
        <w:tc>
          <w:tcPr>
            <w:tcW w:w="733" w:type="pct"/>
            <w:tcBorders>
              <w:top w:val="nil"/>
              <w:left w:val="nil"/>
              <w:bottom w:val="nil"/>
              <w:right w:val="nil"/>
            </w:tcBorders>
            <w:shd w:val="clear" w:color="auto" w:fill="auto"/>
            <w:noWrap/>
          </w:tcPr>
          <w:p w14:paraId="185B0E62" w14:textId="77777777" w:rsidR="001331BE" w:rsidRPr="009642F7" w:rsidRDefault="001331BE" w:rsidP="002E327E">
            <w:pPr>
              <w:snapToGrid w:val="0"/>
              <w:jc w:val="center"/>
              <w:rPr>
                <w:rFonts w:ascii="Times New Roman" w:hAnsi="Times New Roman" w:cs="Times New Roman"/>
              </w:rPr>
            </w:pPr>
            <w:r w:rsidRPr="009642F7">
              <w:rPr>
                <w:rFonts w:ascii="Times New Roman" w:eastAsia="HeiT" w:hAnsi="Times New Roman" w:cs="Times New Roman"/>
              </w:rPr>
              <w:t>Yes</w:t>
            </w:r>
          </w:p>
        </w:tc>
        <w:tc>
          <w:tcPr>
            <w:tcW w:w="162" w:type="pct"/>
            <w:tcBorders>
              <w:top w:val="nil"/>
              <w:left w:val="nil"/>
              <w:bottom w:val="nil"/>
              <w:right w:val="nil"/>
            </w:tcBorders>
            <w:shd w:val="clear" w:color="auto" w:fill="auto"/>
            <w:noWrap/>
            <w:vAlign w:val="center"/>
          </w:tcPr>
          <w:p w14:paraId="78439579" w14:textId="77777777" w:rsidR="001331BE" w:rsidRPr="009642F7" w:rsidRDefault="001331BE" w:rsidP="002E327E">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tcPr>
          <w:p w14:paraId="53CA34EC" w14:textId="77777777" w:rsidR="001331BE" w:rsidRPr="009642F7" w:rsidRDefault="001331BE" w:rsidP="002E327E">
            <w:pPr>
              <w:snapToGrid w:val="0"/>
              <w:jc w:val="center"/>
              <w:rPr>
                <w:rFonts w:ascii="Times New Roman" w:eastAsia="Times New Roman" w:hAnsi="Times New Roman" w:cs="Times New Roman"/>
              </w:rPr>
            </w:pPr>
          </w:p>
        </w:tc>
      </w:tr>
      <w:tr w:rsidR="009642F7" w:rsidRPr="009642F7" w14:paraId="4F47B88B" w14:textId="77777777" w:rsidTr="004D7FCE">
        <w:tc>
          <w:tcPr>
            <w:tcW w:w="1640" w:type="pct"/>
            <w:tcBorders>
              <w:top w:val="nil"/>
              <w:left w:val="nil"/>
              <w:bottom w:val="nil"/>
              <w:right w:val="nil"/>
            </w:tcBorders>
            <w:shd w:val="clear" w:color="auto" w:fill="auto"/>
            <w:noWrap/>
            <w:vAlign w:val="center"/>
          </w:tcPr>
          <w:p w14:paraId="038FD5B7" w14:textId="77777777" w:rsidR="001331BE" w:rsidRPr="009642F7" w:rsidRDefault="001331BE" w:rsidP="00A075D5">
            <w:pPr>
              <w:snapToGrid w:val="0"/>
              <w:rPr>
                <w:rFonts w:ascii="Times New Roman" w:hAnsi="Times New Roman" w:cs="Times New Roman"/>
                <w:i/>
                <w:iCs/>
              </w:rPr>
            </w:pPr>
          </w:p>
        </w:tc>
        <w:tc>
          <w:tcPr>
            <w:tcW w:w="736" w:type="pct"/>
            <w:tcBorders>
              <w:top w:val="nil"/>
              <w:left w:val="nil"/>
              <w:bottom w:val="nil"/>
              <w:right w:val="nil"/>
            </w:tcBorders>
            <w:shd w:val="clear" w:color="auto" w:fill="auto"/>
            <w:noWrap/>
            <w:vAlign w:val="center"/>
          </w:tcPr>
          <w:p w14:paraId="400676C4" w14:textId="77777777" w:rsidR="001331BE" w:rsidRPr="009642F7" w:rsidRDefault="001331BE" w:rsidP="00A075D5">
            <w:pPr>
              <w:snapToGrid w:val="0"/>
              <w:jc w:val="center"/>
              <w:rPr>
                <w:rFonts w:ascii="Times New Roman" w:eastAsia="HeiT" w:hAnsi="Times New Roman" w:cs="Times New Roman"/>
              </w:rPr>
            </w:pPr>
          </w:p>
        </w:tc>
        <w:tc>
          <w:tcPr>
            <w:tcW w:w="793" w:type="pct"/>
            <w:tcBorders>
              <w:top w:val="nil"/>
              <w:left w:val="nil"/>
              <w:bottom w:val="nil"/>
              <w:right w:val="nil"/>
            </w:tcBorders>
            <w:shd w:val="clear" w:color="auto" w:fill="auto"/>
            <w:noWrap/>
            <w:vAlign w:val="center"/>
          </w:tcPr>
          <w:p w14:paraId="53071A43" w14:textId="77777777" w:rsidR="001331BE" w:rsidRPr="009642F7" w:rsidRDefault="001331BE" w:rsidP="00A075D5">
            <w:pPr>
              <w:snapToGrid w:val="0"/>
              <w:jc w:val="center"/>
              <w:rPr>
                <w:rFonts w:ascii="Times New Roman" w:eastAsia="HeiT" w:hAnsi="Times New Roman" w:cs="Times New Roman"/>
              </w:rPr>
            </w:pPr>
          </w:p>
        </w:tc>
        <w:tc>
          <w:tcPr>
            <w:tcW w:w="733" w:type="pct"/>
            <w:tcBorders>
              <w:top w:val="nil"/>
              <w:left w:val="nil"/>
              <w:bottom w:val="nil"/>
              <w:right w:val="nil"/>
            </w:tcBorders>
            <w:shd w:val="clear" w:color="auto" w:fill="auto"/>
            <w:noWrap/>
            <w:vAlign w:val="center"/>
          </w:tcPr>
          <w:p w14:paraId="52876D1B" w14:textId="77777777" w:rsidR="001331BE" w:rsidRPr="009642F7" w:rsidRDefault="001331BE" w:rsidP="00A075D5">
            <w:pPr>
              <w:snapToGrid w:val="0"/>
              <w:jc w:val="center"/>
              <w:rPr>
                <w:rFonts w:ascii="Times New Roman" w:eastAsia="HeiT" w:hAnsi="Times New Roman" w:cs="Times New Roman"/>
              </w:rPr>
            </w:pPr>
          </w:p>
        </w:tc>
        <w:tc>
          <w:tcPr>
            <w:tcW w:w="162" w:type="pct"/>
            <w:tcBorders>
              <w:top w:val="nil"/>
              <w:left w:val="nil"/>
              <w:bottom w:val="nil"/>
              <w:right w:val="nil"/>
            </w:tcBorders>
            <w:shd w:val="clear" w:color="auto" w:fill="auto"/>
            <w:noWrap/>
            <w:vAlign w:val="center"/>
          </w:tcPr>
          <w:p w14:paraId="30718CCF" w14:textId="77777777" w:rsidR="001331BE" w:rsidRPr="009642F7" w:rsidRDefault="001331BE" w:rsidP="00A075D5">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tcPr>
          <w:p w14:paraId="0F33BF8A" w14:textId="77777777" w:rsidR="001331BE" w:rsidRPr="009642F7" w:rsidRDefault="001331BE" w:rsidP="00A075D5">
            <w:pPr>
              <w:snapToGrid w:val="0"/>
              <w:jc w:val="center"/>
              <w:rPr>
                <w:rFonts w:ascii="Times New Roman" w:eastAsia="Times New Roman" w:hAnsi="Times New Roman" w:cs="Times New Roman"/>
              </w:rPr>
            </w:pPr>
          </w:p>
        </w:tc>
      </w:tr>
      <w:tr w:rsidR="009642F7" w:rsidRPr="009642F7" w14:paraId="18F001CA" w14:textId="77777777" w:rsidTr="004D7FCE">
        <w:tc>
          <w:tcPr>
            <w:tcW w:w="1640" w:type="pct"/>
            <w:tcBorders>
              <w:top w:val="nil"/>
              <w:left w:val="nil"/>
              <w:bottom w:val="nil"/>
              <w:right w:val="nil"/>
            </w:tcBorders>
            <w:shd w:val="clear" w:color="auto" w:fill="auto"/>
            <w:noWrap/>
            <w:vAlign w:val="center"/>
            <w:hideMark/>
          </w:tcPr>
          <w:p w14:paraId="0D7F9B2B" w14:textId="77777777" w:rsidR="00DC7DBE" w:rsidRPr="009642F7" w:rsidRDefault="00DC7DBE" w:rsidP="002E327E">
            <w:pPr>
              <w:snapToGrid w:val="0"/>
              <w:rPr>
                <w:rFonts w:ascii="Times New Roman" w:hAnsi="Times New Roman" w:cs="Times New Roman"/>
                <w:i/>
                <w:iCs/>
              </w:rPr>
            </w:pPr>
            <w:r w:rsidRPr="009642F7">
              <w:rPr>
                <w:rFonts w:ascii="Times New Roman" w:hAnsi="Times New Roman" w:cs="Times New Roman"/>
                <w:i/>
                <w:iCs/>
              </w:rPr>
              <w:t>N</w:t>
            </w:r>
          </w:p>
        </w:tc>
        <w:tc>
          <w:tcPr>
            <w:tcW w:w="736" w:type="pct"/>
            <w:tcBorders>
              <w:top w:val="nil"/>
              <w:left w:val="nil"/>
              <w:bottom w:val="nil"/>
              <w:right w:val="nil"/>
            </w:tcBorders>
            <w:shd w:val="clear" w:color="auto" w:fill="auto"/>
            <w:noWrap/>
            <w:vAlign w:val="center"/>
            <w:hideMark/>
          </w:tcPr>
          <w:p w14:paraId="73707EF5" w14:textId="77777777" w:rsidR="00DC7DBE" w:rsidRPr="009642F7" w:rsidRDefault="002E327E" w:rsidP="002E327E">
            <w:pPr>
              <w:snapToGrid w:val="0"/>
              <w:jc w:val="center"/>
              <w:rPr>
                <w:rFonts w:ascii="Times New Roman" w:hAnsi="Times New Roman" w:cs="Times New Roman"/>
              </w:rPr>
            </w:pPr>
            <w:r w:rsidRPr="009642F7">
              <w:rPr>
                <w:rFonts w:ascii="Times New Roman" w:hAnsi="Times New Roman" w:cs="Times New Roman"/>
              </w:rPr>
              <w:t>6</w:t>
            </w:r>
            <w:r w:rsidR="00DC7DBE" w:rsidRPr="009642F7">
              <w:rPr>
                <w:rFonts w:ascii="Times New Roman" w:hAnsi="Times New Roman" w:cs="Times New Roman"/>
              </w:rPr>
              <w:t>,</w:t>
            </w:r>
            <w:r w:rsidR="001C398F" w:rsidRPr="009642F7">
              <w:rPr>
                <w:rFonts w:ascii="Times New Roman" w:hAnsi="Times New Roman" w:cs="Times New Roman"/>
              </w:rPr>
              <w:t>468</w:t>
            </w:r>
          </w:p>
        </w:tc>
        <w:tc>
          <w:tcPr>
            <w:tcW w:w="793" w:type="pct"/>
            <w:tcBorders>
              <w:top w:val="nil"/>
              <w:left w:val="nil"/>
              <w:bottom w:val="nil"/>
              <w:right w:val="nil"/>
            </w:tcBorders>
            <w:shd w:val="clear" w:color="auto" w:fill="auto"/>
            <w:noWrap/>
            <w:vAlign w:val="center"/>
            <w:hideMark/>
          </w:tcPr>
          <w:p w14:paraId="3DC38201" w14:textId="77777777" w:rsidR="00DC7DBE" w:rsidRPr="009642F7" w:rsidRDefault="002E327E" w:rsidP="002E327E">
            <w:pPr>
              <w:snapToGrid w:val="0"/>
              <w:jc w:val="center"/>
              <w:rPr>
                <w:rFonts w:ascii="Times New Roman" w:hAnsi="Times New Roman" w:cs="Times New Roman"/>
              </w:rPr>
            </w:pPr>
            <w:r w:rsidRPr="009642F7">
              <w:rPr>
                <w:rFonts w:ascii="Times New Roman" w:hAnsi="Times New Roman" w:cs="Times New Roman"/>
              </w:rPr>
              <w:t>6</w:t>
            </w:r>
            <w:r w:rsidR="00DC7DBE" w:rsidRPr="009642F7">
              <w:rPr>
                <w:rFonts w:ascii="Times New Roman" w:hAnsi="Times New Roman" w:cs="Times New Roman"/>
              </w:rPr>
              <w:t>,</w:t>
            </w:r>
            <w:r w:rsidR="001C398F" w:rsidRPr="009642F7">
              <w:rPr>
                <w:rFonts w:ascii="Times New Roman" w:hAnsi="Times New Roman" w:cs="Times New Roman"/>
              </w:rPr>
              <w:t>426</w:t>
            </w:r>
          </w:p>
        </w:tc>
        <w:tc>
          <w:tcPr>
            <w:tcW w:w="733" w:type="pct"/>
            <w:tcBorders>
              <w:top w:val="nil"/>
              <w:left w:val="nil"/>
              <w:bottom w:val="nil"/>
              <w:right w:val="nil"/>
            </w:tcBorders>
            <w:shd w:val="clear" w:color="auto" w:fill="auto"/>
            <w:noWrap/>
            <w:vAlign w:val="center"/>
            <w:hideMark/>
          </w:tcPr>
          <w:p w14:paraId="105F23BA" w14:textId="77777777" w:rsidR="00DC7DBE" w:rsidRPr="009642F7" w:rsidRDefault="002E327E" w:rsidP="002E327E">
            <w:pPr>
              <w:snapToGrid w:val="0"/>
              <w:jc w:val="center"/>
              <w:rPr>
                <w:rFonts w:ascii="Times New Roman" w:hAnsi="Times New Roman" w:cs="Times New Roman"/>
              </w:rPr>
            </w:pPr>
            <w:r w:rsidRPr="009642F7">
              <w:rPr>
                <w:rFonts w:ascii="Times New Roman" w:hAnsi="Times New Roman" w:cs="Times New Roman"/>
              </w:rPr>
              <w:t>6</w:t>
            </w:r>
            <w:r w:rsidR="00DC7DBE" w:rsidRPr="009642F7">
              <w:rPr>
                <w:rFonts w:ascii="Times New Roman" w:hAnsi="Times New Roman" w:cs="Times New Roman"/>
              </w:rPr>
              <w:t>,</w:t>
            </w:r>
            <w:r w:rsidR="001C398F" w:rsidRPr="009642F7">
              <w:rPr>
                <w:rFonts w:ascii="Times New Roman" w:hAnsi="Times New Roman" w:cs="Times New Roman"/>
              </w:rPr>
              <w:t>190</w:t>
            </w:r>
          </w:p>
        </w:tc>
        <w:tc>
          <w:tcPr>
            <w:tcW w:w="162" w:type="pct"/>
            <w:tcBorders>
              <w:top w:val="nil"/>
              <w:left w:val="nil"/>
              <w:bottom w:val="nil"/>
              <w:right w:val="nil"/>
            </w:tcBorders>
            <w:shd w:val="clear" w:color="auto" w:fill="auto"/>
            <w:noWrap/>
            <w:vAlign w:val="center"/>
            <w:hideMark/>
          </w:tcPr>
          <w:p w14:paraId="2CEA555D" w14:textId="77777777" w:rsidR="00DC7DBE" w:rsidRPr="009642F7" w:rsidRDefault="00DC7DBE" w:rsidP="002E327E">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hideMark/>
          </w:tcPr>
          <w:p w14:paraId="34D98C81" w14:textId="77777777" w:rsidR="00DC7DBE" w:rsidRPr="009642F7" w:rsidRDefault="00DC7DBE" w:rsidP="002E327E">
            <w:pPr>
              <w:snapToGrid w:val="0"/>
              <w:jc w:val="center"/>
              <w:rPr>
                <w:rFonts w:ascii="Times New Roman" w:eastAsia="Times New Roman" w:hAnsi="Times New Roman" w:cs="Times New Roman"/>
              </w:rPr>
            </w:pPr>
          </w:p>
        </w:tc>
      </w:tr>
      <w:tr w:rsidR="009642F7" w:rsidRPr="009642F7" w14:paraId="42A53853" w14:textId="77777777" w:rsidTr="004D7FCE">
        <w:tc>
          <w:tcPr>
            <w:tcW w:w="1640" w:type="pct"/>
            <w:tcBorders>
              <w:top w:val="nil"/>
              <w:left w:val="nil"/>
              <w:bottom w:val="nil"/>
              <w:right w:val="nil"/>
            </w:tcBorders>
            <w:shd w:val="clear" w:color="auto" w:fill="auto"/>
            <w:noWrap/>
            <w:vAlign w:val="center"/>
            <w:hideMark/>
          </w:tcPr>
          <w:p w14:paraId="4A815C74" w14:textId="77777777" w:rsidR="001331BE" w:rsidRPr="009642F7" w:rsidRDefault="001331BE" w:rsidP="002E327E">
            <w:pPr>
              <w:snapToGrid w:val="0"/>
              <w:rPr>
                <w:rFonts w:ascii="Times New Roman" w:hAnsi="Times New Roman" w:cs="Times New Roman"/>
              </w:rPr>
            </w:pPr>
            <w:r w:rsidRPr="009642F7">
              <w:rPr>
                <w:rFonts w:ascii="Times New Roman" w:hAnsi="Times New Roman" w:cs="Times New Roman"/>
              </w:rPr>
              <w:t>−2 Log−likelihood</w:t>
            </w:r>
          </w:p>
        </w:tc>
        <w:tc>
          <w:tcPr>
            <w:tcW w:w="736" w:type="pct"/>
            <w:tcBorders>
              <w:top w:val="nil"/>
              <w:left w:val="nil"/>
              <w:bottom w:val="nil"/>
              <w:right w:val="nil"/>
            </w:tcBorders>
            <w:shd w:val="clear" w:color="auto" w:fill="auto"/>
            <w:noWrap/>
            <w:vAlign w:val="center"/>
            <w:hideMark/>
          </w:tcPr>
          <w:p w14:paraId="5FC49F36" w14:textId="77777777" w:rsidR="001331BE" w:rsidRPr="009642F7" w:rsidRDefault="0005758D" w:rsidP="002E327E">
            <w:pPr>
              <w:snapToGrid w:val="0"/>
              <w:jc w:val="center"/>
              <w:rPr>
                <w:rFonts w:ascii="Times New Roman" w:eastAsia="HeiT" w:hAnsi="Times New Roman" w:cs="Times New Roman"/>
              </w:rPr>
            </w:pPr>
            <w:r w:rsidRPr="009642F7">
              <w:rPr>
                <w:rFonts w:ascii="Times New Roman" w:hAnsi="Times New Roman" w:cs="Times New Roman"/>
              </w:rPr>
              <w:t>564.1</w:t>
            </w:r>
          </w:p>
        </w:tc>
        <w:tc>
          <w:tcPr>
            <w:tcW w:w="793" w:type="pct"/>
            <w:tcBorders>
              <w:top w:val="nil"/>
              <w:left w:val="nil"/>
              <w:bottom w:val="nil"/>
              <w:right w:val="nil"/>
            </w:tcBorders>
            <w:shd w:val="clear" w:color="auto" w:fill="auto"/>
            <w:noWrap/>
            <w:vAlign w:val="center"/>
            <w:hideMark/>
          </w:tcPr>
          <w:p w14:paraId="151CC8FD" w14:textId="77777777" w:rsidR="001331BE" w:rsidRPr="009642F7" w:rsidRDefault="0005758D" w:rsidP="002E327E">
            <w:pPr>
              <w:snapToGrid w:val="0"/>
              <w:jc w:val="center"/>
              <w:rPr>
                <w:rFonts w:ascii="Times New Roman" w:eastAsia="HeiT" w:hAnsi="Times New Roman" w:cs="Times New Roman"/>
              </w:rPr>
            </w:pPr>
            <w:r w:rsidRPr="009642F7">
              <w:rPr>
                <w:rFonts w:ascii="Times New Roman" w:hAnsi="Times New Roman" w:cs="Times New Roman"/>
              </w:rPr>
              <w:t>612.1</w:t>
            </w:r>
          </w:p>
        </w:tc>
        <w:tc>
          <w:tcPr>
            <w:tcW w:w="733" w:type="pct"/>
            <w:tcBorders>
              <w:top w:val="nil"/>
              <w:left w:val="nil"/>
              <w:bottom w:val="nil"/>
              <w:right w:val="nil"/>
            </w:tcBorders>
            <w:shd w:val="clear" w:color="auto" w:fill="auto"/>
            <w:noWrap/>
            <w:vAlign w:val="center"/>
            <w:hideMark/>
          </w:tcPr>
          <w:p w14:paraId="0C575ABE" w14:textId="77777777" w:rsidR="001331BE" w:rsidRPr="009642F7" w:rsidRDefault="0005758D" w:rsidP="002E327E">
            <w:pPr>
              <w:snapToGrid w:val="0"/>
              <w:jc w:val="center"/>
              <w:rPr>
                <w:rFonts w:ascii="Times New Roman" w:eastAsia="HeiT" w:hAnsi="Times New Roman" w:cs="Times New Roman"/>
              </w:rPr>
            </w:pPr>
            <w:r w:rsidRPr="009642F7">
              <w:rPr>
                <w:rFonts w:ascii="Times New Roman" w:hAnsi="Times New Roman" w:cs="Times New Roman"/>
              </w:rPr>
              <w:t>856.7</w:t>
            </w:r>
          </w:p>
        </w:tc>
        <w:tc>
          <w:tcPr>
            <w:tcW w:w="162" w:type="pct"/>
            <w:tcBorders>
              <w:top w:val="nil"/>
              <w:left w:val="nil"/>
              <w:bottom w:val="nil"/>
              <w:right w:val="nil"/>
            </w:tcBorders>
            <w:shd w:val="clear" w:color="auto" w:fill="auto"/>
            <w:noWrap/>
            <w:vAlign w:val="center"/>
            <w:hideMark/>
          </w:tcPr>
          <w:p w14:paraId="0E40F3C8" w14:textId="77777777" w:rsidR="001331BE" w:rsidRPr="009642F7" w:rsidRDefault="001331BE" w:rsidP="002E327E">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hideMark/>
          </w:tcPr>
          <w:p w14:paraId="6CD50171" w14:textId="77777777" w:rsidR="001331BE" w:rsidRPr="009642F7" w:rsidRDefault="001331BE" w:rsidP="002E327E">
            <w:pPr>
              <w:snapToGrid w:val="0"/>
              <w:jc w:val="center"/>
              <w:rPr>
                <w:rFonts w:ascii="Times New Roman" w:eastAsia="Times New Roman" w:hAnsi="Times New Roman" w:cs="Times New Roman"/>
              </w:rPr>
            </w:pPr>
          </w:p>
        </w:tc>
      </w:tr>
      <w:tr w:rsidR="009642F7" w:rsidRPr="009642F7" w14:paraId="5A557037" w14:textId="77777777" w:rsidTr="004D7FCE">
        <w:tc>
          <w:tcPr>
            <w:tcW w:w="1640" w:type="pct"/>
            <w:tcBorders>
              <w:top w:val="nil"/>
              <w:left w:val="nil"/>
              <w:bottom w:val="nil"/>
              <w:right w:val="nil"/>
            </w:tcBorders>
            <w:shd w:val="clear" w:color="auto" w:fill="auto"/>
            <w:noWrap/>
            <w:vAlign w:val="center"/>
            <w:hideMark/>
          </w:tcPr>
          <w:p w14:paraId="576E8DC2" w14:textId="77777777" w:rsidR="001331BE" w:rsidRPr="009642F7" w:rsidRDefault="001331BE" w:rsidP="002E327E">
            <w:pPr>
              <w:snapToGrid w:val="0"/>
              <w:rPr>
                <w:rFonts w:ascii="Times New Roman" w:hAnsi="Times New Roman" w:cs="Times New Roman"/>
              </w:rPr>
            </w:pPr>
            <w:r w:rsidRPr="009642F7">
              <w:rPr>
                <w:rFonts w:ascii="Times New Roman" w:hAnsi="Times New Roman" w:cs="Times New Roman"/>
              </w:rPr>
              <w:t>Percent Concordant</w:t>
            </w:r>
          </w:p>
        </w:tc>
        <w:tc>
          <w:tcPr>
            <w:tcW w:w="736" w:type="pct"/>
            <w:tcBorders>
              <w:top w:val="nil"/>
              <w:left w:val="nil"/>
              <w:bottom w:val="nil"/>
              <w:right w:val="nil"/>
            </w:tcBorders>
            <w:shd w:val="clear" w:color="auto" w:fill="auto"/>
            <w:noWrap/>
            <w:vAlign w:val="center"/>
            <w:hideMark/>
          </w:tcPr>
          <w:p w14:paraId="474141DD" w14:textId="77777777" w:rsidR="001331BE" w:rsidRPr="009642F7" w:rsidRDefault="0005758D" w:rsidP="002E327E">
            <w:pPr>
              <w:snapToGrid w:val="0"/>
              <w:jc w:val="center"/>
              <w:rPr>
                <w:rFonts w:ascii="Times New Roman" w:eastAsia="HeiT" w:hAnsi="Times New Roman" w:cs="Times New Roman"/>
              </w:rPr>
            </w:pPr>
            <w:r w:rsidRPr="009642F7">
              <w:rPr>
                <w:rFonts w:ascii="Times New Roman" w:hAnsi="Times New Roman" w:cs="Times New Roman"/>
              </w:rPr>
              <w:t>85.4</w:t>
            </w:r>
          </w:p>
        </w:tc>
        <w:tc>
          <w:tcPr>
            <w:tcW w:w="793" w:type="pct"/>
            <w:tcBorders>
              <w:top w:val="nil"/>
              <w:left w:val="nil"/>
              <w:bottom w:val="nil"/>
              <w:right w:val="nil"/>
            </w:tcBorders>
            <w:shd w:val="clear" w:color="auto" w:fill="auto"/>
            <w:noWrap/>
            <w:vAlign w:val="center"/>
            <w:hideMark/>
          </w:tcPr>
          <w:p w14:paraId="2D8894D3" w14:textId="77777777" w:rsidR="001331BE" w:rsidRPr="009642F7" w:rsidRDefault="0005758D" w:rsidP="002E327E">
            <w:pPr>
              <w:snapToGrid w:val="0"/>
              <w:jc w:val="center"/>
              <w:rPr>
                <w:rFonts w:ascii="Times New Roman" w:eastAsia="HeiT" w:hAnsi="Times New Roman" w:cs="Times New Roman"/>
              </w:rPr>
            </w:pPr>
            <w:r w:rsidRPr="009642F7">
              <w:rPr>
                <w:rFonts w:ascii="Times New Roman" w:hAnsi="Times New Roman" w:cs="Times New Roman"/>
              </w:rPr>
              <w:t>79.0</w:t>
            </w:r>
          </w:p>
        </w:tc>
        <w:tc>
          <w:tcPr>
            <w:tcW w:w="733" w:type="pct"/>
            <w:tcBorders>
              <w:top w:val="nil"/>
              <w:left w:val="nil"/>
              <w:bottom w:val="nil"/>
              <w:right w:val="nil"/>
            </w:tcBorders>
            <w:shd w:val="clear" w:color="auto" w:fill="auto"/>
            <w:noWrap/>
            <w:vAlign w:val="center"/>
            <w:hideMark/>
          </w:tcPr>
          <w:p w14:paraId="6BC23ED0" w14:textId="77777777" w:rsidR="001331BE" w:rsidRPr="009642F7" w:rsidRDefault="0005758D" w:rsidP="002E327E">
            <w:pPr>
              <w:snapToGrid w:val="0"/>
              <w:jc w:val="center"/>
              <w:rPr>
                <w:rFonts w:ascii="Times New Roman" w:eastAsia="HeiT" w:hAnsi="Times New Roman" w:cs="Times New Roman"/>
              </w:rPr>
            </w:pPr>
            <w:r w:rsidRPr="009642F7">
              <w:rPr>
                <w:rFonts w:ascii="Times New Roman" w:hAnsi="Times New Roman" w:cs="Times New Roman"/>
              </w:rPr>
              <w:t>75.3</w:t>
            </w:r>
          </w:p>
        </w:tc>
        <w:tc>
          <w:tcPr>
            <w:tcW w:w="162" w:type="pct"/>
            <w:tcBorders>
              <w:top w:val="nil"/>
              <w:left w:val="nil"/>
              <w:bottom w:val="nil"/>
              <w:right w:val="nil"/>
            </w:tcBorders>
            <w:shd w:val="clear" w:color="auto" w:fill="auto"/>
            <w:noWrap/>
            <w:vAlign w:val="center"/>
            <w:hideMark/>
          </w:tcPr>
          <w:p w14:paraId="15F09B70" w14:textId="77777777" w:rsidR="001331BE" w:rsidRPr="009642F7" w:rsidRDefault="001331BE" w:rsidP="002E327E">
            <w:pPr>
              <w:snapToGrid w:val="0"/>
              <w:jc w:val="center"/>
              <w:rPr>
                <w:rFonts w:ascii="Times New Roman" w:eastAsia="HeiT" w:hAnsi="Times New Roman" w:cs="Times New Roman"/>
              </w:rPr>
            </w:pPr>
          </w:p>
        </w:tc>
        <w:tc>
          <w:tcPr>
            <w:tcW w:w="936" w:type="pct"/>
            <w:tcBorders>
              <w:top w:val="nil"/>
              <w:left w:val="nil"/>
              <w:bottom w:val="nil"/>
              <w:right w:val="nil"/>
            </w:tcBorders>
            <w:shd w:val="clear" w:color="auto" w:fill="auto"/>
            <w:noWrap/>
            <w:vAlign w:val="center"/>
            <w:hideMark/>
          </w:tcPr>
          <w:p w14:paraId="4A87E47D" w14:textId="77777777" w:rsidR="001331BE" w:rsidRPr="009642F7" w:rsidRDefault="001331BE" w:rsidP="002E327E">
            <w:pPr>
              <w:snapToGrid w:val="0"/>
              <w:jc w:val="center"/>
              <w:rPr>
                <w:rFonts w:ascii="Times New Roman" w:eastAsia="Times New Roman" w:hAnsi="Times New Roman" w:cs="Times New Roman"/>
              </w:rPr>
            </w:pPr>
          </w:p>
        </w:tc>
      </w:tr>
      <w:tr w:rsidR="001331BE" w:rsidRPr="009642F7" w14:paraId="43214160" w14:textId="77777777" w:rsidTr="004D7FCE">
        <w:tc>
          <w:tcPr>
            <w:tcW w:w="1640" w:type="pct"/>
            <w:tcBorders>
              <w:top w:val="nil"/>
              <w:left w:val="nil"/>
              <w:bottom w:val="single" w:sz="4" w:space="0" w:color="auto"/>
              <w:right w:val="nil"/>
            </w:tcBorders>
            <w:shd w:val="clear" w:color="auto" w:fill="auto"/>
            <w:noWrap/>
            <w:vAlign w:val="center"/>
            <w:hideMark/>
          </w:tcPr>
          <w:p w14:paraId="1ABEE1E6" w14:textId="77777777" w:rsidR="001331BE" w:rsidRPr="009642F7" w:rsidRDefault="001331BE" w:rsidP="002E327E">
            <w:pPr>
              <w:snapToGrid w:val="0"/>
              <w:rPr>
                <w:rFonts w:ascii="Times New Roman" w:hAnsi="Times New Roman" w:cs="Times New Roman"/>
              </w:rPr>
            </w:pPr>
            <w:r w:rsidRPr="009642F7">
              <w:rPr>
                <w:rFonts w:ascii="Times New Roman" w:hAnsi="Times New Roman" w:cs="Times New Roman"/>
              </w:rPr>
              <w:t xml:space="preserve">Pseudo </w:t>
            </w:r>
            <w:r w:rsidRPr="009642F7">
              <w:rPr>
                <w:rFonts w:ascii="Times New Roman" w:hAnsi="Times New Roman" w:cs="Times New Roman"/>
                <w:i/>
                <w:iCs/>
              </w:rPr>
              <w:t>R</w:t>
            </w:r>
            <w:r w:rsidRPr="009642F7">
              <w:rPr>
                <w:rFonts w:ascii="Times New Roman" w:hAnsi="Times New Roman" w:cs="Times New Roman"/>
                <w:vertAlign w:val="superscript"/>
              </w:rPr>
              <w:t>2</w:t>
            </w:r>
          </w:p>
        </w:tc>
        <w:tc>
          <w:tcPr>
            <w:tcW w:w="736" w:type="pct"/>
            <w:tcBorders>
              <w:top w:val="nil"/>
              <w:left w:val="nil"/>
              <w:bottom w:val="single" w:sz="4" w:space="0" w:color="auto"/>
              <w:right w:val="nil"/>
            </w:tcBorders>
            <w:shd w:val="clear" w:color="auto" w:fill="auto"/>
            <w:noWrap/>
            <w:vAlign w:val="center"/>
            <w:hideMark/>
          </w:tcPr>
          <w:p w14:paraId="27ECE7F5" w14:textId="77777777" w:rsidR="001331BE" w:rsidRPr="009642F7" w:rsidRDefault="0005758D" w:rsidP="002E327E">
            <w:pPr>
              <w:snapToGrid w:val="0"/>
              <w:jc w:val="center"/>
              <w:rPr>
                <w:rFonts w:ascii="Times New Roman" w:eastAsia="HeiT" w:hAnsi="Times New Roman" w:cs="Times New Roman"/>
              </w:rPr>
            </w:pPr>
            <w:r w:rsidRPr="009642F7">
              <w:rPr>
                <w:rFonts w:ascii="Times New Roman" w:hAnsi="Times New Roman" w:cs="Times New Roman"/>
              </w:rPr>
              <w:t>19.18%</w:t>
            </w:r>
          </w:p>
        </w:tc>
        <w:tc>
          <w:tcPr>
            <w:tcW w:w="793" w:type="pct"/>
            <w:tcBorders>
              <w:top w:val="nil"/>
              <w:left w:val="nil"/>
              <w:bottom w:val="single" w:sz="4" w:space="0" w:color="auto"/>
              <w:right w:val="nil"/>
            </w:tcBorders>
            <w:shd w:val="clear" w:color="auto" w:fill="auto"/>
            <w:noWrap/>
            <w:vAlign w:val="center"/>
            <w:hideMark/>
          </w:tcPr>
          <w:p w14:paraId="468B6CB5" w14:textId="77777777" w:rsidR="001331BE" w:rsidRPr="009642F7" w:rsidRDefault="0005758D" w:rsidP="002E327E">
            <w:pPr>
              <w:snapToGrid w:val="0"/>
              <w:jc w:val="center"/>
              <w:rPr>
                <w:rFonts w:ascii="Times New Roman" w:eastAsia="HeiT" w:hAnsi="Times New Roman" w:cs="Times New Roman"/>
              </w:rPr>
            </w:pPr>
            <w:r w:rsidRPr="009642F7">
              <w:rPr>
                <w:rFonts w:ascii="Times New Roman" w:eastAsia="HeiT" w:hAnsi="Times New Roman" w:cs="Times New Roman"/>
              </w:rPr>
              <w:t>14.10</w:t>
            </w:r>
            <w:r w:rsidR="001331BE" w:rsidRPr="009642F7">
              <w:rPr>
                <w:rFonts w:ascii="Times New Roman" w:eastAsia="HeiT" w:hAnsi="Times New Roman" w:cs="Times New Roman"/>
              </w:rPr>
              <w:t>%</w:t>
            </w:r>
          </w:p>
        </w:tc>
        <w:tc>
          <w:tcPr>
            <w:tcW w:w="733" w:type="pct"/>
            <w:tcBorders>
              <w:top w:val="nil"/>
              <w:left w:val="nil"/>
              <w:bottom w:val="single" w:sz="4" w:space="0" w:color="auto"/>
              <w:right w:val="nil"/>
            </w:tcBorders>
            <w:shd w:val="clear" w:color="auto" w:fill="auto"/>
            <w:noWrap/>
            <w:vAlign w:val="center"/>
            <w:hideMark/>
          </w:tcPr>
          <w:p w14:paraId="6DD63943" w14:textId="77777777" w:rsidR="001331BE" w:rsidRPr="009642F7" w:rsidRDefault="0005758D" w:rsidP="002E327E">
            <w:pPr>
              <w:snapToGrid w:val="0"/>
              <w:jc w:val="center"/>
              <w:rPr>
                <w:rFonts w:ascii="Times New Roman" w:eastAsia="HeiT" w:hAnsi="Times New Roman" w:cs="Times New Roman"/>
              </w:rPr>
            </w:pPr>
            <w:r w:rsidRPr="009642F7">
              <w:rPr>
                <w:rFonts w:ascii="Times New Roman" w:hAnsi="Times New Roman" w:cs="Times New Roman"/>
              </w:rPr>
              <w:t>10.40%</w:t>
            </w:r>
          </w:p>
        </w:tc>
        <w:tc>
          <w:tcPr>
            <w:tcW w:w="162" w:type="pct"/>
            <w:tcBorders>
              <w:top w:val="nil"/>
              <w:left w:val="nil"/>
              <w:bottom w:val="single" w:sz="4" w:space="0" w:color="auto"/>
              <w:right w:val="nil"/>
            </w:tcBorders>
            <w:shd w:val="clear" w:color="auto" w:fill="auto"/>
            <w:noWrap/>
            <w:vAlign w:val="center"/>
            <w:hideMark/>
          </w:tcPr>
          <w:p w14:paraId="4E5FB38E" w14:textId="77777777" w:rsidR="001331BE" w:rsidRPr="009642F7" w:rsidRDefault="001331BE" w:rsidP="002E327E">
            <w:pPr>
              <w:snapToGrid w:val="0"/>
              <w:jc w:val="center"/>
              <w:rPr>
                <w:rFonts w:ascii="Times New Roman" w:hAnsi="Times New Roman" w:cs="Times New Roman"/>
              </w:rPr>
            </w:pPr>
          </w:p>
        </w:tc>
        <w:tc>
          <w:tcPr>
            <w:tcW w:w="936" w:type="pct"/>
            <w:tcBorders>
              <w:top w:val="nil"/>
              <w:left w:val="nil"/>
              <w:bottom w:val="single" w:sz="4" w:space="0" w:color="auto"/>
              <w:right w:val="nil"/>
            </w:tcBorders>
            <w:shd w:val="clear" w:color="auto" w:fill="auto"/>
            <w:noWrap/>
            <w:vAlign w:val="center"/>
            <w:hideMark/>
          </w:tcPr>
          <w:p w14:paraId="48781DEF" w14:textId="77777777" w:rsidR="001331BE" w:rsidRPr="009642F7" w:rsidRDefault="001331BE" w:rsidP="002E327E">
            <w:pPr>
              <w:snapToGrid w:val="0"/>
              <w:jc w:val="center"/>
              <w:rPr>
                <w:rFonts w:ascii="Times New Roman" w:hAnsi="Times New Roman" w:cs="Times New Roman"/>
              </w:rPr>
            </w:pPr>
          </w:p>
        </w:tc>
      </w:tr>
    </w:tbl>
    <w:p w14:paraId="6DD5DAC3" w14:textId="754C542E" w:rsidR="001331BE" w:rsidRPr="009642F7" w:rsidRDefault="001331BE">
      <w:pPr>
        <w:rPr>
          <w:rFonts w:ascii="Times New Roman" w:hAnsi="Times New Roman" w:cs="Times New Roman"/>
        </w:rPr>
      </w:pPr>
    </w:p>
    <w:sectPr w:rsidR="001331BE" w:rsidRPr="009642F7" w:rsidSect="006E0C7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4E89" w14:textId="77777777" w:rsidR="00A83AE3" w:rsidRDefault="00A83AE3" w:rsidP="006A71C1">
      <w:r>
        <w:separator/>
      </w:r>
    </w:p>
  </w:endnote>
  <w:endnote w:type="continuationSeparator" w:id="0">
    <w:p w14:paraId="27E9F90B" w14:textId="77777777" w:rsidR="00A83AE3" w:rsidRDefault="00A83AE3" w:rsidP="006A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isSIL">
    <w:altName w:val="微軟正黑體"/>
    <w:panose1 w:val="00000000000000000000"/>
    <w:charset w:val="88"/>
    <w:family w:val="swiss"/>
    <w:notTrueType/>
    <w:pitch w:val="default"/>
    <w:sig w:usb0="00000001" w:usb1="080F0000" w:usb2="00000010" w:usb3="00000000" w:csb0="00120000" w:csb1="00000000"/>
  </w:font>
  <w:font w:name="CharisSIL-Italic">
    <w:altName w:val="Cambria"/>
    <w:panose1 w:val="00000000000000000000"/>
    <w:charset w:val="00"/>
    <w:family w:val="roman"/>
    <w:notTrueType/>
    <w:pitch w:val="default"/>
  </w:font>
  <w:font w:name="HeiT">
    <w:panose1 w:val="020B0502000000000001"/>
    <w:charset w:val="88"/>
    <w:family w:val="swiss"/>
    <w:pitch w:val="variable"/>
    <w:sig w:usb0="A00002BF" w:usb1="2ACFFC78"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nionPro-Cap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76331"/>
      <w:docPartObj>
        <w:docPartGallery w:val="Page Numbers (Bottom of Page)"/>
        <w:docPartUnique/>
      </w:docPartObj>
    </w:sdtPr>
    <w:sdtEndPr>
      <w:rPr>
        <w:rFonts w:ascii="Times New Roman" w:hAnsi="Times New Roman" w:cs="Times New Roman"/>
      </w:rPr>
    </w:sdtEndPr>
    <w:sdtContent>
      <w:p w14:paraId="3C75A2D2" w14:textId="77777777" w:rsidR="00DA341A" w:rsidRPr="00604AED" w:rsidRDefault="00DA341A">
        <w:pPr>
          <w:pStyle w:val="Footer"/>
          <w:jc w:val="center"/>
          <w:rPr>
            <w:rFonts w:ascii="Times New Roman" w:hAnsi="Times New Roman" w:cs="Times New Roman"/>
          </w:rPr>
        </w:pPr>
        <w:r w:rsidRPr="00604AED">
          <w:rPr>
            <w:rFonts w:ascii="Times New Roman" w:hAnsi="Times New Roman" w:cs="Times New Roman"/>
          </w:rPr>
          <w:fldChar w:fldCharType="begin"/>
        </w:r>
        <w:r w:rsidRPr="00604AED">
          <w:rPr>
            <w:rFonts w:ascii="Times New Roman" w:hAnsi="Times New Roman" w:cs="Times New Roman"/>
          </w:rPr>
          <w:instrText>PAGE   \* MERGEFORMAT</w:instrText>
        </w:r>
        <w:r w:rsidRPr="00604AED">
          <w:rPr>
            <w:rFonts w:ascii="Times New Roman" w:hAnsi="Times New Roman" w:cs="Times New Roman"/>
          </w:rPr>
          <w:fldChar w:fldCharType="separate"/>
        </w:r>
        <w:r w:rsidR="00623F07" w:rsidRPr="00623F07">
          <w:rPr>
            <w:rFonts w:ascii="Times New Roman" w:hAnsi="Times New Roman" w:cs="Times New Roman"/>
            <w:noProof/>
            <w:lang w:val="zh-TW"/>
          </w:rPr>
          <w:t>6</w:t>
        </w:r>
        <w:r w:rsidRPr="00604AED">
          <w:rPr>
            <w:rFonts w:ascii="Times New Roman" w:hAnsi="Times New Roman" w:cs="Times New Roman"/>
          </w:rPr>
          <w:fldChar w:fldCharType="end"/>
        </w:r>
      </w:p>
    </w:sdtContent>
  </w:sdt>
  <w:p w14:paraId="07F42264" w14:textId="77777777" w:rsidR="00DA341A" w:rsidRDefault="00DA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4D16" w14:textId="77777777" w:rsidR="00A83AE3" w:rsidRDefault="00A83AE3" w:rsidP="006A71C1">
      <w:r>
        <w:separator/>
      </w:r>
    </w:p>
  </w:footnote>
  <w:footnote w:type="continuationSeparator" w:id="0">
    <w:p w14:paraId="01AB1831" w14:textId="77777777" w:rsidR="00A83AE3" w:rsidRDefault="00A83AE3" w:rsidP="006A71C1">
      <w:r>
        <w:continuationSeparator/>
      </w:r>
    </w:p>
  </w:footnote>
  <w:footnote w:id="1">
    <w:p w14:paraId="7EDE25E2" w14:textId="77777777" w:rsidR="00DA341A" w:rsidRPr="00A76FF2" w:rsidRDefault="00DA341A" w:rsidP="00A76FF2">
      <w:pPr>
        <w:pStyle w:val="FootnoteText"/>
        <w:jc w:val="both"/>
        <w:rPr>
          <w:rFonts w:ascii="Times New Roman" w:hAnsi="Times New Roman" w:cs="Times New Roman"/>
        </w:rPr>
      </w:pPr>
      <w:r w:rsidRPr="00A76FF2">
        <w:rPr>
          <w:rStyle w:val="FootnoteReference"/>
          <w:rFonts w:ascii="Times New Roman" w:hAnsi="Times New Roman" w:cs="Times New Roman"/>
        </w:rPr>
        <w:footnoteRef/>
      </w:r>
      <w:r w:rsidRPr="00A76FF2">
        <w:rPr>
          <w:rFonts w:ascii="Times New Roman" w:hAnsi="Times New Roman" w:cs="Times New Roman"/>
        </w:rPr>
        <w:t xml:space="preserve"> As mentioned by Presley &amp; Abbott (2013, p.75), “Audited financial statements are restated when the following four conditions are met: (a) there is an inherent risk of a misstatement caused by an error or irregularity within a firm; (b) the material misstatement is undetected by the firm's internal controls; (c) the external auditor does not detect the misstatement and the erroneous financials are issued; (d) the error is discovered and deemed material, requiring correction, restatement, and reissuance of the financials (Eilifsen &amp; Messier,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45DCF"/>
    <w:multiLevelType w:val="multilevel"/>
    <w:tmpl w:val="27927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483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2NjAyNTYztzA0MTNS0lEKTi0uzszPAykwNKoFAG/9LiwtAAAA"/>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新細明體&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f5rfdaptzwt1eda9cpvr9ptwtpr2wppa50&quot;&gt;My EndNote Library&lt;record-ids&gt;&lt;item&gt;175&lt;/item&gt;&lt;item&gt;176&lt;/item&gt;&lt;item&gt;177&lt;/item&gt;&lt;/record-ids&gt;&lt;/item&gt;&lt;/Libraries&gt;"/>
  </w:docVars>
  <w:rsids>
    <w:rsidRoot w:val="00D85914"/>
    <w:rsid w:val="0000046E"/>
    <w:rsid w:val="00012BF8"/>
    <w:rsid w:val="00023C65"/>
    <w:rsid w:val="00023CB6"/>
    <w:rsid w:val="000347DF"/>
    <w:rsid w:val="00040AF1"/>
    <w:rsid w:val="0005441C"/>
    <w:rsid w:val="0005758D"/>
    <w:rsid w:val="00077711"/>
    <w:rsid w:val="00083453"/>
    <w:rsid w:val="0008589B"/>
    <w:rsid w:val="00095FD1"/>
    <w:rsid w:val="000A6080"/>
    <w:rsid w:val="000B5F2F"/>
    <w:rsid w:val="000C4AD7"/>
    <w:rsid w:val="000C6910"/>
    <w:rsid w:val="000D0FD2"/>
    <w:rsid w:val="000E3F3E"/>
    <w:rsid w:val="000E5610"/>
    <w:rsid w:val="000F0F62"/>
    <w:rsid w:val="00102823"/>
    <w:rsid w:val="00107531"/>
    <w:rsid w:val="00111BF4"/>
    <w:rsid w:val="001262E6"/>
    <w:rsid w:val="001331BE"/>
    <w:rsid w:val="001353EE"/>
    <w:rsid w:val="00141FBC"/>
    <w:rsid w:val="0015366D"/>
    <w:rsid w:val="00163A19"/>
    <w:rsid w:val="00190FB0"/>
    <w:rsid w:val="001A279D"/>
    <w:rsid w:val="001B08C0"/>
    <w:rsid w:val="001B2E6C"/>
    <w:rsid w:val="001C398F"/>
    <w:rsid w:val="001D2B1B"/>
    <w:rsid w:val="001D7E93"/>
    <w:rsid w:val="001F69C3"/>
    <w:rsid w:val="00230308"/>
    <w:rsid w:val="00230CE2"/>
    <w:rsid w:val="00234170"/>
    <w:rsid w:val="00243D97"/>
    <w:rsid w:val="0025003E"/>
    <w:rsid w:val="002626D2"/>
    <w:rsid w:val="002633BA"/>
    <w:rsid w:val="0026415C"/>
    <w:rsid w:val="00266B34"/>
    <w:rsid w:val="00277281"/>
    <w:rsid w:val="00281F9C"/>
    <w:rsid w:val="00290582"/>
    <w:rsid w:val="002959B1"/>
    <w:rsid w:val="002B269B"/>
    <w:rsid w:val="002B616B"/>
    <w:rsid w:val="002B7F08"/>
    <w:rsid w:val="002C1E49"/>
    <w:rsid w:val="002C2237"/>
    <w:rsid w:val="002D5565"/>
    <w:rsid w:val="002E327E"/>
    <w:rsid w:val="002F2D95"/>
    <w:rsid w:val="002F45AC"/>
    <w:rsid w:val="0030201C"/>
    <w:rsid w:val="0032419A"/>
    <w:rsid w:val="00334FA1"/>
    <w:rsid w:val="00337B41"/>
    <w:rsid w:val="00372686"/>
    <w:rsid w:val="00382D8B"/>
    <w:rsid w:val="00387AA5"/>
    <w:rsid w:val="00397700"/>
    <w:rsid w:val="003A295E"/>
    <w:rsid w:val="003A3B3B"/>
    <w:rsid w:val="003A7C03"/>
    <w:rsid w:val="003B3F95"/>
    <w:rsid w:val="003C2176"/>
    <w:rsid w:val="003C29A1"/>
    <w:rsid w:val="003C46E7"/>
    <w:rsid w:val="003C519D"/>
    <w:rsid w:val="003C79B5"/>
    <w:rsid w:val="003D051D"/>
    <w:rsid w:val="003D0E9B"/>
    <w:rsid w:val="003E12ED"/>
    <w:rsid w:val="003E70AA"/>
    <w:rsid w:val="00405D71"/>
    <w:rsid w:val="004104BD"/>
    <w:rsid w:val="00412A49"/>
    <w:rsid w:val="00424BD1"/>
    <w:rsid w:val="0044245A"/>
    <w:rsid w:val="004430B0"/>
    <w:rsid w:val="0044396E"/>
    <w:rsid w:val="004710B2"/>
    <w:rsid w:val="0047615C"/>
    <w:rsid w:val="0047655B"/>
    <w:rsid w:val="00480595"/>
    <w:rsid w:val="004815BD"/>
    <w:rsid w:val="00490021"/>
    <w:rsid w:val="004B0065"/>
    <w:rsid w:val="004B1AF9"/>
    <w:rsid w:val="004D1E79"/>
    <w:rsid w:val="004D5DFE"/>
    <w:rsid w:val="004D7FCE"/>
    <w:rsid w:val="004F160F"/>
    <w:rsid w:val="005066BF"/>
    <w:rsid w:val="005068D0"/>
    <w:rsid w:val="00507C2B"/>
    <w:rsid w:val="005124D7"/>
    <w:rsid w:val="00513AE7"/>
    <w:rsid w:val="005202FE"/>
    <w:rsid w:val="005244E4"/>
    <w:rsid w:val="005431A5"/>
    <w:rsid w:val="00543669"/>
    <w:rsid w:val="00544519"/>
    <w:rsid w:val="00553A33"/>
    <w:rsid w:val="0058604E"/>
    <w:rsid w:val="005A0B59"/>
    <w:rsid w:val="005A1019"/>
    <w:rsid w:val="005A2F87"/>
    <w:rsid w:val="005B0452"/>
    <w:rsid w:val="005D6405"/>
    <w:rsid w:val="00600BDB"/>
    <w:rsid w:val="00604AED"/>
    <w:rsid w:val="00614DC3"/>
    <w:rsid w:val="00623F07"/>
    <w:rsid w:val="006328FB"/>
    <w:rsid w:val="0064182A"/>
    <w:rsid w:val="00651D96"/>
    <w:rsid w:val="006551C9"/>
    <w:rsid w:val="00673D93"/>
    <w:rsid w:val="006751B4"/>
    <w:rsid w:val="006829CE"/>
    <w:rsid w:val="00682AA8"/>
    <w:rsid w:val="00692220"/>
    <w:rsid w:val="006970E4"/>
    <w:rsid w:val="006A71C1"/>
    <w:rsid w:val="006B4EB2"/>
    <w:rsid w:val="006B5D9B"/>
    <w:rsid w:val="006D1E2F"/>
    <w:rsid w:val="006D7398"/>
    <w:rsid w:val="006E0C73"/>
    <w:rsid w:val="006E50F3"/>
    <w:rsid w:val="006F4081"/>
    <w:rsid w:val="007016AD"/>
    <w:rsid w:val="0070308C"/>
    <w:rsid w:val="0071023C"/>
    <w:rsid w:val="00725A2C"/>
    <w:rsid w:val="0072738B"/>
    <w:rsid w:val="007277D5"/>
    <w:rsid w:val="00727C3E"/>
    <w:rsid w:val="00750EAA"/>
    <w:rsid w:val="00765046"/>
    <w:rsid w:val="007806EA"/>
    <w:rsid w:val="00794BC8"/>
    <w:rsid w:val="007A42CD"/>
    <w:rsid w:val="007A4B76"/>
    <w:rsid w:val="007D65C9"/>
    <w:rsid w:val="007F30CF"/>
    <w:rsid w:val="007F6A7A"/>
    <w:rsid w:val="008144AE"/>
    <w:rsid w:val="00815C07"/>
    <w:rsid w:val="00834563"/>
    <w:rsid w:val="00852346"/>
    <w:rsid w:val="00852AAB"/>
    <w:rsid w:val="00870AC7"/>
    <w:rsid w:val="00873628"/>
    <w:rsid w:val="0088188D"/>
    <w:rsid w:val="0089024A"/>
    <w:rsid w:val="008A2646"/>
    <w:rsid w:val="008B2BB5"/>
    <w:rsid w:val="008C66D8"/>
    <w:rsid w:val="008D4553"/>
    <w:rsid w:val="008D74A6"/>
    <w:rsid w:val="008D76E3"/>
    <w:rsid w:val="008E05AC"/>
    <w:rsid w:val="008E0E9E"/>
    <w:rsid w:val="008F779F"/>
    <w:rsid w:val="0090256A"/>
    <w:rsid w:val="0090779B"/>
    <w:rsid w:val="00917159"/>
    <w:rsid w:val="00920FA4"/>
    <w:rsid w:val="00922B54"/>
    <w:rsid w:val="009239A1"/>
    <w:rsid w:val="00924873"/>
    <w:rsid w:val="00924F0E"/>
    <w:rsid w:val="009409F1"/>
    <w:rsid w:val="009438A9"/>
    <w:rsid w:val="009465E5"/>
    <w:rsid w:val="009578AA"/>
    <w:rsid w:val="009642F7"/>
    <w:rsid w:val="00966629"/>
    <w:rsid w:val="00970573"/>
    <w:rsid w:val="009714D2"/>
    <w:rsid w:val="0097163A"/>
    <w:rsid w:val="0097299E"/>
    <w:rsid w:val="00986D73"/>
    <w:rsid w:val="009A0FF6"/>
    <w:rsid w:val="009A3B2C"/>
    <w:rsid w:val="009A4C44"/>
    <w:rsid w:val="009B620C"/>
    <w:rsid w:val="009C10FA"/>
    <w:rsid w:val="009C47BC"/>
    <w:rsid w:val="009C6F99"/>
    <w:rsid w:val="009F7DE6"/>
    <w:rsid w:val="00A0044F"/>
    <w:rsid w:val="00A075D5"/>
    <w:rsid w:val="00A11766"/>
    <w:rsid w:val="00A54C44"/>
    <w:rsid w:val="00A56307"/>
    <w:rsid w:val="00A56ED1"/>
    <w:rsid w:val="00A62F87"/>
    <w:rsid w:val="00A76FF2"/>
    <w:rsid w:val="00A83AE3"/>
    <w:rsid w:val="00A96022"/>
    <w:rsid w:val="00AA2A50"/>
    <w:rsid w:val="00AC0E68"/>
    <w:rsid w:val="00AC3F36"/>
    <w:rsid w:val="00AC487B"/>
    <w:rsid w:val="00AC5747"/>
    <w:rsid w:val="00AD1BBC"/>
    <w:rsid w:val="00AE3A64"/>
    <w:rsid w:val="00AE4265"/>
    <w:rsid w:val="00AE7A2B"/>
    <w:rsid w:val="00AF0BC6"/>
    <w:rsid w:val="00AF30CA"/>
    <w:rsid w:val="00B04FEE"/>
    <w:rsid w:val="00B2181F"/>
    <w:rsid w:val="00B23AB9"/>
    <w:rsid w:val="00B31A24"/>
    <w:rsid w:val="00B47E43"/>
    <w:rsid w:val="00B841F7"/>
    <w:rsid w:val="00B92968"/>
    <w:rsid w:val="00B92D4B"/>
    <w:rsid w:val="00BB5773"/>
    <w:rsid w:val="00BD4870"/>
    <w:rsid w:val="00BE335F"/>
    <w:rsid w:val="00BE4464"/>
    <w:rsid w:val="00C0131F"/>
    <w:rsid w:val="00C041C3"/>
    <w:rsid w:val="00C16BC4"/>
    <w:rsid w:val="00C323C7"/>
    <w:rsid w:val="00C36490"/>
    <w:rsid w:val="00C50E5D"/>
    <w:rsid w:val="00C63672"/>
    <w:rsid w:val="00C667FC"/>
    <w:rsid w:val="00C76B7C"/>
    <w:rsid w:val="00C83748"/>
    <w:rsid w:val="00C842C5"/>
    <w:rsid w:val="00C85112"/>
    <w:rsid w:val="00C94E93"/>
    <w:rsid w:val="00CA2FCC"/>
    <w:rsid w:val="00CA4050"/>
    <w:rsid w:val="00CA421D"/>
    <w:rsid w:val="00CA5A37"/>
    <w:rsid w:val="00CB0481"/>
    <w:rsid w:val="00CD7D3B"/>
    <w:rsid w:val="00CE6A21"/>
    <w:rsid w:val="00CF39FA"/>
    <w:rsid w:val="00CF7386"/>
    <w:rsid w:val="00D06EF2"/>
    <w:rsid w:val="00D07556"/>
    <w:rsid w:val="00D31936"/>
    <w:rsid w:val="00D33282"/>
    <w:rsid w:val="00D65D79"/>
    <w:rsid w:val="00D678AB"/>
    <w:rsid w:val="00D83DA6"/>
    <w:rsid w:val="00D85739"/>
    <w:rsid w:val="00D85914"/>
    <w:rsid w:val="00D92798"/>
    <w:rsid w:val="00D93D32"/>
    <w:rsid w:val="00DA341A"/>
    <w:rsid w:val="00DA5E1B"/>
    <w:rsid w:val="00DC5C2E"/>
    <w:rsid w:val="00DC7DBE"/>
    <w:rsid w:val="00DD6EE5"/>
    <w:rsid w:val="00DD7ECC"/>
    <w:rsid w:val="00DE6A9F"/>
    <w:rsid w:val="00DF7D78"/>
    <w:rsid w:val="00E06799"/>
    <w:rsid w:val="00E14EFB"/>
    <w:rsid w:val="00E23BCF"/>
    <w:rsid w:val="00E240E1"/>
    <w:rsid w:val="00E265D0"/>
    <w:rsid w:val="00E2670A"/>
    <w:rsid w:val="00E47016"/>
    <w:rsid w:val="00E50CDC"/>
    <w:rsid w:val="00E51C76"/>
    <w:rsid w:val="00E57513"/>
    <w:rsid w:val="00E65750"/>
    <w:rsid w:val="00E72962"/>
    <w:rsid w:val="00E72B51"/>
    <w:rsid w:val="00E772C9"/>
    <w:rsid w:val="00E905DC"/>
    <w:rsid w:val="00E94134"/>
    <w:rsid w:val="00EA1C58"/>
    <w:rsid w:val="00EA25CF"/>
    <w:rsid w:val="00EE0DC8"/>
    <w:rsid w:val="00EE6567"/>
    <w:rsid w:val="00EE6FDF"/>
    <w:rsid w:val="00EF6304"/>
    <w:rsid w:val="00EF6C2C"/>
    <w:rsid w:val="00F31A29"/>
    <w:rsid w:val="00F43681"/>
    <w:rsid w:val="00F47369"/>
    <w:rsid w:val="00F5375C"/>
    <w:rsid w:val="00F851BF"/>
    <w:rsid w:val="00F954BD"/>
    <w:rsid w:val="00FB608D"/>
    <w:rsid w:val="00FD703D"/>
    <w:rsid w:val="00FE1C89"/>
    <w:rsid w:val="00FF6774"/>
    <w:rsid w:val="00FF6FAE"/>
    <w:rsid w:val="00FF7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1470A"/>
  <w15:docId w15:val="{4007C917-3935-4D56-999B-627E434C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7A"/>
    <w:rPr>
      <w:rFonts w:ascii="新細明體" w:eastAsia="新細明體" w:hAnsi="新細明體" w:cs="新細明體"/>
      <w:kern w:val="0"/>
      <w:szCs w:val="24"/>
    </w:rPr>
  </w:style>
  <w:style w:type="paragraph" w:styleId="Heading3">
    <w:name w:val="heading 3"/>
    <w:basedOn w:val="Normal"/>
    <w:link w:val="Heading3Char"/>
    <w:uiPriority w:val="9"/>
    <w:qFormat/>
    <w:rsid w:val="00AC0E6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BB5"/>
    <w:rPr>
      <w:color w:val="808080"/>
    </w:rPr>
  </w:style>
  <w:style w:type="character" w:customStyle="1" w:styleId="Heading3Char">
    <w:name w:val="Heading 3 Char"/>
    <w:basedOn w:val="DefaultParagraphFont"/>
    <w:link w:val="Heading3"/>
    <w:uiPriority w:val="9"/>
    <w:rsid w:val="00AC0E68"/>
    <w:rPr>
      <w:rFonts w:ascii="新細明體" w:eastAsia="新細明體" w:hAnsi="新細明體" w:cs="新細明體"/>
      <w:b/>
      <w:bCs/>
      <w:kern w:val="0"/>
      <w:sz w:val="27"/>
      <w:szCs w:val="27"/>
    </w:rPr>
  </w:style>
  <w:style w:type="character" w:customStyle="1" w:styleId="gsct1">
    <w:name w:val="gs_ct1"/>
    <w:basedOn w:val="DefaultParagraphFont"/>
    <w:rsid w:val="00AC0E68"/>
  </w:style>
  <w:style w:type="character" w:styleId="Hyperlink">
    <w:name w:val="Hyperlink"/>
    <w:basedOn w:val="DefaultParagraphFont"/>
    <w:uiPriority w:val="99"/>
    <w:semiHidden/>
    <w:unhideWhenUsed/>
    <w:rsid w:val="00AC0E68"/>
    <w:rPr>
      <w:color w:val="0000FF"/>
      <w:u w:val="single"/>
    </w:rPr>
  </w:style>
  <w:style w:type="character" w:customStyle="1" w:styleId="gsorbtnlbl">
    <w:name w:val="gs_or_btn_lbl"/>
    <w:basedOn w:val="DefaultParagraphFont"/>
    <w:rsid w:val="00AC0E68"/>
  </w:style>
  <w:style w:type="paragraph" w:styleId="ListParagraph">
    <w:name w:val="List Paragraph"/>
    <w:basedOn w:val="Normal"/>
    <w:uiPriority w:val="34"/>
    <w:qFormat/>
    <w:rsid w:val="00141FBC"/>
    <w:pPr>
      <w:ind w:leftChars="200" w:left="480"/>
    </w:pPr>
  </w:style>
  <w:style w:type="paragraph" w:styleId="BalloonText">
    <w:name w:val="Balloon Text"/>
    <w:basedOn w:val="Normal"/>
    <w:link w:val="BalloonTextChar"/>
    <w:uiPriority w:val="99"/>
    <w:semiHidden/>
    <w:unhideWhenUsed/>
    <w:rsid w:val="00750E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50EAA"/>
    <w:rPr>
      <w:rFonts w:asciiTheme="majorHAnsi" w:eastAsiaTheme="majorEastAsia" w:hAnsiTheme="majorHAnsi" w:cstheme="majorBidi"/>
      <w:kern w:val="0"/>
      <w:sz w:val="18"/>
      <w:szCs w:val="18"/>
    </w:rPr>
  </w:style>
  <w:style w:type="paragraph" w:styleId="Date">
    <w:name w:val="Date"/>
    <w:basedOn w:val="Normal"/>
    <w:next w:val="Normal"/>
    <w:link w:val="DateChar"/>
    <w:uiPriority w:val="99"/>
    <w:semiHidden/>
    <w:unhideWhenUsed/>
    <w:rsid w:val="00750EAA"/>
    <w:pPr>
      <w:jc w:val="right"/>
    </w:pPr>
  </w:style>
  <w:style w:type="character" w:customStyle="1" w:styleId="DateChar">
    <w:name w:val="Date Char"/>
    <w:basedOn w:val="DefaultParagraphFont"/>
    <w:link w:val="Date"/>
    <w:uiPriority w:val="99"/>
    <w:semiHidden/>
    <w:rsid w:val="00750EAA"/>
    <w:rPr>
      <w:rFonts w:ascii="新細明體" w:eastAsia="新細明體" w:hAnsi="新細明體" w:cs="新細明體"/>
      <w:kern w:val="0"/>
      <w:szCs w:val="24"/>
    </w:rPr>
  </w:style>
  <w:style w:type="paragraph" w:styleId="Header">
    <w:name w:val="header"/>
    <w:basedOn w:val="Normal"/>
    <w:link w:val="HeaderChar"/>
    <w:uiPriority w:val="99"/>
    <w:unhideWhenUsed/>
    <w:rsid w:val="006A71C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A71C1"/>
    <w:rPr>
      <w:rFonts w:ascii="新細明體" w:eastAsia="新細明體" w:hAnsi="新細明體" w:cs="新細明體"/>
      <w:kern w:val="0"/>
      <w:sz w:val="20"/>
      <w:szCs w:val="20"/>
    </w:rPr>
  </w:style>
  <w:style w:type="paragraph" w:styleId="Footer">
    <w:name w:val="footer"/>
    <w:basedOn w:val="Normal"/>
    <w:link w:val="FooterChar"/>
    <w:uiPriority w:val="99"/>
    <w:unhideWhenUsed/>
    <w:rsid w:val="006A71C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A71C1"/>
    <w:rPr>
      <w:rFonts w:ascii="新細明體" w:eastAsia="新細明體" w:hAnsi="新細明體" w:cs="新細明體"/>
      <w:kern w:val="0"/>
      <w:sz w:val="20"/>
      <w:szCs w:val="20"/>
    </w:rPr>
  </w:style>
  <w:style w:type="paragraph" w:styleId="FootnoteText">
    <w:name w:val="footnote text"/>
    <w:basedOn w:val="Normal"/>
    <w:link w:val="FootnoteTextChar"/>
    <w:uiPriority w:val="99"/>
    <w:semiHidden/>
    <w:unhideWhenUsed/>
    <w:rsid w:val="00A76FF2"/>
    <w:pPr>
      <w:snapToGrid w:val="0"/>
    </w:pPr>
    <w:rPr>
      <w:sz w:val="20"/>
      <w:szCs w:val="20"/>
    </w:rPr>
  </w:style>
  <w:style w:type="character" w:customStyle="1" w:styleId="FootnoteTextChar">
    <w:name w:val="Footnote Text Char"/>
    <w:basedOn w:val="DefaultParagraphFont"/>
    <w:link w:val="FootnoteText"/>
    <w:uiPriority w:val="99"/>
    <w:semiHidden/>
    <w:rsid w:val="00A76FF2"/>
    <w:rPr>
      <w:rFonts w:ascii="新細明體" w:eastAsia="新細明體" w:hAnsi="新細明體" w:cs="新細明體"/>
      <w:kern w:val="0"/>
      <w:sz w:val="20"/>
      <w:szCs w:val="20"/>
    </w:rPr>
  </w:style>
  <w:style w:type="character" w:styleId="FootnoteReference">
    <w:name w:val="footnote reference"/>
    <w:basedOn w:val="DefaultParagraphFont"/>
    <w:uiPriority w:val="99"/>
    <w:semiHidden/>
    <w:unhideWhenUsed/>
    <w:rsid w:val="00A76FF2"/>
    <w:rPr>
      <w:vertAlign w:val="superscript"/>
    </w:rPr>
  </w:style>
  <w:style w:type="character" w:styleId="FollowedHyperlink">
    <w:name w:val="FollowedHyperlink"/>
    <w:basedOn w:val="DefaultParagraphFont"/>
    <w:uiPriority w:val="99"/>
    <w:semiHidden/>
    <w:unhideWhenUsed/>
    <w:rsid w:val="00C323C7"/>
    <w:rPr>
      <w:color w:val="954F72" w:themeColor="followedHyperlink"/>
      <w:u w:val="single"/>
    </w:rPr>
  </w:style>
  <w:style w:type="character" w:customStyle="1" w:styleId="anchor-text">
    <w:name w:val="anchor-text"/>
    <w:basedOn w:val="DefaultParagraphFont"/>
    <w:rsid w:val="009578AA"/>
  </w:style>
  <w:style w:type="paragraph" w:styleId="NormalWeb">
    <w:name w:val="Normal (Web)"/>
    <w:basedOn w:val="Normal"/>
    <w:uiPriority w:val="99"/>
    <w:semiHidden/>
    <w:unhideWhenUsed/>
    <w:rsid w:val="001353EE"/>
    <w:pPr>
      <w:spacing w:before="100" w:beforeAutospacing="1" w:after="100" w:afterAutospacing="1"/>
    </w:pPr>
  </w:style>
  <w:style w:type="character" w:customStyle="1" w:styleId="fontstyle01">
    <w:name w:val="fontstyle01"/>
    <w:basedOn w:val="DefaultParagraphFont"/>
    <w:rsid w:val="00F43681"/>
    <w:rPr>
      <w:rFonts w:ascii="CharisSIL" w:hAnsi="CharisSIL" w:hint="default"/>
      <w:b w:val="0"/>
      <w:bCs w:val="0"/>
      <w:i w:val="0"/>
      <w:iCs w:val="0"/>
      <w:color w:val="000000"/>
      <w:sz w:val="16"/>
      <w:szCs w:val="16"/>
    </w:rPr>
  </w:style>
  <w:style w:type="character" w:customStyle="1" w:styleId="fontstyle21">
    <w:name w:val="fontstyle21"/>
    <w:basedOn w:val="DefaultParagraphFont"/>
    <w:rsid w:val="00F43681"/>
    <w:rPr>
      <w:rFonts w:ascii="CharisSIL-Italic" w:hAnsi="CharisSIL-Italic" w:hint="default"/>
      <w:b w:val="0"/>
      <w:bCs w:val="0"/>
      <w:i/>
      <w:iCs/>
      <w:color w:val="000000"/>
      <w:sz w:val="16"/>
      <w:szCs w:val="16"/>
    </w:rPr>
  </w:style>
  <w:style w:type="paragraph" w:customStyle="1" w:styleId="EndNoteBibliographyTitle">
    <w:name w:val="EndNote Bibliography Title"/>
    <w:basedOn w:val="Normal"/>
    <w:link w:val="EndNoteBibliographyTitleChar"/>
    <w:rsid w:val="00553A33"/>
    <w:pPr>
      <w:jc w:val="center"/>
    </w:pPr>
    <w:rPr>
      <w:noProof/>
    </w:rPr>
  </w:style>
  <w:style w:type="character" w:customStyle="1" w:styleId="EndNoteBibliographyTitleChar">
    <w:name w:val="EndNote Bibliography Title Char"/>
    <w:basedOn w:val="DefaultParagraphFont"/>
    <w:link w:val="EndNoteBibliographyTitle"/>
    <w:rsid w:val="00553A33"/>
    <w:rPr>
      <w:rFonts w:ascii="新細明體" w:eastAsia="新細明體" w:hAnsi="新細明體" w:cs="新細明體"/>
      <w:noProof/>
      <w:kern w:val="0"/>
      <w:szCs w:val="24"/>
    </w:rPr>
  </w:style>
  <w:style w:type="paragraph" w:customStyle="1" w:styleId="EndNoteBibliography">
    <w:name w:val="EndNote Bibliography"/>
    <w:basedOn w:val="Normal"/>
    <w:link w:val="EndNoteBibliographyChar"/>
    <w:rsid w:val="00553A33"/>
    <w:rPr>
      <w:noProof/>
    </w:rPr>
  </w:style>
  <w:style w:type="character" w:customStyle="1" w:styleId="EndNoteBibliographyChar">
    <w:name w:val="EndNote Bibliography Char"/>
    <w:basedOn w:val="DefaultParagraphFont"/>
    <w:link w:val="EndNoteBibliography"/>
    <w:rsid w:val="00553A33"/>
    <w:rPr>
      <w:rFonts w:ascii="新細明體" w:eastAsia="新細明體" w:hAnsi="新細明體" w:cs="新細明體"/>
      <w:noProof/>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075">
      <w:bodyDiv w:val="1"/>
      <w:marLeft w:val="0"/>
      <w:marRight w:val="0"/>
      <w:marTop w:val="0"/>
      <w:marBottom w:val="0"/>
      <w:divBdr>
        <w:top w:val="none" w:sz="0" w:space="0" w:color="auto"/>
        <w:left w:val="none" w:sz="0" w:space="0" w:color="auto"/>
        <w:bottom w:val="none" w:sz="0" w:space="0" w:color="auto"/>
        <w:right w:val="none" w:sz="0" w:space="0" w:color="auto"/>
      </w:divBdr>
    </w:div>
    <w:div w:id="155734626">
      <w:bodyDiv w:val="1"/>
      <w:marLeft w:val="0"/>
      <w:marRight w:val="0"/>
      <w:marTop w:val="0"/>
      <w:marBottom w:val="0"/>
      <w:divBdr>
        <w:top w:val="none" w:sz="0" w:space="0" w:color="auto"/>
        <w:left w:val="none" w:sz="0" w:space="0" w:color="auto"/>
        <w:bottom w:val="none" w:sz="0" w:space="0" w:color="auto"/>
        <w:right w:val="none" w:sz="0" w:space="0" w:color="auto"/>
      </w:divBdr>
      <w:divsChild>
        <w:div w:id="1572888016">
          <w:marLeft w:val="0"/>
          <w:marRight w:val="0"/>
          <w:marTop w:val="0"/>
          <w:marBottom w:val="0"/>
          <w:divBdr>
            <w:top w:val="none" w:sz="0" w:space="0" w:color="auto"/>
            <w:left w:val="none" w:sz="0" w:space="0" w:color="auto"/>
            <w:bottom w:val="none" w:sz="0" w:space="0" w:color="auto"/>
            <w:right w:val="none" w:sz="0" w:space="0" w:color="auto"/>
          </w:divBdr>
        </w:div>
        <w:div w:id="672798517">
          <w:marLeft w:val="0"/>
          <w:marRight w:val="0"/>
          <w:marTop w:val="30"/>
          <w:marBottom w:val="30"/>
          <w:divBdr>
            <w:top w:val="none" w:sz="0" w:space="0" w:color="auto"/>
            <w:left w:val="none" w:sz="0" w:space="0" w:color="auto"/>
            <w:bottom w:val="none" w:sz="0" w:space="0" w:color="auto"/>
            <w:right w:val="none" w:sz="0" w:space="0" w:color="auto"/>
          </w:divBdr>
        </w:div>
        <w:div w:id="1611739403">
          <w:marLeft w:val="0"/>
          <w:marRight w:val="0"/>
          <w:marTop w:val="0"/>
          <w:marBottom w:val="0"/>
          <w:divBdr>
            <w:top w:val="none" w:sz="0" w:space="0" w:color="auto"/>
            <w:left w:val="none" w:sz="0" w:space="0" w:color="auto"/>
            <w:bottom w:val="none" w:sz="0" w:space="0" w:color="auto"/>
            <w:right w:val="none" w:sz="0" w:space="0" w:color="auto"/>
          </w:divBdr>
        </w:div>
      </w:divsChild>
    </w:div>
    <w:div w:id="168521010">
      <w:bodyDiv w:val="1"/>
      <w:marLeft w:val="0"/>
      <w:marRight w:val="0"/>
      <w:marTop w:val="0"/>
      <w:marBottom w:val="0"/>
      <w:divBdr>
        <w:top w:val="none" w:sz="0" w:space="0" w:color="auto"/>
        <w:left w:val="none" w:sz="0" w:space="0" w:color="auto"/>
        <w:bottom w:val="none" w:sz="0" w:space="0" w:color="auto"/>
        <w:right w:val="none" w:sz="0" w:space="0" w:color="auto"/>
      </w:divBdr>
    </w:div>
    <w:div w:id="170528022">
      <w:bodyDiv w:val="1"/>
      <w:marLeft w:val="0"/>
      <w:marRight w:val="0"/>
      <w:marTop w:val="0"/>
      <w:marBottom w:val="0"/>
      <w:divBdr>
        <w:top w:val="none" w:sz="0" w:space="0" w:color="auto"/>
        <w:left w:val="none" w:sz="0" w:space="0" w:color="auto"/>
        <w:bottom w:val="none" w:sz="0" w:space="0" w:color="auto"/>
        <w:right w:val="none" w:sz="0" w:space="0" w:color="auto"/>
      </w:divBdr>
      <w:divsChild>
        <w:div w:id="438647532">
          <w:marLeft w:val="0"/>
          <w:marRight w:val="0"/>
          <w:marTop w:val="0"/>
          <w:marBottom w:val="0"/>
          <w:divBdr>
            <w:top w:val="none" w:sz="0" w:space="0" w:color="auto"/>
            <w:left w:val="none" w:sz="0" w:space="0" w:color="auto"/>
            <w:bottom w:val="none" w:sz="0" w:space="0" w:color="auto"/>
            <w:right w:val="none" w:sz="0" w:space="0" w:color="auto"/>
          </w:divBdr>
        </w:div>
        <w:div w:id="313410844">
          <w:marLeft w:val="0"/>
          <w:marRight w:val="1068"/>
          <w:marTop w:val="30"/>
          <w:marBottom w:val="30"/>
          <w:divBdr>
            <w:top w:val="none" w:sz="0" w:space="0" w:color="auto"/>
            <w:left w:val="none" w:sz="0" w:space="0" w:color="auto"/>
            <w:bottom w:val="none" w:sz="0" w:space="0" w:color="auto"/>
            <w:right w:val="none" w:sz="0" w:space="0" w:color="auto"/>
          </w:divBdr>
        </w:div>
        <w:div w:id="1853110666">
          <w:marLeft w:val="0"/>
          <w:marRight w:val="0"/>
          <w:marTop w:val="0"/>
          <w:marBottom w:val="0"/>
          <w:divBdr>
            <w:top w:val="none" w:sz="0" w:space="0" w:color="auto"/>
            <w:left w:val="none" w:sz="0" w:space="0" w:color="auto"/>
            <w:bottom w:val="none" w:sz="0" w:space="0" w:color="auto"/>
            <w:right w:val="none" w:sz="0" w:space="0" w:color="auto"/>
          </w:divBdr>
        </w:div>
      </w:divsChild>
    </w:div>
    <w:div w:id="197161600">
      <w:bodyDiv w:val="1"/>
      <w:marLeft w:val="0"/>
      <w:marRight w:val="0"/>
      <w:marTop w:val="0"/>
      <w:marBottom w:val="0"/>
      <w:divBdr>
        <w:top w:val="none" w:sz="0" w:space="0" w:color="auto"/>
        <w:left w:val="none" w:sz="0" w:space="0" w:color="auto"/>
        <w:bottom w:val="none" w:sz="0" w:space="0" w:color="auto"/>
        <w:right w:val="none" w:sz="0" w:space="0" w:color="auto"/>
      </w:divBdr>
    </w:div>
    <w:div w:id="214388474">
      <w:bodyDiv w:val="1"/>
      <w:marLeft w:val="0"/>
      <w:marRight w:val="0"/>
      <w:marTop w:val="0"/>
      <w:marBottom w:val="0"/>
      <w:divBdr>
        <w:top w:val="none" w:sz="0" w:space="0" w:color="auto"/>
        <w:left w:val="none" w:sz="0" w:space="0" w:color="auto"/>
        <w:bottom w:val="none" w:sz="0" w:space="0" w:color="auto"/>
        <w:right w:val="none" w:sz="0" w:space="0" w:color="auto"/>
      </w:divBdr>
    </w:div>
    <w:div w:id="236288666">
      <w:bodyDiv w:val="1"/>
      <w:marLeft w:val="0"/>
      <w:marRight w:val="0"/>
      <w:marTop w:val="0"/>
      <w:marBottom w:val="0"/>
      <w:divBdr>
        <w:top w:val="none" w:sz="0" w:space="0" w:color="auto"/>
        <w:left w:val="none" w:sz="0" w:space="0" w:color="auto"/>
        <w:bottom w:val="none" w:sz="0" w:space="0" w:color="auto"/>
        <w:right w:val="none" w:sz="0" w:space="0" w:color="auto"/>
      </w:divBdr>
      <w:divsChild>
        <w:div w:id="2134470845">
          <w:marLeft w:val="0"/>
          <w:marRight w:val="0"/>
          <w:marTop w:val="0"/>
          <w:marBottom w:val="0"/>
          <w:divBdr>
            <w:top w:val="none" w:sz="0" w:space="0" w:color="auto"/>
            <w:left w:val="none" w:sz="0" w:space="0" w:color="auto"/>
            <w:bottom w:val="none" w:sz="0" w:space="0" w:color="auto"/>
            <w:right w:val="none" w:sz="0" w:space="0" w:color="auto"/>
          </w:divBdr>
        </w:div>
        <w:div w:id="474689296">
          <w:marLeft w:val="0"/>
          <w:marRight w:val="0"/>
          <w:marTop w:val="30"/>
          <w:marBottom w:val="30"/>
          <w:divBdr>
            <w:top w:val="none" w:sz="0" w:space="0" w:color="auto"/>
            <w:left w:val="none" w:sz="0" w:space="0" w:color="auto"/>
            <w:bottom w:val="none" w:sz="0" w:space="0" w:color="auto"/>
            <w:right w:val="none" w:sz="0" w:space="0" w:color="auto"/>
          </w:divBdr>
        </w:div>
        <w:div w:id="156506294">
          <w:marLeft w:val="0"/>
          <w:marRight w:val="0"/>
          <w:marTop w:val="0"/>
          <w:marBottom w:val="0"/>
          <w:divBdr>
            <w:top w:val="none" w:sz="0" w:space="0" w:color="auto"/>
            <w:left w:val="none" w:sz="0" w:space="0" w:color="auto"/>
            <w:bottom w:val="none" w:sz="0" w:space="0" w:color="auto"/>
            <w:right w:val="none" w:sz="0" w:space="0" w:color="auto"/>
          </w:divBdr>
        </w:div>
      </w:divsChild>
    </w:div>
    <w:div w:id="442463269">
      <w:bodyDiv w:val="1"/>
      <w:marLeft w:val="0"/>
      <w:marRight w:val="0"/>
      <w:marTop w:val="0"/>
      <w:marBottom w:val="0"/>
      <w:divBdr>
        <w:top w:val="none" w:sz="0" w:space="0" w:color="auto"/>
        <w:left w:val="none" w:sz="0" w:space="0" w:color="auto"/>
        <w:bottom w:val="none" w:sz="0" w:space="0" w:color="auto"/>
        <w:right w:val="none" w:sz="0" w:space="0" w:color="auto"/>
      </w:divBdr>
    </w:div>
    <w:div w:id="547839325">
      <w:bodyDiv w:val="1"/>
      <w:marLeft w:val="0"/>
      <w:marRight w:val="0"/>
      <w:marTop w:val="0"/>
      <w:marBottom w:val="0"/>
      <w:divBdr>
        <w:top w:val="none" w:sz="0" w:space="0" w:color="auto"/>
        <w:left w:val="none" w:sz="0" w:space="0" w:color="auto"/>
        <w:bottom w:val="none" w:sz="0" w:space="0" w:color="auto"/>
        <w:right w:val="none" w:sz="0" w:space="0" w:color="auto"/>
      </w:divBdr>
    </w:div>
    <w:div w:id="569317601">
      <w:bodyDiv w:val="1"/>
      <w:marLeft w:val="0"/>
      <w:marRight w:val="0"/>
      <w:marTop w:val="0"/>
      <w:marBottom w:val="0"/>
      <w:divBdr>
        <w:top w:val="none" w:sz="0" w:space="0" w:color="auto"/>
        <w:left w:val="none" w:sz="0" w:space="0" w:color="auto"/>
        <w:bottom w:val="none" w:sz="0" w:space="0" w:color="auto"/>
        <w:right w:val="none" w:sz="0" w:space="0" w:color="auto"/>
      </w:divBdr>
    </w:div>
    <w:div w:id="621957747">
      <w:bodyDiv w:val="1"/>
      <w:marLeft w:val="0"/>
      <w:marRight w:val="0"/>
      <w:marTop w:val="0"/>
      <w:marBottom w:val="0"/>
      <w:divBdr>
        <w:top w:val="none" w:sz="0" w:space="0" w:color="auto"/>
        <w:left w:val="none" w:sz="0" w:space="0" w:color="auto"/>
        <w:bottom w:val="none" w:sz="0" w:space="0" w:color="auto"/>
        <w:right w:val="none" w:sz="0" w:space="0" w:color="auto"/>
      </w:divBdr>
    </w:div>
    <w:div w:id="686713738">
      <w:bodyDiv w:val="1"/>
      <w:marLeft w:val="0"/>
      <w:marRight w:val="0"/>
      <w:marTop w:val="0"/>
      <w:marBottom w:val="0"/>
      <w:divBdr>
        <w:top w:val="none" w:sz="0" w:space="0" w:color="auto"/>
        <w:left w:val="none" w:sz="0" w:space="0" w:color="auto"/>
        <w:bottom w:val="none" w:sz="0" w:space="0" w:color="auto"/>
        <w:right w:val="none" w:sz="0" w:space="0" w:color="auto"/>
      </w:divBdr>
    </w:div>
    <w:div w:id="959453691">
      <w:bodyDiv w:val="1"/>
      <w:marLeft w:val="0"/>
      <w:marRight w:val="0"/>
      <w:marTop w:val="0"/>
      <w:marBottom w:val="0"/>
      <w:divBdr>
        <w:top w:val="none" w:sz="0" w:space="0" w:color="auto"/>
        <w:left w:val="none" w:sz="0" w:space="0" w:color="auto"/>
        <w:bottom w:val="none" w:sz="0" w:space="0" w:color="auto"/>
        <w:right w:val="none" w:sz="0" w:space="0" w:color="auto"/>
      </w:divBdr>
    </w:div>
    <w:div w:id="960695117">
      <w:bodyDiv w:val="1"/>
      <w:marLeft w:val="0"/>
      <w:marRight w:val="0"/>
      <w:marTop w:val="0"/>
      <w:marBottom w:val="0"/>
      <w:divBdr>
        <w:top w:val="none" w:sz="0" w:space="0" w:color="auto"/>
        <w:left w:val="none" w:sz="0" w:space="0" w:color="auto"/>
        <w:bottom w:val="none" w:sz="0" w:space="0" w:color="auto"/>
        <w:right w:val="none" w:sz="0" w:space="0" w:color="auto"/>
      </w:divBdr>
    </w:div>
    <w:div w:id="975917756">
      <w:bodyDiv w:val="1"/>
      <w:marLeft w:val="0"/>
      <w:marRight w:val="0"/>
      <w:marTop w:val="0"/>
      <w:marBottom w:val="0"/>
      <w:divBdr>
        <w:top w:val="none" w:sz="0" w:space="0" w:color="auto"/>
        <w:left w:val="none" w:sz="0" w:space="0" w:color="auto"/>
        <w:bottom w:val="none" w:sz="0" w:space="0" w:color="auto"/>
        <w:right w:val="none" w:sz="0" w:space="0" w:color="auto"/>
      </w:divBdr>
      <w:divsChild>
        <w:div w:id="2007976221">
          <w:marLeft w:val="0"/>
          <w:marRight w:val="0"/>
          <w:marTop w:val="0"/>
          <w:marBottom w:val="0"/>
          <w:divBdr>
            <w:top w:val="none" w:sz="0" w:space="0" w:color="auto"/>
            <w:left w:val="none" w:sz="0" w:space="0" w:color="auto"/>
            <w:bottom w:val="none" w:sz="0" w:space="0" w:color="auto"/>
            <w:right w:val="none" w:sz="0" w:space="0" w:color="auto"/>
          </w:divBdr>
        </w:div>
        <w:div w:id="1818302335">
          <w:marLeft w:val="0"/>
          <w:marRight w:val="1068"/>
          <w:marTop w:val="30"/>
          <w:marBottom w:val="30"/>
          <w:divBdr>
            <w:top w:val="none" w:sz="0" w:space="0" w:color="auto"/>
            <w:left w:val="none" w:sz="0" w:space="0" w:color="auto"/>
            <w:bottom w:val="none" w:sz="0" w:space="0" w:color="auto"/>
            <w:right w:val="none" w:sz="0" w:space="0" w:color="auto"/>
          </w:divBdr>
        </w:div>
        <w:div w:id="43219734">
          <w:marLeft w:val="0"/>
          <w:marRight w:val="0"/>
          <w:marTop w:val="0"/>
          <w:marBottom w:val="0"/>
          <w:divBdr>
            <w:top w:val="none" w:sz="0" w:space="0" w:color="auto"/>
            <w:left w:val="none" w:sz="0" w:space="0" w:color="auto"/>
            <w:bottom w:val="none" w:sz="0" w:space="0" w:color="auto"/>
            <w:right w:val="none" w:sz="0" w:space="0" w:color="auto"/>
          </w:divBdr>
        </w:div>
      </w:divsChild>
    </w:div>
    <w:div w:id="1009723627">
      <w:bodyDiv w:val="1"/>
      <w:marLeft w:val="0"/>
      <w:marRight w:val="0"/>
      <w:marTop w:val="0"/>
      <w:marBottom w:val="0"/>
      <w:divBdr>
        <w:top w:val="none" w:sz="0" w:space="0" w:color="auto"/>
        <w:left w:val="none" w:sz="0" w:space="0" w:color="auto"/>
        <w:bottom w:val="none" w:sz="0" w:space="0" w:color="auto"/>
        <w:right w:val="none" w:sz="0" w:space="0" w:color="auto"/>
      </w:divBdr>
    </w:div>
    <w:div w:id="1176269402">
      <w:bodyDiv w:val="1"/>
      <w:marLeft w:val="0"/>
      <w:marRight w:val="0"/>
      <w:marTop w:val="0"/>
      <w:marBottom w:val="0"/>
      <w:divBdr>
        <w:top w:val="none" w:sz="0" w:space="0" w:color="auto"/>
        <w:left w:val="none" w:sz="0" w:space="0" w:color="auto"/>
        <w:bottom w:val="none" w:sz="0" w:space="0" w:color="auto"/>
        <w:right w:val="none" w:sz="0" w:space="0" w:color="auto"/>
      </w:divBdr>
      <w:divsChild>
        <w:div w:id="1750617005">
          <w:marLeft w:val="0"/>
          <w:marRight w:val="0"/>
          <w:marTop w:val="0"/>
          <w:marBottom w:val="0"/>
          <w:divBdr>
            <w:top w:val="single" w:sz="2" w:space="0" w:color="auto"/>
            <w:left w:val="single" w:sz="2" w:space="0" w:color="auto"/>
            <w:bottom w:val="single" w:sz="6" w:space="0" w:color="auto"/>
            <w:right w:val="single" w:sz="2" w:space="0" w:color="auto"/>
          </w:divBdr>
          <w:divsChild>
            <w:div w:id="2098208119">
              <w:marLeft w:val="0"/>
              <w:marRight w:val="0"/>
              <w:marTop w:val="100"/>
              <w:marBottom w:val="100"/>
              <w:divBdr>
                <w:top w:val="single" w:sz="2" w:space="0" w:color="D9D9E3"/>
                <w:left w:val="single" w:sz="2" w:space="0" w:color="D9D9E3"/>
                <w:bottom w:val="single" w:sz="2" w:space="0" w:color="D9D9E3"/>
                <w:right w:val="single" w:sz="2" w:space="0" w:color="D9D9E3"/>
              </w:divBdr>
              <w:divsChild>
                <w:div w:id="691762541">
                  <w:marLeft w:val="0"/>
                  <w:marRight w:val="0"/>
                  <w:marTop w:val="0"/>
                  <w:marBottom w:val="0"/>
                  <w:divBdr>
                    <w:top w:val="single" w:sz="2" w:space="0" w:color="D9D9E3"/>
                    <w:left w:val="single" w:sz="2" w:space="0" w:color="D9D9E3"/>
                    <w:bottom w:val="single" w:sz="2" w:space="0" w:color="D9D9E3"/>
                    <w:right w:val="single" w:sz="2" w:space="0" w:color="D9D9E3"/>
                  </w:divBdr>
                  <w:divsChild>
                    <w:div w:id="285163746">
                      <w:marLeft w:val="0"/>
                      <w:marRight w:val="0"/>
                      <w:marTop w:val="0"/>
                      <w:marBottom w:val="0"/>
                      <w:divBdr>
                        <w:top w:val="single" w:sz="2" w:space="0" w:color="D9D9E3"/>
                        <w:left w:val="single" w:sz="2" w:space="0" w:color="D9D9E3"/>
                        <w:bottom w:val="single" w:sz="2" w:space="0" w:color="D9D9E3"/>
                        <w:right w:val="single" w:sz="2" w:space="0" w:color="D9D9E3"/>
                      </w:divBdr>
                      <w:divsChild>
                        <w:div w:id="240481108">
                          <w:marLeft w:val="0"/>
                          <w:marRight w:val="0"/>
                          <w:marTop w:val="0"/>
                          <w:marBottom w:val="0"/>
                          <w:divBdr>
                            <w:top w:val="single" w:sz="2" w:space="0" w:color="D9D9E3"/>
                            <w:left w:val="single" w:sz="2" w:space="0" w:color="D9D9E3"/>
                            <w:bottom w:val="single" w:sz="2" w:space="0" w:color="D9D9E3"/>
                            <w:right w:val="single" w:sz="2" w:space="0" w:color="D9D9E3"/>
                          </w:divBdr>
                          <w:divsChild>
                            <w:div w:id="2139958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2695205">
      <w:bodyDiv w:val="1"/>
      <w:marLeft w:val="0"/>
      <w:marRight w:val="0"/>
      <w:marTop w:val="0"/>
      <w:marBottom w:val="0"/>
      <w:divBdr>
        <w:top w:val="none" w:sz="0" w:space="0" w:color="auto"/>
        <w:left w:val="none" w:sz="0" w:space="0" w:color="auto"/>
        <w:bottom w:val="none" w:sz="0" w:space="0" w:color="auto"/>
        <w:right w:val="none" w:sz="0" w:space="0" w:color="auto"/>
      </w:divBdr>
    </w:div>
    <w:div w:id="1247809197">
      <w:bodyDiv w:val="1"/>
      <w:marLeft w:val="0"/>
      <w:marRight w:val="0"/>
      <w:marTop w:val="0"/>
      <w:marBottom w:val="0"/>
      <w:divBdr>
        <w:top w:val="none" w:sz="0" w:space="0" w:color="auto"/>
        <w:left w:val="none" w:sz="0" w:space="0" w:color="auto"/>
        <w:bottom w:val="none" w:sz="0" w:space="0" w:color="auto"/>
        <w:right w:val="none" w:sz="0" w:space="0" w:color="auto"/>
      </w:divBdr>
    </w:div>
    <w:div w:id="1342389211">
      <w:bodyDiv w:val="1"/>
      <w:marLeft w:val="0"/>
      <w:marRight w:val="0"/>
      <w:marTop w:val="0"/>
      <w:marBottom w:val="0"/>
      <w:divBdr>
        <w:top w:val="none" w:sz="0" w:space="0" w:color="auto"/>
        <w:left w:val="none" w:sz="0" w:space="0" w:color="auto"/>
        <w:bottom w:val="none" w:sz="0" w:space="0" w:color="auto"/>
        <w:right w:val="none" w:sz="0" w:space="0" w:color="auto"/>
      </w:divBdr>
    </w:div>
    <w:div w:id="1418281151">
      <w:bodyDiv w:val="1"/>
      <w:marLeft w:val="0"/>
      <w:marRight w:val="0"/>
      <w:marTop w:val="0"/>
      <w:marBottom w:val="0"/>
      <w:divBdr>
        <w:top w:val="none" w:sz="0" w:space="0" w:color="auto"/>
        <w:left w:val="none" w:sz="0" w:space="0" w:color="auto"/>
        <w:bottom w:val="none" w:sz="0" w:space="0" w:color="auto"/>
        <w:right w:val="none" w:sz="0" w:space="0" w:color="auto"/>
      </w:divBdr>
    </w:div>
    <w:div w:id="1467892963">
      <w:bodyDiv w:val="1"/>
      <w:marLeft w:val="0"/>
      <w:marRight w:val="0"/>
      <w:marTop w:val="0"/>
      <w:marBottom w:val="0"/>
      <w:divBdr>
        <w:top w:val="none" w:sz="0" w:space="0" w:color="auto"/>
        <w:left w:val="none" w:sz="0" w:space="0" w:color="auto"/>
        <w:bottom w:val="none" w:sz="0" w:space="0" w:color="auto"/>
        <w:right w:val="none" w:sz="0" w:space="0" w:color="auto"/>
      </w:divBdr>
    </w:div>
    <w:div w:id="1591625641">
      <w:bodyDiv w:val="1"/>
      <w:marLeft w:val="0"/>
      <w:marRight w:val="0"/>
      <w:marTop w:val="0"/>
      <w:marBottom w:val="0"/>
      <w:divBdr>
        <w:top w:val="none" w:sz="0" w:space="0" w:color="auto"/>
        <w:left w:val="none" w:sz="0" w:space="0" w:color="auto"/>
        <w:bottom w:val="none" w:sz="0" w:space="0" w:color="auto"/>
        <w:right w:val="none" w:sz="0" w:space="0" w:color="auto"/>
      </w:divBdr>
      <w:divsChild>
        <w:div w:id="633146875">
          <w:marLeft w:val="0"/>
          <w:marRight w:val="0"/>
          <w:marTop w:val="0"/>
          <w:marBottom w:val="0"/>
          <w:divBdr>
            <w:top w:val="none" w:sz="0" w:space="0" w:color="auto"/>
            <w:left w:val="none" w:sz="0" w:space="0" w:color="auto"/>
            <w:bottom w:val="none" w:sz="0" w:space="0" w:color="auto"/>
            <w:right w:val="none" w:sz="0" w:space="0" w:color="auto"/>
          </w:divBdr>
        </w:div>
        <w:div w:id="1369599042">
          <w:marLeft w:val="0"/>
          <w:marRight w:val="1068"/>
          <w:marTop w:val="30"/>
          <w:marBottom w:val="30"/>
          <w:divBdr>
            <w:top w:val="none" w:sz="0" w:space="0" w:color="auto"/>
            <w:left w:val="none" w:sz="0" w:space="0" w:color="auto"/>
            <w:bottom w:val="none" w:sz="0" w:space="0" w:color="auto"/>
            <w:right w:val="none" w:sz="0" w:space="0" w:color="auto"/>
          </w:divBdr>
        </w:div>
        <w:div w:id="1131364279">
          <w:marLeft w:val="0"/>
          <w:marRight w:val="0"/>
          <w:marTop w:val="0"/>
          <w:marBottom w:val="0"/>
          <w:divBdr>
            <w:top w:val="none" w:sz="0" w:space="0" w:color="auto"/>
            <w:left w:val="none" w:sz="0" w:space="0" w:color="auto"/>
            <w:bottom w:val="none" w:sz="0" w:space="0" w:color="auto"/>
            <w:right w:val="none" w:sz="0" w:space="0" w:color="auto"/>
          </w:divBdr>
        </w:div>
      </w:divsChild>
    </w:div>
    <w:div w:id="1732339235">
      <w:bodyDiv w:val="1"/>
      <w:marLeft w:val="0"/>
      <w:marRight w:val="0"/>
      <w:marTop w:val="0"/>
      <w:marBottom w:val="0"/>
      <w:divBdr>
        <w:top w:val="none" w:sz="0" w:space="0" w:color="auto"/>
        <w:left w:val="none" w:sz="0" w:space="0" w:color="auto"/>
        <w:bottom w:val="none" w:sz="0" w:space="0" w:color="auto"/>
        <w:right w:val="none" w:sz="0" w:space="0" w:color="auto"/>
      </w:divBdr>
    </w:div>
    <w:div w:id="1750616119">
      <w:bodyDiv w:val="1"/>
      <w:marLeft w:val="0"/>
      <w:marRight w:val="0"/>
      <w:marTop w:val="0"/>
      <w:marBottom w:val="0"/>
      <w:divBdr>
        <w:top w:val="none" w:sz="0" w:space="0" w:color="auto"/>
        <w:left w:val="none" w:sz="0" w:space="0" w:color="auto"/>
        <w:bottom w:val="none" w:sz="0" w:space="0" w:color="auto"/>
        <w:right w:val="none" w:sz="0" w:space="0" w:color="auto"/>
      </w:divBdr>
    </w:div>
    <w:div w:id="1825007174">
      <w:bodyDiv w:val="1"/>
      <w:marLeft w:val="0"/>
      <w:marRight w:val="0"/>
      <w:marTop w:val="0"/>
      <w:marBottom w:val="0"/>
      <w:divBdr>
        <w:top w:val="none" w:sz="0" w:space="0" w:color="auto"/>
        <w:left w:val="none" w:sz="0" w:space="0" w:color="auto"/>
        <w:bottom w:val="none" w:sz="0" w:space="0" w:color="auto"/>
        <w:right w:val="none" w:sz="0" w:space="0" w:color="auto"/>
      </w:divBdr>
    </w:div>
    <w:div w:id="1825849431">
      <w:bodyDiv w:val="1"/>
      <w:marLeft w:val="0"/>
      <w:marRight w:val="0"/>
      <w:marTop w:val="0"/>
      <w:marBottom w:val="0"/>
      <w:divBdr>
        <w:top w:val="none" w:sz="0" w:space="0" w:color="auto"/>
        <w:left w:val="none" w:sz="0" w:space="0" w:color="auto"/>
        <w:bottom w:val="none" w:sz="0" w:space="0" w:color="auto"/>
        <w:right w:val="none" w:sz="0" w:space="0" w:color="auto"/>
      </w:divBdr>
    </w:div>
    <w:div w:id="1870533231">
      <w:bodyDiv w:val="1"/>
      <w:marLeft w:val="0"/>
      <w:marRight w:val="0"/>
      <w:marTop w:val="0"/>
      <w:marBottom w:val="0"/>
      <w:divBdr>
        <w:top w:val="none" w:sz="0" w:space="0" w:color="auto"/>
        <w:left w:val="none" w:sz="0" w:space="0" w:color="auto"/>
        <w:bottom w:val="none" w:sz="0" w:space="0" w:color="auto"/>
        <w:right w:val="none" w:sz="0" w:space="0" w:color="auto"/>
      </w:divBdr>
      <w:divsChild>
        <w:div w:id="1682510769">
          <w:marLeft w:val="0"/>
          <w:marRight w:val="0"/>
          <w:marTop w:val="0"/>
          <w:marBottom w:val="0"/>
          <w:divBdr>
            <w:top w:val="none" w:sz="0" w:space="0" w:color="auto"/>
            <w:left w:val="none" w:sz="0" w:space="0" w:color="auto"/>
            <w:bottom w:val="none" w:sz="0" w:space="0" w:color="auto"/>
            <w:right w:val="none" w:sz="0" w:space="0" w:color="auto"/>
          </w:divBdr>
        </w:div>
        <w:div w:id="187255225">
          <w:marLeft w:val="0"/>
          <w:marRight w:val="1068"/>
          <w:marTop w:val="30"/>
          <w:marBottom w:val="30"/>
          <w:divBdr>
            <w:top w:val="none" w:sz="0" w:space="0" w:color="auto"/>
            <w:left w:val="none" w:sz="0" w:space="0" w:color="auto"/>
            <w:bottom w:val="none" w:sz="0" w:space="0" w:color="auto"/>
            <w:right w:val="none" w:sz="0" w:space="0" w:color="auto"/>
          </w:divBdr>
        </w:div>
        <w:div w:id="18271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ED33-18BE-49FE-AC0F-5C370D71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23</Pages>
  <Words>9363</Words>
  <Characters>53373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laptop</cp:lastModifiedBy>
  <cp:revision>16</cp:revision>
  <dcterms:created xsi:type="dcterms:W3CDTF">2023-07-04T07:35:00Z</dcterms:created>
  <dcterms:modified xsi:type="dcterms:W3CDTF">2023-07-09T16:19:00Z</dcterms:modified>
</cp:coreProperties>
</file>