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rPr>
          <w:rFonts w:hint="default" w:ascii="Times New Roman" w:hAnsi="Times New Roman" w:cs="Times New Roman"/>
          <w:b w:val="0"/>
          <w:caps/>
          <w:color w:val="000000"/>
          <w:sz w:val="36"/>
          <w:szCs w:val="36"/>
        </w:rPr>
      </w:pPr>
    </w:p>
    <w:p>
      <w:pPr>
        <w:pStyle w:val="36"/>
        <w:rPr>
          <w:rFonts w:hint="default" w:ascii="Times New Roman" w:hAnsi="Times New Roman" w:cs="Times New Roman"/>
        </w:rPr>
      </w:pPr>
      <w:r>
        <w:rPr>
          <w:rFonts w:hint="default" w:ascii="Times New Roman" w:hAnsi="Times New Roman" w:cs="Times New Roman"/>
        </w:rPr>
        <w:t xml:space="preserve">Using Patent Drawings to Differentiate Stock Return Rate of China Listed Companies -- </w:t>
      </w:r>
      <w:r>
        <w:rPr>
          <w:rFonts w:hint="default" w:cs="Times New Roman"/>
          <w:lang w:val="en-US"/>
        </w:rPr>
        <w:t xml:space="preserve">(1) </w:t>
      </w:r>
      <w:bookmarkStart w:id="0" w:name="_GoBack"/>
      <w:bookmarkEnd w:id="0"/>
      <w:r>
        <w:rPr>
          <w:rFonts w:hint="default" w:ascii="Times New Roman" w:hAnsi="Times New Roman" w:cs="Times New Roman"/>
        </w:rPr>
        <w:t>A Study on China Patent Species of Invention Grant</w:t>
      </w:r>
    </w:p>
    <w:p>
      <w:pPr>
        <w:widowControl/>
        <w:autoSpaceDE w:val="0"/>
        <w:autoSpaceDN w:val="0"/>
        <w:jc w:val="center"/>
        <w:textAlignment w:val="bottom"/>
        <w:rPr>
          <w:rFonts w:hint="default" w:ascii="Times New Roman" w:hAnsi="Times New Roman" w:cs="Times New Roman"/>
          <w:b/>
          <w:color w:val="000000"/>
          <w:sz w:val="36"/>
          <w:szCs w:val="36"/>
          <w:lang w:val="bg-BG"/>
        </w:rPr>
      </w:pPr>
    </w:p>
    <w:p>
      <w:pPr>
        <w:widowControl/>
        <w:autoSpaceDE w:val="0"/>
        <w:autoSpaceDN w:val="0"/>
        <w:jc w:val="center"/>
        <w:textAlignment w:val="bottom"/>
        <w:rPr>
          <w:rFonts w:hint="default" w:ascii="Times New Roman" w:hAnsi="Times New Roman" w:cs="Times New Roman"/>
          <w:b/>
          <w:color w:val="000000"/>
          <w:szCs w:val="24"/>
        </w:rPr>
      </w:pPr>
    </w:p>
    <w:p>
      <w:pPr>
        <w:widowControl/>
        <w:autoSpaceDE w:val="0"/>
        <w:autoSpaceDN w:val="0"/>
        <w:jc w:val="center"/>
        <w:textAlignment w:val="bottom"/>
        <w:rPr>
          <w:rFonts w:hint="default" w:ascii="Times New Roman" w:hAnsi="Times New Roman" w:cs="Times New Roman"/>
          <w:b/>
          <w:color w:val="000000"/>
          <w:szCs w:val="24"/>
        </w:rPr>
      </w:pPr>
      <w:r>
        <w:rPr>
          <w:rFonts w:hint="default" w:ascii="Times New Roman" w:hAnsi="Times New Roman" w:cs="Times New Roman"/>
          <w:b/>
          <w:color w:val="000000"/>
          <w:szCs w:val="24"/>
          <w:lang w:val="en-US" w:eastAsia="zh-TW"/>
        </w:rPr>
        <w:t>Chin-Yi Chen</w:t>
      </w:r>
      <w:r>
        <w:rPr>
          <w:rStyle w:val="31"/>
          <w:rFonts w:hint="default" w:ascii="Times New Roman" w:hAnsi="Times New Roman" w:cs="Times New Roman"/>
          <w:b/>
          <w:color w:val="000000"/>
          <w:szCs w:val="24"/>
          <w:lang w:val="en-US" w:eastAsia="zh-TW"/>
        </w:rPr>
        <w:footnoteReference w:id="0"/>
      </w:r>
      <w:r>
        <w:rPr>
          <w:rFonts w:hint="default" w:ascii="Times New Roman" w:hAnsi="Times New Roman" w:cs="Times New Roman"/>
          <w:b/>
          <w:color w:val="000000"/>
          <w:szCs w:val="24"/>
          <w:lang w:val="en-US" w:eastAsia="zh-TW"/>
        </w:rPr>
        <w:t>, Ching-Lin Chu</w:t>
      </w:r>
      <w:r>
        <w:rPr>
          <w:rStyle w:val="31"/>
          <w:rFonts w:hint="default" w:ascii="Times New Roman" w:hAnsi="Times New Roman" w:cs="Times New Roman"/>
          <w:b/>
          <w:color w:val="000000"/>
          <w:szCs w:val="24"/>
          <w:lang w:val="en-US" w:eastAsia="zh-TW"/>
        </w:rPr>
        <w:footnoteReference w:id="1"/>
      </w:r>
      <w:r>
        <w:rPr>
          <w:rFonts w:hint="default" w:ascii="Times New Roman" w:hAnsi="Times New Roman" w:cs="Times New Roman"/>
          <w:b/>
          <w:color w:val="000000"/>
          <w:szCs w:val="24"/>
          <w:lang w:val="en-US" w:eastAsia="zh-TW"/>
        </w:rPr>
        <w:t>, Hui-Chung Che</w:t>
      </w:r>
      <w:r>
        <w:rPr>
          <w:rStyle w:val="31"/>
          <w:rFonts w:hint="default" w:ascii="Times New Roman" w:hAnsi="Times New Roman" w:cs="Times New Roman"/>
          <w:b/>
          <w:color w:val="000000"/>
          <w:szCs w:val="24"/>
          <w:lang w:val="en-US" w:eastAsia="zh-TW"/>
        </w:rPr>
        <w:footnoteReference w:id="2"/>
      </w:r>
      <w:r>
        <w:rPr>
          <w:rFonts w:hint="default" w:ascii="Times New Roman" w:hAnsi="Times New Roman" w:cs="Times New Roman"/>
          <w:b/>
          <w:color w:val="000000"/>
          <w:szCs w:val="24"/>
          <w:lang w:val="en-US" w:eastAsia="zh-TW"/>
        </w:rPr>
        <w:t>, Hong-Wen Tsai</w:t>
      </w:r>
      <w:r>
        <w:rPr>
          <w:rStyle w:val="31"/>
          <w:rFonts w:hint="default" w:ascii="Times New Roman" w:hAnsi="Times New Roman" w:cs="Times New Roman"/>
          <w:b/>
          <w:color w:val="000000"/>
          <w:szCs w:val="24"/>
          <w:lang w:val="en-US" w:eastAsia="zh-TW"/>
        </w:rPr>
        <w:footnoteReference w:id="3"/>
      </w:r>
      <w:r>
        <w:rPr>
          <w:rFonts w:hint="default" w:ascii="Times New Roman" w:hAnsi="Times New Roman" w:cs="Times New Roman"/>
          <w:b/>
          <w:color w:val="000000"/>
          <w:szCs w:val="24"/>
          <w:lang w:val="en-US" w:eastAsia="zh-TW"/>
        </w:rPr>
        <w:t>, Bo Bai</w:t>
      </w:r>
      <w:r>
        <w:rPr>
          <w:rStyle w:val="31"/>
          <w:rFonts w:hint="default" w:ascii="Times New Roman" w:hAnsi="Times New Roman" w:cs="Times New Roman"/>
          <w:b/>
          <w:color w:val="000000"/>
          <w:szCs w:val="24"/>
          <w:lang w:val="en-US" w:eastAsia="zh-TW"/>
        </w:rPr>
        <w:footnoteReference w:id="4"/>
      </w:r>
    </w:p>
    <w:p>
      <w:pPr>
        <w:widowControl/>
        <w:autoSpaceDE w:val="0"/>
        <w:autoSpaceDN w:val="0"/>
        <w:jc w:val="center"/>
        <w:textAlignment w:val="bottom"/>
        <w:rPr>
          <w:rFonts w:hint="default" w:ascii="Times New Roman" w:hAnsi="Times New Roman" w:cs="Times New Roman"/>
          <w:b/>
          <w:color w:val="000000"/>
          <w:szCs w:val="24"/>
        </w:rPr>
      </w:pPr>
    </w:p>
    <w:p>
      <w:pPr>
        <w:widowControl/>
        <w:autoSpaceDE w:val="0"/>
        <w:autoSpaceDN w:val="0"/>
        <w:textAlignment w:val="bottom"/>
        <w:rPr>
          <w:rFonts w:hint="default" w:ascii="Times New Roman" w:hAnsi="Times New Roman" w:cs="Times New Roman"/>
          <w:color w:val="000000"/>
          <w:szCs w:val="24"/>
        </w:rPr>
      </w:pPr>
    </w:p>
    <w:p>
      <w:pPr>
        <w:widowControl/>
        <w:autoSpaceDE w:val="0"/>
        <w:autoSpaceDN w:val="0"/>
        <w:jc w:val="center"/>
        <w:textAlignment w:val="bottom"/>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Abstract</w:t>
      </w:r>
    </w:p>
    <w:p>
      <w:pPr>
        <w:widowControl/>
        <w:autoSpaceDE w:val="0"/>
        <w:autoSpaceDN w:val="0"/>
        <w:jc w:val="center"/>
        <w:textAlignment w:val="bottom"/>
        <w:rPr>
          <w:rFonts w:hint="default" w:ascii="Times New Roman" w:hAnsi="Times New Roman" w:cs="Times New Roman"/>
          <w:b/>
          <w:color w:val="000000"/>
          <w:szCs w:val="24"/>
        </w:rPr>
      </w:pPr>
    </w:p>
    <w:p>
      <w:pPr>
        <w:rPr>
          <w:rFonts w:hint="default" w:ascii="Times New Roman" w:hAnsi="Times New Roman" w:cs="Times New Roman"/>
          <w:color w:val="000000"/>
          <w:szCs w:val="24"/>
        </w:rPr>
      </w:pPr>
      <w:r>
        <w:rPr>
          <w:rFonts w:hint="default" w:ascii="Times New Roman" w:hAnsi="Times New Roman" w:cs="Times New Roman"/>
          <w:color w:val="000000"/>
          <w:szCs w:val="24"/>
        </w:rPr>
        <w:t>Patent is an important outcome of technological innovation. Though patent claim always caught attention when considering patent quality, it had to be supported by the drawings according to the patent examination criteria. However, patent drawing was seldom discussed. Based on the company integrated database, more than 50% of China listed companies of RMB common stocks (A-shares) from 2017Q1 to 2021Q4 were selected as effective samples. The effect of China invention grant patent’s drawing count for differentiating A-share’s stock return rate was thoroughly discussed via analysis of variation (ANOVA). The average drawing count of invention grants significantly increased over previous years. However, the total drawing count of invention grants was found to be an appropriate patent indicator for differentiating A-share’s stock return rate whereas the average drawing count of invention grants was not. The A-shares in the highest total drawing count</w:t>
      </w:r>
      <w:r>
        <w:rPr>
          <w:rFonts w:hint="default" w:ascii="Times New Roman" w:hAnsi="Times New Roman" w:cs="Times New Roman"/>
          <w:color w:val="000000"/>
          <w:szCs w:val="24"/>
          <w:lang w:val="en-US" w:eastAsia="zh-TW"/>
        </w:rPr>
        <w:t xml:space="preserve"> group</w:t>
      </w:r>
      <w:r>
        <w:rPr>
          <w:rFonts w:hint="default" w:ascii="Times New Roman" w:hAnsi="Times New Roman" w:cs="Times New Roman"/>
          <w:color w:val="000000"/>
          <w:szCs w:val="24"/>
        </w:rPr>
        <w:t>s of invention grants showed significantly higher stock return rate means while the A-shares in the lower total drawing count</w:t>
      </w:r>
      <w:r>
        <w:rPr>
          <w:rFonts w:hint="default" w:ascii="Times New Roman" w:hAnsi="Times New Roman" w:cs="Times New Roman"/>
          <w:color w:val="000000"/>
          <w:szCs w:val="24"/>
          <w:lang w:val="en-US" w:eastAsia="zh-TW"/>
        </w:rPr>
        <w:t xml:space="preserve"> group</w:t>
      </w:r>
      <w:r>
        <w:rPr>
          <w:rFonts w:hint="default" w:ascii="Times New Roman" w:hAnsi="Times New Roman" w:cs="Times New Roman"/>
          <w:color w:val="000000"/>
          <w:szCs w:val="24"/>
        </w:rPr>
        <w:t>s of invention grants showed significantly lower stock return rate means in most quarters from 2017 to 2021. The finding also proved that the patent quantity still mattered in China stock market.</w:t>
      </w:r>
    </w:p>
    <w:p>
      <w:pPr>
        <w:rPr>
          <w:rFonts w:hint="default" w:ascii="Times New Roman" w:hAnsi="Times New Roman" w:cs="Times New Roman"/>
          <w:color w:val="000000"/>
          <w:szCs w:val="24"/>
        </w:rPr>
      </w:pPr>
    </w:p>
    <w:p>
      <w:pPr>
        <w:ind w:left="1" w:hanging="1"/>
        <w:rPr>
          <w:rFonts w:hint="default" w:ascii="Times New Roman" w:hAnsi="Times New Roman" w:cs="Times New Roman"/>
          <w:color w:val="000000"/>
          <w:szCs w:val="24"/>
        </w:rPr>
      </w:pPr>
      <w:r>
        <w:rPr>
          <w:rFonts w:hint="default" w:ascii="Times New Roman" w:hAnsi="Times New Roman" w:cs="Times New Roman"/>
          <w:b/>
          <w:color w:val="000000"/>
          <w:szCs w:val="24"/>
        </w:rPr>
        <w:t>JEL classification numbers:</w:t>
      </w:r>
      <w:r>
        <w:rPr>
          <w:rFonts w:hint="default" w:ascii="Times New Roman" w:hAnsi="Times New Roman" w:cs="Times New Roman"/>
          <w:color w:val="000000"/>
          <w:szCs w:val="24"/>
        </w:rPr>
        <w:t xml:space="preserve"> C38, C46, G11, G12</w:t>
      </w:r>
    </w:p>
    <w:p>
      <w:pPr>
        <w:ind w:left="1" w:hanging="1"/>
        <w:rPr>
          <w:rFonts w:hint="default" w:ascii="Times New Roman" w:hAnsi="Times New Roman" w:cs="Times New Roman"/>
          <w:b/>
          <w:color w:val="000000"/>
          <w:szCs w:val="24"/>
        </w:rPr>
      </w:pPr>
      <w:r>
        <w:rPr>
          <w:rFonts w:hint="default" w:ascii="Times New Roman" w:hAnsi="Times New Roman" w:cs="Times New Roman"/>
          <w:b/>
          <w:color w:val="000000"/>
          <w:szCs w:val="24"/>
        </w:rPr>
        <w:t xml:space="preserve">Keywords: </w:t>
      </w:r>
      <w:r>
        <w:rPr>
          <w:rFonts w:hint="default" w:ascii="Times New Roman" w:hAnsi="Times New Roman" w:cs="Times New Roman"/>
          <w:color w:val="000000"/>
          <w:szCs w:val="24"/>
        </w:rPr>
        <w:t>Patent, ANOVA, Stock return rate, Drawing count, Invention grant</w:t>
      </w:r>
    </w:p>
    <w:p>
      <w:pPr>
        <w:ind w:left="1104" w:hanging="1104" w:hangingChars="460"/>
        <w:rPr>
          <w:rFonts w:hint="default" w:ascii="Times New Roman" w:hAnsi="Times New Roman" w:cs="Times New Roman"/>
          <w:bCs/>
          <w:iCs/>
          <w:color w:val="000000"/>
          <w:szCs w:val="24"/>
        </w:rPr>
      </w:pPr>
    </w:p>
    <w:p>
      <w:pPr>
        <w:ind w:left="1104" w:hanging="1104" w:hangingChars="460"/>
        <w:rPr>
          <w:rFonts w:hint="default" w:ascii="Times New Roman" w:hAnsi="Times New Roman" w:cs="Times New Roman"/>
          <w:bCs/>
          <w:iCs/>
          <w:color w:val="000000"/>
          <w:szCs w:val="24"/>
        </w:rPr>
      </w:pPr>
    </w:p>
    <w:p>
      <w:pPr>
        <w:pStyle w:val="46"/>
        <w:rPr>
          <w:rFonts w:hint="default" w:ascii="Times New Roman" w:hAnsi="Times New Roman" w:cs="Times New Roman"/>
        </w:rPr>
      </w:pPr>
      <w:r>
        <w:rPr>
          <w:rFonts w:hint="default" w:ascii="Times New Roman" w:hAnsi="Times New Roman" w:cs="Times New Roman"/>
        </w:rPr>
        <w:t xml:space="preserve">Introduction </w:t>
      </w:r>
    </w:p>
    <w:p>
      <w:pPr>
        <w:rPr>
          <w:rFonts w:hint="default" w:ascii="Times New Roman" w:hAnsi="Times New Roman" w:cs="Times New Roman"/>
        </w:rPr>
      </w:pPr>
      <w:r>
        <w:rPr>
          <w:rFonts w:hint="default" w:ascii="Times New Roman" w:hAnsi="Times New Roman" w:cs="Times New Roman"/>
        </w:rPr>
        <w:t xml:space="preserve">Innovation is an essential driver of economic progress that benefits consumers, businesses and the economy as a whole. The technological innovation is a key driver of economic growth. The stock market usually reflects the economic conditions of an economy. </w:t>
      </w:r>
    </w:p>
    <w:p>
      <w:pPr>
        <w:rPr>
          <w:rFonts w:hint="default" w:ascii="Times New Roman" w:hAnsi="Times New Roman" w:cs="Times New Roman"/>
        </w:rPr>
      </w:pPr>
      <w:r>
        <w:rPr>
          <w:rFonts w:hint="default" w:ascii="Times New Roman" w:hAnsi="Times New Roman" w:cs="Times New Roman"/>
        </w:rPr>
        <w:t>Patent is the most important outcome of technological innovation. China has been the largest domestic patent application country in the world for many years. China Intellectual Property Administration (CNIPA) is now the world’s largest patent office. In 2021, there are more than six million of patents published and/or issued by CNIPA, including 1,720 thousand of invention publications, 696 thousand of invention grants, 3,120 thousand of utility model grants and 785 thousand of design grants. Meanwhile, China is now the world No.2 economy to have a stock market with the world No.2 transaction volume. China listed companies lead the development of China patents, which the unlisted companies and individuals follow.</w:t>
      </w:r>
    </w:p>
    <w:p>
      <w:pPr>
        <w:rPr>
          <w:rFonts w:hint="default" w:ascii="Times New Roman" w:hAnsi="Times New Roman" w:cs="Times New Roman"/>
        </w:rPr>
      </w:pPr>
      <w:r>
        <w:rPr>
          <w:rFonts w:hint="default" w:ascii="Times New Roman" w:hAnsi="Times New Roman" w:cs="Times New Roman"/>
        </w:rPr>
        <w:t xml:space="preserve">With so huge amount of China patents, CNIPA made some achievements in trying to process more patent applications in a shorter period of time </w:t>
      </w:r>
      <w:r>
        <w:rPr>
          <w:rFonts w:hint="default" w:eastAsia="宋体" w:cs="Times New Roman"/>
          <w:lang w:val="en-US" w:eastAsia="zh-CN"/>
        </w:rPr>
        <w:t>(</w:t>
      </w:r>
      <w:r>
        <w:rPr>
          <w:rFonts w:hint="default" w:ascii="Times New Roman" w:hAnsi="Times New Roman" w:cs="Times New Roman"/>
        </w:rPr>
        <w:t xml:space="preserve">Liegsalz and </w:t>
      </w:r>
      <w:r>
        <w:rPr>
          <w:rFonts w:hint="default" w:ascii="Times New Roman" w:hAnsi="Times New Roman" w:cs="Times New Roman"/>
          <w:lang w:val="en-US"/>
        </w:rPr>
        <w:t>Wag</w:t>
      </w:r>
      <w:r>
        <w:rPr>
          <w:rFonts w:hint="default" w:ascii="Times New Roman" w:hAnsi="Times New Roman" w:cs="Times New Roman"/>
        </w:rPr>
        <w:t>ner</w:t>
      </w:r>
      <w:r>
        <w:rPr>
          <w:rFonts w:hint="default" w:ascii="Times New Roman" w:hAnsi="Times New Roman" w:cs="Times New Roman"/>
          <w:lang w:val="en-US"/>
        </w:rPr>
        <w:t xml:space="preserve">, </w:t>
      </w:r>
      <w:r>
        <w:rPr>
          <w:rFonts w:hint="default" w:ascii="Times New Roman" w:hAnsi="Times New Roman" w:cs="Times New Roman"/>
        </w:rPr>
        <w:t>2013</w:t>
      </w:r>
      <w:r>
        <w:rPr>
          <w:rFonts w:hint="eastAsia" w:cs="Times New Roman"/>
          <w:lang w:val="en-US" w:eastAsia="zh-TW"/>
        </w:rPr>
        <w:t>)</w:t>
      </w:r>
      <w:r>
        <w:rPr>
          <w:rFonts w:hint="default" w:ascii="Times New Roman" w:hAnsi="Times New Roman" w:cs="Times New Roman"/>
        </w:rPr>
        <w:t xml:space="preserve">. Based on patent information, Motohashi </w:t>
      </w:r>
      <w:r>
        <w:rPr>
          <w:rFonts w:hint="default" w:eastAsia="宋体" w:cs="Times New Roman"/>
          <w:lang w:val="en-US" w:eastAsia="zh-CN"/>
        </w:rPr>
        <w:t>(2008)</w:t>
      </w:r>
      <w:r>
        <w:rPr>
          <w:rFonts w:hint="default" w:ascii="Times New Roman" w:hAnsi="Times New Roman" w:cs="Times New Roman"/>
        </w:rPr>
        <w:t xml:space="preserve"> examined China’s development of innovation capabilities from 1985 to 2005 by using more than 679 thousands of China invention patent. Motohashi </w:t>
      </w:r>
      <w:r>
        <w:rPr>
          <w:rFonts w:hint="default" w:cs="Times New Roman"/>
          <w:lang w:val="en-US"/>
        </w:rPr>
        <w:t>(2009)</w:t>
      </w:r>
      <w:r>
        <w:rPr>
          <w:rFonts w:hint="default" w:ascii="Times New Roman" w:hAnsi="Times New Roman" w:cs="Times New Roman"/>
        </w:rPr>
        <w:t xml:space="preserve"> proposed to see a substantial trend of Chinese firms catching up with Western counterparts via patent statistics in two high-tech sectors: the pharmaceutical industry and mobile communications technology. He found that these two fields show contrasting trends, the rapid catching up can be found in mobile communications technology, while Chinese companies are still lagging behind Western counterparts in the pharmaceutical industry. Hu and Jefferson </w:t>
      </w:r>
      <w:r>
        <w:rPr>
          <w:rFonts w:hint="default" w:cs="Times New Roman"/>
          <w:lang w:val="en-US"/>
        </w:rPr>
        <w:t>(2009)</w:t>
      </w:r>
      <w:r>
        <w:rPr>
          <w:rFonts w:hint="default" w:ascii="Times New Roman" w:hAnsi="Times New Roman" w:cs="Times New Roman"/>
        </w:rPr>
        <w:t xml:space="preserve"> used a firm-level data set that spans the population of China's large and medium-size industrial enterprises to explore the factors that account for China's rising patent activity. They found that China's patent surge is seemingly paradoxical given the country's weak record of protecting intellectual property rights. </w:t>
      </w:r>
    </w:p>
    <w:p>
      <w:pPr>
        <w:rPr>
          <w:rFonts w:hint="default" w:ascii="Times New Roman" w:hAnsi="Times New Roman" w:cs="Times New Roman"/>
        </w:rPr>
      </w:pPr>
      <w:r>
        <w:rPr>
          <w:rFonts w:hint="default" w:ascii="Times New Roman" w:hAnsi="Times New Roman" w:cs="Times New Roman"/>
        </w:rPr>
        <w:t xml:space="preserve">Lei, Zhao and Zhang et al. </w:t>
      </w:r>
      <w:r>
        <w:rPr>
          <w:rFonts w:hint="default" w:cs="Times New Roman"/>
          <w:lang w:val="en-US"/>
        </w:rPr>
        <w:t>(2011)</w:t>
      </w:r>
      <w:r>
        <w:rPr>
          <w:rFonts w:hint="default" w:ascii="Times New Roman" w:hAnsi="Times New Roman" w:cs="Times New Roman"/>
        </w:rPr>
        <w:t xml:space="preserve"> found that the inventive activities of China have experienced three developmental phases and have been promoted quickly in recent years. The innovation strengths of the three development phases have shifted from government to university and research institute and then industry. Li </w:t>
      </w:r>
      <w:r>
        <w:rPr>
          <w:rFonts w:hint="default" w:cs="Times New Roman"/>
          <w:lang w:val="en-US"/>
        </w:rPr>
        <w:t>(2012)</w:t>
      </w:r>
      <w:r>
        <w:rPr>
          <w:rFonts w:hint="default" w:ascii="Times New Roman" w:hAnsi="Times New Roman" w:cs="Times New Roman"/>
        </w:rPr>
        <w:t xml:space="preserve"> found that China patent subsidy programs induced an increase in patent propensity and the patent grant ratio increased after the implementation of subsidy programs.</w:t>
      </w:r>
    </w:p>
    <w:p>
      <w:pPr>
        <w:rPr>
          <w:rFonts w:hint="default" w:ascii="Times New Roman" w:hAnsi="Times New Roman" w:cs="Times New Roman"/>
        </w:rPr>
      </w:pPr>
      <w:r>
        <w:rPr>
          <w:rFonts w:hint="default" w:ascii="Times New Roman" w:hAnsi="Times New Roman" w:cs="Times New Roman"/>
        </w:rPr>
        <w:t xml:space="preserve">Liu and Qiu </w:t>
      </w:r>
      <w:r>
        <w:rPr>
          <w:rFonts w:hint="default" w:cs="Times New Roman"/>
          <w:lang w:val="en-US"/>
        </w:rPr>
        <w:t>(2016)</w:t>
      </w:r>
      <w:r>
        <w:rPr>
          <w:rFonts w:hint="default" w:ascii="Times New Roman" w:hAnsi="Times New Roman" w:cs="Times New Roman"/>
        </w:rPr>
        <w:t xml:space="preserve"> used Chinese firm-level patent data from 1998 to 2007 which featuring a drastic input tariff cut in 2002 because of China's WTO accession. They found that input tariff cut results in less innovation undertaken by Chinese firms. Boeing and Mueller </w:t>
      </w:r>
      <w:r>
        <w:rPr>
          <w:rFonts w:hint="default" w:cs="Times New Roman"/>
          <w:lang w:val="en-US"/>
        </w:rPr>
        <w:t xml:space="preserve">(2019) </w:t>
      </w:r>
      <w:r>
        <w:rPr>
          <w:rFonts w:hint="default" w:ascii="Times New Roman" w:hAnsi="Times New Roman" w:cs="Times New Roman"/>
        </w:rPr>
        <w:t>proposed a patent quality index based on internationally comparable citation data from international search reports (ISR) to consider foreign, domestic, and self citations. They found that all three citation types may be used as economic indicators if policy distortion is not a concern. They also suggested that the domestic and self citations suffer from an upward bias in China and should be employed with caution if they are to be interpreted as a measure of patent quality.</w:t>
      </w:r>
    </w:p>
    <w:p>
      <w:pPr>
        <w:rPr>
          <w:rFonts w:hint="default" w:ascii="Times New Roman" w:hAnsi="Times New Roman" w:cs="Times New Roman"/>
        </w:rPr>
      </w:pPr>
      <w:r>
        <w:rPr>
          <w:rFonts w:hint="default" w:ascii="Times New Roman" w:hAnsi="Times New Roman" w:cs="Times New Roman"/>
        </w:rPr>
        <w:t xml:space="preserve">Dang and Motohashi </w:t>
      </w:r>
      <w:r>
        <w:rPr>
          <w:rFonts w:hint="default" w:cs="Times New Roman"/>
          <w:lang w:val="en-US"/>
        </w:rPr>
        <w:t>(2015)</w:t>
      </w:r>
      <w:r>
        <w:rPr>
          <w:rFonts w:hint="default" w:ascii="Times New Roman" w:hAnsi="Times New Roman" w:cs="Times New Roman"/>
        </w:rPr>
        <w:t xml:space="preserve"> proposed that China patent statistics are meaningful indicators because China valid patent count is correlated with R&amp;D input and financial output. Chen and Zhang </w:t>
      </w:r>
      <w:r>
        <w:rPr>
          <w:rFonts w:hint="default" w:eastAsia="宋体" w:cs="Times New Roman"/>
          <w:lang w:val="en-US" w:eastAsia="zh-CN"/>
        </w:rPr>
        <w:t>(2019)</w:t>
      </w:r>
      <w:r>
        <w:rPr>
          <w:rFonts w:hint="default" w:ascii="Times New Roman" w:hAnsi="Times New Roman" w:cs="Times New Roman"/>
        </w:rPr>
        <w:t xml:space="preserve"> studied China's patent surge and its driving forces on patent applications filed by Chinese firms and found that R&amp;D investment, foreign direct investment, and patent subsidy have different effects on different types of patents. They found that R&amp;D investment has a positive and significant impact on patenting activities for all types of patents; the stimulating effect of foreign direct investment on patent applications is only robust for utility model patents and design patents; the patent subsidy only has a positive impact on design patents.</w:t>
      </w:r>
    </w:p>
    <w:p>
      <w:pPr>
        <w:rPr>
          <w:rFonts w:hint="default" w:ascii="Times New Roman" w:hAnsi="Times New Roman" w:cs="Times New Roman"/>
        </w:rPr>
      </w:pPr>
      <w:r>
        <w:rPr>
          <w:rFonts w:hint="default" w:ascii="Times New Roman" w:hAnsi="Times New Roman" w:cs="Times New Roman"/>
        </w:rPr>
        <w:t xml:space="preserve">He, Tong and Zhang et al. </w:t>
      </w:r>
      <w:r>
        <w:rPr>
          <w:rFonts w:hint="default" w:cs="Times New Roman"/>
          <w:lang w:val="en-US"/>
        </w:rPr>
        <w:t>(2016)</w:t>
      </w:r>
      <w:r>
        <w:rPr>
          <w:rFonts w:hint="default" w:ascii="Times New Roman" w:hAnsi="Times New Roman" w:cs="Times New Roman"/>
        </w:rPr>
        <w:t xml:space="preserve"> found that it was difficult in integrating Chinese patent data with company data, so they constructed a China patent database of all China listed companies and their subsidiaries from 1990 to 2010. Chen, Wei and Che </w:t>
      </w:r>
      <w:r>
        <w:rPr>
          <w:rFonts w:hint="default" w:cs="Times New Roman"/>
          <w:lang w:val="en-US"/>
        </w:rPr>
        <w:t>(2018, 2020)</w:t>
      </w:r>
      <w:r>
        <w:rPr>
          <w:rFonts w:hint="default" w:ascii="Times New Roman" w:hAnsi="Times New Roman" w:cs="Times New Roman"/>
        </w:rPr>
        <w:t xml:space="preserve"> used the patent data and stock price data of China listed companies of RMB common stocks</w:t>
      </w:r>
      <w:r>
        <w:rPr>
          <w:rFonts w:hint="default" w:cs="Times New Roman"/>
          <w:lang w:val="en-US"/>
        </w:rPr>
        <w:t xml:space="preserve">, so called China </w:t>
      </w:r>
      <w:r>
        <w:rPr>
          <w:rFonts w:hint="default" w:ascii="Times New Roman" w:hAnsi="Times New Roman" w:cs="Times New Roman"/>
        </w:rPr>
        <w:t>A-shares</w:t>
      </w:r>
      <w:r>
        <w:rPr>
          <w:rFonts w:hint="default" w:cs="Times New Roman"/>
          <w:lang w:val="en-US"/>
        </w:rPr>
        <w:t>,</w:t>
      </w:r>
      <w:r>
        <w:rPr>
          <w:rFonts w:hint="default" w:ascii="Times New Roman" w:hAnsi="Times New Roman" w:cs="Times New Roman"/>
        </w:rPr>
        <w:t xml:space="preserve"> in Shanghai main board from 2011 to 2017 and found the patent indicators have leading effect on A-share’s stock price. Chiu, Chen and Che</w:t>
      </w:r>
      <w:r>
        <w:rPr>
          <w:rFonts w:hint="default" w:cs="Times New Roman"/>
          <w:lang w:val="en-US"/>
        </w:rPr>
        <w:t xml:space="preserve"> (2020a, 2020b) </w:t>
      </w:r>
      <w:r>
        <w:rPr>
          <w:rFonts w:hint="default" w:ascii="Times New Roman" w:hAnsi="Times New Roman" w:cs="Times New Roman"/>
        </w:rPr>
        <w:t>focused on the whole China A-shares without distinguishing the stock boards from 2016Q4 to 2018Q3. They found that the patent indicators also have leading effect on the financial indicators including the stock price, return-on-asset (ROA), return-on-equity (ROE), book-value-per-share (BPS), earnings-per-share (EPS), price-to-book (PB) and price-to-earnings (PE). The patent prediction equations for quantitatively giving the predictive values of the aforementioned financial indicators are proposed.</w:t>
      </w:r>
    </w:p>
    <w:p>
      <w:pPr>
        <w:rPr>
          <w:rFonts w:hint="default" w:ascii="Times New Roman" w:hAnsi="Times New Roman" w:cs="Times New Roman"/>
        </w:rPr>
      </w:pPr>
      <w:r>
        <w:rPr>
          <w:rFonts w:hint="default" w:ascii="Times New Roman" w:hAnsi="Times New Roman" w:cs="Times New Roman"/>
        </w:rPr>
        <w:t xml:space="preserve">The China A-shares are listed on four stock boards including </w:t>
      </w:r>
      <w:r>
        <w:rPr>
          <w:rFonts w:hint="default" w:cs="Times New Roman"/>
          <w:lang w:val="en-US"/>
        </w:rPr>
        <w:t xml:space="preserve">Shanghai </w:t>
      </w:r>
      <w:r>
        <w:rPr>
          <w:rFonts w:hint="default" w:ascii="Times New Roman" w:hAnsi="Times New Roman" w:cs="Times New Roman"/>
        </w:rPr>
        <w:t xml:space="preserve">main board, Shenzhen main board, Growing-Enterprises board and Small-and-Medium Enterprises board. The majority of A-shares in SH main board, SZ main board are state-owned companies and big companies; most A-shares in GE board and SME board are small and medium companies. Chiu, Chen and Che </w:t>
      </w:r>
      <w:r>
        <w:rPr>
          <w:rFonts w:hint="default" w:cs="Times New Roman"/>
          <w:lang w:val="en-US"/>
        </w:rPr>
        <w:t>(2020c, 2020d, 2020e, 2020f, 2021)</w:t>
      </w:r>
      <w:r>
        <w:rPr>
          <w:rFonts w:hint="default" w:ascii="Times New Roman" w:hAnsi="Times New Roman" w:cs="Times New Roman"/>
        </w:rPr>
        <w:t xml:space="preserve">, Li, Deng and Che </w:t>
      </w:r>
      <w:r>
        <w:rPr>
          <w:rFonts w:hint="default" w:cs="Times New Roman"/>
          <w:lang w:val="en-US"/>
        </w:rPr>
        <w:t>(2020a, 2020b, 2021)</w:t>
      </w:r>
      <w:r>
        <w:rPr>
          <w:rFonts w:hint="default" w:ascii="Times New Roman" w:hAnsi="Times New Roman" w:cs="Times New Roman"/>
        </w:rPr>
        <w:t xml:space="preserve"> further studied the patent leading effect on each stock board, proposed each stock board’s patent prediction equations on the stock return rate, ROA, ROE, BPS, EPS, PB and PE, finally proposed patent based stock selection criteria to have stock the performance surpassing the market trend. </w:t>
      </w:r>
    </w:p>
    <w:p>
      <w:pPr>
        <w:rPr>
          <w:rFonts w:hint="default" w:ascii="Times New Roman" w:hAnsi="Times New Roman" w:cs="Times New Roman"/>
        </w:rPr>
      </w:pPr>
      <w:r>
        <w:rPr>
          <w:rFonts w:hint="default" w:ascii="Times New Roman" w:hAnsi="Times New Roman" w:cs="Times New Roman"/>
        </w:rPr>
        <w:t xml:space="preserve">COVID-19 has been impacting everything including technology and finance. The World Health Organization (WHO) on March 11, 2020, declared COVID-19 outbreak a global pandemic. The stock markets around the world including China stock market fluctuated dramatically in 2020 and 2021. However, the time series fluctuation trend would not happen to </w:t>
      </w:r>
      <w:r>
        <w:rPr>
          <w:rFonts w:hint="default" w:cs="Times New Roman"/>
          <w:lang w:val="en-US"/>
        </w:rPr>
        <w:t xml:space="preserve">China </w:t>
      </w:r>
      <w:r>
        <w:rPr>
          <w:rFonts w:hint="default" w:ascii="Times New Roman" w:hAnsi="Times New Roman" w:cs="Times New Roman"/>
        </w:rPr>
        <w:t>patent</w:t>
      </w:r>
      <w:r>
        <w:rPr>
          <w:rFonts w:hint="default" w:cs="Times New Roman"/>
          <w:lang w:val="en-US"/>
        </w:rPr>
        <w:t>s, the China patent count of any patent species still increases.</w:t>
      </w:r>
      <w:r>
        <w:rPr>
          <w:rFonts w:hint="default" w:ascii="Times New Roman" w:hAnsi="Times New Roman" w:cs="Times New Roman"/>
        </w:rPr>
        <w:t xml:space="preserve"> Is it possible to correlate China stock market with patent during such fluctuation situation?</w:t>
      </w:r>
    </w:p>
    <w:p>
      <w:pPr>
        <w:rPr>
          <w:rFonts w:hint="default" w:ascii="Times New Roman" w:hAnsi="Times New Roman" w:cs="Times New Roman"/>
        </w:rPr>
      </w:pPr>
      <w:r>
        <w:rPr>
          <w:rFonts w:hint="default" w:ascii="Times New Roman" w:hAnsi="Times New Roman" w:cs="Times New Roman"/>
        </w:rPr>
        <w:t xml:space="preserve">Tsai, Che and Bai </w:t>
      </w:r>
      <w:r>
        <w:rPr>
          <w:rFonts w:hint="default" w:cs="Times New Roman"/>
          <w:lang w:val="en-US"/>
        </w:rPr>
        <w:t>(2021a, 2021b, 2021c, 2021d, 2021e, 2022a, 2022b)</w:t>
      </w:r>
      <w:r>
        <w:rPr>
          <w:rFonts w:hint="default" w:ascii="Times New Roman" w:hAnsi="Times New Roman" w:cs="Times New Roman"/>
        </w:rPr>
        <w:t xml:space="preserve"> discussed the relationship between various China patent indicators and the performance of China listed companies (A-shares) in China stock market. The China A-shares with the higher innovation continuity are found to show higher stock return rate mean no matter what patent species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2021a)</w:t>
      </w:r>
      <w:r>
        <w:rPr>
          <w:rFonts w:hint="default" w:ascii="Times New Roman" w:hAnsi="Times New Roman" w:cs="Times New Roman"/>
        </w:rPr>
        <w:t xml:space="preserve">. The A-shares having patents of the higher patent count are found to show higher stock price mean and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2021b, 2021c)</w:t>
      </w:r>
      <w:r>
        <w:rPr>
          <w:rFonts w:hint="default" w:ascii="Times New Roman" w:hAnsi="Times New Roman" w:cs="Times New Roman"/>
        </w:rPr>
        <w:t xml:space="preserve">. The A-shares having patents of the higher technology variety are found to show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2021d)</w:t>
      </w:r>
      <w:r>
        <w:rPr>
          <w:rFonts w:hint="default" w:ascii="Times New Roman" w:hAnsi="Times New Roman" w:cs="Times New Roman"/>
        </w:rPr>
        <w:t xml:space="preserve">. The A-shares having patent grants of the longer examination duration are found to show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2021e)</w:t>
      </w:r>
      <w:r>
        <w:rPr>
          <w:rFonts w:hint="default" w:ascii="Times New Roman" w:hAnsi="Times New Roman" w:cs="Times New Roman"/>
        </w:rPr>
        <w:t xml:space="preserve">. The A-shares having higher backward citation counts are found to show higher stock price means than the A-shares of lower backward citation counts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2021f)</w:t>
      </w:r>
      <w:r>
        <w:rPr>
          <w:rFonts w:hint="default" w:ascii="Times New Roman" w:hAnsi="Times New Roman" w:cs="Times New Roman"/>
        </w:rPr>
        <w:t xml:space="preserve">. The A-shares of higher forward citation counts are found to show lower stock price means than the A-shares free of forward citation counts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2022a)</w:t>
      </w:r>
      <w:r>
        <w:rPr>
          <w:rFonts w:hint="default" w:ascii="Times New Roman" w:hAnsi="Times New Roman" w:cs="Times New Roman"/>
        </w:rPr>
        <w:t xml:space="preserve">. The A-shares having invention grant’s patent lives above the general level usually showed higher market capitalization means than the A-shares having invention grant’s patent lives below the general level whereas the A-shares having longer utility model grant’s patent lives and longer design grant’s patent lives did not show higher market capitalization means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2022b)</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The patent drawing is seldom discussed previously and usually regarded as less important when comparing with the patent claim. In fact, according the patent examination criteria, the claim has to be definitely supported by the drawings and/or the specification. It means that the drawings must clearly and fully reveal the claimed embodiments, and possibly show all alternatives of the claimed embodiments. A patent with more embodiments would result in more drawings while a patent with few embodiments and would result in few drawings. </w:t>
      </w:r>
    </w:p>
    <w:p>
      <w:pPr>
        <w:rPr>
          <w:rFonts w:hint="default" w:ascii="Times New Roman" w:hAnsi="Times New Roman" w:cs="Times New Roman"/>
        </w:rPr>
      </w:pPr>
      <w:r>
        <w:rPr>
          <w:rFonts w:hint="default" w:ascii="Times New Roman" w:hAnsi="Times New Roman" w:cs="Times New Roman"/>
        </w:rPr>
        <w:t xml:space="preserve">With regard to the drawing count of patents, Lai and Che </w:t>
      </w:r>
      <w:r>
        <w:rPr>
          <w:rFonts w:hint="eastAsia" w:cs="Times New Roman"/>
          <w:lang w:val="en-US" w:eastAsia="zh-TW"/>
        </w:rPr>
        <w:t>(2009a, 2009b, 2009c)</w:t>
      </w:r>
      <w:r>
        <w:rPr>
          <w:rFonts w:hint="default" w:ascii="Times New Roman" w:hAnsi="Times New Roman" w:cs="Times New Roman"/>
        </w:rPr>
        <w:t xml:space="preserve"> focused on US patents and applied the drawing count as an indicator for quantitatively modeling US patent values. Though the drawing count of China patents has been applied for quantitatively giving the predictive values of A-share’s financial indicators</w:t>
      </w:r>
      <w:r>
        <w:rPr>
          <w:rFonts w:hint="eastAsia" w:cs="Times New Roman"/>
          <w:lang w:val="en-US" w:eastAsia="zh-TW"/>
        </w:rPr>
        <w:t xml:space="preserve"> previously</w:t>
      </w:r>
      <w:r>
        <w:rPr>
          <w:rFonts w:hint="default" w:ascii="Times New Roman" w:hAnsi="Times New Roman" w:cs="Times New Roman"/>
        </w:rPr>
        <w:t>, however, the relationship between the drawing count and A-share’s stock price is not yet discussed. It is therefore the objective of this research to explore the aforementioned relationship.</w:t>
      </w:r>
    </w:p>
    <w:p>
      <w:pPr>
        <w:rPr>
          <w:rFonts w:hint="default" w:ascii="Times New Roman" w:hAnsi="Times New Roman" w:cs="Times New Roman"/>
        </w:rPr>
      </w:pPr>
      <w:r>
        <w:rPr>
          <w:rFonts w:hint="default" w:ascii="Times New Roman" w:hAnsi="Times New Roman" w:cs="Times New Roman"/>
        </w:rPr>
        <w:t>The managerial implication of this research comprises:</w:t>
      </w:r>
    </w:p>
    <w:p>
      <w:pPr>
        <w:numPr>
          <w:ilvl w:val="0"/>
          <w:numId w:val="7"/>
        </w:numPr>
        <w:rPr>
          <w:rFonts w:hint="default" w:ascii="Times New Roman" w:hAnsi="Times New Roman" w:cs="Times New Roman"/>
        </w:rPr>
      </w:pPr>
      <w:r>
        <w:rPr>
          <w:rFonts w:hint="default" w:ascii="Times New Roman" w:hAnsi="Times New Roman" w:cs="Times New Roman"/>
        </w:rPr>
        <w:t>enriching the understanding of China patent drawing count, especially the patent drawing count of the invention grant;</w:t>
      </w:r>
    </w:p>
    <w:p>
      <w:pPr>
        <w:numPr>
          <w:ilvl w:val="0"/>
          <w:numId w:val="7"/>
        </w:numPr>
        <w:ind w:left="0" w:leftChars="0" w:firstLine="0" w:firstLineChars="0"/>
        <w:rPr>
          <w:rFonts w:hint="default" w:ascii="Times New Roman" w:hAnsi="Times New Roman" w:cs="Times New Roman"/>
        </w:rPr>
      </w:pPr>
      <w:r>
        <w:rPr>
          <w:rFonts w:hint="default" w:ascii="Times New Roman" w:hAnsi="Times New Roman" w:cs="Times New Roman"/>
        </w:rPr>
        <w:t xml:space="preserve">extending the application of China invention grant’s drawing count to the China stock market; and </w:t>
      </w:r>
    </w:p>
    <w:p>
      <w:pPr>
        <w:numPr>
          <w:ilvl w:val="0"/>
          <w:numId w:val="7"/>
        </w:numPr>
        <w:ind w:left="0" w:leftChars="0" w:firstLine="0" w:firstLineChars="0"/>
        <w:rPr>
          <w:rFonts w:hint="default" w:ascii="Times New Roman" w:hAnsi="Times New Roman" w:cs="Times New Roman"/>
        </w:rPr>
      </w:pPr>
      <w:r>
        <w:rPr>
          <w:rFonts w:hint="default" w:ascii="Times New Roman" w:hAnsi="Times New Roman" w:cs="Times New Roman"/>
        </w:rPr>
        <w:t xml:space="preserve">helping the investment organizations to improve their stock selection strategy on China A-shares. </w:t>
      </w:r>
    </w:p>
    <w:p>
      <w:pPr>
        <w:rPr>
          <w:rFonts w:hint="default" w:ascii="Times New Roman" w:hAnsi="Times New Roman" w:cs="Times New Roman"/>
        </w:rPr>
      </w:pPr>
      <w:r>
        <w:rPr>
          <w:rFonts w:hint="default" w:ascii="Times New Roman" w:hAnsi="Times New Roman" w:cs="Times New Roman"/>
        </w:rPr>
        <w:t xml:space="preserve">In the following paragraphs, section 2 presents the data and methodology including the delimitation and limitation, population and sample, and the instrumentation which showing the company integrated patent database used, the calculation of China invention grant’s patent drawing count, the stock </w:t>
      </w:r>
      <w:r>
        <w:rPr>
          <w:rFonts w:hint="eastAsia" w:cs="Times New Roman"/>
          <w:lang w:val="en-US" w:eastAsia="zh-TW"/>
        </w:rPr>
        <w:t xml:space="preserve">return rate processing and the stock </w:t>
      </w:r>
      <w:r>
        <w:rPr>
          <w:rFonts w:hint="default" w:ascii="Times New Roman" w:hAnsi="Times New Roman" w:cs="Times New Roman"/>
        </w:rPr>
        <w:t>price selected, and the principal of analysis of variance (ANOVA); section 3 presents the result and finding; section 4 presents the conclusion.</w:t>
      </w:r>
    </w:p>
    <w:p>
      <w:pPr>
        <w:rPr>
          <w:rFonts w:hint="default" w:ascii="Times New Roman" w:hAnsi="Times New Roman" w:cs="Times New Roman"/>
          <w:color w:val="000000"/>
          <w:szCs w:val="24"/>
        </w:rPr>
      </w:pPr>
    </w:p>
    <w:p>
      <w:pPr>
        <w:pStyle w:val="46"/>
        <w:rPr>
          <w:rFonts w:hint="default" w:ascii="Times New Roman" w:hAnsi="Times New Roman" w:cs="Times New Roman"/>
        </w:rPr>
      </w:pPr>
      <w:r>
        <w:rPr>
          <w:rFonts w:hint="default" w:ascii="Times New Roman" w:hAnsi="Times New Roman" w:cs="Times New Roman"/>
        </w:rPr>
        <w:t>Data and Methodology</w:t>
      </w:r>
    </w:p>
    <w:p>
      <w:pPr>
        <w:pStyle w:val="48"/>
        <w:rPr>
          <w:rFonts w:hint="default" w:ascii="Times New Roman" w:hAnsi="Times New Roman" w:cs="Times New Roman"/>
          <w:b/>
          <w:sz w:val="28"/>
          <w:szCs w:val="28"/>
        </w:rPr>
      </w:pPr>
      <w:r>
        <w:rPr>
          <w:rFonts w:hint="default" w:ascii="Times New Roman" w:hAnsi="Times New Roman" w:cs="Times New Roman"/>
          <w:sz w:val="24"/>
          <w:szCs w:val="24"/>
        </w:rPr>
        <w:t>Delimitation and Limitation</w:t>
      </w:r>
    </w:p>
    <w:p>
      <w:pPr>
        <w:pStyle w:val="76"/>
        <w:bidi w:val="0"/>
        <w:rPr>
          <w:rFonts w:hint="default" w:ascii="Times New Roman" w:hAnsi="Times New Roman" w:cs="Times New Roman"/>
        </w:rPr>
      </w:pPr>
      <w:r>
        <w:rPr>
          <w:rFonts w:hint="default" w:ascii="Times New Roman" w:hAnsi="Times New Roman" w:cs="Times New Roman"/>
        </w:rPr>
        <w:t>The objective of this research is to explore the relationship between China patent drawing count and China A-share’s stock return rate. It is therefore only the patents filed by companies are discussed, while the patents filed by the government, the R&amp;D institutes, the academic organizations, or the individuals, are all excluded.</w:t>
      </w:r>
    </w:p>
    <w:p>
      <w:pPr>
        <w:pStyle w:val="76"/>
        <w:bidi w:val="0"/>
        <w:rPr>
          <w:rFonts w:hint="default" w:ascii="Times New Roman" w:hAnsi="Times New Roman" w:cs="Times New Roman"/>
        </w:rPr>
      </w:pPr>
      <w:r>
        <w:rPr>
          <w:rFonts w:hint="default" w:ascii="Times New Roman" w:hAnsi="Times New Roman" w:cs="Times New Roman"/>
        </w:rPr>
        <w:t xml:space="preserve">There are two stock exchanges in mainland China, one is Shanghai stock exchange, the other is Shenzhen stock exchange. In this research, China companies with RMB stocks listed in Shanghai stock exchange or Shenzhen stock exchange, so called China A-shares, are discussed. Though Chinese companies are listed all over the world, however, Chinese companies listed overseas </w:t>
      </w:r>
      <w:r>
        <w:rPr>
          <w:rFonts w:hint="eastAsia" w:cs="Times New Roman"/>
          <w:lang w:val="en-US" w:eastAsia="zh-TW"/>
        </w:rPr>
        <w:t xml:space="preserve">or listed in </w:t>
      </w:r>
      <w:r>
        <w:rPr>
          <w:rFonts w:hint="default" w:ascii="Times New Roman" w:hAnsi="Times New Roman" w:cs="Times New Roman"/>
        </w:rPr>
        <w:t xml:space="preserve">Hong Kong </w:t>
      </w:r>
      <w:r>
        <w:rPr>
          <w:rFonts w:hint="eastAsia" w:cs="Times New Roman"/>
          <w:lang w:val="en-US" w:eastAsia="zh-TW"/>
        </w:rPr>
        <w:t xml:space="preserve">Special Administrative Region </w:t>
      </w:r>
      <w:r>
        <w:rPr>
          <w:rFonts w:hint="default" w:ascii="Times New Roman" w:hAnsi="Times New Roman" w:cs="Times New Roman"/>
        </w:rPr>
        <w:t xml:space="preserve">are all excluded. </w:t>
      </w:r>
    </w:p>
    <w:p>
      <w:pPr>
        <w:pStyle w:val="76"/>
        <w:bidi w:val="0"/>
        <w:rPr>
          <w:rFonts w:hint="default" w:ascii="Times New Roman" w:hAnsi="Times New Roman" w:cs="Times New Roman"/>
        </w:rPr>
      </w:pPr>
      <w:r>
        <w:rPr>
          <w:rFonts w:hint="default" w:ascii="Times New Roman" w:hAnsi="Times New Roman" w:cs="Times New Roman"/>
        </w:rPr>
        <w:t xml:space="preserve">Regarding the patent, China is now the world largest patent application country </w:t>
      </w:r>
      <w:r>
        <w:rPr>
          <w:rFonts w:hint="eastAsia" w:cs="Times New Roman"/>
          <w:lang w:val="en-US" w:eastAsia="zh-TW"/>
        </w:rPr>
        <w:t xml:space="preserve">whereas </w:t>
      </w:r>
      <w:r>
        <w:rPr>
          <w:rFonts w:hint="default" w:ascii="Times New Roman" w:hAnsi="Times New Roman" w:cs="Times New Roman"/>
        </w:rPr>
        <w:t xml:space="preserve">China patents are less analyzed previously when comparing with US patents, therefore only China patents are discussed in this research. Foreign patents </w:t>
      </w:r>
      <w:r>
        <w:rPr>
          <w:rFonts w:hint="eastAsia" w:cs="Times New Roman"/>
          <w:lang w:val="en-US" w:eastAsia="zh-TW"/>
        </w:rPr>
        <w:t xml:space="preserve">other than China patents </w:t>
      </w:r>
      <w:r>
        <w:rPr>
          <w:rFonts w:hint="default" w:ascii="Times New Roman" w:hAnsi="Times New Roman" w:cs="Times New Roman"/>
        </w:rPr>
        <w:t>are excluded</w:t>
      </w:r>
      <w:r>
        <w:rPr>
          <w:rFonts w:hint="eastAsia" w:cs="Times New Roman"/>
          <w:lang w:val="en-US" w:eastAsia="zh-TW"/>
        </w:rPr>
        <w:t>,</w:t>
      </w:r>
      <w:r>
        <w:rPr>
          <w:rFonts w:hint="default" w:ascii="Times New Roman" w:hAnsi="Times New Roman" w:cs="Times New Roman"/>
        </w:rPr>
        <w:t xml:space="preserve"> even though these foreign patents are filed by China A-shares. </w:t>
      </w:r>
    </w:p>
    <w:p>
      <w:pPr>
        <w:pStyle w:val="76"/>
        <w:bidi w:val="0"/>
        <w:rPr>
          <w:rFonts w:hint="default" w:ascii="Times New Roman" w:hAnsi="Times New Roman" w:cs="Times New Roman"/>
        </w:rPr>
      </w:pPr>
      <w:r>
        <w:rPr>
          <w:rFonts w:hint="default" w:ascii="Times New Roman" w:hAnsi="Times New Roman" w:cs="Times New Roman"/>
        </w:rPr>
        <w:t xml:space="preserve">Regarding the patent species, there are four major patent species in China patent system including the invention publication, the invention grant, the utility model grant and the design grant. The design grant is a design application of a product which issued by overcoming the preliminary examination by having a distinct configuration, distinct surface ornamentation or both. The utility model grant is a utility model application of a product which issued by overcoming the preliminary examination. The invention publication is an invention application of a product or a process which published by overcoming the preliminary examination. The invention grant is an </w:t>
      </w:r>
      <w:r>
        <w:rPr>
          <w:rFonts w:hint="eastAsia" w:cs="Times New Roman"/>
          <w:lang w:val="en-US" w:eastAsia="zh-TW"/>
        </w:rPr>
        <w:t xml:space="preserve">issued </w:t>
      </w:r>
      <w:r>
        <w:rPr>
          <w:rFonts w:hint="default" w:ascii="Times New Roman" w:hAnsi="Times New Roman" w:cs="Times New Roman"/>
        </w:rPr>
        <w:t>invention application which overcoming not only the preliminary examination but also the substantial examination by having novel and distinct technical features over the prior arts, especially the prior patents. The invention grant in China is always regarded as the most valuable patent species because because it has to overcome the hardest and longest examination process and cost much more than the other patent species. It is therefore only the invention grant is discussed in this research.</w:t>
      </w:r>
    </w:p>
    <w:p>
      <w:pPr>
        <w:pStyle w:val="76"/>
        <w:bidi w:val="0"/>
        <w:rPr>
          <w:rFonts w:hint="default" w:ascii="Times New Roman" w:hAnsi="Times New Roman" w:cs="Times New Roman"/>
        </w:rPr>
      </w:pPr>
    </w:p>
    <w:p>
      <w:pPr>
        <w:pStyle w:val="48"/>
        <w:rPr>
          <w:rFonts w:hint="default" w:ascii="Times New Roman" w:hAnsi="Times New Roman" w:cs="Times New Roman"/>
          <w:b/>
          <w:sz w:val="28"/>
          <w:szCs w:val="28"/>
        </w:rPr>
      </w:pPr>
      <w:r>
        <w:rPr>
          <w:rFonts w:hint="default" w:ascii="Times New Roman" w:hAnsi="Times New Roman" w:cs="Times New Roman"/>
          <w:lang w:val="en-US" w:eastAsia="zh-TW"/>
        </w:rPr>
        <w:t>Instrumentation</w:t>
      </w:r>
    </w:p>
    <w:p>
      <w:pPr>
        <w:pStyle w:val="50"/>
        <w:rPr>
          <w:rFonts w:hint="default" w:ascii="Times New Roman" w:hAnsi="Times New Roman" w:cs="Times New Roman"/>
        </w:rPr>
      </w:pPr>
      <w:r>
        <w:rPr>
          <w:rFonts w:hint="default" w:ascii="Times New Roman" w:hAnsi="Times New Roman" w:cs="Times New Roman"/>
        </w:rPr>
        <w:t>Company Integrated Patent Database</w:t>
      </w:r>
    </w:p>
    <w:p>
      <w:pPr>
        <w:pStyle w:val="76"/>
        <w:bidi w:val="0"/>
        <w:rPr>
          <w:rFonts w:hint="default"/>
        </w:rPr>
      </w:pPr>
      <w:r>
        <w:rPr>
          <w:rFonts w:hint="default"/>
        </w:rPr>
        <w:t xml:space="preserve">It is a common phenomenon that a listed company has a lot of subsidiaries. When a subsidiary’s revenue is merged to its parent listed company in the formal financial reports, the subsidiary’s patents are therefore inferred to contribute to its parent company’s financial performance in this research. In order to collect the correct patents and count the correct patent drawings, a company integrated patent database is built in this research by carefully reviewing all China A-share’s formal financial reports, and integrating all subsidiaries’ patents together with their parent A-share’s patents as a whole. </w:t>
      </w:r>
    </w:p>
    <w:p>
      <w:pPr>
        <w:pStyle w:val="76"/>
        <w:bidi w:val="0"/>
        <w:rPr>
          <w:rFonts w:hint="default"/>
        </w:rPr>
      </w:pPr>
      <w:r>
        <w:rPr>
          <w:rFonts w:hint="default"/>
        </w:rPr>
        <w:t xml:space="preserve">It is also common that a patent is co-owned by plural companies. For avoiding duplicated calculation, if a patent is co-owned by the parent A-share and its subsidiaries, it is regarded as a single one patent of the parent A-share; if a patent is co-owned by several subsidiaries, it is also regarded as a single one patent of the parent A-share. However, if a patent is co-owned by two or more A-shares, it is assumed to contribute equivalently to each parent A-share, so the patent is duplicated and distributed to each of the co-owning A-shares. </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Patent Drawing Counts and Drawing Groups</w:t>
      </w:r>
    </w:p>
    <w:p>
      <w:pPr>
        <w:pStyle w:val="76"/>
        <w:bidi w:val="0"/>
        <w:rPr>
          <w:rFonts w:hint="default"/>
        </w:rPr>
      </w:pPr>
      <w:r>
        <w:rPr>
          <w:rFonts w:hint="default"/>
        </w:rPr>
        <w:t xml:space="preserve">There are two kinds of drawing counts discussed in this research, i.e. the average drawing count and the total drawing count. The total drawing count is defined as the number of all drawings of all invention grants which issued over previous one year of an A-share while the average drawing count is defined as the average number of drawings per invention grant of an A-share. All the invention grants over previous one year are retrieved based on the issue date. For 2017Q1, the invention grants are retrieved by the issue date from 2016/04/01 to 2017/03/31; for 2018Q2, the invention grants are retrieved by the issue date from 2017/07/01 to 2018/06/30; for 2019Q3, the invention grants are retrieved by the issue date from 2018/10/01 to 2019/09/30; and so forth the other quarters. </w:t>
      </w:r>
    </w:p>
    <w:p>
      <w:pPr>
        <w:pStyle w:val="76"/>
        <w:bidi w:val="0"/>
        <w:rPr>
          <w:rFonts w:hint="default"/>
        </w:rPr>
      </w:pPr>
      <w:r>
        <w:rPr>
          <w:rFonts w:hint="default"/>
        </w:rPr>
        <w:t xml:space="preserve">When invention grants are retrieved, the drawing count of each A-share is calculated. The average drawing counts and the total drawing counts of A-shares in each quarter from 2017Q1 to 2021Q4 are </w:t>
      </w:r>
      <w:r>
        <w:rPr>
          <w:rFonts w:hint="eastAsia"/>
          <w:lang w:val="en-US" w:eastAsia="zh-TW"/>
        </w:rPr>
        <w:t xml:space="preserve">further </w:t>
      </w:r>
      <w:r>
        <w:rPr>
          <w:rFonts w:hint="default"/>
        </w:rPr>
        <w:t>ranked by percentile rank (PR). The A-shares in each quarter are then divided into four average drawing groups (hereinafter, A-group</w:t>
      </w:r>
      <w:r>
        <w:rPr>
          <w:rFonts w:hint="eastAsia"/>
          <w:lang w:val="en-US" w:eastAsia="zh-TW"/>
        </w:rPr>
        <w:t>s</w:t>
      </w:r>
      <w:r>
        <w:rPr>
          <w:rFonts w:hint="default"/>
        </w:rPr>
        <w:t>) and four total drawing groups (hereinafter, T-group</w:t>
      </w:r>
      <w:r>
        <w:rPr>
          <w:rFonts w:hint="eastAsia"/>
          <w:lang w:val="en-US" w:eastAsia="zh-TW"/>
        </w:rPr>
        <w:t>s</w:t>
      </w:r>
      <w:r>
        <w:rPr>
          <w:rFonts w:hint="default"/>
        </w:rPr>
        <w:t>) by percentile rank of the average drawing count and the total drawing count respectively as below:</w:t>
      </w:r>
    </w:p>
    <w:p>
      <w:pPr>
        <w:pStyle w:val="76"/>
        <w:bidi w:val="0"/>
        <w:rPr>
          <w:rFonts w:hint="default"/>
        </w:rPr>
      </w:pPr>
      <w:r>
        <w:rPr>
          <w:rFonts w:hint="default"/>
        </w:rPr>
        <w:t>Group #1: PR 0~25, the group of the lowest drawing counts;</w:t>
      </w:r>
    </w:p>
    <w:p>
      <w:pPr>
        <w:pStyle w:val="76"/>
        <w:bidi w:val="0"/>
        <w:rPr>
          <w:rFonts w:hint="default"/>
        </w:rPr>
      </w:pPr>
      <w:r>
        <w:rPr>
          <w:rFonts w:hint="default"/>
        </w:rPr>
        <w:t>Group #2: PR 25~50;</w:t>
      </w:r>
    </w:p>
    <w:p>
      <w:pPr>
        <w:pStyle w:val="76"/>
        <w:bidi w:val="0"/>
        <w:rPr>
          <w:rFonts w:hint="default"/>
        </w:rPr>
      </w:pPr>
      <w:r>
        <w:rPr>
          <w:rFonts w:hint="default"/>
        </w:rPr>
        <w:t>Group #3: PR 50~75;</w:t>
      </w:r>
    </w:p>
    <w:p>
      <w:pPr>
        <w:pStyle w:val="76"/>
        <w:bidi w:val="0"/>
        <w:rPr>
          <w:rFonts w:hint="default"/>
        </w:rPr>
      </w:pPr>
      <w:r>
        <w:rPr>
          <w:rFonts w:hint="default"/>
        </w:rPr>
        <w:t>Group #4: PR 75~100, the group of the highest drawing counts.</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Stock Return Rate</w:t>
      </w:r>
    </w:p>
    <w:p>
      <w:pPr>
        <w:pStyle w:val="76"/>
        <w:bidi w:val="0"/>
        <w:rPr>
          <w:rFonts w:hint="default"/>
        </w:rPr>
      </w:pPr>
      <w:r>
        <w:rPr>
          <w:rFonts w:hint="default"/>
        </w:rPr>
        <w:t xml:space="preserve">The stock return rate is a simple but straight-forward indicator for beneficial investment. The time period for calculating the stock return rate is another issue. Considering the reasonable investment behaviour and the earlier patent’s effect on later market success, the annual stock return rate is applied for observing A-share’s performance in this research. </w:t>
      </w:r>
    </w:p>
    <w:p>
      <w:pPr>
        <w:pStyle w:val="76"/>
        <w:bidi w:val="0"/>
        <w:rPr>
          <w:rFonts w:hint="default"/>
        </w:rPr>
      </w:pPr>
      <w:r>
        <w:rPr>
          <w:rFonts w:hint="default"/>
        </w:rPr>
        <w:t>The stock return rate while calculating is based on the stock price. The stock price in every trading day is always varying. The opening price, the closing price, the highest price, the lowest price, and the mean price, are extensively used in various analyses according to different purposes. However, it does not matter to use any of the aforementioned stock prices in this research. For simplification and consistency, the closing price of every China A-share in the last trading day of each quarter from 2016Q1 to 2021Q4 is applied as the stock price to calculate the stock return rate in this research.</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Analysis of Variance</w:t>
      </w:r>
    </w:p>
    <w:p>
      <w:pPr>
        <w:pStyle w:val="76"/>
        <w:bidi w:val="0"/>
        <w:rPr>
          <w:rFonts w:hint="default"/>
        </w:rPr>
      </w:pPr>
      <w:r>
        <w:rPr>
          <w:rFonts w:hint="default"/>
        </w:rPr>
        <w:t>Analysis of Variance (ANOVA) is applied in this research for discovering:</w:t>
      </w:r>
    </w:p>
    <w:p>
      <w:pPr>
        <w:pStyle w:val="76"/>
        <w:numPr>
          <w:ilvl w:val="0"/>
          <w:numId w:val="8"/>
        </w:numPr>
        <w:bidi w:val="0"/>
        <w:rPr>
          <w:rFonts w:hint="default"/>
        </w:rPr>
      </w:pPr>
      <w:r>
        <w:rPr>
          <w:rFonts w:hint="default"/>
        </w:rPr>
        <w:t xml:space="preserve">whether the average drawing count and the total drawing count </w:t>
      </w:r>
      <w:r>
        <w:rPr>
          <w:rFonts w:hint="eastAsia"/>
          <w:lang w:val="en-US" w:eastAsia="zh-TW"/>
        </w:rPr>
        <w:t xml:space="preserve">of invention grants </w:t>
      </w:r>
      <w:r>
        <w:rPr>
          <w:rFonts w:hint="default"/>
        </w:rPr>
        <w:t xml:space="preserve">significantly different between different years? </w:t>
      </w:r>
    </w:p>
    <w:p>
      <w:pPr>
        <w:pStyle w:val="76"/>
        <w:numPr>
          <w:ilvl w:val="0"/>
          <w:numId w:val="8"/>
        </w:numPr>
        <w:bidi w:val="0"/>
        <w:rPr>
          <w:rFonts w:hint="default"/>
        </w:rPr>
      </w:pPr>
      <w:r>
        <w:rPr>
          <w:rFonts w:hint="default"/>
        </w:rPr>
        <w:t xml:space="preserve">whether the </w:t>
      </w:r>
      <w:r>
        <w:rPr>
          <w:rFonts w:hint="eastAsia"/>
          <w:lang w:val="en-US" w:eastAsia="zh-TW"/>
        </w:rPr>
        <w:t>stock return rate between different A-groups significantly different?</w:t>
      </w:r>
    </w:p>
    <w:p>
      <w:pPr>
        <w:pStyle w:val="76"/>
        <w:numPr>
          <w:ilvl w:val="0"/>
          <w:numId w:val="8"/>
        </w:numPr>
        <w:bidi w:val="0"/>
        <w:rPr>
          <w:rFonts w:hint="default"/>
        </w:rPr>
      </w:pPr>
      <w:r>
        <w:rPr>
          <w:rFonts w:hint="default"/>
        </w:rPr>
        <w:t xml:space="preserve">whether the </w:t>
      </w:r>
      <w:r>
        <w:rPr>
          <w:rFonts w:hint="eastAsia"/>
          <w:lang w:val="en-US" w:eastAsia="zh-TW"/>
        </w:rPr>
        <w:t>stock return rate between different T-groups significantly different?</w:t>
      </w:r>
    </w:p>
    <w:p>
      <w:pPr>
        <w:pStyle w:val="76"/>
        <w:numPr>
          <w:ilvl w:val="0"/>
          <w:numId w:val="8"/>
        </w:numPr>
        <w:bidi w:val="0"/>
        <w:rPr>
          <w:rFonts w:hint="default"/>
        </w:rPr>
      </w:pPr>
      <w:r>
        <w:rPr>
          <w:rFonts w:hint="default"/>
        </w:rPr>
        <w:t xml:space="preserve">whether the average drawing count and/or the total drawing count </w:t>
      </w:r>
      <w:r>
        <w:rPr>
          <w:rFonts w:hint="eastAsia"/>
          <w:lang w:val="en-US" w:eastAsia="zh-TW"/>
        </w:rPr>
        <w:t xml:space="preserve">of invention grants </w:t>
      </w:r>
      <w:r>
        <w:rPr>
          <w:rFonts w:hint="default"/>
        </w:rPr>
        <w:t xml:space="preserve">significantly differentiating the stock return rate of A-share? </w:t>
      </w:r>
    </w:p>
    <w:p>
      <w:pPr>
        <w:pStyle w:val="76"/>
        <w:numPr>
          <w:ilvl w:val="0"/>
          <w:numId w:val="8"/>
        </w:numPr>
        <w:bidi w:val="0"/>
        <w:rPr>
          <w:rFonts w:hint="default"/>
        </w:rPr>
      </w:pPr>
      <w:r>
        <w:rPr>
          <w:rFonts w:hint="default"/>
        </w:rPr>
        <w:t xml:space="preserve">which drawing group </w:t>
      </w:r>
      <w:r>
        <w:rPr>
          <w:rFonts w:hint="eastAsia"/>
          <w:lang w:val="en-US" w:eastAsia="zh-TW"/>
        </w:rPr>
        <w:t xml:space="preserve">of invention grants </w:t>
      </w:r>
      <w:r>
        <w:rPr>
          <w:rFonts w:hint="default"/>
        </w:rPr>
        <w:t xml:space="preserve">having significantly higher stock return rate mean and which drawing group </w:t>
      </w:r>
      <w:r>
        <w:rPr>
          <w:rFonts w:hint="eastAsia"/>
          <w:lang w:val="en-US" w:eastAsia="zh-TW"/>
        </w:rPr>
        <w:t xml:space="preserve">of invention grants </w:t>
      </w:r>
      <w:r>
        <w:rPr>
          <w:rFonts w:hint="default"/>
        </w:rPr>
        <w:t xml:space="preserve">having significantly lower stock return rate mean? </w:t>
      </w:r>
    </w:p>
    <w:p>
      <w:pPr>
        <w:pStyle w:val="76"/>
        <w:bidi w:val="0"/>
        <w:rPr>
          <w:rFonts w:hint="default"/>
        </w:rPr>
      </w:pPr>
      <w:r>
        <w:rPr>
          <w:rFonts w:hint="default"/>
        </w:rPr>
        <w:t xml:space="preserve">ANOVA is a statistical approach used to compare variances across the means of different data groups. The outcome of ANOVA is the “F-Ratio”. </w:t>
      </w:r>
    </w:p>
    <w:p>
      <w:pPr>
        <w:pStyle w:val="76"/>
        <w:bidi w:val="0"/>
        <w:jc w:val="right"/>
        <w:rPr>
          <w:rFonts w:hint="default"/>
          <w:lang w:val="en-US"/>
        </w:rPr>
      </w:pPr>
      <w:r>
        <w:rPr>
          <w:rFonts w:hint="default" w:ascii="Times New Roman" w:hAnsi="Times New Roman" w:eastAsia="PMingLiU" w:cs="Times New Roman"/>
          <w:color w:val="auto"/>
          <w:position w:val="-34"/>
          <w:lang w:eastAsia="zh-TW"/>
        </w:rPr>
        <w:object>
          <v:shape id="_x0000_i1025" o:spt="75" type="#_x0000_t75" style="height:35.95pt;width:157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(1)</w:t>
      </w:r>
    </w:p>
    <w:p>
      <w:pPr>
        <w:pStyle w:val="76"/>
        <w:bidi w:val="0"/>
        <w:rPr>
          <w:rFonts w:hint="default"/>
        </w:rPr>
      </w:pPr>
      <w:r>
        <w:rPr>
          <w:rFonts w:hint="default"/>
        </w:rPr>
        <w:t xml:space="preserve">This ratio shows the difference between the within group variance and the between group variance, which ultimately produces a result which allowing a conclusion that the null hypothesis </w:t>
      </w:r>
      <w:r>
        <w:rPr>
          <w:rFonts w:hint="default"/>
          <w:i/>
          <w:iCs/>
        </w:rPr>
        <w:t>H</w:t>
      </w:r>
      <w:r>
        <w:rPr>
          <w:rFonts w:hint="default"/>
          <w:i/>
          <w:iCs/>
          <w:vertAlign w:val="subscript"/>
        </w:rPr>
        <w:t>0</w:t>
      </w:r>
      <w:r>
        <w:rPr>
          <w:rFonts w:hint="default"/>
          <w:i/>
          <w:iCs/>
        </w:rPr>
        <w:t>: μ</w:t>
      </w:r>
      <w:r>
        <w:rPr>
          <w:rFonts w:hint="default"/>
          <w:i/>
          <w:iCs/>
          <w:vertAlign w:val="subscript"/>
        </w:rPr>
        <w:t>1</w:t>
      </w:r>
      <w:r>
        <w:rPr>
          <w:rFonts w:hint="default"/>
          <w:i/>
          <w:iCs/>
        </w:rPr>
        <w:t xml:space="preserve"> = μ</w:t>
      </w:r>
      <w:r>
        <w:rPr>
          <w:rFonts w:hint="default"/>
          <w:i/>
          <w:iCs/>
          <w:vertAlign w:val="subscript"/>
        </w:rPr>
        <w:t>2</w:t>
      </w:r>
      <w:r>
        <w:rPr>
          <w:rFonts w:hint="default"/>
          <w:i/>
          <w:iCs/>
        </w:rPr>
        <w:t xml:space="preserve"> = .... = μ</w:t>
      </w:r>
      <w:r>
        <w:rPr>
          <w:rFonts w:hint="default"/>
          <w:i/>
          <w:iCs/>
          <w:vertAlign w:val="subscript"/>
        </w:rPr>
        <w:t>k</w:t>
      </w:r>
      <w:r>
        <w:rPr>
          <w:rFonts w:hint="default"/>
        </w:rPr>
        <w:t xml:space="preserve"> is supported or rejected. If there is a significant difference between the groups, the null hypothesis is not supported, and the F-ratio will be larger and the corresponding p value should be smaller than 0.05.</w:t>
      </w:r>
    </w:p>
    <w:p>
      <w:pPr>
        <w:rPr>
          <w:rFonts w:hint="default" w:ascii="Times New Roman" w:hAnsi="Times New Roman" w:cs="Times New Roman"/>
          <w:b/>
          <w:sz w:val="28"/>
          <w:szCs w:val="28"/>
        </w:rPr>
      </w:pPr>
    </w:p>
    <w:p>
      <w:pPr>
        <w:pStyle w:val="48"/>
        <w:rPr>
          <w:rFonts w:hint="default" w:ascii="Times New Roman" w:hAnsi="Times New Roman" w:cs="Times New Roman"/>
          <w:b/>
          <w:sz w:val="28"/>
          <w:szCs w:val="28"/>
        </w:rPr>
      </w:pPr>
      <w:r>
        <w:rPr>
          <w:rFonts w:hint="default" w:ascii="Times New Roman" w:hAnsi="Times New Roman" w:cs="Times New Roman"/>
          <w:lang w:val="en-US" w:eastAsia="zh-TW"/>
        </w:rPr>
        <w:t>Population and Sample</w:t>
      </w:r>
    </w:p>
    <w:p>
      <w:pPr>
        <w:pStyle w:val="76"/>
        <w:bidi w:val="0"/>
        <w:rPr>
          <w:rFonts w:hint="default"/>
        </w:rPr>
      </w:pPr>
      <w:r>
        <w:rPr>
          <w:rFonts w:hint="default"/>
        </w:rPr>
        <w:t xml:space="preserve">The population comprises all China A-shares listed in </w:t>
      </w:r>
      <w:r>
        <w:rPr>
          <w:rFonts w:hint="eastAsia"/>
          <w:lang w:val="en-US" w:eastAsia="zh-TW"/>
        </w:rPr>
        <w:t xml:space="preserve">either </w:t>
      </w:r>
      <w:r>
        <w:rPr>
          <w:rFonts w:hint="default"/>
        </w:rPr>
        <w:t xml:space="preserve">Shanghai stock exchange </w:t>
      </w:r>
      <w:r>
        <w:rPr>
          <w:rFonts w:hint="eastAsia"/>
          <w:lang w:val="en-US" w:eastAsia="zh-TW"/>
        </w:rPr>
        <w:t xml:space="preserve">or </w:t>
      </w:r>
      <w:r>
        <w:rPr>
          <w:rFonts w:hint="default"/>
        </w:rPr>
        <w:t>Shenzhen stock exchange. There are twenty-four quarters from 2016Q1 to 2021Q4 for collecting effective samples to calculate the annual stock return rates from 2017Q1 to 2021Q4. For each of the quarters from 2017Q1 to 2021Q4, an effective sample must meet the following conditions:</w:t>
      </w:r>
    </w:p>
    <w:p>
      <w:pPr>
        <w:pStyle w:val="76"/>
        <w:numPr>
          <w:ilvl w:val="0"/>
          <w:numId w:val="9"/>
        </w:numPr>
        <w:bidi w:val="0"/>
        <w:rPr>
          <w:rFonts w:hint="default"/>
        </w:rPr>
      </w:pPr>
      <w:r>
        <w:rPr>
          <w:rFonts w:hint="default"/>
        </w:rPr>
        <w:t xml:space="preserve">The A-share was listed to have definite stock closing prices in the last trading days of the current quarter and the corresponding quarter of last year so as to derive an annual stock return rate over previous one year; and </w:t>
      </w:r>
    </w:p>
    <w:p>
      <w:pPr>
        <w:pStyle w:val="76"/>
        <w:numPr>
          <w:ilvl w:val="0"/>
          <w:numId w:val="9"/>
        </w:numPr>
        <w:bidi w:val="0"/>
        <w:rPr>
          <w:rFonts w:hint="default"/>
        </w:rPr>
      </w:pPr>
      <w:r>
        <w:rPr>
          <w:rFonts w:hint="default"/>
        </w:rPr>
        <w:t>The A-share had at least one new invention grant by the end of the quarter over previous one year for calculating the drawing count.</w:t>
      </w:r>
    </w:p>
    <w:p>
      <w:pPr>
        <w:pStyle w:val="76"/>
        <w:bidi w:val="0"/>
        <w:rPr>
          <w:rFonts w:hint="default"/>
        </w:rPr>
      </w:pPr>
      <w:r>
        <w:rPr>
          <w:rFonts w:hint="default"/>
        </w:rPr>
        <w:t>The A-shares listed in the aforementioned quarters but having no definite stock closing prices, having no annual stock return rates or having no patents are all excluded.</w:t>
      </w:r>
    </w:p>
    <w:p>
      <w:pPr>
        <w:pStyle w:val="76"/>
        <w:bidi w:val="0"/>
        <w:rPr>
          <w:rFonts w:hint="default"/>
        </w:rPr>
      </w:pPr>
      <w:r>
        <w:rPr>
          <w:rFonts w:hint="default"/>
        </w:rPr>
        <w:t>Table 1 shows the effective samples statistics by quarter from 2017</w:t>
      </w:r>
      <w:r>
        <w:rPr>
          <w:rFonts w:hint="eastAsia"/>
          <w:lang w:val="en-US" w:eastAsia="zh-TW"/>
        </w:rPr>
        <w:t>Q1</w:t>
      </w:r>
      <w:r>
        <w:rPr>
          <w:rFonts w:hint="default"/>
        </w:rPr>
        <w:t xml:space="preserve"> to 2021</w:t>
      </w:r>
      <w:r>
        <w:rPr>
          <w:rFonts w:hint="eastAsia"/>
          <w:lang w:val="en-US" w:eastAsia="zh-TW"/>
        </w:rPr>
        <w:t>Q4</w:t>
      </w:r>
      <w:r>
        <w:rPr>
          <w:rFonts w:hint="default"/>
        </w:rPr>
        <w:t xml:space="preserve">. The numbers of effective samples gradually increase by quarter. By the end of 2017Q1, the number of all A-shares is 3,172 while the number of effective samples is 1,613. By the end of 2021Q4, the number of all A-shares is 4,686 while the number of effective samples is 2,825. The sampling rate of the effective samples to all A-shares is more than 50%, the analysis in this research should be free of survivorship bias. </w:t>
      </w:r>
    </w:p>
    <w:p>
      <w:pPr>
        <w:rPr>
          <w:rFonts w:hint="default" w:ascii="Times New Roman" w:hAnsi="Times New Roman" w:cs="Times New Roman"/>
          <w:b/>
          <w:sz w:val="28"/>
          <w:szCs w:val="28"/>
        </w:rPr>
      </w:pPr>
    </w:p>
    <w:p>
      <w:pPr>
        <w:pStyle w:val="71"/>
        <w:rPr>
          <w:rFonts w:hint="default" w:ascii="Times New Roman" w:hAnsi="Times New Roman" w:cs="Times New Roman"/>
        </w:rPr>
      </w:pPr>
      <w:r>
        <w:rPr>
          <w:rFonts w:hint="default" w:ascii="Times New Roman" w:hAnsi="Times New Roman" w:cs="Times New Roman"/>
        </w:rPr>
        <w:t xml:space="preserve">Effective </w:t>
      </w:r>
      <w:r>
        <w:rPr>
          <w:rFonts w:hint="eastAsia" w:cs="Times New Roman"/>
          <w:lang w:val="en-US" w:eastAsia="zh-TW"/>
        </w:rPr>
        <w:t>s</w:t>
      </w:r>
      <w:r>
        <w:rPr>
          <w:rFonts w:hint="default" w:ascii="Times New Roman" w:hAnsi="Times New Roman" w:cs="Times New Roman"/>
        </w:rPr>
        <w:t xml:space="preserve">amples </w:t>
      </w:r>
      <w:r>
        <w:rPr>
          <w:rFonts w:hint="eastAsia" w:cs="Times New Roman"/>
          <w:lang w:val="en-US" w:eastAsia="zh-TW"/>
        </w:rPr>
        <w:t>s</w:t>
      </w:r>
      <w:r>
        <w:rPr>
          <w:rFonts w:hint="default" w:ascii="Times New Roman" w:hAnsi="Times New Roman" w:cs="Times New Roman"/>
        </w:rPr>
        <w:t xml:space="preserve">tatistics in </w:t>
      </w:r>
      <w:r>
        <w:rPr>
          <w:rFonts w:hint="eastAsia" w:cs="Times New Roman"/>
          <w:lang w:val="en-US" w:eastAsia="zh-TW"/>
        </w:rPr>
        <w:t>e</w:t>
      </w:r>
      <w:r>
        <w:rPr>
          <w:rFonts w:hint="default" w:ascii="Times New Roman" w:hAnsi="Times New Roman" w:cs="Times New Roman"/>
        </w:rPr>
        <w:t xml:space="preserve">very </w:t>
      </w:r>
      <w:r>
        <w:rPr>
          <w:rFonts w:hint="eastAsia" w:cs="Times New Roman"/>
          <w:lang w:val="en-US" w:eastAsia="zh-TW"/>
        </w:rPr>
        <w:t>q</w:t>
      </w:r>
      <w:r>
        <w:rPr>
          <w:rFonts w:hint="default" w:ascii="Times New Roman" w:hAnsi="Times New Roman" w:cs="Times New Roman"/>
        </w:rPr>
        <w:t>uarter from 2017Q1 to 2021Q4</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2207"/>
        <w:gridCol w:w="1727"/>
        <w:gridCol w:w="1729"/>
        <w:gridCol w:w="1729"/>
        <w:gridCol w:w="17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791" w:type="pct"/>
            <w:gridSpan w:val="4"/>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Effective Sample A-shares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945"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Q1</w:t>
            </w:r>
          </w:p>
        </w:tc>
        <w:tc>
          <w:tcPr>
            <w:tcW w:w="946"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Q2</w:t>
            </w:r>
          </w:p>
        </w:tc>
        <w:tc>
          <w:tcPr>
            <w:tcW w:w="946"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Q3</w:t>
            </w:r>
          </w:p>
        </w:tc>
        <w:tc>
          <w:tcPr>
            <w:tcW w:w="952"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1629"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1,613 </w:t>
            </w:r>
          </w:p>
        </w:tc>
        <w:tc>
          <w:tcPr>
            <w:tcW w:w="163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1,599 </w:t>
            </w:r>
          </w:p>
        </w:tc>
        <w:tc>
          <w:tcPr>
            <w:tcW w:w="163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1,592 </w:t>
            </w:r>
          </w:p>
        </w:tc>
        <w:tc>
          <w:tcPr>
            <w:tcW w:w="1644"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1,738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1629"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1,811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1,859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1,946 </w:t>
            </w:r>
          </w:p>
        </w:tc>
        <w:tc>
          <w:tcPr>
            <w:tcW w:w="1644"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1,997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1629"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2,022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2,004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1,980 </w:t>
            </w:r>
          </w:p>
        </w:tc>
        <w:tc>
          <w:tcPr>
            <w:tcW w:w="1644"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1,950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1629"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1,925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1,980 </w:t>
            </w:r>
          </w:p>
        </w:tc>
        <w:tc>
          <w:tcPr>
            <w:tcW w:w="163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2,030 </w:t>
            </w:r>
          </w:p>
        </w:tc>
        <w:tc>
          <w:tcPr>
            <w:tcW w:w="1644"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2,099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1629"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2,502 </w:t>
            </w:r>
          </w:p>
        </w:tc>
        <w:tc>
          <w:tcPr>
            <w:tcW w:w="163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2,586 </w:t>
            </w:r>
          </w:p>
        </w:tc>
        <w:tc>
          <w:tcPr>
            <w:tcW w:w="163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2,767 </w:t>
            </w:r>
          </w:p>
        </w:tc>
        <w:tc>
          <w:tcPr>
            <w:tcW w:w="1644"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2,825 </w:t>
            </w:r>
          </w:p>
        </w:tc>
      </w:tr>
    </w:tbl>
    <w:p>
      <w:pPr>
        <w:pStyle w:val="78"/>
        <w:bidi w:val="0"/>
        <w:rPr>
          <w:rFonts w:hint="default" w:ascii="Times New Roman" w:hAnsi="Times New Roman" w:cs="Times New Roman"/>
          <w:lang w:val="en-US" w:eastAsia="zh-TW"/>
        </w:rPr>
      </w:pPr>
      <w:r>
        <w:rPr>
          <w:rFonts w:hint="default" w:ascii="Times New Roman" w:hAnsi="Times New Roman" w:cs="Times New Roman"/>
          <w:lang w:val="en-US" w:eastAsia="zh-TW"/>
        </w:rPr>
        <w:t>Data Source: This Research</w:t>
      </w:r>
    </w:p>
    <w:p>
      <w:pPr>
        <w:bidi w:val="0"/>
        <w:rPr>
          <w:rFonts w:hint="default"/>
        </w:rPr>
      </w:pPr>
    </w:p>
    <w:p>
      <w:pPr>
        <w:pStyle w:val="46"/>
        <w:rPr>
          <w:rFonts w:hint="default" w:ascii="Times New Roman" w:hAnsi="Times New Roman" w:cs="Times New Roman"/>
        </w:rPr>
      </w:pPr>
      <w:r>
        <w:rPr>
          <w:rFonts w:hint="default" w:ascii="Times New Roman" w:hAnsi="Times New Roman" w:cs="Times New Roman"/>
        </w:rPr>
        <w:t>Result and Finding</w:t>
      </w:r>
    </w:p>
    <w:p>
      <w:pPr>
        <w:pStyle w:val="48"/>
        <w:rPr>
          <w:rFonts w:hint="default" w:ascii="Times New Roman" w:hAnsi="Times New Roman" w:cs="Times New Roman"/>
        </w:rPr>
      </w:pPr>
      <w:r>
        <w:rPr>
          <w:rFonts w:hint="default" w:ascii="Times New Roman" w:hAnsi="Times New Roman" w:cs="Times New Roman"/>
        </w:rPr>
        <w:t>Variance of Invention Grant’s Drawing Count</w:t>
      </w:r>
    </w:p>
    <w:p>
      <w:pPr>
        <w:pStyle w:val="50"/>
        <w:rPr>
          <w:rFonts w:hint="default" w:ascii="Times New Roman" w:hAnsi="Times New Roman" w:cs="Times New Roman"/>
        </w:rPr>
      </w:pPr>
      <w:r>
        <w:rPr>
          <w:rFonts w:hint="default" w:ascii="Times New Roman" w:hAnsi="Times New Roman" w:cs="Times New Roman"/>
        </w:rPr>
        <w:t>Average Drawing Count</w:t>
      </w:r>
    </w:p>
    <w:p>
      <w:pPr>
        <w:rPr>
          <w:rFonts w:hint="default" w:ascii="Times New Roman" w:hAnsi="Times New Roman" w:cs="Times New Roman"/>
          <w:color w:val="000000"/>
          <w:szCs w:val="24"/>
        </w:rPr>
      </w:pPr>
      <w:r>
        <w:rPr>
          <w:rFonts w:hint="default" w:ascii="Times New Roman" w:hAnsi="Times New Roman" w:cs="Times New Roman"/>
          <w:color w:val="000000"/>
          <w:szCs w:val="24"/>
        </w:rPr>
        <w:t xml:space="preserve">Table 2 and Figure 1 show the average drawing count mean statistics for A-groups in every quarter from 2017Q1 to 2021Q4. </w:t>
      </w:r>
      <w:r>
        <w:rPr>
          <w:rFonts w:hint="eastAsia" w:cs="Times New Roman"/>
          <w:color w:val="000000"/>
          <w:szCs w:val="24"/>
          <w:lang w:val="en-US" w:eastAsia="zh-TW"/>
        </w:rPr>
        <w:t xml:space="preserve">The </w:t>
      </w:r>
      <w:r>
        <w:rPr>
          <w:rFonts w:hint="eastAsia" w:cs="Times New Roman"/>
          <w:color w:val="000000"/>
          <w:szCs w:val="24"/>
          <w:lang w:eastAsia="zh-TW"/>
        </w:rPr>
        <w:t>increasing trend</w:t>
      </w:r>
      <w:r>
        <w:rPr>
          <w:rFonts w:hint="eastAsia" w:cs="Times New Roman"/>
          <w:color w:val="000000"/>
          <w:szCs w:val="24"/>
          <w:lang w:val="en-US" w:eastAsia="zh-TW"/>
        </w:rPr>
        <w:t>s</w:t>
      </w:r>
      <w:r>
        <w:rPr>
          <w:rFonts w:hint="default" w:ascii="Times New Roman" w:hAnsi="Times New Roman" w:cs="Times New Roman"/>
          <w:color w:val="000000"/>
          <w:szCs w:val="24"/>
        </w:rPr>
        <w:t xml:space="preserve"> of average drawing count mean </w:t>
      </w:r>
      <w:r>
        <w:rPr>
          <w:rFonts w:hint="eastAsia" w:cs="Times New Roman"/>
          <w:color w:val="000000"/>
          <w:szCs w:val="24"/>
          <w:lang w:val="en-US" w:eastAsia="zh-TW"/>
        </w:rPr>
        <w:t xml:space="preserve">are </w:t>
      </w:r>
      <w:r>
        <w:rPr>
          <w:rFonts w:hint="default" w:ascii="Times New Roman" w:hAnsi="Times New Roman" w:cs="Times New Roman"/>
          <w:color w:val="000000"/>
          <w:szCs w:val="24"/>
        </w:rPr>
        <w:t xml:space="preserve">shown in Figure 1 for </w:t>
      </w:r>
      <w:r>
        <w:rPr>
          <w:rFonts w:hint="eastAsia" w:cs="Times New Roman"/>
          <w:color w:val="000000"/>
          <w:szCs w:val="24"/>
          <w:lang w:val="en-US" w:eastAsia="zh-TW"/>
        </w:rPr>
        <w:t xml:space="preserve">all </w:t>
      </w:r>
      <w:r>
        <w:rPr>
          <w:rFonts w:hint="default" w:ascii="Times New Roman" w:hAnsi="Times New Roman" w:cs="Times New Roman"/>
          <w:color w:val="000000"/>
          <w:szCs w:val="24"/>
        </w:rPr>
        <w:t>A-group</w:t>
      </w:r>
      <w:r>
        <w:rPr>
          <w:rFonts w:hint="eastAsia" w:cs="Times New Roman"/>
          <w:color w:val="000000"/>
          <w:szCs w:val="24"/>
          <w:lang w:val="en-US" w:eastAsia="zh-TW"/>
        </w:rPr>
        <w:t>s</w:t>
      </w:r>
      <w:r>
        <w:rPr>
          <w:rFonts w:hint="default" w:ascii="Times New Roman" w:hAnsi="Times New Roman" w:cs="Times New Roman"/>
          <w:color w:val="000000"/>
          <w:szCs w:val="24"/>
        </w:rPr>
        <w:t>. It is interesting to note that the average drawing count means of A-group #1 in all quarters from 2017Q1 to 2021Q4 are less than 1.0, it is because there are lots of A-shares of which the invention grants have no any drawings. Such invention grants are mostly relate to chemical compounds.</w:t>
      </w:r>
    </w:p>
    <w:p>
      <w:pPr>
        <w:rPr>
          <w:rFonts w:hint="default" w:ascii="Times New Roman" w:hAnsi="Times New Roman" w:cs="Times New Roman"/>
          <w:color w:val="000000"/>
          <w:szCs w:val="24"/>
        </w:rPr>
      </w:pPr>
    </w:p>
    <w:p>
      <w:pPr>
        <w:pStyle w:val="71"/>
        <w:rPr>
          <w:rFonts w:hint="default" w:ascii="Times New Roman" w:hAnsi="Times New Roman" w:cs="Times New Roman"/>
        </w:rPr>
      </w:pPr>
      <w:r>
        <w:rPr>
          <w:rFonts w:hint="eastAsia" w:cs="Times New Roman"/>
          <w:lang w:val="en-US" w:eastAsia="zh-TW"/>
        </w:rPr>
        <w:t>Average drawing count mean statistics of A-groups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13"/>
        <w:gridCol w:w="1323"/>
        <w:gridCol w:w="1296"/>
        <w:gridCol w:w="1296"/>
        <w:gridCol w:w="1296"/>
        <w:gridCol w:w="1296"/>
        <w:gridCol w:w="13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72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3556" w:type="pct"/>
            <w:gridSpan w:val="5"/>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Average Drawing Count Mean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#1</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#2</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#3</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#4</w:t>
            </w:r>
          </w:p>
        </w:tc>
        <w:tc>
          <w:tcPr>
            <w:tcW w:w="71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0.68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2.51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4.14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7.38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3.50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0.66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2.50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4.12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7.62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3.51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2.48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4.17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7.59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3.89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0.69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2.52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4.22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7.65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3.92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0.74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2.68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4.43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7.95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2.68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7.91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0.74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7.85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0.73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2.72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4.40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8.09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0.72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2.74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4.44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8.10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8.08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7.98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0.73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2.72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4.46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8.16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4.02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0.90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2.99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4.67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8.37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4.08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0.92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2.98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4.63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8.25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4.06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0.90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2.98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4.63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8.21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4.11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0.88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3.01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4.66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8.23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4.18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0.89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3.18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4.88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8.47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4.24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0.94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3.21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4.93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8.65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4.34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0.95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3.21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4.96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8.75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4.40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0.95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3.24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5.04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9.05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4.52 </w:t>
            </w: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78"/>
        <w:bidi w:val="0"/>
        <w:rPr>
          <w:rFonts w:hint="default" w:ascii="Times New Roman" w:hAnsi="Times New Roman" w:cs="Times New Roman"/>
          <w:color w:val="auto"/>
          <w:lang w:val="en-US" w:eastAsia="zh-TW"/>
        </w:rPr>
      </w:pPr>
    </w:p>
    <w:p>
      <w:pPr>
        <w:rPr>
          <w:rFonts w:hint="default" w:ascii="Times New Roman" w:hAnsi="Times New Roman" w:cs="Times New Roman"/>
          <w:szCs w:val="24"/>
        </w:rPr>
      </w:pPr>
      <w:r>
        <w:rPr>
          <w:rFonts w:hint="eastAsia" w:eastAsia="PMingLiU"/>
          <w:lang w:val="en-US" w:eastAsia="zh-TW"/>
        </w:rPr>
        <w:drawing>
          <wp:inline distT="0" distB="0" distL="114300" distR="114300">
            <wp:extent cx="5751195" cy="2861945"/>
            <wp:effectExtent l="0" t="0" r="9525" b="3175"/>
            <wp:docPr id="1"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
                    <pic:cNvPicPr>
                      <a:picLocks noChangeAspect="1"/>
                    </pic:cNvPicPr>
                  </pic:nvPicPr>
                  <pic:blipFill>
                    <a:blip r:embed="rId10"/>
                    <a:stretch>
                      <a:fillRect/>
                    </a:stretch>
                  </pic:blipFill>
                  <pic:spPr>
                    <a:xfrm>
                      <a:off x="0" y="0"/>
                      <a:ext cx="5751195" cy="2861945"/>
                    </a:xfrm>
                    <a:prstGeom prst="rect">
                      <a:avLst/>
                    </a:prstGeom>
                    <a:noFill/>
                    <a:ln>
                      <a:noFill/>
                    </a:ln>
                  </pic:spPr>
                </pic:pic>
              </a:graphicData>
            </a:graphic>
          </wp:inline>
        </w:drawing>
      </w:r>
    </w:p>
    <w:p>
      <w:pPr>
        <w:pStyle w:val="68"/>
        <w:rPr>
          <w:rFonts w:hint="default" w:ascii="Times New Roman" w:hAnsi="Times New Roman" w:cs="Times New Roman"/>
        </w:rPr>
      </w:pPr>
      <w:r>
        <w:rPr>
          <w:rFonts w:hint="default" w:ascii="Times New Roman" w:hAnsi="Times New Roman" w:cs="Times New Roman"/>
        </w:rPr>
        <w:t xml:space="preserve">Average </w:t>
      </w:r>
      <w:r>
        <w:rPr>
          <w:rFonts w:hint="eastAsia" w:ascii="Times New Roman" w:hAnsi="Times New Roman" w:cs="Times New Roman"/>
          <w:lang w:val="en-US" w:eastAsia="zh-TW"/>
        </w:rPr>
        <w:t>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eans of A-</w:t>
      </w:r>
      <w:r>
        <w:rPr>
          <w:rFonts w:hint="eastAsia" w:ascii="Times New Roman" w:hAnsi="Times New Roman" w:cs="Times New Roman"/>
          <w:lang w:val="en-US" w:eastAsia="zh-TW"/>
        </w:rPr>
        <w:t>g</w:t>
      </w:r>
      <w:r>
        <w:rPr>
          <w:rFonts w:hint="default" w:ascii="Times New Roman" w:hAnsi="Times New Roman" w:cs="Times New Roman"/>
        </w:rPr>
        <w:t>roups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default" w:ascii="Times New Roman" w:hAnsi="Times New Roman" w:cs="Times New Roman"/>
          <w:lang w:val="en-US" w:eastAsia="zh-TW"/>
        </w:rPr>
      </w:pPr>
      <w:r>
        <w:rPr>
          <w:rFonts w:hint="default" w:ascii="Times New Roman" w:hAnsi="Times New Roman" w:cs="Times New Roman"/>
          <w:lang w:val="en-US" w:eastAsia="zh-TW"/>
        </w:rPr>
        <w:t xml:space="preserve">Table 3 shows the results of ANOVA on average drawing count between five years from 2017 to 2021. For each </w:t>
      </w:r>
      <w:r>
        <w:rPr>
          <w:rFonts w:hint="default" w:ascii="Times New Roman" w:hAnsi="Times New Roman" w:cs="Times New Roman"/>
          <w:lang w:val="en-US" w:eastAsia="zh-CN"/>
        </w:rPr>
        <w:t>A-group</w:t>
      </w:r>
      <w:r>
        <w:rPr>
          <w:rFonts w:hint="default" w:ascii="Times New Roman" w:hAnsi="Times New Roman" w:cs="Times New Roman"/>
          <w:lang w:val="en-US" w:eastAsia="zh-TW"/>
        </w:rPr>
        <w:t>, the average drawing count variances between five years are of significance. A-shares in different years have significantly different average drawing count means.</w:t>
      </w:r>
    </w:p>
    <w:p>
      <w:pPr>
        <w:rPr>
          <w:rFonts w:hint="default" w:ascii="Times New Roman" w:hAnsi="Times New Roman" w:cs="Times New Roman"/>
          <w:lang w:val="en-US" w:eastAsia="zh-TW"/>
        </w:rPr>
      </w:pPr>
    </w:p>
    <w:p>
      <w:pPr>
        <w:pStyle w:val="71"/>
        <w:bidi w:val="0"/>
        <w:rPr>
          <w:rFonts w:hint="default"/>
          <w:lang w:val="en-US" w:eastAsia="zh-TW"/>
        </w:rPr>
      </w:pPr>
      <w:r>
        <w:rPr>
          <w:rFonts w:hint="default"/>
          <w:lang w:val="en-US" w:eastAsia="zh-TW"/>
        </w:rPr>
        <w:t xml:space="preserve">ANOVA on </w:t>
      </w:r>
      <w:r>
        <w:rPr>
          <w:rFonts w:hint="eastAsia"/>
          <w:lang w:val="en-US" w:eastAsia="zh-TW"/>
        </w:rPr>
        <w:t>a</w:t>
      </w:r>
      <w:r>
        <w:rPr>
          <w:rFonts w:hint="default"/>
          <w:lang w:val="en-US" w:eastAsia="zh-TW"/>
        </w:rPr>
        <w:t xml:space="preserve">verage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five y</w:t>
      </w:r>
      <w:r>
        <w:rPr>
          <w:rFonts w:hint="default"/>
          <w:lang w:val="en-US" w:eastAsia="zh-TW"/>
        </w:rPr>
        <w:t>ears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68"/>
        <w:gridCol w:w="1907"/>
        <w:gridCol w:w="1903"/>
        <w:gridCol w:w="1495"/>
        <w:gridCol w:w="1225"/>
        <w:gridCol w:w="123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104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206"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 xml:space="preserve">Average Drawing Count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18"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70"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676"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1043"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112.6 </w:t>
            </w:r>
          </w:p>
        </w:tc>
        <w:tc>
          <w:tcPr>
            <w:tcW w:w="1410"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28.1 </w:t>
            </w:r>
          </w:p>
        </w:tc>
        <w:tc>
          <w:tcPr>
            <w:tcW w:w="11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63.358 </w:t>
            </w:r>
          </w:p>
        </w:tc>
        <w:tc>
          <w:tcPr>
            <w:tcW w:w="11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4,722.6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0.4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664.9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166.2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645.338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2,598.9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0.3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737.6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184.4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706.669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2,618.7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0.3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1,560.3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390.1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29.375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133,427.9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13.3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lang w:val="en-US" w:eastAsia="zh-TW"/>
        </w:rPr>
      </w:pPr>
      <w:r>
        <w:rPr>
          <w:rFonts w:hint="default"/>
          <w:lang w:val="en-US" w:eastAsia="zh-TW"/>
        </w:rPr>
        <w:t>p*&lt;0.05, p**≤0.01, p***≤0.001; Data Source: This Research</w:t>
      </w:r>
    </w:p>
    <w:p>
      <w:pPr>
        <w:rPr>
          <w:rFonts w:hint="default" w:ascii="Times New Roman" w:hAnsi="Times New Roman" w:cs="Times New Roman"/>
          <w:lang w:val="en-US" w:eastAsia="zh-TW"/>
        </w:rPr>
      </w:pPr>
    </w:p>
    <w:p>
      <w:pPr>
        <w:rPr>
          <w:rFonts w:hint="default" w:ascii="Times New Roman" w:hAnsi="Times New Roman" w:cs="Times New Roman"/>
          <w:lang w:val="en-US" w:eastAsia="zh-TW"/>
        </w:rPr>
      </w:pPr>
      <w:r>
        <w:rPr>
          <w:rFonts w:hint="default" w:ascii="Times New Roman" w:hAnsi="Times New Roman" w:cs="Times New Roman"/>
          <w:lang w:val="en-US" w:eastAsia="zh-TW"/>
        </w:rPr>
        <w:t xml:space="preserve">Table 4 further shows the multiple comparisons of ANOVA on average drawing count between every two years with regard to </w:t>
      </w:r>
      <w:r>
        <w:rPr>
          <w:rFonts w:hint="eastAsia" w:cs="Times New Roman"/>
          <w:lang w:val="en-US" w:eastAsia="zh-TW"/>
        </w:rPr>
        <w:t xml:space="preserve">each </w:t>
      </w:r>
      <w:r>
        <w:rPr>
          <w:rFonts w:hint="default" w:ascii="Times New Roman" w:hAnsi="Times New Roman" w:cs="Times New Roman"/>
          <w:lang w:val="en-US" w:eastAsia="zh-TW"/>
        </w:rPr>
        <w:t>A-group. Regarding A-group #1, the average drawing count variance</w:t>
      </w:r>
      <w:r>
        <w:rPr>
          <w:rFonts w:hint="eastAsia" w:cs="Times New Roman"/>
          <w:lang w:val="en-US" w:eastAsia="zh-TW"/>
        </w:rPr>
        <w:t>s</w:t>
      </w:r>
      <w:r>
        <w:rPr>
          <w:rFonts w:hint="default" w:ascii="Times New Roman" w:hAnsi="Times New Roman" w:cs="Times New Roman"/>
          <w:lang w:val="en-US" w:eastAsia="zh-TW"/>
        </w:rPr>
        <w:t xml:space="preserve"> between 2019 and 2017, between 2019 and 2018, between 2021 and 2020, are free of significance while the average drawing count variances between any other two years are of significance. According to the significant mean differences, A-shares in 2017 show the lowest average drawing count mean while A-shares in 2021 show the highest average drawing count mean</w:t>
      </w:r>
      <w:r>
        <w:rPr>
          <w:rFonts w:hint="eastAsia" w:cs="Times New Roman"/>
          <w:lang w:val="en-US" w:eastAsia="zh-TW"/>
        </w:rPr>
        <w:t>. T</w:t>
      </w:r>
      <w:r>
        <w:rPr>
          <w:rFonts w:hint="default" w:ascii="Times New Roman" w:hAnsi="Times New Roman" w:cs="Times New Roman"/>
          <w:lang w:val="en-US" w:eastAsia="zh-TW"/>
        </w:rPr>
        <w:t>he average drawing count mean of A-group #</w:t>
      </w:r>
      <w:r>
        <w:rPr>
          <w:rFonts w:hint="eastAsia" w:cs="Times New Roman"/>
          <w:lang w:val="en-US" w:eastAsia="zh-TW"/>
        </w:rPr>
        <w:t>1</w:t>
      </w:r>
      <w:r>
        <w:rPr>
          <w:rFonts w:hint="default" w:ascii="Times New Roman" w:hAnsi="Times New Roman" w:cs="Times New Roman"/>
          <w:lang w:val="en-US" w:eastAsia="zh-TW"/>
        </w:rPr>
        <w:t xml:space="preserve"> </w:t>
      </w:r>
      <w:r>
        <w:rPr>
          <w:rFonts w:hint="eastAsia" w:cs="Times New Roman"/>
          <w:lang w:val="en-US" w:eastAsia="zh-TW"/>
        </w:rPr>
        <w:t xml:space="preserve">increases from 2017 to 2021, however, it does not </w:t>
      </w:r>
      <w:r>
        <w:rPr>
          <w:rFonts w:hint="default" w:ascii="Times New Roman" w:hAnsi="Times New Roman" w:cs="Times New Roman"/>
          <w:lang w:val="en-US" w:eastAsia="zh-TW"/>
        </w:rPr>
        <w:t xml:space="preserve">show </w:t>
      </w:r>
      <w:r>
        <w:rPr>
          <w:rFonts w:hint="eastAsia" w:cs="Times New Roman"/>
          <w:lang w:val="en-US" w:eastAsia="zh-TW"/>
        </w:rPr>
        <w:t xml:space="preserve">an increasing trend because </w:t>
      </w:r>
      <w:r>
        <w:rPr>
          <w:rFonts w:hint="default" w:ascii="Times New Roman" w:hAnsi="Times New Roman" w:cs="Times New Roman"/>
          <w:lang w:val="en-US" w:eastAsia="zh-TW"/>
        </w:rPr>
        <w:t xml:space="preserve">A-shares in 2019 show lower average drawing count </w:t>
      </w:r>
      <w:r>
        <w:rPr>
          <w:rFonts w:hint="eastAsia" w:cs="Times New Roman"/>
          <w:lang w:val="en-US" w:eastAsia="zh-TW"/>
        </w:rPr>
        <w:t xml:space="preserve">mean </w:t>
      </w:r>
      <w:r>
        <w:rPr>
          <w:rFonts w:hint="default" w:ascii="Times New Roman" w:hAnsi="Times New Roman" w:cs="Times New Roman"/>
          <w:lang w:val="en-US" w:eastAsia="zh-TW"/>
        </w:rPr>
        <w:t xml:space="preserve">than A-shares in 2018. </w:t>
      </w:r>
    </w:p>
    <w:p>
      <w:pPr>
        <w:pStyle w:val="76"/>
        <w:bidi w:val="0"/>
        <w:rPr>
          <w:rFonts w:hint="default"/>
          <w:lang w:val="en-US" w:eastAsia="zh-TW"/>
        </w:rPr>
      </w:pPr>
      <w:r>
        <w:rPr>
          <w:rFonts w:hint="default"/>
          <w:lang w:val="en-US" w:eastAsia="zh-TW"/>
        </w:rPr>
        <w:t xml:space="preserve">Regarding A-groups #2 and #3, the average drawing count variances between 2019 and 2018 are free of significance while the average drawing count variances between any other two years are of significance. According to the significant mean differences, A-shares in 2017 show the lowest average drawing count mean while A-shares in 2021 show the highest average drawing count mean. The average drawing count means of A-groups #2 and #3 show </w:t>
      </w:r>
      <w:r>
        <w:rPr>
          <w:rFonts w:hint="eastAsia"/>
          <w:lang w:val="en-US" w:eastAsia="zh-TW"/>
        </w:rPr>
        <w:t>increasing trends</w:t>
      </w:r>
      <w:r>
        <w:rPr>
          <w:rFonts w:hint="default"/>
          <w:lang w:val="en-US" w:eastAsia="zh-TW"/>
        </w:rPr>
        <w:t xml:space="preserve"> from 2017 to 2021.</w:t>
      </w:r>
    </w:p>
    <w:p>
      <w:pPr>
        <w:rPr>
          <w:rFonts w:hint="default" w:ascii="Times New Roman" w:hAnsi="Times New Roman" w:cs="Times New Roman"/>
          <w:lang w:val="en-US" w:eastAsia="zh-TW"/>
        </w:rPr>
      </w:pPr>
      <w:r>
        <w:rPr>
          <w:rFonts w:hint="default" w:ascii="Times New Roman" w:hAnsi="Times New Roman" w:cs="Times New Roman"/>
          <w:lang w:val="en-US" w:eastAsia="zh-TW"/>
        </w:rPr>
        <w:t>Regarding A-group #4, the average drawing count variance</w:t>
      </w:r>
      <w:r>
        <w:rPr>
          <w:rFonts w:hint="eastAsia" w:cs="Times New Roman"/>
          <w:lang w:val="en-US" w:eastAsia="zh-TW"/>
        </w:rPr>
        <w:t>s</w:t>
      </w:r>
      <w:r>
        <w:rPr>
          <w:rFonts w:hint="default" w:ascii="Times New Roman" w:hAnsi="Times New Roman" w:cs="Times New Roman"/>
          <w:lang w:val="en-US" w:eastAsia="zh-TW"/>
        </w:rPr>
        <w:t xml:space="preserve"> between between 2019 and 2018, between 2020 and 2019, are free of significance while the average drawing count variances between any other two years are of significance. According to the significant mean differences, A-shares in 2017 show the lowest average drawing count mean while A-shares in 2021 show the highest average drawing count mean, whereas A-shares in 2019 show lower average drawing count than A-shares in 2018. The average drawing count mean of A-group #4 shows </w:t>
      </w:r>
      <w:r>
        <w:rPr>
          <w:rFonts w:hint="eastAsia" w:cs="Times New Roman"/>
          <w:lang w:val="en-US" w:eastAsia="zh-TW"/>
        </w:rPr>
        <w:t>an increasing trend</w:t>
      </w:r>
      <w:r>
        <w:rPr>
          <w:rFonts w:hint="default" w:ascii="Times New Roman" w:hAnsi="Times New Roman" w:cs="Times New Roman"/>
          <w:lang w:val="en-US" w:eastAsia="zh-TW"/>
        </w:rPr>
        <w:t xml:space="preserve"> from 2017 to 2021.</w:t>
      </w:r>
    </w:p>
    <w:p>
      <w:pPr>
        <w:rPr>
          <w:rFonts w:hint="default" w:ascii="Times New Roman" w:hAnsi="Times New Roman" w:cs="Times New Roman"/>
          <w:lang w:val="en-US" w:eastAsia="zh-TW"/>
        </w:rPr>
      </w:pPr>
      <w:r>
        <w:rPr>
          <w:rFonts w:hint="eastAsia" w:cs="Times New Roman"/>
          <w:lang w:val="en-US" w:eastAsia="zh-TW"/>
        </w:rPr>
        <w:t>T</w:t>
      </w:r>
      <w:r>
        <w:rPr>
          <w:rFonts w:hint="default" w:ascii="Times New Roman" w:hAnsi="Times New Roman" w:cs="Times New Roman"/>
          <w:lang w:val="en-US" w:eastAsia="zh-TW"/>
        </w:rPr>
        <w:t>he average drawing count mean of A-group #</w:t>
      </w:r>
      <w:r>
        <w:rPr>
          <w:rFonts w:hint="eastAsia" w:cs="Times New Roman"/>
          <w:lang w:val="en-US" w:eastAsia="zh-TW"/>
        </w:rPr>
        <w:t xml:space="preserve">1 increases from 2017 to 2021 while </w:t>
      </w:r>
      <w:r>
        <w:rPr>
          <w:rFonts w:hint="default" w:ascii="Times New Roman" w:hAnsi="Times New Roman" w:cs="Times New Roman"/>
          <w:lang w:val="en-US" w:eastAsia="zh-TW"/>
        </w:rPr>
        <w:t xml:space="preserve">the average drawing count means of A-groups #2, #3 and #4 show </w:t>
      </w:r>
      <w:r>
        <w:rPr>
          <w:rFonts w:hint="eastAsia" w:cs="Times New Roman"/>
          <w:lang w:val="en-US" w:eastAsia="zh-TW"/>
        </w:rPr>
        <w:t>significantly increasing trends</w:t>
      </w:r>
      <w:r>
        <w:rPr>
          <w:rFonts w:hint="default" w:ascii="Times New Roman" w:hAnsi="Times New Roman" w:cs="Times New Roman"/>
          <w:lang w:val="en-US" w:eastAsia="zh-TW"/>
        </w:rPr>
        <w:t xml:space="preserve"> from 2017 to 2021, </w:t>
      </w:r>
      <w:r>
        <w:rPr>
          <w:rFonts w:hint="eastAsia" w:cs="Times New Roman"/>
          <w:lang w:val="en-US" w:eastAsia="zh-TW"/>
        </w:rPr>
        <w:t>i.e. the majority of A-share</w:t>
      </w:r>
      <w:r>
        <w:rPr>
          <w:rFonts w:hint="default" w:cs="Times New Roman"/>
          <w:lang w:val="en-US" w:eastAsia="zh-TW"/>
        </w:rPr>
        <w:t>’</w:t>
      </w:r>
      <w:r>
        <w:rPr>
          <w:rFonts w:hint="eastAsia" w:cs="Times New Roman"/>
          <w:lang w:val="en-US" w:eastAsia="zh-TW"/>
        </w:rPr>
        <w:t xml:space="preserve">s patents have higher and higher </w:t>
      </w:r>
      <w:r>
        <w:rPr>
          <w:rFonts w:hint="default" w:ascii="Times New Roman" w:hAnsi="Times New Roman" w:cs="Times New Roman"/>
          <w:lang w:val="en-US" w:eastAsia="zh-TW"/>
        </w:rPr>
        <w:t>drawing count</w:t>
      </w:r>
      <w:r>
        <w:rPr>
          <w:rFonts w:hint="eastAsia" w:cs="Times New Roman"/>
          <w:lang w:val="en-US" w:eastAsia="zh-TW"/>
        </w:rPr>
        <w:t>s. W</w:t>
      </w:r>
      <w:r>
        <w:rPr>
          <w:rFonts w:hint="default" w:ascii="Times New Roman" w:hAnsi="Times New Roman" w:cs="Times New Roman"/>
          <w:lang w:val="en-US" w:eastAsia="zh-TW"/>
        </w:rPr>
        <w:t>hen taking the patent drawing count as one of indicators of patent quality, the invention grant patent quality of China A-shares has gradually increased of significance over previous five years.</w:t>
      </w:r>
    </w:p>
    <w:p>
      <w:pPr>
        <w:rPr>
          <w:rFonts w:hint="default" w:ascii="Times New Roman" w:hAnsi="Times New Roman" w:cs="Times New Roman"/>
          <w:lang w:val="en-US" w:eastAsia="zh-TW"/>
        </w:rPr>
      </w:pPr>
    </w:p>
    <w:p>
      <w:pPr>
        <w:pStyle w:val="71"/>
        <w:bidi w:val="0"/>
        <w:rPr>
          <w:rFonts w:hint="default"/>
          <w:lang w:val="en-US" w:eastAsia="zh-TW"/>
        </w:rPr>
      </w:pPr>
      <w:r>
        <w:rPr>
          <w:rFonts w:hint="default"/>
          <w:lang w:val="en-US" w:eastAsia="zh-TW"/>
        </w:rPr>
        <w:t xml:space="preserve">Multiple </w:t>
      </w:r>
      <w:r>
        <w:rPr>
          <w:rFonts w:hint="eastAsia"/>
          <w:lang w:val="en-US" w:eastAsia="zh-TW"/>
        </w:rPr>
        <w:t>c</w:t>
      </w:r>
      <w:r>
        <w:rPr>
          <w:rFonts w:hint="default"/>
          <w:lang w:val="en-US" w:eastAsia="zh-TW"/>
        </w:rPr>
        <w:t xml:space="preserve">omparisons of ANOVA on </w:t>
      </w:r>
      <w:r>
        <w:rPr>
          <w:rFonts w:hint="eastAsia"/>
          <w:lang w:val="en-US" w:eastAsia="zh-TW"/>
        </w:rPr>
        <w:t>a</w:t>
      </w:r>
      <w:r>
        <w:rPr>
          <w:rFonts w:hint="default"/>
          <w:lang w:val="en-US" w:eastAsia="zh-TW"/>
        </w:rPr>
        <w:t xml:space="preserve">verage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two y</w:t>
      </w:r>
      <w:r>
        <w:rPr>
          <w:rFonts w:hint="default"/>
          <w:lang w:val="en-US" w:eastAsia="zh-TW"/>
        </w:rPr>
        <w:t>ea</w:t>
      </w:r>
      <w:r>
        <w:rPr>
          <w:rFonts w:hint="eastAsia"/>
          <w:lang w:val="en-US" w:eastAsia="zh-TW"/>
        </w:rPr>
        <w:t>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48"/>
        <w:gridCol w:w="1349"/>
        <w:gridCol w:w="1349"/>
        <w:gridCol w:w="2347"/>
        <w:gridCol w:w="1369"/>
        <w:gridCol w:w="13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Year</w:t>
            </w:r>
            <w:r>
              <w:rPr>
                <w:rFonts w:hint="default" w:cs="Times New Roman"/>
                <w:lang w:val="en-US" w:eastAsia="zh-CN"/>
              </w:rPr>
              <w:t>(I)</w:t>
            </w:r>
          </w:p>
        </w:tc>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r>
              <w:rPr>
                <w:rFonts w:hint="default" w:cs="Times New Roman"/>
                <w:lang w:val="en-US" w:eastAsia="zh-CN"/>
              </w:rPr>
              <w:t>(J)</w:t>
            </w:r>
          </w:p>
        </w:tc>
        <w:tc>
          <w:tcPr>
            <w:tcW w:w="2785"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Average Drawing Count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84"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49"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75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0.058</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0.022</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0.041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0.022</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0.066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0.021</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0.217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0.022</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0.159</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0.021</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0.176</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0.020</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0.252</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0.021</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0.194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0.020</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0.211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0.020</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0.035</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0.064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0.194</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0.224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0.030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0.065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0.484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0.260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0.707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0.513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0.483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0.223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0.245</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0.273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0.028</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0.480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0.235</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0.207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0.793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0.548</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0.520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0.313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0.383</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0.124</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0.513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0.123</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0.130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0.118</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0.694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0.122</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0.311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0.181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1.173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0.790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0.110</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0.660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0.478</w:t>
            </w:r>
          </w:p>
        </w:tc>
        <w:tc>
          <w:tcPr>
            <w:tcW w:w="129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0.108</w:t>
            </w:r>
          </w:p>
        </w:tc>
        <w:tc>
          <w:tcPr>
            <w:tcW w:w="1296"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bl>
    <w:p>
      <w:pPr>
        <w:pStyle w:val="78"/>
        <w:bidi w:val="0"/>
        <w:rPr>
          <w:rFonts w:hint="default"/>
          <w:lang w:val="en-US" w:eastAsia="zh-TW"/>
        </w:rPr>
      </w:pPr>
      <w:r>
        <w:rPr>
          <w:rFonts w:hint="default"/>
          <w:lang w:val="en-US" w:eastAsia="zh-TW"/>
        </w:rPr>
        <w:t>p*&lt;0.05, p**≤0.01, p***≤0.001; Data Source: This Research</w:t>
      </w:r>
    </w:p>
    <w:p>
      <w:pPr>
        <w:rPr>
          <w:rFonts w:hint="default" w:ascii="Times New Roman" w:hAnsi="Times New Roman" w:cs="Times New Roman"/>
          <w:lang w:val="en-US" w:eastAsia="zh-TW"/>
        </w:rPr>
      </w:pPr>
    </w:p>
    <w:p>
      <w:pPr>
        <w:pStyle w:val="50"/>
        <w:rPr>
          <w:rFonts w:hint="default" w:ascii="Times New Roman" w:hAnsi="Times New Roman" w:cs="Times New Roman"/>
        </w:rPr>
      </w:pPr>
      <w:r>
        <w:rPr>
          <w:rFonts w:hint="eastAsia" w:ascii="Times New Roman" w:hAnsi="Times New Roman" w:cs="Times New Roman"/>
          <w:lang w:val="en-US" w:eastAsia="zh-TW"/>
        </w:rPr>
        <w:t xml:space="preserve">Total </w:t>
      </w:r>
      <w:r>
        <w:rPr>
          <w:rFonts w:hint="default" w:ascii="Times New Roman" w:hAnsi="Times New Roman" w:cs="Times New Roman"/>
        </w:rPr>
        <w:t>Drawing Count</w:t>
      </w:r>
    </w:p>
    <w:p>
      <w:pPr>
        <w:rPr>
          <w:rFonts w:hint="default" w:ascii="Times New Roman" w:hAnsi="Times New Roman" w:cs="Times New Roman"/>
          <w:b/>
          <w:color w:val="000000"/>
          <w:szCs w:val="24"/>
        </w:rPr>
      </w:pPr>
      <w:r>
        <w:rPr>
          <w:rFonts w:hint="default" w:ascii="Times New Roman" w:hAnsi="Times New Roman" w:cs="Times New Roman"/>
          <w:color w:val="000000"/>
          <w:szCs w:val="24"/>
        </w:rPr>
        <w:t xml:space="preserve">Table 5, Figures 2 and 3 show the total drawing count mean statistics and trends of four T-groups in every quarter from 2017Q1 to 2021Q4. In Figure 2, the fluctuation of total drawing count mean of T-group #3 is higher than those of T-groups #1 and #2. In Figure 3, the total drawing count mean of T-group #4 is </w:t>
      </w:r>
      <w:r>
        <w:rPr>
          <w:rFonts w:hint="eastAsia" w:cs="Times New Roman"/>
          <w:color w:val="000000"/>
          <w:szCs w:val="24"/>
          <w:lang w:val="en-US" w:eastAsia="zh-TW"/>
        </w:rPr>
        <w:t xml:space="preserve">also </w:t>
      </w:r>
      <w:r>
        <w:rPr>
          <w:rFonts w:hint="default" w:ascii="Times New Roman" w:hAnsi="Times New Roman" w:cs="Times New Roman"/>
          <w:color w:val="000000"/>
          <w:szCs w:val="24"/>
        </w:rPr>
        <w:t xml:space="preserve">fluctuating, however, it seems to show an </w:t>
      </w:r>
      <w:r>
        <w:rPr>
          <w:rFonts w:hint="eastAsia" w:cs="Times New Roman"/>
          <w:color w:val="000000"/>
          <w:szCs w:val="24"/>
          <w:lang w:eastAsia="zh-TW"/>
        </w:rPr>
        <w:t>increasing trend</w:t>
      </w:r>
      <w:r>
        <w:rPr>
          <w:rFonts w:hint="default" w:ascii="Times New Roman" w:hAnsi="Times New Roman" w:cs="Times New Roman"/>
          <w:color w:val="000000"/>
          <w:szCs w:val="24"/>
        </w:rPr>
        <w:t>.</w:t>
      </w:r>
    </w:p>
    <w:p>
      <w:pPr>
        <w:rPr>
          <w:rFonts w:hint="default" w:ascii="Times New Roman" w:hAnsi="Times New Roman" w:cs="Times New Roman"/>
          <w:szCs w:val="24"/>
        </w:rPr>
      </w:pPr>
    </w:p>
    <w:p>
      <w:pPr>
        <w:pStyle w:val="71"/>
        <w:bidi w:val="0"/>
        <w:rPr>
          <w:rFonts w:hint="default"/>
          <w:lang w:val="en-US" w:eastAsia="zh-TW"/>
        </w:rPr>
      </w:pPr>
      <w:r>
        <w:rPr>
          <w:rFonts w:hint="default"/>
          <w:lang w:val="en-US" w:eastAsia="zh-TW"/>
        </w:rPr>
        <w:t xml:space="preserve">Total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w:t>
      </w:r>
      <w:r>
        <w:rPr>
          <w:rFonts w:hint="eastAsia"/>
          <w:lang w:val="en-US" w:eastAsia="zh-TW"/>
        </w:rPr>
        <w:t>m</w:t>
      </w:r>
      <w:r>
        <w:rPr>
          <w:rFonts w:hint="default"/>
          <w:lang w:val="en-US" w:eastAsia="zh-TW"/>
        </w:rPr>
        <w:t xml:space="preserve">ean </w:t>
      </w:r>
      <w:r>
        <w:rPr>
          <w:rFonts w:hint="eastAsia"/>
          <w:lang w:val="en-US" w:eastAsia="zh-TW"/>
        </w:rPr>
        <w:t>s</w:t>
      </w:r>
      <w:r>
        <w:rPr>
          <w:rFonts w:hint="default"/>
          <w:lang w:val="en-US" w:eastAsia="zh-TW"/>
        </w:rPr>
        <w:t>tatistics of T-</w:t>
      </w:r>
      <w:r>
        <w:rPr>
          <w:rFonts w:hint="eastAsia"/>
          <w:lang w:val="en-US" w:eastAsia="zh-TW"/>
        </w:rPr>
        <w:t>g</w:t>
      </w:r>
      <w:r>
        <w:rPr>
          <w:rFonts w:hint="default"/>
          <w:lang w:val="en-US" w:eastAsia="zh-TW"/>
        </w:rPr>
        <w:t>roup</w:t>
      </w:r>
      <w:r>
        <w:rPr>
          <w:rFonts w:hint="eastAsia"/>
          <w:lang w:val="en-US" w:eastAsia="zh-TW"/>
        </w:rPr>
        <w:t>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13"/>
        <w:gridCol w:w="1323"/>
        <w:gridCol w:w="1296"/>
        <w:gridCol w:w="1296"/>
        <w:gridCol w:w="1296"/>
        <w:gridCol w:w="1296"/>
        <w:gridCol w:w="13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lang w:val="en-US" w:eastAsia="zh-TW"/>
              </w:rPr>
            </w:pPr>
            <w:r>
              <w:rPr>
                <w:rFonts w:hint="default"/>
                <w:lang w:val="en-US" w:eastAsia="zh-TW"/>
              </w:rPr>
              <w:t>Year</w:t>
            </w:r>
          </w:p>
        </w:tc>
        <w:tc>
          <w:tcPr>
            <w:tcW w:w="72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lang w:val="en-US" w:eastAsia="zh-TW"/>
              </w:rPr>
            </w:pPr>
            <w:r>
              <w:rPr>
                <w:rFonts w:hint="default"/>
                <w:lang w:val="en-US" w:eastAsia="zh-TW"/>
              </w:rPr>
              <w:t>Quarter</w:t>
            </w:r>
          </w:p>
        </w:tc>
        <w:tc>
          <w:tcPr>
            <w:tcW w:w="3556" w:type="pct"/>
            <w:gridSpan w:val="5"/>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Total Drawing Count Mean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p>
        </w:tc>
        <w:tc>
          <w:tcPr>
            <w:tcW w:w="724"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#1</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#2</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#3</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#4</w:t>
            </w:r>
          </w:p>
        </w:tc>
        <w:tc>
          <w:tcPr>
            <w:tcW w:w="71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2017</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1.99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10.09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28.06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353.31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93.00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1.95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10.24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28.64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355.82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93.84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10.02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28.06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374.59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102.20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2.11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9.95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28.50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409.66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117.64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2018</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2.12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10.30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30.00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430.87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114.43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2.06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10.37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29.54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418.90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115.62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2.15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10.19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30.72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418.90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116.43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4</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2.11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10.31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31.11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418.75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110.15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2019</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2.01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10.43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29.39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413.78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114.40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10.39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28.83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438.65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120.22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10.29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28.93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485.10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128.14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2.14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10.37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28.67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528.90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135.64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2020</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2.17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9.92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28.18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544.58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134.91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2.18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9.90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27.44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542.92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138.81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1.99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9.81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27.73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549.57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145.91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2.03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10.06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28.20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567.42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159.06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2021</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2.03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10.31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30.01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597.48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158.55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2.21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10.98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32.79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628.13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165.16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2.63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11.77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34.02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661.00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173.29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2.65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11.79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34.96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default"/>
                <w:lang w:val="en-US" w:eastAsia="zh-CN"/>
              </w:rPr>
              <w:t xml:space="preserve">642.71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default"/>
                <w:lang w:val="en-US" w:eastAsia="zh-CN"/>
              </w:rPr>
              <w:t xml:space="preserve">171.34 </w:t>
            </w: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rPr>
          <w:rFonts w:hint="default" w:ascii="Times New Roman" w:hAnsi="Times New Roman" w:cs="Times New Roman"/>
          <w:szCs w:val="24"/>
        </w:rPr>
      </w:pPr>
    </w:p>
    <w:p>
      <w:pPr>
        <w:pStyle w:val="81"/>
        <w:bidi w:val="0"/>
        <w:rPr>
          <w:rFonts w:hint="default"/>
          <w:lang w:val="en-US" w:eastAsia="zh-TW"/>
        </w:rPr>
      </w:pPr>
      <w:r>
        <w:rPr>
          <w:rFonts w:hint="default"/>
          <w:lang w:val="en-US" w:eastAsia="zh-TW"/>
        </w:rPr>
        <w:drawing>
          <wp:inline distT="0" distB="0" distL="114300" distR="114300">
            <wp:extent cx="5751195" cy="2873375"/>
            <wp:effectExtent l="0" t="0" r="9525" b="6985"/>
            <wp:docPr id="2"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2"/>
                    <pic:cNvPicPr>
                      <a:picLocks noChangeAspect="1"/>
                    </pic:cNvPicPr>
                  </pic:nvPicPr>
                  <pic:blipFill>
                    <a:blip r:embed="rId11"/>
                    <a:stretch>
                      <a:fillRect/>
                    </a:stretch>
                  </pic:blipFill>
                  <pic:spPr>
                    <a:xfrm>
                      <a:off x="0" y="0"/>
                      <a:ext cx="5751195" cy="2873375"/>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68"/>
        <w:rPr>
          <w:rFonts w:hint="default" w:ascii="Times New Roman" w:hAnsi="Times New Roman" w:cs="Times New Roman"/>
        </w:rPr>
      </w:pPr>
      <w:r>
        <w:rPr>
          <w:rFonts w:hint="eastAsia" w:ascii="Times New Roman" w:hAnsi="Times New Roman" w:cs="Times New Roman"/>
          <w:lang w:val="en-US" w:eastAsia="zh-TW"/>
        </w:rPr>
        <w:t>Total 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 xml:space="preserve">eans of </w:t>
      </w:r>
      <w:r>
        <w:rPr>
          <w:rFonts w:hint="eastAsia" w:ascii="Times New Roman" w:hAnsi="Times New Roman" w:cs="Times New Roman"/>
          <w:lang w:val="en-US" w:eastAsia="zh-TW"/>
        </w:rPr>
        <w:t>T</w:t>
      </w:r>
      <w:r>
        <w:rPr>
          <w:rFonts w:hint="default" w:ascii="Times New Roman" w:hAnsi="Times New Roman" w:cs="Times New Roman"/>
        </w:rPr>
        <w:t>-</w:t>
      </w:r>
      <w:r>
        <w:rPr>
          <w:rFonts w:hint="eastAsia" w:ascii="Times New Roman" w:hAnsi="Times New Roman" w:cs="Times New Roman"/>
          <w:lang w:val="en-US" w:eastAsia="zh-TW"/>
        </w:rPr>
        <w:t>g</w:t>
      </w:r>
      <w:r>
        <w:rPr>
          <w:rFonts w:hint="default" w:ascii="Times New Roman" w:hAnsi="Times New Roman" w:cs="Times New Roman"/>
        </w:rPr>
        <w:t xml:space="preserve">roups </w:t>
      </w:r>
      <w:r>
        <w:rPr>
          <w:rFonts w:hint="eastAsia" w:ascii="Times New Roman" w:hAnsi="Times New Roman" w:cs="Times New Roman"/>
          <w:lang w:val="en-US" w:eastAsia="zh-TW"/>
        </w:rPr>
        <w:t xml:space="preserve">#1, #2 and #3 </w:t>
      </w:r>
      <w:r>
        <w:rPr>
          <w:rFonts w:hint="default" w:ascii="Times New Roman" w:hAnsi="Times New Roman" w:cs="Times New Roman"/>
        </w:rPr>
        <w:t>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drawing>
          <wp:inline distT="0" distB="0" distL="114300" distR="114300">
            <wp:extent cx="5751195" cy="2877820"/>
            <wp:effectExtent l="0" t="0" r="9525" b="2540"/>
            <wp:docPr id="3"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3"/>
                    <pic:cNvPicPr>
                      <a:picLocks noChangeAspect="1"/>
                    </pic:cNvPicPr>
                  </pic:nvPicPr>
                  <pic:blipFill>
                    <a:blip r:embed="rId12"/>
                    <a:stretch>
                      <a:fillRect/>
                    </a:stretch>
                  </pic:blipFill>
                  <pic:spPr>
                    <a:xfrm>
                      <a:off x="0" y="0"/>
                      <a:ext cx="5751195" cy="2877820"/>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68"/>
        <w:rPr>
          <w:rFonts w:hint="default" w:ascii="Times New Roman" w:hAnsi="Times New Roman" w:cs="Times New Roman"/>
        </w:rPr>
      </w:pPr>
      <w:r>
        <w:rPr>
          <w:rFonts w:hint="eastAsia" w:ascii="Times New Roman" w:hAnsi="Times New Roman" w:cs="Times New Roman"/>
          <w:lang w:val="en-US" w:eastAsia="zh-TW"/>
        </w:rPr>
        <w:t>Total 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 xml:space="preserve">eans of </w:t>
      </w:r>
      <w:r>
        <w:rPr>
          <w:rFonts w:hint="eastAsia" w:ascii="Times New Roman" w:hAnsi="Times New Roman" w:cs="Times New Roman"/>
          <w:lang w:val="en-US" w:eastAsia="zh-TW"/>
        </w:rPr>
        <w:t>T</w:t>
      </w:r>
      <w:r>
        <w:rPr>
          <w:rFonts w:hint="default" w:ascii="Times New Roman" w:hAnsi="Times New Roman" w:cs="Times New Roman"/>
        </w:rPr>
        <w:t>-</w:t>
      </w:r>
      <w:r>
        <w:rPr>
          <w:rFonts w:hint="eastAsia" w:ascii="Times New Roman" w:hAnsi="Times New Roman" w:cs="Times New Roman"/>
          <w:lang w:val="en-US" w:eastAsia="zh-TW"/>
        </w:rPr>
        <w:t>g</w:t>
      </w:r>
      <w:r>
        <w:rPr>
          <w:rFonts w:hint="default" w:ascii="Times New Roman" w:hAnsi="Times New Roman" w:cs="Times New Roman"/>
        </w:rPr>
        <w:t xml:space="preserve">roup </w:t>
      </w:r>
      <w:r>
        <w:rPr>
          <w:rFonts w:hint="eastAsia" w:ascii="Times New Roman" w:hAnsi="Times New Roman" w:cs="Times New Roman"/>
          <w:lang w:val="en-US" w:eastAsia="zh-TW"/>
        </w:rPr>
        <w:t xml:space="preserve">#4 </w:t>
      </w:r>
      <w:r>
        <w:rPr>
          <w:rFonts w:hint="default" w:ascii="Times New Roman" w:hAnsi="Times New Roman" w:cs="Times New Roman"/>
        </w:rPr>
        <w:t>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default"/>
          <w:lang w:val="en-US" w:eastAsia="zh-TW"/>
        </w:rPr>
      </w:pPr>
      <w:r>
        <w:rPr>
          <w:rFonts w:hint="default"/>
          <w:lang w:val="en-US" w:eastAsia="zh-TW"/>
        </w:rPr>
        <w:t>Table 6 shows the results of ANOVA on total drawing count between five years from 2017 to 2021. For all T-groups #1, #2, #3 and #4, the total drawing count variances between five years are of significance, A-shares in different years have significantly different total drawing count means. Though the total drawing count means of T-groups #1 and #2 do not show apparent</w:t>
      </w:r>
      <w:r>
        <w:rPr>
          <w:rFonts w:hint="eastAsia"/>
          <w:lang w:val="en-US" w:eastAsia="zh-TW"/>
        </w:rPr>
        <w:t>ly</w:t>
      </w:r>
      <w:r>
        <w:rPr>
          <w:rFonts w:hint="default"/>
          <w:lang w:val="en-US" w:eastAsia="zh-TW"/>
        </w:rPr>
        <w:t xml:space="preserve"> increasing or decreasing tendency in Figure 2, A-shares of T-group #1 and #2 in different years </w:t>
      </w:r>
      <w:r>
        <w:rPr>
          <w:rFonts w:hint="eastAsia"/>
          <w:lang w:val="en-US" w:eastAsia="zh-TW"/>
        </w:rPr>
        <w:t xml:space="preserve">still have </w:t>
      </w:r>
      <w:r>
        <w:rPr>
          <w:rFonts w:hint="default"/>
          <w:lang w:val="en-US" w:eastAsia="zh-TW"/>
        </w:rPr>
        <w:t>significantly different total drawing count means.</w:t>
      </w:r>
    </w:p>
    <w:p>
      <w:pPr>
        <w:rPr>
          <w:rFonts w:hint="default"/>
          <w:lang w:val="en-US" w:eastAsia="zh-TW"/>
        </w:rPr>
      </w:pPr>
    </w:p>
    <w:p>
      <w:pPr>
        <w:pStyle w:val="71"/>
        <w:bidi w:val="0"/>
        <w:rPr>
          <w:rFonts w:hint="default"/>
          <w:lang w:val="en-US" w:eastAsia="zh-TW"/>
        </w:rPr>
      </w:pPr>
      <w:r>
        <w:rPr>
          <w:rFonts w:hint="default"/>
          <w:lang w:val="en-US" w:eastAsia="zh-TW"/>
        </w:rPr>
        <w:t xml:space="preserve">ANOVA on </w:t>
      </w:r>
      <w:r>
        <w:rPr>
          <w:rFonts w:hint="eastAsia"/>
          <w:lang w:val="en-US" w:eastAsia="zh-TW"/>
        </w:rPr>
        <w:t>t</w:t>
      </w:r>
      <w:r>
        <w:rPr>
          <w:rFonts w:hint="default"/>
          <w:lang w:val="en-US" w:eastAsia="zh-TW"/>
        </w:rPr>
        <w:t xml:space="preserve">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five y</w:t>
      </w:r>
      <w:r>
        <w:rPr>
          <w:rFonts w:hint="default"/>
          <w:lang w:val="en-US" w:eastAsia="zh-TW"/>
        </w:rPr>
        <w:t>ears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111"/>
        <w:gridCol w:w="1910"/>
        <w:gridCol w:w="2071"/>
        <w:gridCol w:w="1579"/>
        <w:gridCol w:w="1225"/>
        <w:gridCol w:w="123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1045"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345"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 xml:space="preserve">Total Drawing Count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5"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133"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4"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70"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6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104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133"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198.8 </w:t>
            </w:r>
          </w:p>
        </w:tc>
        <w:tc>
          <w:tcPr>
            <w:tcW w:w="86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49.7 </w:t>
            </w:r>
          </w:p>
        </w:tc>
        <w:tc>
          <w:tcPr>
            <w:tcW w:w="67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15.561 </w:t>
            </w:r>
          </w:p>
        </w:tc>
        <w:tc>
          <w:tcPr>
            <w:tcW w:w="6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13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35,760.9 </w:t>
            </w:r>
          </w:p>
        </w:tc>
        <w:tc>
          <w:tcPr>
            <w:tcW w:w="86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3.2 </w:t>
            </w:r>
          </w:p>
        </w:tc>
        <w:tc>
          <w:tcPr>
            <w:tcW w:w="67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6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13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2,382.9 </w:t>
            </w:r>
          </w:p>
        </w:tc>
        <w:tc>
          <w:tcPr>
            <w:tcW w:w="86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595.7 </w:t>
            </w:r>
          </w:p>
        </w:tc>
        <w:tc>
          <w:tcPr>
            <w:tcW w:w="670"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59.383 </w:t>
            </w:r>
          </w:p>
        </w:tc>
        <w:tc>
          <w:tcPr>
            <w:tcW w:w="677"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13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96,045.3 </w:t>
            </w:r>
          </w:p>
        </w:tc>
        <w:tc>
          <w:tcPr>
            <w:tcW w:w="86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10.0 </w:t>
            </w:r>
          </w:p>
        </w:tc>
        <w:tc>
          <w:tcPr>
            <w:tcW w:w="67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6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13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39,418.7 </w:t>
            </w:r>
          </w:p>
        </w:tc>
        <w:tc>
          <w:tcPr>
            <w:tcW w:w="86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9,854.7 </w:t>
            </w:r>
          </w:p>
        </w:tc>
        <w:tc>
          <w:tcPr>
            <w:tcW w:w="670"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101.553 </w:t>
            </w:r>
          </w:p>
        </w:tc>
        <w:tc>
          <w:tcPr>
            <w:tcW w:w="677"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13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970,975.8 </w:t>
            </w:r>
          </w:p>
        </w:tc>
        <w:tc>
          <w:tcPr>
            <w:tcW w:w="86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97.0 </w:t>
            </w:r>
          </w:p>
        </w:tc>
        <w:tc>
          <w:tcPr>
            <w:tcW w:w="67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6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13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90,756,612.0 </w:t>
            </w:r>
          </w:p>
        </w:tc>
        <w:tc>
          <w:tcPr>
            <w:tcW w:w="86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22,689,153.0 </w:t>
            </w:r>
          </w:p>
        </w:tc>
        <w:tc>
          <w:tcPr>
            <w:tcW w:w="670"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7.476 </w:t>
            </w:r>
          </w:p>
        </w:tc>
        <w:tc>
          <w:tcPr>
            <w:tcW w:w="677"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eastAsia="PMingLiU" w:cs="Times New Roman"/>
                <w:lang w:val="en-US" w:eastAsia="zh-TW"/>
              </w:rPr>
              <w:t>0.001***</w:t>
            </w:r>
            <w:r>
              <w:rPr>
                <w:rFonts w:hint="default" w:ascii="Times New Roman" w:hAnsi="Times New Roman" w:cs="Times New Roman"/>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13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30,438,287,442.3 </w:t>
            </w:r>
          </w:p>
        </w:tc>
        <w:tc>
          <w:tcPr>
            <w:tcW w:w="86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CN"/>
              </w:rPr>
              <w:t xml:space="preserve">3,035,027.2 </w:t>
            </w:r>
          </w:p>
        </w:tc>
        <w:tc>
          <w:tcPr>
            <w:tcW w:w="67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6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ascii="Times New Roman" w:hAnsi="Times New Roman" w:cs="Times New Roman"/>
          <w:lang w:val="en-US" w:eastAsia="zh-TW"/>
        </w:rPr>
      </w:pPr>
      <w:r>
        <w:rPr>
          <w:rFonts w:hint="default" w:ascii="Times New Roman" w:hAnsi="Times New Roman" w:cs="Times New Roman"/>
          <w:lang w:val="en-US" w:eastAsia="zh-TW"/>
        </w:rPr>
        <w:t>p*&lt;0.05, p**≤0.01, p***≤0.001; Data Source: This Research</w:t>
      </w:r>
    </w:p>
    <w:p>
      <w:pPr>
        <w:rPr>
          <w:rFonts w:hint="default"/>
          <w:lang w:val="en-US" w:eastAsia="zh-TW"/>
        </w:rPr>
      </w:pPr>
    </w:p>
    <w:p>
      <w:pPr>
        <w:rPr>
          <w:rFonts w:hint="default"/>
          <w:lang w:val="en-US" w:eastAsia="zh-TW"/>
        </w:rPr>
      </w:pPr>
      <w:r>
        <w:rPr>
          <w:rFonts w:hint="default"/>
          <w:lang w:val="en-US" w:eastAsia="zh-TW"/>
        </w:rPr>
        <w:t xml:space="preserve">Table 7 further shows the multiple comparisons of ANOVA on total drawing count between every two years with regard to four T-groups. Regarding T-group #1, the total drawing count variances between 2021 and 2017, between 2021 and 2018, between 2021 and 2019, between 2021 and 2020, are of significance, whereas the total drawing count variances between any other two years are free of significance. According to the significant mean differences in T-group #1, A-shares in 2021 have the highest total drawing count mean while A-shares in 2017 have the lowest total drawing count mean. However, </w:t>
      </w:r>
      <w:r>
        <w:rPr>
          <w:rFonts w:hint="eastAsia"/>
          <w:lang w:val="en-US" w:eastAsia="zh-TW"/>
        </w:rPr>
        <w:t>t</w:t>
      </w:r>
      <w:r>
        <w:rPr>
          <w:rFonts w:hint="default"/>
          <w:lang w:val="en-US" w:eastAsia="zh-TW"/>
        </w:rPr>
        <w:t xml:space="preserve">he total drawing count mean of T-group #1 does not show an </w:t>
      </w:r>
      <w:r>
        <w:rPr>
          <w:rFonts w:hint="eastAsia"/>
          <w:lang w:val="en-US" w:eastAsia="zh-TW"/>
        </w:rPr>
        <w:t xml:space="preserve">increasing trend because </w:t>
      </w:r>
      <w:r>
        <w:rPr>
          <w:rFonts w:hint="default"/>
          <w:lang w:val="en-US" w:eastAsia="zh-TW"/>
        </w:rPr>
        <w:t>A-shares in 2020 have lower total drawing count mean than A-shares in 2018 and 2019.</w:t>
      </w:r>
    </w:p>
    <w:p>
      <w:pPr>
        <w:rPr>
          <w:rFonts w:hint="default"/>
          <w:lang w:val="en-US" w:eastAsia="zh-TW"/>
        </w:rPr>
      </w:pPr>
      <w:r>
        <w:rPr>
          <w:rFonts w:hint="default"/>
          <w:lang w:val="en-US" w:eastAsia="zh-TW"/>
        </w:rPr>
        <w:t>Regarding T-group #2, the total drawing count variances between 2018 and 2017, between 2019 and 2018, between 2020 and 2017, are free of significance, whereas the total drawing count variances between any other two years are of significance. According to the significant mean differences in T-group #2, A-shares in 2021 have highest total drawing count mean</w:t>
      </w:r>
      <w:r>
        <w:rPr>
          <w:rFonts w:hint="eastAsia"/>
          <w:lang w:val="en-US" w:eastAsia="zh-TW"/>
        </w:rPr>
        <w:t>. However, t</w:t>
      </w:r>
      <w:r>
        <w:rPr>
          <w:rFonts w:hint="default"/>
          <w:lang w:val="en-US" w:eastAsia="zh-TW"/>
        </w:rPr>
        <w:t xml:space="preserve">he total drawing count mean of T-group #2 does not show an </w:t>
      </w:r>
      <w:r>
        <w:rPr>
          <w:rFonts w:hint="eastAsia"/>
          <w:lang w:val="en-US" w:eastAsia="zh-TW"/>
        </w:rPr>
        <w:t xml:space="preserve">increasing trend because </w:t>
      </w:r>
      <w:r>
        <w:rPr>
          <w:rFonts w:hint="default"/>
          <w:lang w:val="en-US" w:eastAsia="zh-TW"/>
        </w:rPr>
        <w:t xml:space="preserve">A-shares in 2020 have </w:t>
      </w:r>
      <w:r>
        <w:rPr>
          <w:rFonts w:hint="eastAsia"/>
          <w:lang w:val="en-US" w:eastAsia="zh-TW"/>
        </w:rPr>
        <w:t xml:space="preserve">the </w:t>
      </w:r>
      <w:r>
        <w:rPr>
          <w:rFonts w:hint="default"/>
          <w:lang w:val="en-US" w:eastAsia="zh-TW"/>
        </w:rPr>
        <w:t>lowe</w:t>
      </w:r>
      <w:r>
        <w:rPr>
          <w:rFonts w:hint="eastAsia"/>
          <w:lang w:val="en-US" w:eastAsia="zh-TW"/>
        </w:rPr>
        <w:t>st</w:t>
      </w:r>
      <w:r>
        <w:rPr>
          <w:rFonts w:hint="default"/>
          <w:lang w:val="en-US" w:eastAsia="zh-TW"/>
        </w:rPr>
        <w:t xml:space="preserve"> total drawing count mean </w:t>
      </w:r>
      <w:r>
        <w:rPr>
          <w:rFonts w:hint="eastAsia"/>
          <w:lang w:val="en-US" w:eastAsia="zh-TW"/>
        </w:rPr>
        <w:t xml:space="preserve">though </w:t>
      </w:r>
      <w:r>
        <w:rPr>
          <w:rFonts w:hint="default"/>
          <w:lang w:val="en-US" w:eastAsia="zh-TW"/>
        </w:rPr>
        <w:t>A-shares in 2018 and 2019</w:t>
      </w:r>
      <w:r>
        <w:rPr>
          <w:rFonts w:hint="eastAsia"/>
          <w:lang w:val="en-US" w:eastAsia="zh-TW"/>
        </w:rPr>
        <w:t xml:space="preserve"> have higher total drawing counts than A-shares in 2017</w:t>
      </w:r>
      <w:r>
        <w:rPr>
          <w:rFonts w:hint="default"/>
          <w:lang w:val="en-US" w:eastAsia="zh-TW"/>
        </w:rPr>
        <w:t>.</w:t>
      </w:r>
    </w:p>
    <w:p>
      <w:pPr>
        <w:rPr>
          <w:rFonts w:hint="default"/>
          <w:lang w:val="en-US" w:eastAsia="zh-TW"/>
        </w:rPr>
      </w:pPr>
      <w:r>
        <w:rPr>
          <w:rFonts w:hint="default"/>
          <w:lang w:val="en-US" w:eastAsia="zh-TW"/>
        </w:rPr>
        <w:t>Regarding T-group #3, the total drawing count variances between 2019 and 2017, between 2020 and 2017, are free of significance, whereas the total drawing count variances between any other two years are of significance. According to the significant mean differences in T-group #3, A-shares in 2021 have the highest total drawing count mean</w:t>
      </w:r>
      <w:r>
        <w:rPr>
          <w:rFonts w:hint="eastAsia"/>
          <w:lang w:val="en-US" w:eastAsia="zh-TW"/>
        </w:rPr>
        <w:t>. However, t</w:t>
      </w:r>
      <w:r>
        <w:rPr>
          <w:rFonts w:hint="default"/>
          <w:lang w:val="en-US" w:eastAsia="zh-TW"/>
        </w:rPr>
        <w:t>he total drawing count mean of T-group #</w:t>
      </w:r>
      <w:r>
        <w:rPr>
          <w:rFonts w:hint="eastAsia"/>
          <w:lang w:val="en-US" w:eastAsia="zh-TW"/>
        </w:rPr>
        <w:t>3</w:t>
      </w:r>
      <w:r>
        <w:rPr>
          <w:rFonts w:hint="default"/>
          <w:lang w:val="en-US" w:eastAsia="zh-TW"/>
        </w:rPr>
        <w:t xml:space="preserve"> does not show an </w:t>
      </w:r>
      <w:r>
        <w:rPr>
          <w:rFonts w:hint="eastAsia"/>
          <w:lang w:val="en-US" w:eastAsia="zh-TW"/>
        </w:rPr>
        <w:t xml:space="preserve">increasing trend, either, because </w:t>
      </w:r>
      <w:r>
        <w:rPr>
          <w:rFonts w:hint="default"/>
          <w:lang w:val="en-US" w:eastAsia="zh-TW"/>
        </w:rPr>
        <w:t>A-shares in 2020 have the lowest total drawing count mean</w:t>
      </w:r>
      <w:r>
        <w:rPr>
          <w:rFonts w:hint="eastAsia"/>
          <w:lang w:val="en-US" w:eastAsia="zh-TW"/>
        </w:rPr>
        <w:t xml:space="preserve"> and </w:t>
      </w:r>
      <w:r>
        <w:rPr>
          <w:rFonts w:hint="default"/>
          <w:lang w:val="en-US" w:eastAsia="zh-TW"/>
        </w:rPr>
        <w:t>A-shares in 20</w:t>
      </w:r>
      <w:r>
        <w:rPr>
          <w:rFonts w:hint="eastAsia"/>
          <w:lang w:val="en-US" w:eastAsia="zh-TW"/>
        </w:rPr>
        <w:t>19</w:t>
      </w:r>
      <w:r>
        <w:rPr>
          <w:rFonts w:hint="default"/>
          <w:lang w:val="en-US" w:eastAsia="zh-TW"/>
        </w:rPr>
        <w:t xml:space="preserve"> have lowest total drawing count mean</w:t>
      </w:r>
      <w:r>
        <w:rPr>
          <w:rFonts w:hint="eastAsia"/>
          <w:lang w:val="en-US" w:eastAsia="zh-TW"/>
        </w:rPr>
        <w:t xml:space="preserve"> than A-shares in 2018</w:t>
      </w:r>
      <w:r>
        <w:rPr>
          <w:rFonts w:hint="default"/>
          <w:lang w:val="en-US" w:eastAsia="zh-TW"/>
        </w:rPr>
        <w:t xml:space="preserve">. </w:t>
      </w:r>
    </w:p>
    <w:p>
      <w:pPr>
        <w:rPr>
          <w:rFonts w:hint="default"/>
          <w:lang w:val="en-US" w:eastAsia="zh-TW"/>
        </w:rPr>
      </w:pPr>
      <w:r>
        <w:rPr>
          <w:rFonts w:hint="default"/>
          <w:lang w:val="en-US" w:eastAsia="zh-TW"/>
        </w:rPr>
        <w:t xml:space="preserve">Regarding T-group #4, the total drawing count variances between 2020 and 2017, between 2020 and 2018, between 2021 and 2017, between 2021 and 2018, between 2021 and 2019, are of significance, whereas the total drawing count variances between any other two years are free of significance. According to the significant mean differences in T-group #4, A-shares in 2021 have higher total drawing count mean while A-shares in 2017 have lower total drawing count mean. The total drawing count mean of T-group #4 show an </w:t>
      </w:r>
      <w:r>
        <w:rPr>
          <w:rFonts w:hint="eastAsia"/>
          <w:lang w:val="en-US" w:eastAsia="zh-TW"/>
        </w:rPr>
        <w:t>increasing trend</w:t>
      </w:r>
      <w:r>
        <w:rPr>
          <w:rFonts w:hint="default"/>
          <w:lang w:val="en-US" w:eastAsia="zh-TW"/>
        </w:rPr>
        <w:t>.</w:t>
      </w:r>
    </w:p>
    <w:p>
      <w:pPr>
        <w:rPr>
          <w:rFonts w:hint="default"/>
          <w:lang w:val="en-US" w:eastAsia="zh-TW"/>
        </w:rPr>
      </w:pPr>
      <w:r>
        <w:rPr>
          <w:rFonts w:hint="default"/>
          <w:lang w:val="en-US" w:eastAsia="zh-TW"/>
        </w:rPr>
        <w:t xml:space="preserve">According to the significant mean differences, the total drawing count mean of </w:t>
      </w:r>
      <w:r>
        <w:rPr>
          <w:rFonts w:hint="default" w:eastAsia="宋体"/>
          <w:lang w:val="en-US" w:eastAsia="zh-CN"/>
        </w:rPr>
        <w:t>T-</w:t>
      </w:r>
      <w:r>
        <w:rPr>
          <w:rFonts w:hint="default"/>
          <w:lang w:val="en-US" w:eastAsia="zh-TW"/>
        </w:rPr>
        <w:t xml:space="preserve">group #4 shows an </w:t>
      </w:r>
      <w:r>
        <w:rPr>
          <w:rFonts w:hint="eastAsia"/>
          <w:lang w:val="en-US" w:eastAsia="zh-TW"/>
        </w:rPr>
        <w:t>increasing trend</w:t>
      </w:r>
      <w:r>
        <w:rPr>
          <w:rFonts w:hint="default"/>
          <w:lang w:val="en-US" w:eastAsia="zh-TW"/>
        </w:rPr>
        <w:t xml:space="preserve"> of significance, whereas the total drawing count mean of any of T-groups #1, #2 and #3 does not show an </w:t>
      </w:r>
      <w:r>
        <w:rPr>
          <w:rFonts w:hint="eastAsia"/>
          <w:lang w:val="en-US" w:eastAsia="zh-TW"/>
        </w:rPr>
        <w:t>increasing trend</w:t>
      </w:r>
      <w:r>
        <w:rPr>
          <w:rFonts w:hint="default"/>
          <w:lang w:val="en-US" w:eastAsia="zh-TW"/>
        </w:rPr>
        <w:t xml:space="preserve"> of significance. However, for each T-group, A-shares in 2021 show significantly higher total drawing count means than A-shares in any other years. In addition, A-shares in 2020 show significantly lower total drawing count means in most T-groups, it might result from the impact of COVID-19 pandemic.</w:t>
      </w:r>
    </w:p>
    <w:p>
      <w:pPr>
        <w:rPr>
          <w:rFonts w:hint="default"/>
          <w:lang w:val="en-US" w:eastAsia="zh-TW"/>
        </w:rPr>
      </w:pPr>
    </w:p>
    <w:p>
      <w:pPr>
        <w:pStyle w:val="71"/>
        <w:bidi w:val="0"/>
        <w:rPr>
          <w:rFonts w:hint="default"/>
          <w:lang w:val="en-US" w:eastAsia="zh-TW"/>
        </w:rPr>
      </w:pPr>
      <w:r>
        <w:rPr>
          <w:rFonts w:hint="default" w:ascii="Times New Roman" w:hAnsi="Times New Roman" w:cs="Times New Roman"/>
          <w:lang w:val="en-US" w:eastAsia="zh-TW"/>
        </w:rPr>
        <w:t xml:space="preserve">Multiple </w:t>
      </w:r>
      <w:r>
        <w:rPr>
          <w:rFonts w:hint="eastAsia" w:ascii="Times New Roman" w:hAnsi="Times New Roman" w:cs="Times New Roman"/>
          <w:lang w:val="en-US" w:eastAsia="zh-TW"/>
        </w:rPr>
        <w:t>c</w:t>
      </w:r>
      <w:r>
        <w:rPr>
          <w:rFonts w:hint="default" w:ascii="Times New Roman" w:hAnsi="Times New Roman" w:cs="Times New Roman"/>
          <w:lang w:val="en-US" w:eastAsia="zh-TW"/>
        </w:rPr>
        <w:t>omparisons</w:t>
      </w:r>
      <w:r>
        <w:rPr>
          <w:rFonts w:hint="default" w:ascii="Times New Roman" w:hAnsi="Times New Roman" w:cs="Times New Roman"/>
          <w:lang w:val="en-US" w:eastAsia="zh-CN"/>
        </w:rPr>
        <w:t xml:space="preserve"> </w:t>
      </w:r>
      <w:r>
        <w:rPr>
          <w:rFonts w:hint="default" w:ascii="Times New Roman" w:hAnsi="Times New Roman" w:cs="Times New Roman"/>
          <w:lang w:val="en-US" w:eastAsia="zh-TW"/>
        </w:rPr>
        <w:t>of ANOVA</w:t>
      </w:r>
      <w:r>
        <w:rPr>
          <w:rFonts w:hint="default"/>
          <w:lang w:val="en-US" w:eastAsia="zh-TW"/>
        </w:rPr>
        <w:t xml:space="preserve"> on </w:t>
      </w:r>
      <w:r>
        <w:rPr>
          <w:rFonts w:hint="eastAsia"/>
          <w:lang w:val="en-US" w:eastAsia="zh-TW"/>
        </w:rPr>
        <w:t>t</w:t>
      </w:r>
      <w:r>
        <w:rPr>
          <w:rFonts w:hint="default"/>
          <w:lang w:val="en-US" w:eastAsia="zh-TW"/>
        </w:rPr>
        <w:t xml:space="preserve">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two y</w:t>
      </w:r>
      <w:r>
        <w:rPr>
          <w:rFonts w:hint="default"/>
          <w:lang w:val="en-US" w:eastAsia="zh-TW"/>
        </w:rPr>
        <w:t>ears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45"/>
        <w:gridCol w:w="1345"/>
        <w:gridCol w:w="1347"/>
        <w:gridCol w:w="2221"/>
        <w:gridCol w:w="1437"/>
        <w:gridCol w:w="14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73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Year</w:t>
            </w:r>
            <w:r>
              <w:rPr>
                <w:rFonts w:hint="default" w:cs="Times New Roman"/>
                <w:lang w:val="en-US" w:eastAsia="zh-CN"/>
              </w:rPr>
              <w:t>(I)</w:t>
            </w:r>
          </w:p>
        </w:tc>
        <w:tc>
          <w:tcPr>
            <w:tcW w:w="737"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r>
              <w:rPr>
                <w:rFonts w:hint="default" w:cs="Times New Roman"/>
                <w:lang w:val="en-US" w:eastAsia="zh-CN"/>
              </w:rPr>
              <w:t>(J)</w:t>
            </w:r>
          </w:p>
        </w:tc>
        <w:tc>
          <w:tcPr>
            <w:tcW w:w="2789"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Total Drawing Count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73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737"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15"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86"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788"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1</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0.061</w:t>
            </w:r>
          </w:p>
        </w:tc>
        <w:tc>
          <w:tcPr>
            <w:tcW w:w="78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0.057</w:t>
            </w:r>
          </w:p>
        </w:tc>
        <w:tc>
          <w:tcPr>
            <w:tcW w:w="78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0.072</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0.056</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0.202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0.010</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0.055</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0.046</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0.056</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-0.015</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0.054</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0.783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-0.025</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0.053</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0.350</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0.054</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0.288</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0.052</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0.278</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0.051</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0.303</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0.051</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2</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0.219</w:t>
            </w:r>
          </w:p>
        </w:tc>
        <w:tc>
          <w:tcPr>
            <w:tcW w:w="78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0.112</w:t>
            </w:r>
          </w:p>
        </w:tc>
        <w:tc>
          <w:tcPr>
            <w:tcW w:w="78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0.051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0.296</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0.111</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0.007</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0.078</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0.105</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-0.149</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0.111</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0.180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-0.367</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0.105</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-0.445</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0.104</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1.159</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0.103</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0.941</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0.097</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0.863</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0.096</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121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1.308</w:t>
            </w:r>
          </w:p>
        </w:tc>
        <w:tc>
          <w:tcPr>
            <w:tcW w:w="78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0.096</w:t>
            </w:r>
          </w:p>
        </w:tc>
        <w:tc>
          <w:tcPr>
            <w:tcW w:w="78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3</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2.046</w:t>
            </w:r>
          </w:p>
        </w:tc>
        <w:tc>
          <w:tcPr>
            <w:tcW w:w="13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0.332</w:t>
            </w:r>
          </w:p>
        </w:tc>
        <w:tc>
          <w:tcPr>
            <w:tcW w:w="135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0.645</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0.333</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-1.401</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0.320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-0.424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0.329</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0.198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-2.470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0.316</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-1.069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0.318</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4.699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0.311</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2.653</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0.296</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4.054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0.298</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0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5.123</w:t>
            </w:r>
          </w:p>
        </w:tc>
        <w:tc>
          <w:tcPr>
            <w:tcW w:w="13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0.294</w:t>
            </w:r>
          </w:p>
        </w:tc>
        <w:tc>
          <w:tcPr>
            <w:tcW w:w="135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lang w:val="en-US" w:eastAsia="zh-CN"/>
              </w:rPr>
            </w:pPr>
            <w:r>
              <w:rPr>
                <w:rFonts w:hint="default" w:cs="Times New Roman"/>
                <w:lang w:val="en-US" w:eastAsia="zh-CN"/>
              </w:rPr>
              <w:t>#</w:t>
            </w:r>
            <w:r>
              <w:rPr>
                <w:rFonts w:hint="default" w:ascii="Times New Roman" w:hAnsi="Times New Roman" w:cs="Times New Roman"/>
                <w:lang w:val="en-US" w:eastAsia="zh-CN"/>
              </w:rPr>
              <w:t>4</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46.552</w:t>
            </w:r>
          </w:p>
        </w:tc>
        <w:tc>
          <w:tcPr>
            <w:tcW w:w="13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59.276</w:t>
            </w:r>
          </w:p>
        </w:tc>
        <w:tc>
          <w:tcPr>
            <w:tcW w:w="135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89.868</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58.630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43.315</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56.317</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176.752</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58.577</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130.200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56.261</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86.884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55.580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258.127</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55.175</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211.575</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52.710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168.260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51.982</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0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81.375</w:t>
            </w:r>
          </w:p>
        </w:tc>
        <w:tc>
          <w:tcPr>
            <w:tcW w:w="13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51.922</w:t>
            </w:r>
          </w:p>
        </w:tc>
        <w:tc>
          <w:tcPr>
            <w:tcW w:w="135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0.117</w:t>
            </w:r>
          </w:p>
        </w:tc>
      </w:tr>
    </w:tbl>
    <w:p>
      <w:pPr>
        <w:pStyle w:val="78"/>
        <w:bidi w:val="0"/>
        <w:rPr>
          <w:rFonts w:hint="default"/>
          <w:lang w:val="en-US" w:eastAsia="zh-TW"/>
        </w:rPr>
      </w:pPr>
      <w:r>
        <w:rPr>
          <w:rFonts w:hint="default"/>
          <w:lang w:val="en-US" w:eastAsia="zh-TW"/>
        </w:rPr>
        <w:t>p*&lt;0.05, p**≤0.01, p***≤0.001; Data Source: This Research</w:t>
      </w:r>
    </w:p>
    <w:p>
      <w:pPr>
        <w:rPr>
          <w:rFonts w:hint="default" w:ascii="Times New Roman" w:hAnsi="Times New Roman" w:cs="Times New Roman"/>
          <w:szCs w:val="24"/>
        </w:rPr>
      </w:pPr>
    </w:p>
    <w:p>
      <w:pPr>
        <w:pStyle w:val="48"/>
        <w:rPr>
          <w:rFonts w:hint="default" w:ascii="Times New Roman" w:hAnsi="Times New Roman" w:cs="Times New Roman"/>
        </w:rPr>
      </w:pPr>
      <w:r>
        <w:rPr>
          <w:rFonts w:hint="default" w:ascii="Times New Roman" w:hAnsi="Times New Roman" w:cs="Times New Roman"/>
        </w:rPr>
        <w:t>Variance of Stock Return Rate</w:t>
      </w:r>
    </w:p>
    <w:p>
      <w:pPr>
        <w:pStyle w:val="50"/>
        <w:rPr>
          <w:rFonts w:hint="default" w:ascii="Times New Roman" w:hAnsi="Times New Roman" w:cs="Times New Roman"/>
        </w:rPr>
      </w:pPr>
      <w:r>
        <w:rPr>
          <w:rFonts w:hint="default" w:ascii="Times New Roman" w:hAnsi="Times New Roman" w:cs="Times New Roman"/>
        </w:rPr>
        <w:t>Variance of Stock Return Rate between A-Groups</w:t>
      </w:r>
    </w:p>
    <w:p>
      <w:pPr>
        <w:rPr>
          <w:rFonts w:hint="default" w:ascii="Times New Roman" w:hAnsi="Times New Roman" w:cs="Times New Roman"/>
          <w:b/>
          <w:color w:val="000000"/>
          <w:szCs w:val="24"/>
        </w:rPr>
      </w:pPr>
      <w:r>
        <w:rPr>
          <w:rFonts w:hint="default" w:ascii="Times New Roman" w:hAnsi="Times New Roman" w:cs="Times New Roman"/>
          <w:color w:val="000000"/>
          <w:szCs w:val="24"/>
        </w:rPr>
        <w:t>Table 8 shows the stock return rate means of each A-group in every quarter from 2017Q1 to 2021Q4. For clearly illustration, Figure 4 shows the relative stock return rate means by comparing to the stock return means of all A-shares</w:t>
      </w:r>
      <w:r>
        <w:rPr>
          <w:rFonts w:hint="default" w:cs="Times New Roman"/>
          <w:color w:val="000000"/>
          <w:szCs w:val="24"/>
          <w:lang w:val="en-US"/>
        </w:rPr>
        <w:t>,</w:t>
      </w:r>
      <w:r>
        <w:rPr>
          <w:rFonts w:hint="default" w:ascii="Times New Roman" w:hAnsi="Times New Roman" w:cs="Times New Roman"/>
          <w:color w:val="000000"/>
          <w:szCs w:val="24"/>
        </w:rPr>
        <w:t xml:space="preserve"> which might be regarded as the market trend. The positive values in Figure 4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 xml:space="preserve">the stock return rates thereof higher than the market trend, while the negative values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the stock return rates thereof lower than the market trend. It seems that different A-groups have different stock return rate</w:t>
      </w:r>
      <w:r>
        <w:rPr>
          <w:rFonts w:hint="eastAsia" w:cs="Times New Roman"/>
          <w:color w:val="000000"/>
          <w:szCs w:val="24"/>
          <w:lang w:val="en-US" w:eastAsia="zh-TW"/>
        </w:rPr>
        <w:t xml:space="preserve"> mean</w:t>
      </w:r>
      <w:r>
        <w:rPr>
          <w:rFonts w:hint="default" w:ascii="Times New Roman" w:hAnsi="Times New Roman" w:cs="Times New Roman"/>
          <w:color w:val="000000"/>
          <w:szCs w:val="24"/>
        </w:rPr>
        <w:t xml:space="preserve">s. However, </w:t>
      </w:r>
      <w:r>
        <w:rPr>
          <w:rFonts w:hint="eastAsia" w:cs="Times New Roman"/>
          <w:color w:val="000000"/>
          <w:szCs w:val="24"/>
          <w:lang w:val="en-US" w:eastAsia="zh-TW"/>
        </w:rPr>
        <w:t>there is no any A-groups usually showing higher or lower stock return rate than the market trend</w:t>
      </w:r>
      <w:r>
        <w:rPr>
          <w:rFonts w:hint="default" w:ascii="Times New Roman" w:hAnsi="Times New Roman" w:cs="Times New Roman"/>
          <w:color w:val="000000"/>
          <w:szCs w:val="24"/>
        </w:rPr>
        <w:t>.</w:t>
      </w:r>
    </w:p>
    <w:p>
      <w:pPr>
        <w:rPr>
          <w:rFonts w:hint="default" w:ascii="Times New Roman" w:hAnsi="Times New Roman" w:cs="Times New Roman"/>
          <w:szCs w:val="24"/>
        </w:rPr>
      </w:pPr>
    </w:p>
    <w:p>
      <w:pPr>
        <w:pStyle w:val="71"/>
        <w:bidi w:val="0"/>
        <w:rPr>
          <w:rFonts w:hint="default"/>
          <w:lang w:val="en-US" w:eastAsia="zh-TW"/>
        </w:rPr>
      </w:pPr>
      <w:r>
        <w:rPr>
          <w:rFonts w:hint="eastAsia" w:cs="Times New Roman"/>
          <w:lang w:val="en-US" w:eastAsia="zh-TW"/>
        </w:rPr>
        <w:t>Stock return rate statistics of A-groups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073"/>
        <w:gridCol w:w="1102"/>
        <w:gridCol w:w="1389"/>
        <w:gridCol w:w="1389"/>
        <w:gridCol w:w="1389"/>
        <w:gridCol w:w="1389"/>
        <w:gridCol w:w="14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Year</w:t>
            </w:r>
          </w:p>
        </w:tc>
        <w:tc>
          <w:tcPr>
            <w:tcW w:w="603"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Quarter</w:t>
            </w:r>
          </w:p>
        </w:tc>
        <w:tc>
          <w:tcPr>
            <w:tcW w:w="3809" w:type="pct"/>
            <w:gridSpan w:val="5"/>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Stock Return Rate Mean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603"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#1</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#2</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#3</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#4</w:t>
            </w:r>
          </w:p>
        </w:tc>
        <w:tc>
          <w:tcPr>
            <w:tcW w:w="768"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603" w:type="pct"/>
            <w:tcBorders>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1.18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-4.01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-4.21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-4.84 </w:t>
            </w:r>
          </w:p>
        </w:tc>
        <w:tc>
          <w:tcPr>
            <w:tcW w:w="1325"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-2.80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-9.20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-10.83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-16.13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-11.01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-11.72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-6.32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-5.04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-11.42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-8.14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-7.80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-17.49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-15.04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-21.66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-13.57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-16.94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-19.17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-22.88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-22.44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-17.24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-20.49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-24.56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-29.33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-26.62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-25.02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-26.40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-34.58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-36.79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-35.85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-36.61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-35.96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-36.65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-36.48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-36.55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-37.27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-36.73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-17.30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-15.80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-14.97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-17.48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-16.38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0.09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-4.02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3.03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4.52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9.22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8.83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6.42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22.05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23.32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27.90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30.07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25.84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-3.91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-9.05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-2.87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1.26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-3.58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12.89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6.09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12.64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22.00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13.59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21.52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18.82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21.18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25.02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21.76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18.60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17.47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15.60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17.38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17.25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18.05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17.79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16.72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14.87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21.21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18.78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16.86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14.40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18.94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19.90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12.96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5.16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14.37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23.52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28.34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21.76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15.01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22.24 </w:t>
            </w: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rPr>
          <w:rFonts w:hint="default" w:ascii="Times New Roman" w:hAnsi="Times New Roman" w:cs="Times New Roman"/>
          <w:szCs w:val="24"/>
        </w:rPr>
      </w:pPr>
    </w:p>
    <w:p>
      <w:pPr>
        <w:pStyle w:val="81"/>
        <w:bidi w:val="0"/>
        <w:rPr>
          <w:rFonts w:hint="default"/>
          <w:lang w:val="en-US" w:eastAsia="zh-TW"/>
        </w:rPr>
      </w:pPr>
      <w:r>
        <w:rPr>
          <w:rFonts w:hint="default"/>
          <w:lang w:val="en-US" w:eastAsia="zh-TW"/>
        </w:rPr>
        <w:drawing>
          <wp:inline distT="0" distB="0" distL="114300" distR="114300">
            <wp:extent cx="5751195" cy="2881630"/>
            <wp:effectExtent l="0" t="0" r="9525" b="13970"/>
            <wp:docPr id="4"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4"/>
                    <pic:cNvPicPr>
                      <a:picLocks noChangeAspect="1"/>
                    </pic:cNvPicPr>
                  </pic:nvPicPr>
                  <pic:blipFill>
                    <a:blip r:embed="rId13"/>
                    <a:stretch>
                      <a:fillRect/>
                    </a:stretch>
                  </pic:blipFill>
                  <pic:spPr>
                    <a:xfrm>
                      <a:off x="0" y="0"/>
                      <a:ext cx="5751195" cy="2881630"/>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68"/>
        <w:rPr>
          <w:rFonts w:hint="default" w:ascii="Times New Roman" w:hAnsi="Times New Roman" w:cs="Times New Roman"/>
        </w:rPr>
      </w:pPr>
      <w:r>
        <w:rPr>
          <w:rFonts w:hint="default" w:cs="Times New Roman"/>
          <w:lang w:val="en-US" w:eastAsia="zh-TW"/>
        </w:rPr>
        <w:t xml:space="preserve">Relative </w:t>
      </w:r>
      <w:r>
        <w:rPr>
          <w:rFonts w:hint="eastAsia"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w:t>
      </w:r>
      <w:r>
        <w:rPr>
          <w:rFonts w:hint="default" w:ascii="Times New Roman" w:hAnsi="Times New Roman" w:cs="Times New Roman"/>
          <w:lang w:val="en-US" w:eastAsia="zh-TW"/>
        </w:rPr>
        <w:t>eans of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r>
        <w:rPr>
          <w:rFonts w:hint="default" w:ascii="Times New Roman" w:hAnsi="Times New Roman" w:cs="Times New Roman"/>
        </w:rPr>
        <w:t xml:space="preserve">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eastAsia"/>
          <w:lang w:val="en-US" w:eastAsia="zh-TW"/>
        </w:rPr>
      </w:pPr>
      <w:r>
        <w:rPr>
          <w:rFonts w:hint="default"/>
          <w:lang w:val="en-US" w:eastAsia="zh-TW"/>
        </w:rPr>
        <w:t xml:space="preserve">Table 9 shows the results of ANOVA on the stock return rate between four </w:t>
      </w:r>
      <w:r>
        <w:rPr>
          <w:rFonts w:hint="default"/>
          <w:lang w:val="en-US" w:eastAsia="zh-CN"/>
        </w:rPr>
        <w:t>A-group</w:t>
      </w:r>
      <w:r>
        <w:rPr>
          <w:rFonts w:hint="default"/>
          <w:lang w:val="en-US" w:eastAsia="zh-TW"/>
        </w:rPr>
        <w:t xml:space="preserve">s in every quarter from 2017Q1 to 2021Q4. The stock return rate variances between four different </w:t>
      </w:r>
      <w:r>
        <w:rPr>
          <w:rFonts w:hint="default"/>
          <w:lang w:val="en-US" w:eastAsia="zh-CN"/>
        </w:rPr>
        <w:t>A-group</w:t>
      </w:r>
      <w:r>
        <w:rPr>
          <w:rFonts w:hint="default"/>
          <w:lang w:val="en-US" w:eastAsia="zh-TW"/>
        </w:rPr>
        <w:t xml:space="preserve">s in 2017Q2 and Q4, 2018Q1 and Q2, 2019Q3 and Q4, 2020Q1 and Q2, 2021Q3 and Q4, are of significance whereas the stock return rate variances between four A-groups in the other quarters are free of significance. In all twenty quarters, there are ten quarters in which the stock return rate variances between different </w:t>
      </w:r>
      <w:r>
        <w:rPr>
          <w:rFonts w:hint="default"/>
          <w:lang w:val="en-US" w:eastAsia="zh-CN"/>
        </w:rPr>
        <w:t>A-group</w:t>
      </w:r>
      <w:r>
        <w:rPr>
          <w:rFonts w:hint="default"/>
          <w:lang w:val="en-US" w:eastAsia="zh-TW"/>
        </w:rPr>
        <w:t xml:space="preserve">s are of significance, the rate of significance is 50%. </w:t>
      </w:r>
    </w:p>
    <w:p>
      <w:pPr>
        <w:rPr>
          <w:rFonts w:hint="eastAsia"/>
          <w:lang w:val="en-US" w:eastAsia="zh-TW"/>
        </w:rPr>
      </w:pPr>
    </w:p>
    <w:p>
      <w:pPr>
        <w:pStyle w:val="71"/>
        <w:bidi w:val="0"/>
        <w:rPr>
          <w:rFonts w:hint="eastAsia"/>
          <w:lang w:val="en-US" w:eastAsia="zh-TW"/>
        </w:rPr>
      </w:pPr>
      <w:r>
        <w:rPr>
          <w:rFonts w:hint="default" w:ascii="Times New Roman" w:hAnsi="Times New Roman" w:cs="Times New Roman"/>
          <w:lang w:val="en-US" w:eastAsia="zh-TW"/>
        </w:rPr>
        <w:t>ANOVA</w:t>
      </w:r>
      <w:r>
        <w:rPr>
          <w:rFonts w:hint="default"/>
          <w:lang w:val="en-US" w:eastAsia="zh-TW"/>
        </w:rPr>
        <w:t xml:space="preserve"> on </w:t>
      </w:r>
      <w:r>
        <w:rPr>
          <w:rFonts w:hint="eastAsia"/>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ate between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755"/>
        <w:gridCol w:w="857"/>
        <w:gridCol w:w="1900"/>
        <w:gridCol w:w="1785"/>
        <w:gridCol w:w="1573"/>
        <w:gridCol w:w="1197"/>
        <w:gridCol w:w="106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69"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1040"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3077"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469"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0"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9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55"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582"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469"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10,017.0</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3,339.0</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2.610</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2,058,737.6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1,279.5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10,931.9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3,644.0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2.990</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1,944,170.6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1,218.9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9,204.4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3,068.1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2.538</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1,919,866.7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1,209.0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17,015.6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5,671.9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4.350</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2,261,082.1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1,304.0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9,817.7</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3,272.6</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3.013</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1,962,692.1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1,086.2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6,604.3</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2,201.4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2.711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1,506,245.3</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812.0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1,481.5</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493.8</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0.844</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0.469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1,135,719.4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584.8</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192.7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64.2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0.155</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0.927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826,378.2</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414.6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2,199.0</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733.0</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0.844</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0.469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1,751,653.6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868.0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5,582.9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1,861.0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1.545</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0.201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2,408,299.0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1,204.2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14,220.7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4,740.2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2.786</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3,362,364.5</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1,701.6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21,004.1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7,001.4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2.680</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5,083,842.1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2,612.5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24,186.4</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8,062.1</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4.740</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3,267,345.7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1,700.9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58,067.9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19,356.0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6.417</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5,959,963.6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3,016.2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9,389.2</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3,129.7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1.251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0.290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5,068,784.9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2,501.9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2,554.2</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851.4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0.281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0.839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6,346,019.9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3,029.1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69"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3,978.7</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1,326.2</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0.438</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0.726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7,569,746.4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3,030.3</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16,481.8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5,493.9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1.307</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0.270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10,856,495.7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4,204.7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96,316.8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32,105.6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6.256</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14,180,622.6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5,132.3</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63,049.3</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21,016.4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6.441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9,204,852.8</w:t>
            </w:r>
          </w:p>
        </w:tc>
        <w:tc>
          <w:tcPr>
            <w:tcW w:w="86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3,263.0</w:t>
            </w:r>
          </w:p>
        </w:tc>
        <w:tc>
          <w:tcPr>
            <w:tcW w:w="65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lang w:val="en-US" w:eastAsia="zh-TW"/>
        </w:rPr>
      </w:pPr>
      <w:r>
        <w:rPr>
          <w:rFonts w:hint="default"/>
          <w:lang w:val="en-US" w:eastAsia="zh-TW"/>
        </w:rPr>
        <w:t>p*&lt;0.05, p**≤0.01, p***≤0.001; Data Source: This Research</w:t>
      </w:r>
    </w:p>
    <w:p>
      <w:pPr>
        <w:rPr>
          <w:rFonts w:hint="default" w:ascii="Times New Roman" w:hAnsi="Times New Roman" w:cs="Times New Roman"/>
          <w:color w:val="auto"/>
          <w:lang w:val="en-US" w:eastAsia="zh-TW"/>
        </w:rPr>
      </w:pPr>
    </w:p>
    <w:p>
      <w:pPr>
        <w:rPr>
          <w:rFonts w:hint="default" w:ascii="Times New Roman" w:hAnsi="Times New Roman" w:cs="Times New Roman"/>
          <w:color w:val="auto"/>
          <w:lang w:val="en-US" w:eastAsia="zh-TW"/>
        </w:rPr>
      </w:pPr>
      <w:r>
        <w:rPr>
          <w:rFonts w:hint="default" w:cs="Times New Roman"/>
          <w:color w:val="auto"/>
          <w:lang w:val="en-US" w:eastAsia="zh-TW"/>
        </w:rPr>
        <w:t xml:space="preserve">In order to identify which A-group having higher or lower stock return rate, </w:t>
      </w:r>
      <w:r>
        <w:rPr>
          <w:rFonts w:hint="default" w:ascii="Times New Roman" w:hAnsi="Times New Roman" w:cs="Times New Roman"/>
          <w:color w:val="auto"/>
          <w:lang w:val="en-US" w:eastAsia="zh-TW"/>
        </w:rPr>
        <w:t>the multiple comparisons of ANOVA on the stock return rate between every two A-groups in ten quarters of which the stock return rate variances between A-groups are of significance</w:t>
      </w:r>
      <w:r>
        <w:rPr>
          <w:rFonts w:hint="default" w:cs="Times New Roman"/>
          <w:color w:val="auto"/>
          <w:lang w:val="en-US" w:eastAsia="zh-TW"/>
        </w:rPr>
        <w:t xml:space="preserve"> as shown in </w:t>
      </w:r>
      <w:r>
        <w:rPr>
          <w:rFonts w:hint="default" w:ascii="Times New Roman" w:hAnsi="Times New Roman" w:cs="Times New Roman"/>
          <w:color w:val="auto"/>
          <w:lang w:val="en-US" w:eastAsia="zh-TW"/>
        </w:rPr>
        <w:t>Table 10.</w:t>
      </w:r>
    </w:p>
    <w:p>
      <w:pPr>
        <w:rPr>
          <w:rFonts w:hint="default" w:ascii="Times New Roman" w:hAnsi="Times New Roman" w:cs="Times New Roman"/>
          <w:color w:val="auto"/>
          <w:lang w:val="en-US" w:eastAsia="zh-TW"/>
        </w:rPr>
      </w:pPr>
    </w:p>
    <w:p>
      <w:pPr>
        <w:pStyle w:val="71"/>
        <w:bidi w:val="0"/>
        <w:rPr>
          <w:rFonts w:hint="eastAsia"/>
          <w:lang w:val="en-US" w:eastAsia="zh-TW"/>
        </w:rPr>
      </w:pPr>
      <w:r>
        <w:rPr>
          <w:rFonts w:hint="default" w:ascii="Times New Roman" w:hAnsi="Times New Roman" w:cs="Times New Roman"/>
          <w:lang w:val="en-US" w:eastAsia="zh-TW"/>
        </w:rPr>
        <w:t xml:space="preserve">Multiple </w:t>
      </w:r>
      <w:r>
        <w:rPr>
          <w:rFonts w:hint="eastAsia" w:ascii="Times New Roman" w:hAnsi="Times New Roman" w:cs="Times New Roman"/>
          <w:lang w:val="en-US" w:eastAsia="zh-TW"/>
        </w:rPr>
        <w:t>c</w:t>
      </w:r>
      <w:r>
        <w:rPr>
          <w:rFonts w:hint="default" w:ascii="Times New Roman" w:hAnsi="Times New Roman" w:cs="Times New Roman"/>
          <w:lang w:val="en-US" w:eastAsia="zh-TW"/>
        </w:rPr>
        <w:t>omparisons</w:t>
      </w:r>
      <w:r>
        <w:rPr>
          <w:rFonts w:hint="default" w:ascii="Times New Roman" w:hAnsi="Times New Roman" w:cs="Times New Roman"/>
          <w:lang w:val="en-US" w:eastAsia="zh-CN"/>
        </w:rPr>
        <w:t xml:space="preserve"> </w:t>
      </w:r>
      <w:r>
        <w:rPr>
          <w:rFonts w:hint="default" w:ascii="Times New Roman" w:hAnsi="Times New Roman" w:cs="Times New Roman"/>
          <w:lang w:val="en-US" w:eastAsia="zh-TW"/>
        </w:rPr>
        <w:t>of</w:t>
      </w:r>
      <w:r>
        <w:rPr>
          <w:rFonts w:hint="eastAsia" w:ascii="Times New Roman" w:hAnsi="Times New Roman" w:cs="Times New Roman"/>
          <w:lang w:val="en-US" w:eastAsia="zh-TW"/>
        </w:rPr>
        <w:t xml:space="preserve"> </w:t>
      </w:r>
      <w:r>
        <w:rPr>
          <w:rFonts w:hint="default" w:ascii="Times New Roman" w:hAnsi="Times New Roman" w:cs="Times New Roman"/>
          <w:lang w:val="en-US" w:eastAsia="zh-TW"/>
        </w:rPr>
        <w:t>ANOVA</w:t>
      </w:r>
      <w:r>
        <w:rPr>
          <w:rFonts w:hint="default"/>
          <w:lang w:val="en-US" w:eastAsia="zh-TW"/>
        </w:rPr>
        <w:t xml:space="preserve"> on </w:t>
      </w:r>
      <w:r>
        <w:rPr>
          <w:rFonts w:hint="eastAsia"/>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ate between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57" w:type="dxa"/>
          <w:bottom w:w="0" w:type="dxa"/>
          <w:right w:w="57" w:type="dxa"/>
        </w:tblCellMar>
      </w:tblPr>
      <w:tblGrid>
        <w:gridCol w:w="883"/>
        <w:gridCol w:w="880"/>
        <w:gridCol w:w="1164"/>
        <w:gridCol w:w="2"/>
        <w:gridCol w:w="1167"/>
        <w:gridCol w:w="2304"/>
        <w:gridCol w:w="1508"/>
        <w:gridCol w:w="122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81"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638" w:type="pct"/>
            <w:gridSpan w:val="2"/>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cs="Times New Roman"/>
                <w:lang w:val="en-US" w:eastAsia="zh-TW"/>
              </w:rPr>
              <w:t>A-</w:t>
            </w:r>
            <w:r>
              <w:rPr>
                <w:rFonts w:hint="default" w:ascii="Times New Roman" w:hAnsi="Times New Roman" w:cs="Times New Roman"/>
                <w:lang w:val="en-US" w:eastAsia="zh-TW"/>
              </w:rPr>
              <w:t>Group</w:t>
            </w:r>
            <w:r>
              <w:rPr>
                <w:rFonts w:hint="default" w:cs="Times New Roman"/>
                <w:lang w:val="en-US" w:eastAsia="zh-TW"/>
              </w:rPr>
              <w:t>(I)</w:t>
            </w:r>
          </w:p>
        </w:tc>
        <w:tc>
          <w:tcPr>
            <w:tcW w:w="6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cs="Times New Roman"/>
                <w:lang w:val="en-US" w:eastAsia="zh-TW"/>
              </w:rPr>
            </w:pPr>
          </w:p>
          <w:p>
            <w:pPr>
              <w:pStyle w:val="77"/>
              <w:bidi w:val="0"/>
              <w:rPr>
                <w:rFonts w:hint="default" w:ascii="Times New Roman" w:hAnsi="Times New Roman" w:cs="Times New Roman"/>
                <w:lang w:val="en-US" w:eastAsia="zh-TW"/>
              </w:rPr>
            </w:pPr>
            <w:r>
              <w:rPr>
                <w:rFonts w:hint="default" w:cs="Times New Roman"/>
                <w:lang w:val="en-US" w:eastAsia="zh-TW"/>
              </w:rPr>
              <w:t>A-</w:t>
            </w:r>
            <w:r>
              <w:rPr>
                <w:rFonts w:hint="default" w:ascii="Times New Roman" w:hAnsi="Times New Roman" w:cs="Times New Roman"/>
                <w:lang w:val="en-US" w:eastAsia="zh-TW"/>
              </w:rPr>
              <w:t>Group</w:t>
            </w:r>
            <w:r>
              <w:rPr>
                <w:rFonts w:hint="default" w:cs="Times New Roman"/>
                <w:lang w:val="en-US" w:eastAsia="zh-TW"/>
              </w:rPr>
              <w:t>(J)</w:t>
            </w:r>
          </w:p>
        </w:tc>
        <w:tc>
          <w:tcPr>
            <w:tcW w:w="2758"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637"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639" w:type="pct"/>
            <w:gridSpan w:val="2"/>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6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825"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67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481"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-1.630</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2.389</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0.495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-6.929</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2.422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-5.299</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2.462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-1.811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2.494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0.468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-0.181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2.533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0.943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5.118</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2.564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eastAsia" w:ascii="Times New Roman" w:hAnsi="Times New Roman" w:eastAsia="PMingLiU" w:cs="Times New Roman"/>
                <w:lang w:val="en-US" w:eastAsia="zh-TW"/>
              </w:rPr>
            </w:pPr>
            <w:r>
              <w:rPr>
                <w:rFonts w:hint="default" w:ascii="Times New Roman" w:hAnsi="Times New Roman" w:cs="Times New Roman"/>
                <w:lang w:val="en-US" w:eastAsia="zh-CN"/>
              </w:rPr>
              <w:t>0.046</w:t>
            </w:r>
            <w:r>
              <w:rPr>
                <w:rFonts w:hint="eastAsia"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2.449</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2.526</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-4.162</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2.483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0.094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-6.61</w:t>
            </w:r>
            <w:r>
              <w:rPr>
                <w:rFonts w:hint="default" w:ascii="Times New Roman" w:hAnsi="Times New Roman" w:eastAsia="PMingLiU" w:cs="Times New Roman"/>
                <w:lang w:val="en-US" w:eastAsia="zh-TW"/>
              </w:rPr>
              <w:t>2</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2.442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0.007</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3.920</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2.468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1.471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2.427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0.545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8.082</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2.381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-3.706</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2.175</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0.089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-3.273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2.195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0.136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0.433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2.165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1.930</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2.217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5.636</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2.188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5.203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2.207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-4.767</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1.854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-2.054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1.888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0.277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2.713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1.873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0.148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-0.454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1.867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4.313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1.852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1.600</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1.886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0.396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1.490</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2.629</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6.194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2.620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4.704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2.608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5.80</w:t>
            </w:r>
            <w:r>
              <w:rPr>
                <w:rFonts w:hint="default" w:ascii="Times New Roman" w:hAnsi="Times New Roman" w:eastAsia="PMingLiU" w:cs="Times New Roman"/>
                <w:lang w:val="en-US" w:eastAsia="zh-TW"/>
              </w:rPr>
              <w:t>2</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2.637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4.311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2.625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-0.392</w:t>
            </w:r>
          </w:p>
        </w:tc>
        <w:tc>
          <w:tcPr>
            <w:tcW w:w="82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2.616</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0.881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37"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1.273</w:t>
            </w:r>
          </w:p>
        </w:tc>
        <w:tc>
          <w:tcPr>
            <w:tcW w:w="82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3.272</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0.697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5.857</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3.279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0.074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4.584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3.286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8.02</w:t>
            </w:r>
            <w:r>
              <w:rPr>
                <w:rFonts w:hint="default" w:ascii="Times New Roman" w:hAnsi="Times New Roman" w:eastAsia="PMingLiU" w:cs="Times New Roman"/>
                <w:lang w:val="en-US" w:eastAsia="zh-TW"/>
              </w:rPr>
              <w:t>6</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3.262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6.75</w:t>
            </w:r>
            <w:r>
              <w:rPr>
                <w:rFonts w:hint="default" w:ascii="Times New Roman" w:hAnsi="Times New Roman" w:eastAsia="PMingLiU" w:cs="Times New Roman"/>
                <w:lang w:val="en-US" w:eastAsia="zh-TW"/>
              </w:rPr>
              <w:t>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3.269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2.169</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3.276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-5.145</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2.634</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0.051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1.034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2.586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0.689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6.178</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2.748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5.16</w:t>
            </w:r>
            <w:r>
              <w:rPr>
                <w:rFonts w:hint="default" w:ascii="Times New Roman" w:hAnsi="Times New Roman" w:eastAsia="PMingLiU" w:cs="Times New Roman"/>
                <w:lang w:val="en-US" w:eastAsia="zh-TW"/>
              </w:rPr>
              <w:t>6</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2.591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10.310</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2.752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4.132</w:t>
            </w:r>
          </w:p>
        </w:tc>
        <w:tc>
          <w:tcPr>
            <w:tcW w:w="82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2.706</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37"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639" w:type="pct"/>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-6.800</w:t>
            </w:r>
          </w:p>
        </w:tc>
        <w:tc>
          <w:tcPr>
            <w:tcW w:w="82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3.519</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-0.253</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3.347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0.940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6.547</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3.636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0.072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9.104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3.390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0.007</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15.90</w:t>
            </w:r>
            <w:r>
              <w:rPr>
                <w:rFonts w:hint="default" w:ascii="Times New Roman" w:hAnsi="Times New Roman" w:eastAsia="PMingLiU" w:cs="Times New Roman"/>
                <w:lang w:val="en-US" w:eastAsia="zh-TW"/>
              </w:rPr>
              <w:t>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3.675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9.357</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3.511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639" w:type="pct"/>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0.963</w:t>
            </w:r>
          </w:p>
        </w:tc>
        <w:tc>
          <w:tcPr>
            <w:tcW w:w="82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3.785</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0.799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-5.982</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3.874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0.123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-6.945</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3.893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-13.78</w:t>
            </w:r>
            <w:r>
              <w:rPr>
                <w:rFonts w:hint="default" w:ascii="Times New Roman" w:hAnsi="Times New Roman" w:eastAsia="PMingLiU" w:cs="Times New Roman"/>
                <w:lang w:val="en-US" w:eastAsia="zh-TW"/>
              </w:rPr>
              <w:t>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3.817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-14.74</w:t>
            </w:r>
            <w:r>
              <w:rPr>
                <w:rFonts w:hint="default" w:ascii="Times New Roman" w:hAnsi="Times New Roman" w:eastAsia="PMingLiU" w:cs="Times New Roman"/>
                <w:lang w:val="en-US" w:eastAsia="zh-TW"/>
              </w:rPr>
              <w:t>4</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3.837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-7.79</w:t>
            </w:r>
            <w:r>
              <w:rPr>
                <w:rFonts w:hint="default" w:ascii="Times New Roman" w:hAnsi="Times New Roman" w:eastAsia="PMingLiU" w:cs="Times New Roman"/>
                <w:lang w:val="en-US" w:eastAsia="zh-TW"/>
              </w:rPr>
              <w:t>9</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3.925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0.047</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4.815</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3.034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-1.761</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3.011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-6.575</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3.011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-8.515</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3.071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12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-13.329</w:t>
            </w:r>
          </w:p>
        </w:tc>
        <w:tc>
          <w:tcPr>
            <w:tcW w:w="82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3.071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w:t>
            </w:r>
            <w:r>
              <w:rPr>
                <w:rFonts w:hint="default" w:ascii="Times New Roman" w:hAnsi="Times New Roman" w:eastAsia="PMingLiU" w:cs="Times New Roman"/>
                <w:lang w:val="en-US" w:eastAsia="zh-TW"/>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639" w:type="pct"/>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126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-6.754</w:t>
            </w:r>
          </w:p>
        </w:tc>
        <w:tc>
          <w:tcPr>
            <w:tcW w:w="82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3.048</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0.027</w:t>
            </w:r>
            <w:r>
              <w:rPr>
                <w:rFonts w:hint="default" w:ascii="Times New Roman" w:hAnsi="Times New Roman" w:eastAsia="PMingLiU" w:cs="Times New Roman"/>
                <w:lang w:val="en-US" w:eastAsia="zh-TW"/>
              </w:rPr>
              <w:t>*</w:t>
            </w:r>
          </w:p>
        </w:tc>
      </w:tr>
    </w:tbl>
    <w:p>
      <w:pPr>
        <w:pStyle w:val="78"/>
        <w:bidi w:val="0"/>
        <w:rPr>
          <w:rFonts w:hint="default"/>
          <w:lang w:val="en-US" w:eastAsia="zh-TW"/>
        </w:rPr>
      </w:pPr>
      <w:r>
        <w:rPr>
          <w:rFonts w:hint="default"/>
          <w:lang w:val="en-US" w:eastAsia="zh-TW"/>
        </w:rPr>
        <w:t>p*&lt;0.05, p**≤0.01, p***≤0.001; Data Source: This Research</w:t>
      </w:r>
    </w:p>
    <w:p>
      <w:pPr>
        <w:rPr>
          <w:rFonts w:hint="default" w:ascii="Times New Roman" w:hAnsi="Times New Roman" w:cs="Times New Roman"/>
          <w:szCs w:val="24"/>
        </w:rPr>
      </w:pP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2017Q2, the stock return rate variances between A-groups #2 and #1, between A-groups #3 and #2, between A-groups #</w:t>
      </w:r>
      <w:r>
        <w:rPr>
          <w:rFonts w:hint="eastAsia" w:ascii="Times New Roman" w:hAnsi="Times New Roman" w:cs="Times New Roman"/>
          <w:color w:val="auto"/>
          <w:lang w:val="en-US" w:eastAsia="zh-TW"/>
        </w:rPr>
        <w:t>4</w:t>
      </w:r>
      <w:r>
        <w:rPr>
          <w:rFonts w:hint="default" w:ascii="Times New Roman" w:hAnsi="Times New Roman" w:cs="Times New Roman"/>
          <w:color w:val="auto"/>
          <w:lang w:val="en-US" w:eastAsia="zh-TW"/>
        </w:rPr>
        <w:t xml:space="preserve"> and #</w:t>
      </w:r>
      <w:r>
        <w:rPr>
          <w:rFonts w:hint="eastAsia" w:ascii="Times New Roman" w:hAnsi="Times New Roman" w:cs="Times New Roman"/>
          <w:color w:val="auto"/>
          <w:lang w:val="en-US" w:eastAsia="zh-TW"/>
        </w:rPr>
        <w:t>3</w:t>
      </w:r>
      <w:r>
        <w:rPr>
          <w:rFonts w:hint="default" w:ascii="Times New Roman" w:hAnsi="Times New Roman" w:cs="Times New Roman"/>
          <w:color w:val="auto"/>
          <w:lang w:val="en-US" w:eastAsia="zh-TW"/>
        </w:rPr>
        <w:t>,</w:t>
      </w:r>
      <w:r>
        <w:rPr>
          <w:rFonts w:hint="eastAsia" w:ascii="Times New Roman" w:hAnsi="Times New Roman" w:cs="Times New Roman"/>
          <w:color w:val="auto"/>
          <w:lang w:val="en-US" w:eastAsia="zh-TW"/>
        </w:rPr>
        <w:t xml:space="preserve"> </w:t>
      </w:r>
      <w:r>
        <w:rPr>
          <w:rFonts w:hint="default" w:ascii="Times New Roman" w:hAnsi="Times New Roman" w:cs="Times New Roman"/>
          <w:color w:val="auto"/>
          <w:lang w:val="en-US" w:eastAsia="zh-TW"/>
        </w:rPr>
        <w:t>are of significance; whereas the stock return rate variances between any other two A-groups are free of significance. According to the significant mean differences, A-group #</w:t>
      </w:r>
      <w:r>
        <w:rPr>
          <w:rFonts w:hint="eastAsia" w:ascii="Times New Roman" w:hAnsi="Times New Roman" w:cs="Times New Roman"/>
          <w:color w:val="auto"/>
          <w:lang w:val="en-US" w:eastAsia="zh-TW"/>
        </w:rPr>
        <w:t>1</w:t>
      </w:r>
      <w:r>
        <w:rPr>
          <w:rFonts w:hint="default" w:ascii="Times New Roman" w:hAnsi="Times New Roman" w:cs="Times New Roman"/>
          <w:color w:val="auto"/>
          <w:lang w:val="en-US" w:eastAsia="zh-TW"/>
        </w:rPr>
        <w:t xml:space="preserve"> has higher stock return rate mean while A-group #3 has lower stock return rate mean. In 2017Q4, the stock return rate variances between A-groups #3 and #2, between A-groups #4 and #3, are of significance; whereas the stock return rate variances between any other two A-groups are free of significance. According to the significant mean differences, A-group #4 has higher stock return rate mean while A-group #3 has lower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2018Q1, the stock return rate variances between A-groups #4 and #2, between A-groups #4 and #3, are of significance; whereas the stock return rate variances between any other two A-groups are free of significance. According to the significant mean differences, A-group #4 has higher stock return rate mean while A-group #2 has lower stock return rate mean. In 2018Q2, the stock return rate variances between A-groups #2 and #1, between A-groups #4 and #2, are of significance; whereas the stock return rate variances between any other two A-groups are free of significance. According to the significant mean differences, A-group #1 has higher stock return rate mean while A-group #2 has lower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2019Q3, the stock return rate variances between A-groups #3 and #1, between A-groups #4 and #1, are of significance; whereas the stock return rate variances between any other two A-groups are free of significance. According to the significant mean differences, A-group #3 has higher stock return rate mean while A-group #1 has lower stock return rate mean. In 2019Q4, the stock return rate variances between A-groups #4 and #1, between A-groups #4 and #2, are of significance; whereas the stock return rate variances between any other two A-groups are free of significance. According to the significant mean differences, A-group #4 has higher stock return rate mean while A-group #1 has lower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2020Q1, the stock return rate variances between A-groups #3 and #2, between A-groups #4 and #1, between A-groups #4 and #2, are of significance; whereas the stock return rate variances between any other two groups are free of significance. According to the significant mean differences, A-group #4 has higher stock return rate mean while A-group #2 has lower stock return rate mean. In 2020Q2, the stock return rate variances between A-groups #4 and #1, between A-groups #4 and #2, between A-groups #4 and #3, are of significance; whereas the stock return rate variances between any other two groups are free of significance. According to the significant mean differences, A-group #4 has the highest stock return rate mean while A-group #2 has the lowest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2021Q3, the stock return rate variances between A-groups #4 and #1, between A-groups #4 and #2, between A-groups #4 and #3, are of significance; whereas the stock return rate variances between any other two groups are free of significance. According to the significant mean differences, A-group #2 has the highest stock return rate mean while A-group #4 has the lowest stock return rate mean. In 2021Q4, the stock return rate variances between A-groups #3 and #2, between A-groups #4 and #1, between A-groups #4 and #2, between A-groups #4 and #3, are of significance; whereas the stock return rate variances between any other two A-groups are free of significance. According to the significant mean differences, A-group #2 has the highest stock return rate mean while A-group #4 has the lowest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ten quarters of which the stock return rate variances between A-groups are of significance, A-group #4 shows higher stock return rate mean</w:t>
      </w:r>
      <w:r>
        <w:rPr>
          <w:rFonts w:hint="default" w:cs="Times New Roman"/>
          <w:color w:val="auto"/>
          <w:lang w:val="en-US" w:eastAsia="zh-TW"/>
        </w:rPr>
        <w:t>s</w:t>
      </w:r>
      <w:r>
        <w:rPr>
          <w:rFonts w:hint="default" w:ascii="Times New Roman" w:hAnsi="Times New Roman" w:cs="Times New Roman"/>
          <w:color w:val="auto"/>
          <w:lang w:val="en-US" w:eastAsia="zh-TW"/>
        </w:rPr>
        <w:t xml:space="preserve"> in five quarters whereas A-group #4 also shows lower </w:t>
      </w:r>
      <w:r>
        <w:rPr>
          <w:rFonts w:hint="default" w:cs="Times New Roman"/>
          <w:color w:val="auto"/>
          <w:lang w:val="en-US" w:eastAsia="zh-TW"/>
        </w:rPr>
        <w:t xml:space="preserve">or the lowest </w:t>
      </w:r>
      <w:r>
        <w:rPr>
          <w:rFonts w:hint="default" w:ascii="Times New Roman" w:hAnsi="Times New Roman" w:cs="Times New Roman"/>
          <w:color w:val="auto"/>
          <w:lang w:val="en-US" w:eastAsia="zh-TW"/>
        </w:rPr>
        <w:t>stock return rate mean</w:t>
      </w:r>
      <w:r>
        <w:rPr>
          <w:rFonts w:hint="default" w:cs="Times New Roman"/>
          <w:color w:val="auto"/>
          <w:lang w:val="en-US" w:eastAsia="zh-TW"/>
        </w:rPr>
        <w:t>s</w:t>
      </w:r>
      <w:r>
        <w:rPr>
          <w:rFonts w:hint="default" w:ascii="Times New Roman" w:hAnsi="Times New Roman" w:cs="Times New Roman"/>
          <w:color w:val="auto"/>
          <w:lang w:val="en-US" w:eastAsia="zh-TW"/>
        </w:rPr>
        <w:t xml:space="preserve"> in two quarters; A-group #2 shows higher </w:t>
      </w:r>
      <w:r>
        <w:rPr>
          <w:rFonts w:hint="default" w:cs="Times New Roman"/>
          <w:color w:val="auto"/>
          <w:lang w:val="en-US" w:eastAsia="zh-TW"/>
        </w:rPr>
        <w:t xml:space="preserve">or the highest </w:t>
      </w:r>
      <w:r>
        <w:rPr>
          <w:rFonts w:hint="default" w:ascii="Times New Roman" w:hAnsi="Times New Roman" w:cs="Times New Roman"/>
          <w:color w:val="auto"/>
          <w:lang w:val="en-US" w:eastAsia="zh-TW"/>
        </w:rPr>
        <w:t xml:space="preserve">stock return rate mean in three quarters whereas A-group #2 shows lower stock return rate in four quarters. It is not able to identify either the A-group usually showing higher stock return rate mean or the A-group usually showing lower stock return rate mean. In general, the average drawing count of invention grants is not an appropriate patent indicator for differentiating A-share’s stock return rate. The A-shares having higher average drawing counts of invention grants do not </w:t>
      </w:r>
      <w:r>
        <w:rPr>
          <w:rFonts w:hint="default" w:cs="Times New Roman"/>
          <w:color w:val="auto"/>
          <w:lang w:val="en-US" w:eastAsia="zh-TW"/>
        </w:rPr>
        <w:t xml:space="preserve">mostly </w:t>
      </w:r>
      <w:r>
        <w:rPr>
          <w:rFonts w:hint="default" w:ascii="Times New Roman" w:hAnsi="Times New Roman" w:cs="Times New Roman"/>
          <w:color w:val="auto"/>
          <w:lang w:val="en-US" w:eastAsia="zh-TW"/>
        </w:rPr>
        <w:t xml:space="preserve">show higher stock return rate mean while the A-shares having lower average drawing counts of invention grants do not </w:t>
      </w:r>
      <w:r>
        <w:rPr>
          <w:rFonts w:hint="default" w:cs="Times New Roman"/>
          <w:color w:val="auto"/>
          <w:lang w:val="en-US" w:eastAsia="zh-TW"/>
        </w:rPr>
        <w:t xml:space="preserve">usually </w:t>
      </w:r>
      <w:r>
        <w:rPr>
          <w:rFonts w:hint="default" w:ascii="Times New Roman" w:hAnsi="Times New Roman" w:cs="Times New Roman"/>
          <w:color w:val="auto"/>
          <w:lang w:val="en-US" w:eastAsia="zh-TW"/>
        </w:rPr>
        <w:t>show lower stock return rate mean.</w:t>
      </w:r>
    </w:p>
    <w:p>
      <w:pPr>
        <w:rPr>
          <w:rFonts w:hint="default" w:ascii="Times New Roman" w:hAnsi="Times New Roman" w:cs="Times New Roman"/>
          <w:szCs w:val="24"/>
        </w:rPr>
      </w:pPr>
    </w:p>
    <w:p>
      <w:pPr>
        <w:pStyle w:val="50"/>
        <w:rPr>
          <w:rFonts w:hint="default" w:ascii="Times New Roman" w:hAnsi="Times New Roman" w:cs="Times New Roman"/>
        </w:rPr>
      </w:pPr>
      <w:r>
        <w:rPr>
          <w:rFonts w:hint="default" w:ascii="Times New Roman" w:hAnsi="Times New Roman" w:cs="Times New Roman"/>
        </w:rPr>
        <w:t>Variance of Stock Return Rate between T-Groups</w:t>
      </w:r>
    </w:p>
    <w:p>
      <w:pPr>
        <w:rPr>
          <w:rFonts w:hint="eastAsia" w:ascii="Times New Roman" w:hAnsi="Times New Roman" w:eastAsia="PMingLiU" w:cs="Times New Roman"/>
          <w:b/>
          <w:color w:val="000000"/>
          <w:szCs w:val="24"/>
          <w:lang w:val="en-US" w:eastAsia="zh-TW"/>
        </w:rPr>
      </w:pPr>
      <w:r>
        <w:rPr>
          <w:rFonts w:hint="default" w:ascii="Times New Roman" w:hAnsi="Times New Roman" w:cs="Times New Roman"/>
          <w:color w:val="000000"/>
          <w:szCs w:val="24"/>
        </w:rPr>
        <w:t>Table 11 shows the stock return rate means of each T-group in every quarter from 2017</w:t>
      </w:r>
      <w:r>
        <w:rPr>
          <w:rFonts w:hint="default" w:cs="Times New Roman"/>
          <w:color w:val="000000"/>
          <w:szCs w:val="24"/>
          <w:lang w:val="en-US"/>
        </w:rPr>
        <w:t>Q1</w:t>
      </w:r>
      <w:r>
        <w:rPr>
          <w:rFonts w:hint="default" w:ascii="Times New Roman" w:hAnsi="Times New Roman" w:cs="Times New Roman"/>
          <w:color w:val="000000"/>
          <w:szCs w:val="24"/>
        </w:rPr>
        <w:t xml:space="preserve"> to 2021</w:t>
      </w:r>
      <w:r>
        <w:rPr>
          <w:rFonts w:hint="default" w:cs="Times New Roman"/>
          <w:color w:val="000000"/>
          <w:szCs w:val="24"/>
          <w:lang w:val="en-US"/>
        </w:rPr>
        <w:t>Q4</w:t>
      </w:r>
      <w:r>
        <w:rPr>
          <w:rFonts w:hint="default" w:ascii="Times New Roman" w:hAnsi="Times New Roman" w:cs="Times New Roman"/>
          <w:color w:val="000000"/>
          <w:szCs w:val="24"/>
        </w:rPr>
        <w:t>. For clearly illustration, Figure 5 shows the relative stock return rate means of T-groups by comparing to the stock return means of all A-shares</w:t>
      </w:r>
      <w:r>
        <w:rPr>
          <w:rFonts w:hint="default" w:cs="Times New Roman"/>
          <w:color w:val="000000"/>
          <w:szCs w:val="24"/>
          <w:lang w:val="en-US"/>
        </w:rPr>
        <w:t>,</w:t>
      </w:r>
      <w:r>
        <w:rPr>
          <w:rFonts w:hint="default" w:ascii="Times New Roman" w:hAnsi="Times New Roman" w:cs="Times New Roman"/>
          <w:color w:val="000000"/>
          <w:szCs w:val="24"/>
        </w:rPr>
        <w:t xml:space="preserve"> which might be regarded as the market trend. The positive values in Figure </w:t>
      </w:r>
      <w:r>
        <w:rPr>
          <w:rFonts w:hint="default" w:cs="Times New Roman"/>
          <w:color w:val="000000"/>
          <w:szCs w:val="24"/>
          <w:lang w:val="en-US"/>
        </w:rPr>
        <w:t>5</w:t>
      </w:r>
      <w:r>
        <w:rPr>
          <w:rFonts w:hint="default" w:ascii="Times New Roman" w:hAnsi="Times New Roman" w:cs="Times New Roman"/>
          <w:color w:val="000000"/>
          <w:szCs w:val="24"/>
        </w:rPr>
        <w:t xml:space="preserve">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 xml:space="preserve">the stock return rates thereof higher than the market trend, while the negative values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the stock return rates thereof lower than the market trend. It seems that different T-groups have different stock return rate</w:t>
      </w:r>
      <w:r>
        <w:rPr>
          <w:rFonts w:hint="eastAsia" w:cs="Times New Roman"/>
          <w:color w:val="000000"/>
          <w:szCs w:val="24"/>
          <w:lang w:val="en-US" w:eastAsia="zh-TW"/>
        </w:rPr>
        <w:t xml:space="preserve"> mean</w:t>
      </w:r>
      <w:r>
        <w:rPr>
          <w:rFonts w:hint="default" w:ascii="Times New Roman" w:hAnsi="Times New Roman" w:cs="Times New Roman"/>
          <w:color w:val="000000"/>
          <w:szCs w:val="24"/>
        </w:rPr>
        <w:t xml:space="preserve">s. T-group #4 </w:t>
      </w:r>
      <w:r>
        <w:rPr>
          <w:rFonts w:hint="eastAsia" w:cs="Times New Roman"/>
          <w:color w:val="000000"/>
          <w:szCs w:val="24"/>
          <w:lang w:val="en-US" w:eastAsia="zh-TW"/>
        </w:rPr>
        <w:t xml:space="preserve">mostly </w:t>
      </w:r>
      <w:r>
        <w:rPr>
          <w:rFonts w:hint="default" w:ascii="Times New Roman" w:hAnsi="Times New Roman" w:cs="Times New Roman"/>
          <w:color w:val="000000"/>
          <w:szCs w:val="24"/>
        </w:rPr>
        <w:t xml:space="preserve">shows the highest stock return rate mean while T-group #2 </w:t>
      </w:r>
      <w:r>
        <w:rPr>
          <w:rFonts w:hint="eastAsia" w:cs="Times New Roman"/>
          <w:color w:val="000000"/>
          <w:szCs w:val="24"/>
          <w:lang w:val="en-US" w:eastAsia="zh-TW"/>
        </w:rPr>
        <w:t xml:space="preserve">mostly </w:t>
      </w:r>
      <w:r>
        <w:rPr>
          <w:rFonts w:hint="default" w:ascii="Times New Roman" w:hAnsi="Times New Roman" w:cs="Times New Roman"/>
          <w:color w:val="000000"/>
          <w:szCs w:val="24"/>
        </w:rPr>
        <w:t>show</w:t>
      </w:r>
      <w:r>
        <w:rPr>
          <w:rFonts w:hint="eastAsia" w:cs="Times New Roman"/>
          <w:color w:val="000000"/>
          <w:szCs w:val="24"/>
          <w:lang w:val="en-US" w:eastAsia="zh-TW"/>
        </w:rPr>
        <w:t>s</w:t>
      </w:r>
      <w:r>
        <w:rPr>
          <w:rFonts w:hint="default" w:ascii="Times New Roman" w:hAnsi="Times New Roman" w:cs="Times New Roman"/>
          <w:color w:val="000000"/>
          <w:szCs w:val="24"/>
        </w:rPr>
        <w:t xml:space="preserve"> lower stock return rate means. Meanwhile, there are nineteen quarters in which T-group #4 shows higher stock return rate means than the </w:t>
      </w:r>
      <w:r>
        <w:rPr>
          <w:rFonts w:hint="eastAsia" w:cs="Times New Roman"/>
          <w:color w:val="000000"/>
          <w:szCs w:val="24"/>
          <w:lang w:val="en-US" w:eastAsia="zh-TW"/>
        </w:rPr>
        <w:t>market trend</w:t>
      </w:r>
      <w:r>
        <w:rPr>
          <w:rFonts w:hint="default" w:ascii="Times New Roman" w:hAnsi="Times New Roman" w:cs="Times New Roman"/>
          <w:color w:val="000000"/>
          <w:szCs w:val="24"/>
        </w:rPr>
        <w:t xml:space="preserve">; while T-groups #1, #2 and #3 show lower stock return rate means than the </w:t>
      </w:r>
      <w:r>
        <w:rPr>
          <w:rFonts w:hint="eastAsia" w:cs="Times New Roman"/>
          <w:color w:val="000000"/>
          <w:szCs w:val="24"/>
          <w:lang w:val="en-US" w:eastAsia="zh-TW"/>
        </w:rPr>
        <w:t>market trend</w:t>
      </w:r>
      <w:r>
        <w:rPr>
          <w:rFonts w:hint="default" w:ascii="Times New Roman" w:hAnsi="Times New Roman" w:cs="Times New Roman"/>
          <w:color w:val="000000"/>
          <w:szCs w:val="24"/>
        </w:rPr>
        <w:t xml:space="preserve"> in most quarters</w:t>
      </w:r>
      <w:r>
        <w:rPr>
          <w:rFonts w:hint="eastAsia" w:ascii="Times New Roman" w:hAnsi="Times New Roman" w:cs="Times New Roman"/>
          <w:color w:val="000000"/>
          <w:szCs w:val="24"/>
          <w:lang w:val="en-US" w:eastAsia="zh-TW"/>
        </w:rPr>
        <w:t>.</w:t>
      </w:r>
    </w:p>
    <w:p>
      <w:pPr>
        <w:rPr>
          <w:rFonts w:hint="default" w:ascii="Times New Roman" w:hAnsi="Times New Roman" w:cs="Times New Roman"/>
          <w:szCs w:val="24"/>
        </w:rPr>
      </w:pPr>
    </w:p>
    <w:p>
      <w:pPr>
        <w:pStyle w:val="71"/>
        <w:bidi w:val="0"/>
        <w:rPr>
          <w:rFonts w:hint="default" w:ascii="Times New Roman" w:hAnsi="Times New Roman" w:cs="Times New Roman"/>
          <w:szCs w:val="24"/>
        </w:rPr>
      </w:pPr>
      <w:r>
        <w:rPr>
          <w:rFonts w:hint="eastAsia" w:ascii="Times New Roman" w:hAnsi="Times New Roman"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mean</w:t>
      </w:r>
      <w:r>
        <w:rPr>
          <w:rFonts w:hint="eastAsia" w:cs="Times New Roman"/>
          <w:lang w:val="en-US" w:eastAsia="zh-TW"/>
        </w:rPr>
        <w:t xml:space="preserve"> statistic</w:t>
      </w:r>
      <w:r>
        <w:rPr>
          <w:rFonts w:hint="eastAsia" w:ascii="Times New Roman" w:hAnsi="Times New Roman" w:cs="Times New Roman"/>
          <w:lang w:val="en-US" w:eastAsia="zh-TW"/>
        </w:rPr>
        <w:t>s of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080"/>
        <w:gridCol w:w="1104"/>
        <w:gridCol w:w="1389"/>
        <w:gridCol w:w="1389"/>
        <w:gridCol w:w="1389"/>
        <w:gridCol w:w="1389"/>
        <w:gridCol w:w="139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Year</w:t>
            </w:r>
          </w:p>
        </w:tc>
        <w:tc>
          <w:tcPr>
            <w:tcW w:w="60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Quarter</w:t>
            </w:r>
          </w:p>
        </w:tc>
        <w:tc>
          <w:tcPr>
            <w:tcW w:w="3804" w:type="pct"/>
            <w:gridSpan w:val="5"/>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Stock Return Rate Mean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604"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#1</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#2</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#3</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#4</w:t>
            </w:r>
          </w:p>
        </w:tc>
        <w:tc>
          <w:tcPr>
            <w:tcW w:w="763"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604" w:type="pct"/>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-3.60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-3.70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-5.32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1.76 </w:t>
            </w:r>
          </w:p>
        </w:tc>
        <w:tc>
          <w:tcPr>
            <w:tcW w:w="1316"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 xml:space="preserve">-2.80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-13.08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-14.41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-12.69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-6.47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-11.72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-10.48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-9.29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-8.87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-2.32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-7.80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-22.77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-19.89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-18.75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-6.89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-16.94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-23.13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-25.05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-22.28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-11.19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-20.49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-29.01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-29.51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-26.77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-20.38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-26.40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-36.76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-39.09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-37.58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-30.70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-35.96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-37.19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-37.71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-37.13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-34.81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-36.73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-16.71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-19.03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-16.94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-13.06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-16.38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-2.42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-5.45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-3.39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1.55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5.00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4.23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5.36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11.24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6.42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20.11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24.70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25.04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34.74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25.84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-5.53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-5.82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-3.82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1.44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-3.58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8.42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11.43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14.00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21.71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13.59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19.30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16.02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25.59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25.72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21.76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16.09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10.74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17.85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23.57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17.25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14.95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14.77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14.12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23.87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16.71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17.94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14.66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22.38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17.91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14.27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14.73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10.56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17.96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14.37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22.49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25.26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22.02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19.09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22.24 </w:t>
            </w: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78"/>
        <w:bidi w:val="0"/>
        <w:rPr>
          <w:rFonts w:hint="default" w:ascii="Times New Roman" w:hAnsi="Times New Roman" w:cs="Times New Roman"/>
          <w:color w:val="auto"/>
          <w:lang w:val="en-US" w:eastAsia="zh-TW"/>
        </w:rPr>
      </w:pPr>
    </w:p>
    <w:p>
      <w:pPr>
        <w:pStyle w:val="81"/>
        <w:bidi w:val="0"/>
        <w:rPr>
          <w:rFonts w:hint="default"/>
          <w:lang w:val="en-US" w:eastAsia="zh-TW"/>
        </w:rPr>
      </w:pPr>
      <w:r>
        <w:rPr>
          <w:rFonts w:hint="default"/>
          <w:lang w:val="en-US" w:eastAsia="zh-TW"/>
        </w:rPr>
        <w:drawing>
          <wp:inline distT="0" distB="0" distL="114300" distR="114300">
            <wp:extent cx="5751195" cy="2869565"/>
            <wp:effectExtent l="0" t="0" r="9525" b="10795"/>
            <wp:docPr id="5"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5"/>
                    <pic:cNvPicPr>
                      <a:picLocks noChangeAspect="1"/>
                    </pic:cNvPicPr>
                  </pic:nvPicPr>
                  <pic:blipFill>
                    <a:blip r:embed="rId14"/>
                    <a:stretch>
                      <a:fillRect/>
                    </a:stretch>
                  </pic:blipFill>
                  <pic:spPr>
                    <a:xfrm>
                      <a:off x="0" y="0"/>
                      <a:ext cx="5751195" cy="2869565"/>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Data Source: This Research</w:t>
      </w:r>
    </w:p>
    <w:p>
      <w:pPr>
        <w:pStyle w:val="68"/>
        <w:rPr>
          <w:rFonts w:hint="default" w:ascii="Times New Roman" w:hAnsi="Times New Roman" w:cs="Times New Roman"/>
        </w:rPr>
      </w:pPr>
      <w:r>
        <w:rPr>
          <w:rFonts w:hint="default" w:cs="Times New Roman"/>
          <w:lang w:val="en-US" w:eastAsia="zh-TW"/>
        </w:rPr>
        <w:t xml:space="preserve">Relative </w:t>
      </w:r>
      <w:r>
        <w:rPr>
          <w:rFonts w:hint="eastAsia"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w:t>
      </w:r>
      <w:r>
        <w:rPr>
          <w:rFonts w:hint="default" w:ascii="Times New Roman" w:hAnsi="Times New Roman" w:cs="Times New Roman"/>
          <w:lang w:val="en-US" w:eastAsia="zh-TW"/>
        </w:rPr>
        <w:t xml:space="preserve">eans of </w:t>
      </w:r>
      <w:r>
        <w:rPr>
          <w:rFonts w:hint="eastAsia" w:ascii="Times New Roman" w:hAnsi="Times New Roman" w:cs="Times New Roman"/>
          <w:lang w:val="en-US" w:eastAsia="zh-TW"/>
        </w:rPr>
        <w:t>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r>
        <w:rPr>
          <w:rFonts w:hint="default" w:ascii="Times New Roman" w:hAnsi="Times New Roman" w:cs="Times New Roman"/>
        </w:rPr>
        <w:t xml:space="preserve">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pStyle w:val="76"/>
        <w:bidi w:val="0"/>
        <w:rPr>
          <w:rFonts w:hint="default"/>
          <w:lang w:val="en-US" w:eastAsia="zh-TW"/>
        </w:rPr>
      </w:pPr>
      <w:r>
        <w:rPr>
          <w:rFonts w:hint="default"/>
          <w:lang w:val="en-US" w:eastAsia="zh-TW"/>
        </w:rPr>
        <w:t xml:space="preserve">Table 12 shows the results of ANOVA on the stock return rate between four T-groups in every quarter from 2017Q1 to 2021Q4. The stock return rate variance between four different T-groups </w:t>
      </w:r>
      <w:r>
        <w:rPr>
          <w:rFonts w:hint="eastAsia"/>
          <w:lang w:val="en-US" w:eastAsia="zh-TW"/>
        </w:rPr>
        <w:t xml:space="preserve">from </w:t>
      </w:r>
      <w:r>
        <w:rPr>
          <w:rFonts w:hint="default"/>
          <w:lang w:val="en-US" w:eastAsia="zh-TW"/>
        </w:rPr>
        <w:t>2017Q</w:t>
      </w:r>
      <w:r>
        <w:rPr>
          <w:rFonts w:hint="eastAsia"/>
          <w:lang w:val="en-US" w:eastAsia="zh-TW"/>
        </w:rPr>
        <w:t>1</w:t>
      </w:r>
      <w:r>
        <w:rPr>
          <w:rFonts w:hint="default"/>
          <w:lang w:val="en-US" w:eastAsia="zh-TW"/>
        </w:rPr>
        <w:t xml:space="preserve"> to 2018Q3, </w:t>
      </w:r>
      <w:r>
        <w:rPr>
          <w:rFonts w:hint="eastAsia"/>
          <w:lang w:val="en-US" w:eastAsia="zh-TW"/>
        </w:rPr>
        <w:t xml:space="preserve">and from </w:t>
      </w:r>
      <w:r>
        <w:rPr>
          <w:rFonts w:hint="default"/>
          <w:lang w:val="en-US" w:eastAsia="zh-TW"/>
        </w:rPr>
        <w:t>2019Q</w:t>
      </w:r>
      <w:r>
        <w:rPr>
          <w:rFonts w:hint="eastAsia"/>
          <w:lang w:val="en-US" w:eastAsia="zh-TW"/>
        </w:rPr>
        <w:t>1</w:t>
      </w:r>
      <w:r>
        <w:rPr>
          <w:rFonts w:hint="default"/>
          <w:lang w:val="en-US" w:eastAsia="zh-TW"/>
        </w:rPr>
        <w:t xml:space="preserve"> to 2021Q1 are of significance whereas the stock return rate variances between four different T-groups</w:t>
      </w:r>
      <w:r>
        <w:rPr>
          <w:rFonts w:hint="eastAsia"/>
          <w:lang w:val="en-US" w:eastAsia="zh-TW"/>
        </w:rPr>
        <w:t xml:space="preserve"> </w:t>
      </w:r>
      <w:r>
        <w:rPr>
          <w:rFonts w:hint="default"/>
          <w:lang w:val="en-US" w:eastAsia="zh-TW"/>
        </w:rPr>
        <w:t xml:space="preserve">in the other </w:t>
      </w:r>
      <w:r>
        <w:rPr>
          <w:rFonts w:hint="eastAsia"/>
          <w:lang w:val="en-US" w:eastAsia="zh-TW"/>
        </w:rPr>
        <w:t xml:space="preserve">four </w:t>
      </w:r>
      <w:r>
        <w:rPr>
          <w:rFonts w:hint="default"/>
          <w:lang w:val="en-US" w:eastAsia="zh-TW"/>
        </w:rPr>
        <w:t xml:space="preserve">quarters are free of significance. In all twenty quarters, there are </w:t>
      </w:r>
      <w:r>
        <w:rPr>
          <w:rFonts w:hint="eastAsia"/>
          <w:lang w:val="en-US" w:eastAsia="zh-TW"/>
        </w:rPr>
        <w:t>six</w:t>
      </w:r>
      <w:r>
        <w:rPr>
          <w:rFonts w:hint="default"/>
          <w:lang w:val="en-US" w:eastAsia="zh-TW"/>
        </w:rPr>
        <w:t xml:space="preserve">teen quarters in which the stock return rate variances between different T-groups are of significance, the rate of significance is </w:t>
      </w:r>
      <w:r>
        <w:rPr>
          <w:rFonts w:hint="eastAsia"/>
          <w:lang w:val="en-US" w:eastAsia="zh-TW"/>
        </w:rPr>
        <w:t>80</w:t>
      </w:r>
      <w:r>
        <w:rPr>
          <w:rFonts w:hint="default"/>
          <w:lang w:val="en-US" w:eastAsia="zh-TW"/>
        </w:rPr>
        <w:t xml:space="preserve">%. The total drawing count </w:t>
      </w:r>
      <w:r>
        <w:rPr>
          <w:rFonts w:hint="eastAsia"/>
          <w:lang w:val="en-US" w:eastAsia="zh-TW"/>
        </w:rPr>
        <w:t xml:space="preserve">of invention grants </w:t>
      </w:r>
      <w:r>
        <w:rPr>
          <w:rFonts w:hint="default"/>
          <w:lang w:val="en-US" w:eastAsia="zh-TW"/>
        </w:rPr>
        <w:t>might be applied as an indicator for differentiating China A-share’s stock return rate.</w:t>
      </w:r>
    </w:p>
    <w:p>
      <w:pPr>
        <w:pStyle w:val="76"/>
        <w:bidi w:val="0"/>
        <w:rPr>
          <w:rFonts w:hint="default"/>
          <w:lang w:val="en-US" w:eastAsia="zh-TW"/>
        </w:rPr>
      </w:pPr>
    </w:p>
    <w:p>
      <w:pPr>
        <w:pStyle w:val="71"/>
        <w:bidi w:val="0"/>
        <w:rPr>
          <w:rFonts w:hint="default"/>
          <w:lang w:val="en-US" w:eastAsia="zh-TW"/>
        </w:rPr>
      </w:pPr>
      <w:r>
        <w:rPr>
          <w:rFonts w:hint="eastAsia" w:ascii="Times New Roman" w:hAnsi="Times New Roman" w:cs="Times New Roman"/>
          <w:lang w:val="en-US" w:eastAsia="zh-TW"/>
        </w:rPr>
        <w:t>ANOVA on 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between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705"/>
        <w:gridCol w:w="905"/>
        <w:gridCol w:w="1901"/>
        <w:gridCol w:w="1786"/>
        <w:gridCol w:w="1574"/>
        <w:gridCol w:w="1197"/>
        <w:gridCol w:w="106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170" w:hRule="atLeast"/>
        </w:trPr>
        <w:tc>
          <w:tcPr>
            <w:tcW w:w="38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95"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1040"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3077"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w:t>
            </w:r>
            <w:r>
              <w:rPr>
                <w:rFonts w:hint="default" w:cs="Times New Roman"/>
                <w:lang w:val="en-US" w:eastAsia="zh-TW"/>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495"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0"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9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55"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582"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495"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11,084.2</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3,694.7</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2.889</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2,057,670.4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1,278.9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14,250.2</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4,750.1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3.904</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1,940,852.3</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1,216.8</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16,257.0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5,419.0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4.499</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1,912,814.1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1,204.5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66,242.9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22,081.0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17.311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2,211,854.9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1,275.6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495"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51,569.2</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17,189.7</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16.170</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1,920,940.6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1,063.1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24,540.6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8,180.2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10.196</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1,488,309.0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802.3</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19,469.0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6,489.7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11.275</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1,117,731.9</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575.6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2,391.4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797.1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1.928</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0.123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824,179.4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413.5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9,114.9</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3,038.3</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3.514</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1,744,737.7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864.6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12,693.2</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4,231.1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3.524</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2,401,188.7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1,200.6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15,140.1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5,046.7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2.967</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3,361,445.1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1,701.1</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56,203.4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18,734.5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7.221</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5,048,642.8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2,594.4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15,543.5</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5,181.2</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3.038</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3,275,988.6</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1,705.4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49,067.4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16,355.8</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5.415</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5,968,964.1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3,020.7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33,587.0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11,195.7</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4.496</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5,044,587.1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2,489.9</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43,534.4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14,511.5</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4.822</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6,305,039.7</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3,009.6</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40,159.3</w:t>
            </w:r>
          </w:p>
        </w:tc>
        <w:tc>
          <w:tcPr>
            <w:tcW w:w="86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13,386.4</w:t>
            </w:r>
          </w:p>
        </w:tc>
        <w:tc>
          <w:tcPr>
            <w:tcW w:w="65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4.439</w:t>
            </w:r>
          </w:p>
        </w:tc>
        <w:tc>
          <w:tcPr>
            <w:tcW w:w="582"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7,533,565.8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3,015.8</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20,289.8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6,763.3</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1.609</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0.185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10,852,687.8</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4,203.2</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18,643.0</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6,214.3</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1.204</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0.307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14,258,296.4</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5,160.4</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97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13,575.1</w:t>
            </w:r>
          </w:p>
        </w:tc>
        <w:tc>
          <w:tcPr>
            <w:tcW w:w="86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4,525.0</w:t>
            </w:r>
          </w:p>
        </w:tc>
        <w:tc>
          <w:tcPr>
            <w:tcW w:w="655"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1.379</w:t>
            </w:r>
          </w:p>
        </w:tc>
        <w:tc>
          <w:tcPr>
            <w:tcW w:w="582"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0.247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97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9,254,327.0</w:t>
            </w:r>
          </w:p>
        </w:tc>
        <w:tc>
          <w:tcPr>
            <w:tcW w:w="86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default" w:ascii="Times New Roman" w:hAnsi="Times New Roman" w:cs="Times New Roman"/>
                <w:lang w:val="en-US" w:eastAsia="zh-CN"/>
              </w:rPr>
              <w:t>3,280.5</w:t>
            </w:r>
          </w:p>
        </w:tc>
        <w:tc>
          <w:tcPr>
            <w:tcW w:w="65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582"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p*&lt;0.05, p**≤0.01, p***≤0.001; Data Source: This Research</w:t>
      </w:r>
    </w:p>
    <w:p>
      <w:pPr>
        <w:pStyle w:val="76"/>
        <w:bidi w:val="0"/>
        <w:rPr>
          <w:rFonts w:hint="default"/>
          <w:lang w:val="en-US" w:eastAsia="zh-TW"/>
        </w:rPr>
      </w:pPr>
    </w:p>
    <w:p>
      <w:pPr>
        <w:pStyle w:val="76"/>
        <w:bidi w:val="0"/>
        <w:rPr>
          <w:rFonts w:hint="default"/>
          <w:lang w:val="en-US" w:eastAsia="zh-TW"/>
        </w:rPr>
      </w:pPr>
      <w:r>
        <w:rPr>
          <w:rFonts w:hint="default" w:cs="Times New Roman"/>
          <w:color w:val="auto"/>
          <w:lang w:val="en-US" w:eastAsia="zh-TW"/>
        </w:rPr>
        <w:t xml:space="preserve">In order to identify which </w:t>
      </w:r>
      <w:r>
        <w:rPr>
          <w:rFonts w:hint="eastAsia" w:cs="Times New Roman"/>
          <w:color w:val="auto"/>
          <w:lang w:val="en-US" w:eastAsia="zh-TW"/>
        </w:rPr>
        <w:t>T</w:t>
      </w:r>
      <w:r>
        <w:rPr>
          <w:rFonts w:hint="default" w:cs="Times New Roman"/>
          <w:color w:val="auto"/>
          <w:lang w:val="en-US" w:eastAsia="zh-TW"/>
        </w:rPr>
        <w:t>-group having higher or lower stock return rate,</w:t>
      </w:r>
      <w:r>
        <w:rPr>
          <w:rFonts w:hint="eastAsia" w:cs="Times New Roman"/>
          <w:color w:val="auto"/>
          <w:lang w:val="en-US" w:eastAsia="zh-TW"/>
        </w:rPr>
        <w:t xml:space="preserve"> </w:t>
      </w:r>
      <w:r>
        <w:rPr>
          <w:rFonts w:hint="default"/>
          <w:lang w:val="en-US" w:eastAsia="zh-TW"/>
        </w:rPr>
        <w:t>the multiple comparisons of ANOVA on the stock return rate between every two T-groups in sixteen quarters of which the stock return rate variance between T-groups are of significance</w:t>
      </w:r>
      <w:r>
        <w:rPr>
          <w:rFonts w:hint="eastAsia"/>
          <w:lang w:val="en-US" w:eastAsia="zh-TW"/>
        </w:rPr>
        <w:t xml:space="preserve"> as shown in </w:t>
      </w:r>
      <w:r>
        <w:rPr>
          <w:rFonts w:hint="default"/>
          <w:lang w:val="en-US" w:eastAsia="zh-TW"/>
        </w:rPr>
        <w:t>Table 13.</w:t>
      </w:r>
    </w:p>
    <w:p>
      <w:pPr>
        <w:pStyle w:val="76"/>
        <w:bidi w:val="0"/>
        <w:rPr>
          <w:rFonts w:hint="default"/>
          <w:lang w:val="en-US" w:eastAsia="zh-TW"/>
        </w:rPr>
      </w:pPr>
    </w:p>
    <w:p>
      <w:pPr>
        <w:pStyle w:val="71"/>
        <w:bidi w:val="0"/>
        <w:rPr>
          <w:rFonts w:hint="default"/>
          <w:lang w:val="en-US" w:eastAsia="zh-TW"/>
        </w:rPr>
      </w:pPr>
      <w:r>
        <w:rPr>
          <w:rFonts w:hint="eastAsia" w:ascii="Times New Roman" w:hAnsi="Times New Roman" w:cs="Times New Roman"/>
          <w:lang w:val="en-US" w:eastAsia="zh-TW"/>
        </w:rPr>
        <w:t>Multiple comparison of ANOVA on 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between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57" w:type="dxa"/>
          <w:bottom w:w="0" w:type="dxa"/>
          <w:right w:w="57" w:type="dxa"/>
        </w:tblCellMar>
      </w:tblPr>
      <w:tblGrid>
        <w:gridCol w:w="755"/>
        <w:gridCol w:w="936"/>
        <w:gridCol w:w="1236"/>
        <w:gridCol w:w="2"/>
        <w:gridCol w:w="1282"/>
        <w:gridCol w:w="2292"/>
        <w:gridCol w:w="1405"/>
        <w:gridCol w:w="122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512"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677" w:type="pct"/>
            <w:gridSpan w:val="2"/>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rPr>
            </w:pPr>
            <w:r>
              <w:rPr>
                <w:rFonts w:hint="default" w:ascii="Times New Roman" w:hAnsi="Times New Roman" w:cs="Times New Roman"/>
                <w:lang w:val="en-US" w:eastAsia="zh-TW"/>
              </w:rPr>
              <w:t>T-Group</w:t>
            </w:r>
            <w:r>
              <w:rPr>
                <w:rFonts w:hint="default" w:cs="Times New Roman"/>
                <w:lang w:val="en-US" w:eastAsia="zh-TW"/>
              </w:rPr>
              <w:t>(I)</w:t>
            </w:r>
          </w:p>
        </w:tc>
        <w:tc>
          <w:tcPr>
            <w:tcW w:w="701"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r>
              <w:rPr>
                <w:rFonts w:hint="default" w:cs="Times New Roman"/>
                <w:lang w:val="en-US" w:eastAsia="zh-TW"/>
              </w:rPr>
              <w:t>(J)</w:t>
            </w:r>
          </w:p>
        </w:tc>
        <w:tc>
          <w:tcPr>
            <w:tcW w:w="2695" w:type="pct"/>
            <w:gridSpan w:val="3"/>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512"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67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p>
        </w:tc>
        <w:tc>
          <w:tcPr>
            <w:tcW w:w="702" w:type="pct"/>
            <w:gridSpan w:val="2"/>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254"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69"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Std. Error</w:t>
            </w:r>
          </w:p>
        </w:tc>
        <w:tc>
          <w:tcPr>
            <w:tcW w:w="67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-0.106</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2.516</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0.967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-1.717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2.421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0.478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-1.612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2.584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5.36</w:t>
            </w:r>
            <w:r>
              <w:rPr>
                <w:rFonts w:hint="default" w:ascii="Times New Roman" w:hAnsi="Times New Roman" w:eastAsia="PMingLiU" w:cs="Times New Roman"/>
                <w:lang w:val="en-US" w:eastAsia="zh-TW"/>
              </w:rPr>
              <w:t>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2.476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5.466</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2.636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7.07</w:t>
            </w:r>
            <w:r>
              <w:rPr>
                <w:rFonts w:hint="default" w:ascii="Times New Roman" w:hAnsi="Times New Roman" w:eastAsia="PMingLiU" w:cs="Times New Roman"/>
                <w:lang w:val="en-US" w:eastAsia="zh-TW"/>
              </w:rPr>
              <w:t>8</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2.545</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-1.325</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2.438</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0.587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0.387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2.388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1.712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2.568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6.61</w:t>
            </w:r>
            <w:r>
              <w:rPr>
                <w:rFonts w:hint="default" w:ascii="Times New Roman" w:hAnsi="Times New Roman" w:eastAsia="PMingLiU" w:cs="Times New Roman"/>
                <w:lang w:val="en-US" w:eastAsia="zh-TW"/>
              </w:rPr>
              <w:t>3</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2.397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7.93</w:t>
            </w:r>
            <w:r>
              <w:rPr>
                <w:rFonts w:hint="default" w:ascii="Times New Roman" w:hAnsi="Times New Roman" w:eastAsia="PMingLiU" w:cs="Times New Roman"/>
                <w:lang w:val="en-US" w:eastAsia="zh-TW"/>
              </w:rPr>
              <w:t>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2.576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6.22</w:t>
            </w:r>
            <w:r>
              <w:rPr>
                <w:rFonts w:hint="default" w:ascii="Times New Roman" w:hAnsi="Times New Roman" w:eastAsia="PMingLiU" w:cs="Times New Roman"/>
                <w:lang w:val="en-US" w:eastAsia="zh-TW"/>
              </w:rPr>
              <w:t>6</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2.529</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1.189</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2.445</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1.605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2.415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0.506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0.416</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2.527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8.160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2.404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0.001</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6.971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2.516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6.55</w:t>
            </w:r>
            <w:r>
              <w:rPr>
                <w:rFonts w:hint="default" w:ascii="Times New Roman" w:hAnsi="Times New Roman" w:eastAsia="PMingLiU" w:cs="Times New Roman"/>
                <w:lang w:val="en-US" w:eastAsia="zh-TW"/>
              </w:rPr>
              <w:t>5</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2.487</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2.885</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2.498</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0.248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4.019</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2.367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0.090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1.134</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2.497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15.88</w:t>
            </w:r>
            <w:r>
              <w:rPr>
                <w:rFonts w:hint="default" w:ascii="Times New Roman" w:hAnsi="Times New Roman" w:eastAsia="PMingLiU" w:cs="Times New Roman"/>
                <w:lang w:val="en-US" w:eastAsia="zh-TW"/>
              </w:rPr>
              <w:t>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2.367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12.99</w:t>
            </w:r>
            <w:r>
              <w:rPr>
                <w:rFonts w:hint="default" w:ascii="Times New Roman" w:hAnsi="Times New Roman" w:eastAsia="PMingLiU" w:cs="Times New Roman"/>
                <w:lang w:val="en-US" w:eastAsia="zh-TW"/>
              </w:rPr>
              <w:t>6</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2.497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11.86</w:t>
            </w:r>
            <w:r>
              <w:rPr>
                <w:rFonts w:hint="default" w:ascii="Times New Roman" w:hAnsi="Times New Roman" w:eastAsia="PMingLiU" w:cs="Times New Roman"/>
                <w:lang w:val="en-US" w:eastAsia="zh-TW"/>
              </w:rPr>
              <w:t>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2.365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eastAsia="PMingLiU"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-1.919</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2.151</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0.373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0.852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2.122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2.770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2.203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0.209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11.9</w:t>
            </w:r>
            <w:r>
              <w:rPr>
                <w:rFonts w:hint="default" w:ascii="Times New Roman" w:hAnsi="Times New Roman" w:eastAsia="PMingLiU" w:cs="Times New Roman"/>
                <w:lang w:val="en-US" w:eastAsia="zh-TW"/>
              </w:rPr>
              <w:t>40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2.138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13.858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2.219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11.08</w:t>
            </w:r>
            <w:r>
              <w:rPr>
                <w:rFonts w:hint="default" w:ascii="Times New Roman" w:hAnsi="Times New Roman" w:eastAsia="PMingLiU" w:cs="Times New Roman"/>
                <w:lang w:val="en-US" w:eastAsia="zh-TW"/>
              </w:rPr>
              <w:t>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2.190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-0.492</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1.863</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0.792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2.245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1.837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0.222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2.738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1.883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8.6</w:t>
            </w:r>
            <w:r>
              <w:rPr>
                <w:rFonts w:hint="default" w:ascii="Times New Roman" w:hAnsi="Times New Roman" w:eastAsia="PMingLiU" w:cs="Times New Roman"/>
                <w:lang w:val="en-US" w:eastAsia="zh-TW"/>
              </w:rPr>
              <w:t>30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1.835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9.122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1.881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6.38</w:t>
            </w:r>
            <w:r>
              <w:rPr>
                <w:rFonts w:hint="default" w:ascii="Times New Roman" w:hAnsi="Times New Roman" w:eastAsia="PMingLiU" w:cs="Times New Roman"/>
                <w:lang w:val="en-US" w:eastAsia="zh-TW"/>
              </w:rPr>
              <w:t>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1.856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-2.329</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1.561</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0.136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-0.825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1.499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0.582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1.504</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1.577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0.340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6.063</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1.507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8.392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1.585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6.88</w:t>
            </w:r>
            <w:r>
              <w:rPr>
                <w:rFonts w:hint="default" w:ascii="Times New Roman" w:hAnsi="Times New Roman" w:eastAsia="PMingLiU" w:cs="Times New Roman"/>
                <w:lang w:val="en-US" w:eastAsia="zh-TW"/>
              </w:rPr>
              <w:t>8</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1.523</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-2.318</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1.842</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-0.228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1.826</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2.090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1.903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0.272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3.64</w:t>
            </w:r>
            <w:r>
              <w:rPr>
                <w:rFonts w:hint="default" w:ascii="Times New Roman" w:hAnsi="Times New Roman" w:eastAsia="PMingLiU" w:cs="Times New Roman"/>
                <w:lang w:val="en-US" w:eastAsia="zh-TW"/>
              </w:rPr>
              <w:t>6</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1.802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5.96</w:t>
            </w:r>
            <w:r>
              <w:rPr>
                <w:rFonts w:hint="default" w:ascii="Times New Roman" w:hAnsi="Times New Roman" w:eastAsia="PMingLiU" w:cs="Times New Roman"/>
                <w:lang w:val="en-US" w:eastAsia="zh-TW"/>
              </w:rPr>
              <w:t>4</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1.880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3.87</w:t>
            </w:r>
            <w:r>
              <w:rPr>
                <w:rFonts w:hint="default" w:ascii="Times New Roman" w:hAnsi="Times New Roman" w:eastAsia="PMingLiU" w:cs="Times New Roman"/>
                <w:lang w:val="en-US" w:eastAsia="zh-TW"/>
              </w:rPr>
              <w:t>4</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1.865</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-3.035</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2.174</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-0.969</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2.164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2.067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2.253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3.967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2.133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7.002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2.223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4.935</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2.213</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-0.777</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2.570</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0.762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0.353</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2.595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0.892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1.130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2.695</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6.232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2.561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0.015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7.009</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2.662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5.87</w:t>
            </w:r>
            <w:r>
              <w:rPr>
                <w:rFonts w:hint="default" w:ascii="Times New Roman" w:hAnsi="Times New Roman" w:eastAsia="PMingLiU" w:cs="Times New Roman"/>
                <w:lang w:val="en-US" w:eastAsia="zh-TW"/>
              </w:rPr>
              <w:t>9</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2.687</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4.585</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3.187</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4.930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3.208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0.345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3.357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14.6</w:t>
            </w:r>
            <w:r>
              <w:rPr>
                <w:rFonts w:hint="default" w:ascii="Times New Roman" w:hAnsi="Times New Roman" w:eastAsia="PMingLiU" w:cs="Times New Roman"/>
                <w:lang w:val="en-US" w:eastAsia="zh-TW"/>
              </w:rPr>
              <w:t>30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3.191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10.044</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3.340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9.</w:t>
            </w:r>
            <w:r>
              <w:rPr>
                <w:rFonts w:hint="default" w:ascii="Times New Roman" w:hAnsi="Times New Roman" w:eastAsia="PMingLiU" w:cs="Times New Roman"/>
                <w:lang w:val="en-US" w:eastAsia="zh-TW"/>
              </w:rPr>
              <w:t>700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3.361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-0.293</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2.607</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0.911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1.707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2.589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0.510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2.000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2.711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0.461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6.96</w:t>
            </w:r>
            <w:r>
              <w:rPr>
                <w:rFonts w:hint="default" w:ascii="Times New Roman" w:hAnsi="Times New Roman" w:eastAsia="PMingLiU" w:cs="Times New Roman"/>
                <w:lang w:val="en-US" w:eastAsia="zh-TW"/>
              </w:rPr>
              <w:t>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2.633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7.25</w:t>
            </w:r>
            <w:r>
              <w:rPr>
                <w:rFonts w:hint="default" w:ascii="Times New Roman" w:hAnsi="Times New Roman" w:eastAsia="PMingLiU" w:cs="Times New Roman"/>
                <w:lang w:val="en-US" w:eastAsia="zh-TW"/>
              </w:rPr>
              <w:t>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2.753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0.008</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5.254</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2.736</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3.014</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3.440</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0.381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5.585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3.402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2.572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3.629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0.479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13.290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3.394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10.27</w:t>
            </w:r>
            <w:r>
              <w:rPr>
                <w:rFonts w:hint="default" w:ascii="Times New Roman" w:hAnsi="Times New Roman" w:eastAsia="PMingLiU" w:cs="Times New Roman"/>
                <w:lang w:val="en-US" w:eastAsia="zh-TW"/>
              </w:rPr>
              <w:t>7</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3.621</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0.005</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7.705</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3.585</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-3.276</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3.157</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0.300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6.291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3.040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0.039</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9.568</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3.227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6.425</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3.058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0.036</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9.701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3.244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0.003</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0.134</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3.130</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0.966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-5.349</w:t>
            </w:r>
          </w:p>
        </w:tc>
        <w:tc>
          <w:tcPr>
            <w:tcW w:w="769"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3.429</w:t>
            </w:r>
          </w:p>
        </w:tc>
        <w:tc>
          <w:tcPr>
            <w:tcW w:w="671"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0.119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1.761</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3.368</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0.601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7.1</w:t>
            </w:r>
            <w:r>
              <w:rPr>
                <w:rFonts w:hint="default" w:ascii="Times New Roman" w:hAnsi="Times New Roman" w:eastAsia="PMingLiU" w:cs="Times New Roman"/>
                <w:lang w:val="en-US" w:eastAsia="zh-TW"/>
              </w:rPr>
              <w:t>10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3.463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0.040</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7.483</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3.317</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0.024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12.832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3.414</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5.722</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3.353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0.088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54"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-0.176</w:t>
            </w:r>
          </w:p>
        </w:tc>
        <w:tc>
          <w:tcPr>
            <w:tcW w:w="769"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3.091</w:t>
            </w:r>
          </w:p>
        </w:tc>
        <w:tc>
          <w:tcPr>
            <w:tcW w:w="671"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0.955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-0.826</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3.090</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0.789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-0.650</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3.123</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0.835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8.92</w:t>
            </w:r>
            <w:r>
              <w:rPr>
                <w:rFonts w:hint="default" w:ascii="Times New Roman" w:hAnsi="Times New Roman" w:eastAsia="PMingLiU" w:cs="Times New Roman"/>
                <w:lang w:val="en-US" w:eastAsia="zh-TW"/>
              </w:rPr>
              <w:t>3</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3.089</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1254"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9.09</w:t>
            </w:r>
            <w:r>
              <w:rPr>
                <w:rFonts w:hint="default" w:ascii="Times New Roman" w:hAnsi="Times New Roman" w:eastAsia="PMingLiU" w:cs="Times New Roman"/>
                <w:lang w:val="en-US" w:eastAsia="zh-TW"/>
              </w:rPr>
              <w:t>9</w:t>
            </w:r>
          </w:p>
        </w:tc>
        <w:tc>
          <w:tcPr>
            <w:tcW w:w="769"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3.122</w:t>
            </w:r>
          </w:p>
        </w:tc>
        <w:tc>
          <w:tcPr>
            <w:tcW w:w="671"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0.004</w:t>
            </w:r>
            <w:r>
              <w:rPr>
                <w:rFonts w:hint="default" w:ascii="Times New Roman" w:hAnsi="Times New Roman" w:eastAsia="PMingLiU" w:cs="Times New Roman"/>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1254"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default" w:ascii="Times New Roman" w:hAnsi="Times New Roman" w:cs="Times New Roman"/>
                <w:lang w:val="en-US" w:eastAsia="zh-CN"/>
              </w:rPr>
              <w:t>9.74</w:t>
            </w:r>
            <w:r>
              <w:rPr>
                <w:rFonts w:hint="default" w:ascii="Times New Roman" w:hAnsi="Times New Roman" w:eastAsia="PMingLiU" w:cs="Times New Roman"/>
                <w:lang w:val="en-US" w:eastAsia="zh-TW"/>
              </w:rPr>
              <w:t>9</w:t>
            </w:r>
          </w:p>
        </w:tc>
        <w:tc>
          <w:tcPr>
            <w:tcW w:w="769"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default" w:ascii="Times New Roman" w:hAnsi="Times New Roman" w:cs="Times New Roman"/>
                <w:lang w:val="en-US" w:eastAsia="zh-CN"/>
              </w:rPr>
              <w:t>3.120</w:t>
            </w:r>
          </w:p>
        </w:tc>
        <w:tc>
          <w:tcPr>
            <w:tcW w:w="671"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default" w:ascii="Times New Roman" w:hAnsi="Times New Roman" w:cs="Times New Roman"/>
                <w:lang w:val="en-US" w:eastAsia="zh-CN"/>
              </w:rPr>
              <w:t>0.002</w:t>
            </w:r>
            <w:r>
              <w:rPr>
                <w:rFonts w:hint="default" w:ascii="Times New Roman" w:hAnsi="Times New Roman" w:eastAsia="PMingLiU" w:cs="Times New Roman"/>
                <w:lang w:val="en-US" w:eastAsia="zh-TW"/>
              </w:rPr>
              <w:t>**</w:t>
            </w:r>
          </w:p>
        </w:tc>
      </w:tr>
    </w:tbl>
    <w:p>
      <w:pPr>
        <w:pStyle w:val="78"/>
        <w:bidi w:val="0"/>
        <w:rPr>
          <w:rFonts w:hint="default"/>
          <w:lang w:val="en-US" w:eastAsia="zh-TW"/>
        </w:rPr>
      </w:pPr>
      <w:r>
        <w:rPr>
          <w:rFonts w:hint="default"/>
          <w:lang w:val="en-US" w:eastAsia="zh-TW"/>
        </w:rPr>
        <w:t>p*&lt;0.05, p**≤0.01, p***≤0.001; Data Source: This Research</w:t>
      </w:r>
    </w:p>
    <w:p>
      <w:pPr>
        <w:pStyle w:val="76"/>
        <w:bidi w:val="0"/>
        <w:rPr>
          <w:rFonts w:hint="default"/>
          <w:lang w:val="en-US" w:eastAsia="zh-TW"/>
        </w:rPr>
      </w:pPr>
    </w:p>
    <w:p>
      <w:pPr>
        <w:pStyle w:val="76"/>
        <w:bidi w:val="0"/>
        <w:rPr>
          <w:rFonts w:hint="default"/>
          <w:lang w:val="en-US" w:eastAsia="zh-TW"/>
        </w:rPr>
      </w:pPr>
      <w:r>
        <w:rPr>
          <w:rFonts w:hint="default"/>
          <w:lang w:val="en-US" w:eastAsia="zh-TW"/>
        </w:rPr>
        <w:t>From 2017Q1 to 2018Q1, the stock return rate variances between T-groups #4 and #1, between T-groups #4 and #2, between T-groups #4 and #3, are of significance; whereas the stock return rate variances between any other two T-groups are free of significance. According to the significant mean differences, T-group #4 has the highest stock return rate means in all quarters</w:t>
      </w:r>
      <w:r>
        <w:rPr>
          <w:rFonts w:hint="eastAsia"/>
          <w:lang w:val="en-US" w:eastAsia="zh-TW"/>
        </w:rPr>
        <w:t>,</w:t>
      </w:r>
      <w:r>
        <w:rPr>
          <w:rFonts w:hint="default"/>
          <w:lang w:val="en-US" w:eastAsia="zh-TW"/>
        </w:rPr>
        <w:t xml:space="preserve"> while T-group #3 has the lowest stock return rate mean in 2017Q1, T-group #2 has the lowest stock return rate means in 2017Q2 and 2018Q1, T-group #1 has the lowest stock return rate means in 2017Q3 and 2017Q4.</w:t>
      </w:r>
    </w:p>
    <w:p>
      <w:pPr>
        <w:pStyle w:val="76"/>
        <w:bidi w:val="0"/>
        <w:rPr>
          <w:rFonts w:hint="default"/>
          <w:lang w:val="en-US" w:eastAsia="zh-TW"/>
        </w:rPr>
      </w:pPr>
      <w:r>
        <w:rPr>
          <w:rFonts w:hint="default"/>
          <w:lang w:val="en-US" w:eastAsia="zh-TW"/>
        </w:rPr>
        <w:t>In 2018Q2, the stock return rate variances between T-groups #4 and #1, between T-groups #4 and #2, are of significance; while the stock return rate variances between any other two T-groups are free of significance. According to the significant mean differences, T-group #4 has higher stock return rate mean while T-group #2 has lower stock return rate mean.</w:t>
      </w:r>
    </w:p>
    <w:p>
      <w:pPr>
        <w:pStyle w:val="76"/>
        <w:bidi w:val="0"/>
        <w:rPr>
          <w:rFonts w:hint="default"/>
          <w:lang w:val="en-US" w:eastAsia="zh-TW"/>
        </w:rPr>
      </w:pPr>
      <w:r>
        <w:rPr>
          <w:rFonts w:hint="default"/>
          <w:lang w:val="en-US" w:eastAsia="zh-TW"/>
        </w:rPr>
        <w:t>In 2018Q3 and 2019Q1, the stock return rate variances between T-groups #4 and #1, between T-groups #4 and #2, between T-groups #4 and #3, are of significance; whereas the stock return rate variances between any other two T-groups are free of significance. According to the significant mean differences, T-group #4 has the highest stock return rate means while T-group #2 has the lowest stock return rate means in both quarters.</w:t>
      </w:r>
    </w:p>
    <w:p>
      <w:pPr>
        <w:pStyle w:val="76"/>
        <w:bidi w:val="0"/>
        <w:rPr>
          <w:rFonts w:hint="default"/>
          <w:lang w:val="en-US" w:eastAsia="zh-TW"/>
        </w:rPr>
      </w:pPr>
      <w:r>
        <w:rPr>
          <w:rFonts w:hint="default"/>
          <w:lang w:val="en-US" w:eastAsia="zh-TW"/>
        </w:rPr>
        <w:t>In 2019Q2, the stock return rate variances between T-groups #4 and #2, between T-groups #4 and #3, are of significance; while the stock return rate variances between any other two T-groups are free of significance. According to the significant mean differences, T-group #4 has higher stock return rate mean while T-group #2 has lower stock return rate mean.</w:t>
      </w:r>
    </w:p>
    <w:p>
      <w:pPr>
        <w:pStyle w:val="76"/>
        <w:bidi w:val="0"/>
        <w:rPr>
          <w:rFonts w:hint="default"/>
          <w:lang w:val="en-US" w:eastAsia="zh-TW"/>
        </w:rPr>
      </w:pPr>
      <w:r>
        <w:rPr>
          <w:rFonts w:hint="default"/>
          <w:lang w:val="en-US" w:eastAsia="zh-TW"/>
        </w:rPr>
        <w:t>In 2019Q3 and 2019Q4, the stock return rate variances between T-groups #4 and #1, between T-groups #4 and #2, between T-groups #4 and #3, are of significance; whereas the stock return rate variances between any other two T-groups are free of significance. According to the significant mean differences, T-group #4 has the highest stock return rate means in both quarters while T-group #2 has the lowest stock return rate mean in 2019Q3, T-group #1 has the lowest stock return rate mean in 2019Q4.</w:t>
      </w:r>
    </w:p>
    <w:p>
      <w:pPr>
        <w:pStyle w:val="76"/>
        <w:bidi w:val="0"/>
        <w:rPr>
          <w:rFonts w:hint="default"/>
          <w:lang w:val="en-US" w:eastAsia="zh-TW"/>
        </w:rPr>
      </w:pPr>
      <w:r>
        <w:rPr>
          <w:rFonts w:hint="default"/>
          <w:lang w:val="en-US" w:eastAsia="zh-TW"/>
        </w:rPr>
        <w:t>In 2020Q1 and 2020Q2, the stock return rate variances between T-groups #4 and #1, between T-groups #4 and #2, are of significance; whereas the stock return rate variances between any other two T-groups are free of significance. According to the significant mean differences, T-group #4 has the highest stock return rate means in both quarters while T-group #2 has the lowest stock return rate mean in 2020Q1, T-group #1 has the lowest stock return rate mean in 2020Q2.</w:t>
      </w:r>
    </w:p>
    <w:p>
      <w:pPr>
        <w:pStyle w:val="76"/>
        <w:bidi w:val="0"/>
        <w:rPr>
          <w:rFonts w:hint="default"/>
          <w:lang w:val="en-US" w:eastAsia="zh-TW"/>
        </w:rPr>
      </w:pPr>
      <w:r>
        <w:rPr>
          <w:rFonts w:hint="default"/>
          <w:lang w:val="en-US" w:eastAsia="zh-TW"/>
        </w:rPr>
        <w:t>In 2020Q3, the stock return rate variances between T-groups #3 and #1, between T-groups #3 and #2, between T-groups #4 and #1, between T-groups #4 and #2, are of significance; whereas the stock return rate variances between any other two T-groups are free of significance. According to the significant mean differences, T-group #4 has the highest stock return rate mean while T-group #2 has the lowest stock return rate mean.</w:t>
      </w:r>
    </w:p>
    <w:p>
      <w:pPr>
        <w:pStyle w:val="76"/>
        <w:bidi w:val="0"/>
        <w:rPr>
          <w:rFonts w:hint="default"/>
          <w:lang w:val="en-US" w:eastAsia="zh-TW"/>
        </w:rPr>
      </w:pPr>
      <w:r>
        <w:rPr>
          <w:rFonts w:hint="default"/>
          <w:lang w:val="en-US" w:eastAsia="zh-TW"/>
        </w:rPr>
        <w:t>In 2020Q4, the stock return rate variances between T-groups #3 and #2, between T-groups #4 and #1, between T-groups #4 and #2, are of significance; while the stock return rate variances between any other two T-groups are free of significance. According to the significant mean differences, T-group #4 has the highest stock return rate mean while T-group #2 has the lowest stock return rate mean.</w:t>
      </w:r>
    </w:p>
    <w:p>
      <w:pPr>
        <w:pStyle w:val="76"/>
        <w:bidi w:val="0"/>
        <w:rPr>
          <w:rFonts w:hint="default"/>
          <w:lang w:val="en-US" w:eastAsia="zh-TW"/>
        </w:rPr>
      </w:pPr>
      <w:r>
        <w:rPr>
          <w:rFonts w:hint="default"/>
          <w:lang w:val="en-US" w:eastAsia="zh-TW"/>
        </w:rPr>
        <w:t>In 2021Q1, the stock return rate variances between T-groups #4 and #1, between T-groups #4 and #2, between T-groups #4 and #3, are of significance; while the stock return rate variances between any other two T-groups are free of significance. According to the significant mean differences, T-group #4 has the highest stock return rate mean while T-group #3 has the lowest stock return rate mean.</w:t>
      </w:r>
    </w:p>
    <w:p>
      <w:pPr>
        <w:pStyle w:val="76"/>
        <w:bidi w:val="0"/>
        <w:rPr>
          <w:rFonts w:hint="default"/>
          <w:lang w:val="en-US" w:eastAsia="zh-TW"/>
        </w:rPr>
      </w:pPr>
      <w:r>
        <w:rPr>
          <w:rFonts w:hint="default"/>
          <w:lang w:val="en-US" w:eastAsia="zh-TW"/>
        </w:rPr>
        <w:t>In sixteen quarters of which the stock return rate variances between T-groups are of significance, T-group #4 shows the highest or higher stock return rate means in all quarters, T-groups #1 and #2 show the lowest or lower stock return rate means in fourteen quarters</w:t>
      </w:r>
      <w:r>
        <w:rPr>
          <w:rFonts w:hint="eastAsia"/>
          <w:lang w:val="en-US" w:eastAsia="zh-TW"/>
        </w:rPr>
        <w:t xml:space="preserve">, </w:t>
      </w:r>
      <w:r>
        <w:rPr>
          <w:rFonts w:hint="default"/>
          <w:lang w:val="en-US" w:eastAsia="zh-TW"/>
        </w:rPr>
        <w:t>T-group #</w:t>
      </w:r>
      <w:r>
        <w:rPr>
          <w:rFonts w:hint="eastAsia"/>
          <w:lang w:val="en-US" w:eastAsia="zh-TW"/>
        </w:rPr>
        <w:t>3</w:t>
      </w:r>
      <w:r>
        <w:rPr>
          <w:rFonts w:hint="default"/>
          <w:lang w:val="en-US" w:eastAsia="zh-TW"/>
        </w:rPr>
        <w:t xml:space="preserve"> show</w:t>
      </w:r>
      <w:r>
        <w:rPr>
          <w:rFonts w:hint="eastAsia"/>
          <w:lang w:val="en-US" w:eastAsia="zh-TW"/>
        </w:rPr>
        <w:t>s</w:t>
      </w:r>
      <w:r>
        <w:rPr>
          <w:rFonts w:hint="default"/>
          <w:lang w:val="en-US" w:eastAsia="zh-TW"/>
        </w:rPr>
        <w:t xml:space="preserve"> the lowest stock return rate means in </w:t>
      </w:r>
      <w:r>
        <w:rPr>
          <w:rFonts w:hint="eastAsia"/>
          <w:lang w:val="en-US" w:eastAsia="zh-TW"/>
        </w:rPr>
        <w:t xml:space="preserve">two </w:t>
      </w:r>
      <w:r>
        <w:rPr>
          <w:rFonts w:hint="default"/>
          <w:lang w:val="en-US" w:eastAsia="zh-TW"/>
        </w:rPr>
        <w:t xml:space="preserve">quarters. </w:t>
      </w:r>
    </w:p>
    <w:p>
      <w:pPr>
        <w:pStyle w:val="76"/>
        <w:bidi w:val="0"/>
        <w:rPr>
          <w:rFonts w:hint="default"/>
          <w:lang w:val="en-US" w:eastAsia="zh-TW"/>
        </w:rPr>
      </w:pPr>
      <w:r>
        <w:rPr>
          <w:rFonts w:hint="default"/>
          <w:lang w:val="en-US" w:eastAsia="zh-TW"/>
        </w:rPr>
        <w:t xml:space="preserve">In general, the total drawing count of invention grants is an appropriate patent indicator for differentiating A-share’s stock return rate. The A-shares in the invention grant’s T-group of the highest total drawing counts </w:t>
      </w:r>
      <w:r>
        <w:rPr>
          <w:rFonts w:hint="eastAsia"/>
          <w:lang w:val="en-US" w:eastAsia="zh-TW"/>
        </w:rPr>
        <w:t xml:space="preserve">mostly </w:t>
      </w:r>
      <w:r>
        <w:rPr>
          <w:rFonts w:hint="default"/>
          <w:lang w:val="en-US" w:eastAsia="zh-TW"/>
        </w:rPr>
        <w:t xml:space="preserve">show the highest or higher stock return rate mean while the A-shares in the invention grant’s T-groups of lower total drawing counts </w:t>
      </w:r>
      <w:r>
        <w:rPr>
          <w:rFonts w:hint="eastAsia"/>
          <w:lang w:val="en-US" w:eastAsia="zh-TW"/>
        </w:rPr>
        <w:t xml:space="preserve">usually </w:t>
      </w:r>
      <w:r>
        <w:rPr>
          <w:rFonts w:hint="default"/>
          <w:lang w:val="en-US" w:eastAsia="zh-TW"/>
        </w:rPr>
        <w:t>show lower stock return rate mean.</w:t>
      </w:r>
    </w:p>
    <w:p>
      <w:pPr>
        <w:pStyle w:val="76"/>
        <w:bidi w:val="0"/>
        <w:rPr>
          <w:rFonts w:hint="default"/>
          <w:lang w:val="en-US" w:eastAsia="zh-TW"/>
        </w:rPr>
      </w:pPr>
    </w:p>
    <w:p>
      <w:pPr>
        <w:pStyle w:val="46"/>
        <w:numPr>
          <w:ilvl w:val="0"/>
          <w:numId w:val="3"/>
        </w:numPr>
        <w:ind w:left="360"/>
        <w:rPr>
          <w:rFonts w:hint="default" w:ascii="Times New Roman" w:hAnsi="Times New Roman" w:cs="Times New Roman"/>
        </w:rPr>
      </w:pPr>
      <w:r>
        <w:rPr>
          <w:rFonts w:hint="default" w:ascii="Times New Roman" w:hAnsi="Times New Roman" w:cs="Times New Roman"/>
        </w:rPr>
        <w:t>Conclusion</w:t>
      </w:r>
    </w:p>
    <w:p>
      <w:pPr>
        <w:rPr>
          <w:rFonts w:hint="default" w:ascii="Times New Roman" w:hAnsi="Times New Roman" w:cs="Times New Roman"/>
        </w:rPr>
      </w:pPr>
      <w:r>
        <w:rPr>
          <w:rFonts w:hint="default" w:ascii="Times New Roman" w:hAnsi="Times New Roman" w:cs="Times New Roman"/>
        </w:rPr>
        <w:t xml:space="preserve">Based on the company integrated patent database of China A-shares and the stock return rate data in twenty quarters from 2017Q1 to 2021Q4, the effect of invention grant patent’s drawing count for differentiating China A-share’s stock return rate was thoroughly analyzed via ANOVA. </w:t>
      </w:r>
    </w:p>
    <w:p>
      <w:pPr>
        <w:rPr>
          <w:rFonts w:hint="default" w:ascii="Times New Roman" w:hAnsi="Times New Roman" w:cs="Times New Roman"/>
        </w:rPr>
      </w:pPr>
      <w:r>
        <w:rPr>
          <w:rFonts w:hint="default" w:ascii="Times New Roman" w:hAnsi="Times New Roman" w:cs="Times New Roman"/>
        </w:rPr>
        <w:t>The population for analysis was the China A-share listed in either Shanghai stock exchange or Shenzhen stock exchange whereas China companies listed overseas were excluded. The effective sample had an annual stock return rate and at least one new China invention publication patent published over previous one year by the end of any quarter from 2017Q1 to 2021Q4. The foreign patents other than China patent were excluded. Two kinds of patent drawing count</w:t>
      </w:r>
      <w:r>
        <w:rPr>
          <w:rFonts w:hint="eastAsia" w:cs="Times New Roman"/>
          <w:lang w:val="en-US" w:eastAsia="zh-TW"/>
        </w:rPr>
        <w:t>s</w:t>
      </w:r>
      <w:r>
        <w:rPr>
          <w:rFonts w:hint="default" w:ascii="Times New Roman" w:hAnsi="Times New Roman" w:cs="Times New Roman"/>
        </w:rPr>
        <w:t xml:space="preserve"> of invention grant</w:t>
      </w:r>
      <w:r>
        <w:rPr>
          <w:rFonts w:hint="eastAsia" w:cs="Times New Roman"/>
          <w:lang w:val="en-US" w:eastAsia="zh-TW"/>
        </w:rPr>
        <w:t>s</w:t>
      </w:r>
      <w:r>
        <w:rPr>
          <w:rFonts w:hint="default" w:ascii="Times New Roman" w:hAnsi="Times New Roman" w:cs="Times New Roman"/>
        </w:rPr>
        <w:t xml:space="preserve"> were discussed, wherein, the average drawing count was defined as the average number of drawings per invention grant of an A-share and the total drawing count was defined as the total number of all invention grant’s drawings of an A-share. According to the percentile rank of average drawing counts and total drawing counts, all effective sample A-shares in each quarter were divided into four A-groups (average drawing groups) and four T-groups (total drawing groups), wherein, group #1 was the group of the lowest drawing count</w:t>
      </w:r>
      <w:r>
        <w:rPr>
          <w:rFonts w:hint="eastAsia" w:cs="Times New Roman"/>
          <w:lang w:val="en-US" w:eastAsia="zh-TW"/>
        </w:rPr>
        <w:t xml:space="preserve">s </w:t>
      </w:r>
      <w:r>
        <w:rPr>
          <w:rFonts w:hint="default" w:ascii="Times New Roman" w:hAnsi="Times New Roman" w:cs="Times New Roman"/>
        </w:rPr>
        <w:t>while group #4 was the group of the highest drawing count</w:t>
      </w:r>
      <w:r>
        <w:rPr>
          <w:rFonts w:hint="eastAsia" w:cs="Times New Roman"/>
          <w:lang w:val="en-US" w:eastAsia="zh-TW"/>
        </w:rPr>
        <w:t>s</w:t>
      </w:r>
      <w:r>
        <w:rPr>
          <w:rFonts w:hint="default" w:ascii="Times New Roman" w:hAnsi="Times New Roman" w:cs="Times New Roman"/>
        </w:rPr>
        <w:t>. The following conclusions were arrived:</w:t>
      </w:r>
    </w:p>
    <w:p>
      <w:pPr>
        <w:numPr>
          <w:ilvl w:val="0"/>
          <w:numId w:val="10"/>
        </w:numPr>
        <w:rPr>
          <w:rFonts w:hint="default" w:ascii="Times New Roman" w:hAnsi="Times New Roman" w:cs="Times New Roman"/>
        </w:rPr>
      </w:pPr>
      <w:r>
        <w:rPr>
          <w:rFonts w:hint="default" w:ascii="Times New Roman" w:hAnsi="Times New Roman" w:cs="Times New Roman"/>
        </w:rPr>
        <w:t>With regard to any of A-groups, A-shares in different years from 2017 to 2021 showed significantly different average drawing count means. The average drawing count mean of any of A-groups #2, #3 and #4 gradually increased significantly from 2017 to 2021. When taking the patent drawing count as one of indicators of patent quality, the invention grant’s patent quality of China A-shares gradually increased significan</w:t>
      </w:r>
      <w:r>
        <w:rPr>
          <w:rFonts w:hint="eastAsia" w:cs="Times New Roman"/>
          <w:lang w:val="en-US" w:eastAsia="zh-TW"/>
        </w:rPr>
        <w:t>tly</w:t>
      </w:r>
      <w:r>
        <w:rPr>
          <w:rFonts w:hint="default" w:ascii="Times New Roman" w:hAnsi="Times New Roman" w:cs="Times New Roman"/>
        </w:rPr>
        <w:t xml:space="preserve"> over previous five years.</w:t>
      </w:r>
    </w:p>
    <w:p>
      <w:pPr>
        <w:numPr>
          <w:ilvl w:val="0"/>
          <w:numId w:val="10"/>
        </w:numPr>
        <w:rPr>
          <w:rFonts w:hint="default" w:ascii="Times New Roman" w:hAnsi="Times New Roman" w:cs="Times New Roman"/>
        </w:rPr>
      </w:pPr>
      <w:r>
        <w:rPr>
          <w:rFonts w:hint="default" w:ascii="Times New Roman" w:hAnsi="Times New Roman" w:cs="Times New Roman"/>
        </w:rPr>
        <w:t xml:space="preserve">With regard to any of T-groups, A-shares in different years from 2017 to 2021 showed significantly different total drawing count means. The total drawing count mean of group #4 showed an </w:t>
      </w:r>
      <w:r>
        <w:rPr>
          <w:rFonts w:hint="eastAsia" w:cs="Times New Roman"/>
          <w:lang w:eastAsia="zh-TW"/>
        </w:rPr>
        <w:t>increasing trend</w:t>
      </w:r>
      <w:r>
        <w:rPr>
          <w:rFonts w:hint="default" w:ascii="Times New Roman" w:hAnsi="Times New Roman" w:cs="Times New Roman"/>
        </w:rPr>
        <w:t xml:space="preserve"> of significance, whereas the total drawing count mean of any of groups #1, #2 and #3 did not. However, for </w:t>
      </w:r>
      <w:r>
        <w:rPr>
          <w:rFonts w:hint="eastAsia" w:cs="Times New Roman"/>
          <w:lang w:val="en-US" w:eastAsia="zh-TW"/>
        </w:rPr>
        <w:t xml:space="preserve">any of </w:t>
      </w:r>
      <w:r>
        <w:rPr>
          <w:rFonts w:hint="default" w:ascii="Times New Roman" w:hAnsi="Times New Roman" w:cs="Times New Roman"/>
        </w:rPr>
        <w:t>T-group</w:t>
      </w:r>
      <w:r>
        <w:rPr>
          <w:rFonts w:hint="eastAsia" w:cs="Times New Roman"/>
          <w:lang w:val="en-US" w:eastAsia="zh-TW"/>
        </w:rPr>
        <w:t>s</w:t>
      </w:r>
      <w:r>
        <w:rPr>
          <w:rFonts w:hint="default" w:ascii="Times New Roman" w:hAnsi="Times New Roman" w:cs="Times New Roman"/>
        </w:rPr>
        <w:t>, A-shares in 2021 showed significantly higher total drawing count means than A-shares in any other years. In addition, A-shares in 2020 showed significantly lower total drawing count means in most T-groups, it might result from the impact of COVID-19 pandemic.</w:t>
      </w:r>
    </w:p>
    <w:p>
      <w:pPr>
        <w:numPr>
          <w:ilvl w:val="0"/>
          <w:numId w:val="10"/>
        </w:numPr>
        <w:rPr>
          <w:rFonts w:hint="default" w:ascii="Times New Roman" w:hAnsi="Times New Roman" w:cs="Times New Roman"/>
        </w:rPr>
      </w:pPr>
      <w:r>
        <w:rPr>
          <w:rFonts w:hint="default" w:ascii="Times New Roman" w:hAnsi="Times New Roman" w:cs="Times New Roman"/>
        </w:rPr>
        <w:t xml:space="preserve">In all twenty quarters from 2017Q1 to 2021Q4, there were ten quarters in which the stock return rate variances between different A-groups were of significance, the rate of significance was 50%. </w:t>
      </w:r>
      <w:r>
        <w:rPr>
          <w:rFonts w:hint="eastAsia" w:cs="Times New Roman"/>
          <w:lang w:val="en-US" w:eastAsia="zh-TW"/>
        </w:rPr>
        <w:t>Furthermore</w:t>
      </w:r>
      <w:r>
        <w:rPr>
          <w:rFonts w:hint="default" w:ascii="Times New Roman" w:hAnsi="Times New Roman" w:cs="Times New Roman"/>
        </w:rPr>
        <w:t xml:space="preserve">, it was not able to identify which A-group usually showing higher </w:t>
      </w:r>
      <w:r>
        <w:rPr>
          <w:rFonts w:hint="eastAsia" w:cs="Times New Roman"/>
          <w:lang w:val="en-US" w:eastAsia="zh-TW"/>
        </w:rPr>
        <w:t xml:space="preserve">or </w:t>
      </w:r>
      <w:r>
        <w:rPr>
          <w:rFonts w:hint="default" w:ascii="Times New Roman" w:hAnsi="Times New Roman" w:cs="Times New Roman"/>
        </w:rPr>
        <w:t>lower stock return rate mean. The average drawing count of invention grants was not an appropriate indicator for differentiating China A-share’s stock return rate.</w:t>
      </w:r>
    </w:p>
    <w:p>
      <w:pPr>
        <w:numPr>
          <w:ilvl w:val="0"/>
          <w:numId w:val="10"/>
        </w:numPr>
        <w:rPr>
          <w:rFonts w:hint="default" w:ascii="Times New Roman" w:hAnsi="Times New Roman" w:cs="Times New Roman"/>
        </w:rPr>
      </w:pPr>
      <w:r>
        <w:rPr>
          <w:rFonts w:hint="default" w:ascii="Times New Roman" w:hAnsi="Times New Roman" w:cs="Times New Roman"/>
        </w:rPr>
        <w:t xml:space="preserve">In all twenty quarters from 2017Q1 to 2021Q4, there were sixteen quarters in which the stock return rate variances between different T-groups were of significance, the rate of significance was 80%. In these sixteen quarters of significance, T-group #4 showed the highest or higher stock return rate means in all quarters, while T-groups #1 and #2 showed the lowest or lower stock return rate means in thirteen quarters. </w:t>
      </w:r>
    </w:p>
    <w:p>
      <w:pPr>
        <w:numPr>
          <w:ilvl w:val="0"/>
          <w:numId w:val="10"/>
        </w:numPr>
        <w:rPr>
          <w:rFonts w:hint="default" w:ascii="Times New Roman" w:hAnsi="Times New Roman" w:cs="Times New Roman"/>
        </w:rPr>
      </w:pPr>
      <w:r>
        <w:rPr>
          <w:rFonts w:hint="default" w:ascii="Times New Roman" w:hAnsi="Times New Roman" w:cs="Times New Roman"/>
        </w:rPr>
        <w:t xml:space="preserve">In general, the total drawing count of invention grants was an appropriate patent indicator for differentiating China A-share’s stock return rate. The A-shares in T-group of the highest total drawing counts </w:t>
      </w:r>
      <w:r>
        <w:rPr>
          <w:rFonts w:hint="eastAsia" w:cs="Times New Roman"/>
          <w:lang w:val="en-US" w:eastAsia="zh-TW"/>
        </w:rPr>
        <w:t xml:space="preserve">mostly </w:t>
      </w:r>
      <w:r>
        <w:rPr>
          <w:rFonts w:hint="default" w:ascii="Times New Roman" w:hAnsi="Times New Roman" w:cs="Times New Roman"/>
        </w:rPr>
        <w:t>showed the highest or higher stock return rate mean while the A-shares in T-groups of lower total drawing counts usually showed lower stock return rate mean.</w:t>
      </w:r>
    </w:p>
    <w:p>
      <w:pPr>
        <w:rPr>
          <w:rFonts w:hint="default" w:ascii="Times New Roman" w:hAnsi="Times New Roman" w:cs="Times New Roman"/>
        </w:rPr>
      </w:pPr>
      <w:r>
        <w:rPr>
          <w:rFonts w:hint="default" w:ascii="Times New Roman" w:hAnsi="Times New Roman" w:cs="Times New Roman"/>
        </w:rPr>
        <w:t xml:space="preserve">In practice, the number of </w:t>
      </w:r>
      <w:r>
        <w:rPr>
          <w:rFonts w:hint="eastAsia" w:cs="Times New Roman"/>
          <w:lang w:val="en-US" w:eastAsia="zh-TW"/>
        </w:rPr>
        <w:t xml:space="preserve">patent </w:t>
      </w:r>
      <w:r>
        <w:rPr>
          <w:rFonts w:hint="default" w:ascii="Times New Roman" w:hAnsi="Times New Roman" w:cs="Times New Roman"/>
        </w:rPr>
        <w:t xml:space="preserve">drawings depended on two points: one is the quality and richness of the innovation proposed by the patent applicant; the other is the ability of patent attorneys and/or patent engineers. Higher average drawing count of invention grants usually resulted from few invention grants with </w:t>
      </w:r>
      <w:r>
        <w:rPr>
          <w:rFonts w:hint="eastAsia" w:cs="Times New Roman"/>
          <w:lang w:val="en-US" w:eastAsia="zh-TW"/>
        </w:rPr>
        <w:t xml:space="preserve">more </w:t>
      </w:r>
      <w:r>
        <w:rPr>
          <w:rFonts w:hint="default" w:ascii="Times New Roman" w:hAnsi="Times New Roman" w:cs="Times New Roman"/>
        </w:rPr>
        <w:t xml:space="preserve">drawings in them. More drawings in an invention grant were usually accompanied with more claims. Such invention grants of more drawings and claims always cost more effort in patent drafting, cost more time in prosecution, and cost more money in attorney service charge and official fee. The finding of this research would light up the patent applicants, especially the listed company applicants, because it was found that higher average drawing count of invention grants did not significantly connected with higher stock return rate whereas higher total drawing count of invention grants did. </w:t>
      </w:r>
      <w:r>
        <w:rPr>
          <w:rFonts w:hint="eastAsia" w:cs="Times New Roman"/>
          <w:lang w:val="en-US" w:eastAsia="zh-TW"/>
        </w:rPr>
        <w:t xml:space="preserve">The A-shares were suggested to file more patents with lots of drawing in them. </w:t>
      </w:r>
      <w:r>
        <w:rPr>
          <w:rFonts w:hint="default" w:ascii="Times New Roman" w:hAnsi="Times New Roman" w:cs="Times New Roman"/>
        </w:rPr>
        <w:t xml:space="preserve">It would be not necessary to pay much for filing few patents with lots of drawings in them. </w:t>
      </w:r>
    </w:p>
    <w:p>
      <w:pPr>
        <w:rPr>
          <w:rFonts w:hint="eastAsia" w:ascii="Times New Roman" w:hAnsi="Times New Roman" w:eastAsia="PMingLiU" w:cs="Times New Roman"/>
          <w:lang w:val="en-US" w:eastAsia="zh-TW"/>
        </w:rPr>
      </w:pPr>
      <w:r>
        <w:rPr>
          <w:rFonts w:hint="default" w:ascii="Times New Roman" w:hAnsi="Times New Roman" w:cs="Times New Roman"/>
        </w:rPr>
        <w:t xml:space="preserve">Since higher total drawing count of an A-share usually resulted from more patents. It meant that patent quantity still mattered for China A-shares. </w:t>
      </w:r>
      <w:r>
        <w:rPr>
          <w:rFonts w:hint="eastAsia" w:cs="Times New Roman"/>
          <w:lang w:val="en-US" w:eastAsia="zh-TW"/>
        </w:rPr>
        <w:t xml:space="preserve">The </w:t>
      </w:r>
      <w:r>
        <w:rPr>
          <w:rFonts w:hint="default" w:ascii="Times New Roman" w:hAnsi="Times New Roman" w:cs="Times New Roman"/>
        </w:rPr>
        <w:t>COVID-19 pandemic</w:t>
      </w:r>
      <w:r>
        <w:rPr>
          <w:rFonts w:hint="eastAsia" w:cs="Times New Roman"/>
          <w:lang w:val="en-US" w:eastAsia="zh-TW"/>
        </w:rPr>
        <w:t xml:space="preserve"> did not impact the </w:t>
      </w:r>
      <w:r>
        <w:rPr>
          <w:rFonts w:hint="default"/>
        </w:rPr>
        <w:t>phenomenon</w:t>
      </w:r>
      <w:r>
        <w:rPr>
          <w:rFonts w:hint="eastAsia"/>
          <w:lang w:val="en-US" w:eastAsia="zh-TW"/>
        </w:rPr>
        <w:t>.</w:t>
      </w:r>
    </w:p>
    <w:p>
      <w:pPr>
        <w:rPr>
          <w:rFonts w:hint="default" w:ascii="Times New Roman" w:hAnsi="Times New Roman" w:cs="Times New Roman"/>
        </w:rPr>
      </w:pPr>
      <w:r>
        <w:rPr>
          <w:rFonts w:hint="default" w:ascii="Times New Roman" w:hAnsi="Times New Roman" w:cs="Times New Roman"/>
        </w:rPr>
        <w:t>The finding of this research would enrich the understanding of China invention grant patents and the innovation behaviour of China A-shares in the recent years. It would contribute the state of art in evaluating listed companies and help financial organizations improve their investment strategy.</w:t>
      </w:r>
    </w:p>
    <w:p>
      <w:pPr>
        <w:rPr>
          <w:rFonts w:hint="default" w:ascii="Times New Roman" w:hAnsi="Times New Roman" w:cs="Times New Roman"/>
          <w:color w:val="000000"/>
          <w:szCs w:val="24"/>
        </w:rPr>
      </w:pPr>
    </w:p>
    <w:p>
      <w:pPr>
        <w:rPr>
          <w:rFonts w:hint="default" w:ascii="Times New Roman" w:hAnsi="Times New Roman" w:cs="Times New Roman"/>
        </w:rPr>
      </w:pPr>
      <w:r>
        <w:rPr>
          <w:rFonts w:hint="default" w:ascii="Times New Roman" w:hAnsi="Times New Roman" w:cs="Times New Roman"/>
          <w:b/>
          <w:sz w:val="26"/>
          <w:szCs w:val="26"/>
        </w:rPr>
        <w:t>ACKNOWLEDGEMENTS</w:t>
      </w:r>
    </w:p>
    <w:p>
      <w:pPr>
        <w:rPr>
          <w:rFonts w:hint="default" w:ascii="Times New Roman" w:hAnsi="Times New Roman" w:cs="Times New Roman"/>
          <w:color w:val="000000"/>
          <w:szCs w:val="24"/>
        </w:rPr>
      </w:pPr>
      <w:r>
        <w:rPr>
          <w:rFonts w:hint="default" w:ascii="Times New Roman" w:hAnsi="Times New Roman" w:cs="Times New Roman"/>
          <w:color w:val="000000"/>
          <w:szCs w:val="24"/>
        </w:rPr>
        <w:t>The authors acknowledge the financial support from Ministry of Science and Technology, Taiwan, R.O.C. under Grant No. MOST 109-2410-H-011-021-MY3. The authors would also be grateful for the permission of using the patent data which collected and processed by Shenzhen TekGlory Intellectual Property Data Technologies, Ltd.</w:t>
      </w:r>
    </w:p>
    <w:p>
      <w:pPr>
        <w:rPr>
          <w:rFonts w:hint="default" w:ascii="Times New Roman" w:hAnsi="Times New Roman" w:cs="Times New Roman"/>
          <w:color w:val="000000"/>
          <w:szCs w:val="24"/>
        </w:rPr>
      </w:pPr>
    </w:p>
    <w:p>
      <w:pPr>
        <w:pStyle w:val="54"/>
        <w:rPr>
          <w:rFonts w:hint="default" w:ascii="Times New Roman" w:hAnsi="Times New Roman" w:cs="Times New Roman"/>
        </w:rPr>
      </w:pPr>
      <w:r>
        <w:rPr>
          <w:rFonts w:hint="default" w:ascii="Times New Roman" w:hAnsi="Times New Roman" w:cs="Times New Roman"/>
        </w:rPr>
        <w:t>References</w:t>
      </w:r>
    </w:p>
    <w:p>
      <w:pPr>
        <w:pStyle w:val="53"/>
        <w:rPr>
          <w:rFonts w:hint="default" w:ascii="Times New Roman" w:hAnsi="Times New Roman" w:cs="Times New Roman"/>
        </w:rPr>
      </w:pPr>
      <w:r>
        <w:rPr>
          <w:rFonts w:hint="default" w:ascii="Times New Roman" w:hAnsi="Times New Roman" w:cs="Times New Roman"/>
        </w:rPr>
        <w:t xml:space="preserve">Liegsalz, J. and Wagner, S. </w:t>
      </w:r>
      <w:r>
        <w:rPr>
          <w:rFonts w:hint="eastAsia" w:cs="Times New Roman"/>
          <w:lang w:val="en-US" w:eastAsia="zh-TW"/>
        </w:rPr>
        <w:t>(</w:t>
      </w:r>
      <w:r>
        <w:rPr>
          <w:rFonts w:hint="default" w:ascii="Times New Roman" w:hAnsi="Times New Roman" w:cs="Times New Roman"/>
        </w:rPr>
        <w:t>2013</w:t>
      </w:r>
      <w:r>
        <w:rPr>
          <w:rFonts w:hint="eastAsia" w:cs="Times New Roman"/>
          <w:lang w:val="en-US" w:eastAsia="zh-TW"/>
        </w:rPr>
        <w:t>)</w:t>
      </w:r>
      <w:r>
        <w:rPr>
          <w:rFonts w:hint="default" w:ascii="Times New Roman" w:hAnsi="Times New Roman" w:cs="Times New Roman"/>
        </w:rPr>
        <w:t>. Patent Examination at the State Intellectual Property Office in China. Research Policy, 42(2), pp. 552-563. https://doi.org/10.1016/J.RESPOL.2012.06.003</w:t>
      </w:r>
    </w:p>
    <w:p>
      <w:pPr>
        <w:pStyle w:val="53"/>
        <w:rPr>
          <w:rFonts w:hint="default" w:ascii="Times New Roman" w:hAnsi="Times New Roman" w:cs="Times New Roman"/>
        </w:rPr>
      </w:pPr>
      <w:r>
        <w:rPr>
          <w:rFonts w:hint="default" w:ascii="Times New Roman" w:hAnsi="Times New Roman" w:cs="Times New Roman"/>
        </w:rPr>
        <w:t xml:space="preserve">Motohashi, K. </w:t>
      </w:r>
      <w:r>
        <w:rPr>
          <w:rFonts w:hint="eastAsia" w:cs="Times New Roman"/>
          <w:lang w:val="en-US" w:eastAsia="zh-TW"/>
        </w:rPr>
        <w:t>(</w:t>
      </w:r>
      <w:r>
        <w:rPr>
          <w:rFonts w:hint="default" w:ascii="Times New Roman" w:hAnsi="Times New Roman" w:cs="Times New Roman"/>
        </w:rPr>
        <w:t>2008</w:t>
      </w:r>
      <w:r>
        <w:rPr>
          <w:rFonts w:hint="eastAsia" w:cs="Times New Roman"/>
          <w:lang w:val="en-US" w:eastAsia="zh-TW"/>
        </w:rPr>
        <w:t>)</w:t>
      </w:r>
      <w:r>
        <w:rPr>
          <w:rFonts w:hint="default" w:ascii="Times New Roman" w:hAnsi="Times New Roman" w:cs="Times New Roman"/>
        </w:rPr>
        <w:t>. Assessment of technological capability in science industry linkage in China by patent database. World Patent Information, 30(3), pp. 225-232. https://doi.org/10.1016/J.WPI.2007.10.006</w:t>
      </w:r>
    </w:p>
    <w:p>
      <w:pPr>
        <w:pStyle w:val="53"/>
        <w:rPr>
          <w:rFonts w:hint="default" w:ascii="Times New Roman" w:hAnsi="Times New Roman" w:cs="Times New Roman"/>
        </w:rPr>
      </w:pPr>
      <w:r>
        <w:rPr>
          <w:rFonts w:hint="default" w:ascii="Times New Roman" w:hAnsi="Times New Roman" w:cs="Times New Roman"/>
        </w:rPr>
        <w:t xml:space="preserve">Motohashi, K. </w:t>
      </w:r>
      <w:r>
        <w:rPr>
          <w:rFonts w:hint="eastAsia" w:cs="Times New Roman"/>
          <w:lang w:val="en-US" w:eastAsia="zh-TW"/>
        </w:rPr>
        <w:t>(</w:t>
      </w:r>
      <w:r>
        <w:rPr>
          <w:rFonts w:hint="default" w:ascii="Times New Roman" w:hAnsi="Times New Roman" w:cs="Times New Roman"/>
        </w:rPr>
        <w:t>2009</w:t>
      </w:r>
      <w:r>
        <w:rPr>
          <w:rFonts w:hint="eastAsia" w:cs="Times New Roman"/>
          <w:lang w:val="en-US" w:eastAsia="zh-TW"/>
        </w:rPr>
        <w:t>)</w:t>
      </w:r>
      <w:r>
        <w:rPr>
          <w:rFonts w:hint="default" w:ascii="Times New Roman" w:hAnsi="Times New Roman" w:cs="Times New Roman"/>
        </w:rPr>
        <w:t>. Catching up or lagging behind? Assessment of technological capacity of China by patent database. China Economic Journal, 2(1), pp. 1-24. https://doi.org/10.1080/17538960902860055</w:t>
      </w:r>
    </w:p>
    <w:p>
      <w:pPr>
        <w:pStyle w:val="53"/>
        <w:rPr>
          <w:rFonts w:hint="default" w:ascii="Times New Roman" w:hAnsi="Times New Roman" w:cs="Times New Roman"/>
        </w:rPr>
      </w:pPr>
      <w:r>
        <w:rPr>
          <w:rFonts w:hint="default" w:ascii="Times New Roman" w:hAnsi="Times New Roman" w:cs="Times New Roman"/>
        </w:rPr>
        <w:t xml:space="preserve">Hu, A.G. and Jefferson, G.H. </w:t>
      </w:r>
      <w:r>
        <w:rPr>
          <w:rFonts w:hint="eastAsia" w:cs="Times New Roman"/>
          <w:lang w:val="en-US" w:eastAsia="zh-TW"/>
        </w:rPr>
        <w:t>(</w:t>
      </w:r>
      <w:r>
        <w:rPr>
          <w:rFonts w:hint="default" w:ascii="Times New Roman" w:hAnsi="Times New Roman" w:cs="Times New Roman"/>
        </w:rPr>
        <w:t>2009</w:t>
      </w:r>
      <w:r>
        <w:rPr>
          <w:rFonts w:hint="eastAsia" w:cs="Times New Roman"/>
          <w:lang w:val="en-US" w:eastAsia="zh-TW"/>
        </w:rPr>
        <w:t>)</w:t>
      </w:r>
      <w:r>
        <w:rPr>
          <w:rFonts w:hint="default" w:ascii="Times New Roman" w:hAnsi="Times New Roman" w:cs="Times New Roman"/>
        </w:rPr>
        <w:t>. A great wall of patents: What is behind China's recent patent explosion? Journal of Development Economics, 90, pp. 57-68. https://doi.org/10.1016/j.jdeveco.2008.11.004</w:t>
      </w:r>
    </w:p>
    <w:p>
      <w:pPr>
        <w:pStyle w:val="53"/>
        <w:rPr>
          <w:rFonts w:hint="default" w:ascii="Times New Roman" w:hAnsi="Times New Roman" w:cs="Times New Roman"/>
        </w:rPr>
      </w:pPr>
      <w:r>
        <w:rPr>
          <w:rFonts w:hint="default" w:ascii="Times New Roman" w:hAnsi="Times New Roman" w:cs="Times New Roman"/>
        </w:rPr>
        <w:t xml:space="preserve">Lei, X.P., Zhao, Z.Y., Zhang, X., Chen, D.Z., Huang, M.H. and Zhao, Y.H. </w:t>
      </w:r>
      <w:r>
        <w:rPr>
          <w:rFonts w:hint="eastAsia" w:cs="Times New Roman"/>
          <w:lang w:val="en-US" w:eastAsia="zh-TW"/>
        </w:rPr>
        <w:t>(</w:t>
      </w:r>
      <w:r>
        <w:rPr>
          <w:rFonts w:hint="default" w:ascii="Times New Roman" w:hAnsi="Times New Roman" w:cs="Times New Roman"/>
        </w:rPr>
        <w:t>2011</w:t>
      </w:r>
      <w:r>
        <w:rPr>
          <w:rFonts w:hint="eastAsia" w:cs="Times New Roman"/>
          <w:lang w:val="en-US" w:eastAsia="zh-TW"/>
        </w:rPr>
        <w:t>)</w:t>
      </w:r>
      <w:r>
        <w:rPr>
          <w:rFonts w:hint="default" w:ascii="Times New Roman" w:hAnsi="Times New Roman" w:cs="Times New Roman"/>
        </w:rPr>
        <w:t>. The inventive activities and collaboration pattern of university---industry---government in China based on patent analysis. Scientometrics, 90(1), pp. 231-251. https://doi.org/10.1007/S11192-011-0510-Y</w:t>
      </w:r>
    </w:p>
    <w:p>
      <w:pPr>
        <w:pStyle w:val="53"/>
        <w:rPr>
          <w:rFonts w:hint="default" w:ascii="Times New Roman" w:hAnsi="Times New Roman" w:cs="Times New Roman"/>
        </w:rPr>
      </w:pPr>
      <w:r>
        <w:rPr>
          <w:rFonts w:hint="default" w:ascii="Times New Roman" w:hAnsi="Times New Roman" w:cs="Times New Roman"/>
        </w:rPr>
        <w:t xml:space="preserve">Li, X. </w:t>
      </w:r>
      <w:r>
        <w:rPr>
          <w:rFonts w:hint="eastAsia" w:cs="Times New Roman"/>
          <w:lang w:val="en-US" w:eastAsia="zh-TW"/>
        </w:rPr>
        <w:t>(</w:t>
      </w:r>
      <w:r>
        <w:rPr>
          <w:rFonts w:hint="default" w:ascii="Times New Roman" w:hAnsi="Times New Roman" w:cs="Times New Roman"/>
        </w:rPr>
        <w:t>2012</w:t>
      </w:r>
      <w:r>
        <w:rPr>
          <w:rFonts w:hint="eastAsia" w:cs="Times New Roman"/>
          <w:lang w:val="en-US" w:eastAsia="zh-TW"/>
        </w:rPr>
        <w:t>)</w:t>
      </w:r>
      <w:r>
        <w:rPr>
          <w:rFonts w:hint="default" w:ascii="Times New Roman" w:hAnsi="Times New Roman" w:cs="Times New Roman"/>
        </w:rPr>
        <w:t>. Behind the recent surge of Chinese patenting: an institutional view. Research Policy, 41(1), pp. 236-249. https://doi.org/10.1016/j.respol.2011.07.003</w:t>
      </w:r>
    </w:p>
    <w:p>
      <w:pPr>
        <w:pStyle w:val="53"/>
        <w:rPr>
          <w:rFonts w:hint="default" w:ascii="Times New Roman" w:hAnsi="Times New Roman" w:cs="Times New Roman"/>
        </w:rPr>
      </w:pPr>
      <w:r>
        <w:rPr>
          <w:rFonts w:hint="default" w:ascii="Times New Roman" w:hAnsi="Times New Roman" w:cs="Times New Roman"/>
        </w:rPr>
        <w:t xml:space="preserve">Liu, Q. and Qiu, L. D. </w:t>
      </w:r>
      <w:r>
        <w:rPr>
          <w:rFonts w:hint="eastAsia" w:cs="Times New Roman"/>
          <w:lang w:val="en-US" w:eastAsia="zh-TW"/>
        </w:rPr>
        <w:t>(</w:t>
      </w:r>
      <w:r>
        <w:rPr>
          <w:rFonts w:hint="default" w:ascii="Times New Roman" w:hAnsi="Times New Roman" w:cs="Times New Roman"/>
        </w:rPr>
        <w:t>2016</w:t>
      </w:r>
      <w:r>
        <w:rPr>
          <w:rFonts w:hint="eastAsia" w:cs="Times New Roman"/>
          <w:lang w:val="en-US" w:eastAsia="zh-TW"/>
        </w:rPr>
        <w:t>)</w:t>
      </w:r>
      <w:r>
        <w:rPr>
          <w:rFonts w:hint="default" w:ascii="Times New Roman" w:hAnsi="Times New Roman" w:cs="Times New Roman"/>
        </w:rPr>
        <w:t xml:space="preserve">. Intermediate input imports and innovations: Evidence from Chinese firms' patent filings. Journal of International Economics, 103, pp. 166-183. </w:t>
      </w:r>
    </w:p>
    <w:p>
      <w:pPr>
        <w:pStyle w:val="53"/>
        <w:rPr>
          <w:rFonts w:hint="default" w:ascii="Times New Roman" w:hAnsi="Times New Roman" w:cs="Times New Roman"/>
        </w:rPr>
      </w:pPr>
      <w:r>
        <w:rPr>
          <w:rFonts w:hint="default" w:ascii="Times New Roman" w:hAnsi="Times New Roman" w:cs="Times New Roman"/>
        </w:rPr>
        <w:t xml:space="preserve">Boeing, P. and Mueller, E. </w:t>
      </w:r>
      <w:r>
        <w:rPr>
          <w:rFonts w:hint="eastAsia" w:cs="Times New Roman"/>
          <w:lang w:val="en-US" w:eastAsia="zh-TW"/>
        </w:rPr>
        <w:t>(</w:t>
      </w:r>
      <w:r>
        <w:rPr>
          <w:rFonts w:hint="default" w:ascii="Times New Roman" w:hAnsi="Times New Roman" w:cs="Times New Roman"/>
        </w:rPr>
        <w:t>2019</w:t>
      </w:r>
      <w:r>
        <w:rPr>
          <w:rFonts w:hint="eastAsia" w:cs="Times New Roman"/>
          <w:lang w:val="en-US" w:eastAsia="zh-TW"/>
        </w:rPr>
        <w:t>)</w:t>
      </w:r>
      <w:r>
        <w:rPr>
          <w:rFonts w:hint="default" w:ascii="Times New Roman" w:hAnsi="Times New Roman" w:cs="Times New Roman"/>
        </w:rPr>
        <w:t>. Measuring China's patent quality: Development and validation of ISR indices. China Economic Review, 57, 101331. https://doi.org/10.1016/J.CHIECO.2019.101331</w:t>
      </w:r>
    </w:p>
    <w:p>
      <w:pPr>
        <w:pStyle w:val="53"/>
        <w:rPr>
          <w:rFonts w:hint="default" w:ascii="Times New Roman" w:hAnsi="Times New Roman" w:cs="Times New Roman"/>
        </w:rPr>
      </w:pPr>
      <w:r>
        <w:rPr>
          <w:rFonts w:hint="default" w:ascii="Times New Roman" w:hAnsi="Times New Roman" w:cs="Times New Roman"/>
        </w:rPr>
        <w:t xml:space="preserve">Dang, J. and Motohashi, K. </w:t>
      </w:r>
      <w:r>
        <w:rPr>
          <w:rFonts w:hint="eastAsia" w:cs="Times New Roman"/>
          <w:lang w:val="en-US" w:eastAsia="zh-TW"/>
        </w:rPr>
        <w:t>(</w:t>
      </w:r>
      <w:r>
        <w:rPr>
          <w:rFonts w:hint="default" w:ascii="Times New Roman" w:hAnsi="Times New Roman" w:cs="Times New Roman"/>
        </w:rPr>
        <w:t>2015</w:t>
      </w:r>
      <w:r>
        <w:rPr>
          <w:rFonts w:hint="eastAsia" w:cs="Times New Roman"/>
          <w:lang w:val="en-US" w:eastAsia="zh-TW"/>
        </w:rPr>
        <w:t>)</w:t>
      </w:r>
      <w:r>
        <w:rPr>
          <w:rFonts w:hint="default" w:ascii="Times New Roman" w:hAnsi="Times New Roman" w:cs="Times New Roman"/>
        </w:rPr>
        <w:t>. Patent statistics: A good indicator for innovation in China? Patent subsidy program impacts on patent quality. China Economic Review, 35(Sep), pp. 137-155. https://doi.org/10.1016/j.chieco.2015.03.012</w:t>
      </w:r>
    </w:p>
    <w:p>
      <w:pPr>
        <w:pStyle w:val="53"/>
        <w:rPr>
          <w:rFonts w:hint="default" w:ascii="Times New Roman" w:hAnsi="Times New Roman" w:cs="Times New Roman"/>
        </w:rPr>
      </w:pPr>
      <w:r>
        <w:rPr>
          <w:rFonts w:hint="default" w:ascii="Times New Roman" w:hAnsi="Times New Roman" w:cs="Times New Roman"/>
        </w:rPr>
        <w:t xml:space="preserve">Chen, Z. and Zhang, J. </w:t>
      </w:r>
      <w:r>
        <w:rPr>
          <w:rFonts w:hint="eastAsia" w:cs="Times New Roman"/>
          <w:lang w:val="en-US" w:eastAsia="zh-TW"/>
        </w:rPr>
        <w:t>(</w:t>
      </w:r>
      <w:r>
        <w:rPr>
          <w:rFonts w:hint="default" w:ascii="Times New Roman" w:hAnsi="Times New Roman" w:cs="Times New Roman"/>
        </w:rPr>
        <w:t>2019</w:t>
      </w:r>
      <w:r>
        <w:rPr>
          <w:rFonts w:hint="eastAsia" w:cs="Times New Roman"/>
          <w:lang w:val="en-US" w:eastAsia="zh-TW"/>
        </w:rPr>
        <w:t>)</w:t>
      </w:r>
      <w:r>
        <w:rPr>
          <w:rFonts w:hint="default" w:ascii="Times New Roman" w:hAnsi="Times New Roman" w:cs="Times New Roman"/>
        </w:rPr>
        <w:t>. Types of patents and driving forces behind the patent growth in China. Economic Modelling, 80, pp. 294-302. https://doi.org/10.1016/J.ECONMOD.2018.11.015</w:t>
      </w:r>
    </w:p>
    <w:p>
      <w:pPr>
        <w:pStyle w:val="53"/>
        <w:rPr>
          <w:rFonts w:hint="default" w:ascii="Times New Roman" w:hAnsi="Times New Roman" w:cs="Times New Roman"/>
        </w:rPr>
      </w:pPr>
      <w:r>
        <w:rPr>
          <w:rFonts w:hint="default" w:ascii="Times New Roman" w:hAnsi="Times New Roman" w:cs="Times New Roman"/>
        </w:rPr>
        <w:t xml:space="preserve">He, Z.L., Tong, T.W., Zhang, Y. and He, W. </w:t>
      </w:r>
      <w:r>
        <w:rPr>
          <w:rFonts w:hint="eastAsia" w:cs="Times New Roman"/>
          <w:lang w:val="en-US" w:eastAsia="zh-TW"/>
        </w:rPr>
        <w:t>(</w:t>
      </w:r>
      <w:r>
        <w:rPr>
          <w:rFonts w:hint="default" w:ascii="Times New Roman" w:hAnsi="Times New Roman" w:cs="Times New Roman"/>
        </w:rPr>
        <w:t>2016</w:t>
      </w:r>
      <w:r>
        <w:rPr>
          <w:rFonts w:hint="eastAsia" w:cs="Times New Roman"/>
          <w:lang w:val="en-US" w:eastAsia="zh-TW"/>
        </w:rPr>
        <w:t>)</w:t>
      </w:r>
      <w:r>
        <w:rPr>
          <w:rFonts w:hint="default" w:ascii="Times New Roman" w:hAnsi="Times New Roman" w:cs="Times New Roman"/>
        </w:rPr>
        <w:t>. Constructing a Chinese patent database of listed firms in China: Descriptions, lessons, and insights. Journal of Economics &amp; Management Strategy, 27(3), pp. 579-606. https://doi.org/10.1111/jems.12186</w:t>
      </w:r>
    </w:p>
    <w:p>
      <w:pPr>
        <w:pStyle w:val="53"/>
        <w:rPr>
          <w:rFonts w:hint="default" w:ascii="Times New Roman" w:hAnsi="Times New Roman" w:cs="Times New Roman"/>
        </w:rPr>
      </w:pPr>
      <w:r>
        <w:rPr>
          <w:rFonts w:hint="default" w:ascii="Times New Roman" w:hAnsi="Times New Roman" w:cs="Times New Roman"/>
        </w:rPr>
        <w:t xml:space="preserve">Chen, T.M., Wei, C.C. and Che, H.C. </w:t>
      </w:r>
      <w:r>
        <w:rPr>
          <w:rFonts w:hint="eastAsia" w:cs="Times New Roman"/>
          <w:lang w:val="en-US" w:eastAsia="zh-TW"/>
        </w:rPr>
        <w:t>(</w:t>
      </w:r>
      <w:r>
        <w:rPr>
          <w:rFonts w:hint="default" w:ascii="Times New Roman" w:hAnsi="Times New Roman" w:cs="Times New Roman"/>
        </w:rPr>
        <w:t>2018</w:t>
      </w:r>
      <w:r>
        <w:rPr>
          <w:rFonts w:hint="eastAsia" w:cs="Times New Roman"/>
          <w:lang w:val="en-US" w:eastAsia="zh-TW"/>
        </w:rPr>
        <w:t>)</w:t>
      </w:r>
      <w:r>
        <w:rPr>
          <w:rFonts w:hint="default" w:ascii="Times New Roman" w:hAnsi="Times New Roman" w:cs="Times New Roman"/>
        </w:rPr>
        <w:t>. Contribution of Patent Indicators to China Stock Performance. Proceedings of IEEE 7th International Congress on Advanced Applied Informatics (ICAAI2018), pp. 793-798, Yonago, Japan. https://doi.org/10.1109/IIAI-AAI.2018.00163</w:t>
      </w:r>
    </w:p>
    <w:p>
      <w:pPr>
        <w:pStyle w:val="53"/>
        <w:rPr>
          <w:rFonts w:hint="default" w:ascii="Times New Roman" w:hAnsi="Times New Roman" w:cs="Times New Roman"/>
        </w:rPr>
      </w:pPr>
      <w:r>
        <w:rPr>
          <w:rFonts w:hint="default" w:ascii="Times New Roman" w:hAnsi="Times New Roman" w:cs="Times New Roman"/>
        </w:rPr>
        <w:t>Chen, T.M., Wei, C.C. and Che, H.C.</w:t>
      </w:r>
      <w:r>
        <w:rPr>
          <w:rFonts w:hint="eastAsia" w:cs="Times New Roman"/>
          <w:lang w:val="en-US" w:eastAsia="zh-TW"/>
        </w:rPr>
        <w:t xml:space="preserve"> (</w:t>
      </w:r>
      <w:r>
        <w:rPr>
          <w:rFonts w:hint="default" w:ascii="Times New Roman" w:hAnsi="Times New Roman" w:cs="Times New Roman"/>
        </w:rPr>
        <w:t>2020</w:t>
      </w:r>
      <w:r>
        <w:rPr>
          <w:rFonts w:hint="eastAsia" w:cs="Times New Roman"/>
          <w:lang w:val="en-US" w:eastAsia="zh-TW"/>
        </w:rPr>
        <w:t>)</w:t>
      </w:r>
      <w:r>
        <w:rPr>
          <w:rFonts w:hint="default" w:ascii="Times New Roman" w:hAnsi="Times New Roman" w:cs="Times New Roman"/>
        </w:rPr>
        <w:t>. Exploring Contribution of Patents to Stock Price in China. International Journal of Economics and Research, 11(i4) (ja), pp. 01-29.</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2020a</w:t>
      </w:r>
      <w:r>
        <w:rPr>
          <w:rFonts w:hint="default" w:cs="Times New Roman"/>
          <w:lang w:val="en-US"/>
        </w:rPr>
        <w:t>)</w:t>
      </w:r>
      <w:r>
        <w:rPr>
          <w:rFonts w:hint="default" w:ascii="Times New Roman" w:hAnsi="Times New Roman" w:cs="Times New Roman"/>
        </w:rPr>
        <w:t>. Does Patent Help to Build Investment Portfolio of China A-Shares under China-US Trade Conflict? Mathematical Problems in Engineering, 7317480. https://doi.org/10.1155/2020/7317480</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2020b</w:t>
      </w:r>
      <w:r>
        <w:rPr>
          <w:rFonts w:hint="default" w:cs="Times New Roman"/>
          <w:lang w:val="en-US"/>
        </w:rPr>
        <w:t>)</w:t>
      </w:r>
      <w:r>
        <w:rPr>
          <w:rFonts w:hint="default" w:ascii="Times New Roman" w:hAnsi="Times New Roman" w:cs="Times New Roman"/>
        </w:rPr>
        <w:t>. Patent Implemented Time Series Algorithm for Building Stock Portfolios in China A-Shares. Asian Journal of Information and Communications, 12(1), pp. 156-170.</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2020c</w:t>
      </w:r>
      <w:r>
        <w:rPr>
          <w:rFonts w:hint="default" w:cs="Times New Roman"/>
          <w:lang w:val="en-US"/>
        </w:rPr>
        <w:t>,</w:t>
      </w:r>
      <w:r>
        <w:rPr>
          <w:rFonts w:hint="default" w:ascii="Times New Roman" w:hAnsi="Times New Roman" w:cs="Times New Roman"/>
        </w:rPr>
        <w:t xml:space="preserve"> December</w:t>
      </w:r>
      <w:r>
        <w:rPr>
          <w:rFonts w:hint="default" w:cs="Times New Roman"/>
          <w:lang w:val="en-US"/>
        </w:rPr>
        <w:t>)</w:t>
      </w:r>
      <w:r>
        <w:rPr>
          <w:rFonts w:hint="default" w:ascii="Times New Roman" w:hAnsi="Times New Roman" w:cs="Times New Roman"/>
        </w:rPr>
        <w:t>. Patent As Predictive Indicator of Investment: An Empirical Study of China A-Shares. Proceedings of 2020 Chinese Society for Management of Technology Conference, Hsinchu, Taiwan.</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2020d, November</w:t>
      </w:r>
      <w:r>
        <w:rPr>
          <w:rFonts w:hint="default" w:cs="Times New Roman"/>
          <w:lang w:val="en-US"/>
        </w:rPr>
        <w:t>)</w:t>
      </w:r>
      <w:r>
        <w:rPr>
          <w:rFonts w:hint="default" w:ascii="Times New Roman" w:hAnsi="Times New Roman" w:cs="Times New Roman"/>
        </w:rPr>
        <w:t>. Patent Informatics in Predicting Stock Price and Increasing Investment Performance -- An Empirical Study of China Four Stock Boards. Proceedings of 2020 International Conference on Economics, Management and Technology (IEMT2020), Kaohsiung, Taiwan. https://doi.org/10.1145/3429395.3429414</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2020e</w:t>
      </w:r>
      <w:r>
        <w:rPr>
          <w:rFonts w:hint="default" w:cs="Times New Roman"/>
          <w:lang w:val="en-US"/>
        </w:rPr>
        <w:t>)</w:t>
      </w:r>
      <w:r>
        <w:rPr>
          <w:rFonts w:hint="default" w:ascii="Times New Roman" w:hAnsi="Times New Roman" w:cs="Times New Roman"/>
        </w:rPr>
        <w:t>. Patent Informatics in Predicting Return-on-Assets (ROA) and Increasing Investment Performance in China. Proceedings of 2020 International Conference on Business Administration - Fall Session (ICBA 2020 Fall), New Taipei City, Taiwan.</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2020f</w:t>
      </w:r>
      <w:r>
        <w:rPr>
          <w:rFonts w:hint="default" w:cs="Times New Roman"/>
          <w:lang w:val="en-US"/>
        </w:rPr>
        <w:t>)</w:t>
      </w:r>
      <w:r>
        <w:rPr>
          <w:rFonts w:hint="default" w:ascii="Times New Roman" w:hAnsi="Times New Roman" w:cs="Times New Roman"/>
        </w:rPr>
        <w:t>. Using Patent to Predict Book-Value-Per-Share and Investment -- Evidence in China A-Shares. International Journal of Innovation in Management, 8(2), pp. 47-64.</w:t>
      </w:r>
    </w:p>
    <w:p>
      <w:pPr>
        <w:pStyle w:val="53"/>
        <w:rPr>
          <w:rFonts w:hint="default" w:ascii="Times New Roman" w:hAnsi="Times New Roman" w:cs="Times New Roman"/>
        </w:rPr>
      </w:pPr>
      <w:r>
        <w:rPr>
          <w:rFonts w:hint="default" w:ascii="Times New Roman" w:hAnsi="Times New Roman" w:cs="Times New Roman"/>
        </w:rPr>
        <w:t>Chiu, Y.J., Chen, K.C. and Che, H.C.</w:t>
      </w:r>
      <w:r>
        <w:rPr>
          <w:rFonts w:hint="default" w:cs="Times New Roman"/>
          <w:lang w:val="en-US"/>
        </w:rPr>
        <w:t xml:space="preserve"> (</w:t>
      </w:r>
      <w:r>
        <w:rPr>
          <w:rFonts w:hint="default" w:ascii="Times New Roman" w:hAnsi="Times New Roman" w:cs="Times New Roman"/>
        </w:rPr>
        <w:t>2021</w:t>
      </w:r>
      <w:r>
        <w:rPr>
          <w:rFonts w:hint="default" w:cs="Times New Roman"/>
          <w:lang w:val="en-US"/>
        </w:rPr>
        <w:t>)</w:t>
      </w:r>
      <w:r>
        <w:rPr>
          <w:rFonts w:hint="default" w:ascii="Times New Roman" w:hAnsi="Times New Roman" w:cs="Times New Roman"/>
        </w:rPr>
        <w:t>. Patent predictive price-to-book ratio (PB) on improving investment performance -- Evidence in China. World Patent Information, 102039. https://doi.org/10.1016/j.wpi.2021.102039</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2020a</w:t>
      </w:r>
      <w:r>
        <w:rPr>
          <w:rFonts w:hint="default" w:cs="Times New Roman"/>
          <w:lang w:val="en-US"/>
        </w:rPr>
        <w:t>).</w:t>
      </w:r>
      <w:r>
        <w:rPr>
          <w:rFonts w:hint="default" w:ascii="Times New Roman" w:hAnsi="Times New Roman" w:cs="Times New Roman"/>
        </w:rPr>
        <w:t xml:space="preserve"> December. Patent-Based Predictive Price-to-Earnings on Increasing Investment Performance of China Stock Market. Proceedings of 2020 International Symposium on Computational Intelligence and Design (ISCID2020), Hangzhou, China. https://doi.org/10.1109/ISCID51228.2020.00197</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2020b, December</w:t>
      </w:r>
      <w:r>
        <w:rPr>
          <w:rFonts w:hint="default" w:cs="Times New Roman"/>
          <w:lang w:val="en-US"/>
        </w:rPr>
        <w:t>)</w:t>
      </w:r>
      <w:r>
        <w:rPr>
          <w:rFonts w:hint="default" w:ascii="Times New Roman" w:hAnsi="Times New Roman" w:cs="Times New Roman"/>
        </w:rPr>
        <w:t>. Patent-Based Predictive ROE on Increasing Investment Performance of China Stock Market. Proceedings of 2020 IEEE International Conference on Computer and Communications (ICCC2020), Chengdu, China. https://doi.org/10.1109/ICCC51575.2020.9345204</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2021, January</w:t>
      </w:r>
      <w:r>
        <w:rPr>
          <w:rFonts w:hint="default" w:cs="Times New Roman"/>
          <w:lang w:val="en-US"/>
        </w:rPr>
        <w:t>)</w:t>
      </w:r>
      <w:r>
        <w:rPr>
          <w:rFonts w:hint="default" w:ascii="Times New Roman" w:hAnsi="Times New Roman" w:cs="Times New Roman"/>
        </w:rPr>
        <w:t>. Patent-Based Predictive EPS on Increasing Investment Performance of China Stock Market. Proceedings of 2021 IEEE International Conference on Power Electronics, Computer Applications (ICPECA2021), Shenyang, China. https://doi.org/10.1109/ICPECA51329.2021.9362701</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2021a</w:t>
      </w:r>
      <w:r>
        <w:rPr>
          <w:rFonts w:hint="default" w:cs="Times New Roman"/>
          <w:lang w:val="en-US"/>
        </w:rPr>
        <w:t>)</w:t>
      </w:r>
      <w:r>
        <w:rPr>
          <w:rFonts w:hint="default" w:ascii="Times New Roman" w:hAnsi="Times New Roman" w:cs="Times New Roman"/>
        </w:rPr>
        <w:t>. Innovation Continuity as Indicator for Observing Stock Return Rate in China Stock Market. Advances in Management and Applied Economics, 11(5), pp. 25-49. https://doi.org/10.47260/amae/1152</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2021b</w:t>
      </w:r>
      <w:r>
        <w:rPr>
          <w:rFonts w:hint="default" w:cs="Times New Roman"/>
          <w:lang w:val="en-US"/>
        </w:rPr>
        <w:t>).</w:t>
      </w:r>
      <w:r>
        <w:rPr>
          <w:rFonts w:hint="default" w:ascii="Times New Roman" w:hAnsi="Times New Roman" w:cs="Times New Roman"/>
        </w:rPr>
        <w:t xml:space="preserve"> Exploring Patent Effects on Higher Stock Price and Stock Return Rate—A Study in China Stock Market. Chinese Business Review, 20(5), pp. 168-180. https://doi.org/10.17265/1537-1506/2021.05.003</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c</w:t>
      </w:r>
      <w:r>
        <w:rPr>
          <w:rFonts w:hint="default" w:cs="Times New Roman"/>
          <w:lang w:val="en-US"/>
        </w:rPr>
        <w:t>)</w:t>
      </w:r>
      <w:r>
        <w:rPr>
          <w:rFonts w:hint="default" w:ascii="Times New Roman" w:hAnsi="Times New Roman" w:cs="Times New Roman"/>
        </w:rPr>
        <w:t xml:space="preserve">. Patent Effects on Higher Stock Price - An Insight into China Stock Market and Four Stock Boards. International Journal of Innovation in Management, 9(2), pp. 61-74. </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d</w:t>
      </w:r>
      <w:r>
        <w:rPr>
          <w:rFonts w:hint="default" w:cs="Times New Roman"/>
          <w:lang w:val="en-US"/>
        </w:rPr>
        <w:t>, September)</w:t>
      </w:r>
      <w:r>
        <w:rPr>
          <w:rFonts w:hint="default" w:ascii="Times New Roman" w:hAnsi="Times New Roman" w:cs="Times New Roman"/>
        </w:rPr>
        <w:t>. Exploring Technology Variety Effect on Stock Return Rate in China Stock Market. Proceedings of the 2021 7th International Conference on Industrial and Business Engineering, 19-206, Macao, China. https://doi.org/10.1145/3494583.3494621</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2021</w:t>
      </w:r>
      <w:r>
        <w:rPr>
          <w:rFonts w:hint="eastAsia" w:cs="Times New Roman"/>
          <w:lang w:val="en-US" w:eastAsia="zh-TW"/>
        </w:rPr>
        <w:t>e</w:t>
      </w:r>
      <w:r>
        <w:rPr>
          <w:rFonts w:hint="default" w:cs="Times New Roman"/>
          <w:lang w:val="en-US"/>
        </w:rPr>
        <w:t>)</w:t>
      </w:r>
      <w:r>
        <w:rPr>
          <w:rFonts w:hint="default" w:ascii="Times New Roman" w:hAnsi="Times New Roman" w:cs="Times New Roman"/>
        </w:rPr>
        <w:t>. How Does Patent Examination Indicate Stock Performance? An Empirical Study of China Stock Market and Patents. Internal Journal of Economics and Research, 12(i5), pp. 01-29 (so).</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f</w:t>
      </w:r>
      <w:r>
        <w:rPr>
          <w:rFonts w:hint="default" w:cs="Times New Roman"/>
          <w:lang w:val="en-US"/>
        </w:rPr>
        <w:t>)</w:t>
      </w:r>
      <w:r>
        <w:rPr>
          <w:rFonts w:hint="default" w:ascii="Times New Roman" w:hAnsi="Times New Roman" w:cs="Times New Roman"/>
        </w:rPr>
        <w:t>. Using Patent Backward Citation for Classifying Stock Price of China Stock Market. Economics and Management, 18(2), pp. 12-34. https://doi.org/10.37708/em.swu.v18i2.2</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2022a</w:t>
      </w:r>
      <w:r>
        <w:rPr>
          <w:rFonts w:hint="default" w:cs="Times New Roman"/>
          <w:lang w:val="en-US"/>
        </w:rPr>
        <w:t>)</w:t>
      </w:r>
      <w:r>
        <w:rPr>
          <w:rFonts w:hint="default" w:ascii="Times New Roman" w:hAnsi="Times New Roman" w:cs="Times New Roman"/>
        </w:rPr>
        <w:t>. Using Patent Forward Citation for Discriminating Stock Price in China Stock Market. Journal of Business and Management Sciences, 10(1), pp. 1-12. https://doi.org/10.12691/jbms-10-1-1</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2022b</w:t>
      </w:r>
      <w:r>
        <w:rPr>
          <w:rFonts w:hint="default" w:cs="Times New Roman"/>
          <w:lang w:val="en-US"/>
        </w:rPr>
        <w:t>)</w:t>
      </w:r>
      <w:r>
        <w:rPr>
          <w:rFonts w:hint="default" w:ascii="Times New Roman" w:hAnsi="Times New Roman" w:cs="Times New Roman"/>
        </w:rPr>
        <w:t>. Longer Patent Life Representing Higher Value? -- A Study on China Stock Market and China Patents, Bulletin of Applied Economics, 2022, 9(1), pp. 115-136. https://doi.org/10.47260/bae/918</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2009a</w:t>
      </w:r>
      <w:r>
        <w:rPr>
          <w:rFonts w:hint="default" w:cs="Times New Roman"/>
          <w:lang w:val="en-US"/>
        </w:rPr>
        <w:t>)</w:t>
      </w:r>
      <w:r>
        <w:rPr>
          <w:rFonts w:hint="default" w:ascii="Times New Roman" w:hAnsi="Times New Roman" w:cs="Times New Roman"/>
        </w:rPr>
        <w:t>. Modeling patent legal value by extension neural network. Expert Systems with Applications, 36 (7), pp. 10520-10528. https://doi.org/10.1016/j.eswa.2009.01.027</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2009b</w:t>
      </w:r>
      <w:r>
        <w:rPr>
          <w:rFonts w:hint="default" w:cs="Times New Roman"/>
          <w:lang w:val="en-US"/>
        </w:rPr>
        <w:t>)</w:t>
      </w:r>
      <w:r>
        <w:rPr>
          <w:rFonts w:hint="default" w:ascii="Times New Roman" w:hAnsi="Times New Roman" w:cs="Times New Roman"/>
        </w:rPr>
        <w:t>. Evaluating patents using damage awards of infringement lawsuits: A case study. The Journal of Engineering and Technology Management, 26, pp. 167-180. https://doi.org/10.1016/j.jengtecman.2009.06.005</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2009c</w:t>
      </w:r>
      <w:r>
        <w:rPr>
          <w:rFonts w:hint="default" w:cs="Times New Roman"/>
          <w:lang w:val="en-US"/>
        </w:rPr>
        <w:t>)</w:t>
      </w:r>
      <w:r>
        <w:rPr>
          <w:rFonts w:hint="default" w:ascii="Times New Roman" w:hAnsi="Times New Roman" w:cs="Times New Roman"/>
        </w:rPr>
        <w:t>. Integrated evaluator extracted from infringement lawsuits using extension neural network accommodated to patent assessment. The International Journal of Computer Applications in Technology, 35(2/3/4), pp. 84-96, https://doi.org/10.1504/IJCAT.2009.026585</w:t>
      </w:r>
    </w:p>
    <w:p>
      <w:pPr>
        <w:rPr>
          <w:rFonts w:hint="default" w:ascii="Times New Roman" w:hAnsi="Times New Roman" w:cs="Times New Roman"/>
          <w:color w:val="000000"/>
          <w:szCs w:val="24"/>
        </w:rPr>
      </w:pPr>
    </w:p>
    <w:sectPr>
      <w:headerReference r:id="rId6" w:type="first"/>
      <w:headerReference r:id="rId4" w:type="default"/>
      <w:headerReference r:id="rId5" w:type="even"/>
      <w:pgSz w:w="11906" w:h="16838"/>
      <w:pgMar w:top="1440" w:right="1440" w:bottom="1440" w:left="1440" w:header="720" w:footer="720" w:gutter="0"/>
      <w:pgNumType w:start="1"/>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21"/>
        <w:snapToGrid w:val="0"/>
        <w:rPr>
          <w:rFonts w:hint="default" w:eastAsia="PMingLiU"/>
          <w:lang w:val="en-US" w:eastAsia="zh-TW"/>
        </w:rPr>
      </w:pPr>
      <w:r>
        <w:rPr>
          <w:rStyle w:val="31"/>
        </w:rPr>
        <w:footnoteRef/>
      </w:r>
      <w:r>
        <w:t xml:space="preserve"> </w:t>
      </w:r>
      <w:r>
        <w:rPr>
          <w:rFonts w:hint="eastAsia"/>
        </w:rPr>
        <w:t>Department of Business Administration, Chung Yuan Christian University, Taiwan, ROC.</w:t>
      </w:r>
      <w:r>
        <w:rPr>
          <w:rFonts w:hint="eastAsia"/>
          <w:lang w:val="en-US" w:eastAsia="zh-TW"/>
        </w:rPr>
        <w:t xml:space="preserve"> cycuiris1@gmail.com</w:t>
      </w:r>
    </w:p>
  </w:footnote>
  <w:footnote w:id="1">
    <w:p>
      <w:pPr>
        <w:pStyle w:val="21"/>
        <w:snapToGrid w:val="0"/>
        <w:rPr>
          <w:rFonts w:hint="default"/>
          <w:lang w:val="en-US"/>
        </w:rPr>
      </w:pPr>
      <w:r>
        <w:rPr>
          <w:rStyle w:val="31"/>
        </w:rPr>
        <w:footnoteRef/>
      </w:r>
      <w:r>
        <w:t xml:space="preserve"> </w:t>
      </w:r>
      <w:r>
        <w:rPr>
          <w:rFonts w:hint="default" w:ascii="Times New Roman" w:hAnsi="Times New Roman" w:cs="Times New Roman"/>
          <w:sz w:val="20"/>
          <w:szCs w:val="20"/>
        </w:rPr>
        <w:t>Department of Business Administration</w:t>
      </w:r>
      <w:r>
        <w:rPr>
          <w:rFonts w:hint="default" w:ascii="Times New Roman" w:hAnsi="Times New Roman" w:eastAsia="PMingLiU" w:cs="Times New Roman"/>
          <w:sz w:val="20"/>
          <w:szCs w:val="20"/>
          <w:lang w:val="en-US" w:eastAsia="zh-TW"/>
        </w:rPr>
        <w:t xml:space="preserve">, </w:t>
      </w:r>
      <w:r>
        <w:rPr>
          <w:rFonts w:hint="default" w:ascii="Times New Roman" w:hAnsi="Times New Roman" w:cs="Times New Roman"/>
          <w:sz w:val="20"/>
          <w:szCs w:val="20"/>
        </w:rPr>
        <w:t>Chung Yuan Christian University</w:t>
      </w:r>
      <w:r>
        <w:rPr>
          <w:rFonts w:hint="default" w:ascii="Times New Roman" w:hAnsi="Times New Roman" w:eastAsia="PMingLiU" w:cs="Times New Roman"/>
          <w:sz w:val="20"/>
          <w:szCs w:val="20"/>
          <w:lang w:val="en-US" w:eastAsia="zh-TW"/>
        </w:rPr>
        <w:t>, Taiwan, ROC.</w:t>
      </w:r>
      <w:r>
        <w:rPr>
          <w:rFonts w:hint="eastAsia" w:ascii="Times New Roman" w:hAnsi="Times New Roman" w:cs="Times New Roman"/>
          <w:sz w:val="20"/>
          <w:szCs w:val="20"/>
          <w:lang w:val="en-US" w:eastAsia="zh-TW"/>
        </w:rPr>
        <w:t xml:space="preserve"> christ@cc.cust.edu.tw</w:t>
      </w:r>
    </w:p>
  </w:footnote>
  <w:footnote w:id="2">
    <w:p>
      <w:pPr>
        <w:pStyle w:val="21"/>
        <w:snapToGrid w:val="0"/>
        <w:rPr>
          <w:rFonts w:hint="default" w:eastAsia="PMingLiU"/>
          <w:lang w:val="en-US" w:eastAsia="zh-TW"/>
        </w:rPr>
      </w:pPr>
      <w:r>
        <w:rPr>
          <w:rStyle w:val="31"/>
        </w:rPr>
        <w:footnoteRef/>
      </w:r>
      <w:r>
        <w:t xml:space="preserve"> </w:t>
      </w:r>
      <w:r>
        <w:rPr>
          <w:rFonts w:hint="eastAsia"/>
        </w:rPr>
        <w:t>Shenzhen TekGlory Intellectual Property Data Technologies, Ltd., Guangdong, China.</w:t>
      </w:r>
      <w:r>
        <w:rPr>
          <w:rFonts w:hint="eastAsia"/>
          <w:lang w:val="en-US" w:eastAsia="zh-TW"/>
        </w:rPr>
        <w:t xml:space="preserve"> drcharlie918@yeah.net</w:t>
      </w:r>
    </w:p>
  </w:footnote>
  <w:footnote w:id="3">
    <w:p>
      <w:pPr>
        <w:pStyle w:val="21"/>
        <w:snapToGrid w:val="0"/>
        <w:rPr>
          <w:rFonts w:hint="eastAsia" w:eastAsia="PMingLiU"/>
          <w:lang w:val="en-US" w:eastAsia="zh-TW"/>
        </w:rPr>
      </w:pPr>
      <w:r>
        <w:rPr>
          <w:rStyle w:val="31"/>
        </w:rPr>
        <w:footnoteRef/>
      </w:r>
      <w:r>
        <w:t xml:space="preserve"> </w:t>
      </w:r>
      <w:r>
        <w:rPr>
          <w:rFonts w:hint="eastAsia"/>
        </w:rPr>
        <w:t>Graduate Institute of Patent, National Taiwan University of Science and Technology, Taiwan, ROC.</w:t>
      </w:r>
      <w:r>
        <w:rPr>
          <w:rFonts w:hint="eastAsia"/>
          <w:lang w:val="en-US" w:eastAsia="zh-TW"/>
        </w:rPr>
        <w:t xml:space="preserve"> hwtsai@mail.ntust.edu.tw</w:t>
      </w:r>
    </w:p>
  </w:footnote>
  <w:footnote w:id="4">
    <w:p>
      <w:pPr>
        <w:pStyle w:val="21"/>
        <w:snapToGrid w:val="0"/>
        <w:rPr>
          <w:rFonts w:hint="default" w:eastAsia="PMingLiU"/>
          <w:lang w:val="en-US" w:eastAsia="zh-TW"/>
        </w:rPr>
      </w:pPr>
      <w:r>
        <w:rPr>
          <w:rStyle w:val="31"/>
        </w:rPr>
        <w:footnoteRef/>
      </w:r>
      <w:r>
        <w:t xml:space="preserve"> </w:t>
      </w:r>
      <w:r>
        <w:rPr>
          <w:rFonts w:hint="eastAsia"/>
        </w:rPr>
        <w:t>Shenzhen TekGlory Intellectual Property Data Technologies, Ltd., Guangdong, China.</w:t>
      </w:r>
      <w:r>
        <w:rPr>
          <w:rFonts w:hint="eastAsia"/>
          <w:lang w:val="en-US" w:eastAsia="zh-TW"/>
        </w:rPr>
        <w:t xml:space="preserve"> baibo@tek-glory.com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8"/>
        <w:sz w:val="22"/>
        <w:szCs w:val="22"/>
      </w:rPr>
    </w:pPr>
    <w:r>
      <w:rPr>
        <w:rStyle w:val="28"/>
        <w:sz w:val="22"/>
        <w:szCs w:val="22"/>
      </w:rPr>
      <w:fldChar w:fldCharType="begin"/>
    </w:r>
    <w:r>
      <w:rPr>
        <w:rStyle w:val="28"/>
        <w:sz w:val="22"/>
        <w:szCs w:val="22"/>
      </w:rPr>
      <w:instrText xml:space="preserve">PAGE  </w:instrText>
    </w:r>
    <w:r>
      <w:rPr>
        <w:rStyle w:val="28"/>
        <w:sz w:val="22"/>
        <w:szCs w:val="22"/>
      </w:rPr>
      <w:fldChar w:fldCharType="separate"/>
    </w:r>
    <w:r>
      <w:rPr>
        <w:rStyle w:val="28"/>
        <w:sz w:val="22"/>
        <w:szCs w:val="22"/>
      </w:rPr>
      <w:t>3</w:t>
    </w:r>
    <w:r>
      <w:rPr>
        <w:rStyle w:val="28"/>
        <w:sz w:val="22"/>
        <w:szCs w:val="22"/>
      </w:rPr>
      <w:fldChar w:fldCharType="end"/>
    </w:r>
  </w:p>
  <w:p>
    <w:pPr>
      <w:pStyle w:val="20"/>
      <w:framePr w:wrap="around" w:vAnchor="text" w:hAnchor="page" w:x="9421" w:y="-48"/>
      <w:ind w:right="360"/>
      <w:rPr>
        <w:rStyle w:val="28"/>
      </w:rPr>
    </w:pPr>
  </w:p>
  <w:p>
    <w:pPr>
      <w:pStyle w:val="20"/>
      <w:ind w:right="360"/>
      <w:rPr>
        <w:i/>
        <w:sz w:val="22"/>
        <w:szCs w:val="22"/>
      </w:rPr>
    </w:pPr>
    <w:r>
      <w:rPr>
        <w:i/>
        <w:sz w:val="22"/>
        <w:szCs w:val="22"/>
      </w:rPr>
      <w:t>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ind w:right="360" w:firstLine="360"/>
      <w:rPr>
        <w:rStyle w:val="28"/>
      </w:rPr>
    </w:pPr>
  </w:p>
  <w:p>
    <w:pPr>
      <w:pStyle w:val="20"/>
      <w:ind w:right="360"/>
      <w:jc w:val="right"/>
      <w:rPr>
        <w:i/>
        <w:sz w:val="22"/>
        <w:szCs w:val="22"/>
      </w:rPr>
    </w:pPr>
    <w:r>
      <w:fldChar w:fldCharType="begin"/>
    </w:r>
    <w:r>
      <w:instrText xml:space="preserve"> PAGE   \* MERGEFORMAT </w:instrText>
    </w:r>
    <w:r>
      <w:fldChar w:fldCharType="separate"/>
    </w:r>
    <w:r>
      <w:t>1</w:t>
    </w:r>
    <w:r>
      <w:fldChar w:fldCharType="end"/>
    </w:r>
    <w:r>
      <w:rPr>
        <w:lang w:val="en-US"/>
      </w:rPr>
      <w:t xml:space="preserve"> </w:t>
    </w:r>
    <w:r>
      <w:tab/>
    </w:r>
    <w:r>
      <w:rPr>
        <w:rFonts w:hint="eastAsia"/>
        <w:lang w:val="en-US" w:eastAsia="zh-TW"/>
      </w:rPr>
      <w:tab/>
    </w:r>
    <w:r>
      <w:rPr>
        <w:rFonts w:hint="eastAsia"/>
        <w:i/>
        <w:sz w:val="22"/>
        <w:szCs w:val="22"/>
        <w:lang w:val="en-US" w:eastAsia="zh-TW"/>
      </w:rPr>
      <w:t>Chen, Chu, Che, Tsai</w:t>
    </w:r>
    <w:r>
      <w:rPr>
        <w:i/>
        <w:sz w:val="22"/>
        <w:szCs w:val="22"/>
      </w:rPr>
      <w:t xml:space="preserve"> and </w:t>
    </w:r>
    <w:r>
      <w:rPr>
        <w:rFonts w:hint="eastAsia"/>
        <w:i/>
        <w:sz w:val="22"/>
        <w:szCs w:val="22"/>
        <w:lang w:val="en-US" w:eastAsia="zh-TW"/>
      </w:rPr>
      <w:t>Bai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both"/>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 xml:space="preserve">Advances in Management &amp; Applied Economics, Vol. x, No. xx, 2021, xxx-xxx </w:t>
    </w:r>
  </w:p>
  <w:p>
    <w:pPr>
      <w:pStyle w:val="15"/>
      <w:spacing w:line="240" w:lineRule="auto"/>
      <w:jc w:val="left"/>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ISSN: 1792-7544 (print version), 1792-7552(online)</w:t>
    </w:r>
  </w:p>
  <w:p>
    <w:pPr>
      <w:pStyle w:val="15"/>
      <w:spacing w:line="240" w:lineRule="auto"/>
      <w:jc w:val="left"/>
      <w:rPr>
        <w:rFonts w:ascii="Times New Roman" w:hAnsi="Times New Roman" w:eastAsia="MS Mincho"/>
        <w:b w:val="0"/>
        <w:i/>
        <w:color w:val="000000"/>
        <w:sz w:val="24"/>
        <w:szCs w:val="24"/>
        <w:lang w:eastAsia="ja-JP"/>
      </w:rPr>
    </w:pPr>
    <w:r>
      <w:rPr>
        <w:b w:val="0"/>
        <w:i/>
        <w:sz w:val="24"/>
        <w:szCs w:val="24"/>
        <w:lang w:eastAsia="ja-JP"/>
      </w:rPr>
      <w:t>Scientific Press International Limited</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DD6D4"/>
    <w:multiLevelType w:val="singleLevel"/>
    <w:tmpl w:val="BF6DD6D4"/>
    <w:lvl w:ilvl="0" w:tentative="0">
      <w:start w:val="1"/>
      <w:numFmt w:val="decimal"/>
      <w:pStyle w:val="71"/>
      <w:suff w:val="space"/>
      <w:lvlText w:val="Table %1:"/>
      <w:lvlJc w:val="left"/>
      <w:pPr>
        <w:tabs>
          <w:tab w:val="left" w:pos="0"/>
        </w:tabs>
        <w:ind w:left="0" w:firstLine="0"/>
      </w:pPr>
      <w:rPr>
        <w:rFonts w:hint="default" w:ascii="Times New Roman" w:hAnsi="Times New Roman" w:eastAsia="宋体" w:cs="宋体"/>
        <w:b/>
        <w:sz w:val="22"/>
      </w:rPr>
    </w:lvl>
  </w:abstractNum>
  <w:abstractNum w:abstractNumId="1">
    <w:nsid w:val="E2FAD3D9"/>
    <w:multiLevelType w:val="singleLevel"/>
    <w:tmpl w:val="E2FAD3D9"/>
    <w:lvl w:ilvl="0" w:tentative="0">
      <w:start w:val="1"/>
      <w:numFmt w:val="decimal"/>
      <w:suff w:val="space"/>
      <w:lvlText w:val="(%1)"/>
      <w:lvlJc w:val="left"/>
    </w:lvl>
  </w:abstractNum>
  <w:abstractNum w:abstractNumId="2">
    <w:nsid w:val="E77D8706"/>
    <w:multiLevelType w:val="singleLevel"/>
    <w:tmpl w:val="E77D8706"/>
    <w:lvl w:ilvl="0" w:tentative="0">
      <w:start w:val="1"/>
      <w:numFmt w:val="decimal"/>
      <w:suff w:val="space"/>
      <w:lvlText w:val="(%1)"/>
      <w:lvlJc w:val="left"/>
    </w:lvl>
  </w:abstractNum>
  <w:abstractNum w:abstractNumId="3">
    <w:nsid w:val="FB5EB20D"/>
    <w:multiLevelType w:val="singleLevel"/>
    <w:tmpl w:val="FB5EB20D"/>
    <w:lvl w:ilvl="0" w:tentative="0">
      <w:start w:val="1"/>
      <w:numFmt w:val="decimal"/>
      <w:suff w:val="space"/>
      <w:lvlText w:val="(%1)"/>
      <w:lvlJc w:val="left"/>
    </w:lvl>
  </w:abstractNum>
  <w:abstractNum w:abstractNumId="4">
    <w:nsid w:val="0A6DA471"/>
    <w:multiLevelType w:val="singleLevel"/>
    <w:tmpl w:val="0A6DA471"/>
    <w:lvl w:ilvl="0" w:tentative="0">
      <w:start w:val="1"/>
      <w:numFmt w:val="decimal"/>
      <w:pStyle w:val="68"/>
      <w:lvlText w:val="Figure %1:"/>
      <w:lvlJc w:val="left"/>
      <w:pPr>
        <w:tabs>
          <w:tab w:val="left" w:pos="0"/>
        </w:tabs>
        <w:ind w:left="0" w:firstLine="0"/>
      </w:pPr>
      <w:rPr>
        <w:rFonts w:hint="default" w:ascii="Times New Roman" w:hAnsi="Times New Roman" w:eastAsia="宋体" w:cs="宋体"/>
        <w:b/>
        <w:sz w:val="22"/>
      </w:rPr>
    </w:lvl>
  </w:abstractNum>
  <w:abstractNum w:abstractNumId="5">
    <w:nsid w:val="111C0667"/>
    <w:multiLevelType w:val="multilevel"/>
    <w:tmpl w:val="111C0667"/>
    <w:lvl w:ilvl="0" w:tentative="0">
      <w:start w:val="1"/>
      <w:numFmt w:val="decimal"/>
      <w:pStyle w:val="46"/>
      <w:lvlText w:val="%1."/>
      <w:lvlJc w:val="left"/>
      <w:pPr>
        <w:ind w:left="720" w:hanging="360"/>
      </w:pPr>
      <w:rPr>
        <w:rFonts w:hint="default"/>
      </w:rPr>
    </w:lvl>
    <w:lvl w:ilvl="1" w:tentative="0">
      <w:start w:val="1"/>
      <w:numFmt w:val="decimal"/>
      <w:pStyle w:val="48"/>
      <w:isLgl/>
      <w:lvlText w:val="%1.%2"/>
      <w:lvlJc w:val="left"/>
      <w:pPr>
        <w:ind w:left="1440" w:hanging="720"/>
      </w:pPr>
      <w:rPr>
        <w:rFonts w:hint="default"/>
      </w:rPr>
    </w:lvl>
    <w:lvl w:ilvl="2" w:tentative="0">
      <w:start w:val="1"/>
      <w:numFmt w:val="decimal"/>
      <w:pStyle w:val="50"/>
      <w:isLgl/>
      <w:lvlText w:val="%1.%2.%3"/>
      <w:lvlJc w:val="left"/>
      <w:pPr>
        <w:ind w:left="1712"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6">
    <w:nsid w:val="388F7583"/>
    <w:multiLevelType w:val="singleLevel"/>
    <w:tmpl w:val="388F7583"/>
    <w:lvl w:ilvl="0" w:tentative="0">
      <w:start w:val="1"/>
      <w:numFmt w:val="decimal"/>
      <w:pStyle w:val="6"/>
      <w:lvlText w:val="4.%1."/>
      <w:lvlJc w:val="left"/>
      <w:pPr>
        <w:tabs>
          <w:tab w:val="left" w:pos="360"/>
        </w:tabs>
        <w:ind w:left="180" w:hanging="180"/>
      </w:pPr>
      <w:rPr>
        <w:rFonts w:hint="eastAsia"/>
      </w:rPr>
    </w:lvl>
  </w:abstractNum>
  <w:abstractNum w:abstractNumId="7">
    <w:nsid w:val="40890F67"/>
    <w:multiLevelType w:val="singleLevel"/>
    <w:tmpl w:val="40890F67"/>
    <w:lvl w:ilvl="0" w:tentative="0">
      <w:start w:val="1"/>
      <w:numFmt w:val="decimal"/>
      <w:pStyle w:val="53"/>
      <w:lvlText w:val="[%1]"/>
      <w:lvlJc w:val="left"/>
      <w:pPr>
        <w:tabs>
          <w:tab w:val="left" w:pos="480"/>
        </w:tabs>
        <w:ind w:left="480" w:hanging="480"/>
      </w:pPr>
      <w:rPr>
        <w:rFonts w:hint="eastAsia"/>
      </w:rPr>
    </w:lvl>
  </w:abstractNum>
  <w:abstractNum w:abstractNumId="8">
    <w:nsid w:val="5D171124"/>
    <w:multiLevelType w:val="singleLevel"/>
    <w:tmpl w:val="5D171124"/>
    <w:lvl w:ilvl="0" w:tentative="0">
      <w:start w:val="1"/>
      <w:numFmt w:val="decimal"/>
      <w:pStyle w:val="3"/>
      <w:lvlText w:val="2.%1."/>
      <w:lvlJc w:val="left"/>
      <w:pPr>
        <w:tabs>
          <w:tab w:val="left" w:pos="360"/>
        </w:tabs>
        <w:ind w:left="180" w:hanging="180"/>
      </w:pPr>
      <w:rPr>
        <w:rFonts w:hint="default" w:ascii="Times New Roman" w:hAnsi="Times New Roman"/>
        <w:b/>
        <w:i w:val="0"/>
        <w:sz w:val="24"/>
      </w:rPr>
    </w:lvl>
  </w:abstractNum>
  <w:abstractNum w:abstractNumId="9">
    <w:nsid w:val="7B5C48B8"/>
    <w:multiLevelType w:val="singleLevel"/>
    <w:tmpl w:val="7B5C48B8"/>
    <w:lvl w:ilvl="0" w:tentative="0">
      <w:start w:val="1"/>
      <w:numFmt w:val="decimal"/>
      <w:suff w:val="space"/>
      <w:lvlText w:val="(%1)"/>
      <w:lvlJc w:val="left"/>
    </w:lvl>
  </w:abstractNum>
  <w:num w:numId="1">
    <w:abstractNumId w:val="8"/>
  </w:num>
  <w:num w:numId="2">
    <w:abstractNumId w:val="6"/>
  </w:num>
  <w:num w:numId="3">
    <w:abstractNumId w:val="5"/>
  </w:num>
  <w:num w:numId="4">
    <w:abstractNumId w:val="7"/>
  </w:num>
  <w:num w:numId="5">
    <w:abstractNumId w:val="4"/>
  </w:num>
  <w:num w:numId="6">
    <w:abstractNumId w:val="0"/>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2"/>
  <w:evenAndOddHeaders w:val="1"/>
  <w:displayHorizontalDrawingGridEvery w:val="0"/>
  <w:displayVerticalDrawingGridEvery w:val="2"/>
  <w:characterSpacingControl w:val="compressPunctuation"/>
  <w:noLineBreaksAfter w:lang="zh-CN" w:val="([{‘“‵〈《「『【〔〝︵︷︹︻︽︿﹁﹃﹙﹛﹝（｛"/>
  <w:noLineBreaksBefore w:lang="zh-CN" w:val="!),.:;?]}·–—’”‥…‧′╴、。〉》」』】〕〞︰︱︳︴︶︸︺︼︾﹀﹂﹄﹏﹐﹑﹒﹔﹕﹖﹗﹚﹜﹞！），．：；？｜｝"/>
  <w:footnotePr>
    <w:footnote w:id="10"/>
    <w:footnote w:id="1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610A0"/>
    <w:rsid w:val="001637F6"/>
    <w:rsid w:val="00183750"/>
    <w:rsid w:val="001A54F7"/>
    <w:rsid w:val="001B25C5"/>
    <w:rsid w:val="00224EC9"/>
    <w:rsid w:val="00234CDB"/>
    <w:rsid w:val="00291478"/>
    <w:rsid w:val="002A0D6F"/>
    <w:rsid w:val="002E218C"/>
    <w:rsid w:val="002E3749"/>
    <w:rsid w:val="00303353"/>
    <w:rsid w:val="00310E1C"/>
    <w:rsid w:val="00322DA7"/>
    <w:rsid w:val="003378F8"/>
    <w:rsid w:val="00347F24"/>
    <w:rsid w:val="003760E0"/>
    <w:rsid w:val="00395B5C"/>
    <w:rsid w:val="003A281F"/>
    <w:rsid w:val="003A3D8F"/>
    <w:rsid w:val="003D3BD5"/>
    <w:rsid w:val="003E59D5"/>
    <w:rsid w:val="003F3ED0"/>
    <w:rsid w:val="004009AC"/>
    <w:rsid w:val="00407CE8"/>
    <w:rsid w:val="00411AF5"/>
    <w:rsid w:val="00412D8C"/>
    <w:rsid w:val="00415105"/>
    <w:rsid w:val="00425D81"/>
    <w:rsid w:val="00471FEC"/>
    <w:rsid w:val="00474E09"/>
    <w:rsid w:val="0048722E"/>
    <w:rsid w:val="004879B5"/>
    <w:rsid w:val="004A218D"/>
    <w:rsid w:val="004C7D31"/>
    <w:rsid w:val="004F3B0E"/>
    <w:rsid w:val="005141B4"/>
    <w:rsid w:val="005234B3"/>
    <w:rsid w:val="0056424E"/>
    <w:rsid w:val="0057377A"/>
    <w:rsid w:val="00583C12"/>
    <w:rsid w:val="0058563E"/>
    <w:rsid w:val="00585BD2"/>
    <w:rsid w:val="00592501"/>
    <w:rsid w:val="005E7929"/>
    <w:rsid w:val="005F5EDB"/>
    <w:rsid w:val="00641F7D"/>
    <w:rsid w:val="00642C03"/>
    <w:rsid w:val="00671586"/>
    <w:rsid w:val="00680B18"/>
    <w:rsid w:val="006A4676"/>
    <w:rsid w:val="006C164D"/>
    <w:rsid w:val="006C55B9"/>
    <w:rsid w:val="006E7D8D"/>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805EA"/>
    <w:rsid w:val="00A947A2"/>
    <w:rsid w:val="00A95D65"/>
    <w:rsid w:val="00AA3116"/>
    <w:rsid w:val="00AA77DB"/>
    <w:rsid w:val="00AB7CCB"/>
    <w:rsid w:val="00AD169E"/>
    <w:rsid w:val="00B4436C"/>
    <w:rsid w:val="00B56AC3"/>
    <w:rsid w:val="00B579C8"/>
    <w:rsid w:val="00B85B16"/>
    <w:rsid w:val="00B93E0D"/>
    <w:rsid w:val="00BB3756"/>
    <w:rsid w:val="00BC006F"/>
    <w:rsid w:val="00BC1A01"/>
    <w:rsid w:val="00BD0793"/>
    <w:rsid w:val="00BF6D84"/>
    <w:rsid w:val="00C15591"/>
    <w:rsid w:val="00C40901"/>
    <w:rsid w:val="00C45279"/>
    <w:rsid w:val="00C6565A"/>
    <w:rsid w:val="00C67EAF"/>
    <w:rsid w:val="00CC47C9"/>
    <w:rsid w:val="00CE6B5B"/>
    <w:rsid w:val="00D04744"/>
    <w:rsid w:val="00D1571E"/>
    <w:rsid w:val="00D4164C"/>
    <w:rsid w:val="00D631C7"/>
    <w:rsid w:val="00D6487E"/>
    <w:rsid w:val="00DD0455"/>
    <w:rsid w:val="00DF3DDE"/>
    <w:rsid w:val="00E25B8E"/>
    <w:rsid w:val="00E41E84"/>
    <w:rsid w:val="00E509ED"/>
    <w:rsid w:val="00E74776"/>
    <w:rsid w:val="00EA735E"/>
    <w:rsid w:val="00EB3EAB"/>
    <w:rsid w:val="00EB5E6E"/>
    <w:rsid w:val="00ED4CD9"/>
    <w:rsid w:val="00EF1A9C"/>
    <w:rsid w:val="00F0206E"/>
    <w:rsid w:val="00F03418"/>
    <w:rsid w:val="00F05772"/>
    <w:rsid w:val="00F162D0"/>
    <w:rsid w:val="00F4037A"/>
    <w:rsid w:val="00F43E70"/>
    <w:rsid w:val="00F52343"/>
    <w:rsid w:val="00F537F4"/>
    <w:rsid w:val="00F97F14"/>
    <w:rsid w:val="026825AB"/>
    <w:rsid w:val="02C601A3"/>
    <w:rsid w:val="02FA778C"/>
    <w:rsid w:val="040C0C85"/>
    <w:rsid w:val="055C679D"/>
    <w:rsid w:val="05692AF2"/>
    <w:rsid w:val="09230A25"/>
    <w:rsid w:val="09CD3996"/>
    <w:rsid w:val="09ED1BE5"/>
    <w:rsid w:val="0B4F4F5E"/>
    <w:rsid w:val="0F6C1978"/>
    <w:rsid w:val="0F933931"/>
    <w:rsid w:val="11B467FA"/>
    <w:rsid w:val="136D13D9"/>
    <w:rsid w:val="151C316F"/>
    <w:rsid w:val="15600921"/>
    <w:rsid w:val="162F15EF"/>
    <w:rsid w:val="19677FD2"/>
    <w:rsid w:val="1ADB2225"/>
    <w:rsid w:val="1B124F45"/>
    <w:rsid w:val="1F537671"/>
    <w:rsid w:val="1F736072"/>
    <w:rsid w:val="20060BB5"/>
    <w:rsid w:val="20B96150"/>
    <w:rsid w:val="22F71BC7"/>
    <w:rsid w:val="233C0D79"/>
    <w:rsid w:val="249935AC"/>
    <w:rsid w:val="26C22214"/>
    <w:rsid w:val="27A504B9"/>
    <w:rsid w:val="28FC4A2D"/>
    <w:rsid w:val="293417B9"/>
    <w:rsid w:val="2D205BB7"/>
    <w:rsid w:val="2D652E59"/>
    <w:rsid w:val="2F7611DB"/>
    <w:rsid w:val="306B05D4"/>
    <w:rsid w:val="326704D2"/>
    <w:rsid w:val="350E1E36"/>
    <w:rsid w:val="366F318F"/>
    <w:rsid w:val="37FB1C76"/>
    <w:rsid w:val="3A0348BA"/>
    <w:rsid w:val="3EFD51B4"/>
    <w:rsid w:val="3F224A72"/>
    <w:rsid w:val="3F436D2C"/>
    <w:rsid w:val="3FB5789F"/>
    <w:rsid w:val="3FF52C80"/>
    <w:rsid w:val="40440AF4"/>
    <w:rsid w:val="44D018B6"/>
    <w:rsid w:val="457C0654"/>
    <w:rsid w:val="459D78DF"/>
    <w:rsid w:val="46FC31B9"/>
    <w:rsid w:val="47170AFC"/>
    <w:rsid w:val="4A2B5A58"/>
    <w:rsid w:val="4BAD2A5F"/>
    <w:rsid w:val="51573636"/>
    <w:rsid w:val="571748A8"/>
    <w:rsid w:val="58626129"/>
    <w:rsid w:val="59BE2450"/>
    <w:rsid w:val="5DDB2A46"/>
    <w:rsid w:val="5EB27C7B"/>
    <w:rsid w:val="5FA110AF"/>
    <w:rsid w:val="60621313"/>
    <w:rsid w:val="61D75138"/>
    <w:rsid w:val="6407711E"/>
    <w:rsid w:val="647B6C9C"/>
    <w:rsid w:val="648954DB"/>
    <w:rsid w:val="64955931"/>
    <w:rsid w:val="66323487"/>
    <w:rsid w:val="66D37378"/>
    <w:rsid w:val="68C819E0"/>
    <w:rsid w:val="6976016E"/>
    <w:rsid w:val="6A2B033B"/>
    <w:rsid w:val="6A2D6DBF"/>
    <w:rsid w:val="6C3C2922"/>
    <w:rsid w:val="6E5B6E37"/>
    <w:rsid w:val="6FBE5552"/>
    <w:rsid w:val="6FFF3B39"/>
    <w:rsid w:val="70622A7E"/>
    <w:rsid w:val="71F24225"/>
    <w:rsid w:val="71FA6C26"/>
    <w:rsid w:val="740278D5"/>
    <w:rsid w:val="754438D6"/>
    <w:rsid w:val="797E5D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PMingLiU" w:cs="Times New Roman"/>
      <w:sz w:val="24"/>
      <w:lang w:val="en-US" w:eastAsia="zh-TW" w:bidi="ar-SA"/>
    </w:rPr>
  </w:style>
  <w:style w:type="paragraph" w:styleId="2">
    <w:name w:val="heading 1"/>
    <w:basedOn w:val="1"/>
    <w:next w:val="1"/>
    <w:qFormat/>
    <w:uiPriority w:val="0"/>
    <w:pPr>
      <w:keepNext/>
      <w:tabs>
        <w:tab w:val="left" w:pos="360"/>
      </w:tabs>
      <w:ind w:right="45"/>
      <w:outlineLvl w:val="0"/>
    </w:pPr>
    <w:rPr>
      <w:bCs/>
      <w:color w:val="000000"/>
      <w:szCs w:val="24"/>
    </w:rPr>
  </w:style>
  <w:style w:type="paragraph" w:styleId="3">
    <w:name w:val="heading 2"/>
    <w:basedOn w:val="1"/>
    <w:next w:val="1"/>
    <w:qFormat/>
    <w:uiPriority w:val="0"/>
    <w:pPr>
      <w:numPr>
        <w:ilvl w:val="0"/>
        <w:numId w:val="1"/>
      </w:numPr>
      <w:tabs>
        <w:tab w:val="left" w:pos="454"/>
        <w:tab w:val="clear" w:pos="360"/>
      </w:tabs>
      <w:jc w:val="left"/>
      <w:outlineLvl w:val="1"/>
    </w:pPr>
    <w:rPr>
      <w:rFonts w:eastAsia="MingLiU"/>
      <w:b/>
    </w:rPr>
  </w:style>
  <w:style w:type="paragraph" w:styleId="4">
    <w:name w:val="heading 3"/>
    <w:basedOn w:val="1"/>
    <w:next w:val="5"/>
    <w:qFormat/>
    <w:uiPriority w:val="0"/>
    <w:pPr>
      <w:keepNext/>
      <w:outlineLvl w:val="2"/>
    </w:pPr>
    <w:rPr>
      <w:b/>
    </w:rPr>
  </w:style>
  <w:style w:type="paragraph" w:styleId="6">
    <w:name w:val="heading 4"/>
    <w:basedOn w:val="1"/>
    <w:next w:val="5"/>
    <w:qFormat/>
    <w:uiPriority w:val="0"/>
    <w:pPr>
      <w:numPr>
        <w:ilvl w:val="0"/>
        <w:numId w:val="2"/>
      </w:numPr>
      <w:ind w:left="397" w:hanging="397"/>
      <w:jc w:val="left"/>
      <w:outlineLvl w:val="3"/>
    </w:pPr>
    <w:rPr>
      <w:rFonts w:eastAsia="MingLiU"/>
      <w:b/>
    </w:rPr>
  </w:style>
  <w:style w:type="paragraph" w:styleId="7">
    <w:name w:val="heading 5"/>
    <w:basedOn w:val="1"/>
    <w:next w:val="5"/>
    <w:qFormat/>
    <w:uiPriority w:val="0"/>
    <w:pPr>
      <w:keepNext/>
      <w:widowControl/>
      <w:autoSpaceDE w:val="0"/>
      <w:autoSpaceDN w:val="0"/>
      <w:jc w:val="center"/>
      <w:textAlignment w:val="bottom"/>
      <w:outlineLvl w:val="4"/>
    </w:pPr>
    <w:rPr>
      <w:b/>
    </w:rPr>
  </w:style>
  <w:style w:type="paragraph" w:styleId="8">
    <w:name w:val="heading 6"/>
    <w:basedOn w:val="1"/>
    <w:next w:val="5"/>
    <w:qFormat/>
    <w:uiPriority w:val="0"/>
    <w:pPr>
      <w:keepNext/>
      <w:spacing w:before="120"/>
      <w:ind w:left="851" w:right="45"/>
      <w:jc w:val="center"/>
      <w:outlineLvl w:val="5"/>
    </w:pPr>
    <w:rPr>
      <w:b/>
    </w:rPr>
  </w:style>
  <w:style w:type="paragraph" w:styleId="9">
    <w:name w:val="heading 7"/>
    <w:basedOn w:val="1"/>
    <w:next w:val="1"/>
    <w:qFormat/>
    <w:uiPriority w:val="0"/>
    <w:pPr>
      <w:keepNext/>
      <w:outlineLvl w:val="6"/>
    </w:pPr>
    <w:rPr>
      <w:b/>
      <w:color w:val="FF0000"/>
    </w:rPr>
  </w:style>
  <w:style w:type="paragraph" w:styleId="10">
    <w:name w:val="heading 8"/>
    <w:basedOn w:val="1"/>
    <w:next w:val="1"/>
    <w:qFormat/>
    <w:uiPriority w:val="0"/>
    <w:pPr>
      <w:keepNext/>
      <w:ind w:firstLine="480"/>
      <w:jc w:val="center"/>
      <w:outlineLvl w:val="7"/>
    </w:pPr>
    <w:rPr>
      <w:i/>
      <w:iCs/>
    </w:rPr>
  </w:style>
  <w:style w:type="paragraph" w:styleId="11">
    <w:name w:val="heading 9"/>
    <w:basedOn w:val="1"/>
    <w:next w:val="1"/>
    <w:qFormat/>
    <w:uiPriority w:val="0"/>
    <w:pPr>
      <w:keepNext/>
      <w:snapToGrid w:val="0"/>
      <w:jc w:val="center"/>
      <w:outlineLvl w:val="8"/>
    </w:pPr>
    <w:rPr>
      <w:i/>
      <w:color w:val="FF000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tLeast"/>
      <w:ind w:left="475"/>
      <w:jc w:val="left"/>
    </w:pPr>
    <w:rPr>
      <w:rFonts w:ascii="MingLiU" w:eastAsia="MingLiU"/>
    </w:rPr>
  </w:style>
  <w:style w:type="paragraph" w:styleId="12">
    <w:name w:val="caption"/>
    <w:basedOn w:val="1"/>
    <w:next w:val="1"/>
    <w:qFormat/>
    <w:uiPriority w:val="0"/>
    <w:pPr>
      <w:spacing w:before="120" w:after="120"/>
    </w:pPr>
  </w:style>
  <w:style w:type="paragraph" w:styleId="13">
    <w:name w:val="Document Map"/>
    <w:basedOn w:val="1"/>
    <w:semiHidden/>
    <w:qFormat/>
    <w:uiPriority w:val="0"/>
    <w:pPr>
      <w:shd w:val="clear" w:color="auto" w:fill="000080"/>
    </w:pPr>
    <w:rPr>
      <w:rFonts w:ascii="Arial" w:hAnsi="Arial"/>
    </w:rPr>
  </w:style>
  <w:style w:type="paragraph" w:styleId="14">
    <w:name w:val="Body Text 3"/>
    <w:basedOn w:val="1"/>
    <w:qFormat/>
    <w:uiPriority w:val="0"/>
    <w:pPr>
      <w:widowControl/>
      <w:autoSpaceDE w:val="0"/>
      <w:autoSpaceDN w:val="0"/>
      <w:ind w:right="-154" w:rightChars="-64"/>
      <w:textAlignment w:val="bottom"/>
    </w:pPr>
  </w:style>
  <w:style w:type="paragraph" w:styleId="15">
    <w:name w:val="Body Text"/>
    <w:basedOn w:val="1"/>
    <w:link w:val="38"/>
    <w:qFormat/>
    <w:uiPriority w:val="0"/>
    <w:pPr>
      <w:widowControl/>
      <w:autoSpaceDE w:val="0"/>
      <w:autoSpaceDN w:val="0"/>
      <w:spacing w:line="300" w:lineRule="atLeast"/>
      <w:jc w:val="center"/>
      <w:textAlignment w:val="bottom"/>
    </w:pPr>
    <w:rPr>
      <w:rFonts w:ascii="Tms Rmn" w:hAnsi="Tms Rmn"/>
      <w:b/>
      <w:sz w:val="32"/>
    </w:rPr>
  </w:style>
  <w:style w:type="paragraph" w:styleId="16">
    <w:name w:val="Body Text Indent"/>
    <w:basedOn w:val="1"/>
    <w:qFormat/>
    <w:uiPriority w:val="0"/>
    <w:pPr>
      <w:widowControl/>
      <w:autoSpaceDE w:val="0"/>
      <w:autoSpaceDN w:val="0"/>
      <w:spacing w:line="480" w:lineRule="auto"/>
      <w:ind w:firstLine="540"/>
      <w:textAlignment w:val="bottom"/>
    </w:pPr>
    <w:rPr>
      <w:rFonts w:eastAsia="MingLiU"/>
    </w:rPr>
  </w:style>
  <w:style w:type="paragraph" w:styleId="17">
    <w:name w:val="Block Text"/>
    <w:basedOn w:val="1"/>
    <w:qFormat/>
    <w:uiPriority w:val="0"/>
    <w:pPr>
      <w:ind w:left="312" w:right="28" w:hanging="312" w:hangingChars="130"/>
    </w:pPr>
    <w:rPr>
      <w:b/>
      <w:color w:val="003366"/>
    </w:rPr>
  </w:style>
  <w:style w:type="paragraph" w:styleId="18">
    <w:name w:val="Body Text Indent 2"/>
    <w:basedOn w:val="1"/>
    <w:qFormat/>
    <w:uiPriority w:val="0"/>
    <w:pPr>
      <w:widowControl/>
      <w:autoSpaceDE w:val="0"/>
      <w:autoSpaceDN w:val="0"/>
      <w:spacing w:line="480" w:lineRule="auto"/>
      <w:ind w:firstLine="540"/>
      <w:textAlignment w:val="bottom"/>
    </w:pPr>
    <w:rPr>
      <w:rFonts w:eastAsia="MingLiU"/>
      <w:color w:val="FF0000"/>
    </w:rPr>
  </w:style>
  <w:style w:type="paragraph" w:styleId="19">
    <w:name w:val="footer"/>
    <w:basedOn w:val="1"/>
    <w:qFormat/>
    <w:uiPriority w:val="0"/>
    <w:pPr>
      <w:tabs>
        <w:tab w:val="center" w:pos="4153"/>
        <w:tab w:val="right" w:pos="8306"/>
      </w:tabs>
      <w:spacing w:line="480" w:lineRule="atLeast"/>
    </w:pPr>
    <w:rPr>
      <w:rFonts w:ascii="MingLiU" w:eastAsia="MingLiU"/>
      <w:sz w:val="20"/>
    </w:rPr>
  </w:style>
  <w:style w:type="paragraph" w:styleId="20">
    <w:name w:val="header"/>
    <w:basedOn w:val="1"/>
    <w:qFormat/>
    <w:uiPriority w:val="0"/>
    <w:pPr>
      <w:tabs>
        <w:tab w:val="center" w:pos="4536"/>
        <w:tab w:val="right" w:pos="9072"/>
      </w:tabs>
    </w:pPr>
  </w:style>
  <w:style w:type="paragraph" w:styleId="21">
    <w:name w:val="footnote text"/>
    <w:basedOn w:val="1"/>
    <w:link w:val="63"/>
    <w:semiHidden/>
    <w:qFormat/>
    <w:uiPriority w:val="0"/>
    <w:pPr>
      <w:snapToGrid w:val="0"/>
      <w:ind w:left="360" w:hanging="360" w:hangingChars="100"/>
      <w:jc w:val="left"/>
    </w:pPr>
    <w:rPr>
      <w:sz w:val="20"/>
    </w:rPr>
  </w:style>
  <w:style w:type="paragraph" w:styleId="22">
    <w:name w:val="Body Text Indent 3"/>
    <w:basedOn w:val="1"/>
    <w:qFormat/>
    <w:uiPriority w:val="0"/>
    <w:pPr>
      <w:ind w:firstLine="426"/>
    </w:pPr>
  </w:style>
  <w:style w:type="paragraph" w:styleId="23">
    <w:name w:val="Body Text 2"/>
    <w:basedOn w:val="1"/>
    <w:qFormat/>
    <w:uiPriority w:val="0"/>
    <w:pPr>
      <w:spacing w:before="480" w:line="360" w:lineRule="atLeast"/>
      <w:jc w:val="left"/>
    </w:pPr>
    <w:rPr>
      <w:b/>
      <w:i/>
    </w:rPr>
  </w:style>
  <w:style w:type="table" w:styleId="25">
    <w:name w:val="Table Grid"/>
    <w:basedOn w:val="24"/>
    <w:qFormat/>
    <w:uiPriority w:val="0"/>
    <w:rPr>
      <w:rFonts w:ascii="Times New Roman" w:hAnsi="Times New Roman" w:eastAsia="Times New Roman" w:cs="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footnote reference"/>
    <w:semiHidden/>
    <w:qFormat/>
    <w:uiPriority w:val="0"/>
    <w:rPr>
      <w:vertAlign w:val="superscript"/>
    </w:rPr>
  </w:style>
  <w:style w:type="paragraph" w:customStyle="1" w:styleId="32">
    <w:name w:val="Print- From: To: Subject: Date:"/>
    <w:basedOn w:val="1"/>
    <w:qFormat/>
    <w:uiPriority w:val="0"/>
    <w:pPr>
      <w:pBdr>
        <w:left w:val="single" w:color="auto" w:sz="18" w:space="1"/>
      </w:pBdr>
    </w:pPr>
  </w:style>
  <w:style w:type="paragraph" w:customStyle="1" w:styleId="33">
    <w:name w:val="Print- Reverse Header"/>
    <w:basedOn w:val="1"/>
    <w:next w:val="32"/>
    <w:qFormat/>
    <w:uiPriority w:val="0"/>
    <w:pPr>
      <w:pBdr>
        <w:left w:val="single" w:color="auto" w:sz="18" w:space="1"/>
      </w:pBdr>
      <w:shd w:val="pct10" w:color="auto" w:fill="auto"/>
    </w:pPr>
    <w:rPr>
      <w:b/>
      <w:sz w:val="22"/>
    </w:rPr>
  </w:style>
  <w:style w:type="paragraph" w:customStyle="1" w:styleId="34">
    <w:name w:val="Reply/Forward Headers"/>
    <w:basedOn w:val="1"/>
    <w:next w:val="35"/>
    <w:qFormat/>
    <w:uiPriority w:val="0"/>
    <w:pPr>
      <w:pBdr>
        <w:left w:val="single" w:color="auto" w:sz="18" w:space="1"/>
      </w:pBdr>
      <w:shd w:val="pct10" w:color="auto" w:fill="auto"/>
    </w:pPr>
    <w:rPr>
      <w:b/>
    </w:rPr>
  </w:style>
  <w:style w:type="paragraph" w:customStyle="1" w:styleId="35">
    <w:name w:val="Reply/Forward To: From: Date:"/>
    <w:basedOn w:val="1"/>
    <w:qFormat/>
    <w:uiPriority w:val="0"/>
    <w:pPr>
      <w:pBdr>
        <w:left w:val="single" w:color="auto" w:sz="18" w:space="1"/>
      </w:pBdr>
    </w:pPr>
  </w:style>
  <w:style w:type="paragraph" w:customStyle="1" w:styleId="36">
    <w:name w:val="Title of paper-line 1"/>
    <w:basedOn w:val="15"/>
    <w:link w:val="39"/>
    <w:qFormat/>
    <w:uiPriority w:val="0"/>
    <w:pPr>
      <w:spacing w:line="240" w:lineRule="auto"/>
    </w:pPr>
    <w:rPr>
      <w:rFonts w:ascii="Times New Roman" w:hAnsi="Times New Roman"/>
      <w:color w:val="000000"/>
      <w:sz w:val="36"/>
      <w:szCs w:val="36"/>
      <w:lang w:val="bg-BG"/>
    </w:rPr>
  </w:style>
  <w:style w:type="paragraph" w:customStyle="1" w:styleId="37">
    <w:name w:val="Title of paper-line 2"/>
    <w:basedOn w:val="15"/>
    <w:link w:val="41"/>
    <w:qFormat/>
    <w:uiPriority w:val="0"/>
    <w:pPr>
      <w:spacing w:line="240" w:lineRule="auto"/>
    </w:pPr>
    <w:rPr>
      <w:rFonts w:ascii="Times New Roman" w:hAnsi="Times New Roman"/>
      <w:color w:val="000000"/>
      <w:sz w:val="36"/>
      <w:szCs w:val="36"/>
    </w:rPr>
  </w:style>
  <w:style w:type="character" w:customStyle="1" w:styleId="38">
    <w:name w:val="Body Text Char"/>
    <w:link w:val="15"/>
    <w:qFormat/>
    <w:uiPriority w:val="0"/>
    <w:rPr>
      <w:rFonts w:ascii="Tms Rmn" w:hAnsi="Tms Rmn"/>
      <w:b/>
      <w:sz w:val="32"/>
      <w:lang w:val="en-US" w:eastAsia="zh-TW"/>
    </w:rPr>
  </w:style>
  <w:style w:type="character" w:customStyle="1" w:styleId="39">
    <w:name w:val="Title of paper-line 1 Char"/>
    <w:link w:val="36"/>
    <w:qFormat/>
    <w:uiPriority w:val="0"/>
    <w:rPr>
      <w:rFonts w:ascii="Tms Rmn" w:hAnsi="Tms Rmn"/>
      <w:b/>
      <w:color w:val="000000"/>
      <w:sz w:val="36"/>
      <w:szCs w:val="36"/>
      <w:lang w:val="bg-BG" w:eastAsia="zh-TW"/>
    </w:rPr>
  </w:style>
  <w:style w:type="paragraph" w:customStyle="1" w:styleId="40">
    <w:name w:val="Authors names"/>
    <w:basedOn w:val="1"/>
    <w:link w:val="43"/>
    <w:qFormat/>
    <w:uiPriority w:val="0"/>
    <w:pPr>
      <w:widowControl/>
      <w:autoSpaceDE w:val="0"/>
      <w:autoSpaceDN w:val="0"/>
      <w:jc w:val="center"/>
      <w:textAlignment w:val="bottom"/>
    </w:pPr>
    <w:rPr>
      <w:b/>
      <w:color w:val="000000"/>
      <w:szCs w:val="24"/>
    </w:rPr>
  </w:style>
  <w:style w:type="character" w:customStyle="1" w:styleId="41">
    <w:name w:val="Title of paper-line 2 Char"/>
    <w:link w:val="37"/>
    <w:qFormat/>
    <w:uiPriority w:val="0"/>
    <w:rPr>
      <w:rFonts w:ascii="Tms Rmn" w:hAnsi="Tms Rmn"/>
      <w:b/>
      <w:color w:val="000000"/>
      <w:sz w:val="36"/>
      <w:szCs w:val="36"/>
      <w:lang w:val="en-US" w:eastAsia="zh-TW"/>
    </w:rPr>
  </w:style>
  <w:style w:type="paragraph" w:customStyle="1" w:styleId="42">
    <w:name w:val="Abstract"/>
    <w:basedOn w:val="1"/>
    <w:link w:val="45"/>
    <w:qFormat/>
    <w:uiPriority w:val="0"/>
    <w:pPr>
      <w:widowControl/>
      <w:autoSpaceDE w:val="0"/>
      <w:autoSpaceDN w:val="0"/>
      <w:jc w:val="center"/>
      <w:textAlignment w:val="bottom"/>
    </w:pPr>
    <w:rPr>
      <w:b/>
      <w:color w:val="000000"/>
      <w:sz w:val="26"/>
      <w:szCs w:val="26"/>
    </w:rPr>
  </w:style>
  <w:style w:type="character" w:customStyle="1" w:styleId="43">
    <w:name w:val="Authors names Char"/>
    <w:link w:val="40"/>
    <w:qFormat/>
    <w:uiPriority w:val="0"/>
    <w:rPr>
      <w:b/>
      <w:color w:val="000000"/>
      <w:sz w:val="24"/>
      <w:szCs w:val="24"/>
      <w:lang w:val="en-US" w:eastAsia="zh-TW"/>
    </w:rPr>
  </w:style>
  <w:style w:type="paragraph" w:customStyle="1" w:styleId="44">
    <w:name w:val="Abstract text"/>
    <w:basedOn w:val="1"/>
    <w:link w:val="47"/>
    <w:qFormat/>
    <w:uiPriority w:val="0"/>
    <w:rPr>
      <w:color w:val="000000"/>
      <w:szCs w:val="24"/>
    </w:rPr>
  </w:style>
  <w:style w:type="character" w:customStyle="1" w:styleId="45">
    <w:name w:val="Abstract Char"/>
    <w:link w:val="42"/>
    <w:qFormat/>
    <w:uiPriority w:val="0"/>
    <w:rPr>
      <w:b/>
      <w:color w:val="000000"/>
      <w:sz w:val="26"/>
      <w:szCs w:val="26"/>
      <w:lang w:val="en-US" w:eastAsia="zh-TW"/>
    </w:rPr>
  </w:style>
  <w:style w:type="paragraph" w:customStyle="1" w:styleId="46">
    <w:name w:val="Heading Numbering 1"/>
    <w:basedOn w:val="1"/>
    <w:link w:val="49"/>
    <w:qFormat/>
    <w:uiPriority w:val="0"/>
    <w:pPr>
      <w:numPr>
        <w:ilvl w:val="0"/>
        <w:numId w:val="3"/>
      </w:numPr>
      <w:spacing w:line="276" w:lineRule="auto"/>
      <w:ind w:left="360"/>
    </w:pPr>
    <w:rPr>
      <w:b/>
      <w:sz w:val="30"/>
      <w:szCs w:val="30"/>
    </w:rPr>
  </w:style>
  <w:style w:type="character" w:customStyle="1" w:styleId="47">
    <w:name w:val="Abstract text Char"/>
    <w:link w:val="44"/>
    <w:qFormat/>
    <w:uiPriority w:val="0"/>
    <w:rPr>
      <w:color w:val="000000"/>
      <w:sz w:val="24"/>
      <w:szCs w:val="24"/>
      <w:lang w:val="en-US" w:eastAsia="zh-TW"/>
    </w:rPr>
  </w:style>
  <w:style w:type="paragraph" w:customStyle="1" w:styleId="48">
    <w:name w:val="Heading Numbering 2"/>
    <w:basedOn w:val="46"/>
    <w:qFormat/>
    <w:uiPriority w:val="0"/>
    <w:pPr>
      <w:numPr>
        <w:ilvl w:val="1"/>
      </w:numPr>
      <w:ind w:left="720"/>
    </w:pPr>
    <w:rPr>
      <w:sz w:val="24"/>
    </w:rPr>
  </w:style>
  <w:style w:type="character" w:customStyle="1" w:styleId="49">
    <w:name w:val="Heading Numbering 1 Char"/>
    <w:link w:val="46"/>
    <w:qFormat/>
    <w:uiPriority w:val="0"/>
    <w:rPr>
      <w:b/>
      <w:sz w:val="30"/>
      <w:szCs w:val="30"/>
      <w:lang w:val="en-US" w:eastAsia="zh-TW"/>
    </w:rPr>
  </w:style>
  <w:style w:type="paragraph" w:customStyle="1" w:styleId="50">
    <w:name w:val="Heading Numbering 3"/>
    <w:basedOn w:val="46"/>
    <w:qFormat/>
    <w:uiPriority w:val="0"/>
    <w:pPr>
      <w:numPr>
        <w:ilvl w:val="2"/>
      </w:numPr>
      <w:ind w:left="720"/>
    </w:pPr>
    <w:rPr>
      <w:sz w:val="24"/>
    </w:rPr>
  </w:style>
  <w:style w:type="paragraph" w:customStyle="1" w:styleId="51">
    <w:name w:val="References"/>
    <w:basedOn w:val="1"/>
    <w:link w:val="56"/>
    <w:qFormat/>
    <w:uiPriority w:val="0"/>
    <w:pPr>
      <w:widowControl/>
      <w:autoSpaceDE w:val="0"/>
      <w:autoSpaceDN w:val="0"/>
      <w:spacing w:line="480" w:lineRule="auto"/>
      <w:textAlignment w:val="bottom"/>
    </w:pPr>
    <w:rPr>
      <w:color w:val="000000"/>
      <w:szCs w:val="30"/>
    </w:rPr>
  </w:style>
  <w:style w:type="paragraph" w:customStyle="1" w:styleId="52">
    <w:name w:val="References Title"/>
    <w:basedOn w:val="51"/>
    <w:link w:val="57"/>
    <w:qFormat/>
    <w:uiPriority w:val="0"/>
    <w:pPr>
      <w:spacing w:line="240" w:lineRule="auto"/>
    </w:pPr>
    <w:rPr>
      <w:b/>
    </w:rPr>
  </w:style>
  <w:style w:type="paragraph" w:customStyle="1" w:styleId="53">
    <w:name w:val="References Text"/>
    <w:basedOn w:val="1"/>
    <w:qFormat/>
    <w:uiPriority w:val="0"/>
    <w:pPr>
      <w:widowControl/>
      <w:numPr>
        <w:ilvl w:val="0"/>
        <w:numId w:val="4"/>
      </w:numPr>
      <w:autoSpaceDE w:val="0"/>
      <w:autoSpaceDN w:val="0"/>
      <w:textAlignment w:val="bottom"/>
    </w:pPr>
    <w:rPr>
      <w:rFonts w:eastAsia="DFKai-SB"/>
      <w:color w:val="000000"/>
      <w:szCs w:val="24"/>
    </w:rPr>
  </w:style>
  <w:style w:type="paragraph" w:customStyle="1" w:styleId="54">
    <w:name w:val="References title"/>
    <w:basedOn w:val="52"/>
    <w:link w:val="58"/>
    <w:qFormat/>
    <w:uiPriority w:val="0"/>
    <w:pPr>
      <w:spacing w:line="276" w:lineRule="auto"/>
    </w:pPr>
    <w:rPr>
      <w:sz w:val="30"/>
    </w:rPr>
  </w:style>
  <w:style w:type="paragraph" w:customStyle="1" w:styleId="55">
    <w:name w:val="Authors"/>
    <w:basedOn w:val="40"/>
    <w:link w:val="59"/>
    <w:qFormat/>
    <w:uiPriority w:val="0"/>
    <w:rPr>
      <w:szCs w:val="18"/>
    </w:rPr>
  </w:style>
  <w:style w:type="character" w:customStyle="1" w:styleId="56">
    <w:name w:val="References Char"/>
    <w:link w:val="51"/>
    <w:qFormat/>
    <w:uiPriority w:val="0"/>
    <w:rPr>
      <w:color w:val="000000"/>
      <w:sz w:val="24"/>
      <w:szCs w:val="30"/>
      <w:lang w:val="en-US" w:eastAsia="zh-TW"/>
    </w:rPr>
  </w:style>
  <w:style w:type="character" w:customStyle="1" w:styleId="57">
    <w:name w:val="References Title Char"/>
    <w:link w:val="52"/>
    <w:qFormat/>
    <w:uiPriority w:val="0"/>
    <w:rPr>
      <w:b/>
      <w:color w:val="000000"/>
      <w:sz w:val="24"/>
      <w:szCs w:val="30"/>
      <w:lang w:val="en-US" w:eastAsia="zh-TW"/>
    </w:rPr>
  </w:style>
  <w:style w:type="character" w:customStyle="1" w:styleId="58">
    <w:name w:val="References title Char"/>
    <w:basedOn w:val="57"/>
    <w:link w:val="54"/>
    <w:qFormat/>
    <w:uiPriority w:val="0"/>
    <w:rPr>
      <w:color w:val="000000"/>
      <w:sz w:val="30"/>
      <w:szCs w:val="30"/>
      <w:lang w:val="en-US" w:eastAsia="zh-TW"/>
    </w:rPr>
  </w:style>
  <w:style w:type="character" w:customStyle="1" w:styleId="59">
    <w:name w:val="Authors Char"/>
    <w:link w:val="55"/>
    <w:qFormat/>
    <w:uiPriority w:val="0"/>
    <w:rPr>
      <w:b/>
      <w:color w:val="000000"/>
      <w:sz w:val="24"/>
      <w:szCs w:val="18"/>
      <w:lang w:val="en-US" w:eastAsia="zh-TW"/>
    </w:rPr>
  </w:style>
  <w:style w:type="paragraph" w:customStyle="1" w:styleId="60">
    <w:name w:val="Scienpress"/>
    <w:basedOn w:val="15"/>
    <w:link w:val="62"/>
    <w:qFormat/>
    <w:uiPriority w:val="0"/>
    <w:pPr>
      <w:spacing w:line="240" w:lineRule="auto"/>
      <w:jc w:val="both"/>
    </w:pPr>
    <w:rPr>
      <w:rFonts w:ascii="Times New Roman" w:hAnsi="Times New Roman" w:eastAsia="MS Mincho"/>
      <w:b w:val="0"/>
      <w:i/>
      <w:color w:val="000000"/>
      <w:sz w:val="24"/>
      <w:szCs w:val="24"/>
      <w:lang w:eastAsia="ja-JP"/>
    </w:rPr>
  </w:style>
  <w:style w:type="paragraph" w:customStyle="1" w:styleId="61">
    <w:name w:val="Details for authors"/>
    <w:basedOn w:val="21"/>
    <w:link w:val="64"/>
    <w:qFormat/>
    <w:uiPriority w:val="0"/>
  </w:style>
  <w:style w:type="character" w:customStyle="1" w:styleId="62">
    <w:name w:val="Scienpress Char"/>
    <w:basedOn w:val="38"/>
    <w:link w:val="60"/>
    <w:qFormat/>
    <w:uiPriority w:val="0"/>
    <w:rPr>
      <w:rFonts w:ascii="Tms Rmn" w:hAnsi="Tms Rmn" w:eastAsia="MS Mincho"/>
      <w:b w:val="0"/>
      <w:i/>
      <w:color w:val="000000"/>
      <w:sz w:val="24"/>
      <w:szCs w:val="24"/>
      <w:lang w:val="en-US" w:eastAsia="ja-JP"/>
    </w:rPr>
  </w:style>
  <w:style w:type="character" w:customStyle="1" w:styleId="63">
    <w:name w:val="Footnote Text Char"/>
    <w:basedOn w:val="26"/>
    <w:link w:val="21"/>
    <w:semiHidden/>
    <w:qFormat/>
    <w:uiPriority w:val="0"/>
    <w:rPr>
      <w:rFonts w:eastAsia="PMingLiU"/>
      <w:lang w:val="en-US" w:eastAsia="zh-TW"/>
    </w:rPr>
  </w:style>
  <w:style w:type="character" w:customStyle="1" w:styleId="64">
    <w:name w:val="Details for authors Char"/>
    <w:basedOn w:val="63"/>
    <w:link w:val="61"/>
    <w:qFormat/>
    <w:uiPriority w:val="0"/>
    <w:rPr>
      <w:lang w:val="en-US" w:eastAsia="zh-TW"/>
    </w:rPr>
  </w:style>
  <w:style w:type="paragraph" w:customStyle="1" w:styleId="65">
    <w:name w:val="Tables Heading"/>
    <w:basedOn w:val="1"/>
    <w:link w:val="67"/>
    <w:qFormat/>
    <w:uiPriority w:val="0"/>
    <w:pPr>
      <w:spacing w:after="120"/>
      <w:jc w:val="center"/>
    </w:pPr>
    <w:rPr>
      <w:b/>
      <w:sz w:val="22"/>
    </w:rPr>
  </w:style>
  <w:style w:type="paragraph" w:customStyle="1" w:styleId="66">
    <w:name w:val="Table text"/>
    <w:basedOn w:val="1"/>
    <w:link w:val="69"/>
    <w:qFormat/>
    <w:uiPriority w:val="0"/>
    <w:pPr>
      <w:widowControl/>
      <w:adjustRightInd/>
      <w:spacing w:after="120"/>
      <w:jc w:val="center"/>
      <w:textAlignment w:val="auto"/>
    </w:pPr>
    <w:rPr>
      <w:rFonts w:eastAsia="Times New Roman"/>
      <w:bCs/>
      <w:szCs w:val="24"/>
      <w:lang w:val="en-NZ" w:eastAsia="el-GR"/>
    </w:rPr>
  </w:style>
  <w:style w:type="character" w:customStyle="1" w:styleId="67">
    <w:name w:val="Tables Heading Char"/>
    <w:basedOn w:val="26"/>
    <w:link w:val="65"/>
    <w:qFormat/>
    <w:uiPriority w:val="0"/>
    <w:rPr>
      <w:b/>
      <w:sz w:val="22"/>
      <w:lang w:val="en-US" w:eastAsia="zh-TW"/>
    </w:rPr>
  </w:style>
  <w:style w:type="paragraph" w:customStyle="1" w:styleId="68">
    <w:name w:val="Figure"/>
    <w:link w:val="70"/>
    <w:qFormat/>
    <w:uiPriority w:val="0"/>
    <w:pPr>
      <w:numPr>
        <w:ilvl w:val="0"/>
        <w:numId w:val="5"/>
      </w:numPr>
      <w:jc w:val="center"/>
    </w:pPr>
    <w:rPr>
      <w:rFonts w:ascii="Times New Roman" w:hAnsi="Times New Roman" w:eastAsia="PMingLiU" w:cs="Times New Roman"/>
      <w:b/>
      <w:bCs/>
      <w:sz w:val="22"/>
    </w:rPr>
  </w:style>
  <w:style w:type="character" w:customStyle="1" w:styleId="69">
    <w:name w:val="Table text Char"/>
    <w:basedOn w:val="26"/>
    <w:link w:val="66"/>
    <w:qFormat/>
    <w:uiPriority w:val="0"/>
    <w:rPr>
      <w:rFonts w:eastAsia="Times New Roman"/>
      <w:bCs/>
      <w:sz w:val="24"/>
      <w:szCs w:val="24"/>
      <w:lang w:val="en-NZ" w:eastAsia="el-GR"/>
    </w:rPr>
  </w:style>
  <w:style w:type="character" w:customStyle="1" w:styleId="70">
    <w:name w:val="Figure Char"/>
    <w:basedOn w:val="26"/>
    <w:link w:val="68"/>
    <w:qFormat/>
    <w:uiPriority w:val="0"/>
    <w:rPr>
      <w:rFonts w:ascii="Times New Roman" w:hAnsi="Times New Roman" w:eastAsia="PMingLiU"/>
      <w:b/>
      <w:bCs/>
      <w:sz w:val="22"/>
      <w:lang w:val="en-US" w:eastAsia="zh-TW"/>
    </w:rPr>
  </w:style>
  <w:style w:type="paragraph" w:customStyle="1" w:styleId="71">
    <w:name w:val="Table title"/>
    <w:link w:val="72"/>
    <w:qFormat/>
    <w:uiPriority w:val="0"/>
    <w:pPr>
      <w:numPr>
        <w:ilvl w:val="0"/>
        <w:numId w:val="6"/>
      </w:numPr>
      <w:jc w:val="center"/>
    </w:pPr>
    <w:rPr>
      <w:rFonts w:ascii="Times New Roman" w:hAnsi="Times New Roman" w:eastAsia="PMingLiU" w:cs="Times New Roman"/>
      <w:b/>
      <w:sz w:val="22"/>
    </w:rPr>
  </w:style>
  <w:style w:type="character" w:customStyle="1" w:styleId="72">
    <w:name w:val="Table title Char"/>
    <w:basedOn w:val="67"/>
    <w:link w:val="71"/>
    <w:qFormat/>
    <w:uiPriority w:val="0"/>
    <w:rPr>
      <w:rFonts w:ascii="Times New Roman" w:hAnsi="Times New Roman" w:eastAsia="PMingLiU"/>
      <w:sz w:val="22"/>
      <w:lang w:val="en-US" w:eastAsia="zh-TW"/>
    </w:rPr>
  </w:style>
  <w:style w:type="character" w:customStyle="1" w:styleId="73">
    <w:name w:val="TextoArticulo Car"/>
    <w:link w:val="74"/>
    <w:qFormat/>
    <w:locked/>
    <w:uiPriority w:val="0"/>
    <w:rPr>
      <w:rFonts w:ascii="Verdana" w:hAnsi="Verdana" w:eastAsia="Times New Roman"/>
      <w:lang w:val="es-ES" w:eastAsia="es-ES"/>
    </w:rPr>
  </w:style>
  <w:style w:type="paragraph" w:customStyle="1" w:styleId="74">
    <w:name w:val="TextoArticulo"/>
    <w:basedOn w:val="1"/>
    <w:link w:val="73"/>
    <w:qFormat/>
    <w:uiPriority w:val="0"/>
    <w:pPr>
      <w:widowControl/>
      <w:adjustRightInd/>
      <w:spacing w:after="240" w:line="360" w:lineRule="auto"/>
      <w:ind w:right="45"/>
      <w:textAlignment w:val="auto"/>
    </w:pPr>
    <w:rPr>
      <w:rFonts w:ascii="Verdana" w:hAnsi="Verdana" w:eastAsia="Times New Roman"/>
      <w:sz w:val="20"/>
      <w:lang w:val="es-ES" w:eastAsia="es-ES"/>
    </w:rPr>
  </w:style>
  <w:style w:type="paragraph" w:customStyle="1" w:styleId="75">
    <w:name w:val="Bibliography"/>
    <w:basedOn w:val="1"/>
    <w:next w:val="1"/>
    <w:unhideWhenUsed/>
    <w:qFormat/>
    <w:uiPriority w:val="37"/>
    <w:pPr>
      <w:widowControl/>
      <w:adjustRightInd/>
      <w:spacing w:after="160" w:line="259" w:lineRule="auto"/>
      <w:jc w:val="left"/>
      <w:textAlignment w:val="auto"/>
    </w:pPr>
    <w:rPr>
      <w:rFonts w:asciiTheme="minorHAnsi" w:hAnsiTheme="minorHAnsi" w:eastAsiaTheme="minorHAnsi" w:cstheme="minorBidi"/>
      <w:sz w:val="22"/>
      <w:szCs w:val="22"/>
      <w:lang w:val="es-MX" w:eastAsia="en-US"/>
    </w:rPr>
  </w:style>
  <w:style w:type="paragraph" w:customStyle="1" w:styleId="76">
    <w:name w:val="Maintext"/>
    <w:basedOn w:val="1"/>
    <w:qFormat/>
    <w:uiPriority w:val="0"/>
    <w:rPr>
      <w:rFonts w:hint="eastAsia"/>
      <w:bCs/>
      <w:szCs w:val="24"/>
    </w:rPr>
  </w:style>
  <w:style w:type="paragraph" w:customStyle="1" w:styleId="77">
    <w:name w:val="Table"/>
    <w:basedOn w:val="1"/>
    <w:qFormat/>
    <w:uiPriority w:val="0"/>
    <w:pPr>
      <w:spacing w:line="240" w:lineRule="auto"/>
      <w:jc w:val="left"/>
    </w:pPr>
    <w:rPr>
      <w:rFonts w:eastAsia="宋体"/>
      <w:sz w:val="22"/>
    </w:rPr>
  </w:style>
  <w:style w:type="paragraph" w:customStyle="1" w:styleId="78">
    <w:name w:val="TableNote"/>
    <w:basedOn w:val="1"/>
    <w:qFormat/>
    <w:uiPriority w:val="0"/>
    <w:pPr>
      <w:widowControl/>
      <w:snapToGrid/>
      <w:spacing w:line="240" w:lineRule="auto"/>
      <w:ind w:left="0" w:hanging="500" w:hangingChars="500"/>
      <w:jc w:val="center"/>
    </w:pPr>
    <w:rPr>
      <w:rFonts w:ascii="Times New Roman" w:hAnsi="Times New Roman"/>
      <w:sz w:val="22"/>
      <w:szCs w:val="21"/>
    </w:rPr>
  </w:style>
  <w:style w:type="paragraph" w:customStyle="1" w:styleId="79">
    <w:name w:val="HeadL1"/>
    <w:next w:val="1"/>
    <w:qFormat/>
    <w:uiPriority w:val="0"/>
    <w:pPr>
      <w:keepNext/>
      <w:tabs>
        <w:tab w:val="left" w:pos="360"/>
      </w:tabs>
      <w:snapToGrid w:val="0"/>
      <w:spacing w:before="50" w:beforeLines="50" w:after="50" w:afterLines="50" w:line="240" w:lineRule="auto"/>
      <w:ind w:left="363" w:hanging="363"/>
      <w:jc w:val="center"/>
    </w:pPr>
    <w:rPr>
      <w:rFonts w:ascii="Times New Roman" w:hAnsi="Times New Roman" w:eastAsia="宋体" w:cs="Times New Roman"/>
      <w:b/>
      <w:caps/>
      <w:position w:val="-6"/>
      <w:sz w:val="24"/>
    </w:rPr>
  </w:style>
  <w:style w:type="paragraph" w:customStyle="1" w:styleId="80">
    <w:name w:val="FigureTitle"/>
    <w:basedOn w:val="1"/>
    <w:qFormat/>
    <w:uiPriority w:val="0"/>
  </w:style>
  <w:style w:type="paragraph" w:customStyle="1" w:styleId="81">
    <w:name w:val="FigureNote"/>
    <w:basedOn w:val="1"/>
    <w:qFormat/>
    <w:uiPriority w:val="0"/>
    <w:pPr>
      <w:spacing w:line="240" w:lineRule="auto"/>
      <w:ind w:hanging="500" w:hangingChars="500"/>
      <w:jc w:val="center"/>
    </w:pPr>
    <w:rPr>
      <w:rFonts w:eastAsia="宋体"/>
      <w:sz w:val="22"/>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FA1AF-E563-49FC-A03A-7B00EB39CACF}">
  <ds:schemaRefs/>
</ds:datastoreItem>
</file>

<file path=docProps/app.xml><?xml version="1.0" encoding="utf-8"?>
<Properties xmlns="http://schemas.openxmlformats.org/officeDocument/2006/extended-properties" xmlns:vt="http://schemas.openxmlformats.org/officeDocument/2006/docPropsVTypes">
  <Template>Normal</Template>
  <Company>csie</Company>
  <Pages>3</Pages>
  <Words>591</Words>
  <Characters>3374</Characters>
  <Lines>28</Lines>
  <Paragraphs>7</Paragraphs>
  <TotalTime>9</TotalTime>
  <ScaleCrop>false</ScaleCrop>
  <LinksUpToDate>false</LinksUpToDate>
  <CharactersWithSpaces>3958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2020-06-04T04:08:00Z</dcterms:created>
  <dc:creator>madam</dc:creator>
  <cp:lastModifiedBy>Dr.Che</cp:lastModifiedBy>
  <cp:lastPrinted>2010-11-10T04:06:00Z</cp:lastPrinted>
  <dcterms:modified xsi:type="dcterms:W3CDTF">2022-03-30T10:35:13Z</dcterms:modified>
  <dc:title>Style ISP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A1854D6852D2489F9CA51DED7CA7FFFD</vt:lpwstr>
  </property>
</Properties>
</file>