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A6" w:rsidRPr="00D25DF4" w:rsidRDefault="00ED66A6" w:rsidP="00695BF6">
      <w:pPr>
        <w:spacing w:line="240" w:lineRule="auto"/>
        <w:jc w:val="center"/>
        <w:rPr>
          <w:b/>
          <w:bCs/>
          <w:sz w:val="28"/>
          <w:szCs w:val="28"/>
          <w:lang w:val="en-US"/>
        </w:rPr>
      </w:pPr>
      <w:r w:rsidRPr="00D25DF4">
        <w:rPr>
          <w:b/>
          <w:bCs/>
          <w:sz w:val="28"/>
          <w:szCs w:val="28"/>
          <w:lang w:val="en-US"/>
        </w:rPr>
        <w:t>Does Foreign Direct Investment spur Economic Growth</w:t>
      </w:r>
    </w:p>
    <w:p w:rsidR="00ED66A6" w:rsidRPr="00D25DF4" w:rsidRDefault="00ED66A6" w:rsidP="003133CA">
      <w:pPr>
        <w:spacing w:line="240" w:lineRule="auto"/>
        <w:jc w:val="center"/>
        <w:rPr>
          <w:b/>
          <w:bCs/>
          <w:sz w:val="28"/>
          <w:szCs w:val="28"/>
          <w:lang w:val="en-US"/>
        </w:rPr>
      </w:pPr>
      <w:r w:rsidRPr="00D25DF4">
        <w:rPr>
          <w:b/>
          <w:bCs/>
          <w:sz w:val="28"/>
          <w:szCs w:val="28"/>
          <w:lang w:val="en-US"/>
        </w:rPr>
        <w:t>in an Oil-based Economy? Evidence from Saudi Arabia</w:t>
      </w:r>
    </w:p>
    <w:p w:rsidR="006C165B" w:rsidRPr="00D25DF4" w:rsidRDefault="006C165B" w:rsidP="006C165B">
      <w:pPr>
        <w:spacing w:line="240" w:lineRule="auto"/>
        <w:rPr>
          <w:b/>
          <w:bCs/>
          <w:sz w:val="28"/>
          <w:szCs w:val="28"/>
          <w:lang w:val="en-US"/>
        </w:rPr>
      </w:pPr>
    </w:p>
    <w:p w:rsidR="00ED66A6" w:rsidRPr="00D25DF4" w:rsidRDefault="00ED66A6" w:rsidP="003133CA">
      <w:pPr>
        <w:spacing w:line="240" w:lineRule="auto"/>
        <w:jc w:val="center"/>
        <w:rPr>
          <w:b/>
          <w:bCs/>
          <w:sz w:val="28"/>
          <w:szCs w:val="28"/>
          <w:lang w:val="en-US"/>
        </w:rPr>
      </w:pPr>
    </w:p>
    <w:p w:rsidR="006C165B" w:rsidRPr="00D25DF4" w:rsidRDefault="006C165B" w:rsidP="006C165B">
      <w:pPr>
        <w:widowControl/>
        <w:autoSpaceDE w:val="0"/>
        <w:autoSpaceDN w:val="0"/>
        <w:spacing w:line="240" w:lineRule="auto"/>
        <w:jc w:val="center"/>
        <w:textAlignment w:val="auto"/>
        <w:rPr>
          <w:rFonts w:asciiTheme="majorBidi" w:eastAsia="Gill Sans MT" w:hAnsiTheme="majorBidi" w:cstheme="majorBidi"/>
          <w:b/>
          <w:bCs/>
          <w:sz w:val="24"/>
          <w:szCs w:val="24"/>
          <w:lang w:val="en-US" w:eastAsia="en-US"/>
        </w:rPr>
      </w:pPr>
      <w:r w:rsidRPr="00D25DF4">
        <w:rPr>
          <w:rFonts w:asciiTheme="majorBidi" w:eastAsia="Gill Sans MT" w:hAnsiTheme="majorBidi" w:cstheme="majorBidi"/>
          <w:b/>
          <w:bCs/>
          <w:sz w:val="24"/>
          <w:szCs w:val="24"/>
          <w:lang w:val="en-US" w:eastAsia="en-US"/>
        </w:rPr>
        <w:t>Mourad ZMAMI,</w:t>
      </w:r>
    </w:p>
    <w:p w:rsidR="006C165B" w:rsidRPr="00D25DF4" w:rsidRDefault="006C165B" w:rsidP="006C165B">
      <w:pPr>
        <w:widowControl/>
        <w:autoSpaceDE w:val="0"/>
        <w:autoSpaceDN w:val="0"/>
        <w:spacing w:line="240" w:lineRule="auto"/>
        <w:jc w:val="center"/>
        <w:textAlignment w:val="auto"/>
        <w:rPr>
          <w:rFonts w:asciiTheme="majorBidi" w:eastAsia="Gill Sans MT" w:hAnsiTheme="majorBidi" w:cstheme="majorBidi"/>
          <w:sz w:val="24"/>
          <w:szCs w:val="24"/>
          <w:lang w:val="en-US" w:eastAsia="en-US"/>
        </w:rPr>
      </w:pPr>
      <w:r w:rsidRPr="00D25DF4">
        <w:rPr>
          <w:rFonts w:asciiTheme="majorBidi" w:eastAsia="Gill Sans MT" w:hAnsiTheme="majorBidi" w:cstheme="majorBidi"/>
          <w:sz w:val="24"/>
          <w:szCs w:val="24"/>
          <w:lang w:val="en-US" w:eastAsia="en-US"/>
        </w:rPr>
        <w:t>Associate Professor in Economics and International Finance at CBA Northern Border University Kingdom of Saudi Arabia.</w:t>
      </w:r>
    </w:p>
    <w:p w:rsidR="00C7141B" w:rsidRPr="00D25DF4" w:rsidRDefault="00C7141B" w:rsidP="00C7141B">
      <w:pPr>
        <w:spacing w:line="240" w:lineRule="auto"/>
        <w:jc w:val="center"/>
        <w:rPr>
          <w:rFonts w:asciiTheme="majorBidi" w:hAnsiTheme="majorBidi" w:cstheme="majorBidi"/>
          <w:b/>
          <w:bCs/>
          <w:sz w:val="28"/>
          <w:szCs w:val="28"/>
          <w:lang w:val="en-US"/>
        </w:rPr>
      </w:pPr>
    </w:p>
    <w:p w:rsidR="00C7141B" w:rsidRPr="00D25DF4" w:rsidRDefault="00C7141B" w:rsidP="00C7141B">
      <w:pPr>
        <w:widowControl/>
        <w:autoSpaceDE w:val="0"/>
        <w:autoSpaceDN w:val="0"/>
        <w:spacing w:line="240" w:lineRule="auto"/>
        <w:jc w:val="center"/>
        <w:textAlignment w:val="auto"/>
        <w:rPr>
          <w:rFonts w:asciiTheme="majorBidi" w:hAnsiTheme="majorBidi" w:cstheme="majorBidi"/>
          <w:b/>
          <w:bCs/>
          <w:sz w:val="24"/>
          <w:szCs w:val="24"/>
          <w:lang w:val="en-US"/>
        </w:rPr>
      </w:pPr>
      <w:r w:rsidRPr="00D25DF4">
        <w:rPr>
          <w:rFonts w:asciiTheme="majorBidi" w:hAnsiTheme="majorBidi" w:cstheme="majorBidi"/>
          <w:b/>
          <w:bCs/>
          <w:sz w:val="24"/>
          <w:szCs w:val="24"/>
          <w:lang w:val="en-US"/>
        </w:rPr>
        <w:t>Hichem DKILI,</w:t>
      </w:r>
    </w:p>
    <w:p w:rsidR="00C7141B" w:rsidRPr="00D25DF4" w:rsidRDefault="00C7141B" w:rsidP="00C7141B">
      <w:pPr>
        <w:widowControl/>
        <w:autoSpaceDE w:val="0"/>
        <w:autoSpaceDN w:val="0"/>
        <w:spacing w:line="240" w:lineRule="auto"/>
        <w:jc w:val="center"/>
        <w:textAlignment w:val="auto"/>
        <w:rPr>
          <w:rFonts w:asciiTheme="majorBidi" w:eastAsia="Gill Sans MT" w:hAnsiTheme="majorBidi" w:cstheme="majorBidi"/>
          <w:sz w:val="24"/>
          <w:szCs w:val="24"/>
          <w:lang w:val="en-US" w:eastAsia="en-US"/>
        </w:rPr>
      </w:pPr>
      <w:r w:rsidRPr="00D25DF4">
        <w:rPr>
          <w:rFonts w:asciiTheme="majorBidi" w:hAnsiTheme="majorBidi" w:cstheme="majorBidi"/>
          <w:sz w:val="24"/>
          <w:szCs w:val="24"/>
          <w:lang w:val="en-US"/>
        </w:rPr>
        <w:t>Assistant Professor in Finance and Accounting</w:t>
      </w:r>
      <w:r w:rsidRPr="00D25DF4">
        <w:rPr>
          <w:rFonts w:asciiTheme="majorBidi" w:eastAsia="Gill Sans MT" w:hAnsiTheme="majorBidi" w:cstheme="majorBidi"/>
          <w:sz w:val="24"/>
          <w:szCs w:val="24"/>
          <w:lang w:val="en-US" w:eastAsia="en-US"/>
        </w:rPr>
        <w:t>at CBA, Northern Border University Kingdom of Saudi Arabia.</w:t>
      </w:r>
    </w:p>
    <w:p w:rsidR="00C7141B" w:rsidRPr="00D25DF4" w:rsidRDefault="00C7141B" w:rsidP="00C7141B">
      <w:pPr>
        <w:widowControl/>
        <w:autoSpaceDE w:val="0"/>
        <w:autoSpaceDN w:val="0"/>
        <w:spacing w:line="240" w:lineRule="auto"/>
        <w:jc w:val="center"/>
        <w:textAlignment w:val="auto"/>
        <w:rPr>
          <w:rFonts w:asciiTheme="majorBidi" w:eastAsia="Gill Sans MT" w:hAnsiTheme="majorBidi" w:cstheme="majorBidi"/>
          <w:sz w:val="24"/>
          <w:szCs w:val="24"/>
          <w:lang w:val="en-US" w:eastAsia="en-US"/>
        </w:rPr>
      </w:pPr>
    </w:p>
    <w:p w:rsidR="00C7141B" w:rsidRPr="00D25DF4" w:rsidRDefault="00C7141B" w:rsidP="00C7141B">
      <w:pPr>
        <w:widowControl/>
        <w:autoSpaceDE w:val="0"/>
        <w:autoSpaceDN w:val="0"/>
        <w:spacing w:line="240" w:lineRule="auto"/>
        <w:jc w:val="center"/>
        <w:textAlignment w:val="auto"/>
        <w:rPr>
          <w:rFonts w:asciiTheme="majorBidi" w:eastAsia="Gill Sans MT" w:hAnsiTheme="majorBidi" w:cstheme="majorBidi"/>
          <w:b/>
          <w:bCs/>
          <w:sz w:val="24"/>
          <w:szCs w:val="24"/>
          <w:lang w:val="en-US" w:eastAsia="en-US"/>
        </w:rPr>
      </w:pPr>
      <w:r w:rsidRPr="00D25DF4">
        <w:rPr>
          <w:rFonts w:asciiTheme="majorBidi" w:eastAsia="Gill Sans MT" w:hAnsiTheme="majorBidi" w:cstheme="majorBidi"/>
          <w:b/>
          <w:bCs/>
          <w:sz w:val="24"/>
          <w:szCs w:val="24"/>
          <w:lang w:val="en-US" w:eastAsia="en-US"/>
        </w:rPr>
        <w:t>Abdelaziz  HAKIMI,</w:t>
      </w:r>
    </w:p>
    <w:p w:rsidR="00C7141B" w:rsidRPr="00D25DF4" w:rsidRDefault="00C7141B" w:rsidP="00C7141B">
      <w:pPr>
        <w:widowControl/>
        <w:autoSpaceDE w:val="0"/>
        <w:autoSpaceDN w:val="0"/>
        <w:spacing w:line="240" w:lineRule="auto"/>
        <w:jc w:val="center"/>
        <w:textAlignment w:val="auto"/>
        <w:rPr>
          <w:rFonts w:asciiTheme="majorBidi" w:eastAsia="Gill Sans MT" w:hAnsiTheme="majorBidi" w:cstheme="majorBidi"/>
          <w:sz w:val="24"/>
          <w:szCs w:val="24"/>
          <w:lang w:val="en-US" w:eastAsia="en-US"/>
        </w:rPr>
      </w:pPr>
      <w:r w:rsidRPr="00D25DF4">
        <w:rPr>
          <w:rFonts w:asciiTheme="majorBidi" w:eastAsia="Gill Sans MT" w:hAnsiTheme="majorBidi" w:cstheme="majorBidi"/>
          <w:sz w:val="24"/>
          <w:szCs w:val="24"/>
          <w:lang w:val="en-US" w:eastAsia="en-US"/>
        </w:rPr>
        <w:t>Assistant Professor in Finance and Accounting</w:t>
      </w:r>
      <w:r w:rsidRPr="00D25DF4">
        <w:rPr>
          <w:rFonts w:asciiTheme="majorBidi" w:eastAsia="Calibri" w:hAnsiTheme="majorBidi" w:cstheme="majorBidi"/>
          <w:sz w:val="24"/>
          <w:szCs w:val="24"/>
          <w:lang w:val="en-US" w:eastAsia="en-US"/>
        </w:rPr>
        <w:t xml:space="preserve">, </w:t>
      </w:r>
      <w:r w:rsidRPr="00D25DF4">
        <w:rPr>
          <w:rFonts w:asciiTheme="majorBidi" w:eastAsia="Calibri" w:hAnsiTheme="majorBidi" w:cstheme="majorBidi"/>
          <w:sz w:val="24"/>
          <w:szCs w:val="24"/>
          <w:lang w:val="en-GB" w:eastAsia="en-US"/>
        </w:rPr>
        <w:t>Faculty of Juridical, Economic Sciences and Management</w:t>
      </w:r>
      <w:r w:rsidRPr="00D25DF4">
        <w:rPr>
          <w:rFonts w:asciiTheme="majorBidi" w:eastAsia="Calibri" w:hAnsiTheme="majorBidi" w:cstheme="majorBidi"/>
          <w:sz w:val="24"/>
          <w:szCs w:val="24"/>
          <w:lang w:val="en-US" w:eastAsia="en-US"/>
        </w:rPr>
        <w:t xml:space="preserve"> of </w:t>
      </w:r>
      <w:r w:rsidRPr="00D25DF4">
        <w:rPr>
          <w:rFonts w:asciiTheme="majorBidi" w:eastAsia="Calibri" w:hAnsiTheme="majorBidi" w:cstheme="majorBidi"/>
          <w:sz w:val="24"/>
          <w:szCs w:val="24"/>
          <w:lang w:val="en-GB" w:eastAsia="en-US"/>
        </w:rPr>
        <w:t>Jendouba, University of Jendouba, Tunisia</w:t>
      </w:r>
    </w:p>
    <w:p w:rsidR="00C7141B" w:rsidRPr="00D25DF4" w:rsidRDefault="00C7141B" w:rsidP="00C7141B">
      <w:pPr>
        <w:widowControl/>
        <w:autoSpaceDE w:val="0"/>
        <w:autoSpaceDN w:val="0"/>
        <w:spacing w:line="240" w:lineRule="auto"/>
        <w:jc w:val="center"/>
        <w:textAlignment w:val="auto"/>
        <w:rPr>
          <w:rFonts w:ascii="Arial Narrow" w:eastAsia="Calibri" w:hAnsi="Arial Narrow"/>
          <w:sz w:val="24"/>
          <w:szCs w:val="24"/>
          <w:lang w:val="en-US" w:eastAsia="en-US"/>
        </w:rPr>
      </w:pPr>
    </w:p>
    <w:p w:rsidR="00C7141B" w:rsidRPr="00D25DF4" w:rsidRDefault="00C7141B" w:rsidP="00236DED">
      <w:pPr>
        <w:spacing w:line="240" w:lineRule="auto"/>
        <w:rPr>
          <w:b/>
          <w:bCs/>
          <w:sz w:val="24"/>
          <w:szCs w:val="24"/>
          <w:lang w:val="en-US"/>
        </w:rPr>
      </w:pPr>
    </w:p>
    <w:p w:rsidR="00ED66A6" w:rsidRPr="00D25DF4" w:rsidRDefault="00ED66A6" w:rsidP="00D55495">
      <w:pPr>
        <w:spacing w:line="240" w:lineRule="auto"/>
        <w:jc w:val="center"/>
        <w:rPr>
          <w:b/>
          <w:bCs/>
          <w:sz w:val="24"/>
          <w:szCs w:val="24"/>
          <w:lang w:val="en-US"/>
        </w:rPr>
      </w:pPr>
      <w:r w:rsidRPr="00D25DF4">
        <w:rPr>
          <w:b/>
          <w:bCs/>
          <w:sz w:val="24"/>
          <w:szCs w:val="24"/>
          <w:lang w:val="en-US"/>
        </w:rPr>
        <w:t>Abstract</w:t>
      </w:r>
    </w:p>
    <w:p w:rsidR="00ED66A6" w:rsidRPr="00D25DF4" w:rsidRDefault="00ED66A6" w:rsidP="00DE31D0">
      <w:pPr>
        <w:spacing w:line="240" w:lineRule="auto"/>
        <w:rPr>
          <w:b/>
          <w:bCs/>
          <w:sz w:val="24"/>
          <w:szCs w:val="24"/>
          <w:lang w:val="en-US"/>
        </w:rPr>
      </w:pPr>
      <w:r w:rsidRPr="00D25DF4">
        <w:rPr>
          <w:sz w:val="24"/>
          <w:szCs w:val="24"/>
          <w:lang w:val="en-US" w:eastAsia="en-US"/>
        </w:rPr>
        <w:t>This paper investigates the relationship between foreign direct investment (FDI), and economic growth (GDP</w:t>
      </w:r>
      <w:r w:rsidR="00C7141B" w:rsidRPr="00D25DF4">
        <w:rPr>
          <w:sz w:val="24"/>
          <w:szCs w:val="24"/>
          <w:lang w:val="en-US" w:eastAsia="en-US"/>
        </w:rPr>
        <w:t>PC</w:t>
      </w:r>
      <w:r w:rsidRPr="00D25DF4">
        <w:rPr>
          <w:sz w:val="24"/>
          <w:szCs w:val="24"/>
          <w:lang w:val="en-US" w:eastAsia="en-US"/>
        </w:rPr>
        <w:t>) for the case of Saudi Arabia during the period 1970-2013. In our econometric model, we introduce a proxy of country infrastructure (INFRA) which is the air transport to explain economic growth. The econometric method is based on Vector Error Correction Model (VECM), and Granger Causality. The long-run association reveals that FDI exerts a positive and significant on the economic growth in Saudi Arabia. Also the Granger Causality test shows</w:t>
      </w:r>
      <w:r w:rsidRPr="00D25DF4">
        <w:rPr>
          <w:sz w:val="24"/>
          <w:szCs w:val="24"/>
          <w:lang w:val="en-US"/>
        </w:rPr>
        <w:t xml:space="preserve"> that there is unidirectional causality between FDI and growth. Findings indicate also that trade openness (OPEN) did not Granger cause GDP</w:t>
      </w:r>
      <w:r w:rsidR="004D077D" w:rsidRPr="00D25DF4">
        <w:rPr>
          <w:sz w:val="24"/>
          <w:szCs w:val="24"/>
          <w:lang w:val="en-US"/>
        </w:rPr>
        <w:t>P</w:t>
      </w:r>
      <w:r w:rsidR="004E5D5B" w:rsidRPr="00D25DF4">
        <w:rPr>
          <w:sz w:val="24"/>
          <w:szCs w:val="24"/>
          <w:lang w:val="en-US"/>
        </w:rPr>
        <w:t>C</w:t>
      </w:r>
      <w:r w:rsidRPr="00D25DF4">
        <w:rPr>
          <w:sz w:val="24"/>
          <w:szCs w:val="24"/>
          <w:lang w:val="en-US"/>
        </w:rPr>
        <w:t>. In contrary, there is unidirectional causality between (INFRA) and GDP</w:t>
      </w:r>
      <w:r w:rsidR="00C7141B" w:rsidRPr="00D25DF4">
        <w:rPr>
          <w:sz w:val="24"/>
          <w:szCs w:val="24"/>
          <w:lang w:val="en-US"/>
        </w:rPr>
        <w:t>P</w:t>
      </w:r>
      <w:r w:rsidR="00DE31D0" w:rsidRPr="00D25DF4">
        <w:rPr>
          <w:sz w:val="24"/>
          <w:szCs w:val="24"/>
          <w:lang w:val="en-US"/>
        </w:rPr>
        <w:t>C</w:t>
      </w:r>
      <w:r w:rsidRPr="00D25DF4">
        <w:rPr>
          <w:sz w:val="24"/>
          <w:szCs w:val="24"/>
          <w:lang w:val="en-US"/>
        </w:rPr>
        <w:t xml:space="preserve">. </w:t>
      </w:r>
    </w:p>
    <w:p w:rsidR="00ED66A6" w:rsidRPr="00D25DF4" w:rsidRDefault="00ED66A6" w:rsidP="005F6267">
      <w:pPr>
        <w:spacing w:line="240" w:lineRule="auto"/>
        <w:rPr>
          <w:b/>
          <w:bCs/>
          <w:sz w:val="24"/>
          <w:szCs w:val="24"/>
          <w:lang w:val="en-US"/>
        </w:rPr>
      </w:pPr>
    </w:p>
    <w:p w:rsidR="00ED66A6" w:rsidRPr="00D25DF4" w:rsidRDefault="00ED66A6" w:rsidP="005F6267">
      <w:pPr>
        <w:widowControl/>
        <w:autoSpaceDE w:val="0"/>
        <w:autoSpaceDN w:val="0"/>
        <w:spacing w:line="240" w:lineRule="auto"/>
        <w:textAlignment w:val="auto"/>
        <w:rPr>
          <w:sz w:val="24"/>
          <w:szCs w:val="24"/>
          <w:lang w:val="en-US" w:eastAsia="en-US"/>
        </w:rPr>
      </w:pPr>
      <w:r w:rsidRPr="00D25DF4">
        <w:rPr>
          <w:b/>
          <w:bCs/>
          <w:sz w:val="24"/>
          <w:szCs w:val="24"/>
          <w:lang w:val="en-US" w:eastAsia="en-US"/>
        </w:rPr>
        <w:t>Keywords</w:t>
      </w:r>
      <w:r w:rsidRPr="00D25DF4">
        <w:rPr>
          <w:sz w:val="24"/>
          <w:szCs w:val="24"/>
          <w:lang w:val="en-US" w:eastAsia="en-US"/>
        </w:rPr>
        <w:t>: FDI, Economic Growth, Saudi Arabia, VECM, Granger Causality</w:t>
      </w:r>
    </w:p>
    <w:p w:rsidR="00ED66A6" w:rsidRPr="00D25DF4" w:rsidRDefault="00ED66A6" w:rsidP="00F70BAD">
      <w:pPr>
        <w:widowControl/>
        <w:tabs>
          <w:tab w:val="center" w:pos="4535"/>
        </w:tabs>
        <w:autoSpaceDE w:val="0"/>
        <w:autoSpaceDN w:val="0"/>
        <w:spacing w:line="240" w:lineRule="auto"/>
        <w:textAlignment w:val="auto"/>
        <w:rPr>
          <w:sz w:val="24"/>
          <w:szCs w:val="24"/>
          <w:lang w:eastAsia="en-US"/>
        </w:rPr>
      </w:pPr>
      <w:r w:rsidRPr="00D25DF4">
        <w:rPr>
          <w:b/>
          <w:bCs/>
          <w:sz w:val="24"/>
          <w:szCs w:val="24"/>
          <w:lang w:eastAsia="en-US"/>
        </w:rPr>
        <w:t>JEL Classification</w:t>
      </w:r>
      <w:r w:rsidRPr="00D25DF4">
        <w:rPr>
          <w:sz w:val="24"/>
          <w:szCs w:val="24"/>
          <w:lang w:eastAsia="en-US"/>
        </w:rPr>
        <w:t>: F21, F43, O16</w:t>
      </w:r>
      <w:r w:rsidRPr="00D25DF4">
        <w:rPr>
          <w:sz w:val="24"/>
          <w:szCs w:val="24"/>
          <w:lang w:eastAsia="en-US"/>
        </w:rPr>
        <w:tab/>
      </w:r>
    </w:p>
    <w:p w:rsidR="00ED66A6" w:rsidRPr="00D25DF4" w:rsidRDefault="00ED66A6" w:rsidP="00F62DE6">
      <w:pPr>
        <w:spacing w:before="100" w:beforeAutospacing="1"/>
        <w:rPr>
          <w:b/>
          <w:bCs/>
          <w:sz w:val="28"/>
          <w:szCs w:val="28"/>
        </w:rPr>
      </w:pPr>
    </w:p>
    <w:p w:rsidR="00C7141B" w:rsidRPr="00D25DF4" w:rsidRDefault="00C7141B" w:rsidP="00C7141B">
      <w:pPr>
        <w:widowControl/>
        <w:autoSpaceDE w:val="0"/>
        <w:autoSpaceDN w:val="0"/>
        <w:spacing w:line="240" w:lineRule="auto"/>
        <w:textAlignment w:val="auto"/>
        <w:rPr>
          <w:rFonts w:ascii="Arial Narrow" w:eastAsia="Gill Sans MT" w:hAnsi="Arial Narrow"/>
          <w:sz w:val="24"/>
          <w:szCs w:val="24"/>
          <w:lang w:eastAsia="en-US"/>
        </w:rPr>
      </w:pPr>
    </w:p>
    <w:p w:rsidR="00ED66A6" w:rsidRPr="00D25DF4" w:rsidRDefault="00ED66A6" w:rsidP="00F62DE6">
      <w:pPr>
        <w:spacing w:before="100" w:beforeAutospacing="1"/>
        <w:rPr>
          <w:b/>
          <w:bCs/>
          <w:sz w:val="28"/>
          <w:szCs w:val="28"/>
        </w:rPr>
      </w:pPr>
    </w:p>
    <w:p w:rsidR="00ED66A6" w:rsidRPr="00D25DF4" w:rsidRDefault="00ED66A6" w:rsidP="00F62DE6">
      <w:pPr>
        <w:spacing w:before="100" w:beforeAutospacing="1"/>
        <w:rPr>
          <w:b/>
          <w:bCs/>
          <w:sz w:val="28"/>
          <w:szCs w:val="28"/>
        </w:rPr>
      </w:pPr>
    </w:p>
    <w:p w:rsidR="00ED66A6" w:rsidRPr="00D25DF4" w:rsidRDefault="00ED66A6" w:rsidP="00F62DE6">
      <w:pPr>
        <w:spacing w:before="100" w:beforeAutospacing="1"/>
        <w:rPr>
          <w:b/>
          <w:bCs/>
          <w:sz w:val="28"/>
          <w:szCs w:val="28"/>
        </w:rPr>
      </w:pPr>
    </w:p>
    <w:p w:rsidR="00ED66A6" w:rsidRPr="00D25DF4" w:rsidRDefault="00ED66A6" w:rsidP="00F62DE6">
      <w:pPr>
        <w:spacing w:before="100" w:beforeAutospacing="1"/>
        <w:rPr>
          <w:b/>
          <w:bCs/>
          <w:sz w:val="28"/>
          <w:szCs w:val="28"/>
        </w:rPr>
      </w:pPr>
    </w:p>
    <w:p w:rsidR="00ED66A6" w:rsidRPr="00D25DF4" w:rsidRDefault="00ED66A6" w:rsidP="00F62DE6">
      <w:pPr>
        <w:spacing w:before="100" w:beforeAutospacing="1"/>
        <w:rPr>
          <w:b/>
          <w:bCs/>
          <w:sz w:val="28"/>
          <w:szCs w:val="28"/>
        </w:rPr>
      </w:pPr>
    </w:p>
    <w:p w:rsidR="00ED66A6" w:rsidRPr="00D25DF4" w:rsidRDefault="00ED66A6" w:rsidP="00F62DE6">
      <w:pPr>
        <w:spacing w:before="100" w:beforeAutospacing="1"/>
        <w:rPr>
          <w:b/>
          <w:bCs/>
          <w:sz w:val="28"/>
          <w:szCs w:val="28"/>
        </w:rPr>
      </w:pPr>
    </w:p>
    <w:p w:rsidR="00ED66A6" w:rsidRPr="00D25DF4" w:rsidRDefault="00ED66A6" w:rsidP="00F62DE6">
      <w:pPr>
        <w:spacing w:before="100" w:beforeAutospacing="1"/>
        <w:rPr>
          <w:b/>
          <w:bCs/>
          <w:sz w:val="28"/>
          <w:szCs w:val="28"/>
        </w:rPr>
      </w:pPr>
    </w:p>
    <w:p w:rsidR="00ED66A6" w:rsidRPr="00D25DF4" w:rsidRDefault="00ED66A6" w:rsidP="00B52921">
      <w:pPr>
        <w:spacing w:before="100" w:beforeAutospacing="1"/>
        <w:jc w:val="center"/>
        <w:rPr>
          <w:b/>
          <w:bCs/>
          <w:sz w:val="24"/>
          <w:szCs w:val="24"/>
          <w:lang w:val="en-US"/>
        </w:rPr>
      </w:pPr>
      <w:r w:rsidRPr="00D25DF4">
        <w:rPr>
          <w:b/>
          <w:bCs/>
          <w:sz w:val="24"/>
          <w:szCs w:val="24"/>
          <w:lang w:val="en-US"/>
        </w:rPr>
        <w:lastRenderedPageBreak/>
        <w:t>1. Introduction</w:t>
      </w:r>
    </w:p>
    <w:p w:rsidR="00ED66A6" w:rsidRPr="00D25DF4" w:rsidRDefault="00ED66A6" w:rsidP="00D2762D">
      <w:pPr>
        <w:spacing w:before="100" w:beforeAutospacing="1" w:line="240" w:lineRule="auto"/>
        <w:rPr>
          <w:sz w:val="24"/>
          <w:szCs w:val="24"/>
          <w:lang w:val="en-US"/>
        </w:rPr>
      </w:pPr>
      <w:r w:rsidRPr="00D25DF4">
        <w:rPr>
          <w:sz w:val="24"/>
          <w:szCs w:val="24"/>
          <w:lang w:val="en-US"/>
        </w:rPr>
        <w:t>During the 50s and 60s which were marked by a financial repression, a strong distrust of developing countries to multinationals firms was recorded. From the 70s, which coincides with the financial integration and globalization, awareness on the role of “catalyst of development” for the FDI was established. The standard model of the growth predicts that labour and capital may explain the main part of the growth of the national economy. However, there are other explanatory variables which are able to boost the variations of the aggregated output. The recent theory of the endogenous growth focuses on the FDI as the variable being able to boost the economic growth.</w:t>
      </w:r>
    </w:p>
    <w:p w:rsidR="00ED66A6" w:rsidRPr="00D25DF4" w:rsidRDefault="00ED66A6" w:rsidP="005F6267">
      <w:pPr>
        <w:spacing w:before="100" w:beforeAutospacing="1" w:line="240" w:lineRule="auto"/>
        <w:rPr>
          <w:sz w:val="24"/>
          <w:szCs w:val="24"/>
          <w:lang w:val="en-US"/>
        </w:rPr>
      </w:pPr>
      <w:r w:rsidRPr="00D25DF4">
        <w:rPr>
          <w:sz w:val="24"/>
          <w:szCs w:val="24"/>
          <w:lang w:val="en-US"/>
        </w:rPr>
        <w:t xml:space="preserve">Theory and empirical evidences on the </w:t>
      </w:r>
      <w:r w:rsidRPr="00D25DF4">
        <w:rPr>
          <w:i/>
          <w:iCs/>
          <w:sz w:val="24"/>
          <w:szCs w:val="24"/>
          <w:lang w:val="en-US"/>
        </w:rPr>
        <w:t>FDI/Growth</w:t>
      </w:r>
      <w:r w:rsidRPr="00D25DF4">
        <w:rPr>
          <w:sz w:val="24"/>
          <w:szCs w:val="24"/>
          <w:lang w:val="en-US"/>
        </w:rPr>
        <w:t xml:space="preserve"> association are ambiguous. The FDI is seemed to have beneficial and harmful effect toward the host countries. The FDI allows the host countries to realize levels of investment highly to the levels of the domestic savings. It’s considered also as the major channel of the transfer of the modern technology and innovation. A liberalized trade regime could most probably generate an environment convenient to the learning and accompanying the human resources and the new technologies. The FDI constitutes also an important propagation channel of the research and development (R&amp;D), including the development of the capital, from the developed countries towards those developing (Grossman and Helpman, on 1991). The FDI could probably generate technological distributions towards host countries in several ways, in particular through the training of the local staff, the improvement of the quality of production of the domestic firms and the building of competitive capacities of the local managers.</w:t>
      </w:r>
    </w:p>
    <w:p w:rsidR="00ED66A6" w:rsidRPr="00D25DF4" w:rsidRDefault="00ED66A6" w:rsidP="00F70BAD">
      <w:pPr>
        <w:spacing w:before="100" w:beforeAutospacing="1" w:line="240" w:lineRule="auto"/>
        <w:rPr>
          <w:sz w:val="24"/>
          <w:szCs w:val="24"/>
          <w:lang w:val="en-US"/>
        </w:rPr>
      </w:pPr>
      <w:r w:rsidRPr="00D25DF4">
        <w:rPr>
          <w:sz w:val="24"/>
          <w:szCs w:val="24"/>
          <w:lang w:val="en-US"/>
        </w:rPr>
        <w:t>The FDI can even have opposite effects on the economic growth in an environment of trade limitation (De Melo, 1999; Lipsey, 2000). Blomstom et al. (1992) demonstrated that, in the host country, the scale of FDI depends on the availability of the stock of human capital. They add that this impact can be showed negative in countries endowed with a low level of human capital. Brewer (1991) showed that the effect of domination exercised by the foreign firms can discourage the local firms to develop their own activities of R&amp;D. Another negative effect of the FDI can result from the excessive extraction of ores or the concentration of the production on one particular good which would engender a fall in export prices and a deterioration of the terms of exchange for the host country.</w:t>
      </w:r>
    </w:p>
    <w:p w:rsidR="00ED66A6" w:rsidRPr="00D25DF4" w:rsidRDefault="00ED66A6" w:rsidP="005F6267">
      <w:pPr>
        <w:spacing w:before="100" w:beforeAutospacing="1" w:line="240" w:lineRule="auto"/>
        <w:rPr>
          <w:sz w:val="24"/>
          <w:szCs w:val="24"/>
          <w:lang w:val="en-US"/>
        </w:rPr>
      </w:pPr>
      <w:r w:rsidRPr="00D25DF4">
        <w:rPr>
          <w:sz w:val="24"/>
          <w:szCs w:val="24"/>
          <w:lang w:val="en-US"/>
        </w:rPr>
        <w:t>The controversy of the effects of the FDI on the economic growth is going to be tested in an oil depend Country which is the Saudi Arabia. The economy of Saudi Arabia rebases mainly on its petroleum industry. The oil dependence has been perceived as a lack of diversification of the economy and has raised questions about the sustainability of this economy</w:t>
      </w:r>
      <w:r w:rsidRPr="00D25DF4">
        <w:rPr>
          <w:rStyle w:val="Appelnotedebasdep"/>
          <w:sz w:val="24"/>
          <w:szCs w:val="24"/>
          <w:lang w:val="en-US"/>
        </w:rPr>
        <w:footnoteReference w:id="2"/>
      </w:r>
      <w:r w:rsidRPr="00D25DF4">
        <w:rPr>
          <w:sz w:val="24"/>
          <w:szCs w:val="24"/>
          <w:lang w:val="en-US"/>
        </w:rPr>
        <w:t>. In 2000, a new code of investment created the SAGIA (Saudi General Investment Authority), which is endowed to allow of very important allocation for all types of investment and in particular the FDI.</w:t>
      </w:r>
    </w:p>
    <w:p w:rsidR="00ED66A6" w:rsidRPr="00D25DF4" w:rsidRDefault="00ED66A6" w:rsidP="00A717D2">
      <w:pPr>
        <w:spacing w:before="100" w:beforeAutospacing="1" w:line="240" w:lineRule="auto"/>
        <w:rPr>
          <w:sz w:val="24"/>
          <w:szCs w:val="24"/>
          <w:lang w:val="en-US"/>
        </w:rPr>
      </w:pPr>
      <w:r w:rsidRPr="00D25DF4">
        <w:rPr>
          <w:sz w:val="24"/>
          <w:szCs w:val="24"/>
          <w:lang w:val="en-US"/>
        </w:rPr>
        <w:t xml:space="preserve">The objective of this paper is to investigate the link between FDI and the economic growth in an oil dependent country. For this reason, we have used data related to Saudi Arabia during the period 1970-2013. In addition to the FDI as a financial variable, trade openness as a proxy of trade, we introduce in our model a proxy of infrastructure (air transport) to explain economic growth. We performed a VECM model and the Granger causality test to analyze the FDI-growth linkage. The articulation of this paper is presented as follow. In section 2, we </w:t>
      </w:r>
      <w:r w:rsidRPr="00D25DF4">
        <w:rPr>
          <w:sz w:val="24"/>
          <w:szCs w:val="24"/>
          <w:lang w:val="en-US"/>
        </w:rPr>
        <w:lastRenderedPageBreak/>
        <w:t xml:space="preserve">present the related literature. Section 3 aims to give an overview of the FDI and the economic growth in Saudi Arabia. Empirical analysis is presented in the section 4. Finally, in the section 5 we conclude. </w:t>
      </w:r>
    </w:p>
    <w:p w:rsidR="00ED66A6" w:rsidRPr="00D25DF4" w:rsidRDefault="00ED66A6" w:rsidP="00DB72BF">
      <w:pPr>
        <w:spacing w:before="100" w:beforeAutospacing="1"/>
        <w:jc w:val="center"/>
        <w:rPr>
          <w:b/>
          <w:bCs/>
          <w:sz w:val="24"/>
          <w:szCs w:val="24"/>
          <w:lang w:val="en-US"/>
        </w:rPr>
      </w:pPr>
      <w:r w:rsidRPr="00D25DF4">
        <w:rPr>
          <w:b/>
          <w:bCs/>
          <w:sz w:val="24"/>
          <w:szCs w:val="24"/>
          <w:lang w:val="en-US"/>
        </w:rPr>
        <w:t xml:space="preserve">2. </w:t>
      </w:r>
      <w:r w:rsidRPr="00D25DF4">
        <w:rPr>
          <w:rStyle w:val="hpsalt-edited"/>
          <w:b/>
          <w:bCs/>
          <w:sz w:val="24"/>
          <w:szCs w:val="24"/>
          <w:lang w:val="en-US"/>
        </w:rPr>
        <w:t>Literature Review</w:t>
      </w:r>
    </w:p>
    <w:p w:rsidR="00ED66A6" w:rsidRPr="00D25DF4" w:rsidRDefault="00ED66A6" w:rsidP="006A0080">
      <w:pPr>
        <w:tabs>
          <w:tab w:val="left" w:pos="2265"/>
        </w:tabs>
        <w:spacing w:before="100" w:beforeAutospacing="1" w:line="240" w:lineRule="auto"/>
        <w:rPr>
          <w:sz w:val="24"/>
          <w:szCs w:val="24"/>
          <w:lang w:val="en-US"/>
        </w:rPr>
      </w:pPr>
      <w:r w:rsidRPr="00D25DF4">
        <w:rPr>
          <w:sz w:val="24"/>
          <w:szCs w:val="24"/>
          <w:lang w:val="en-US"/>
        </w:rPr>
        <w:t>Foreign direct investment (FDI) is perceived to have a positive impact on economic growth through various direct and indirect channels. Economic Performance and economic growth of a country is influenced by multiple factors. Foreign Direct Investment (FDI) has been observed and argued as a significant determinant. The role of Foreign Direct Investment (FDI) in economic development has been the subject of long debate. The FDI-growth literature has so far yielded mixed results on whether FDI contributes to economic growth.</w:t>
      </w:r>
    </w:p>
    <w:p w:rsidR="00ED66A6" w:rsidRPr="00D25DF4" w:rsidRDefault="00ED66A6" w:rsidP="006A0080">
      <w:pPr>
        <w:tabs>
          <w:tab w:val="left" w:pos="2265"/>
        </w:tabs>
        <w:spacing w:before="100" w:beforeAutospacing="1" w:line="240" w:lineRule="auto"/>
        <w:rPr>
          <w:sz w:val="24"/>
          <w:szCs w:val="24"/>
          <w:lang w:val="en-GB"/>
        </w:rPr>
      </w:pPr>
      <w:r w:rsidRPr="00D25DF4">
        <w:rPr>
          <w:rStyle w:val="hps"/>
          <w:sz w:val="24"/>
          <w:szCs w:val="24"/>
          <w:lang w:val="en-US"/>
        </w:rPr>
        <w:t xml:space="preserve">The relationship between foreign direct investment and growth has been tested </w:t>
      </w:r>
      <w:r w:rsidRPr="00D25DF4">
        <w:rPr>
          <w:rStyle w:val="hpsalt-edited"/>
          <w:sz w:val="24"/>
          <w:szCs w:val="24"/>
          <w:lang w:val="en-US"/>
        </w:rPr>
        <w:t xml:space="preserve">over </w:t>
      </w:r>
      <w:r w:rsidRPr="00D25DF4">
        <w:rPr>
          <w:rStyle w:val="hps"/>
          <w:sz w:val="24"/>
          <w:szCs w:val="24"/>
          <w:lang w:val="en-US"/>
        </w:rPr>
        <w:t xml:space="preserve">several samples. </w:t>
      </w:r>
      <w:r w:rsidRPr="00D25DF4">
        <w:rPr>
          <w:rStyle w:val="hpsalt-edited"/>
          <w:sz w:val="24"/>
          <w:szCs w:val="24"/>
          <w:lang w:val="en-US"/>
        </w:rPr>
        <w:t xml:space="preserve">Some studies have discussed this </w:t>
      </w:r>
      <w:r w:rsidRPr="00D25DF4">
        <w:rPr>
          <w:rStyle w:val="hps"/>
          <w:sz w:val="24"/>
          <w:szCs w:val="24"/>
          <w:lang w:val="en-US"/>
        </w:rPr>
        <w:t xml:space="preserve">relationship </w:t>
      </w:r>
      <w:r w:rsidRPr="00D25DF4">
        <w:rPr>
          <w:rStyle w:val="hpsalt-edited"/>
          <w:sz w:val="24"/>
          <w:szCs w:val="24"/>
          <w:lang w:val="en-US"/>
        </w:rPr>
        <w:t>over</w:t>
      </w:r>
      <w:r w:rsidRPr="00D25DF4">
        <w:rPr>
          <w:rStyle w:val="hps"/>
          <w:sz w:val="24"/>
          <w:szCs w:val="24"/>
          <w:lang w:val="en-US"/>
        </w:rPr>
        <w:t xml:space="preserve">large samples, </w:t>
      </w:r>
      <w:r w:rsidRPr="00D25DF4">
        <w:rPr>
          <w:rStyle w:val="alt-edited1"/>
          <w:color w:val="auto"/>
          <w:sz w:val="24"/>
          <w:szCs w:val="24"/>
          <w:lang w:val="en-US"/>
        </w:rPr>
        <w:t xml:space="preserve">in fact </w:t>
      </w:r>
      <w:r w:rsidRPr="00D25DF4">
        <w:rPr>
          <w:sz w:val="24"/>
          <w:szCs w:val="24"/>
          <w:lang w:val="en-US"/>
        </w:rPr>
        <w:t xml:space="preserve">Lee and Chang (2009) tested the interaction between FDI, financial development and economic growth in 37 countries for the period 1970-2002. Empirical results based on the panel Error Correction Model and the Granger Causality test reveals respectively evidence of a fairly strong long-run relationship and a weak short-run relationship. Overall, the findings underscore the potential gains associated with FDI when coupled with financial development in an increasingly global economy. Xiaoying and Xiaming (2004) investigated the association FDI-growth in a panel of 84 countries over the period 1970-99. Using both single equation and simultaneous equation system results show that there is a significant relationship between FDI and economic growth. FDI not only directly promotes economic growth but also indirectly via human capital, while that of FDI with the technology gap has a significant negative impact. The interaction between FDI and economic growth within the role of financial market has been analyzed, also, by Azman-Saini et al (2010). Based on a data set for 91 countries over the 1975–2005 periods and applying the threshold regression model, results indicate that the benefit of FDI is non-existent. </w:t>
      </w:r>
    </w:p>
    <w:p w:rsidR="00ED66A6" w:rsidRPr="00D25DF4" w:rsidRDefault="00ED66A6" w:rsidP="006A0080">
      <w:pPr>
        <w:tabs>
          <w:tab w:val="left" w:pos="2265"/>
        </w:tabs>
        <w:spacing w:before="100" w:beforeAutospacing="1" w:line="240" w:lineRule="auto"/>
        <w:rPr>
          <w:sz w:val="24"/>
          <w:szCs w:val="24"/>
          <w:lang w:val="en-GB"/>
        </w:rPr>
      </w:pPr>
      <w:r w:rsidRPr="00D25DF4">
        <w:rPr>
          <w:sz w:val="24"/>
          <w:szCs w:val="24"/>
          <w:lang w:val="en-GB"/>
        </w:rPr>
        <w:t xml:space="preserve">Analyzing this relationship in the case of developed and developing countries, </w:t>
      </w:r>
      <w:r w:rsidRPr="00D25DF4">
        <w:rPr>
          <w:sz w:val="24"/>
          <w:szCs w:val="24"/>
          <w:lang w:val="en-US"/>
        </w:rPr>
        <w:t>Borensztein et al (1998) tested the effect of foreign direct investment (FDI) on economic growth in 69 developing countries over the last two decades. Empirical results suggest that FDI is a strong mechanism for the transfer of technology, contributing relatively more to growth than domestic investment. FDI can promote economic growth only when a sufficient absorptive capability of the advanced technologies is available in the host economy. Zeb and Stengos (2014) examined the relationship between Foreign Direct Investment (FDI) and economic growth in a wide range of developing countries. The time period we cover in this study is from 1970 to 2001 and data for all other variables (real GDP, real gross domestic capital formation, real exports, population, and import price index) are obtained from the World Development Indicators (WDI) of the World Bank. By performing smooth coefficient semi-parametric approach, results show that countries with higher levels of FDI inflows experience higher productivity in the exports sector as compared with those with low level of FDI inflows.</w:t>
      </w:r>
    </w:p>
    <w:p w:rsidR="00ED66A6" w:rsidRPr="00D25DF4" w:rsidRDefault="00ED66A6" w:rsidP="006A0080">
      <w:pPr>
        <w:tabs>
          <w:tab w:val="left" w:pos="2265"/>
        </w:tabs>
        <w:spacing w:before="100" w:beforeAutospacing="1" w:line="240" w:lineRule="auto"/>
        <w:rPr>
          <w:sz w:val="24"/>
          <w:szCs w:val="24"/>
          <w:lang w:val="en-US"/>
        </w:rPr>
      </w:pPr>
      <w:r w:rsidRPr="00D25DF4">
        <w:rPr>
          <w:sz w:val="24"/>
          <w:szCs w:val="24"/>
          <w:lang w:val="en-US"/>
        </w:rPr>
        <w:t xml:space="preserve">In the case of Latin American countries Bengoa and al (2003) investigated the interaction between economic freedom, foreign direct investment (FDI) and economic growth in 18 countries for 1970– 1999. Finding indicates that economic freedom in the host country is a positive determinant of FDI inflows. Also, there is a positive correlation between foreign direct investment and economic growth in the host countries. This result can be explained as </w:t>
      </w:r>
      <w:r w:rsidRPr="00D25DF4">
        <w:rPr>
          <w:sz w:val="24"/>
          <w:szCs w:val="24"/>
          <w:lang w:val="en-US"/>
        </w:rPr>
        <w:lastRenderedPageBreak/>
        <w:t>follow: the host country requires adequate human capital, economic stability and liberalized markets to benefit from long-term capital flows.</w:t>
      </w:r>
    </w:p>
    <w:p w:rsidR="00ED66A6" w:rsidRPr="00D25DF4" w:rsidRDefault="00ED66A6" w:rsidP="006A0080">
      <w:pPr>
        <w:tabs>
          <w:tab w:val="left" w:pos="2265"/>
        </w:tabs>
        <w:spacing w:before="100" w:beforeAutospacing="1" w:line="240" w:lineRule="auto"/>
        <w:rPr>
          <w:sz w:val="24"/>
          <w:szCs w:val="24"/>
          <w:lang w:val="en-US"/>
        </w:rPr>
      </w:pPr>
      <w:r w:rsidRPr="00D25DF4">
        <w:rPr>
          <w:sz w:val="24"/>
          <w:szCs w:val="24"/>
          <w:lang w:val="en-US"/>
        </w:rPr>
        <w:t>For Asian countries the relationship between FDI and growth was treated. In fact, Chen et al (2012) investigated the association between outward FDI and economic growth for Malaysia over the period 1980-2010. By performing a VECM, the results indicate that there exists a positive long-run relationship between FDI and growth as well as long-run bi-directional causation between them. However, there is no Granger-causality in the short-run between outward FDI and growth. For china case, Hong (2014) employed GMM to analyze this relation in China during the period 1994-2010, based on dynamic panel data from 254 prefecture-level cities in China. Results show that FDI exert positive impact on the economic development. FDI has crowded out the domestic capital and leave the domestic capital and huge foreign exchange reserves with the problem of rational usage.</w:t>
      </w:r>
    </w:p>
    <w:p w:rsidR="00ED66A6" w:rsidRPr="00D25DF4" w:rsidRDefault="00ED66A6" w:rsidP="006A0080">
      <w:pPr>
        <w:tabs>
          <w:tab w:val="left" w:pos="2265"/>
        </w:tabs>
        <w:spacing w:before="100" w:beforeAutospacing="1" w:line="240" w:lineRule="auto"/>
        <w:rPr>
          <w:sz w:val="24"/>
          <w:szCs w:val="24"/>
          <w:lang w:val="en-US"/>
        </w:rPr>
      </w:pPr>
      <w:r w:rsidRPr="00D25DF4">
        <w:rPr>
          <w:sz w:val="24"/>
          <w:szCs w:val="24"/>
          <w:lang w:val="en-US"/>
        </w:rPr>
        <w:t xml:space="preserve">In the case of MENA countries’ sample, Hamdi et </w:t>
      </w:r>
      <w:r w:rsidRPr="00D25DF4">
        <w:rPr>
          <w:i/>
          <w:iCs/>
          <w:sz w:val="24"/>
          <w:szCs w:val="24"/>
          <w:lang w:val="en-US"/>
        </w:rPr>
        <w:t>al</w:t>
      </w:r>
      <w:r w:rsidRPr="00D25DF4">
        <w:rPr>
          <w:sz w:val="24"/>
          <w:szCs w:val="24"/>
          <w:lang w:val="en-US"/>
        </w:rPr>
        <w:t xml:space="preserve"> (2013a) examined the relationship between financial deepening, investment activities and economic growth for the case of Tunisia during the period 1961-2010. By using a multivariate framework based on Vector Error Correction Model and Cointegration techniques, the short-run estimation reveals that finance does not led to economic growth in Tunisia while the long-run results show the opposite conclusion. In another study, Hamdi et </w:t>
      </w:r>
      <w:r w:rsidRPr="00D25DF4">
        <w:rPr>
          <w:i/>
          <w:iCs/>
          <w:sz w:val="24"/>
          <w:szCs w:val="24"/>
          <w:lang w:val="en-US"/>
        </w:rPr>
        <w:t>al</w:t>
      </w:r>
      <w:r w:rsidRPr="00D25DF4">
        <w:rPr>
          <w:sz w:val="24"/>
          <w:szCs w:val="24"/>
          <w:lang w:val="en-US"/>
        </w:rPr>
        <w:t xml:space="preserve"> (2013b) analyzed the relationship between FDI and economic growth for the case of Tunisia during the period 1976-2010. Cointegration and Vector Error Correction Model and Cointegration techniques reveal that FDI did not have significant impact on growth; however exports are the important source for growth in Tunisia. Belloumi (2014) analyzed the relationship between foreign direct investment (FDI), trade openness and economic growth in Tunisia. By applying the bounds testing (ARDL) approach to cointegration for the period from 1970 to 2008, results suggest that there is a long-run relationship between FDI and growth. The results also indicate that there is no significant Granger causality from FDI to economic growth, from economic growth to FDI in the short run. The empirical results fail to confirm the widespread belief that FDI can generate positive externalities for the case of Tunisia.</w:t>
      </w:r>
    </w:p>
    <w:p w:rsidR="00ED66A6" w:rsidRPr="00D25DF4" w:rsidRDefault="00ED66A6" w:rsidP="006A0080">
      <w:pPr>
        <w:tabs>
          <w:tab w:val="left" w:pos="2265"/>
        </w:tabs>
        <w:spacing w:before="100" w:beforeAutospacing="1" w:line="240" w:lineRule="auto"/>
        <w:rPr>
          <w:sz w:val="24"/>
          <w:szCs w:val="24"/>
          <w:lang w:val="en-US"/>
        </w:rPr>
      </w:pPr>
      <w:r w:rsidRPr="00D25DF4">
        <w:rPr>
          <w:sz w:val="24"/>
          <w:szCs w:val="24"/>
          <w:lang w:val="en-US"/>
        </w:rPr>
        <w:t>For Gulf countries, Ahmed Hussein (2009) examined the interaction between foreign direct investment FDI and economic growth in the six GCC countries</w:t>
      </w:r>
      <w:r w:rsidRPr="00D25DF4">
        <w:rPr>
          <w:szCs w:val="24"/>
          <w:vertAlign w:val="superscript"/>
        </w:rPr>
        <w:footnoteReference w:id="3"/>
      </w:r>
      <w:r w:rsidRPr="00D25DF4">
        <w:rPr>
          <w:sz w:val="24"/>
          <w:szCs w:val="24"/>
          <w:lang w:val="en-US"/>
        </w:rPr>
        <w:t xml:space="preserve"> during the period 1996-2007. The econometric method used in this study is the Ordinary Least Square (OLS). Major findings indicate a weak relationship between FDI and GDP in the panel of the GCC. Almfraji et al (2014) tested the FDI-growth association in an oil production country. For this end they collected dataset from 1990 to 2010 and they performed VAR Impulse Responses and the Granger Causality test. The result indicates that there a long-run relationship between FDI inflows and the economic growth in Qatar.</w:t>
      </w:r>
    </w:p>
    <w:p w:rsidR="00ED66A6" w:rsidRPr="00D25DF4" w:rsidRDefault="00ED66A6" w:rsidP="006A0080">
      <w:pPr>
        <w:tabs>
          <w:tab w:val="left" w:pos="2265"/>
        </w:tabs>
        <w:spacing w:before="100" w:beforeAutospacing="1" w:line="240" w:lineRule="auto"/>
        <w:rPr>
          <w:sz w:val="24"/>
          <w:szCs w:val="24"/>
          <w:lang w:val="en-US"/>
        </w:rPr>
      </w:pPr>
      <w:r w:rsidRPr="00D25DF4">
        <w:rPr>
          <w:sz w:val="24"/>
          <w:szCs w:val="24"/>
          <w:lang w:val="en-US"/>
        </w:rPr>
        <w:t>The main objective of the study of Al Khathlan (2014) is to empirically analyze the role of FDI in the economic growth of Saudi Arabia from 1980 to 2010. By using the famous Cobb-Douglas production function and performing a co-integration analysis finding indicates that FDI has a positive but insignificant role in economic growth in the country over the long term.  However, the Granger causality test implies that domestic capital and government expenditure drive output growth in the economy. This result is also consistent with the IRFs over a time horizon of 10 years.</w:t>
      </w:r>
    </w:p>
    <w:p w:rsidR="00ED66A6" w:rsidRPr="00D25DF4" w:rsidRDefault="00ED66A6" w:rsidP="00B52921">
      <w:pPr>
        <w:spacing w:before="100" w:beforeAutospacing="1"/>
        <w:jc w:val="center"/>
        <w:rPr>
          <w:b/>
          <w:bCs/>
          <w:sz w:val="24"/>
          <w:szCs w:val="24"/>
          <w:lang w:val="en-US"/>
        </w:rPr>
      </w:pPr>
      <w:r w:rsidRPr="00D25DF4">
        <w:rPr>
          <w:b/>
          <w:bCs/>
          <w:sz w:val="24"/>
          <w:szCs w:val="24"/>
          <w:lang w:val="en-US"/>
        </w:rPr>
        <w:lastRenderedPageBreak/>
        <w:t>3. FDI and growth in Saudi Arabia</w:t>
      </w:r>
    </w:p>
    <w:p w:rsidR="003B2F61" w:rsidRPr="00D25DF4" w:rsidRDefault="003B2F61" w:rsidP="00B52921">
      <w:pPr>
        <w:spacing w:before="100" w:beforeAutospacing="1"/>
        <w:jc w:val="center"/>
        <w:rPr>
          <w:b/>
          <w:bCs/>
          <w:sz w:val="24"/>
          <w:szCs w:val="24"/>
          <w:lang w:val="en-US"/>
        </w:rPr>
      </w:pPr>
    </w:p>
    <w:p w:rsidR="00ED66A6" w:rsidRPr="00D25DF4" w:rsidRDefault="00ED66A6" w:rsidP="003417F9">
      <w:pPr>
        <w:tabs>
          <w:tab w:val="left" w:pos="2265"/>
        </w:tabs>
        <w:spacing w:line="240" w:lineRule="auto"/>
        <w:rPr>
          <w:sz w:val="24"/>
          <w:szCs w:val="24"/>
          <w:lang w:val="en-US"/>
        </w:rPr>
      </w:pPr>
      <w:r w:rsidRPr="00D25DF4">
        <w:rPr>
          <w:sz w:val="24"/>
          <w:szCs w:val="24"/>
          <w:lang w:val="en-US"/>
        </w:rPr>
        <w:t>In the last 70 years Saudi Arabia has become the world's largest economy in the production and exporting of oil, which has promoted its economic development. Consequently, the dominant output of the Kingdom's economy is oil. According to SAMA (2008), the share of oil revenue in Saudi national gross domestic product (GDP) was approximately 55% in 2007. The private sector share of the GDP is much smaller, and only represents around 28%. The oil has contributed either directly or indirectly to economic development through the building of macroeconomic systems and microeconomic improvements. As well as a dependence on oil, the other concern is a lack of diversification of the economy, which raises questions about the sustainability of the economy. The economic of Saudi Arabia appears more dependent to the oil revenue. The lack of diversification has meant that with the global fluctuation in oil prices, and with a continuing need for revenue to finance its consumption and investment expenditures, the Kingdom has sometimes ended up with remarkable budgetary deficits. In recent years, in order to diversify the economy, the government has been investing in telecommunications, petrochemicals, natural gas exploitation and power generation sectors.</w:t>
      </w:r>
    </w:p>
    <w:p w:rsidR="00ED66A6" w:rsidRPr="00D25DF4" w:rsidRDefault="00ED66A6" w:rsidP="005F6267">
      <w:pPr>
        <w:tabs>
          <w:tab w:val="left" w:pos="2265"/>
        </w:tabs>
        <w:spacing w:before="100" w:beforeAutospacing="1" w:line="240" w:lineRule="auto"/>
        <w:rPr>
          <w:sz w:val="24"/>
          <w:szCs w:val="24"/>
          <w:lang w:val="en-US"/>
        </w:rPr>
      </w:pPr>
      <w:r w:rsidRPr="00D25DF4">
        <w:rPr>
          <w:sz w:val="24"/>
          <w:szCs w:val="24"/>
          <w:lang w:val="en-US"/>
        </w:rPr>
        <w:t xml:space="preserve">To improve the private sector's participation in the economy, an enhancement to the 'business climate' was essential, and a crucial part of this was legislation to encourage foreign direct investment. Foreign Direct Investment is one of the main drivers of economic efficiency and growth for many developed and developing countries. In Saudi Arabia, attracting FDI as a means to reduce the dependence on the oil revenues has gained critical importance to policymakers. The graph 1 below indicates on the evolution of the net FDI inflows and the GDP growth in Saudi Arabia during the period of 1970-2013. </w:t>
      </w:r>
    </w:p>
    <w:p w:rsidR="00ED66A6" w:rsidRPr="00D25DF4" w:rsidRDefault="00ED66A6" w:rsidP="00B52921">
      <w:pPr>
        <w:tabs>
          <w:tab w:val="left" w:pos="2265"/>
        </w:tabs>
        <w:jc w:val="center"/>
        <w:rPr>
          <w:sz w:val="23"/>
          <w:szCs w:val="23"/>
          <w:lang w:val="en-US"/>
        </w:rPr>
      </w:pPr>
      <w:r w:rsidRPr="00D25DF4">
        <w:rPr>
          <w:b/>
          <w:bCs/>
          <w:sz w:val="23"/>
          <w:szCs w:val="23"/>
          <w:lang w:val="en-US"/>
        </w:rPr>
        <w:t>Figure 1</w:t>
      </w:r>
      <w:r w:rsidRPr="00D25DF4">
        <w:rPr>
          <w:sz w:val="23"/>
          <w:szCs w:val="23"/>
          <w:lang w:val="en-US"/>
        </w:rPr>
        <w:t xml:space="preserve">: Evolution of the FDI and the economic growth in Saudi Arabia </w:t>
      </w:r>
    </w:p>
    <w:p w:rsidR="00ED66A6" w:rsidRPr="00D25DF4" w:rsidRDefault="00ED66A6" w:rsidP="00B52921">
      <w:pPr>
        <w:tabs>
          <w:tab w:val="left" w:pos="2265"/>
        </w:tabs>
        <w:jc w:val="center"/>
        <w:rPr>
          <w:sz w:val="23"/>
          <w:szCs w:val="23"/>
          <w:lang w:val="en-US"/>
        </w:rPr>
      </w:pPr>
      <w:r w:rsidRPr="00D25DF4">
        <w:rPr>
          <w:sz w:val="23"/>
          <w:szCs w:val="23"/>
          <w:lang w:val="en-US"/>
        </w:rPr>
        <w:t>during the period 1970-2013</w:t>
      </w:r>
    </w:p>
    <w:p w:rsidR="00ED66A6" w:rsidRPr="00D25DF4" w:rsidRDefault="008C118F" w:rsidP="00F865E3">
      <w:pPr>
        <w:tabs>
          <w:tab w:val="left" w:pos="2265"/>
        </w:tabs>
        <w:spacing w:before="100" w:beforeAutospacing="1" w:line="360" w:lineRule="auto"/>
        <w:jc w:val="center"/>
        <w:rPr>
          <w:sz w:val="24"/>
          <w:szCs w:val="24"/>
          <w:lang w:val="en-US"/>
        </w:rPr>
      </w:pPr>
      <w:r w:rsidRPr="00D25DF4">
        <w:rPr>
          <w:noProof/>
          <w:sz w:val="24"/>
          <w:szCs w:val="24"/>
        </w:rPr>
        <w:drawing>
          <wp:inline distT="0" distB="0" distL="0" distR="0">
            <wp:extent cx="4401820" cy="2615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1820" cy="2615565"/>
                    </a:xfrm>
                    <a:prstGeom prst="rect">
                      <a:avLst/>
                    </a:prstGeom>
                    <a:noFill/>
                    <a:ln>
                      <a:noFill/>
                    </a:ln>
                  </pic:spPr>
                </pic:pic>
              </a:graphicData>
            </a:graphic>
          </wp:inline>
        </w:drawing>
      </w:r>
    </w:p>
    <w:p w:rsidR="00ED66A6" w:rsidRPr="00D25DF4" w:rsidRDefault="00ED66A6" w:rsidP="00286F9D">
      <w:pPr>
        <w:tabs>
          <w:tab w:val="left" w:pos="2265"/>
        </w:tabs>
        <w:spacing w:line="360" w:lineRule="auto"/>
        <w:jc w:val="center"/>
        <w:rPr>
          <w:i/>
          <w:iCs/>
          <w:lang w:val="en-US"/>
        </w:rPr>
      </w:pPr>
      <w:r w:rsidRPr="00D25DF4">
        <w:rPr>
          <w:i/>
          <w:iCs/>
          <w:lang w:val="en-US"/>
        </w:rPr>
        <w:t>Source: authors from the World Bank Indicators (WDI)</w:t>
      </w:r>
    </w:p>
    <w:p w:rsidR="00ED66A6" w:rsidRPr="00D25DF4" w:rsidRDefault="00ED66A6" w:rsidP="005F6267">
      <w:pPr>
        <w:tabs>
          <w:tab w:val="left" w:pos="2265"/>
        </w:tabs>
        <w:spacing w:line="240" w:lineRule="auto"/>
        <w:rPr>
          <w:sz w:val="24"/>
          <w:szCs w:val="24"/>
          <w:lang w:val="en-US"/>
        </w:rPr>
      </w:pPr>
      <w:r w:rsidRPr="00D25DF4">
        <w:rPr>
          <w:sz w:val="24"/>
          <w:szCs w:val="24"/>
          <w:lang w:val="en-US"/>
        </w:rPr>
        <w:t xml:space="preserve">The figure 1 shows that Saudi knew a high rate of growth during the period 1970-1976. The GDPpc growth crossed from 12,03% in 1970 to reach 19,94% in 1971 and 12,72% in 1976. While the FDI inflow recorded negative values for the same period.  FDI in % of PIB take a value of -1,64% in 1971 and -8,3 in 1974. The divergence trend of those indicators indicates </w:t>
      </w:r>
      <w:r w:rsidRPr="00D25DF4">
        <w:rPr>
          <w:sz w:val="24"/>
          <w:szCs w:val="24"/>
          <w:lang w:val="en-US"/>
        </w:rPr>
        <w:lastRenderedPageBreak/>
        <w:t xml:space="preserve">that FDI did not well contribute to the growth of Saudi Arabia during this period. This country allows more importance to the oil revenue which is considered as the engine of growth. </w:t>
      </w:r>
    </w:p>
    <w:p w:rsidR="00ED66A6" w:rsidRPr="00D25DF4" w:rsidRDefault="00ED66A6" w:rsidP="005F6267">
      <w:pPr>
        <w:tabs>
          <w:tab w:val="left" w:pos="2265"/>
        </w:tabs>
        <w:spacing w:before="100" w:beforeAutospacing="1" w:line="240" w:lineRule="auto"/>
        <w:rPr>
          <w:sz w:val="24"/>
          <w:szCs w:val="24"/>
          <w:lang w:val="en-US"/>
        </w:rPr>
      </w:pPr>
      <w:r w:rsidRPr="00D25DF4">
        <w:rPr>
          <w:sz w:val="24"/>
          <w:szCs w:val="24"/>
          <w:lang w:val="en-US"/>
        </w:rPr>
        <w:t xml:space="preserve">Since 1977, the FDI net inflows begin to know positive values. Those positive values coincide with the development plan for 1975-79 to encourage foreign direct investment. For example, we record a value of FDI of 1,06% in 1977. GDPpc growth continue to have positive value during the period 1977- 1981 with respectively values of 7% and 4,69%. Since 1982, Saudi Arabia recorded negative rate of GDPpc growth. Those rate reach -11,1% in 1982 and -8,22% in 1983. </w:t>
      </w:r>
    </w:p>
    <w:p w:rsidR="00ED66A6" w:rsidRPr="00D25DF4" w:rsidRDefault="00ED66A6" w:rsidP="005F6267">
      <w:pPr>
        <w:tabs>
          <w:tab w:val="left" w:pos="2265"/>
        </w:tabs>
        <w:spacing w:before="100" w:beforeAutospacing="1" w:line="240" w:lineRule="auto"/>
        <w:rPr>
          <w:sz w:val="24"/>
          <w:szCs w:val="24"/>
          <w:lang w:val="en-US"/>
        </w:rPr>
      </w:pPr>
      <w:r w:rsidRPr="00D25DF4">
        <w:rPr>
          <w:sz w:val="24"/>
          <w:szCs w:val="24"/>
          <w:lang w:val="en-US"/>
        </w:rPr>
        <w:t xml:space="preserve">GDPpc gets back to its positive values from 1988s and its fluctuations appear almost stable during the remaining period. Also, the FDI curve is constant during the period 1986-2004. However it records very low values. Since 2005, the FDI net inflowfollows a rising trend. It’s crossed from 3,84% in 2005 to reach 9,68% in 2009. </w:t>
      </w:r>
    </w:p>
    <w:p w:rsidR="00ED66A6" w:rsidRPr="00D25DF4" w:rsidRDefault="00ED66A6" w:rsidP="00B52921">
      <w:pPr>
        <w:pStyle w:val="Corpsdetexte"/>
        <w:spacing w:before="100" w:beforeAutospacing="1" w:line="360" w:lineRule="auto"/>
        <w:rPr>
          <w:sz w:val="24"/>
        </w:rPr>
      </w:pPr>
      <w:r w:rsidRPr="00D25DF4">
        <w:rPr>
          <w:sz w:val="24"/>
        </w:rPr>
        <w:t>4. Empirical Analysis</w:t>
      </w:r>
    </w:p>
    <w:p w:rsidR="00ED66A6" w:rsidRPr="00D25DF4" w:rsidRDefault="00ED66A6" w:rsidP="00755936">
      <w:pPr>
        <w:autoSpaceDE w:val="0"/>
        <w:autoSpaceDN w:val="0"/>
        <w:spacing w:line="240" w:lineRule="auto"/>
        <w:rPr>
          <w:b/>
          <w:bCs/>
          <w:sz w:val="24"/>
          <w:szCs w:val="24"/>
          <w:lang w:val="en-US"/>
        </w:rPr>
      </w:pPr>
      <w:r w:rsidRPr="00D25DF4">
        <w:rPr>
          <w:b/>
          <w:bCs/>
          <w:sz w:val="24"/>
          <w:szCs w:val="24"/>
          <w:lang w:val="en-US"/>
        </w:rPr>
        <w:t>4.1 Methodology and data</w:t>
      </w:r>
    </w:p>
    <w:p w:rsidR="00ED66A6" w:rsidRPr="00D25DF4" w:rsidRDefault="00ED66A6" w:rsidP="00236DED">
      <w:pPr>
        <w:autoSpaceDE w:val="0"/>
        <w:autoSpaceDN w:val="0"/>
        <w:spacing w:before="100" w:beforeAutospacing="1" w:line="240" w:lineRule="auto"/>
        <w:rPr>
          <w:sz w:val="24"/>
          <w:szCs w:val="24"/>
          <w:lang w:val="en-US"/>
        </w:rPr>
      </w:pPr>
      <w:r w:rsidRPr="00D25DF4">
        <w:rPr>
          <w:sz w:val="24"/>
          <w:szCs w:val="24"/>
          <w:lang w:val="en-US"/>
        </w:rPr>
        <w:t>To test the relationship between FDI and growth, we used a datasets related to Saudi Arabia during the period 1970-2013. The empirical model contains four variables: foreign direct investment inflows (FDI) to GDP. OPEN is a measure of the trade openness of the economy, determined by the sum of exports and imports as a proportion of GDP. For economic growth we used</w:t>
      </w:r>
      <w:r w:rsidRPr="00D25DF4">
        <w:rPr>
          <w:sz w:val="24"/>
          <w:szCs w:val="24"/>
          <w:lang w:val="en-US" w:eastAsia="en-US"/>
        </w:rPr>
        <w:t xml:space="preserve">  the growth  of </w:t>
      </w:r>
      <w:r w:rsidRPr="00D25DF4">
        <w:rPr>
          <w:sz w:val="24"/>
          <w:szCs w:val="24"/>
          <w:lang w:val="en-US"/>
        </w:rPr>
        <w:t>GDP per capita. The main source of our data is the World Bank’s World Development Indicators (WDI). To reduce the problem of heteroscedasticity, all the variables are transformed into log form. Empirical strategy used in this paper is as follow.  Firstly, we test whether the variables contain a unit root to confirm the stationarity of each variable. The Augmented Dickey–Fuller tests (F-ADF) and Philips–Perron (PP) tests are used to verify the stationarity. Secondly, we test the existence of a long-run cointegrating relationship between the variables. This is done by the use of the Johansen cointegration test.  Thirdly, a vector error correction model (VECM) method suggested by Engle and Granger (1987) is used if all variables are integrated of order one I (1) and cointegrated. If all variable are not cointegrated, Vector autoregressive (VAR) is more suitable. The econometric model can be written as follow</w:t>
      </w:r>
    </w:p>
    <w:p w:rsidR="00ED66A6" w:rsidRPr="00D25DF4" w:rsidRDefault="00ED66A6" w:rsidP="008A7F1E">
      <w:pPr>
        <w:autoSpaceDE w:val="0"/>
        <w:autoSpaceDN w:val="0"/>
        <w:spacing w:line="240" w:lineRule="auto"/>
        <w:rPr>
          <w:sz w:val="24"/>
          <w:szCs w:val="24"/>
          <w:lang w:val="en-US"/>
        </w:rPr>
      </w:pPr>
    </w:p>
    <w:p w:rsidR="00C64785" w:rsidRPr="00D25DF4" w:rsidRDefault="00FF62B4" w:rsidP="00C64785">
      <w:pPr>
        <w:spacing w:before="100" w:beforeAutospacing="1" w:after="200" w:line="276" w:lineRule="auto"/>
        <w:jc w:val="center"/>
        <w:rPr>
          <w:sz w:val="24"/>
          <w:szCs w:val="24"/>
          <w:lang w:val="en-US"/>
        </w:rPr>
      </w:pPr>
      <w:r w:rsidRPr="00D25DF4">
        <w:rPr>
          <w:position w:val="-12"/>
          <w:sz w:val="24"/>
          <w:szCs w:val="24"/>
        </w:rPr>
        <w:object w:dxaOrig="5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7pt;height:18.4pt" o:ole="">
            <v:imagedata r:id="rId9" o:title=""/>
          </v:shape>
          <o:OLEObject Type="Embed" ProgID="Equation.3" ShapeID="_x0000_i1025" DrawAspect="Content" ObjectID="_1472992329" r:id="rId10"/>
        </w:object>
      </w:r>
    </w:p>
    <w:p w:rsidR="00ED66A6" w:rsidRPr="00D25DF4" w:rsidRDefault="00ED66A6" w:rsidP="00CD3955">
      <w:pPr>
        <w:spacing w:before="100" w:beforeAutospacing="1" w:after="200" w:line="276" w:lineRule="auto"/>
        <w:rPr>
          <w:sz w:val="28"/>
          <w:szCs w:val="28"/>
          <w:lang w:val="en-US" w:eastAsia="en-US"/>
        </w:rPr>
      </w:pPr>
      <w:r w:rsidRPr="00D25DF4">
        <w:rPr>
          <w:sz w:val="24"/>
          <w:szCs w:val="24"/>
          <w:lang w:val="en-US"/>
        </w:rPr>
        <w:t xml:space="preserve">Where: </w:t>
      </w:r>
      <w:r w:rsidRPr="00D25DF4">
        <w:rPr>
          <w:sz w:val="24"/>
          <w:szCs w:val="24"/>
          <w:lang w:val="en-US" w:eastAsia="en-US"/>
        </w:rPr>
        <w:t>(GDP</w:t>
      </w:r>
      <w:r w:rsidR="00CD3955" w:rsidRPr="00D25DF4">
        <w:rPr>
          <w:sz w:val="24"/>
          <w:szCs w:val="24"/>
          <w:lang w:val="en-US" w:eastAsia="en-US"/>
        </w:rPr>
        <w:t>PC</w:t>
      </w:r>
      <w:r w:rsidRPr="00D25DF4">
        <w:rPr>
          <w:sz w:val="24"/>
          <w:szCs w:val="24"/>
          <w:lang w:val="en-US" w:eastAsia="en-US"/>
        </w:rPr>
        <w:t xml:space="preserve">) </w:t>
      </w:r>
      <w:r w:rsidRPr="00D25DF4">
        <w:rPr>
          <w:sz w:val="24"/>
          <w:szCs w:val="24"/>
          <w:lang w:val="en-US"/>
        </w:rPr>
        <w:t>is</w:t>
      </w:r>
      <w:r w:rsidR="00102D78" w:rsidRPr="00D25DF4">
        <w:rPr>
          <w:sz w:val="24"/>
          <w:szCs w:val="24"/>
          <w:lang w:val="en-US"/>
        </w:rPr>
        <w:t xml:space="preserve"> the GDP per capita growth rate of country, FDI is the ratio of Foreign Direct Investment to GDP</w:t>
      </w:r>
      <w:r w:rsidRPr="00D25DF4">
        <w:rPr>
          <w:sz w:val="24"/>
          <w:szCs w:val="24"/>
          <w:lang w:val="en-US"/>
        </w:rPr>
        <w:t xml:space="preserve">, OPEN is the Trade Openness, INFRA is a proxy of infrastructure measured by the </w:t>
      </w:r>
      <w:r w:rsidRPr="00D25DF4">
        <w:rPr>
          <w:sz w:val="24"/>
          <w:szCs w:val="24"/>
          <w:lang w:val="en-US" w:eastAsia="en-US"/>
        </w:rPr>
        <w:t xml:space="preserve">Air transport, registered carrier departures worldwide </w:t>
      </w:r>
      <w:r w:rsidRPr="00D25DF4">
        <w:rPr>
          <w:sz w:val="24"/>
          <w:szCs w:val="24"/>
          <w:lang w:val="en-US"/>
        </w:rPr>
        <w:t xml:space="preserve">and </w:t>
      </w:r>
      <w:r w:rsidR="000D5225" w:rsidRPr="00D25DF4">
        <w:rPr>
          <w:sz w:val="24"/>
          <w:szCs w:val="24"/>
          <w:lang w:val="en-US"/>
        </w:rPr>
        <w:fldChar w:fldCharType="begin"/>
      </w:r>
      <w:r w:rsidRPr="00D25DF4">
        <w:rPr>
          <w:sz w:val="24"/>
          <w:szCs w:val="24"/>
          <w:lang w:val="en-US"/>
        </w:rPr>
        <w:instrText xml:space="preserve"> QUOTE </w:instrText>
      </w:r>
      <w:r w:rsidR="00BA42D0" w:rsidRPr="000D5225">
        <w:rPr>
          <w:sz w:val="24"/>
          <w:szCs w:val="24"/>
        </w:rPr>
        <w:pict>
          <v:shape id="_x0000_i1026" type="#_x0000_t75" style="width:18.4pt;height:14.25pt" equationxml="&lt;">
            <v:imagedata r:id="rId11" o:title="" chromakey="white"/>
          </v:shape>
        </w:pict>
      </w:r>
      <w:r w:rsidR="000D5225" w:rsidRPr="00D25DF4">
        <w:rPr>
          <w:sz w:val="24"/>
          <w:szCs w:val="24"/>
          <w:lang w:val="en-US"/>
        </w:rPr>
        <w:fldChar w:fldCharType="separate"/>
      </w:r>
      <w:r w:rsidR="00BA42D0" w:rsidRPr="000D5225">
        <w:rPr>
          <w:sz w:val="24"/>
          <w:szCs w:val="24"/>
        </w:rPr>
        <w:pict>
          <v:shape id="_x0000_i1027" type="#_x0000_t75" style="width:18.4pt;height:14.25pt" equationxml="&lt;">
            <v:imagedata r:id="rId11" o:title="" chromakey="white"/>
          </v:shape>
        </w:pict>
      </w:r>
      <w:r w:rsidR="000D5225" w:rsidRPr="00D25DF4">
        <w:rPr>
          <w:sz w:val="24"/>
          <w:szCs w:val="24"/>
          <w:lang w:val="en-US"/>
        </w:rPr>
        <w:fldChar w:fldCharType="end"/>
      </w:r>
      <w:r w:rsidRPr="00D25DF4">
        <w:rPr>
          <w:sz w:val="24"/>
          <w:szCs w:val="24"/>
          <w:lang w:val="en-US"/>
        </w:rPr>
        <w:t xml:space="preserve"> is the term error</w:t>
      </w:r>
      <w:r w:rsidRPr="00D25DF4">
        <w:rPr>
          <w:sz w:val="28"/>
          <w:szCs w:val="28"/>
          <w:lang w:val="en-US"/>
        </w:rPr>
        <w:t xml:space="preserve">. </w:t>
      </w:r>
    </w:p>
    <w:p w:rsidR="00ED66A6" w:rsidRPr="00D25DF4" w:rsidRDefault="00ED66A6" w:rsidP="0031645C">
      <w:pPr>
        <w:autoSpaceDE w:val="0"/>
        <w:autoSpaceDN w:val="0"/>
        <w:spacing w:line="360" w:lineRule="auto"/>
        <w:rPr>
          <w:b/>
          <w:bCs/>
          <w:sz w:val="24"/>
          <w:szCs w:val="24"/>
          <w:lang w:val="en-US"/>
        </w:rPr>
      </w:pPr>
      <w:r w:rsidRPr="00D25DF4">
        <w:rPr>
          <w:b/>
          <w:bCs/>
          <w:sz w:val="24"/>
          <w:szCs w:val="24"/>
          <w:lang w:val="en-US"/>
        </w:rPr>
        <w:t>4.2</w:t>
      </w:r>
      <w:r w:rsidR="00BA42D0">
        <w:rPr>
          <w:b/>
          <w:bCs/>
          <w:sz w:val="24"/>
          <w:szCs w:val="24"/>
          <w:lang w:val="en-US"/>
        </w:rPr>
        <w:t xml:space="preserve"> </w:t>
      </w:r>
      <w:r w:rsidRPr="00D25DF4">
        <w:rPr>
          <w:b/>
          <w:bCs/>
          <w:sz w:val="24"/>
          <w:szCs w:val="24"/>
          <w:lang w:val="en-US"/>
        </w:rPr>
        <w:t>Unit root test</w:t>
      </w:r>
    </w:p>
    <w:p w:rsidR="00ED66A6" w:rsidRPr="00D25DF4" w:rsidRDefault="00ED66A6" w:rsidP="000E122B">
      <w:pPr>
        <w:spacing w:line="240" w:lineRule="auto"/>
        <w:rPr>
          <w:sz w:val="24"/>
          <w:szCs w:val="24"/>
          <w:lang w:val="en-US"/>
        </w:rPr>
      </w:pPr>
      <w:r w:rsidRPr="00D25DF4">
        <w:rPr>
          <w:sz w:val="24"/>
          <w:szCs w:val="24"/>
          <w:lang w:val="en-US"/>
        </w:rPr>
        <w:t xml:space="preserve">In our study, we use the Augmented Dickey–Fuller (F-ADF) unit root tests to identify whether the variables contain a unit root and confirm the stationarity of each variable.  </w:t>
      </w:r>
      <w:r w:rsidRPr="00D25DF4">
        <w:rPr>
          <w:sz w:val="24"/>
          <w:szCs w:val="24"/>
          <w:shd w:val="clear" w:color="auto" w:fill="FFFFFF"/>
          <w:lang w:val="en-US"/>
        </w:rPr>
        <w:t xml:space="preserve">The augmented Dickey–Fuller (ADF) statistic, used in the test, is a negative number. The more negative it is, the stronger the rejection of the hypothesis that there is a unit roots at some </w:t>
      </w:r>
      <w:r w:rsidRPr="00D25DF4">
        <w:rPr>
          <w:sz w:val="24"/>
          <w:szCs w:val="24"/>
          <w:shd w:val="clear" w:color="auto" w:fill="FFFFFF"/>
          <w:lang w:val="en-US"/>
        </w:rPr>
        <w:lastRenderedPageBreak/>
        <w:t xml:space="preserve">level of confidence. </w:t>
      </w:r>
      <w:r w:rsidRPr="00D25DF4">
        <w:rPr>
          <w:sz w:val="24"/>
          <w:szCs w:val="24"/>
          <w:lang w:val="en-US"/>
        </w:rPr>
        <w:t>Common criticisms of these tests include sensitivity to the way the test is conducted, such that the wrong version of the ADF test is used</w:t>
      </w:r>
      <w:r w:rsidRPr="00D25DF4">
        <w:rPr>
          <w:rStyle w:val="Appelnotedebasdep"/>
          <w:sz w:val="24"/>
          <w:szCs w:val="24"/>
          <w:lang w:val="en-US"/>
        </w:rPr>
        <w:footnoteReference w:id="4"/>
      </w:r>
      <w:r w:rsidRPr="00D25DF4">
        <w:rPr>
          <w:sz w:val="24"/>
          <w:szCs w:val="24"/>
          <w:lang w:val="en-US"/>
        </w:rPr>
        <w:t>.  ADF tests are also quite sensitive to any incorrect establishment of lag parameter.  Given this weakness, we also conduct the Phillips-Perron (PP) test (1988), which allows for the presence of a non-zero mean and a deterministic time trend. The results of the Augmented Dickey-Fuller (</w:t>
      </w:r>
      <w:r w:rsidRPr="00D25DF4">
        <w:rPr>
          <w:i/>
          <w:iCs/>
          <w:sz w:val="24"/>
          <w:szCs w:val="24"/>
          <w:lang w:val="en-US"/>
        </w:rPr>
        <w:t>ADF</w:t>
      </w:r>
      <w:r w:rsidRPr="00D25DF4">
        <w:rPr>
          <w:sz w:val="24"/>
          <w:szCs w:val="24"/>
          <w:lang w:val="en-US"/>
        </w:rPr>
        <w:t>) and Phillips-Perron (</w:t>
      </w:r>
      <w:r w:rsidRPr="00D25DF4">
        <w:rPr>
          <w:i/>
          <w:iCs/>
          <w:sz w:val="24"/>
          <w:szCs w:val="24"/>
          <w:lang w:val="en-US"/>
        </w:rPr>
        <w:t>PP</w:t>
      </w:r>
      <w:r w:rsidRPr="00D25DF4">
        <w:rPr>
          <w:sz w:val="24"/>
          <w:szCs w:val="24"/>
          <w:lang w:val="en-US"/>
        </w:rPr>
        <w:t xml:space="preserve">) tests for the four variables of the model are presented in Table 1. </w:t>
      </w:r>
    </w:p>
    <w:p w:rsidR="00102D78" w:rsidRPr="00D25DF4" w:rsidRDefault="00102D78" w:rsidP="00102D78">
      <w:pPr>
        <w:spacing w:before="100" w:beforeAutospacing="1" w:line="240" w:lineRule="auto"/>
        <w:rPr>
          <w:rFonts w:eastAsia="Gill Sans MT"/>
          <w:sz w:val="24"/>
          <w:szCs w:val="24"/>
          <w:lang w:val="en-US"/>
        </w:rPr>
      </w:pPr>
      <w:r w:rsidRPr="00D25DF4">
        <w:rPr>
          <w:rFonts w:eastAsia="Gill Sans MT"/>
          <w:sz w:val="24"/>
          <w:szCs w:val="24"/>
          <w:lang w:val="en-US"/>
        </w:rPr>
        <w:t xml:space="preserve">The results show that in the level, the null hypothesis cannot be rejected for all the variables for both the two unit root test ADF and </w:t>
      </w:r>
      <w:r w:rsidRPr="00D25DF4">
        <w:rPr>
          <w:rFonts w:eastAsia="TimesNewRoman"/>
          <w:sz w:val="24"/>
          <w:szCs w:val="24"/>
          <w:lang w:val="en-US"/>
        </w:rPr>
        <w:t>Phillips-Perron (PP) test</w:t>
      </w:r>
      <w:r w:rsidRPr="00D25DF4">
        <w:rPr>
          <w:rFonts w:eastAsia="Gill Sans MT"/>
          <w:sz w:val="24"/>
          <w:szCs w:val="24"/>
          <w:lang w:val="en-US"/>
        </w:rPr>
        <w:t>. GDPPC, FDI, OPEN and INFRA are not stationary in the level. By testing through first difference, the results indicate that the null hypothesis of non-stationary can be rejected. The unit roots tests indicate that each variable is integrated of order one.</w:t>
      </w:r>
    </w:p>
    <w:p w:rsidR="00ED66A6" w:rsidRPr="00D25DF4" w:rsidRDefault="00ED66A6" w:rsidP="00330919">
      <w:pPr>
        <w:tabs>
          <w:tab w:val="left" w:pos="450"/>
          <w:tab w:val="left" w:pos="810"/>
          <w:tab w:val="left" w:pos="1170"/>
          <w:tab w:val="left" w:pos="1530"/>
          <w:tab w:val="left" w:pos="1620"/>
        </w:tabs>
        <w:spacing w:before="100" w:beforeAutospacing="1" w:line="240" w:lineRule="auto"/>
        <w:jc w:val="center"/>
        <w:rPr>
          <w:b/>
          <w:bCs/>
          <w:sz w:val="24"/>
          <w:szCs w:val="24"/>
          <w:lang w:val="en-US"/>
        </w:rPr>
      </w:pPr>
      <w:r w:rsidRPr="00D25DF4">
        <w:rPr>
          <w:b/>
          <w:bCs/>
          <w:sz w:val="24"/>
          <w:szCs w:val="24"/>
          <w:lang w:val="en-US"/>
        </w:rPr>
        <w:t>Table 1. Augmented Dickey-Fuller (</w:t>
      </w:r>
      <w:r w:rsidRPr="00D25DF4">
        <w:rPr>
          <w:b/>
          <w:bCs/>
          <w:i/>
          <w:iCs/>
          <w:sz w:val="24"/>
          <w:szCs w:val="24"/>
          <w:lang w:val="en-US"/>
        </w:rPr>
        <w:t>ADF</w:t>
      </w:r>
      <w:r w:rsidRPr="00D25DF4">
        <w:rPr>
          <w:b/>
          <w:bCs/>
          <w:sz w:val="24"/>
          <w:szCs w:val="24"/>
          <w:lang w:val="en-US"/>
        </w:rPr>
        <w:t>) and Phillips-Perron (</w:t>
      </w:r>
      <w:r w:rsidRPr="00D25DF4">
        <w:rPr>
          <w:b/>
          <w:bCs/>
          <w:i/>
          <w:iCs/>
          <w:sz w:val="24"/>
          <w:szCs w:val="24"/>
          <w:lang w:val="en-US"/>
        </w:rPr>
        <w:t>PP</w:t>
      </w:r>
      <w:r w:rsidRPr="00D25DF4">
        <w:rPr>
          <w:b/>
          <w:bCs/>
          <w:sz w:val="24"/>
          <w:szCs w:val="24"/>
          <w:lang w:val="en-US"/>
        </w:rPr>
        <w:t>) Unit root tests</w:t>
      </w:r>
    </w:p>
    <w:p w:rsidR="00436117" w:rsidRPr="00D25DF4" w:rsidRDefault="00436117" w:rsidP="00330919">
      <w:pPr>
        <w:tabs>
          <w:tab w:val="left" w:pos="450"/>
          <w:tab w:val="left" w:pos="810"/>
          <w:tab w:val="left" w:pos="1170"/>
          <w:tab w:val="left" w:pos="1530"/>
          <w:tab w:val="left" w:pos="1620"/>
        </w:tabs>
        <w:spacing w:before="100" w:beforeAutospacing="1" w:line="240" w:lineRule="auto"/>
        <w:jc w:val="center"/>
        <w:rPr>
          <w:b/>
          <w:bCs/>
          <w:sz w:val="24"/>
          <w:szCs w:val="24"/>
          <w:lang w:val="en-US"/>
        </w:rPr>
      </w:pPr>
    </w:p>
    <w:tbl>
      <w:tblPr>
        <w:tblW w:w="4890" w:type="pct"/>
        <w:tblInd w:w="70" w:type="dxa"/>
        <w:tblCellMar>
          <w:left w:w="70" w:type="dxa"/>
          <w:right w:w="70" w:type="dxa"/>
        </w:tblCellMar>
        <w:tblLook w:val="00A0"/>
      </w:tblPr>
      <w:tblGrid>
        <w:gridCol w:w="1442"/>
        <w:gridCol w:w="1205"/>
        <w:gridCol w:w="1823"/>
        <w:gridCol w:w="1513"/>
        <w:gridCol w:w="1513"/>
        <w:gridCol w:w="1511"/>
      </w:tblGrid>
      <w:tr w:rsidR="00D25DF4" w:rsidRPr="00D25DF4" w:rsidTr="00BA42D0">
        <w:trPr>
          <w:trHeight w:val="309"/>
        </w:trPr>
        <w:tc>
          <w:tcPr>
            <w:tcW w:w="800" w:type="pct"/>
            <w:vMerge w:val="restart"/>
            <w:tcBorders>
              <w:top w:val="single" w:sz="4" w:space="0" w:color="auto"/>
              <w:left w:val="single" w:sz="4" w:space="0" w:color="auto"/>
              <w:bottom w:val="nil"/>
              <w:right w:val="single" w:sz="4" w:space="0" w:color="auto"/>
            </w:tcBorders>
            <w:noWrap/>
          </w:tcPr>
          <w:p w:rsidR="00ED66A6" w:rsidRPr="00D25DF4" w:rsidRDefault="00ED66A6" w:rsidP="0032034F">
            <w:pPr>
              <w:widowControl/>
              <w:adjustRightInd/>
              <w:spacing w:line="240" w:lineRule="auto"/>
              <w:jc w:val="center"/>
              <w:textAlignment w:val="auto"/>
              <w:rPr>
                <w:lang w:val="en-US"/>
              </w:rPr>
            </w:pPr>
            <w:r w:rsidRPr="00D25DF4">
              <w:rPr>
                <w:lang w:val="en-US"/>
              </w:rPr>
              <w:t> </w:t>
            </w:r>
          </w:p>
        </w:tc>
        <w:tc>
          <w:tcPr>
            <w:tcW w:w="1681" w:type="pct"/>
            <w:gridSpan w:val="2"/>
            <w:tcBorders>
              <w:top w:val="single" w:sz="4" w:space="0" w:color="auto"/>
              <w:left w:val="nil"/>
              <w:bottom w:val="single" w:sz="4" w:space="0" w:color="auto"/>
              <w:right w:val="single" w:sz="4" w:space="0" w:color="000000"/>
            </w:tcBorders>
            <w:noWrap/>
            <w:vAlign w:val="center"/>
          </w:tcPr>
          <w:p w:rsidR="00ED66A6" w:rsidRPr="00D25DF4" w:rsidRDefault="00ED66A6" w:rsidP="0032034F">
            <w:pPr>
              <w:widowControl/>
              <w:adjustRightInd/>
              <w:spacing w:line="240" w:lineRule="auto"/>
              <w:jc w:val="center"/>
              <w:textAlignment w:val="auto"/>
              <w:rPr>
                <w:b/>
                <w:bCs/>
              </w:rPr>
            </w:pPr>
            <w:r w:rsidRPr="00D25DF4">
              <w:rPr>
                <w:b/>
                <w:bCs/>
              </w:rPr>
              <w:t>ADF</w:t>
            </w:r>
          </w:p>
        </w:tc>
        <w:tc>
          <w:tcPr>
            <w:tcW w:w="1680" w:type="pct"/>
            <w:gridSpan w:val="2"/>
            <w:tcBorders>
              <w:top w:val="single" w:sz="4" w:space="0" w:color="auto"/>
              <w:left w:val="nil"/>
              <w:bottom w:val="single" w:sz="4" w:space="0" w:color="auto"/>
              <w:right w:val="single" w:sz="4" w:space="0" w:color="000000"/>
            </w:tcBorders>
            <w:vAlign w:val="center"/>
          </w:tcPr>
          <w:p w:rsidR="00ED66A6" w:rsidRPr="00D25DF4" w:rsidRDefault="00ED66A6" w:rsidP="0032034F">
            <w:pPr>
              <w:widowControl/>
              <w:adjustRightInd/>
              <w:spacing w:line="240" w:lineRule="auto"/>
              <w:jc w:val="center"/>
              <w:textAlignment w:val="auto"/>
              <w:rPr>
                <w:b/>
                <w:bCs/>
              </w:rPr>
            </w:pPr>
            <w:r w:rsidRPr="00D25DF4">
              <w:rPr>
                <w:b/>
                <w:bCs/>
              </w:rPr>
              <w:t>PP</w:t>
            </w:r>
          </w:p>
        </w:tc>
        <w:tc>
          <w:tcPr>
            <w:tcW w:w="839" w:type="pct"/>
            <w:vMerge w:val="restart"/>
            <w:tcBorders>
              <w:top w:val="single" w:sz="4" w:space="0" w:color="auto"/>
              <w:left w:val="nil"/>
              <w:bottom w:val="nil"/>
              <w:right w:val="single" w:sz="4" w:space="0" w:color="auto"/>
            </w:tcBorders>
          </w:tcPr>
          <w:p w:rsidR="00ED66A6" w:rsidRPr="00D25DF4" w:rsidRDefault="00ED66A6" w:rsidP="0032034F">
            <w:pPr>
              <w:widowControl/>
              <w:adjustRightInd/>
              <w:spacing w:line="240" w:lineRule="auto"/>
              <w:jc w:val="center"/>
              <w:textAlignment w:val="auto"/>
              <w:rPr>
                <w:b/>
                <w:bCs/>
              </w:rPr>
            </w:pPr>
            <w:r w:rsidRPr="00D25DF4">
              <w:rPr>
                <w:b/>
                <w:bCs/>
              </w:rPr>
              <w:t>Order of Integration</w:t>
            </w:r>
          </w:p>
        </w:tc>
      </w:tr>
      <w:tr w:rsidR="00D25DF4" w:rsidRPr="00D25DF4" w:rsidTr="00BA42D0">
        <w:trPr>
          <w:trHeight w:val="309"/>
        </w:trPr>
        <w:tc>
          <w:tcPr>
            <w:tcW w:w="800" w:type="pct"/>
            <w:vMerge/>
            <w:tcBorders>
              <w:top w:val="single" w:sz="4" w:space="0" w:color="auto"/>
              <w:left w:val="single" w:sz="4" w:space="0" w:color="auto"/>
              <w:bottom w:val="nil"/>
              <w:right w:val="single" w:sz="4" w:space="0" w:color="auto"/>
            </w:tcBorders>
            <w:vAlign w:val="center"/>
          </w:tcPr>
          <w:p w:rsidR="00ED66A6" w:rsidRPr="00D25DF4" w:rsidRDefault="00ED66A6" w:rsidP="0032034F">
            <w:pPr>
              <w:widowControl/>
              <w:adjustRightInd/>
              <w:spacing w:line="240" w:lineRule="auto"/>
              <w:jc w:val="left"/>
              <w:textAlignment w:val="auto"/>
            </w:pPr>
          </w:p>
        </w:tc>
        <w:tc>
          <w:tcPr>
            <w:tcW w:w="669" w:type="pct"/>
            <w:tcBorders>
              <w:top w:val="nil"/>
              <w:left w:val="nil"/>
              <w:bottom w:val="nil"/>
              <w:right w:val="single" w:sz="4" w:space="0" w:color="auto"/>
            </w:tcBorders>
            <w:noWrap/>
            <w:vAlign w:val="center"/>
          </w:tcPr>
          <w:p w:rsidR="00ED66A6" w:rsidRPr="00D25DF4" w:rsidRDefault="00ED66A6" w:rsidP="0032034F">
            <w:pPr>
              <w:widowControl/>
              <w:adjustRightInd/>
              <w:spacing w:line="240" w:lineRule="auto"/>
              <w:jc w:val="center"/>
              <w:textAlignment w:val="auto"/>
              <w:rPr>
                <w:i/>
                <w:iCs/>
              </w:rPr>
            </w:pPr>
            <w:r w:rsidRPr="00D25DF4">
              <w:rPr>
                <w:i/>
                <w:iCs/>
              </w:rPr>
              <w:t>Level</w:t>
            </w:r>
          </w:p>
        </w:tc>
        <w:tc>
          <w:tcPr>
            <w:tcW w:w="1012" w:type="pct"/>
            <w:tcBorders>
              <w:top w:val="nil"/>
              <w:left w:val="nil"/>
              <w:bottom w:val="nil"/>
              <w:right w:val="single" w:sz="4" w:space="0" w:color="auto"/>
            </w:tcBorders>
            <w:noWrap/>
            <w:vAlign w:val="center"/>
          </w:tcPr>
          <w:p w:rsidR="00ED66A6" w:rsidRPr="00D25DF4" w:rsidRDefault="00ED66A6" w:rsidP="0032034F">
            <w:pPr>
              <w:widowControl/>
              <w:adjustRightInd/>
              <w:spacing w:line="240" w:lineRule="auto"/>
              <w:jc w:val="center"/>
              <w:textAlignment w:val="auto"/>
              <w:rPr>
                <w:i/>
                <w:iCs/>
              </w:rPr>
            </w:pPr>
            <w:r w:rsidRPr="00D25DF4">
              <w:rPr>
                <w:i/>
                <w:iCs/>
              </w:rPr>
              <w:t>1st diff,</w:t>
            </w:r>
          </w:p>
        </w:tc>
        <w:tc>
          <w:tcPr>
            <w:tcW w:w="840" w:type="pct"/>
            <w:tcBorders>
              <w:top w:val="nil"/>
              <w:left w:val="nil"/>
              <w:bottom w:val="nil"/>
              <w:right w:val="single" w:sz="4" w:space="0" w:color="auto"/>
            </w:tcBorders>
            <w:vAlign w:val="center"/>
          </w:tcPr>
          <w:p w:rsidR="00ED66A6" w:rsidRPr="00D25DF4" w:rsidRDefault="00ED66A6" w:rsidP="0032034F">
            <w:pPr>
              <w:widowControl/>
              <w:adjustRightInd/>
              <w:spacing w:line="240" w:lineRule="auto"/>
              <w:jc w:val="center"/>
              <w:textAlignment w:val="auto"/>
              <w:rPr>
                <w:i/>
                <w:iCs/>
              </w:rPr>
            </w:pPr>
            <w:r w:rsidRPr="00D25DF4">
              <w:rPr>
                <w:i/>
                <w:iCs/>
              </w:rPr>
              <w:t>Level</w:t>
            </w:r>
          </w:p>
        </w:tc>
        <w:tc>
          <w:tcPr>
            <w:tcW w:w="840" w:type="pct"/>
            <w:tcBorders>
              <w:top w:val="nil"/>
              <w:left w:val="nil"/>
              <w:bottom w:val="nil"/>
              <w:right w:val="single" w:sz="4" w:space="0" w:color="auto"/>
            </w:tcBorders>
            <w:vAlign w:val="center"/>
          </w:tcPr>
          <w:p w:rsidR="00ED66A6" w:rsidRPr="00D25DF4" w:rsidRDefault="00ED66A6" w:rsidP="0032034F">
            <w:pPr>
              <w:widowControl/>
              <w:adjustRightInd/>
              <w:spacing w:line="240" w:lineRule="auto"/>
              <w:jc w:val="center"/>
              <w:textAlignment w:val="auto"/>
              <w:rPr>
                <w:i/>
                <w:iCs/>
              </w:rPr>
            </w:pPr>
            <w:r w:rsidRPr="00D25DF4">
              <w:rPr>
                <w:i/>
                <w:iCs/>
              </w:rPr>
              <w:t>1st diff,</w:t>
            </w:r>
          </w:p>
        </w:tc>
        <w:tc>
          <w:tcPr>
            <w:tcW w:w="839" w:type="pct"/>
            <w:vMerge/>
            <w:tcBorders>
              <w:top w:val="single" w:sz="4" w:space="0" w:color="auto"/>
              <w:left w:val="nil"/>
              <w:bottom w:val="nil"/>
              <w:right w:val="single" w:sz="4" w:space="0" w:color="auto"/>
            </w:tcBorders>
            <w:vAlign w:val="center"/>
          </w:tcPr>
          <w:p w:rsidR="00ED66A6" w:rsidRPr="00D25DF4" w:rsidRDefault="00ED66A6" w:rsidP="0032034F">
            <w:pPr>
              <w:widowControl/>
              <w:adjustRightInd/>
              <w:spacing w:line="240" w:lineRule="auto"/>
              <w:jc w:val="left"/>
              <w:textAlignment w:val="auto"/>
              <w:rPr>
                <w:b/>
                <w:bCs/>
              </w:rPr>
            </w:pPr>
          </w:p>
        </w:tc>
      </w:tr>
      <w:tr w:rsidR="00D25DF4" w:rsidRPr="00D25DF4" w:rsidTr="00BA42D0">
        <w:trPr>
          <w:trHeight w:val="309"/>
        </w:trPr>
        <w:tc>
          <w:tcPr>
            <w:tcW w:w="800" w:type="pct"/>
            <w:vMerge w:val="restart"/>
            <w:tcBorders>
              <w:top w:val="single" w:sz="4" w:space="0" w:color="auto"/>
              <w:left w:val="single" w:sz="4" w:space="0" w:color="auto"/>
              <w:bottom w:val="single" w:sz="4" w:space="0" w:color="000000"/>
              <w:right w:val="single" w:sz="4" w:space="0" w:color="auto"/>
            </w:tcBorders>
            <w:noWrap/>
            <w:vAlign w:val="center"/>
          </w:tcPr>
          <w:p w:rsidR="00ED66A6" w:rsidRPr="00D25DF4" w:rsidRDefault="00ED66A6" w:rsidP="0032034F">
            <w:pPr>
              <w:widowControl/>
              <w:adjustRightInd/>
              <w:spacing w:line="240" w:lineRule="auto"/>
              <w:jc w:val="center"/>
              <w:textAlignment w:val="auto"/>
            </w:pPr>
            <w:r w:rsidRPr="00D25DF4">
              <w:t>GDPpc</w:t>
            </w:r>
          </w:p>
        </w:tc>
        <w:tc>
          <w:tcPr>
            <w:tcW w:w="669" w:type="pct"/>
            <w:tcBorders>
              <w:top w:val="single" w:sz="4" w:space="0" w:color="auto"/>
              <w:left w:val="nil"/>
              <w:bottom w:val="nil"/>
              <w:right w:val="single" w:sz="4" w:space="0" w:color="auto"/>
            </w:tcBorders>
            <w:noWrap/>
            <w:vAlign w:val="center"/>
          </w:tcPr>
          <w:p w:rsidR="00ED66A6" w:rsidRPr="00D25DF4" w:rsidRDefault="00ED66A6" w:rsidP="0032034F">
            <w:pPr>
              <w:widowControl/>
              <w:adjustRightInd/>
              <w:spacing w:line="240" w:lineRule="auto"/>
              <w:jc w:val="center"/>
              <w:textAlignment w:val="auto"/>
            </w:pPr>
            <w:r w:rsidRPr="00D25DF4">
              <w:t>-2,9314</w:t>
            </w:r>
          </w:p>
        </w:tc>
        <w:tc>
          <w:tcPr>
            <w:tcW w:w="1012" w:type="pct"/>
            <w:tcBorders>
              <w:top w:val="single" w:sz="4" w:space="0" w:color="auto"/>
              <w:left w:val="nil"/>
              <w:bottom w:val="nil"/>
              <w:right w:val="single" w:sz="4" w:space="0" w:color="auto"/>
            </w:tcBorders>
            <w:noWrap/>
            <w:vAlign w:val="center"/>
          </w:tcPr>
          <w:p w:rsidR="00ED66A6" w:rsidRPr="00D25DF4" w:rsidRDefault="00D46C5A" w:rsidP="0032034F">
            <w:pPr>
              <w:widowControl/>
              <w:adjustRightInd/>
              <w:spacing w:line="240" w:lineRule="auto"/>
              <w:jc w:val="center"/>
              <w:textAlignment w:val="auto"/>
            </w:pPr>
            <w:r w:rsidRPr="00D25DF4">
              <w:t>-9.821</w:t>
            </w:r>
          </w:p>
        </w:tc>
        <w:tc>
          <w:tcPr>
            <w:tcW w:w="840" w:type="pct"/>
            <w:tcBorders>
              <w:top w:val="single" w:sz="4" w:space="0" w:color="auto"/>
              <w:left w:val="nil"/>
              <w:bottom w:val="nil"/>
              <w:right w:val="single" w:sz="4" w:space="0" w:color="auto"/>
            </w:tcBorders>
            <w:vAlign w:val="center"/>
          </w:tcPr>
          <w:p w:rsidR="00ED66A6" w:rsidRPr="00D25DF4" w:rsidRDefault="007820AF" w:rsidP="0032034F">
            <w:pPr>
              <w:widowControl/>
              <w:adjustRightInd/>
              <w:spacing w:line="240" w:lineRule="auto"/>
              <w:jc w:val="center"/>
              <w:textAlignment w:val="auto"/>
            </w:pPr>
            <w:r w:rsidRPr="00D25DF4">
              <w:t>-3.305</w:t>
            </w:r>
          </w:p>
        </w:tc>
        <w:tc>
          <w:tcPr>
            <w:tcW w:w="840" w:type="pct"/>
            <w:tcBorders>
              <w:top w:val="single" w:sz="4" w:space="0" w:color="auto"/>
              <w:left w:val="nil"/>
              <w:bottom w:val="nil"/>
              <w:right w:val="single" w:sz="4" w:space="0" w:color="auto"/>
            </w:tcBorders>
            <w:vAlign w:val="center"/>
          </w:tcPr>
          <w:p w:rsidR="00ED66A6" w:rsidRPr="00D25DF4" w:rsidRDefault="007820AF" w:rsidP="0032034F">
            <w:pPr>
              <w:widowControl/>
              <w:adjustRightInd/>
              <w:spacing w:line="240" w:lineRule="auto"/>
              <w:jc w:val="center"/>
              <w:textAlignment w:val="auto"/>
            </w:pPr>
            <w:r w:rsidRPr="00D25DF4">
              <w:t>-10.5844</w:t>
            </w:r>
          </w:p>
        </w:tc>
        <w:tc>
          <w:tcPr>
            <w:tcW w:w="839" w:type="pct"/>
            <w:vMerge w:val="restart"/>
            <w:tcBorders>
              <w:top w:val="single" w:sz="4" w:space="0" w:color="auto"/>
              <w:left w:val="nil"/>
              <w:bottom w:val="single" w:sz="4" w:space="0" w:color="000000"/>
              <w:right w:val="single" w:sz="4" w:space="0" w:color="auto"/>
            </w:tcBorders>
            <w:vAlign w:val="center"/>
          </w:tcPr>
          <w:p w:rsidR="00ED66A6" w:rsidRPr="00D25DF4" w:rsidRDefault="00ED66A6" w:rsidP="0032034F">
            <w:pPr>
              <w:widowControl/>
              <w:adjustRightInd/>
              <w:spacing w:line="240" w:lineRule="auto"/>
              <w:jc w:val="center"/>
              <w:textAlignment w:val="auto"/>
            </w:pPr>
            <w:r w:rsidRPr="00D25DF4">
              <w:t>I(1)</w:t>
            </w:r>
          </w:p>
        </w:tc>
      </w:tr>
      <w:tr w:rsidR="00D25DF4" w:rsidRPr="00D25DF4" w:rsidTr="00BA42D0">
        <w:trPr>
          <w:trHeight w:val="309"/>
        </w:trPr>
        <w:tc>
          <w:tcPr>
            <w:tcW w:w="800" w:type="pct"/>
            <w:vMerge/>
            <w:tcBorders>
              <w:top w:val="single" w:sz="4" w:space="0" w:color="auto"/>
              <w:left w:val="single" w:sz="4" w:space="0" w:color="auto"/>
              <w:bottom w:val="single" w:sz="4" w:space="0" w:color="000000"/>
              <w:right w:val="single" w:sz="4" w:space="0" w:color="auto"/>
            </w:tcBorders>
            <w:vAlign w:val="center"/>
          </w:tcPr>
          <w:p w:rsidR="00C81453" w:rsidRPr="00D25DF4" w:rsidRDefault="00C81453" w:rsidP="0032034F">
            <w:pPr>
              <w:widowControl/>
              <w:adjustRightInd/>
              <w:spacing w:line="240" w:lineRule="auto"/>
              <w:jc w:val="left"/>
              <w:textAlignment w:val="auto"/>
            </w:pPr>
          </w:p>
        </w:tc>
        <w:tc>
          <w:tcPr>
            <w:tcW w:w="669" w:type="pct"/>
            <w:tcBorders>
              <w:top w:val="nil"/>
              <w:left w:val="nil"/>
              <w:bottom w:val="single" w:sz="4" w:space="0" w:color="auto"/>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[-4.186]</w:t>
            </w:r>
          </w:p>
        </w:tc>
        <w:tc>
          <w:tcPr>
            <w:tcW w:w="1012" w:type="pct"/>
            <w:tcBorders>
              <w:top w:val="nil"/>
              <w:left w:val="nil"/>
              <w:bottom w:val="single" w:sz="4" w:space="0" w:color="auto"/>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[-4.192]</w:t>
            </w:r>
          </w:p>
        </w:tc>
        <w:tc>
          <w:tcPr>
            <w:tcW w:w="840" w:type="pct"/>
            <w:tcBorders>
              <w:top w:val="nil"/>
              <w:left w:val="nil"/>
              <w:bottom w:val="single" w:sz="4" w:space="0" w:color="auto"/>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[-4.186]</w:t>
            </w:r>
          </w:p>
        </w:tc>
        <w:tc>
          <w:tcPr>
            <w:tcW w:w="840" w:type="pct"/>
            <w:tcBorders>
              <w:top w:val="nil"/>
              <w:left w:val="nil"/>
              <w:bottom w:val="single" w:sz="4" w:space="0" w:color="auto"/>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[-4.192]</w:t>
            </w:r>
          </w:p>
        </w:tc>
        <w:tc>
          <w:tcPr>
            <w:tcW w:w="839" w:type="pct"/>
            <w:vMerge/>
            <w:tcBorders>
              <w:top w:val="single" w:sz="4" w:space="0" w:color="auto"/>
              <w:left w:val="nil"/>
              <w:bottom w:val="single" w:sz="4" w:space="0" w:color="000000"/>
              <w:right w:val="single" w:sz="4" w:space="0" w:color="auto"/>
            </w:tcBorders>
            <w:vAlign w:val="center"/>
          </w:tcPr>
          <w:p w:rsidR="00C81453" w:rsidRPr="00D25DF4" w:rsidRDefault="00C81453" w:rsidP="0032034F">
            <w:pPr>
              <w:widowControl/>
              <w:adjustRightInd/>
              <w:spacing w:line="240" w:lineRule="auto"/>
              <w:jc w:val="left"/>
              <w:textAlignment w:val="auto"/>
            </w:pPr>
          </w:p>
        </w:tc>
      </w:tr>
      <w:tr w:rsidR="00D25DF4" w:rsidRPr="00D25DF4" w:rsidTr="00BA42D0">
        <w:trPr>
          <w:trHeight w:val="309"/>
        </w:trPr>
        <w:tc>
          <w:tcPr>
            <w:tcW w:w="800" w:type="pct"/>
            <w:vMerge w:val="restart"/>
            <w:tcBorders>
              <w:top w:val="nil"/>
              <w:left w:val="single" w:sz="4" w:space="0" w:color="auto"/>
              <w:bottom w:val="single" w:sz="4" w:space="0" w:color="000000"/>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FDI</w:t>
            </w:r>
          </w:p>
        </w:tc>
        <w:tc>
          <w:tcPr>
            <w:tcW w:w="669" w:type="pct"/>
            <w:tcBorders>
              <w:top w:val="nil"/>
              <w:left w:val="nil"/>
              <w:bottom w:val="nil"/>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-3.8031</w:t>
            </w:r>
          </w:p>
        </w:tc>
        <w:tc>
          <w:tcPr>
            <w:tcW w:w="1012" w:type="pct"/>
            <w:tcBorders>
              <w:top w:val="nil"/>
              <w:left w:val="nil"/>
              <w:bottom w:val="nil"/>
              <w:right w:val="single" w:sz="4" w:space="0" w:color="auto"/>
            </w:tcBorders>
            <w:noWrap/>
            <w:vAlign w:val="center"/>
          </w:tcPr>
          <w:p w:rsidR="00C81453" w:rsidRPr="00D25DF4" w:rsidRDefault="00C81453" w:rsidP="00D46C5A">
            <w:pPr>
              <w:widowControl/>
              <w:adjustRightInd/>
              <w:spacing w:line="240" w:lineRule="auto"/>
              <w:jc w:val="center"/>
              <w:textAlignment w:val="auto"/>
            </w:pPr>
            <w:r w:rsidRPr="00D25DF4">
              <w:t>-8.1710</w:t>
            </w:r>
          </w:p>
        </w:tc>
        <w:tc>
          <w:tcPr>
            <w:tcW w:w="840" w:type="pct"/>
            <w:tcBorders>
              <w:top w:val="nil"/>
              <w:left w:val="nil"/>
              <w:bottom w:val="nil"/>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-3.808</w:t>
            </w:r>
          </w:p>
        </w:tc>
        <w:tc>
          <w:tcPr>
            <w:tcW w:w="840" w:type="pct"/>
            <w:tcBorders>
              <w:top w:val="nil"/>
              <w:left w:val="nil"/>
              <w:bottom w:val="nil"/>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-8.171</w:t>
            </w:r>
          </w:p>
        </w:tc>
        <w:tc>
          <w:tcPr>
            <w:tcW w:w="839" w:type="pct"/>
            <w:vMerge w:val="restart"/>
            <w:tcBorders>
              <w:top w:val="nil"/>
              <w:left w:val="nil"/>
              <w:bottom w:val="single" w:sz="4" w:space="0" w:color="000000"/>
              <w:right w:val="single" w:sz="4" w:space="0" w:color="auto"/>
            </w:tcBorders>
            <w:vAlign w:val="center"/>
          </w:tcPr>
          <w:p w:rsidR="00C81453" w:rsidRPr="00D25DF4" w:rsidRDefault="00C81453" w:rsidP="0032034F">
            <w:pPr>
              <w:widowControl/>
              <w:adjustRightInd/>
              <w:spacing w:line="240" w:lineRule="auto"/>
              <w:jc w:val="center"/>
              <w:textAlignment w:val="auto"/>
            </w:pPr>
            <w:r w:rsidRPr="00D25DF4">
              <w:t>I(1)</w:t>
            </w:r>
          </w:p>
        </w:tc>
      </w:tr>
      <w:tr w:rsidR="00D25DF4" w:rsidRPr="00D25DF4" w:rsidTr="00BA42D0">
        <w:trPr>
          <w:trHeight w:val="309"/>
        </w:trPr>
        <w:tc>
          <w:tcPr>
            <w:tcW w:w="800" w:type="pct"/>
            <w:vMerge/>
            <w:tcBorders>
              <w:top w:val="nil"/>
              <w:left w:val="single" w:sz="4" w:space="0" w:color="auto"/>
              <w:bottom w:val="single" w:sz="4" w:space="0" w:color="000000"/>
              <w:right w:val="single" w:sz="4" w:space="0" w:color="auto"/>
            </w:tcBorders>
            <w:vAlign w:val="center"/>
          </w:tcPr>
          <w:p w:rsidR="00C81453" w:rsidRPr="00D25DF4" w:rsidRDefault="00C81453" w:rsidP="0032034F">
            <w:pPr>
              <w:widowControl/>
              <w:adjustRightInd/>
              <w:spacing w:line="240" w:lineRule="auto"/>
              <w:jc w:val="left"/>
              <w:textAlignment w:val="auto"/>
            </w:pPr>
          </w:p>
        </w:tc>
        <w:tc>
          <w:tcPr>
            <w:tcW w:w="669" w:type="pct"/>
            <w:tcBorders>
              <w:top w:val="nil"/>
              <w:left w:val="nil"/>
              <w:bottom w:val="single" w:sz="4" w:space="0" w:color="auto"/>
              <w:right w:val="single" w:sz="4" w:space="0" w:color="auto"/>
            </w:tcBorders>
            <w:noWrap/>
            <w:vAlign w:val="center"/>
          </w:tcPr>
          <w:p w:rsidR="00C81453" w:rsidRPr="00D25DF4" w:rsidRDefault="00C81453" w:rsidP="00D46C5A">
            <w:pPr>
              <w:widowControl/>
              <w:adjustRightInd/>
              <w:spacing w:line="240" w:lineRule="auto"/>
              <w:jc w:val="center"/>
              <w:textAlignment w:val="auto"/>
            </w:pPr>
            <w:r w:rsidRPr="00D25DF4">
              <w:t>[-4.186]</w:t>
            </w:r>
          </w:p>
        </w:tc>
        <w:tc>
          <w:tcPr>
            <w:tcW w:w="1012" w:type="pct"/>
            <w:tcBorders>
              <w:top w:val="nil"/>
              <w:left w:val="nil"/>
              <w:bottom w:val="single" w:sz="4" w:space="0" w:color="auto"/>
              <w:right w:val="single" w:sz="4" w:space="0" w:color="auto"/>
            </w:tcBorders>
            <w:noWrap/>
            <w:vAlign w:val="center"/>
          </w:tcPr>
          <w:p w:rsidR="00C81453" w:rsidRPr="00D25DF4" w:rsidRDefault="00C81453" w:rsidP="00D46C5A">
            <w:pPr>
              <w:widowControl/>
              <w:adjustRightInd/>
              <w:spacing w:line="240" w:lineRule="auto"/>
              <w:jc w:val="center"/>
              <w:textAlignment w:val="auto"/>
            </w:pPr>
            <w:r w:rsidRPr="00D25DF4">
              <w:t>[-4.1923]</w:t>
            </w:r>
          </w:p>
        </w:tc>
        <w:tc>
          <w:tcPr>
            <w:tcW w:w="840" w:type="pct"/>
            <w:tcBorders>
              <w:top w:val="nil"/>
              <w:left w:val="nil"/>
              <w:bottom w:val="single" w:sz="4" w:space="0" w:color="auto"/>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[-4.186]</w:t>
            </w:r>
          </w:p>
        </w:tc>
        <w:tc>
          <w:tcPr>
            <w:tcW w:w="840" w:type="pct"/>
            <w:tcBorders>
              <w:top w:val="nil"/>
              <w:left w:val="nil"/>
              <w:bottom w:val="single" w:sz="4" w:space="0" w:color="auto"/>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[-4.192]</w:t>
            </w:r>
          </w:p>
        </w:tc>
        <w:tc>
          <w:tcPr>
            <w:tcW w:w="839" w:type="pct"/>
            <w:vMerge/>
            <w:tcBorders>
              <w:top w:val="nil"/>
              <w:left w:val="nil"/>
              <w:bottom w:val="single" w:sz="4" w:space="0" w:color="000000"/>
              <w:right w:val="single" w:sz="4" w:space="0" w:color="auto"/>
            </w:tcBorders>
            <w:vAlign w:val="center"/>
          </w:tcPr>
          <w:p w:rsidR="00C81453" w:rsidRPr="00D25DF4" w:rsidRDefault="00C81453" w:rsidP="0032034F">
            <w:pPr>
              <w:widowControl/>
              <w:adjustRightInd/>
              <w:spacing w:line="240" w:lineRule="auto"/>
              <w:jc w:val="left"/>
              <w:textAlignment w:val="auto"/>
            </w:pPr>
          </w:p>
        </w:tc>
      </w:tr>
      <w:tr w:rsidR="00D25DF4" w:rsidRPr="00D25DF4" w:rsidTr="00BA42D0">
        <w:trPr>
          <w:trHeight w:val="309"/>
        </w:trPr>
        <w:tc>
          <w:tcPr>
            <w:tcW w:w="800" w:type="pct"/>
            <w:vMerge w:val="restart"/>
            <w:tcBorders>
              <w:top w:val="nil"/>
              <w:left w:val="single" w:sz="4" w:space="0" w:color="auto"/>
              <w:bottom w:val="single" w:sz="4" w:space="0" w:color="000000"/>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OPEN</w:t>
            </w:r>
          </w:p>
        </w:tc>
        <w:tc>
          <w:tcPr>
            <w:tcW w:w="669" w:type="pct"/>
            <w:tcBorders>
              <w:top w:val="nil"/>
              <w:left w:val="nil"/>
              <w:bottom w:val="nil"/>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-1.2545</w:t>
            </w:r>
          </w:p>
        </w:tc>
        <w:tc>
          <w:tcPr>
            <w:tcW w:w="1012" w:type="pct"/>
            <w:tcBorders>
              <w:top w:val="nil"/>
              <w:left w:val="nil"/>
              <w:bottom w:val="nil"/>
              <w:right w:val="single" w:sz="4" w:space="0" w:color="auto"/>
            </w:tcBorders>
            <w:noWrap/>
            <w:vAlign w:val="center"/>
          </w:tcPr>
          <w:p w:rsidR="00C81453" w:rsidRPr="00D25DF4" w:rsidRDefault="00C81453" w:rsidP="00D46C5A">
            <w:pPr>
              <w:widowControl/>
              <w:adjustRightInd/>
              <w:spacing w:line="240" w:lineRule="auto"/>
              <w:jc w:val="center"/>
              <w:textAlignment w:val="auto"/>
            </w:pPr>
            <w:r w:rsidRPr="00D25DF4">
              <w:t>-10.029</w:t>
            </w:r>
          </w:p>
        </w:tc>
        <w:tc>
          <w:tcPr>
            <w:tcW w:w="840" w:type="pct"/>
            <w:tcBorders>
              <w:top w:val="nil"/>
              <w:left w:val="nil"/>
              <w:bottom w:val="nil"/>
              <w:right w:val="single" w:sz="4" w:space="0" w:color="auto"/>
            </w:tcBorders>
            <w:vAlign w:val="center"/>
          </w:tcPr>
          <w:p w:rsidR="00C81453" w:rsidRPr="00D25DF4" w:rsidRDefault="00C81453" w:rsidP="00C81453">
            <w:pPr>
              <w:widowControl/>
              <w:adjustRightInd/>
              <w:spacing w:line="240" w:lineRule="auto"/>
              <w:jc w:val="center"/>
              <w:textAlignment w:val="auto"/>
            </w:pPr>
            <w:r w:rsidRPr="00D25DF4">
              <w:t>-2.1914</w:t>
            </w:r>
          </w:p>
        </w:tc>
        <w:tc>
          <w:tcPr>
            <w:tcW w:w="840" w:type="pct"/>
            <w:tcBorders>
              <w:top w:val="nil"/>
              <w:left w:val="nil"/>
              <w:bottom w:val="nil"/>
              <w:right w:val="single" w:sz="4" w:space="0" w:color="auto"/>
            </w:tcBorders>
            <w:vAlign w:val="center"/>
          </w:tcPr>
          <w:p w:rsidR="00C81453" w:rsidRPr="00D25DF4" w:rsidRDefault="00C81453" w:rsidP="0032034F">
            <w:pPr>
              <w:widowControl/>
              <w:adjustRightInd/>
              <w:spacing w:line="240" w:lineRule="auto"/>
              <w:jc w:val="center"/>
              <w:textAlignment w:val="auto"/>
            </w:pPr>
            <w:r w:rsidRPr="00D25DF4">
              <w:t>-10.3736</w:t>
            </w:r>
          </w:p>
        </w:tc>
        <w:tc>
          <w:tcPr>
            <w:tcW w:w="839" w:type="pct"/>
            <w:vMerge w:val="restart"/>
            <w:tcBorders>
              <w:top w:val="nil"/>
              <w:left w:val="nil"/>
              <w:bottom w:val="single" w:sz="4" w:space="0" w:color="000000"/>
              <w:right w:val="single" w:sz="4" w:space="0" w:color="auto"/>
            </w:tcBorders>
            <w:vAlign w:val="center"/>
          </w:tcPr>
          <w:p w:rsidR="00C81453" w:rsidRPr="00D25DF4" w:rsidRDefault="00C81453" w:rsidP="0032034F">
            <w:pPr>
              <w:widowControl/>
              <w:adjustRightInd/>
              <w:spacing w:line="240" w:lineRule="auto"/>
              <w:jc w:val="center"/>
              <w:textAlignment w:val="auto"/>
            </w:pPr>
            <w:r w:rsidRPr="00D25DF4">
              <w:t>I(1)</w:t>
            </w:r>
          </w:p>
        </w:tc>
      </w:tr>
      <w:tr w:rsidR="00D25DF4" w:rsidRPr="00D25DF4" w:rsidTr="00BA42D0">
        <w:trPr>
          <w:trHeight w:val="309"/>
        </w:trPr>
        <w:tc>
          <w:tcPr>
            <w:tcW w:w="800" w:type="pct"/>
            <w:vMerge/>
            <w:tcBorders>
              <w:top w:val="nil"/>
              <w:left w:val="single" w:sz="4" w:space="0" w:color="auto"/>
              <w:bottom w:val="single" w:sz="4" w:space="0" w:color="000000"/>
              <w:right w:val="single" w:sz="4" w:space="0" w:color="auto"/>
            </w:tcBorders>
            <w:vAlign w:val="center"/>
          </w:tcPr>
          <w:p w:rsidR="00C81453" w:rsidRPr="00D25DF4" w:rsidRDefault="00C81453" w:rsidP="0032034F">
            <w:pPr>
              <w:widowControl/>
              <w:adjustRightInd/>
              <w:spacing w:line="240" w:lineRule="auto"/>
              <w:jc w:val="left"/>
              <w:textAlignment w:val="auto"/>
            </w:pPr>
          </w:p>
        </w:tc>
        <w:tc>
          <w:tcPr>
            <w:tcW w:w="669" w:type="pct"/>
            <w:tcBorders>
              <w:top w:val="nil"/>
              <w:left w:val="nil"/>
              <w:bottom w:val="single" w:sz="4" w:space="0" w:color="auto"/>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[-4.186]</w:t>
            </w:r>
          </w:p>
        </w:tc>
        <w:tc>
          <w:tcPr>
            <w:tcW w:w="1012" w:type="pct"/>
            <w:tcBorders>
              <w:top w:val="nil"/>
              <w:left w:val="nil"/>
              <w:bottom w:val="single" w:sz="4" w:space="0" w:color="auto"/>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[-4.1923]</w:t>
            </w:r>
          </w:p>
        </w:tc>
        <w:tc>
          <w:tcPr>
            <w:tcW w:w="840" w:type="pct"/>
            <w:tcBorders>
              <w:top w:val="nil"/>
              <w:left w:val="nil"/>
              <w:bottom w:val="single" w:sz="4" w:space="0" w:color="auto"/>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[-4.186]</w:t>
            </w:r>
          </w:p>
        </w:tc>
        <w:tc>
          <w:tcPr>
            <w:tcW w:w="840" w:type="pct"/>
            <w:tcBorders>
              <w:top w:val="nil"/>
              <w:left w:val="nil"/>
              <w:bottom w:val="single" w:sz="4" w:space="0" w:color="auto"/>
              <w:right w:val="single" w:sz="4" w:space="0" w:color="auto"/>
            </w:tcBorders>
            <w:vAlign w:val="center"/>
          </w:tcPr>
          <w:p w:rsidR="00C81453" w:rsidRPr="00D25DF4" w:rsidRDefault="00C81453" w:rsidP="00C81453">
            <w:pPr>
              <w:widowControl/>
              <w:adjustRightInd/>
              <w:spacing w:line="240" w:lineRule="auto"/>
              <w:jc w:val="center"/>
              <w:textAlignment w:val="auto"/>
            </w:pPr>
            <w:r w:rsidRPr="00D25DF4">
              <w:t>[-4.192]</w:t>
            </w:r>
          </w:p>
        </w:tc>
        <w:tc>
          <w:tcPr>
            <w:tcW w:w="839" w:type="pct"/>
            <w:vMerge/>
            <w:tcBorders>
              <w:top w:val="nil"/>
              <w:left w:val="nil"/>
              <w:bottom w:val="single" w:sz="4" w:space="0" w:color="000000"/>
              <w:right w:val="single" w:sz="4" w:space="0" w:color="auto"/>
            </w:tcBorders>
            <w:vAlign w:val="center"/>
          </w:tcPr>
          <w:p w:rsidR="00C81453" w:rsidRPr="00D25DF4" w:rsidRDefault="00C81453" w:rsidP="0032034F">
            <w:pPr>
              <w:widowControl/>
              <w:adjustRightInd/>
              <w:spacing w:line="240" w:lineRule="auto"/>
              <w:jc w:val="left"/>
              <w:textAlignment w:val="auto"/>
            </w:pPr>
          </w:p>
        </w:tc>
      </w:tr>
      <w:tr w:rsidR="00D25DF4" w:rsidRPr="00D25DF4" w:rsidTr="00BA42D0">
        <w:trPr>
          <w:trHeight w:val="309"/>
        </w:trPr>
        <w:tc>
          <w:tcPr>
            <w:tcW w:w="800" w:type="pct"/>
            <w:tcBorders>
              <w:top w:val="nil"/>
              <w:left w:val="single" w:sz="4" w:space="0" w:color="auto"/>
              <w:bottom w:val="single" w:sz="4" w:space="0" w:color="auto"/>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INFRA</w:t>
            </w:r>
          </w:p>
        </w:tc>
        <w:tc>
          <w:tcPr>
            <w:tcW w:w="669" w:type="pct"/>
            <w:tcBorders>
              <w:top w:val="nil"/>
              <w:left w:val="nil"/>
              <w:bottom w:val="single" w:sz="4" w:space="0" w:color="auto"/>
              <w:right w:val="single" w:sz="4" w:space="0" w:color="auto"/>
            </w:tcBorders>
            <w:noWrap/>
            <w:vAlign w:val="center"/>
          </w:tcPr>
          <w:p w:rsidR="00C81453" w:rsidRPr="00D25DF4" w:rsidRDefault="00C81453" w:rsidP="00D46C5A">
            <w:pPr>
              <w:widowControl/>
              <w:adjustRightInd/>
              <w:spacing w:line="240" w:lineRule="auto"/>
              <w:jc w:val="center"/>
              <w:textAlignment w:val="auto"/>
            </w:pPr>
            <w:r w:rsidRPr="00D25DF4">
              <w:t>-1.0344</w:t>
            </w:r>
          </w:p>
          <w:p w:rsidR="00C81453" w:rsidRPr="00D25DF4" w:rsidRDefault="00C81453" w:rsidP="00D46C5A">
            <w:pPr>
              <w:widowControl/>
              <w:adjustRightInd/>
              <w:spacing w:line="240" w:lineRule="auto"/>
              <w:jc w:val="center"/>
              <w:textAlignment w:val="auto"/>
            </w:pPr>
            <w:r w:rsidRPr="00D25DF4">
              <w:t>[-4.186]</w:t>
            </w:r>
          </w:p>
        </w:tc>
        <w:tc>
          <w:tcPr>
            <w:tcW w:w="1012" w:type="pct"/>
            <w:tcBorders>
              <w:top w:val="nil"/>
              <w:left w:val="nil"/>
              <w:bottom w:val="single" w:sz="4" w:space="0" w:color="auto"/>
              <w:right w:val="single" w:sz="4" w:space="0" w:color="auto"/>
            </w:tcBorders>
            <w:noWrap/>
            <w:vAlign w:val="center"/>
          </w:tcPr>
          <w:p w:rsidR="00C81453" w:rsidRPr="00D25DF4" w:rsidRDefault="00C81453" w:rsidP="0032034F">
            <w:pPr>
              <w:widowControl/>
              <w:adjustRightInd/>
              <w:spacing w:line="240" w:lineRule="auto"/>
              <w:jc w:val="center"/>
              <w:textAlignment w:val="auto"/>
            </w:pPr>
            <w:r w:rsidRPr="00D25DF4">
              <w:t>-5.4813</w:t>
            </w:r>
          </w:p>
          <w:p w:rsidR="00C81453" w:rsidRPr="00D25DF4" w:rsidRDefault="00C81453" w:rsidP="0032034F">
            <w:pPr>
              <w:widowControl/>
              <w:adjustRightInd/>
              <w:spacing w:line="240" w:lineRule="auto"/>
              <w:jc w:val="center"/>
              <w:textAlignment w:val="auto"/>
            </w:pPr>
            <w:r w:rsidRPr="00D25DF4">
              <w:t>[-4.1923]</w:t>
            </w:r>
          </w:p>
        </w:tc>
        <w:tc>
          <w:tcPr>
            <w:tcW w:w="840" w:type="pct"/>
            <w:tcBorders>
              <w:top w:val="nil"/>
              <w:left w:val="nil"/>
              <w:bottom w:val="single" w:sz="4" w:space="0" w:color="auto"/>
              <w:right w:val="single" w:sz="4" w:space="0" w:color="auto"/>
            </w:tcBorders>
            <w:vAlign w:val="center"/>
          </w:tcPr>
          <w:p w:rsidR="00C81453" w:rsidRPr="00D25DF4" w:rsidRDefault="00C81453" w:rsidP="00225F90">
            <w:pPr>
              <w:widowControl/>
              <w:adjustRightInd/>
              <w:spacing w:line="240" w:lineRule="auto"/>
              <w:jc w:val="center"/>
              <w:textAlignment w:val="auto"/>
            </w:pPr>
            <w:r w:rsidRPr="00D25DF4">
              <w:t>-1.4248</w:t>
            </w:r>
          </w:p>
          <w:p w:rsidR="00C81453" w:rsidRPr="00D25DF4" w:rsidRDefault="00C81453" w:rsidP="00225F90">
            <w:pPr>
              <w:widowControl/>
              <w:adjustRightInd/>
              <w:spacing w:line="240" w:lineRule="auto"/>
              <w:jc w:val="center"/>
              <w:textAlignment w:val="auto"/>
            </w:pPr>
            <w:r w:rsidRPr="00D25DF4">
              <w:rPr>
                <w:sz w:val="18"/>
                <w:szCs w:val="18"/>
              </w:rPr>
              <w:t>[-4.186</w:t>
            </w:r>
            <w:r w:rsidRPr="00D25DF4">
              <w:t>]</w:t>
            </w:r>
          </w:p>
          <w:p w:rsidR="00C81453" w:rsidRPr="00D25DF4" w:rsidRDefault="00C81453" w:rsidP="00C81453">
            <w:pPr>
              <w:widowControl/>
              <w:adjustRightInd/>
              <w:spacing w:line="240" w:lineRule="auto"/>
              <w:textAlignment w:val="auto"/>
            </w:pPr>
          </w:p>
        </w:tc>
        <w:tc>
          <w:tcPr>
            <w:tcW w:w="840" w:type="pct"/>
            <w:tcBorders>
              <w:top w:val="nil"/>
              <w:left w:val="nil"/>
              <w:bottom w:val="single" w:sz="4" w:space="0" w:color="auto"/>
              <w:right w:val="single" w:sz="4" w:space="0" w:color="auto"/>
            </w:tcBorders>
            <w:vAlign w:val="center"/>
          </w:tcPr>
          <w:p w:rsidR="00C81453" w:rsidRPr="00D25DF4" w:rsidRDefault="00C81453" w:rsidP="00C81453">
            <w:pPr>
              <w:widowControl/>
              <w:adjustRightInd/>
              <w:spacing w:line="240" w:lineRule="auto"/>
              <w:jc w:val="center"/>
              <w:textAlignment w:val="auto"/>
            </w:pPr>
            <w:r w:rsidRPr="00D25DF4">
              <w:t>-5.5691</w:t>
            </w:r>
          </w:p>
          <w:p w:rsidR="00C81453" w:rsidRPr="00D25DF4" w:rsidRDefault="00C81453" w:rsidP="00C81453">
            <w:pPr>
              <w:widowControl/>
              <w:adjustRightInd/>
              <w:spacing w:line="240" w:lineRule="auto"/>
              <w:jc w:val="center"/>
              <w:textAlignment w:val="auto"/>
              <w:rPr>
                <w:sz w:val="26"/>
                <w:szCs w:val="26"/>
              </w:rPr>
            </w:pPr>
            <w:r w:rsidRPr="00D25DF4">
              <w:t>[-4.192</w:t>
            </w:r>
            <w:r w:rsidRPr="00D25DF4">
              <w:rPr>
                <w:sz w:val="26"/>
                <w:szCs w:val="26"/>
              </w:rPr>
              <w:t>]</w:t>
            </w:r>
          </w:p>
        </w:tc>
        <w:tc>
          <w:tcPr>
            <w:tcW w:w="839" w:type="pct"/>
            <w:tcBorders>
              <w:top w:val="nil"/>
              <w:left w:val="nil"/>
              <w:bottom w:val="single" w:sz="4" w:space="0" w:color="auto"/>
              <w:right w:val="single" w:sz="4" w:space="0" w:color="auto"/>
            </w:tcBorders>
            <w:vAlign w:val="center"/>
          </w:tcPr>
          <w:p w:rsidR="00C81453" w:rsidRPr="00D25DF4" w:rsidRDefault="00C81453" w:rsidP="0032034F">
            <w:pPr>
              <w:widowControl/>
              <w:adjustRightInd/>
              <w:spacing w:line="240" w:lineRule="auto"/>
              <w:jc w:val="center"/>
              <w:textAlignment w:val="auto"/>
            </w:pPr>
            <w:r w:rsidRPr="00D25DF4">
              <w:t>I(1)</w:t>
            </w:r>
          </w:p>
        </w:tc>
      </w:tr>
    </w:tbl>
    <w:p w:rsidR="00ED66A6" w:rsidRPr="00D25DF4" w:rsidRDefault="00ED66A6" w:rsidP="00BA74AD">
      <w:pPr>
        <w:spacing w:line="240" w:lineRule="auto"/>
        <w:rPr>
          <w:i/>
          <w:iCs/>
          <w:lang w:val="en-US"/>
        </w:rPr>
      </w:pPr>
    </w:p>
    <w:p w:rsidR="00ED66A6" w:rsidRPr="00D25DF4" w:rsidRDefault="00C81453" w:rsidP="006A5862">
      <w:pPr>
        <w:spacing w:line="240" w:lineRule="auto"/>
        <w:rPr>
          <w:i/>
          <w:iCs/>
          <w:sz w:val="24"/>
          <w:szCs w:val="24"/>
          <w:lang w:val="en-US"/>
        </w:rPr>
      </w:pPr>
      <w:r w:rsidRPr="00D25DF4">
        <w:rPr>
          <w:i/>
          <w:iCs/>
          <w:sz w:val="24"/>
          <w:szCs w:val="24"/>
          <w:lang w:val="en-US"/>
        </w:rPr>
        <w:t>Critical values are</w:t>
      </w:r>
      <w:bookmarkStart w:id="0" w:name="_GoBack"/>
      <w:bookmarkEnd w:id="0"/>
      <w:r w:rsidRPr="00D25DF4">
        <w:rPr>
          <w:i/>
          <w:iCs/>
          <w:sz w:val="24"/>
          <w:szCs w:val="24"/>
          <w:lang w:val="en-US"/>
        </w:rPr>
        <w:t>inparenthese [ ],</w:t>
      </w:r>
    </w:p>
    <w:p w:rsidR="00ED66A6" w:rsidRPr="00D25DF4" w:rsidRDefault="00ED66A6" w:rsidP="00014121">
      <w:pPr>
        <w:tabs>
          <w:tab w:val="left" w:pos="360"/>
        </w:tabs>
        <w:spacing w:before="100" w:beforeAutospacing="1" w:line="360" w:lineRule="auto"/>
        <w:rPr>
          <w:b/>
          <w:bCs/>
          <w:sz w:val="24"/>
          <w:szCs w:val="24"/>
          <w:lang w:val="en-US"/>
        </w:rPr>
      </w:pPr>
      <w:r w:rsidRPr="00D25DF4">
        <w:rPr>
          <w:b/>
          <w:bCs/>
          <w:sz w:val="24"/>
          <w:szCs w:val="24"/>
          <w:lang w:val="en-US"/>
        </w:rPr>
        <w:t xml:space="preserve">4.3 Cointegration test and results </w:t>
      </w:r>
    </w:p>
    <w:p w:rsidR="00ED66A6" w:rsidRPr="00D25DF4" w:rsidRDefault="00ED66A6" w:rsidP="00DD4BFC">
      <w:pPr>
        <w:autoSpaceDE w:val="0"/>
        <w:autoSpaceDN w:val="0"/>
        <w:spacing w:line="240" w:lineRule="auto"/>
        <w:rPr>
          <w:sz w:val="24"/>
          <w:szCs w:val="24"/>
          <w:lang w:val="en-US"/>
        </w:rPr>
      </w:pPr>
      <w:r w:rsidRPr="00D25DF4">
        <w:rPr>
          <w:sz w:val="24"/>
          <w:szCs w:val="24"/>
          <w:lang w:val="en-US"/>
        </w:rPr>
        <w:t>The cointegration test is based on the multivariate Johansen approach (1988) which uses two statistic tests:  Trace test and Max-Eigen value. The objective of the cointegration test is to identify whether it exists a long run relationship between the variables of our study</w:t>
      </w:r>
      <w:r w:rsidRPr="00D25DF4">
        <w:rPr>
          <w:i/>
          <w:iCs/>
          <w:sz w:val="24"/>
          <w:szCs w:val="24"/>
          <w:lang w:val="en-US"/>
        </w:rPr>
        <w:t>.</w:t>
      </w:r>
      <w:r w:rsidRPr="00D25DF4">
        <w:rPr>
          <w:sz w:val="24"/>
          <w:szCs w:val="24"/>
          <w:lang w:val="en-US"/>
        </w:rPr>
        <w:t xml:space="preserve"> Table 2 presents the results of the trace and the maximum-eigenvalue tests from the Johansen (1980) and Johansen and Juselius (1990) maximum Likelihood analysis.  The results given in table 2 below suggest the existence of one cointegration vectors at 5% of significance for the Trace test and for the Max-eigenvalue. This result indicates that there is a long run association and consequently, the VECM model is appropriate to estimate our equation.</w:t>
      </w:r>
    </w:p>
    <w:p w:rsidR="00FF5C24" w:rsidRPr="00D25DF4" w:rsidRDefault="00FF5C24" w:rsidP="00DD4BFC">
      <w:pPr>
        <w:autoSpaceDE w:val="0"/>
        <w:autoSpaceDN w:val="0"/>
        <w:spacing w:line="240" w:lineRule="auto"/>
        <w:rPr>
          <w:sz w:val="24"/>
          <w:szCs w:val="24"/>
          <w:lang w:val="en-US"/>
        </w:rPr>
      </w:pPr>
    </w:p>
    <w:p w:rsidR="00FF5C24" w:rsidRPr="00D25DF4" w:rsidRDefault="00FF5C24" w:rsidP="00DD4BFC">
      <w:pPr>
        <w:autoSpaceDE w:val="0"/>
        <w:autoSpaceDN w:val="0"/>
        <w:spacing w:line="240" w:lineRule="auto"/>
        <w:rPr>
          <w:sz w:val="24"/>
          <w:szCs w:val="24"/>
          <w:lang w:val="en-US"/>
        </w:rPr>
      </w:pPr>
    </w:p>
    <w:p w:rsidR="00FF5C24" w:rsidRPr="00D25DF4" w:rsidRDefault="00FF5C24" w:rsidP="00DD4BFC">
      <w:pPr>
        <w:autoSpaceDE w:val="0"/>
        <w:autoSpaceDN w:val="0"/>
        <w:spacing w:line="240" w:lineRule="auto"/>
        <w:rPr>
          <w:sz w:val="24"/>
          <w:szCs w:val="24"/>
          <w:lang w:val="en-US"/>
        </w:rPr>
      </w:pPr>
    </w:p>
    <w:p w:rsidR="00FF5C24" w:rsidRPr="00D25DF4" w:rsidRDefault="00FF5C24" w:rsidP="00DD4BFC">
      <w:pPr>
        <w:autoSpaceDE w:val="0"/>
        <w:autoSpaceDN w:val="0"/>
        <w:spacing w:line="240" w:lineRule="auto"/>
        <w:rPr>
          <w:sz w:val="24"/>
          <w:szCs w:val="24"/>
          <w:lang w:val="en-US"/>
        </w:rPr>
      </w:pPr>
    </w:p>
    <w:p w:rsidR="00FF5C24" w:rsidRPr="00D25DF4" w:rsidRDefault="00FF5C24" w:rsidP="00DD4BFC">
      <w:pPr>
        <w:autoSpaceDE w:val="0"/>
        <w:autoSpaceDN w:val="0"/>
        <w:spacing w:line="240" w:lineRule="auto"/>
        <w:rPr>
          <w:sz w:val="24"/>
          <w:szCs w:val="24"/>
          <w:lang w:val="en-US"/>
        </w:rPr>
      </w:pPr>
    </w:p>
    <w:p w:rsidR="00ED66A6" w:rsidRPr="00D25DF4" w:rsidRDefault="00ED66A6" w:rsidP="00E47492">
      <w:pPr>
        <w:autoSpaceDE w:val="0"/>
        <w:autoSpaceDN w:val="0"/>
        <w:spacing w:line="240" w:lineRule="auto"/>
        <w:rPr>
          <w:sz w:val="24"/>
          <w:szCs w:val="24"/>
          <w:lang w:val="en-US"/>
        </w:rPr>
      </w:pPr>
    </w:p>
    <w:p w:rsidR="00135EBE" w:rsidRPr="00D25DF4" w:rsidRDefault="00135EBE" w:rsidP="00E47492">
      <w:pPr>
        <w:autoSpaceDE w:val="0"/>
        <w:autoSpaceDN w:val="0"/>
        <w:spacing w:line="240" w:lineRule="auto"/>
        <w:rPr>
          <w:sz w:val="24"/>
          <w:szCs w:val="24"/>
          <w:lang w:val="en-US"/>
        </w:rPr>
      </w:pPr>
    </w:p>
    <w:tbl>
      <w:tblPr>
        <w:tblW w:w="0" w:type="auto"/>
        <w:tblInd w:w="30" w:type="dxa"/>
        <w:tblLayout w:type="fixed"/>
        <w:tblCellMar>
          <w:left w:w="0" w:type="dxa"/>
          <w:right w:w="0" w:type="dxa"/>
        </w:tblCellMar>
        <w:tblLook w:val="0000"/>
      </w:tblPr>
      <w:tblGrid>
        <w:gridCol w:w="1387"/>
      </w:tblGrid>
      <w:tr w:rsidR="00D25DF4" w:rsidRPr="006A5862" w:rsidTr="000C4013">
        <w:trPr>
          <w:trHeight w:hRule="exact" w:val="90"/>
        </w:trPr>
        <w:tc>
          <w:tcPr>
            <w:tcW w:w="1387" w:type="dxa"/>
            <w:vAlign w:val="bottom"/>
          </w:tcPr>
          <w:p w:rsidR="00ED66A6" w:rsidRPr="00D25DF4" w:rsidRDefault="00ED66A6" w:rsidP="000C4013">
            <w:pPr>
              <w:autoSpaceDE w:val="0"/>
              <w:autoSpaceDN w:val="0"/>
              <w:spacing w:line="240" w:lineRule="auto"/>
              <w:rPr>
                <w:sz w:val="24"/>
                <w:szCs w:val="24"/>
                <w:lang w:val="en-US"/>
              </w:rPr>
            </w:pPr>
          </w:p>
          <w:p w:rsidR="00ED66A6" w:rsidRPr="00D25DF4" w:rsidRDefault="00ED66A6" w:rsidP="000C4013">
            <w:pPr>
              <w:autoSpaceDE w:val="0"/>
              <w:autoSpaceDN w:val="0"/>
              <w:spacing w:line="240" w:lineRule="auto"/>
              <w:rPr>
                <w:sz w:val="24"/>
                <w:szCs w:val="24"/>
                <w:lang w:val="en-US"/>
              </w:rPr>
            </w:pPr>
          </w:p>
        </w:tc>
      </w:tr>
      <w:tr w:rsidR="00D25DF4" w:rsidRPr="006A5862" w:rsidTr="000C4013">
        <w:trPr>
          <w:trHeight w:hRule="exact" w:val="90"/>
        </w:trPr>
        <w:tc>
          <w:tcPr>
            <w:tcW w:w="1387" w:type="dxa"/>
            <w:vAlign w:val="bottom"/>
          </w:tcPr>
          <w:p w:rsidR="00FF5C24" w:rsidRPr="00D25DF4" w:rsidRDefault="00FF5C24" w:rsidP="000C4013">
            <w:pPr>
              <w:autoSpaceDE w:val="0"/>
              <w:autoSpaceDN w:val="0"/>
              <w:spacing w:line="240" w:lineRule="auto"/>
              <w:rPr>
                <w:sz w:val="24"/>
                <w:szCs w:val="24"/>
                <w:lang w:val="en-US"/>
              </w:rPr>
            </w:pPr>
          </w:p>
          <w:p w:rsidR="00FF5C24" w:rsidRPr="00D25DF4" w:rsidRDefault="00FF5C24" w:rsidP="000C4013">
            <w:pPr>
              <w:autoSpaceDE w:val="0"/>
              <w:autoSpaceDN w:val="0"/>
              <w:spacing w:line="240" w:lineRule="auto"/>
              <w:rPr>
                <w:sz w:val="24"/>
                <w:szCs w:val="24"/>
                <w:lang w:val="en-US"/>
              </w:rPr>
            </w:pPr>
          </w:p>
          <w:p w:rsidR="00FF5C24" w:rsidRPr="00D25DF4" w:rsidRDefault="00FF5C24" w:rsidP="000C4013">
            <w:pPr>
              <w:autoSpaceDE w:val="0"/>
              <w:autoSpaceDN w:val="0"/>
              <w:spacing w:line="240" w:lineRule="auto"/>
              <w:rPr>
                <w:sz w:val="24"/>
                <w:szCs w:val="24"/>
                <w:lang w:val="en-US"/>
              </w:rPr>
            </w:pPr>
          </w:p>
          <w:p w:rsidR="00FF5C24" w:rsidRPr="00D25DF4" w:rsidRDefault="00FF5C24" w:rsidP="000C4013">
            <w:pPr>
              <w:autoSpaceDE w:val="0"/>
              <w:autoSpaceDN w:val="0"/>
              <w:spacing w:line="240" w:lineRule="auto"/>
              <w:rPr>
                <w:sz w:val="24"/>
                <w:szCs w:val="24"/>
                <w:lang w:val="en-US"/>
              </w:rPr>
            </w:pPr>
          </w:p>
          <w:p w:rsidR="00FF5C24" w:rsidRPr="00D25DF4" w:rsidRDefault="00FF5C24" w:rsidP="000C4013">
            <w:pPr>
              <w:autoSpaceDE w:val="0"/>
              <w:autoSpaceDN w:val="0"/>
              <w:spacing w:line="240" w:lineRule="auto"/>
              <w:rPr>
                <w:sz w:val="24"/>
                <w:szCs w:val="24"/>
                <w:lang w:val="en-US"/>
              </w:rPr>
            </w:pPr>
          </w:p>
          <w:p w:rsidR="00FF5C24" w:rsidRPr="00D25DF4" w:rsidRDefault="00FF5C24" w:rsidP="000C4013">
            <w:pPr>
              <w:autoSpaceDE w:val="0"/>
              <w:autoSpaceDN w:val="0"/>
              <w:spacing w:line="240" w:lineRule="auto"/>
              <w:rPr>
                <w:sz w:val="24"/>
                <w:szCs w:val="24"/>
                <w:lang w:val="en-US"/>
              </w:rPr>
            </w:pPr>
          </w:p>
          <w:p w:rsidR="00FF5C24" w:rsidRPr="00D25DF4" w:rsidRDefault="00FF5C24" w:rsidP="000C4013">
            <w:pPr>
              <w:autoSpaceDE w:val="0"/>
              <w:autoSpaceDN w:val="0"/>
              <w:spacing w:line="240" w:lineRule="auto"/>
              <w:rPr>
                <w:sz w:val="24"/>
                <w:szCs w:val="24"/>
                <w:lang w:val="en-US"/>
              </w:rPr>
            </w:pPr>
          </w:p>
        </w:tc>
      </w:tr>
    </w:tbl>
    <w:p w:rsidR="00ED66A6" w:rsidRPr="00D25DF4" w:rsidRDefault="00ED66A6" w:rsidP="00DF4AA3">
      <w:pPr>
        <w:tabs>
          <w:tab w:val="left" w:pos="360"/>
        </w:tabs>
        <w:spacing w:line="360" w:lineRule="auto"/>
        <w:jc w:val="center"/>
        <w:rPr>
          <w:b/>
          <w:bCs/>
          <w:sz w:val="24"/>
          <w:szCs w:val="24"/>
          <w:lang w:val="en-US"/>
        </w:rPr>
      </w:pPr>
      <w:r w:rsidRPr="00D25DF4">
        <w:rPr>
          <w:b/>
          <w:bCs/>
          <w:sz w:val="24"/>
          <w:szCs w:val="24"/>
          <w:lang w:val="en-US"/>
        </w:rPr>
        <w:t>Table 2. Results for Johansen test of cointegration</w:t>
      </w:r>
    </w:p>
    <w:tbl>
      <w:tblPr>
        <w:tblW w:w="4769" w:type="pct"/>
        <w:jc w:val="center"/>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7"/>
        <w:gridCol w:w="1240"/>
        <w:gridCol w:w="1616"/>
        <w:gridCol w:w="1810"/>
        <w:gridCol w:w="2104"/>
      </w:tblGrid>
      <w:tr w:rsidR="00D25DF4" w:rsidRPr="00D25DF4" w:rsidTr="00A52B39">
        <w:trPr>
          <w:trHeight w:val="582"/>
          <w:jc w:val="center"/>
        </w:trPr>
        <w:tc>
          <w:tcPr>
            <w:tcW w:w="1178" w:type="pct"/>
            <w:vMerge w:val="restart"/>
          </w:tcPr>
          <w:p w:rsidR="00ED66A6" w:rsidRPr="00D25DF4" w:rsidRDefault="00ED66A6" w:rsidP="00CA2D94">
            <w:pPr>
              <w:jc w:val="center"/>
              <w:rPr>
                <w:b/>
                <w:bCs/>
                <w:lang w:val="en-US"/>
              </w:rPr>
            </w:pPr>
            <w:r w:rsidRPr="00D25DF4">
              <w:rPr>
                <w:b/>
                <w:bCs/>
                <w:lang w:val="en-US"/>
              </w:rPr>
              <w:lastRenderedPageBreak/>
              <w:t>Hypothesized</w:t>
            </w:r>
          </w:p>
          <w:p w:rsidR="00ED66A6" w:rsidRPr="00D25DF4" w:rsidRDefault="00ED66A6" w:rsidP="00CA2D94">
            <w:pPr>
              <w:jc w:val="center"/>
              <w:rPr>
                <w:b/>
                <w:bCs/>
                <w:lang w:val="en-US"/>
              </w:rPr>
            </w:pPr>
            <w:r w:rsidRPr="00D25DF4">
              <w:rPr>
                <w:b/>
                <w:bCs/>
                <w:lang w:val="en-US"/>
              </w:rPr>
              <w:t>NO.of CE (s)</w:t>
            </w:r>
          </w:p>
        </w:tc>
        <w:tc>
          <w:tcPr>
            <w:tcW w:w="1612" w:type="pct"/>
            <w:gridSpan w:val="2"/>
            <w:tcBorders>
              <w:bottom w:val="single" w:sz="4" w:space="0" w:color="auto"/>
            </w:tcBorders>
          </w:tcPr>
          <w:p w:rsidR="00ED66A6" w:rsidRPr="00D25DF4" w:rsidRDefault="00ED66A6" w:rsidP="00CA2D94">
            <w:pPr>
              <w:jc w:val="center"/>
              <w:rPr>
                <w:b/>
                <w:bCs/>
                <w:lang w:val="en-US"/>
              </w:rPr>
            </w:pPr>
            <w:r w:rsidRPr="00D25DF4">
              <w:rPr>
                <w:b/>
                <w:bCs/>
                <w:lang w:val="en-US"/>
              </w:rPr>
              <w:t>Trace test</w:t>
            </w:r>
          </w:p>
        </w:tc>
        <w:tc>
          <w:tcPr>
            <w:tcW w:w="2211" w:type="pct"/>
            <w:gridSpan w:val="2"/>
            <w:tcBorders>
              <w:bottom w:val="single" w:sz="4" w:space="0" w:color="auto"/>
            </w:tcBorders>
          </w:tcPr>
          <w:p w:rsidR="00ED66A6" w:rsidRPr="00D25DF4" w:rsidRDefault="00ED66A6" w:rsidP="00CA2D94">
            <w:pPr>
              <w:jc w:val="center"/>
              <w:rPr>
                <w:b/>
                <w:bCs/>
                <w:lang w:val="en-US"/>
              </w:rPr>
            </w:pPr>
            <w:r w:rsidRPr="00D25DF4">
              <w:rPr>
                <w:b/>
                <w:bCs/>
                <w:lang w:val="en-US"/>
              </w:rPr>
              <w:t>Max-eigenvalue test</w:t>
            </w:r>
          </w:p>
        </w:tc>
      </w:tr>
      <w:tr w:rsidR="00D25DF4" w:rsidRPr="00D25DF4" w:rsidTr="00A52B39">
        <w:trPr>
          <w:trHeight w:val="361"/>
          <w:jc w:val="center"/>
        </w:trPr>
        <w:tc>
          <w:tcPr>
            <w:tcW w:w="1178" w:type="pct"/>
            <w:vMerge/>
          </w:tcPr>
          <w:p w:rsidR="00A52B39" w:rsidRPr="00D25DF4" w:rsidRDefault="00A52B39" w:rsidP="00CA2D94">
            <w:pPr>
              <w:jc w:val="center"/>
              <w:rPr>
                <w:b/>
                <w:bCs/>
                <w:lang w:val="en-US"/>
              </w:rPr>
            </w:pPr>
          </w:p>
        </w:tc>
        <w:tc>
          <w:tcPr>
            <w:tcW w:w="700" w:type="pct"/>
            <w:tcBorders>
              <w:top w:val="single" w:sz="4" w:space="0" w:color="auto"/>
              <w:bottom w:val="single" w:sz="4" w:space="0" w:color="auto"/>
              <w:right w:val="single" w:sz="4" w:space="0" w:color="auto"/>
            </w:tcBorders>
          </w:tcPr>
          <w:p w:rsidR="00A52B39" w:rsidRPr="00D25DF4" w:rsidRDefault="00A52B39" w:rsidP="00CA2D94">
            <w:pPr>
              <w:jc w:val="center"/>
              <w:rPr>
                <w:b/>
                <w:bCs/>
                <w:lang w:val="en-US"/>
              </w:rPr>
            </w:pPr>
            <w:r w:rsidRPr="00D25DF4">
              <w:rPr>
                <w:b/>
                <w:bCs/>
                <w:lang w:val="en-US"/>
              </w:rPr>
              <w:t>Trace Statist.</w:t>
            </w:r>
          </w:p>
        </w:tc>
        <w:tc>
          <w:tcPr>
            <w:tcW w:w="912" w:type="pct"/>
            <w:tcBorders>
              <w:top w:val="single" w:sz="4" w:space="0" w:color="auto"/>
              <w:left w:val="single" w:sz="4" w:space="0" w:color="auto"/>
              <w:bottom w:val="single" w:sz="4" w:space="0" w:color="auto"/>
            </w:tcBorders>
          </w:tcPr>
          <w:p w:rsidR="00A52B39" w:rsidRPr="00D25DF4" w:rsidRDefault="00A52B39" w:rsidP="00CA2D94">
            <w:pPr>
              <w:jc w:val="center"/>
              <w:rPr>
                <w:b/>
                <w:bCs/>
                <w:lang w:val="en-US"/>
              </w:rPr>
            </w:pPr>
            <w:r w:rsidRPr="00D25DF4">
              <w:rPr>
                <w:b/>
                <w:bCs/>
                <w:lang w:val="en-US"/>
              </w:rPr>
              <w:t>Critical Value</w:t>
            </w:r>
          </w:p>
        </w:tc>
        <w:tc>
          <w:tcPr>
            <w:tcW w:w="1022" w:type="pct"/>
            <w:tcBorders>
              <w:top w:val="single" w:sz="4" w:space="0" w:color="auto"/>
              <w:right w:val="single" w:sz="4" w:space="0" w:color="auto"/>
            </w:tcBorders>
          </w:tcPr>
          <w:p w:rsidR="00A52B39" w:rsidRPr="00D25DF4" w:rsidRDefault="00A52B39" w:rsidP="00CA2D94">
            <w:pPr>
              <w:jc w:val="center"/>
              <w:rPr>
                <w:b/>
                <w:bCs/>
                <w:lang w:val="en-US"/>
              </w:rPr>
            </w:pPr>
            <w:r w:rsidRPr="00D25DF4">
              <w:rPr>
                <w:b/>
                <w:bCs/>
                <w:lang w:val="en-US"/>
              </w:rPr>
              <w:t>Max-Eigen St.</w:t>
            </w:r>
          </w:p>
        </w:tc>
        <w:tc>
          <w:tcPr>
            <w:tcW w:w="1189" w:type="pct"/>
            <w:tcBorders>
              <w:top w:val="single" w:sz="4" w:space="0" w:color="auto"/>
              <w:left w:val="single" w:sz="4" w:space="0" w:color="auto"/>
            </w:tcBorders>
          </w:tcPr>
          <w:p w:rsidR="00A52B39" w:rsidRPr="00D25DF4" w:rsidRDefault="00A52B39" w:rsidP="00CA2D94">
            <w:pPr>
              <w:jc w:val="center"/>
              <w:rPr>
                <w:b/>
                <w:bCs/>
                <w:lang w:val="en-US"/>
              </w:rPr>
            </w:pPr>
            <w:r w:rsidRPr="00D25DF4">
              <w:rPr>
                <w:b/>
                <w:bCs/>
                <w:lang w:val="en-US"/>
              </w:rPr>
              <w:t>Critical Value</w:t>
            </w:r>
          </w:p>
          <w:p w:rsidR="00A52B39" w:rsidRPr="00D25DF4" w:rsidRDefault="00A52B39" w:rsidP="00CA2D94">
            <w:pPr>
              <w:jc w:val="center"/>
              <w:rPr>
                <w:b/>
                <w:bCs/>
                <w:lang w:val="en-US"/>
              </w:rPr>
            </w:pPr>
          </w:p>
        </w:tc>
      </w:tr>
      <w:tr w:rsidR="00D25DF4" w:rsidRPr="00D25DF4" w:rsidTr="00A52B39">
        <w:trPr>
          <w:trHeight w:val="313"/>
          <w:jc w:val="center"/>
        </w:trPr>
        <w:tc>
          <w:tcPr>
            <w:tcW w:w="1178" w:type="pct"/>
            <w:vAlign w:val="bottom"/>
          </w:tcPr>
          <w:p w:rsidR="00A52B39" w:rsidRPr="00D25DF4" w:rsidRDefault="00A52B39" w:rsidP="00CA2D94">
            <w:pPr>
              <w:autoSpaceDE w:val="0"/>
              <w:autoSpaceDN w:val="0"/>
              <w:spacing w:line="240" w:lineRule="auto"/>
              <w:jc w:val="center"/>
            </w:pPr>
            <w:r w:rsidRPr="00D25DF4">
              <w:t>None *</w:t>
            </w:r>
          </w:p>
        </w:tc>
        <w:tc>
          <w:tcPr>
            <w:tcW w:w="700" w:type="pct"/>
            <w:tcBorders>
              <w:top w:val="single" w:sz="4" w:space="0" w:color="auto"/>
              <w:right w:val="single" w:sz="4" w:space="0" w:color="auto"/>
            </w:tcBorders>
            <w:vAlign w:val="bottom"/>
          </w:tcPr>
          <w:p w:rsidR="00A52B39" w:rsidRPr="00D25DF4" w:rsidRDefault="00A52B39" w:rsidP="00CA2D94">
            <w:pPr>
              <w:autoSpaceDE w:val="0"/>
              <w:autoSpaceDN w:val="0"/>
              <w:spacing w:line="240" w:lineRule="auto"/>
              <w:jc w:val="center"/>
            </w:pPr>
            <w:r w:rsidRPr="00D25DF4">
              <w:t>52.6104</w:t>
            </w:r>
          </w:p>
        </w:tc>
        <w:tc>
          <w:tcPr>
            <w:tcW w:w="912" w:type="pct"/>
            <w:tcBorders>
              <w:top w:val="single" w:sz="4" w:space="0" w:color="auto"/>
              <w:left w:val="single" w:sz="4" w:space="0" w:color="auto"/>
            </w:tcBorders>
            <w:vAlign w:val="bottom"/>
          </w:tcPr>
          <w:p w:rsidR="00A52B39" w:rsidRPr="00D25DF4" w:rsidRDefault="00A52B39" w:rsidP="00CA2D94">
            <w:pPr>
              <w:autoSpaceDE w:val="0"/>
              <w:autoSpaceDN w:val="0"/>
              <w:spacing w:line="240" w:lineRule="auto"/>
              <w:jc w:val="center"/>
            </w:pPr>
            <w:r w:rsidRPr="00D25DF4">
              <w:t>47.21</w:t>
            </w:r>
          </w:p>
        </w:tc>
        <w:tc>
          <w:tcPr>
            <w:tcW w:w="1022" w:type="pct"/>
            <w:tcBorders>
              <w:right w:val="single" w:sz="4" w:space="0" w:color="auto"/>
            </w:tcBorders>
            <w:vAlign w:val="bottom"/>
          </w:tcPr>
          <w:p w:rsidR="00A52B39" w:rsidRPr="00D25DF4" w:rsidRDefault="00A52B39" w:rsidP="00CA2D94">
            <w:pPr>
              <w:autoSpaceDE w:val="0"/>
              <w:autoSpaceDN w:val="0"/>
              <w:spacing w:line="240" w:lineRule="auto"/>
              <w:jc w:val="center"/>
            </w:pPr>
            <w:r w:rsidRPr="00D25DF4">
              <w:t>30.0253</w:t>
            </w:r>
          </w:p>
        </w:tc>
        <w:tc>
          <w:tcPr>
            <w:tcW w:w="1189" w:type="pct"/>
            <w:tcBorders>
              <w:left w:val="single" w:sz="4" w:space="0" w:color="auto"/>
            </w:tcBorders>
            <w:vAlign w:val="bottom"/>
          </w:tcPr>
          <w:p w:rsidR="00A52B39" w:rsidRPr="00D25DF4" w:rsidRDefault="00A52B39" w:rsidP="00CA2D94">
            <w:pPr>
              <w:autoSpaceDE w:val="0"/>
              <w:autoSpaceDN w:val="0"/>
              <w:spacing w:line="240" w:lineRule="auto"/>
              <w:jc w:val="center"/>
            </w:pPr>
            <w:r w:rsidRPr="00D25DF4">
              <w:t>27.07</w:t>
            </w:r>
          </w:p>
        </w:tc>
      </w:tr>
      <w:tr w:rsidR="00D25DF4" w:rsidRPr="00D25DF4" w:rsidTr="00A52B39">
        <w:trPr>
          <w:trHeight w:val="292"/>
          <w:jc w:val="center"/>
        </w:trPr>
        <w:tc>
          <w:tcPr>
            <w:tcW w:w="1178" w:type="pct"/>
            <w:vAlign w:val="bottom"/>
          </w:tcPr>
          <w:p w:rsidR="00A52B39" w:rsidRPr="00D25DF4" w:rsidRDefault="00A52B39" w:rsidP="00CA2D94">
            <w:pPr>
              <w:autoSpaceDE w:val="0"/>
              <w:autoSpaceDN w:val="0"/>
              <w:spacing w:line="240" w:lineRule="auto"/>
              <w:jc w:val="center"/>
            </w:pPr>
            <w:r w:rsidRPr="00D25DF4">
              <w:t xml:space="preserve">At most 1 </w:t>
            </w:r>
          </w:p>
        </w:tc>
        <w:tc>
          <w:tcPr>
            <w:tcW w:w="700" w:type="pct"/>
            <w:tcBorders>
              <w:right w:val="single" w:sz="4" w:space="0" w:color="auto"/>
            </w:tcBorders>
            <w:vAlign w:val="bottom"/>
          </w:tcPr>
          <w:p w:rsidR="00A52B39" w:rsidRPr="00D25DF4" w:rsidRDefault="00A52B39" w:rsidP="00CA2D94">
            <w:pPr>
              <w:autoSpaceDE w:val="0"/>
              <w:autoSpaceDN w:val="0"/>
              <w:spacing w:line="240" w:lineRule="auto"/>
              <w:jc w:val="center"/>
            </w:pPr>
            <w:r w:rsidRPr="00D25DF4">
              <w:t>22.5851</w:t>
            </w:r>
          </w:p>
        </w:tc>
        <w:tc>
          <w:tcPr>
            <w:tcW w:w="912" w:type="pct"/>
            <w:tcBorders>
              <w:left w:val="single" w:sz="4" w:space="0" w:color="auto"/>
            </w:tcBorders>
            <w:vAlign w:val="bottom"/>
          </w:tcPr>
          <w:p w:rsidR="00A52B39" w:rsidRPr="00D25DF4" w:rsidRDefault="00A52B39" w:rsidP="00CA2D94">
            <w:pPr>
              <w:autoSpaceDE w:val="0"/>
              <w:autoSpaceDN w:val="0"/>
              <w:spacing w:line="240" w:lineRule="auto"/>
              <w:jc w:val="center"/>
            </w:pPr>
            <w:r w:rsidRPr="00D25DF4">
              <w:t>29.68</w:t>
            </w:r>
          </w:p>
        </w:tc>
        <w:tc>
          <w:tcPr>
            <w:tcW w:w="1022" w:type="pct"/>
            <w:tcBorders>
              <w:right w:val="single" w:sz="4" w:space="0" w:color="auto"/>
            </w:tcBorders>
            <w:vAlign w:val="bottom"/>
          </w:tcPr>
          <w:p w:rsidR="00A52B39" w:rsidRPr="00D25DF4" w:rsidRDefault="00A52B39" w:rsidP="00CA2D94">
            <w:pPr>
              <w:autoSpaceDE w:val="0"/>
              <w:autoSpaceDN w:val="0"/>
              <w:spacing w:line="240" w:lineRule="auto"/>
              <w:jc w:val="center"/>
            </w:pPr>
            <w:r w:rsidRPr="00D25DF4">
              <w:t>12.9034</w:t>
            </w:r>
          </w:p>
        </w:tc>
        <w:tc>
          <w:tcPr>
            <w:tcW w:w="1189" w:type="pct"/>
            <w:tcBorders>
              <w:left w:val="single" w:sz="4" w:space="0" w:color="auto"/>
            </w:tcBorders>
            <w:vAlign w:val="bottom"/>
          </w:tcPr>
          <w:p w:rsidR="00A52B39" w:rsidRPr="00D25DF4" w:rsidRDefault="00A52B39" w:rsidP="00CA2D94">
            <w:pPr>
              <w:autoSpaceDE w:val="0"/>
              <w:autoSpaceDN w:val="0"/>
              <w:spacing w:line="240" w:lineRule="auto"/>
              <w:jc w:val="center"/>
            </w:pPr>
            <w:r w:rsidRPr="00D25DF4">
              <w:t>20.97</w:t>
            </w:r>
          </w:p>
        </w:tc>
      </w:tr>
      <w:tr w:rsidR="00D25DF4" w:rsidRPr="00D25DF4" w:rsidTr="00A52B39">
        <w:trPr>
          <w:trHeight w:val="94"/>
          <w:jc w:val="center"/>
        </w:trPr>
        <w:tc>
          <w:tcPr>
            <w:tcW w:w="1178" w:type="pct"/>
            <w:vAlign w:val="bottom"/>
          </w:tcPr>
          <w:p w:rsidR="00A52B39" w:rsidRPr="00D25DF4" w:rsidRDefault="00A52B39" w:rsidP="00CA2D94">
            <w:pPr>
              <w:autoSpaceDE w:val="0"/>
              <w:autoSpaceDN w:val="0"/>
              <w:spacing w:line="240" w:lineRule="auto"/>
              <w:jc w:val="center"/>
            </w:pPr>
            <w:r w:rsidRPr="00D25DF4">
              <w:t>At most 2</w:t>
            </w:r>
          </w:p>
        </w:tc>
        <w:tc>
          <w:tcPr>
            <w:tcW w:w="700" w:type="pct"/>
            <w:tcBorders>
              <w:right w:val="single" w:sz="4" w:space="0" w:color="auto"/>
            </w:tcBorders>
            <w:vAlign w:val="bottom"/>
          </w:tcPr>
          <w:p w:rsidR="00A52B39" w:rsidRPr="00D25DF4" w:rsidRDefault="00A52B39" w:rsidP="00CA2D94">
            <w:pPr>
              <w:autoSpaceDE w:val="0"/>
              <w:autoSpaceDN w:val="0"/>
              <w:spacing w:line="240" w:lineRule="auto"/>
              <w:jc w:val="center"/>
            </w:pPr>
            <w:r w:rsidRPr="00D25DF4">
              <w:t>9.68166</w:t>
            </w:r>
          </w:p>
        </w:tc>
        <w:tc>
          <w:tcPr>
            <w:tcW w:w="912" w:type="pct"/>
            <w:tcBorders>
              <w:left w:val="single" w:sz="4" w:space="0" w:color="auto"/>
            </w:tcBorders>
            <w:vAlign w:val="bottom"/>
          </w:tcPr>
          <w:p w:rsidR="00A52B39" w:rsidRPr="00D25DF4" w:rsidRDefault="00A52B39" w:rsidP="00CA2D94">
            <w:pPr>
              <w:autoSpaceDE w:val="0"/>
              <w:autoSpaceDN w:val="0"/>
              <w:spacing w:line="240" w:lineRule="auto"/>
              <w:jc w:val="center"/>
            </w:pPr>
            <w:r w:rsidRPr="00D25DF4">
              <w:t>15.41</w:t>
            </w:r>
          </w:p>
        </w:tc>
        <w:tc>
          <w:tcPr>
            <w:tcW w:w="1022" w:type="pct"/>
            <w:tcBorders>
              <w:right w:val="single" w:sz="4" w:space="0" w:color="auto"/>
            </w:tcBorders>
            <w:vAlign w:val="bottom"/>
          </w:tcPr>
          <w:p w:rsidR="00A52B39" w:rsidRPr="00D25DF4" w:rsidRDefault="00A52B39" w:rsidP="00CA2D94">
            <w:pPr>
              <w:autoSpaceDE w:val="0"/>
              <w:autoSpaceDN w:val="0"/>
              <w:spacing w:line="240" w:lineRule="auto"/>
              <w:jc w:val="center"/>
            </w:pPr>
            <w:r w:rsidRPr="00D25DF4">
              <w:t>9.6816</w:t>
            </w:r>
          </w:p>
        </w:tc>
        <w:tc>
          <w:tcPr>
            <w:tcW w:w="1189" w:type="pct"/>
            <w:tcBorders>
              <w:left w:val="single" w:sz="4" w:space="0" w:color="auto"/>
            </w:tcBorders>
            <w:vAlign w:val="bottom"/>
          </w:tcPr>
          <w:p w:rsidR="00A52B39" w:rsidRPr="00D25DF4" w:rsidRDefault="00A52B39" w:rsidP="00CA2D94">
            <w:pPr>
              <w:autoSpaceDE w:val="0"/>
              <w:autoSpaceDN w:val="0"/>
              <w:spacing w:line="240" w:lineRule="auto"/>
              <w:jc w:val="center"/>
            </w:pPr>
            <w:r w:rsidRPr="00D25DF4">
              <w:t>14.07</w:t>
            </w:r>
          </w:p>
        </w:tc>
      </w:tr>
      <w:tr w:rsidR="00D25DF4" w:rsidRPr="00D25DF4" w:rsidTr="00A52B39">
        <w:trPr>
          <w:trHeight w:val="313"/>
          <w:jc w:val="center"/>
        </w:trPr>
        <w:tc>
          <w:tcPr>
            <w:tcW w:w="1178" w:type="pct"/>
            <w:vAlign w:val="bottom"/>
          </w:tcPr>
          <w:p w:rsidR="00A52B39" w:rsidRPr="00D25DF4" w:rsidRDefault="00A52B39" w:rsidP="00CA2D94">
            <w:pPr>
              <w:autoSpaceDE w:val="0"/>
              <w:autoSpaceDN w:val="0"/>
              <w:spacing w:line="240" w:lineRule="auto"/>
              <w:jc w:val="center"/>
            </w:pPr>
            <w:r w:rsidRPr="00D25DF4">
              <w:t>At most 3</w:t>
            </w:r>
          </w:p>
        </w:tc>
        <w:tc>
          <w:tcPr>
            <w:tcW w:w="700" w:type="pct"/>
            <w:tcBorders>
              <w:right w:val="single" w:sz="4" w:space="0" w:color="auto"/>
            </w:tcBorders>
            <w:vAlign w:val="bottom"/>
          </w:tcPr>
          <w:p w:rsidR="00A52B39" w:rsidRPr="00D25DF4" w:rsidRDefault="00A52B39" w:rsidP="00CA2D94">
            <w:pPr>
              <w:autoSpaceDE w:val="0"/>
              <w:autoSpaceDN w:val="0"/>
              <w:spacing w:line="240" w:lineRule="auto"/>
              <w:jc w:val="center"/>
            </w:pPr>
            <w:r w:rsidRPr="00D25DF4">
              <w:t>2.27E-05</w:t>
            </w:r>
          </w:p>
        </w:tc>
        <w:tc>
          <w:tcPr>
            <w:tcW w:w="912" w:type="pct"/>
            <w:tcBorders>
              <w:left w:val="single" w:sz="4" w:space="0" w:color="auto"/>
            </w:tcBorders>
            <w:vAlign w:val="bottom"/>
          </w:tcPr>
          <w:p w:rsidR="00A52B39" w:rsidRPr="00D25DF4" w:rsidRDefault="00A52B39" w:rsidP="00CA2D94">
            <w:pPr>
              <w:autoSpaceDE w:val="0"/>
              <w:autoSpaceDN w:val="0"/>
              <w:spacing w:line="240" w:lineRule="auto"/>
              <w:jc w:val="center"/>
            </w:pPr>
            <w:r w:rsidRPr="00D25DF4">
              <w:t>3.37</w:t>
            </w:r>
          </w:p>
        </w:tc>
        <w:tc>
          <w:tcPr>
            <w:tcW w:w="1022" w:type="pct"/>
            <w:tcBorders>
              <w:right w:val="single" w:sz="4" w:space="0" w:color="auto"/>
            </w:tcBorders>
            <w:vAlign w:val="bottom"/>
          </w:tcPr>
          <w:p w:rsidR="00A52B39" w:rsidRPr="00D25DF4" w:rsidRDefault="00A52B39" w:rsidP="00CA2D94">
            <w:pPr>
              <w:autoSpaceDE w:val="0"/>
              <w:autoSpaceDN w:val="0"/>
              <w:spacing w:line="240" w:lineRule="auto"/>
              <w:jc w:val="center"/>
            </w:pPr>
            <w:r w:rsidRPr="00D25DF4">
              <w:t>2.27E-05</w:t>
            </w:r>
          </w:p>
        </w:tc>
        <w:tc>
          <w:tcPr>
            <w:tcW w:w="1189" w:type="pct"/>
            <w:tcBorders>
              <w:left w:val="single" w:sz="4" w:space="0" w:color="auto"/>
            </w:tcBorders>
            <w:vAlign w:val="bottom"/>
          </w:tcPr>
          <w:p w:rsidR="00A52B39" w:rsidRPr="00D25DF4" w:rsidRDefault="00A52B39" w:rsidP="00CA2D94">
            <w:pPr>
              <w:autoSpaceDE w:val="0"/>
              <w:autoSpaceDN w:val="0"/>
              <w:spacing w:line="240" w:lineRule="auto"/>
              <w:jc w:val="center"/>
            </w:pPr>
            <w:r w:rsidRPr="00D25DF4">
              <w:t>3.76</w:t>
            </w:r>
          </w:p>
        </w:tc>
      </w:tr>
    </w:tbl>
    <w:p w:rsidR="00084025" w:rsidRPr="00D25DF4" w:rsidRDefault="00ED66A6" w:rsidP="00A52B39">
      <w:pPr>
        <w:spacing w:line="240" w:lineRule="auto"/>
        <w:rPr>
          <w:lang w:val="en-US"/>
        </w:rPr>
      </w:pPr>
      <w:r w:rsidRPr="00D25DF4">
        <w:rPr>
          <w:lang w:val="en-US"/>
        </w:rPr>
        <w:t> </w:t>
      </w:r>
    </w:p>
    <w:p w:rsidR="00ED66A6" w:rsidRPr="00D25DF4" w:rsidRDefault="00ED66A6" w:rsidP="00DF4AA3">
      <w:pPr>
        <w:spacing w:line="240" w:lineRule="auto"/>
        <w:rPr>
          <w:lang w:val="en-US"/>
        </w:rPr>
      </w:pPr>
      <w:r w:rsidRPr="00D25DF4">
        <w:rPr>
          <w:lang w:val="en-US"/>
        </w:rPr>
        <w:t>Trace test indicates 1 cointegratingeqn(s) at the 0.05 level</w:t>
      </w:r>
    </w:p>
    <w:p w:rsidR="00ED66A6" w:rsidRPr="00D25DF4" w:rsidRDefault="00ED66A6" w:rsidP="00DF4AA3">
      <w:pPr>
        <w:spacing w:line="240" w:lineRule="auto"/>
        <w:rPr>
          <w:lang w:val="en-US"/>
        </w:rPr>
      </w:pPr>
      <w:r w:rsidRPr="00D25DF4">
        <w:rPr>
          <w:lang w:val="en-US"/>
        </w:rPr>
        <w:t> Max-eigenvalue test indicates 1 cointegration</w:t>
      </w:r>
      <w:r w:rsidR="00A52B39" w:rsidRPr="00D25DF4">
        <w:rPr>
          <w:lang w:val="en-US"/>
        </w:rPr>
        <w:t xml:space="preserve">eqn(s) </w:t>
      </w:r>
      <w:r w:rsidRPr="00D25DF4">
        <w:rPr>
          <w:lang w:val="en-US"/>
        </w:rPr>
        <w:t xml:space="preserve"> at the 0.05 level</w:t>
      </w:r>
    </w:p>
    <w:p w:rsidR="00ED66A6" w:rsidRPr="00D25DF4" w:rsidRDefault="00ED66A6" w:rsidP="00DF4AA3">
      <w:pPr>
        <w:spacing w:line="240" w:lineRule="auto"/>
        <w:rPr>
          <w:lang w:val="en-US"/>
        </w:rPr>
      </w:pPr>
      <w:r w:rsidRPr="00D25DF4">
        <w:rPr>
          <w:lang w:val="en-US"/>
        </w:rPr>
        <w:t>* denotes rejection of the hypothesis at the 0.05 level</w:t>
      </w:r>
    </w:p>
    <w:p w:rsidR="00ED66A6" w:rsidRPr="00D25DF4" w:rsidRDefault="00ED66A6" w:rsidP="005F6267">
      <w:pPr>
        <w:spacing w:line="240" w:lineRule="auto"/>
        <w:rPr>
          <w:sz w:val="24"/>
          <w:szCs w:val="24"/>
          <w:lang w:val="en-US"/>
        </w:rPr>
      </w:pPr>
    </w:p>
    <w:p w:rsidR="00EF04A8" w:rsidRPr="00D25DF4" w:rsidRDefault="00614B05" w:rsidP="00614B05">
      <w:pPr>
        <w:widowControl/>
        <w:autoSpaceDE w:val="0"/>
        <w:autoSpaceDN w:val="0"/>
        <w:spacing w:line="240" w:lineRule="auto"/>
        <w:textAlignment w:val="auto"/>
        <w:rPr>
          <w:sz w:val="24"/>
          <w:szCs w:val="24"/>
          <w:lang w:val="en-US"/>
        </w:rPr>
      </w:pPr>
      <w:r w:rsidRPr="00D25DF4">
        <w:rPr>
          <w:sz w:val="24"/>
          <w:szCs w:val="24"/>
          <w:lang w:val="en-US"/>
        </w:rPr>
        <w:t>The results of the trace and the maximum-eigenvalue tests</w:t>
      </w:r>
      <w:r w:rsidRPr="00D25DF4">
        <w:rPr>
          <w:rFonts w:asciiTheme="majorBidi" w:eastAsia="Gill Sans MT" w:hAnsiTheme="majorBidi" w:cstheme="majorBidi"/>
          <w:sz w:val="24"/>
          <w:szCs w:val="24"/>
          <w:lang w:val="en-US"/>
        </w:rPr>
        <w:t xml:space="preserve"> indicate that there exist relationships between variables. Therefore, all the variables are cointegrated. </w:t>
      </w:r>
      <w:r w:rsidR="00EF04A8" w:rsidRPr="00D25DF4">
        <w:rPr>
          <w:sz w:val="24"/>
          <w:szCs w:val="24"/>
          <w:lang w:val="en-US"/>
        </w:rPr>
        <w:t xml:space="preserve">Table </w:t>
      </w:r>
      <w:r w:rsidRPr="00D25DF4">
        <w:rPr>
          <w:sz w:val="24"/>
          <w:szCs w:val="24"/>
          <w:lang w:val="en-US"/>
        </w:rPr>
        <w:t>(3</w:t>
      </w:r>
      <w:r w:rsidR="00EF04A8" w:rsidRPr="00D25DF4">
        <w:rPr>
          <w:sz w:val="24"/>
          <w:szCs w:val="24"/>
          <w:lang w:val="en-US"/>
        </w:rPr>
        <w:t xml:space="preserve">) below presents the normalized long-run relationship based on the model in the equation (1). The coefficients in the long-run relationship are long-run elasticities. </w:t>
      </w:r>
    </w:p>
    <w:p w:rsidR="00EF04A8" w:rsidRPr="00D25DF4" w:rsidRDefault="00EF04A8" w:rsidP="00EF04A8">
      <w:pPr>
        <w:spacing w:line="240" w:lineRule="auto"/>
        <w:jc w:val="left"/>
        <w:rPr>
          <w:sz w:val="24"/>
          <w:szCs w:val="24"/>
          <w:lang w:val="en-US"/>
        </w:rPr>
      </w:pPr>
    </w:p>
    <w:p w:rsidR="00ED66A6" w:rsidRPr="00D25DF4" w:rsidRDefault="00ED66A6" w:rsidP="001112AA">
      <w:pPr>
        <w:spacing w:line="240" w:lineRule="auto"/>
        <w:jc w:val="center"/>
        <w:rPr>
          <w:b/>
          <w:bCs/>
          <w:sz w:val="24"/>
          <w:szCs w:val="24"/>
          <w:lang w:val="en-US"/>
        </w:rPr>
      </w:pPr>
      <w:r w:rsidRPr="00D25DF4">
        <w:rPr>
          <w:b/>
          <w:bCs/>
          <w:sz w:val="24"/>
          <w:szCs w:val="24"/>
          <w:lang w:val="en-US"/>
        </w:rPr>
        <w:t>Table3. Long-run elasticiti</w:t>
      </w:r>
      <w:r w:rsidR="006C165B" w:rsidRPr="00D25DF4">
        <w:rPr>
          <w:b/>
          <w:bCs/>
          <w:sz w:val="24"/>
          <w:szCs w:val="24"/>
          <w:lang w:val="en-US"/>
        </w:rPr>
        <w:t>es, dependent variable is LGDPPC</w:t>
      </w:r>
    </w:p>
    <w:p w:rsidR="00ED66A6" w:rsidRPr="00D25DF4" w:rsidRDefault="00ED66A6" w:rsidP="005F6267">
      <w:pPr>
        <w:spacing w:line="240" w:lineRule="auto"/>
        <w:rPr>
          <w:sz w:val="24"/>
          <w:szCs w:val="24"/>
          <w:lang w:val="en-US"/>
        </w:rPr>
      </w:pPr>
    </w:p>
    <w:tbl>
      <w:tblPr>
        <w:tblW w:w="5902" w:type="dxa"/>
        <w:jc w:val="center"/>
        <w:tblCellMar>
          <w:left w:w="70" w:type="dxa"/>
          <w:right w:w="70" w:type="dxa"/>
        </w:tblCellMar>
        <w:tblLook w:val="00A0"/>
      </w:tblPr>
      <w:tblGrid>
        <w:gridCol w:w="1229"/>
        <w:gridCol w:w="1427"/>
        <w:gridCol w:w="1707"/>
        <w:gridCol w:w="1539"/>
      </w:tblGrid>
      <w:tr w:rsidR="00D25DF4" w:rsidRPr="00D25DF4" w:rsidTr="00436117">
        <w:trPr>
          <w:trHeight w:val="342"/>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D66A6" w:rsidRPr="00D25DF4" w:rsidRDefault="00ED66A6" w:rsidP="00013C07">
            <w:pPr>
              <w:widowControl/>
              <w:adjustRightInd/>
              <w:spacing w:line="240" w:lineRule="auto"/>
              <w:jc w:val="left"/>
              <w:textAlignment w:val="auto"/>
              <w:rPr>
                <w:b/>
                <w:bCs/>
              </w:rPr>
            </w:pPr>
            <w:r w:rsidRPr="00D25DF4">
              <w:rPr>
                <w:b/>
                <w:bCs/>
              </w:rPr>
              <w:t xml:space="preserve">variables </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rPr>
                <w:b/>
                <w:bCs/>
              </w:rPr>
            </w:pPr>
            <w:r w:rsidRPr="00D25DF4">
              <w:rPr>
                <w:b/>
                <w:bCs/>
              </w:rPr>
              <w:t>FDI</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rPr>
                <w:b/>
                <w:bCs/>
              </w:rPr>
            </w:pPr>
            <w:r w:rsidRPr="00D25DF4">
              <w:rPr>
                <w:b/>
                <w:bCs/>
              </w:rPr>
              <w:t>OPEN</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rPr>
                <w:b/>
                <w:bCs/>
              </w:rPr>
            </w:pPr>
            <w:r w:rsidRPr="00D25DF4">
              <w:rPr>
                <w:b/>
                <w:bCs/>
              </w:rPr>
              <w:t>INFRA</w:t>
            </w:r>
          </w:p>
        </w:tc>
      </w:tr>
      <w:tr w:rsidR="00D25DF4" w:rsidRPr="00D25DF4" w:rsidTr="00436117">
        <w:trPr>
          <w:trHeight w:val="342"/>
          <w:jc w:val="center"/>
        </w:trPr>
        <w:tc>
          <w:tcPr>
            <w:tcW w:w="0" w:type="auto"/>
            <w:tcBorders>
              <w:top w:val="nil"/>
              <w:left w:val="single" w:sz="4" w:space="0" w:color="auto"/>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rPr>
                <w:i/>
                <w:iCs/>
              </w:rPr>
            </w:pPr>
            <w:r w:rsidRPr="00D25DF4">
              <w:rPr>
                <w:i/>
                <w:iCs/>
              </w:rPr>
              <w:t>Coefficients</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 3.722206</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0.360618</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0.101179</w:t>
            </w:r>
          </w:p>
        </w:tc>
      </w:tr>
      <w:tr w:rsidR="00D25DF4" w:rsidRPr="00D25DF4" w:rsidTr="00436117">
        <w:trPr>
          <w:trHeight w:val="342"/>
          <w:jc w:val="center"/>
        </w:trPr>
        <w:tc>
          <w:tcPr>
            <w:tcW w:w="0" w:type="auto"/>
            <w:tcBorders>
              <w:top w:val="nil"/>
              <w:left w:val="single" w:sz="4" w:space="0" w:color="auto"/>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rPr>
                <w:i/>
                <w:iCs/>
              </w:rPr>
            </w:pPr>
            <w:r w:rsidRPr="00D25DF4">
              <w:rPr>
                <w:i/>
                <w:iCs/>
              </w:rPr>
              <w:t>Std.Error</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 (0.80424)</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 (0.12008)</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 (0.05384)</w:t>
            </w:r>
          </w:p>
        </w:tc>
      </w:tr>
      <w:tr w:rsidR="00D25DF4" w:rsidRPr="00D25DF4" w:rsidTr="00436117">
        <w:trPr>
          <w:trHeight w:val="342"/>
          <w:jc w:val="center"/>
        </w:trPr>
        <w:tc>
          <w:tcPr>
            <w:tcW w:w="0" w:type="auto"/>
            <w:tcBorders>
              <w:top w:val="nil"/>
              <w:left w:val="single" w:sz="4" w:space="0" w:color="auto"/>
              <w:bottom w:val="single" w:sz="4" w:space="0" w:color="auto"/>
              <w:right w:val="single" w:sz="4" w:space="0" w:color="auto"/>
            </w:tcBorders>
            <w:noWrap/>
            <w:vAlign w:val="bottom"/>
          </w:tcPr>
          <w:p w:rsidR="00ED66A6" w:rsidRPr="00D25DF4" w:rsidRDefault="00ED66A6" w:rsidP="00013C07">
            <w:pPr>
              <w:widowControl/>
              <w:adjustRightInd/>
              <w:spacing w:line="240" w:lineRule="auto"/>
              <w:jc w:val="center"/>
              <w:textAlignment w:val="auto"/>
              <w:rPr>
                <w:i/>
                <w:iCs/>
              </w:rPr>
            </w:pPr>
            <w:r w:rsidRPr="00D25DF4">
              <w:rPr>
                <w:i/>
                <w:iCs/>
              </w:rPr>
              <w:t>T-Statistic</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[ 4.62820]***</w:t>
            </w:r>
          </w:p>
        </w:tc>
        <w:tc>
          <w:tcPr>
            <w:tcW w:w="0" w:type="auto"/>
            <w:tcBorders>
              <w:top w:val="nil"/>
              <w:left w:val="nil"/>
              <w:bottom w:val="single" w:sz="4" w:space="0" w:color="auto"/>
              <w:right w:val="single" w:sz="4" w:space="0" w:color="auto"/>
            </w:tcBorders>
            <w:vAlign w:val="bottom"/>
          </w:tcPr>
          <w:p w:rsidR="00ED66A6" w:rsidRPr="00D25DF4" w:rsidRDefault="00ED66A6" w:rsidP="00436117">
            <w:pPr>
              <w:widowControl/>
              <w:adjustRightInd/>
              <w:spacing w:line="240" w:lineRule="auto"/>
              <w:jc w:val="center"/>
              <w:textAlignment w:val="auto"/>
            </w:pPr>
            <w:r w:rsidRPr="00D25DF4">
              <w:t xml:space="preserve">      [3.00317]***</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 xml:space="preserve">     [1.87923]**</w:t>
            </w:r>
          </w:p>
        </w:tc>
      </w:tr>
      <w:tr w:rsidR="00D25DF4" w:rsidRPr="00D25DF4" w:rsidTr="00436117">
        <w:trPr>
          <w:trHeight w:val="342"/>
          <w:jc w:val="center"/>
        </w:trPr>
        <w:tc>
          <w:tcPr>
            <w:tcW w:w="0" w:type="auto"/>
            <w:tcBorders>
              <w:top w:val="nil"/>
              <w:left w:val="single" w:sz="4" w:space="0" w:color="auto"/>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rPr>
                <w:i/>
                <w:iCs/>
              </w:rPr>
            </w:pPr>
            <w:r w:rsidRPr="00D25DF4">
              <w:rPr>
                <w:i/>
                <w:iCs/>
              </w:rPr>
              <w:t>C</w:t>
            </w:r>
          </w:p>
        </w:tc>
        <w:tc>
          <w:tcPr>
            <w:tcW w:w="0" w:type="auto"/>
            <w:tcBorders>
              <w:top w:val="nil"/>
              <w:left w:val="nil"/>
              <w:bottom w:val="single" w:sz="4" w:space="0" w:color="auto"/>
              <w:right w:val="nil"/>
            </w:tcBorders>
            <w:noWrap/>
            <w:vAlign w:val="bottom"/>
          </w:tcPr>
          <w:p w:rsidR="00ED66A6" w:rsidRPr="00D25DF4" w:rsidRDefault="00ED66A6" w:rsidP="00013C07">
            <w:pPr>
              <w:widowControl/>
              <w:adjustRightInd/>
              <w:spacing w:line="240" w:lineRule="auto"/>
              <w:jc w:val="left"/>
              <w:textAlignment w:val="auto"/>
            </w:pPr>
            <w:r w:rsidRPr="00D25DF4">
              <w:t> </w:t>
            </w:r>
          </w:p>
        </w:tc>
        <w:tc>
          <w:tcPr>
            <w:tcW w:w="0" w:type="auto"/>
            <w:tcBorders>
              <w:top w:val="nil"/>
              <w:left w:val="nil"/>
              <w:bottom w:val="single" w:sz="4" w:space="0" w:color="auto"/>
              <w:right w:val="nil"/>
            </w:tcBorders>
            <w:vAlign w:val="bottom"/>
          </w:tcPr>
          <w:p w:rsidR="00ED66A6" w:rsidRPr="00D25DF4" w:rsidRDefault="00ED66A6" w:rsidP="00013C07">
            <w:pPr>
              <w:widowControl/>
              <w:adjustRightInd/>
              <w:spacing w:line="240" w:lineRule="auto"/>
              <w:jc w:val="center"/>
              <w:textAlignment w:val="auto"/>
            </w:pPr>
            <w:r w:rsidRPr="00D25DF4">
              <w:t> 29.11717</w:t>
            </w:r>
          </w:p>
        </w:tc>
        <w:tc>
          <w:tcPr>
            <w:tcW w:w="0" w:type="auto"/>
            <w:tcBorders>
              <w:top w:val="nil"/>
              <w:left w:val="nil"/>
              <w:bottom w:val="single" w:sz="4" w:space="0" w:color="auto"/>
              <w:right w:val="single" w:sz="4" w:space="0" w:color="auto"/>
            </w:tcBorders>
            <w:vAlign w:val="bottom"/>
          </w:tcPr>
          <w:p w:rsidR="00ED66A6" w:rsidRPr="00D25DF4" w:rsidRDefault="00ED66A6" w:rsidP="00013C07">
            <w:pPr>
              <w:widowControl/>
              <w:adjustRightInd/>
              <w:spacing w:line="240" w:lineRule="auto"/>
              <w:jc w:val="center"/>
              <w:textAlignment w:val="auto"/>
            </w:pPr>
            <w:r w:rsidRPr="00D25DF4">
              <w:t> </w:t>
            </w:r>
          </w:p>
        </w:tc>
      </w:tr>
    </w:tbl>
    <w:p w:rsidR="00ED66A6" w:rsidRPr="00D25DF4" w:rsidRDefault="00ED66A6" w:rsidP="008A486A">
      <w:pPr>
        <w:spacing w:before="100" w:beforeAutospacing="1" w:after="100" w:afterAutospacing="1" w:line="240" w:lineRule="auto"/>
        <w:rPr>
          <w:sz w:val="24"/>
          <w:szCs w:val="24"/>
          <w:lang w:val="en-GB"/>
        </w:rPr>
      </w:pPr>
      <w:r w:rsidRPr="00D25DF4">
        <w:rPr>
          <w:sz w:val="24"/>
          <w:szCs w:val="24"/>
          <w:lang w:val="en-GB"/>
        </w:rPr>
        <w:t>The result of long-run association reveals that FDI acts positively and signi</w:t>
      </w:r>
      <w:r w:rsidR="008A486A" w:rsidRPr="00D25DF4">
        <w:rPr>
          <w:sz w:val="24"/>
          <w:szCs w:val="24"/>
          <w:lang w:val="en-GB"/>
        </w:rPr>
        <w:t>ficantly on the economic growth</w:t>
      </w:r>
      <w:r w:rsidRPr="00D25DF4">
        <w:rPr>
          <w:sz w:val="24"/>
          <w:szCs w:val="24"/>
          <w:lang w:val="en-GB"/>
        </w:rPr>
        <w:t xml:space="preserve">.Although that the Saudi Arabia is considered as a dependent-oil country, the FDI inflows is seemed to be determinant for this economy.  FDI transmitted by the multinational corporation have several welfare advantages, one of which is the technology transfer. The main channel through which FDI contributes to economic growth is by stimulating technological progress, which affect positively the economic growth </w:t>
      </w:r>
      <w:r w:rsidRPr="00D25DF4">
        <w:rPr>
          <w:lang w:val="en-US"/>
        </w:rPr>
        <w:t>(</w:t>
      </w:r>
      <w:r w:rsidRPr="00D25DF4">
        <w:rPr>
          <w:sz w:val="24"/>
          <w:szCs w:val="24"/>
          <w:lang w:val="en-GB"/>
        </w:rPr>
        <w:t xml:space="preserve">E. Borensztein (1998)).Foreign firms introduce new products or processes to the domestic market, domestic firms may benefit from the accelerated diffusion of new technology (David J. Teece, 1977). </w:t>
      </w:r>
    </w:p>
    <w:p w:rsidR="00ED66A6" w:rsidRPr="00D25DF4" w:rsidRDefault="00ED66A6" w:rsidP="00B52513">
      <w:pPr>
        <w:spacing w:before="100" w:beforeAutospacing="1" w:after="100" w:afterAutospacing="1" w:line="240" w:lineRule="auto"/>
        <w:rPr>
          <w:sz w:val="24"/>
          <w:szCs w:val="24"/>
          <w:lang w:val="en-GB"/>
        </w:rPr>
      </w:pPr>
      <w:r w:rsidRPr="00D25DF4">
        <w:rPr>
          <w:sz w:val="24"/>
          <w:szCs w:val="24"/>
          <w:lang w:val="en-GB"/>
        </w:rPr>
        <w:t xml:space="preserve">To fight the competition of foreign company, domestic firms try to increase their productivity by observing nearby foreign firms. An increase of productivity can stimulate the growth economic. Foreign firms initiate more on-the-job training programs than their domestic counterparts (Ralph B. Edfelt, 1975; ReinaldoGonclaves, 1986). Also inflows of FDI can increase employment through establishing linkages with domestic firms through purchases of locally produced goods and services and may introduces new and better quality inputs to be used in the production of upstream domestic firm. However, inflows of FDI might decrease employment in domestic firms. This will happen if foreign firms increase the competition for domestic firms. </w:t>
      </w:r>
    </w:p>
    <w:p w:rsidR="00ED66A6" w:rsidRPr="00D25DF4" w:rsidRDefault="00005760" w:rsidP="00320898">
      <w:pPr>
        <w:spacing w:before="100" w:beforeAutospacing="1" w:after="100" w:afterAutospacing="1" w:line="240" w:lineRule="auto"/>
        <w:rPr>
          <w:sz w:val="24"/>
          <w:szCs w:val="24"/>
          <w:lang w:val="en-GB"/>
        </w:rPr>
      </w:pPr>
      <w:r w:rsidRPr="00D25DF4">
        <w:rPr>
          <w:sz w:val="24"/>
          <w:szCs w:val="24"/>
          <w:lang w:val="en-GB"/>
        </w:rPr>
        <w:t>T</w:t>
      </w:r>
      <w:r w:rsidR="00ED66A6" w:rsidRPr="00D25DF4">
        <w:rPr>
          <w:sz w:val="24"/>
          <w:szCs w:val="24"/>
          <w:lang w:val="en-GB"/>
        </w:rPr>
        <w:t>he trade openness acts</w:t>
      </w:r>
      <w:r w:rsidRPr="00D25DF4">
        <w:rPr>
          <w:sz w:val="24"/>
          <w:szCs w:val="24"/>
          <w:lang w:val="en-GB"/>
        </w:rPr>
        <w:t xml:space="preserve"> positively</w:t>
      </w:r>
      <w:r w:rsidR="00ED66A6" w:rsidRPr="00D25DF4">
        <w:rPr>
          <w:sz w:val="24"/>
          <w:szCs w:val="24"/>
          <w:lang w:val="en-GB"/>
        </w:rPr>
        <w:t xml:space="preserve"> and significantly on the economic growth. Normally, countries that are more open have a greater ability to facilate transfer technologies of the rest </w:t>
      </w:r>
      <w:r w:rsidR="00ED66A6" w:rsidRPr="00D25DF4">
        <w:rPr>
          <w:sz w:val="24"/>
          <w:szCs w:val="24"/>
          <w:lang w:val="en-GB"/>
        </w:rPr>
        <w:lastRenderedPageBreak/>
        <w:t xml:space="preserve">of the world. Also trade openness promotes the efficient allocation of resources through comparative advantage, allows the dissemination of knowledge and technological progress, and encourages competition in domestic and international markets. Our finding is </w:t>
      </w:r>
      <w:r w:rsidR="00894D4E" w:rsidRPr="00D25DF4">
        <w:rPr>
          <w:sz w:val="24"/>
          <w:szCs w:val="24"/>
          <w:lang w:val="en-GB"/>
        </w:rPr>
        <w:t xml:space="preserve">consistent </w:t>
      </w:r>
      <w:r w:rsidR="00ED66A6" w:rsidRPr="00D25DF4">
        <w:rPr>
          <w:sz w:val="24"/>
          <w:szCs w:val="24"/>
          <w:lang w:val="en-GB"/>
        </w:rPr>
        <w:t>with the studies of Romer (1993), Grossman and Helpman (1991)</w:t>
      </w:r>
      <w:r w:rsidR="003509FD" w:rsidRPr="00D25DF4">
        <w:rPr>
          <w:sz w:val="24"/>
          <w:szCs w:val="24"/>
          <w:lang w:val="en-GB"/>
        </w:rPr>
        <w:t>.</w:t>
      </w:r>
    </w:p>
    <w:p w:rsidR="00ED66A6" w:rsidRPr="00D25DF4" w:rsidRDefault="00ED66A6" w:rsidP="00B52513">
      <w:pPr>
        <w:spacing w:before="100" w:beforeAutospacing="1" w:after="100" w:afterAutospacing="1" w:line="240" w:lineRule="auto"/>
        <w:rPr>
          <w:sz w:val="24"/>
          <w:szCs w:val="24"/>
          <w:lang w:val="en-GB"/>
        </w:rPr>
      </w:pPr>
      <w:r w:rsidRPr="00D25DF4">
        <w:rPr>
          <w:sz w:val="24"/>
          <w:szCs w:val="24"/>
          <w:lang w:val="en-GB"/>
        </w:rPr>
        <w:t xml:space="preserve">The variable (INFRA) exerts a positive and signivicative effect of the economic growth. The effect of air transport as a proxy of infrastructure on economic growth is not similar to other transport modes. It offers advantage comparative such as: speed, cost, flexibility and reliability. Air transport provides the connections to overseas economies that are essential for the country’s economy to be interconnected with markets and global supply chains in the worldwide. Air transport contributes to the country’s GDP by generating wages, profits and tax payments and also supports jobs and value-added.  It is a key infrastructure asset for the country, connecting businesses and people to facilitate the growth of exports and import which are form a crucial part of the economy. Also, infrastructure facilitates international trade, foreign direct investment and tourism, which are determinant for the growth of a country. In addition to the direct financial and the macroeconomic effects, air transportation impacts economy by providing more easy possibilities to access to markets, capital, R&amp;D and technology. </w:t>
      </w:r>
    </w:p>
    <w:p w:rsidR="00ED66A6" w:rsidRPr="00D25DF4" w:rsidRDefault="00ED66A6" w:rsidP="00B52513">
      <w:pPr>
        <w:spacing w:before="100" w:beforeAutospacing="1" w:after="100" w:afterAutospacing="1" w:line="240" w:lineRule="auto"/>
        <w:rPr>
          <w:b/>
          <w:bCs/>
          <w:sz w:val="24"/>
          <w:szCs w:val="24"/>
          <w:lang w:val="en-GB"/>
        </w:rPr>
      </w:pPr>
      <w:r w:rsidRPr="00D25DF4">
        <w:rPr>
          <w:b/>
          <w:bCs/>
          <w:sz w:val="24"/>
          <w:szCs w:val="24"/>
          <w:lang w:val="en-GB"/>
        </w:rPr>
        <w:t>4.4. VECM results</w:t>
      </w:r>
    </w:p>
    <w:p w:rsidR="00ED66A6" w:rsidRPr="00D25DF4" w:rsidRDefault="00ED66A6" w:rsidP="007B7A30">
      <w:pPr>
        <w:spacing w:line="240" w:lineRule="auto"/>
        <w:rPr>
          <w:sz w:val="24"/>
          <w:szCs w:val="24"/>
          <w:lang w:val="en-GB"/>
        </w:rPr>
      </w:pPr>
      <w:r w:rsidRPr="00D25DF4">
        <w:rPr>
          <w:sz w:val="24"/>
          <w:szCs w:val="24"/>
          <w:lang w:val="en-US"/>
        </w:rPr>
        <w:t xml:space="preserve">According to Engle and Granger, (1987), the existence of cointegration signifies that there is a long-run equilibrium relationship among the variables. The VECM is used to correct the disequilibrium in the cointegration relationship. </w:t>
      </w:r>
      <w:r w:rsidRPr="00D25DF4">
        <w:rPr>
          <w:sz w:val="24"/>
          <w:szCs w:val="24"/>
          <w:lang w:val="en-GB"/>
        </w:rPr>
        <w:t xml:space="preserve">If a set of variables are found to have one or more cointegrating vectors then a suitable estimation technique is a VECM which adjusts to both short run changes in variables and deviations from equilibrium. </w:t>
      </w:r>
      <w:r w:rsidRPr="00D25DF4">
        <w:rPr>
          <w:sz w:val="24"/>
          <w:szCs w:val="24"/>
          <w:lang w:val="en-US"/>
        </w:rPr>
        <w:t>The VECM can be written as follows:</w:t>
      </w:r>
    </w:p>
    <w:tbl>
      <w:tblPr>
        <w:tblW w:w="9912" w:type="dxa"/>
        <w:tblLayout w:type="fixed"/>
        <w:tblLook w:val="00A0"/>
      </w:tblPr>
      <w:tblGrid>
        <w:gridCol w:w="9912"/>
      </w:tblGrid>
      <w:tr w:rsidR="00D25DF4" w:rsidRPr="00D25DF4" w:rsidTr="00135EBE">
        <w:trPr>
          <w:trHeight w:val="1882"/>
        </w:trPr>
        <w:tc>
          <w:tcPr>
            <w:tcW w:w="9912" w:type="dxa"/>
          </w:tcPr>
          <w:p w:rsidR="00ED66A6" w:rsidRPr="00D25DF4" w:rsidRDefault="006C165B" w:rsidP="006A0080">
            <w:pPr>
              <w:spacing w:line="240" w:lineRule="auto"/>
              <w:rPr>
                <w:sz w:val="24"/>
                <w:szCs w:val="24"/>
              </w:rPr>
            </w:pPr>
            <w:r w:rsidRPr="00D25DF4">
              <w:rPr>
                <w:position w:val="-46"/>
                <w:sz w:val="24"/>
                <w:szCs w:val="24"/>
              </w:rPr>
              <w:object w:dxaOrig="8680" w:dyaOrig="1040">
                <v:shape id="_x0000_i1028" type="#_x0000_t75" style="width:419.45pt;height:47.7pt" o:ole="">
                  <v:imagedata r:id="rId12" o:title=""/>
                </v:shape>
                <o:OLEObject Type="Embed" ProgID="Equation.3" ShapeID="_x0000_i1028" DrawAspect="Content" ObjectID="_1472992330" r:id="rId13"/>
              </w:object>
            </w:r>
          </w:p>
          <w:p w:rsidR="00ED66A6" w:rsidRPr="00D25DF4" w:rsidRDefault="00ED66A6" w:rsidP="006A0080">
            <w:pPr>
              <w:spacing w:line="240" w:lineRule="auto"/>
              <w:rPr>
                <w:sz w:val="24"/>
                <w:szCs w:val="24"/>
              </w:rPr>
            </w:pPr>
          </w:p>
          <w:p w:rsidR="00ED66A6" w:rsidRPr="00D25DF4" w:rsidRDefault="00232D37" w:rsidP="006A0080">
            <w:pPr>
              <w:spacing w:line="240" w:lineRule="auto"/>
              <w:rPr>
                <w:sz w:val="24"/>
                <w:szCs w:val="24"/>
              </w:rPr>
            </w:pPr>
            <w:r w:rsidRPr="00D25DF4">
              <w:rPr>
                <w:position w:val="-46"/>
                <w:sz w:val="24"/>
                <w:szCs w:val="24"/>
              </w:rPr>
              <w:object w:dxaOrig="8860" w:dyaOrig="1040">
                <v:shape id="_x0000_i1029" type="#_x0000_t75" style="width:444.55pt;height:51.9pt" o:ole="">
                  <v:imagedata r:id="rId14" o:title=""/>
                </v:shape>
                <o:OLEObject Type="Embed" ProgID="Equation.3" ShapeID="_x0000_i1029" DrawAspect="Content" ObjectID="_1472992331" r:id="rId15"/>
              </w:object>
            </w:r>
          </w:p>
          <w:p w:rsidR="00ED66A6" w:rsidRPr="00D25DF4" w:rsidRDefault="00ED66A6" w:rsidP="006A0080">
            <w:pPr>
              <w:spacing w:line="240" w:lineRule="auto"/>
              <w:rPr>
                <w:sz w:val="24"/>
                <w:szCs w:val="24"/>
              </w:rPr>
            </w:pPr>
          </w:p>
          <w:p w:rsidR="00ED66A6" w:rsidRPr="00D25DF4" w:rsidRDefault="00232D37" w:rsidP="006A0080">
            <w:pPr>
              <w:spacing w:line="240" w:lineRule="auto"/>
              <w:rPr>
                <w:sz w:val="24"/>
                <w:szCs w:val="24"/>
              </w:rPr>
            </w:pPr>
            <w:r w:rsidRPr="00D25DF4">
              <w:rPr>
                <w:position w:val="-48"/>
                <w:sz w:val="24"/>
                <w:szCs w:val="24"/>
              </w:rPr>
              <w:object w:dxaOrig="9000" w:dyaOrig="1080">
                <v:shape id="_x0000_i1030" type="#_x0000_t75" style="width:463.8pt;height:50.25pt" o:ole="">
                  <v:imagedata r:id="rId16" o:title=""/>
                </v:shape>
                <o:OLEObject Type="Embed" ProgID="Equation.3" ShapeID="_x0000_i1030" DrawAspect="Content" ObjectID="_1472992332" r:id="rId17"/>
              </w:object>
            </w:r>
          </w:p>
          <w:p w:rsidR="00ED66A6" w:rsidRPr="00D25DF4" w:rsidRDefault="00ED66A6" w:rsidP="006A0080">
            <w:pPr>
              <w:spacing w:line="240" w:lineRule="auto"/>
              <w:ind w:firstLine="708"/>
              <w:rPr>
                <w:sz w:val="24"/>
                <w:szCs w:val="24"/>
              </w:rPr>
            </w:pPr>
          </w:p>
          <w:p w:rsidR="00ED66A6" w:rsidRPr="00D25DF4" w:rsidRDefault="00232D37" w:rsidP="006A0080">
            <w:pPr>
              <w:spacing w:line="240" w:lineRule="auto"/>
              <w:rPr>
                <w:sz w:val="24"/>
                <w:szCs w:val="24"/>
              </w:rPr>
            </w:pPr>
            <w:r w:rsidRPr="00D25DF4">
              <w:rPr>
                <w:position w:val="-46"/>
                <w:sz w:val="24"/>
                <w:szCs w:val="24"/>
              </w:rPr>
              <w:object w:dxaOrig="9100" w:dyaOrig="1040">
                <v:shape id="_x0000_i1031" type="#_x0000_t75" style="width:459.65pt;height:47.7pt" o:ole="">
                  <v:imagedata r:id="rId18" o:title=""/>
                </v:shape>
                <o:OLEObject Type="Embed" ProgID="Equation.3" ShapeID="_x0000_i1031" DrawAspect="Content" ObjectID="_1472992333" r:id="rId19"/>
              </w:object>
            </w:r>
          </w:p>
          <w:p w:rsidR="00ED66A6" w:rsidRPr="00D25DF4" w:rsidRDefault="00ED66A6" w:rsidP="006A0080">
            <w:pPr>
              <w:spacing w:line="240" w:lineRule="auto"/>
              <w:rPr>
                <w:sz w:val="24"/>
                <w:szCs w:val="24"/>
              </w:rPr>
            </w:pPr>
          </w:p>
          <w:p w:rsidR="00ED66A6" w:rsidRPr="00D25DF4" w:rsidRDefault="00ED66A6" w:rsidP="006A0080">
            <w:pPr>
              <w:spacing w:line="240" w:lineRule="auto"/>
              <w:jc w:val="right"/>
              <w:rPr>
                <w:sz w:val="24"/>
                <w:szCs w:val="24"/>
              </w:rPr>
            </w:pPr>
          </w:p>
          <w:p w:rsidR="008348EC" w:rsidRPr="00D25DF4" w:rsidRDefault="008348EC" w:rsidP="006A0080">
            <w:pPr>
              <w:spacing w:line="240" w:lineRule="auto"/>
              <w:jc w:val="right"/>
              <w:rPr>
                <w:sz w:val="24"/>
                <w:szCs w:val="24"/>
              </w:rPr>
            </w:pPr>
          </w:p>
          <w:p w:rsidR="008348EC" w:rsidRPr="00D25DF4" w:rsidRDefault="008348EC" w:rsidP="006A0080">
            <w:pPr>
              <w:spacing w:line="240" w:lineRule="auto"/>
              <w:jc w:val="right"/>
              <w:rPr>
                <w:sz w:val="24"/>
                <w:szCs w:val="24"/>
              </w:rPr>
            </w:pPr>
          </w:p>
        </w:tc>
      </w:tr>
    </w:tbl>
    <w:p w:rsidR="00ED66A6" w:rsidRPr="00D25DF4" w:rsidRDefault="00ED66A6" w:rsidP="00FF5C24">
      <w:pPr>
        <w:spacing w:before="100" w:beforeAutospacing="1" w:after="100" w:afterAutospacing="1" w:line="240" w:lineRule="auto"/>
        <w:rPr>
          <w:sz w:val="24"/>
          <w:szCs w:val="24"/>
          <w:lang w:val="en-US"/>
        </w:rPr>
      </w:pPr>
      <w:r w:rsidRPr="00D25DF4">
        <w:rPr>
          <w:rStyle w:val="hps"/>
          <w:sz w:val="24"/>
          <w:szCs w:val="24"/>
          <w:lang w:val="en-US"/>
        </w:rPr>
        <w:t>To estimate theVECMmodel, it isnecessary todetermine, in advance</w:t>
      </w:r>
      <w:r w:rsidRPr="00D25DF4">
        <w:rPr>
          <w:sz w:val="24"/>
          <w:szCs w:val="24"/>
          <w:lang w:val="en-US"/>
        </w:rPr>
        <w:t xml:space="preserve">, the number of </w:t>
      </w:r>
      <w:r w:rsidRPr="00D25DF4">
        <w:rPr>
          <w:rStyle w:val="hps"/>
          <w:sz w:val="24"/>
          <w:szCs w:val="24"/>
          <w:lang w:val="en-US"/>
        </w:rPr>
        <w:t>lags</w:t>
      </w:r>
      <w:r w:rsidRPr="00D25DF4">
        <w:rPr>
          <w:sz w:val="24"/>
          <w:szCs w:val="24"/>
          <w:lang w:val="en-US"/>
        </w:rPr>
        <w:t xml:space="preserve">, </w:t>
      </w:r>
      <w:r w:rsidRPr="00D25DF4">
        <w:rPr>
          <w:sz w:val="24"/>
          <w:szCs w:val="24"/>
          <w:lang w:val="en-US"/>
        </w:rPr>
        <w:lastRenderedPageBreak/>
        <w:t xml:space="preserve">several criteria </w:t>
      </w:r>
      <w:r w:rsidRPr="00D25DF4">
        <w:rPr>
          <w:rStyle w:val="hps"/>
          <w:sz w:val="24"/>
          <w:szCs w:val="24"/>
          <w:lang w:val="en-US"/>
        </w:rPr>
        <w:t>wasused(LR, FPE, AIC, SC, HQ)</w:t>
      </w:r>
      <w:r w:rsidR="003B2F61" w:rsidRPr="00D25DF4">
        <w:rPr>
          <w:rStyle w:val="Appelnotedebasdep"/>
          <w:sz w:val="24"/>
          <w:szCs w:val="24"/>
          <w:lang w:val="en-US"/>
        </w:rPr>
        <w:footnoteReference w:id="5"/>
      </w:r>
      <w:r w:rsidRPr="00D25DF4">
        <w:rPr>
          <w:rStyle w:val="hps"/>
          <w:sz w:val="24"/>
          <w:szCs w:val="24"/>
          <w:lang w:val="en-US"/>
        </w:rPr>
        <w:t>. The result</w:t>
      </w:r>
      <w:r w:rsidRPr="00D25DF4">
        <w:rPr>
          <w:rStyle w:val="hpsalt-edited"/>
          <w:sz w:val="24"/>
          <w:szCs w:val="24"/>
          <w:lang w:val="en-US"/>
        </w:rPr>
        <w:t>of the used</w:t>
      </w:r>
      <w:r w:rsidRPr="00D25DF4">
        <w:rPr>
          <w:rStyle w:val="hps"/>
          <w:sz w:val="24"/>
          <w:szCs w:val="24"/>
          <w:lang w:val="en-US"/>
        </w:rPr>
        <w:t>criteriaare given in thetable</w:t>
      </w:r>
      <w:r w:rsidR="00FF5C24" w:rsidRPr="00D25DF4">
        <w:rPr>
          <w:rStyle w:val="hps"/>
          <w:sz w:val="24"/>
          <w:szCs w:val="24"/>
          <w:lang w:val="en-US"/>
        </w:rPr>
        <w:t xml:space="preserve"> 4</w:t>
      </w:r>
      <w:r w:rsidRPr="00D25DF4">
        <w:rPr>
          <w:sz w:val="24"/>
          <w:szCs w:val="24"/>
          <w:lang w:val="en-US"/>
        </w:rPr>
        <w:t xml:space="preserve">, it </w:t>
      </w:r>
      <w:r w:rsidRPr="00D25DF4">
        <w:rPr>
          <w:rStyle w:val="hps"/>
          <w:sz w:val="24"/>
          <w:szCs w:val="24"/>
          <w:lang w:val="en-US"/>
        </w:rPr>
        <w:t>shows thattheoptimum number of</w:t>
      </w:r>
      <w:r w:rsidRPr="00D25DF4">
        <w:rPr>
          <w:rStyle w:val="hpsalt-edited"/>
          <w:sz w:val="24"/>
          <w:szCs w:val="24"/>
          <w:lang w:val="en-US"/>
        </w:rPr>
        <w:t>lags is equal to</w:t>
      </w:r>
      <w:r w:rsidRPr="00D25DF4">
        <w:rPr>
          <w:rStyle w:val="hps"/>
          <w:sz w:val="24"/>
          <w:szCs w:val="24"/>
          <w:lang w:val="en-US"/>
        </w:rPr>
        <w:t>2</w:t>
      </w:r>
      <w:r w:rsidRPr="00D25DF4">
        <w:rPr>
          <w:sz w:val="24"/>
          <w:szCs w:val="24"/>
          <w:lang w:val="en-US"/>
        </w:rPr>
        <w:t>.</w:t>
      </w:r>
    </w:p>
    <w:p w:rsidR="00ED66A6" w:rsidRPr="00D25DF4" w:rsidRDefault="00ED66A6" w:rsidP="00FF5C24">
      <w:pPr>
        <w:autoSpaceDE w:val="0"/>
        <w:autoSpaceDN w:val="0"/>
        <w:spacing w:line="360" w:lineRule="auto"/>
        <w:jc w:val="center"/>
        <w:rPr>
          <w:b/>
          <w:sz w:val="24"/>
          <w:szCs w:val="24"/>
          <w:lang w:val="en-US"/>
        </w:rPr>
      </w:pPr>
      <w:r w:rsidRPr="00D25DF4">
        <w:rPr>
          <w:b/>
          <w:sz w:val="24"/>
          <w:szCs w:val="24"/>
          <w:lang w:val="en-US"/>
        </w:rPr>
        <w:t xml:space="preserve">Table </w:t>
      </w:r>
      <w:r w:rsidR="00FF5C24" w:rsidRPr="00D25DF4">
        <w:rPr>
          <w:b/>
          <w:sz w:val="24"/>
          <w:szCs w:val="24"/>
          <w:lang w:val="en-US"/>
        </w:rPr>
        <w:t>4</w:t>
      </w:r>
      <w:r w:rsidRPr="00D25DF4">
        <w:rPr>
          <w:b/>
          <w:sz w:val="24"/>
          <w:szCs w:val="24"/>
          <w:lang w:val="en-US"/>
        </w:rPr>
        <w:t>.  Lag length selection</w:t>
      </w:r>
    </w:p>
    <w:tbl>
      <w:tblPr>
        <w:tblW w:w="0" w:type="auto"/>
        <w:jc w:val="center"/>
        <w:tblCellMar>
          <w:left w:w="70" w:type="dxa"/>
          <w:right w:w="70" w:type="dxa"/>
        </w:tblCellMar>
        <w:tblLook w:val="00A0"/>
      </w:tblPr>
      <w:tblGrid>
        <w:gridCol w:w="486"/>
        <w:gridCol w:w="995"/>
        <w:gridCol w:w="995"/>
        <w:gridCol w:w="995"/>
        <w:gridCol w:w="995"/>
        <w:gridCol w:w="995"/>
      </w:tblGrid>
      <w:tr w:rsidR="00D25DF4" w:rsidRPr="00D25DF4" w:rsidTr="0020458A">
        <w:trPr>
          <w:trHeight w:val="300"/>
          <w:jc w:val="center"/>
        </w:trPr>
        <w:tc>
          <w:tcPr>
            <w:tcW w:w="0" w:type="auto"/>
            <w:tcBorders>
              <w:top w:val="single" w:sz="4" w:space="0" w:color="auto"/>
              <w:left w:val="single" w:sz="4" w:space="0" w:color="auto"/>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 Lag</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LR</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FPE</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AIC</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SC</w:t>
            </w:r>
          </w:p>
        </w:tc>
        <w:tc>
          <w:tcPr>
            <w:tcW w:w="0" w:type="auto"/>
            <w:tcBorders>
              <w:top w:val="single" w:sz="4" w:space="0" w:color="auto"/>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HQ</w:t>
            </w:r>
          </w:p>
        </w:tc>
      </w:tr>
      <w:tr w:rsidR="00D25DF4" w:rsidRPr="00D25DF4" w:rsidTr="0020458A">
        <w:trPr>
          <w:trHeight w:val="300"/>
          <w:jc w:val="center"/>
        </w:trPr>
        <w:tc>
          <w:tcPr>
            <w:tcW w:w="0" w:type="auto"/>
            <w:tcBorders>
              <w:top w:val="nil"/>
              <w:left w:val="single" w:sz="4" w:space="0" w:color="auto"/>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0</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NA </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50736818</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29.09363</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29.26081</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29.15451</w:t>
            </w:r>
          </w:p>
        </w:tc>
      </w:tr>
      <w:tr w:rsidR="00D25DF4" w:rsidRPr="00D25DF4" w:rsidTr="0020458A">
        <w:trPr>
          <w:trHeight w:val="300"/>
          <w:jc w:val="center"/>
        </w:trPr>
        <w:tc>
          <w:tcPr>
            <w:tcW w:w="0" w:type="auto"/>
            <w:tcBorders>
              <w:top w:val="nil"/>
              <w:left w:val="single" w:sz="4" w:space="0" w:color="auto"/>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1</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170.0636</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988063.2</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25.15013</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25.98602*</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25.45451</w:t>
            </w:r>
          </w:p>
        </w:tc>
      </w:tr>
      <w:tr w:rsidR="00D25DF4" w:rsidRPr="00D25DF4" w:rsidTr="0020458A">
        <w:trPr>
          <w:trHeight w:val="300"/>
          <w:jc w:val="center"/>
        </w:trPr>
        <w:tc>
          <w:tcPr>
            <w:tcW w:w="0" w:type="auto"/>
            <w:tcBorders>
              <w:top w:val="nil"/>
              <w:left w:val="single" w:sz="4" w:space="0" w:color="auto"/>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2</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  34.42771*</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  753357.1*</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  24.85475*</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 26.35935</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  25.40264*</w:t>
            </w:r>
          </w:p>
        </w:tc>
      </w:tr>
      <w:tr w:rsidR="00D25DF4" w:rsidRPr="00D25DF4" w:rsidTr="0020458A">
        <w:trPr>
          <w:trHeight w:val="300"/>
          <w:jc w:val="center"/>
        </w:trPr>
        <w:tc>
          <w:tcPr>
            <w:tcW w:w="0" w:type="auto"/>
            <w:tcBorders>
              <w:top w:val="nil"/>
              <w:left w:val="single" w:sz="4" w:space="0" w:color="auto"/>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b/>
                <w:bCs/>
                <w:sz w:val="18"/>
                <w:szCs w:val="18"/>
              </w:rPr>
            </w:pPr>
            <w:r w:rsidRPr="00D25DF4">
              <w:rPr>
                <w:b/>
                <w:bCs/>
                <w:sz w:val="18"/>
                <w:szCs w:val="18"/>
              </w:rPr>
              <w:t>3</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19.93960</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857808.1</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24.92311</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27.09642</w:t>
            </w:r>
          </w:p>
        </w:tc>
        <w:tc>
          <w:tcPr>
            <w:tcW w:w="0" w:type="auto"/>
            <w:tcBorders>
              <w:top w:val="nil"/>
              <w:left w:val="nil"/>
              <w:bottom w:val="single" w:sz="4" w:space="0" w:color="auto"/>
              <w:right w:val="single" w:sz="4" w:space="0" w:color="auto"/>
            </w:tcBorders>
            <w:vAlign w:val="bottom"/>
          </w:tcPr>
          <w:p w:rsidR="00ED66A6" w:rsidRPr="00D25DF4" w:rsidRDefault="00ED66A6" w:rsidP="0020458A">
            <w:pPr>
              <w:widowControl/>
              <w:adjustRightInd/>
              <w:spacing w:line="240" w:lineRule="auto"/>
              <w:jc w:val="center"/>
              <w:textAlignment w:val="auto"/>
              <w:rPr>
                <w:sz w:val="18"/>
                <w:szCs w:val="18"/>
              </w:rPr>
            </w:pPr>
            <w:r w:rsidRPr="00D25DF4">
              <w:rPr>
                <w:sz w:val="18"/>
                <w:szCs w:val="18"/>
              </w:rPr>
              <w:t> 25.71451</w:t>
            </w:r>
          </w:p>
        </w:tc>
      </w:tr>
    </w:tbl>
    <w:p w:rsidR="003B2F61" w:rsidRPr="00D25DF4" w:rsidRDefault="003B2F61" w:rsidP="003B2F61">
      <w:pPr>
        <w:widowControl/>
        <w:autoSpaceDE w:val="0"/>
        <w:autoSpaceDN w:val="0"/>
        <w:spacing w:line="240" w:lineRule="auto"/>
        <w:jc w:val="left"/>
        <w:textAlignment w:val="auto"/>
        <w:rPr>
          <w:rStyle w:val="hps"/>
          <w:rFonts w:asciiTheme="majorBidi" w:eastAsia="Gill Sans MT" w:hAnsiTheme="majorBidi" w:cstheme="majorBidi"/>
          <w:sz w:val="24"/>
          <w:szCs w:val="24"/>
          <w:lang w:val="en-US"/>
        </w:rPr>
      </w:pPr>
    </w:p>
    <w:p w:rsidR="008A486A" w:rsidRPr="00D25DF4" w:rsidRDefault="00ED66A6" w:rsidP="004D077D">
      <w:pPr>
        <w:spacing w:before="100" w:beforeAutospacing="1" w:after="100" w:afterAutospacing="1" w:line="240" w:lineRule="auto"/>
        <w:rPr>
          <w:sz w:val="24"/>
          <w:szCs w:val="24"/>
          <w:lang w:val="en-GB"/>
        </w:rPr>
      </w:pPr>
      <w:r w:rsidRPr="00D25DF4">
        <w:rPr>
          <w:rStyle w:val="hps"/>
          <w:sz w:val="24"/>
          <w:szCs w:val="24"/>
          <w:lang w:val="en-US"/>
        </w:rPr>
        <w:t>The resultsof theVECMmodelare provided inTable 4</w:t>
      </w:r>
      <w:r w:rsidRPr="00D25DF4">
        <w:rPr>
          <w:sz w:val="24"/>
          <w:szCs w:val="24"/>
          <w:lang w:val="en-US"/>
        </w:rPr>
        <w:t xml:space="preserve">, </w:t>
      </w:r>
      <w:r w:rsidRPr="00D25DF4">
        <w:rPr>
          <w:rStyle w:val="hps"/>
          <w:sz w:val="24"/>
          <w:szCs w:val="24"/>
          <w:lang w:val="en-US"/>
        </w:rPr>
        <w:t>they</w:t>
      </w:r>
      <w:r w:rsidRPr="00D25DF4">
        <w:rPr>
          <w:rStyle w:val="hpsalt-edited"/>
          <w:sz w:val="24"/>
          <w:szCs w:val="24"/>
          <w:lang w:val="en-US"/>
        </w:rPr>
        <w:t>indicate</w:t>
      </w:r>
      <w:r w:rsidRPr="00D25DF4">
        <w:rPr>
          <w:sz w:val="24"/>
          <w:szCs w:val="24"/>
          <w:lang w:val="en-GB"/>
        </w:rPr>
        <w:t xml:space="preserve"> that the ECT (-1) estimated coefficient is -19,58%, this means that about 19,58 per cent of this disequilibrium is corrected between 1 year</w:t>
      </w:r>
      <w:r w:rsidRPr="00D25DF4">
        <w:rPr>
          <w:sz w:val="24"/>
          <w:szCs w:val="24"/>
          <w:lang w:val="en-US"/>
        </w:rPr>
        <w:t>. Due to the government-restricted foreign investment policies and late entry into the favorable FDI regime, w</w:t>
      </w:r>
      <w:r w:rsidRPr="00D25DF4">
        <w:rPr>
          <w:sz w:val="24"/>
          <w:szCs w:val="24"/>
          <w:lang w:val="en-GB"/>
        </w:rPr>
        <w:t>e find that both LFDI (-1) and LFDI (-2) impacts positively but not significantly the economic growth in Saudi Arabia. Results indicate also that trade openness impacts negatively and not significantly to the economic growth in the short-run. However, the proxy of infrastructure has a positive and signivicative effect on the GDP</w:t>
      </w:r>
      <w:r w:rsidR="004D077D" w:rsidRPr="00D25DF4">
        <w:rPr>
          <w:sz w:val="24"/>
          <w:szCs w:val="24"/>
          <w:lang w:val="en-GB"/>
        </w:rPr>
        <w:t>PC</w:t>
      </w:r>
      <w:r w:rsidRPr="00D25DF4">
        <w:rPr>
          <w:sz w:val="24"/>
          <w:szCs w:val="24"/>
          <w:lang w:val="en-GB"/>
        </w:rPr>
        <w:t>. In summary, we find that only INFRA contributes to the economic growth in the short-run but the other variables do not have any significant effect.</w:t>
      </w:r>
    </w:p>
    <w:p w:rsidR="0000449B" w:rsidRPr="00D25DF4" w:rsidRDefault="00F75AE8" w:rsidP="00FF5C24">
      <w:pPr>
        <w:autoSpaceDE w:val="0"/>
        <w:autoSpaceDN w:val="0"/>
        <w:spacing w:line="360" w:lineRule="auto"/>
        <w:jc w:val="center"/>
        <w:rPr>
          <w:b/>
          <w:sz w:val="24"/>
          <w:szCs w:val="24"/>
          <w:lang w:val="en-US"/>
        </w:rPr>
      </w:pPr>
      <w:r w:rsidRPr="00D25DF4">
        <w:rPr>
          <w:b/>
          <w:sz w:val="24"/>
          <w:szCs w:val="24"/>
          <w:lang w:val="en-US"/>
        </w:rPr>
        <w:t xml:space="preserve">Table </w:t>
      </w:r>
      <w:r w:rsidR="00FF5C24" w:rsidRPr="00D25DF4">
        <w:rPr>
          <w:b/>
          <w:sz w:val="24"/>
          <w:szCs w:val="24"/>
          <w:lang w:val="en-US"/>
        </w:rPr>
        <w:t>5</w:t>
      </w:r>
      <w:r w:rsidRPr="00D25DF4">
        <w:rPr>
          <w:b/>
          <w:sz w:val="24"/>
          <w:szCs w:val="24"/>
          <w:lang w:val="en-US"/>
        </w:rPr>
        <w:t>.  ECM results</w:t>
      </w:r>
    </w:p>
    <w:tbl>
      <w:tblPr>
        <w:tblStyle w:val="Grilledutableau"/>
        <w:tblW w:w="0" w:type="auto"/>
        <w:jc w:val="right"/>
        <w:tblInd w:w="-312" w:type="dxa"/>
        <w:tblLook w:val="04A0"/>
      </w:tblPr>
      <w:tblGrid>
        <w:gridCol w:w="2527"/>
        <w:gridCol w:w="2215"/>
        <w:gridCol w:w="2216"/>
        <w:gridCol w:w="2220"/>
      </w:tblGrid>
      <w:tr w:rsidR="00D25DF4" w:rsidRPr="00D25DF4" w:rsidTr="00F75AE8">
        <w:trPr>
          <w:trHeight w:val="291"/>
          <w:jc w:val="right"/>
        </w:trPr>
        <w:tc>
          <w:tcPr>
            <w:tcW w:w="9178" w:type="dxa"/>
            <w:gridSpan w:val="4"/>
          </w:tcPr>
          <w:p w:rsidR="00F75AE8" w:rsidRPr="00D25DF4" w:rsidRDefault="008F1652" w:rsidP="008F1652">
            <w:pPr>
              <w:autoSpaceDE w:val="0"/>
              <w:autoSpaceDN w:val="0"/>
              <w:spacing w:line="240" w:lineRule="auto"/>
              <w:jc w:val="center"/>
              <w:rPr>
                <w:rFonts w:asciiTheme="majorBidi" w:hAnsiTheme="majorBidi" w:cstheme="majorBidi"/>
                <w:b/>
                <w:sz w:val="24"/>
                <w:szCs w:val="24"/>
                <w:lang w:val="en-US"/>
              </w:rPr>
            </w:pPr>
            <w:r w:rsidRPr="00D25DF4">
              <w:rPr>
                <w:rFonts w:asciiTheme="majorBidi" w:hAnsiTheme="majorBidi" w:cstheme="majorBidi"/>
                <w:b/>
                <w:sz w:val="24"/>
                <w:szCs w:val="24"/>
                <w:lang w:val="en-US"/>
              </w:rPr>
              <w:t xml:space="preserve">Error correction </w:t>
            </w:r>
          </w:p>
          <w:p w:rsidR="008F1652" w:rsidRPr="00D25DF4" w:rsidRDefault="008F1652" w:rsidP="008F1652">
            <w:pPr>
              <w:autoSpaceDE w:val="0"/>
              <w:autoSpaceDN w:val="0"/>
              <w:spacing w:line="240" w:lineRule="auto"/>
              <w:jc w:val="center"/>
              <w:rPr>
                <w:rFonts w:asciiTheme="majorBidi" w:hAnsiTheme="majorBidi" w:cstheme="majorBidi"/>
                <w:b/>
                <w:sz w:val="24"/>
                <w:szCs w:val="24"/>
                <w:lang w:val="en-US"/>
              </w:rPr>
            </w:pPr>
            <w:r w:rsidRPr="00D25DF4">
              <w:rPr>
                <w:rFonts w:asciiTheme="majorBidi" w:hAnsiTheme="majorBidi" w:cstheme="majorBidi"/>
                <w:b/>
                <w:sz w:val="24"/>
                <w:szCs w:val="24"/>
                <w:lang w:val="en-US"/>
              </w:rPr>
              <w:t xml:space="preserve">D(LGDPPC), </w:t>
            </w:r>
          </w:p>
        </w:tc>
      </w:tr>
      <w:tr w:rsidR="00D25DF4" w:rsidRPr="00D25DF4" w:rsidTr="00F75AE8">
        <w:trPr>
          <w:trHeight w:val="291"/>
          <w:jc w:val="right"/>
        </w:trPr>
        <w:tc>
          <w:tcPr>
            <w:tcW w:w="2527" w:type="dxa"/>
          </w:tcPr>
          <w:p w:rsidR="008F1652" w:rsidRPr="00D25DF4" w:rsidRDefault="008F1652" w:rsidP="005F6267">
            <w:pPr>
              <w:autoSpaceDE w:val="0"/>
              <w:autoSpaceDN w:val="0"/>
              <w:spacing w:line="240" w:lineRule="auto"/>
              <w:rPr>
                <w:rFonts w:asciiTheme="majorBidi" w:hAnsiTheme="majorBidi" w:cstheme="majorBidi"/>
                <w:b/>
                <w:sz w:val="24"/>
                <w:szCs w:val="24"/>
                <w:lang w:val="en-US"/>
              </w:rPr>
            </w:pPr>
            <w:r w:rsidRPr="00D25DF4">
              <w:rPr>
                <w:rFonts w:asciiTheme="majorBidi" w:hAnsiTheme="majorBidi" w:cstheme="majorBidi"/>
                <w:b/>
                <w:sz w:val="24"/>
                <w:szCs w:val="24"/>
                <w:lang w:val="en-US"/>
              </w:rPr>
              <w:t xml:space="preserve">Variable </w:t>
            </w:r>
          </w:p>
        </w:tc>
        <w:tc>
          <w:tcPr>
            <w:tcW w:w="2215" w:type="dxa"/>
          </w:tcPr>
          <w:p w:rsidR="008F1652" w:rsidRPr="00D25DF4" w:rsidRDefault="008F1652" w:rsidP="005F6267">
            <w:pPr>
              <w:autoSpaceDE w:val="0"/>
              <w:autoSpaceDN w:val="0"/>
              <w:spacing w:line="240" w:lineRule="auto"/>
              <w:rPr>
                <w:rFonts w:asciiTheme="majorBidi" w:hAnsiTheme="majorBidi" w:cstheme="majorBidi"/>
                <w:b/>
                <w:sz w:val="24"/>
                <w:szCs w:val="24"/>
                <w:lang w:val="en-US"/>
              </w:rPr>
            </w:pPr>
            <w:r w:rsidRPr="00D25DF4">
              <w:rPr>
                <w:rFonts w:asciiTheme="majorBidi" w:hAnsiTheme="majorBidi" w:cstheme="majorBidi"/>
                <w:b/>
                <w:sz w:val="24"/>
                <w:szCs w:val="24"/>
                <w:lang w:val="en-US"/>
              </w:rPr>
              <w:t xml:space="preserve">Coefficient </w:t>
            </w:r>
          </w:p>
        </w:tc>
        <w:tc>
          <w:tcPr>
            <w:tcW w:w="2216" w:type="dxa"/>
          </w:tcPr>
          <w:p w:rsidR="008F1652" w:rsidRPr="00D25DF4" w:rsidRDefault="008F1652" w:rsidP="008F1652">
            <w:pPr>
              <w:autoSpaceDE w:val="0"/>
              <w:autoSpaceDN w:val="0"/>
              <w:spacing w:line="240" w:lineRule="auto"/>
              <w:rPr>
                <w:rFonts w:asciiTheme="majorBidi" w:hAnsiTheme="majorBidi" w:cstheme="majorBidi"/>
                <w:b/>
                <w:sz w:val="24"/>
                <w:szCs w:val="24"/>
                <w:lang w:val="en-US"/>
              </w:rPr>
            </w:pPr>
            <w:r w:rsidRPr="00D25DF4">
              <w:rPr>
                <w:rFonts w:asciiTheme="majorBidi" w:hAnsiTheme="majorBidi" w:cstheme="majorBidi"/>
                <w:b/>
                <w:sz w:val="24"/>
                <w:szCs w:val="24"/>
                <w:lang w:val="en-US"/>
              </w:rPr>
              <w:t>Standard error</w:t>
            </w:r>
          </w:p>
        </w:tc>
        <w:tc>
          <w:tcPr>
            <w:tcW w:w="2220" w:type="dxa"/>
          </w:tcPr>
          <w:p w:rsidR="008F1652" w:rsidRPr="00D25DF4" w:rsidRDefault="008F1652" w:rsidP="005F6267">
            <w:pPr>
              <w:autoSpaceDE w:val="0"/>
              <w:autoSpaceDN w:val="0"/>
              <w:spacing w:line="240" w:lineRule="auto"/>
              <w:rPr>
                <w:rFonts w:asciiTheme="majorBidi" w:hAnsiTheme="majorBidi" w:cstheme="majorBidi"/>
                <w:b/>
                <w:sz w:val="24"/>
                <w:szCs w:val="24"/>
                <w:lang w:val="en-US"/>
              </w:rPr>
            </w:pPr>
            <w:r w:rsidRPr="00D25DF4">
              <w:rPr>
                <w:rFonts w:asciiTheme="majorBidi" w:hAnsiTheme="majorBidi" w:cstheme="majorBidi"/>
                <w:b/>
                <w:sz w:val="24"/>
                <w:szCs w:val="24"/>
                <w:lang w:val="en-US"/>
              </w:rPr>
              <w:t>T- statistic</w:t>
            </w:r>
          </w:p>
        </w:tc>
      </w:tr>
      <w:tr w:rsidR="00D25DF4" w:rsidRPr="00D25DF4" w:rsidTr="00F75AE8">
        <w:trPr>
          <w:trHeight w:val="291"/>
          <w:jc w:val="right"/>
        </w:trPr>
        <w:tc>
          <w:tcPr>
            <w:tcW w:w="2527" w:type="dxa"/>
          </w:tcPr>
          <w:p w:rsidR="008F1652" w:rsidRPr="00D25DF4" w:rsidRDefault="008F1652" w:rsidP="005F6267">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sz w:val="24"/>
                <w:szCs w:val="24"/>
              </w:rPr>
              <w:t>D(LFDI(-1))</w:t>
            </w:r>
          </w:p>
        </w:tc>
        <w:tc>
          <w:tcPr>
            <w:tcW w:w="2215"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0.092035</w:t>
            </w:r>
          </w:p>
        </w:tc>
        <w:tc>
          <w:tcPr>
            <w:tcW w:w="2216"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(0.59458)</w:t>
            </w:r>
          </w:p>
        </w:tc>
        <w:tc>
          <w:tcPr>
            <w:tcW w:w="2220"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[0.15479]</w:t>
            </w:r>
          </w:p>
        </w:tc>
      </w:tr>
      <w:tr w:rsidR="00D25DF4" w:rsidRPr="00D25DF4" w:rsidTr="00F75AE8">
        <w:trPr>
          <w:trHeight w:val="310"/>
          <w:jc w:val="right"/>
        </w:trPr>
        <w:tc>
          <w:tcPr>
            <w:tcW w:w="2527" w:type="dxa"/>
          </w:tcPr>
          <w:p w:rsidR="008F1652" w:rsidRPr="00D25DF4" w:rsidRDefault="008F1652" w:rsidP="008F1652">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sz w:val="24"/>
                <w:szCs w:val="24"/>
              </w:rPr>
              <w:t>D(LFDI(-2))</w:t>
            </w:r>
          </w:p>
        </w:tc>
        <w:tc>
          <w:tcPr>
            <w:tcW w:w="2215"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0.802221</w:t>
            </w:r>
          </w:p>
        </w:tc>
        <w:tc>
          <w:tcPr>
            <w:tcW w:w="2216"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(0.57829)</w:t>
            </w:r>
          </w:p>
        </w:tc>
        <w:tc>
          <w:tcPr>
            <w:tcW w:w="2220"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[ 1.38722]</w:t>
            </w:r>
          </w:p>
        </w:tc>
      </w:tr>
      <w:tr w:rsidR="00D25DF4" w:rsidRPr="00D25DF4" w:rsidTr="00F75AE8">
        <w:trPr>
          <w:trHeight w:val="291"/>
          <w:jc w:val="right"/>
        </w:trPr>
        <w:tc>
          <w:tcPr>
            <w:tcW w:w="2527" w:type="dxa"/>
          </w:tcPr>
          <w:p w:rsidR="008F1652" w:rsidRPr="00D25DF4" w:rsidRDefault="008F1652" w:rsidP="005F6267">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sz w:val="24"/>
                <w:szCs w:val="24"/>
              </w:rPr>
              <w:t>D(LOPEN(-1))</w:t>
            </w:r>
          </w:p>
        </w:tc>
        <w:tc>
          <w:tcPr>
            <w:tcW w:w="2215"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0.110884</w:t>
            </w:r>
          </w:p>
        </w:tc>
        <w:tc>
          <w:tcPr>
            <w:tcW w:w="2216"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(0.12380)</w:t>
            </w:r>
          </w:p>
        </w:tc>
        <w:tc>
          <w:tcPr>
            <w:tcW w:w="2220" w:type="dxa"/>
          </w:tcPr>
          <w:p w:rsidR="008F1652" w:rsidRPr="00D25DF4" w:rsidRDefault="00F75AE8" w:rsidP="005F6267">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[ 0.89565]</w:t>
            </w:r>
          </w:p>
        </w:tc>
      </w:tr>
      <w:tr w:rsidR="00D25DF4" w:rsidRPr="00D25DF4" w:rsidTr="00F75AE8">
        <w:trPr>
          <w:trHeight w:val="291"/>
          <w:jc w:val="right"/>
        </w:trPr>
        <w:tc>
          <w:tcPr>
            <w:tcW w:w="2527" w:type="dxa"/>
          </w:tcPr>
          <w:p w:rsidR="008F1652" w:rsidRPr="00D25DF4" w:rsidRDefault="008F1652" w:rsidP="008F1652">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sz w:val="24"/>
                <w:szCs w:val="24"/>
              </w:rPr>
              <w:t>D(LOPEN(-2))</w:t>
            </w:r>
          </w:p>
        </w:tc>
        <w:tc>
          <w:tcPr>
            <w:tcW w:w="2215"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0.081083</w:t>
            </w:r>
          </w:p>
        </w:tc>
        <w:tc>
          <w:tcPr>
            <w:tcW w:w="2216"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(0.10760)</w:t>
            </w:r>
          </w:p>
        </w:tc>
        <w:tc>
          <w:tcPr>
            <w:tcW w:w="2220"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[ 0.75357]</w:t>
            </w:r>
          </w:p>
        </w:tc>
      </w:tr>
      <w:tr w:rsidR="00D25DF4" w:rsidRPr="00D25DF4" w:rsidTr="00F75AE8">
        <w:trPr>
          <w:trHeight w:val="291"/>
          <w:jc w:val="right"/>
        </w:trPr>
        <w:tc>
          <w:tcPr>
            <w:tcW w:w="2527" w:type="dxa"/>
          </w:tcPr>
          <w:p w:rsidR="008F1652" w:rsidRPr="00D25DF4" w:rsidRDefault="008F1652" w:rsidP="007969E4">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sz w:val="24"/>
                <w:szCs w:val="24"/>
              </w:rPr>
              <w:t>D(LINFRA(-1))</w:t>
            </w:r>
          </w:p>
        </w:tc>
        <w:tc>
          <w:tcPr>
            <w:tcW w:w="2215"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0.166844</w:t>
            </w:r>
          </w:p>
        </w:tc>
        <w:tc>
          <w:tcPr>
            <w:tcW w:w="2216"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(0.782203)</w:t>
            </w:r>
          </w:p>
        </w:tc>
        <w:tc>
          <w:tcPr>
            <w:tcW w:w="2220"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[2.2303]**</w:t>
            </w:r>
          </w:p>
        </w:tc>
      </w:tr>
      <w:tr w:rsidR="00D25DF4" w:rsidRPr="00D25DF4" w:rsidTr="00F75AE8">
        <w:trPr>
          <w:trHeight w:val="291"/>
          <w:jc w:val="right"/>
        </w:trPr>
        <w:tc>
          <w:tcPr>
            <w:tcW w:w="2527" w:type="dxa"/>
          </w:tcPr>
          <w:p w:rsidR="008F1652" w:rsidRPr="00D25DF4" w:rsidRDefault="008F1652" w:rsidP="008F1652">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sz w:val="24"/>
                <w:szCs w:val="24"/>
              </w:rPr>
              <w:t>D(LINFRA(-2))</w:t>
            </w:r>
          </w:p>
        </w:tc>
        <w:tc>
          <w:tcPr>
            <w:tcW w:w="2215"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0.039671</w:t>
            </w:r>
          </w:p>
        </w:tc>
        <w:tc>
          <w:tcPr>
            <w:tcW w:w="2216"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(0.33281)</w:t>
            </w:r>
          </w:p>
        </w:tc>
        <w:tc>
          <w:tcPr>
            <w:tcW w:w="2220"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[ 0.1192]</w:t>
            </w:r>
          </w:p>
        </w:tc>
      </w:tr>
      <w:tr w:rsidR="00D25DF4" w:rsidRPr="00D25DF4" w:rsidTr="00F75AE8">
        <w:trPr>
          <w:trHeight w:val="291"/>
          <w:jc w:val="right"/>
        </w:trPr>
        <w:tc>
          <w:tcPr>
            <w:tcW w:w="2527" w:type="dxa"/>
          </w:tcPr>
          <w:p w:rsidR="008F1652" w:rsidRPr="00D25DF4" w:rsidRDefault="008F1652" w:rsidP="007969E4">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sz w:val="24"/>
                <w:szCs w:val="24"/>
              </w:rPr>
              <w:t>C</w:t>
            </w:r>
          </w:p>
        </w:tc>
        <w:tc>
          <w:tcPr>
            <w:tcW w:w="2215"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1069.67</w:t>
            </w:r>
          </w:p>
        </w:tc>
        <w:tc>
          <w:tcPr>
            <w:tcW w:w="2216"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(3073.7)</w:t>
            </w:r>
          </w:p>
        </w:tc>
        <w:tc>
          <w:tcPr>
            <w:tcW w:w="2220"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[ 0.3480]</w:t>
            </w:r>
          </w:p>
        </w:tc>
      </w:tr>
      <w:tr w:rsidR="00D25DF4" w:rsidRPr="00D25DF4" w:rsidTr="00F75AE8">
        <w:trPr>
          <w:trHeight w:val="291"/>
          <w:jc w:val="right"/>
        </w:trPr>
        <w:tc>
          <w:tcPr>
            <w:tcW w:w="2527" w:type="dxa"/>
          </w:tcPr>
          <w:p w:rsidR="008F1652" w:rsidRPr="00D25DF4" w:rsidRDefault="008F1652" w:rsidP="007969E4">
            <w:pPr>
              <w:autoSpaceDE w:val="0"/>
              <w:autoSpaceDN w:val="0"/>
              <w:spacing w:line="240" w:lineRule="auto"/>
              <w:rPr>
                <w:rFonts w:asciiTheme="majorBidi" w:hAnsiTheme="majorBidi" w:cstheme="majorBidi"/>
                <w:b/>
                <w:bCs/>
                <w:sz w:val="24"/>
                <w:szCs w:val="24"/>
                <w:lang w:val="en-US"/>
              </w:rPr>
            </w:pPr>
            <w:r w:rsidRPr="00D25DF4">
              <w:rPr>
                <w:rFonts w:asciiTheme="majorBidi" w:hAnsiTheme="majorBidi" w:cstheme="majorBidi"/>
                <w:b/>
                <w:bCs/>
                <w:i/>
                <w:iCs/>
                <w:sz w:val="24"/>
                <w:szCs w:val="24"/>
              </w:rPr>
              <w:t>ECT</w:t>
            </w:r>
          </w:p>
        </w:tc>
        <w:tc>
          <w:tcPr>
            <w:tcW w:w="2215"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rPr>
              <w:t>-0.195826</w:t>
            </w:r>
          </w:p>
        </w:tc>
        <w:tc>
          <w:tcPr>
            <w:tcW w:w="2216"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lang w:val="en-US"/>
              </w:rPr>
              <w:t>(0.09154)</w:t>
            </w:r>
          </w:p>
        </w:tc>
        <w:tc>
          <w:tcPr>
            <w:tcW w:w="2220" w:type="dxa"/>
          </w:tcPr>
          <w:p w:rsidR="008F1652" w:rsidRPr="00D25DF4" w:rsidRDefault="00F75AE8" w:rsidP="007969E4">
            <w:pPr>
              <w:autoSpaceDE w:val="0"/>
              <w:autoSpaceDN w:val="0"/>
              <w:spacing w:line="240" w:lineRule="auto"/>
              <w:rPr>
                <w:rFonts w:asciiTheme="majorBidi" w:hAnsiTheme="majorBidi" w:cstheme="majorBidi"/>
                <w:sz w:val="24"/>
                <w:szCs w:val="24"/>
                <w:lang w:val="en-US"/>
              </w:rPr>
            </w:pPr>
            <w:r w:rsidRPr="00D25DF4">
              <w:rPr>
                <w:rFonts w:asciiTheme="majorBidi" w:hAnsiTheme="majorBidi" w:cstheme="majorBidi"/>
                <w:sz w:val="24"/>
                <w:szCs w:val="24"/>
                <w:lang w:val="en-US"/>
              </w:rPr>
              <w:t>[-2.1392]**</w:t>
            </w:r>
          </w:p>
        </w:tc>
      </w:tr>
      <w:tr w:rsidR="00D25DF4" w:rsidRPr="00D25DF4" w:rsidTr="008A486A">
        <w:trPr>
          <w:trHeight w:val="385"/>
          <w:jc w:val="right"/>
        </w:trPr>
        <w:tc>
          <w:tcPr>
            <w:tcW w:w="2527" w:type="dxa"/>
          </w:tcPr>
          <w:p w:rsidR="008F1652" w:rsidRPr="00D25DF4" w:rsidRDefault="008F1652" w:rsidP="007969E4">
            <w:pPr>
              <w:widowControl/>
              <w:adjustRightInd/>
              <w:spacing w:line="240" w:lineRule="auto"/>
              <w:textAlignment w:val="auto"/>
              <w:rPr>
                <w:rFonts w:asciiTheme="majorBidi" w:hAnsiTheme="majorBidi" w:cstheme="majorBidi"/>
                <w:b/>
                <w:bCs/>
                <w:sz w:val="24"/>
                <w:szCs w:val="24"/>
              </w:rPr>
            </w:pPr>
            <w:r w:rsidRPr="00D25DF4">
              <w:rPr>
                <w:rFonts w:asciiTheme="majorBidi" w:hAnsiTheme="majorBidi" w:cstheme="majorBidi"/>
                <w:b/>
                <w:bCs/>
                <w:sz w:val="24"/>
                <w:szCs w:val="24"/>
                <w:lang w:val="en-US"/>
              </w:rPr>
              <w:t>R2</w:t>
            </w:r>
          </w:p>
        </w:tc>
        <w:tc>
          <w:tcPr>
            <w:tcW w:w="6651" w:type="dxa"/>
            <w:gridSpan w:val="3"/>
          </w:tcPr>
          <w:p w:rsidR="008F1652" w:rsidRPr="00D25DF4" w:rsidRDefault="008F1652" w:rsidP="007969E4">
            <w:pPr>
              <w:widowControl/>
              <w:adjustRightInd/>
              <w:spacing w:line="240" w:lineRule="auto"/>
              <w:jc w:val="center"/>
              <w:textAlignment w:val="auto"/>
              <w:rPr>
                <w:rFonts w:asciiTheme="majorBidi" w:hAnsiTheme="majorBidi" w:cstheme="majorBidi"/>
                <w:sz w:val="24"/>
                <w:szCs w:val="24"/>
              </w:rPr>
            </w:pPr>
            <w:r w:rsidRPr="00D25DF4">
              <w:rPr>
                <w:rFonts w:asciiTheme="majorBidi" w:hAnsiTheme="majorBidi" w:cstheme="majorBidi"/>
                <w:sz w:val="24"/>
                <w:szCs w:val="24"/>
                <w:lang w:val="en-US"/>
              </w:rPr>
              <w:t>0.503759</w:t>
            </w:r>
          </w:p>
        </w:tc>
      </w:tr>
      <w:tr w:rsidR="00D25DF4" w:rsidRPr="00D25DF4" w:rsidTr="008A486A">
        <w:trPr>
          <w:trHeight w:val="263"/>
          <w:jc w:val="right"/>
        </w:trPr>
        <w:tc>
          <w:tcPr>
            <w:tcW w:w="2527" w:type="dxa"/>
          </w:tcPr>
          <w:p w:rsidR="008F1652" w:rsidRPr="00D25DF4" w:rsidRDefault="008F1652" w:rsidP="007969E4">
            <w:pPr>
              <w:widowControl/>
              <w:adjustRightInd/>
              <w:spacing w:line="240" w:lineRule="auto"/>
              <w:textAlignment w:val="auto"/>
              <w:rPr>
                <w:rFonts w:asciiTheme="majorBidi" w:hAnsiTheme="majorBidi" w:cstheme="majorBidi"/>
                <w:b/>
                <w:bCs/>
                <w:sz w:val="24"/>
                <w:szCs w:val="24"/>
              </w:rPr>
            </w:pPr>
            <w:r w:rsidRPr="00D25DF4">
              <w:rPr>
                <w:rFonts w:asciiTheme="majorBidi" w:hAnsiTheme="majorBidi" w:cstheme="majorBidi"/>
                <w:b/>
                <w:bCs/>
                <w:sz w:val="24"/>
                <w:szCs w:val="24"/>
                <w:lang w:val="en-US"/>
              </w:rPr>
              <w:t>Adj.R2</w:t>
            </w:r>
          </w:p>
        </w:tc>
        <w:tc>
          <w:tcPr>
            <w:tcW w:w="6651" w:type="dxa"/>
            <w:gridSpan w:val="3"/>
          </w:tcPr>
          <w:p w:rsidR="008F1652" w:rsidRPr="00D25DF4" w:rsidRDefault="008F1652" w:rsidP="007969E4">
            <w:pPr>
              <w:widowControl/>
              <w:adjustRightInd/>
              <w:spacing w:line="240" w:lineRule="auto"/>
              <w:jc w:val="center"/>
              <w:textAlignment w:val="auto"/>
              <w:rPr>
                <w:rFonts w:asciiTheme="majorBidi" w:hAnsiTheme="majorBidi" w:cstheme="majorBidi"/>
                <w:sz w:val="24"/>
                <w:szCs w:val="24"/>
              </w:rPr>
            </w:pPr>
            <w:r w:rsidRPr="00D25DF4">
              <w:rPr>
                <w:rFonts w:asciiTheme="majorBidi" w:hAnsiTheme="majorBidi" w:cstheme="majorBidi"/>
                <w:sz w:val="24"/>
                <w:szCs w:val="24"/>
                <w:lang w:val="en-US"/>
              </w:rPr>
              <w:t>0.359690</w:t>
            </w:r>
          </w:p>
        </w:tc>
      </w:tr>
      <w:tr w:rsidR="00D25DF4" w:rsidRPr="00D25DF4" w:rsidTr="008A486A">
        <w:trPr>
          <w:trHeight w:val="267"/>
          <w:jc w:val="right"/>
        </w:trPr>
        <w:tc>
          <w:tcPr>
            <w:tcW w:w="2527" w:type="dxa"/>
          </w:tcPr>
          <w:p w:rsidR="008F1652" w:rsidRPr="00D25DF4" w:rsidRDefault="00F75AE8" w:rsidP="007969E4">
            <w:pPr>
              <w:widowControl/>
              <w:adjustRightInd/>
              <w:spacing w:line="240" w:lineRule="auto"/>
              <w:textAlignment w:val="auto"/>
              <w:rPr>
                <w:rFonts w:asciiTheme="majorBidi" w:hAnsiTheme="majorBidi" w:cstheme="majorBidi"/>
                <w:b/>
                <w:bCs/>
                <w:sz w:val="24"/>
                <w:szCs w:val="24"/>
              </w:rPr>
            </w:pPr>
            <w:r w:rsidRPr="00D25DF4">
              <w:rPr>
                <w:rFonts w:asciiTheme="majorBidi" w:hAnsiTheme="majorBidi" w:cstheme="majorBidi"/>
                <w:b/>
                <w:bCs/>
                <w:sz w:val="24"/>
                <w:szCs w:val="24"/>
                <w:lang w:val="en-US"/>
              </w:rPr>
              <w:t>F-Statist</w:t>
            </w:r>
            <w:r w:rsidR="008F1652" w:rsidRPr="00D25DF4">
              <w:rPr>
                <w:rFonts w:asciiTheme="majorBidi" w:hAnsiTheme="majorBidi" w:cstheme="majorBidi"/>
                <w:b/>
                <w:bCs/>
                <w:sz w:val="24"/>
                <w:szCs w:val="24"/>
                <w:lang w:val="en-US"/>
              </w:rPr>
              <w:t>ic</w:t>
            </w:r>
          </w:p>
        </w:tc>
        <w:tc>
          <w:tcPr>
            <w:tcW w:w="6651" w:type="dxa"/>
            <w:gridSpan w:val="3"/>
          </w:tcPr>
          <w:p w:rsidR="008F1652" w:rsidRPr="00D25DF4" w:rsidRDefault="008F1652" w:rsidP="007969E4">
            <w:pPr>
              <w:widowControl/>
              <w:adjustRightInd/>
              <w:spacing w:line="240" w:lineRule="auto"/>
              <w:jc w:val="center"/>
              <w:textAlignment w:val="auto"/>
              <w:rPr>
                <w:rFonts w:asciiTheme="majorBidi" w:hAnsiTheme="majorBidi" w:cstheme="majorBidi"/>
                <w:sz w:val="24"/>
                <w:szCs w:val="24"/>
              </w:rPr>
            </w:pPr>
            <w:r w:rsidRPr="00D25DF4">
              <w:rPr>
                <w:rFonts w:asciiTheme="majorBidi" w:hAnsiTheme="majorBidi" w:cstheme="majorBidi"/>
                <w:sz w:val="24"/>
                <w:szCs w:val="24"/>
                <w:lang w:val="en-US"/>
              </w:rPr>
              <w:t>3.496634</w:t>
            </w:r>
          </w:p>
        </w:tc>
      </w:tr>
      <w:tr w:rsidR="00D25DF4" w:rsidRPr="00D25DF4" w:rsidTr="00F75AE8">
        <w:trPr>
          <w:trHeight w:val="593"/>
          <w:jc w:val="right"/>
        </w:trPr>
        <w:tc>
          <w:tcPr>
            <w:tcW w:w="2527" w:type="dxa"/>
          </w:tcPr>
          <w:p w:rsidR="008F1652" w:rsidRPr="00D25DF4" w:rsidRDefault="008F1652" w:rsidP="00F75AE8">
            <w:pPr>
              <w:widowControl/>
              <w:adjustRightInd/>
              <w:spacing w:line="240" w:lineRule="auto"/>
              <w:textAlignment w:val="auto"/>
              <w:rPr>
                <w:rFonts w:asciiTheme="majorBidi" w:hAnsiTheme="majorBidi" w:cstheme="majorBidi"/>
                <w:b/>
                <w:bCs/>
                <w:sz w:val="24"/>
                <w:szCs w:val="24"/>
              </w:rPr>
            </w:pPr>
            <w:r w:rsidRPr="00D25DF4">
              <w:rPr>
                <w:rFonts w:asciiTheme="majorBidi" w:hAnsiTheme="majorBidi" w:cstheme="majorBidi"/>
                <w:b/>
                <w:bCs/>
                <w:sz w:val="24"/>
                <w:szCs w:val="24"/>
                <w:lang w:val="en-US"/>
              </w:rPr>
              <w:t xml:space="preserve">Log </w:t>
            </w:r>
            <w:r w:rsidR="00F75AE8" w:rsidRPr="00D25DF4">
              <w:rPr>
                <w:b/>
                <w:bCs/>
                <w:sz w:val="24"/>
                <w:szCs w:val="24"/>
              </w:rPr>
              <w:t>likelihood</w:t>
            </w:r>
          </w:p>
        </w:tc>
        <w:tc>
          <w:tcPr>
            <w:tcW w:w="6651" w:type="dxa"/>
            <w:gridSpan w:val="3"/>
          </w:tcPr>
          <w:p w:rsidR="008F1652" w:rsidRPr="00D25DF4" w:rsidRDefault="008F1652" w:rsidP="007969E4">
            <w:pPr>
              <w:widowControl/>
              <w:adjustRightInd/>
              <w:spacing w:line="240" w:lineRule="auto"/>
              <w:jc w:val="center"/>
              <w:textAlignment w:val="auto"/>
              <w:rPr>
                <w:rFonts w:asciiTheme="majorBidi" w:hAnsiTheme="majorBidi" w:cstheme="majorBidi"/>
                <w:sz w:val="24"/>
                <w:szCs w:val="24"/>
              </w:rPr>
            </w:pPr>
            <w:r w:rsidRPr="00D25DF4">
              <w:rPr>
                <w:rFonts w:asciiTheme="majorBidi" w:hAnsiTheme="majorBidi" w:cstheme="majorBidi"/>
                <w:sz w:val="24"/>
                <w:szCs w:val="24"/>
                <w:lang w:val="en-US"/>
              </w:rPr>
              <w:t>-450.6123</w:t>
            </w:r>
          </w:p>
        </w:tc>
      </w:tr>
    </w:tbl>
    <w:p w:rsidR="008F1652" w:rsidRPr="00D25DF4" w:rsidRDefault="00F75AE8" w:rsidP="005F6267">
      <w:pPr>
        <w:autoSpaceDE w:val="0"/>
        <w:autoSpaceDN w:val="0"/>
        <w:spacing w:line="240" w:lineRule="auto"/>
        <w:rPr>
          <w:bCs/>
          <w:sz w:val="24"/>
          <w:szCs w:val="24"/>
          <w:lang w:val="en-US"/>
        </w:rPr>
      </w:pPr>
      <w:r w:rsidRPr="00D25DF4">
        <w:rPr>
          <w:rFonts w:asciiTheme="majorBidi" w:hAnsiTheme="majorBidi" w:cstheme="majorBidi"/>
          <w:bCs/>
          <w:sz w:val="24"/>
          <w:szCs w:val="24"/>
          <w:lang w:val="en-US"/>
        </w:rPr>
        <w:t xml:space="preserve">  T-statistics are in [ ] and Std.Error are in ( )</w:t>
      </w:r>
    </w:p>
    <w:p w:rsidR="008F1652" w:rsidRPr="00D25DF4" w:rsidRDefault="008F1652" w:rsidP="005F6267">
      <w:pPr>
        <w:autoSpaceDE w:val="0"/>
        <w:autoSpaceDN w:val="0"/>
        <w:spacing w:line="240" w:lineRule="auto"/>
        <w:rPr>
          <w:sz w:val="24"/>
          <w:szCs w:val="24"/>
          <w:lang w:val="en-US"/>
        </w:rPr>
      </w:pPr>
    </w:p>
    <w:p w:rsidR="00F75AE8" w:rsidRPr="00D25DF4" w:rsidRDefault="00F75AE8"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r w:rsidRPr="00D25DF4">
        <w:rPr>
          <w:sz w:val="24"/>
          <w:szCs w:val="24"/>
          <w:lang w:val="en-US"/>
        </w:rPr>
        <w:t>To test the stability of the model we have used the cumulative sum of recursive residual (CUSUM).  The CUSUM test (Brown, Durbin, and Evans, 1975) is based on the cumulative sum of the recursive residuals. This option plots the cumulative sum together with the 5% critical lines. The test finds parameter instability if the cumulative sum goes outside the area between the two critical lines. The CUSUM and the CUSUM of squares figures below show that the dependent variable is stable; consequently our model is stable too.</w:t>
      </w:r>
    </w:p>
    <w:p w:rsidR="00102D78" w:rsidRPr="00D25DF4" w:rsidRDefault="00102D78" w:rsidP="005F6267">
      <w:pPr>
        <w:autoSpaceDE w:val="0"/>
        <w:autoSpaceDN w:val="0"/>
        <w:spacing w:line="240" w:lineRule="auto"/>
        <w:rPr>
          <w:sz w:val="24"/>
          <w:szCs w:val="24"/>
          <w:lang w:val="en-US"/>
        </w:rPr>
      </w:pPr>
    </w:p>
    <w:p w:rsidR="00ED66A6" w:rsidRPr="00D25DF4" w:rsidRDefault="00ED66A6" w:rsidP="00881A8E">
      <w:pPr>
        <w:autoSpaceDE w:val="0"/>
        <w:autoSpaceDN w:val="0"/>
        <w:spacing w:line="360" w:lineRule="auto"/>
        <w:jc w:val="center"/>
        <w:rPr>
          <w:b/>
          <w:bCs/>
          <w:sz w:val="24"/>
          <w:szCs w:val="24"/>
          <w:lang w:val="en-US"/>
        </w:rPr>
      </w:pPr>
    </w:p>
    <w:p w:rsidR="00ED66A6" w:rsidRPr="00D25DF4" w:rsidRDefault="00ED66A6" w:rsidP="00881A8E">
      <w:pPr>
        <w:autoSpaceDE w:val="0"/>
        <w:autoSpaceDN w:val="0"/>
        <w:spacing w:line="360" w:lineRule="auto"/>
        <w:jc w:val="center"/>
        <w:rPr>
          <w:b/>
          <w:bCs/>
          <w:sz w:val="24"/>
          <w:szCs w:val="24"/>
          <w:lang w:val="en-US"/>
        </w:rPr>
      </w:pPr>
      <w:r w:rsidRPr="00D25DF4">
        <w:rPr>
          <w:b/>
          <w:bCs/>
          <w:sz w:val="24"/>
          <w:szCs w:val="24"/>
          <w:lang w:val="en-US"/>
        </w:rPr>
        <w:t>Figure 2: CUSUM and CUSUM of squares</w:t>
      </w:r>
    </w:p>
    <w:p w:rsidR="00ED66A6" w:rsidRPr="00D25DF4" w:rsidRDefault="008C118F" w:rsidP="00881A8E">
      <w:pPr>
        <w:autoSpaceDE w:val="0"/>
        <w:autoSpaceDN w:val="0"/>
        <w:spacing w:line="360" w:lineRule="auto"/>
        <w:jc w:val="center"/>
        <w:rPr>
          <w:b/>
          <w:bCs/>
          <w:sz w:val="24"/>
          <w:szCs w:val="24"/>
          <w:lang w:val="en-US"/>
        </w:rPr>
      </w:pPr>
      <w:r w:rsidRPr="00D25DF4">
        <w:rPr>
          <w:b/>
          <w:bCs/>
          <w:noProof/>
          <w:sz w:val="24"/>
          <w:szCs w:val="24"/>
        </w:rPr>
        <w:drawing>
          <wp:inline distT="0" distB="0" distL="0" distR="0">
            <wp:extent cx="4529455" cy="2891790"/>
            <wp:effectExtent l="0" t="0" r="4445" b="381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9455" cy="2891790"/>
                    </a:xfrm>
                    <a:prstGeom prst="rect">
                      <a:avLst/>
                    </a:prstGeom>
                    <a:noFill/>
                    <a:ln>
                      <a:noFill/>
                    </a:ln>
                  </pic:spPr>
                </pic:pic>
              </a:graphicData>
            </a:graphic>
          </wp:inline>
        </w:drawing>
      </w:r>
    </w:p>
    <w:p w:rsidR="00ED66A6" w:rsidRPr="00D25DF4" w:rsidRDefault="008C118F" w:rsidP="00A45908">
      <w:pPr>
        <w:autoSpaceDE w:val="0"/>
        <w:autoSpaceDN w:val="0"/>
        <w:spacing w:line="360" w:lineRule="auto"/>
        <w:jc w:val="center"/>
        <w:rPr>
          <w:sz w:val="24"/>
          <w:szCs w:val="24"/>
          <w:lang w:val="en-US"/>
        </w:rPr>
      </w:pPr>
      <w:r w:rsidRPr="00D25DF4">
        <w:rPr>
          <w:noProof/>
        </w:rPr>
        <w:drawing>
          <wp:anchor distT="0" distB="0" distL="114300" distR="114300" simplePos="0" relativeHeight="251658240" behindDoc="0" locked="0" layoutInCell="1" allowOverlap="1">
            <wp:simplePos x="0" y="0"/>
            <wp:positionH relativeFrom="column">
              <wp:posOffset>553720</wp:posOffset>
            </wp:positionH>
            <wp:positionV relativeFrom="paragraph">
              <wp:posOffset>24765</wp:posOffset>
            </wp:positionV>
            <wp:extent cx="4669790" cy="3008630"/>
            <wp:effectExtent l="0" t="0" r="0" b="127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9790" cy="3008630"/>
                    </a:xfrm>
                    <a:prstGeom prst="rect">
                      <a:avLst/>
                    </a:prstGeom>
                    <a:noFill/>
                  </pic:spPr>
                </pic:pic>
              </a:graphicData>
            </a:graphic>
          </wp:anchor>
        </w:drawing>
      </w:r>
    </w:p>
    <w:p w:rsidR="00ED66A6" w:rsidRPr="00D25DF4" w:rsidRDefault="00ED66A6" w:rsidP="00A45908">
      <w:pPr>
        <w:autoSpaceDE w:val="0"/>
        <w:autoSpaceDN w:val="0"/>
        <w:spacing w:line="360" w:lineRule="auto"/>
        <w:jc w:val="center"/>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5F6267">
      <w:pPr>
        <w:autoSpaceDE w:val="0"/>
        <w:autoSpaceDN w:val="0"/>
        <w:spacing w:line="240" w:lineRule="auto"/>
        <w:rPr>
          <w:sz w:val="24"/>
          <w:szCs w:val="24"/>
          <w:lang w:val="en-US"/>
        </w:rPr>
      </w:pPr>
    </w:p>
    <w:p w:rsidR="00ED66A6" w:rsidRPr="00D25DF4" w:rsidRDefault="00ED66A6" w:rsidP="003729B7">
      <w:pPr>
        <w:autoSpaceDE w:val="0"/>
        <w:autoSpaceDN w:val="0"/>
        <w:spacing w:line="240" w:lineRule="auto"/>
        <w:rPr>
          <w:sz w:val="24"/>
          <w:szCs w:val="24"/>
          <w:lang w:val="en-US"/>
        </w:rPr>
      </w:pPr>
      <w:r w:rsidRPr="00D25DF4">
        <w:rPr>
          <w:sz w:val="24"/>
          <w:szCs w:val="24"/>
          <w:lang w:val="en-US"/>
        </w:rPr>
        <w:t xml:space="preserve">After testing the short run estimations, we try to investigate the direction of </w:t>
      </w:r>
      <w:r w:rsidRPr="00D25DF4">
        <w:rPr>
          <w:sz w:val="22"/>
          <w:szCs w:val="22"/>
          <w:lang w:val="en-US"/>
        </w:rPr>
        <w:t>causality between the variables of the model. This is done by the use of the Granger causality</w:t>
      </w:r>
      <w:r w:rsidRPr="00D25DF4">
        <w:rPr>
          <w:sz w:val="24"/>
          <w:szCs w:val="24"/>
          <w:lang w:val="en-US"/>
        </w:rPr>
        <w:t xml:space="preserve"> tests. </w:t>
      </w:r>
    </w:p>
    <w:p w:rsidR="00ED66A6" w:rsidRPr="00D25DF4" w:rsidRDefault="00ED66A6" w:rsidP="00330919">
      <w:pPr>
        <w:autoSpaceDE w:val="0"/>
        <w:autoSpaceDN w:val="0"/>
        <w:spacing w:before="100" w:beforeAutospacing="1" w:line="360" w:lineRule="auto"/>
        <w:rPr>
          <w:b/>
          <w:bCs/>
          <w:sz w:val="24"/>
          <w:szCs w:val="24"/>
          <w:lang w:val="en-US"/>
        </w:rPr>
      </w:pPr>
      <w:r w:rsidRPr="00D25DF4">
        <w:rPr>
          <w:b/>
          <w:bCs/>
          <w:sz w:val="24"/>
          <w:szCs w:val="24"/>
          <w:lang w:val="en-US"/>
        </w:rPr>
        <w:lastRenderedPageBreak/>
        <w:t>4.5 Granger Causality test and Impulse response functions</w:t>
      </w:r>
    </w:p>
    <w:p w:rsidR="00ED66A6" w:rsidRPr="00D25DF4" w:rsidRDefault="00ED66A6" w:rsidP="004E5D5B">
      <w:pPr>
        <w:autoSpaceDE w:val="0"/>
        <w:autoSpaceDN w:val="0"/>
        <w:spacing w:line="240" w:lineRule="auto"/>
        <w:rPr>
          <w:sz w:val="24"/>
          <w:szCs w:val="24"/>
          <w:lang w:val="en-US"/>
        </w:rPr>
      </w:pPr>
      <w:r w:rsidRPr="00D25DF4">
        <w:rPr>
          <w:sz w:val="24"/>
          <w:szCs w:val="24"/>
          <w:lang w:val="en-US"/>
        </w:rPr>
        <w:t xml:space="preserve">Granger causality test is a technique for determining whether one time series is useful in forecasting. It can determine whether there is causality relationship between variables. Results in table </w:t>
      </w:r>
      <w:r w:rsidR="00FF5C24" w:rsidRPr="00D25DF4">
        <w:rPr>
          <w:sz w:val="24"/>
          <w:szCs w:val="24"/>
          <w:lang w:val="en-US"/>
        </w:rPr>
        <w:t>6</w:t>
      </w:r>
      <w:r w:rsidRPr="00D25DF4">
        <w:rPr>
          <w:sz w:val="24"/>
          <w:szCs w:val="24"/>
          <w:lang w:val="en-US"/>
        </w:rPr>
        <w:t xml:space="preserve"> indicate that there is causality between LFDI and LGDP</w:t>
      </w:r>
      <w:r w:rsidR="004D077D" w:rsidRPr="00D25DF4">
        <w:rPr>
          <w:sz w:val="24"/>
          <w:szCs w:val="24"/>
          <w:lang w:val="en-US"/>
        </w:rPr>
        <w:t>PC</w:t>
      </w:r>
      <w:r w:rsidRPr="00D25DF4">
        <w:rPr>
          <w:sz w:val="24"/>
          <w:szCs w:val="24"/>
          <w:lang w:val="en-US"/>
        </w:rPr>
        <w:t>. The probability is less than 5% (0.0317), so we reject the null hypothesis and accept the alternative hypothesis. The causality between those two variables is unidirectional. We find that the variable LFDI causes the LGDPpc but the opposite is not true. Findings indicate also that LOPEN</w:t>
      </w:r>
      <w:r w:rsidR="004E5D5B" w:rsidRPr="00D25DF4">
        <w:rPr>
          <w:sz w:val="24"/>
          <w:szCs w:val="24"/>
          <w:lang w:val="en-US"/>
        </w:rPr>
        <w:t xml:space="preserve"> did not Granger cause GDPPC</w:t>
      </w:r>
      <w:r w:rsidRPr="00D25DF4">
        <w:rPr>
          <w:sz w:val="24"/>
          <w:szCs w:val="24"/>
          <w:lang w:val="en-US"/>
        </w:rPr>
        <w:t>. In contrary, there is unidirectional causality between LINFRA and GDP</w:t>
      </w:r>
      <w:r w:rsidR="004E5D5B" w:rsidRPr="00D25DF4">
        <w:rPr>
          <w:sz w:val="24"/>
          <w:szCs w:val="24"/>
          <w:lang w:val="en-US"/>
        </w:rPr>
        <w:t>PC</w:t>
      </w:r>
      <w:r w:rsidRPr="00D25DF4">
        <w:rPr>
          <w:sz w:val="24"/>
          <w:szCs w:val="24"/>
          <w:lang w:val="en-US"/>
        </w:rPr>
        <w:t xml:space="preserve">. This result confirms the findings in table </w:t>
      </w:r>
      <w:r w:rsidR="00FF5C24" w:rsidRPr="00D25DF4">
        <w:rPr>
          <w:sz w:val="24"/>
          <w:szCs w:val="24"/>
          <w:lang w:val="en-US"/>
        </w:rPr>
        <w:t>6</w:t>
      </w:r>
    </w:p>
    <w:p w:rsidR="00216586" w:rsidRPr="00D25DF4" w:rsidRDefault="00216586" w:rsidP="00216586">
      <w:pPr>
        <w:autoSpaceDE w:val="0"/>
        <w:autoSpaceDN w:val="0"/>
        <w:spacing w:line="360" w:lineRule="auto"/>
        <w:rPr>
          <w:i/>
          <w:iCs/>
          <w:lang w:val="en-US"/>
        </w:rPr>
      </w:pPr>
    </w:p>
    <w:p w:rsidR="00AA00E9" w:rsidRPr="00D25DF4" w:rsidRDefault="00AA00E9" w:rsidP="00FF5C24">
      <w:pPr>
        <w:autoSpaceDE w:val="0"/>
        <w:autoSpaceDN w:val="0"/>
        <w:spacing w:before="100" w:beforeAutospacing="1" w:line="360" w:lineRule="auto"/>
        <w:jc w:val="center"/>
        <w:rPr>
          <w:rFonts w:eastAsia="Gill Sans MT"/>
          <w:sz w:val="24"/>
          <w:szCs w:val="24"/>
          <w:lang w:val="en-US"/>
        </w:rPr>
      </w:pPr>
      <w:r w:rsidRPr="00D25DF4">
        <w:rPr>
          <w:rFonts w:eastAsia="Gill Sans MT"/>
          <w:b/>
          <w:bCs/>
          <w:sz w:val="24"/>
          <w:szCs w:val="24"/>
          <w:lang w:val="en-US"/>
        </w:rPr>
        <w:t xml:space="preserve">Table </w:t>
      </w:r>
      <w:r w:rsidR="00FF5C24" w:rsidRPr="00D25DF4">
        <w:rPr>
          <w:rFonts w:eastAsia="Gill Sans MT"/>
          <w:b/>
          <w:bCs/>
          <w:sz w:val="24"/>
          <w:szCs w:val="24"/>
          <w:lang w:val="en-US"/>
        </w:rPr>
        <w:t>6</w:t>
      </w:r>
      <w:r w:rsidRPr="00D25DF4">
        <w:rPr>
          <w:rFonts w:eastAsia="Gill Sans MT"/>
          <w:b/>
          <w:bCs/>
          <w:sz w:val="24"/>
          <w:szCs w:val="24"/>
          <w:lang w:val="en-US"/>
        </w:rPr>
        <w:t>.</w:t>
      </w:r>
      <w:r w:rsidRPr="00D25DF4">
        <w:rPr>
          <w:rFonts w:eastAsia="Gill Sans MT"/>
          <w:sz w:val="24"/>
          <w:szCs w:val="24"/>
          <w:lang w:val="en-US"/>
        </w:rPr>
        <w:t>Granger Causality test</w:t>
      </w:r>
    </w:p>
    <w:tbl>
      <w:tblPr>
        <w:tblStyle w:val="TableGrid1"/>
        <w:tblW w:w="0" w:type="auto"/>
        <w:jc w:val="center"/>
        <w:tblInd w:w="-199" w:type="dxa"/>
        <w:tblLook w:val="04A0"/>
      </w:tblPr>
      <w:tblGrid>
        <w:gridCol w:w="4366"/>
        <w:gridCol w:w="1182"/>
        <w:gridCol w:w="1041"/>
        <w:gridCol w:w="2282"/>
      </w:tblGrid>
      <w:tr w:rsidR="00D25DF4" w:rsidRPr="00D25DF4" w:rsidTr="00FF5C24">
        <w:trPr>
          <w:trHeight w:val="384"/>
          <w:jc w:val="center"/>
        </w:trPr>
        <w:tc>
          <w:tcPr>
            <w:tcW w:w="4366" w:type="dxa"/>
            <w:hideMark/>
          </w:tcPr>
          <w:p w:rsidR="00AA00E9" w:rsidRPr="00D25DF4" w:rsidRDefault="00AA00E9" w:rsidP="00AA00E9">
            <w:pPr>
              <w:spacing w:line="240" w:lineRule="auto"/>
              <w:rPr>
                <w:b/>
                <w:bCs/>
                <w:sz w:val="22"/>
                <w:szCs w:val="22"/>
              </w:rPr>
            </w:pPr>
            <w:r w:rsidRPr="00D25DF4">
              <w:rPr>
                <w:b/>
                <w:bCs/>
                <w:sz w:val="22"/>
                <w:szCs w:val="22"/>
                <w:lang w:val="en-US"/>
              </w:rPr>
              <w:t> </w:t>
            </w:r>
            <w:r w:rsidRPr="00D25DF4">
              <w:rPr>
                <w:b/>
                <w:bCs/>
                <w:sz w:val="22"/>
                <w:szCs w:val="22"/>
              </w:rPr>
              <w:t>NullHypothesis:</w:t>
            </w:r>
          </w:p>
        </w:tc>
        <w:tc>
          <w:tcPr>
            <w:tcW w:w="0" w:type="auto"/>
            <w:hideMark/>
          </w:tcPr>
          <w:p w:rsidR="00AA00E9" w:rsidRPr="00D25DF4" w:rsidRDefault="00AA00E9" w:rsidP="00AA00E9">
            <w:pPr>
              <w:spacing w:line="240" w:lineRule="auto"/>
              <w:jc w:val="center"/>
              <w:rPr>
                <w:b/>
                <w:bCs/>
                <w:sz w:val="22"/>
                <w:szCs w:val="22"/>
              </w:rPr>
            </w:pPr>
            <w:r w:rsidRPr="00D25DF4">
              <w:rPr>
                <w:b/>
                <w:bCs/>
                <w:sz w:val="22"/>
                <w:szCs w:val="22"/>
              </w:rPr>
              <w:t>F-Statistic</w:t>
            </w:r>
          </w:p>
        </w:tc>
        <w:tc>
          <w:tcPr>
            <w:tcW w:w="0" w:type="auto"/>
            <w:hideMark/>
          </w:tcPr>
          <w:p w:rsidR="00AA00E9" w:rsidRPr="00D25DF4" w:rsidRDefault="00AA00E9" w:rsidP="00AA00E9">
            <w:pPr>
              <w:spacing w:line="240" w:lineRule="auto"/>
              <w:jc w:val="right"/>
              <w:rPr>
                <w:b/>
                <w:bCs/>
                <w:sz w:val="22"/>
                <w:szCs w:val="22"/>
              </w:rPr>
            </w:pPr>
            <w:r w:rsidRPr="00D25DF4">
              <w:rPr>
                <w:b/>
                <w:bCs/>
                <w:sz w:val="22"/>
                <w:szCs w:val="22"/>
              </w:rPr>
              <w:t>Prob. </w:t>
            </w:r>
          </w:p>
        </w:tc>
        <w:tc>
          <w:tcPr>
            <w:tcW w:w="0" w:type="auto"/>
            <w:hideMark/>
          </w:tcPr>
          <w:p w:rsidR="00AA00E9" w:rsidRPr="00D25DF4" w:rsidRDefault="00AA00E9" w:rsidP="00AA00E9">
            <w:pPr>
              <w:spacing w:line="240" w:lineRule="auto"/>
              <w:jc w:val="right"/>
              <w:rPr>
                <w:b/>
                <w:bCs/>
                <w:sz w:val="22"/>
                <w:szCs w:val="22"/>
              </w:rPr>
            </w:pPr>
            <w:r w:rsidRPr="00D25DF4">
              <w:rPr>
                <w:b/>
                <w:bCs/>
                <w:sz w:val="22"/>
                <w:szCs w:val="22"/>
              </w:rPr>
              <w:t>Direction of Causality</w:t>
            </w:r>
          </w:p>
        </w:tc>
      </w:tr>
      <w:tr w:rsidR="00D25DF4" w:rsidRPr="00D25DF4" w:rsidTr="00FF5C24">
        <w:trPr>
          <w:trHeight w:val="610"/>
          <w:jc w:val="center"/>
        </w:trPr>
        <w:tc>
          <w:tcPr>
            <w:tcW w:w="4366" w:type="dxa"/>
            <w:noWrap/>
            <w:hideMark/>
          </w:tcPr>
          <w:p w:rsidR="00AA00E9" w:rsidRPr="00D25DF4" w:rsidRDefault="00AA00E9" w:rsidP="00AA00E9">
            <w:pPr>
              <w:rPr>
                <w:sz w:val="24"/>
                <w:szCs w:val="24"/>
                <w:lang w:val="en-US"/>
              </w:rPr>
            </w:pPr>
            <w:r w:rsidRPr="00D25DF4">
              <w:rPr>
                <w:sz w:val="22"/>
                <w:szCs w:val="22"/>
                <w:lang w:val="en-US"/>
              </w:rPr>
              <w:t> </w:t>
            </w:r>
            <w:r w:rsidRPr="00D25DF4">
              <w:rPr>
                <w:sz w:val="24"/>
                <w:szCs w:val="24"/>
              </w:rPr>
              <w:t>Δ</w:t>
            </w:r>
            <w:r w:rsidRPr="00D25DF4">
              <w:rPr>
                <w:sz w:val="22"/>
                <w:szCs w:val="22"/>
                <w:lang w:val="en-US"/>
              </w:rPr>
              <w:t>FDI does not Granger Cause</w:t>
            </w:r>
            <w:r w:rsidRPr="00D25DF4">
              <w:rPr>
                <w:sz w:val="24"/>
                <w:szCs w:val="24"/>
              </w:rPr>
              <w:t>Δ</w:t>
            </w:r>
            <w:r w:rsidRPr="00D25DF4">
              <w:rPr>
                <w:sz w:val="22"/>
                <w:szCs w:val="22"/>
                <w:lang w:val="en-US"/>
              </w:rPr>
              <w:t xml:space="preserve"> GDPPC</w:t>
            </w:r>
          </w:p>
          <w:p w:rsidR="00AA00E9" w:rsidRPr="00D25DF4" w:rsidRDefault="00AA00E9" w:rsidP="00AA00E9">
            <w:pPr>
              <w:rPr>
                <w:sz w:val="24"/>
                <w:szCs w:val="24"/>
                <w:lang w:val="en-US"/>
              </w:rPr>
            </w:pPr>
            <w:r w:rsidRPr="00D25DF4">
              <w:rPr>
                <w:sz w:val="22"/>
                <w:szCs w:val="22"/>
                <w:lang w:val="en-US"/>
              </w:rPr>
              <w:t> </w:t>
            </w:r>
            <w:r w:rsidRPr="00D25DF4">
              <w:rPr>
                <w:sz w:val="24"/>
                <w:szCs w:val="24"/>
              </w:rPr>
              <w:t>Δ</w:t>
            </w:r>
            <w:r w:rsidRPr="00D25DF4">
              <w:rPr>
                <w:sz w:val="22"/>
                <w:szCs w:val="22"/>
                <w:lang w:val="en-US"/>
              </w:rPr>
              <w:t xml:space="preserve">GDPPC does not Granger Cause </w:t>
            </w:r>
            <w:r w:rsidRPr="00D25DF4">
              <w:rPr>
                <w:sz w:val="24"/>
                <w:szCs w:val="24"/>
              </w:rPr>
              <w:t>Δ</w:t>
            </w:r>
            <w:r w:rsidRPr="00D25DF4">
              <w:rPr>
                <w:sz w:val="22"/>
                <w:szCs w:val="22"/>
                <w:lang w:val="en-US"/>
              </w:rPr>
              <w:t>FDI</w:t>
            </w:r>
          </w:p>
        </w:tc>
        <w:tc>
          <w:tcPr>
            <w:tcW w:w="0" w:type="auto"/>
            <w:noWrap/>
            <w:hideMark/>
          </w:tcPr>
          <w:p w:rsidR="00AA00E9" w:rsidRPr="00D25DF4" w:rsidRDefault="00AA00E9" w:rsidP="00AA00E9">
            <w:pPr>
              <w:jc w:val="right"/>
              <w:rPr>
                <w:sz w:val="22"/>
                <w:szCs w:val="22"/>
              </w:rPr>
            </w:pPr>
            <w:r w:rsidRPr="00D25DF4">
              <w:rPr>
                <w:sz w:val="22"/>
                <w:szCs w:val="22"/>
              </w:rPr>
              <w:t>4,11017</w:t>
            </w:r>
          </w:p>
          <w:p w:rsidR="00AA00E9" w:rsidRPr="00D25DF4" w:rsidRDefault="00AA00E9" w:rsidP="00AA00E9">
            <w:pPr>
              <w:spacing w:line="240" w:lineRule="auto"/>
              <w:jc w:val="right"/>
              <w:rPr>
                <w:sz w:val="22"/>
                <w:szCs w:val="22"/>
              </w:rPr>
            </w:pPr>
            <w:r w:rsidRPr="00D25DF4">
              <w:rPr>
                <w:sz w:val="22"/>
                <w:szCs w:val="22"/>
              </w:rPr>
              <w:t>0,01317</w:t>
            </w:r>
          </w:p>
        </w:tc>
        <w:tc>
          <w:tcPr>
            <w:tcW w:w="0" w:type="auto"/>
            <w:noWrap/>
            <w:hideMark/>
          </w:tcPr>
          <w:p w:rsidR="00AA00E9" w:rsidRPr="00D25DF4" w:rsidRDefault="00AA00E9" w:rsidP="00AA00E9">
            <w:pPr>
              <w:jc w:val="right"/>
              <w:rPr>
                <w:sz w:val="22"/>
                <w:szCs w:val="22"/>
              </w:rPr>
            </w:pPr>
            <w:r w:rsidRPr="00D25DF4">
              <w:rPr>
                <w:sz w:val="22"/>
                <w:szCs w:val="22"/>
              </w:rPr>
              <w:t>0,0317**</w:t>
            </w:r>
          </w:p>
          <w:p w:rsidR="00AA00E9" w:rsidRPr="00D25DF4" w:rsidRDefault="00AA00E9" w:rsidP="00AA00E9">
            <w:pPr>
              <w:spacing w:line="240" w:lineRule="auto"/>
              <w:jc w:val="right"/>
              <w:rPr>
                <w:sz w:val="22"/>
                <w:szCs w:val="22"/>
              </w:rPr>
            </w:pPr>
            <w:r w:rsidRPr="00D25DF4">
              <w:rPr>
                <w:sz w:val="22"/>
                <w:szCs w:val="22"/>
              </w:rPr>
              <w:t>0,9092</w:t>
            </w:r>
          </w:p>
        </w:tc>
        <w:tc>
          <w:tcPr>
            <w:tcW w:w="0" w:type="auto"/>
            <w:noWrap/>
            <w:hideMark/>
          </w:tcPr>
          <w:p w:rsidR="00AA00E9" w:rsidRPr="00D25DF4" w:rsidRDefault="00AA00E9" w:rsidP="00AA00E9">
            <w:pPr>
              <w:spacing w:line="240" w:lineRule="auto"/>
              <w:jc w:val="center"/>
              <w:rPr>
                <w:sz w:val="22"/>
                <w:szCs w:val="22"/>
              </w:rPr>
            </w:pPr>
            <w:r w:rsidRPr="00D25DF4">
              <w:rPr>
                <w:sz w:val="22"/>
                <w:szCs w:val="22"/>
              </w:rPr>
              <w:t>Unidirectional</w:t>
            </w:r>
          </w:p>
        </w:tc>
      </w:tr>
      <w:tr w:rsidR="00D25DF4" w:rsidRPr="00D25DF4" w:rsidTr="00FF5C24">
        <w:trPr>
          <w:trHeight w:val="683"/>
          <w:jc w:val="center"/>
        </w:trPr>
        <w:tc>
          <w:tcPr>
            <w:tcW w:w="4366" w:type="dxa"/>
            <w:noWrap/>
            <w:hideMark/>
          </w:tcPr>
          <w:p w:rsidR="00AA00E9" w:rsidRPr="00D25DF4" w:rsidRDefault="00AA00E9" w:rsidP="00AA00E9">
            <w:pPr>
              <w:rPr>
                <w:sz w:val="24"/>
                <w:szCs w:val="24"/>
                <w:lang w:val="en-US"/>
              </w:rPr>
            </w:pPr>
            <w:r w:rsidRPr="00D25DF4">
              <w:rPr>
                <w:sz w:val="24"/>
                <w:szCs w:val="24"/>
              </w:rPr>
              <w:t>Δ</w:t>
            </w:r>
            <w:r w:rsidRPr="00D25DF4">
              <w:rPr>
                <w:sz w:val="22"/>
                <w:szCs w:val="22"/>
                <w:lang w:val="en-US"/>
              </w:rPr>
              <w:t xml:space="preserve"> OPEN does not Granger Cause </w:t>
            </w:r>
            <w:r w:rsidRPr="00D25DF4">
              <w:rPr>
                <w:sz w:val="24"/>
                <w:szCs w:val="24"/>
              </w:rPr>
              <w:t>Δ</w:t>
            </w:r>
            <w:r w:rsidRPr="00D25DF4">
              <w:rPr>
                <w:sz w:val="22"/>
                <w:szCs w:val="22"/>
                <w:lang w:val="en-US"/>
              </w:rPr>
              <w:t>GDPPC</w:t>
            </w:r>
          </w:p>
          <w:p w:rsidR="00AA00E9" w:rsidRPr="00D25DF4" w:rsidRDefault="00AA00E9" w:rsidP="00AA00E9">
            <w:pPr>
              <w:rPr>
                <w:sz w:val="24"/>
                <w:szCs w:val="24"/>
                <w:lang w:val="en-US"/>
              </w:rPr>
            </w:pPr>
            <w:r w:rsidRPr="00D25DF4">
              <w:rPr>
                <w:sz w:val="24"/>
                <w:szCs w:val="24"/>
              </w:rPr>
              <w:t>Δ</w:t>
            </w:r>
            <w:r w:rsidRPr="00D25DF4">
              <w:rPr>
                <w:sz w:val="22"/>
                <w:szCs w:val="22"/>
                <w:lang w:val="en-US"/>
              </w:rPr>
              <w:t xml:space="preserve">GDPPC does not Granger Cause </w:t>
            </w:r>
            <w:r w:rsidRPr="00D25DF4">
              <w:rPr>
                <w:sz w:val="24"/>
                <w:szCs w:val="24"/>
              </w:rPr>
              <w:t>Δ</w:t>
            </w:r>
            <w:r w:rsidRPr="00D25DF4">
              <w:rPr>
                <w:sz w:val="22"/>
                <w:szCs w:val="22"/>
                <w:lang w:val="en-US"/>
              </w:rPr>
              <w:t>OPEN</w:t>
            </w:r>
          </w:p>
        </w:tc>
        <w:tc>
          <w:tcPr>
            <w:tcW w:w="0" w:type="auto"/>
            <w:noWrap/>
            <w:hideMark/>
          </w:tcPr>
          <w:p w:rsidR="00AA00E9" w:rsidRPr="00D25DF4" w:rsidRDefault="00AA00E9" w:rsidP="00AA00E9">
            <w:pPr>
              <w:jc w:val="right"/>
              <w:rPr>
                <w:sz w:val="22"/>
                <w:szCs w:val="22"/>
              </w:rPr>
            </w:pPr>
            <w:r w:rsidRPr="00D25DF4">
              <w:rPr>
                <w:sz w:val="22"/>
                <w:szCs w:val="22"/>
              </w:rPr>
              <w:t>0,04203</w:t>
            </w:r>
          </w:p>
          <w:p w:rsidR="00AA00E9" w:rsidRPr="00D25DF4" w:rsidRDefault="00AA00E9" w:rsidP="00AA00E9">
            <w:pPr>
              <w:spacing w:line="240" w:lineRule="auto"/>
              <w:jc w:val="right"/>
              <w:rPr>
                <w:sz w:val="22"/>
                <w:szCs w:val="22"/>
              </w:rPr>
            </w:pPr>
            <w:r w:rsidRPr="00D25DF4">
              <w:rPr>
                <w:sz w:val="22"/>
                <w:szCs w:val="22"/>
              </w:rPr>
              <w:t>6,42105</w:t>
            </w:r>
          </w:p>
        </w:tc>
        <w:tc>
          <w:tcPr>
            <w:tcW w:w="0" w:type="auto"/>
            <w:noWrap/>
            <w:hideMark/>
          </w:tcPr>
          <w:p w:rsidR="00AA00E9" w:rsidRPr="00D25DF4" w:rsidRDefault="00AA00E9" w:rsidP="00AA00E9">
            <w:pPr>
              <w:jc w:val="right"/>
              <w:rPr>
                <w:sz w:val="22"/>
                <w:szCs w:val="22"/>
              </w:rPr>
            </w:pPr>
            <w:r w:rsidRPr="00D25DF4">
              <w:rPr>
                <w:sz w:val="22"/>
                <w:szCs w:val="22"/>
              </w:rPr>
              <w:t>0,8386</w:t>
            </w:r>
          </w:p>
          <w:p w:rsidR="00AA00E9" w:rsidRPr="00D25DF4" w:rsidRDefault="00AA00E9" w:rsidP="00AA00E9">
            <w:pPr>
              <w:spacing w:line="240" w:lineRule="auto"/>
              <w:jc w:val="right"/>
              <w:rPr>
                <w:sz w:val="22"/>
                <w:szCs w:val="22"/>
              </w:rPr>
            </w:pPr>
            <w:r w:rsidRPr="00D25DF4">
              <w:rPr>
                <w:sz w:val="22"/>
                <w:szCs w:val="22"/>
              </w:rPr>
              <w:t>0,0153**</w:t>
            </w:r>
          </w:p>
        </w:tc>
        <w:tc>
          <w:tcPr>
            <w:tcW w:w="0" w:type="auto"/>
            <w:noWrap/>
            <w:hideMark/>
          </w:tcPr>
          <w:p w:rsidR="00AA00E9" w:rsidRPr="00D25DF4" w:rsidRDefault="00AA00E9" w:rsidP="00AA00E9">
            <w:pPr>
              <w:spacing w:line="240" w:lineRule="auto"/>
              <w:jc w:val="center"/>
              <w:rPr>
                <w:sz w:val="22"/>
                <w:szCs w:val="22"/>
              </w:rPr>
            </w:pPr>
            <w:r w:rsidRPr="00D25DF4">
              <w:rPr>
                <w:sz w:val="22"/>
                <w:szCs w:val="22"/>
              </w:rPr>
              <w:t>Unidirectional</w:t>
            </w:r>
          </w:p>
        </w:tc>
      </w:tr>
      <w:tr w:rsidR="00D25DF4" w:rsidRPr="00D25DF4" w:rsidTr="00FF5C24">
        <w:trPr>
          <w:trHeight w:val="537"/>
          <w:jc w:val="center"/>
        </w:trPr>
        <w:tc>
          <w:tcPr>
            <w:tcW w:w="4366" w:type="dxa"/>
            <w:noWrap/>
            <w:hideMark/>
          </w:tcPr>
          <w:p w:rsidR="00AA00E9" w:rsidRPr="00D25DF4" w:rsidRDefault="00AA00E9" w:rsidP="00AA00E9">
            <w:pPr>
              <w:rPr>
                <w:sz w:val="24"/>
                <w:szCs w:val="24"/>
              </w:rPr>
            </w:pPr>
            <w:r w:rsidRPr="00D25DF4">
              <w:rPr>
                <w:sz w:val="24"/>
                <w:szCs w:val="24"/>
              </w:rPr>
              <w:t>Δ</w:t>
            </w:r>
            <w:r w:rsidRPr="00D25DF4">
              <w:rPr>
                <w:sz w:val="22"/>
                <w:szCs w:val="22"/>
              </w:rPr>
              <w:t xml:space="preserve">INFRA does not Granger Cause </w:t>
            </w:r>
            <w:r w:rsidRPr="00D25DF4">
              <w:rPr>
                <w:sz w:val="24"/>
                <w:szCs w:val="24"/>
              </w:rPr>
              <w:t>Δ</w:t>
            </w:r>
            <w:r w:rsidRPr="00D25DF4">
              <w:rPr>
                <w:sz w:val="22"/>
                <w:szCs w:val="22"/>
              </w:rPr>
              <w:t>GDPPC</w:t>
            </w:r>
          </w:p>
          <w:p w:rsidR="00AA00E9" w:rsidRPr="00D25DF4" w:rsidRDefault="00AA00E9" w:rsidP="00AA00E9">
            <w:pPr>
              <w:rPr>
                <w:sz w:val="24"/>
                <w:szCs w:val="24"/>
              </w:rPr>
            </w:pPr>
            <w:r w:rsidRPr="00D25DF4">
              <w:rPr>
                <w:sz w:val="22"/>
                <w:szCs w:val="22"/>
              </w:rPr>
              <w:t> </w:t>
            </w:r>
            <w:r w:rsidRPr="00D25DF4">
              <w:rPr>
                <w:sz w:val="24"/>
                <w:szCs w:val="24"/>
              </w:rPr>
              <w:t>Δ</w:t>
            </w:r>
            <w:r w:rsidRPr="00D25DF4">
              <w:rPr>
                <w:sz w:val="22"/>
                <w:szCs w:val="22"/>
              </w:rPr>
              <w:t xml:space="preserve">GDPPC does not Granger Cause </w:t>
            </w:r>
            <w:r w:rsidRPr="00D25DF4">
              <w:rPr>
                <w:sz w:val="24"/>
                <w:szCs w:val="24"/>
              </w:rPr>
              <w:t>Δ</w:t>
            </w:r>
            <w:r w:rsidRPr="00D25DF4">
              <w:rPr>
                <w:sz w:val="22"/>
                <w:szCs w:val="22"/>
              </w:rPr>
              <w:t>INFRA</w:t>
            </w:r>
          </w:p>
        </w:tc>
        <w:tc>
          <w:tcPr>
            <w:tcW w:w="0" w:type="auto"/>
            <w:noWrap/>
            <w:hideMark/>
          </w:tcPr>
          <w:p w:rsidR="00AA00E9" w:rsidRPr="00D25DF4" w:rsidRDefault="00AA00E9" w:rsidP="00AA00E9">
            <w:pPr>
              <w:jc w:val="right"/>
              <w:rPr>
                <w:sz w:val="22"/>
                <w:szCs w:val="22"/>
              </w:rPr>
            </w:pPr>
            <w:r w:rsidRPr="00D25DF4">
              <w:rPr>
                <w:sz w:val="22"/>
                <w:szCs w:val="22"/>
              </w:rPr>
              <w:t>4,78913</w:t>
            </w:r>
          </w:p>
          <w:p w:rsidR="00AA00E9" w:rsidRPr="00D25DF4" w:rsidRDefault="00AA00E9" w:rsidP="00AA00E9">
            <w:pPr>
              <w:spacing w:line="240" w:lineRule="auto"/>
              <w:jc w:val="right"/>
              <w:rPr>
                <w:sz w:val="22"/>
                <w:szCs w:val="22"/>
              </w:rPr>
            </w:pPr>
            <w:r w:rsidRPr="00D25DF4">
              <w:rPr>
                <w:sz w:val="22"/>
                <w:szCs w:val="22"/>
              </w:rPr>
              <w:t>0,79232</w:t>
            </w:r>
          </w:p>
        </w:tc>
        <w:tc>
          <w:tcPr>
            <w:tcW w:w="0" w:type="auto"/>
            <w:noWrap/>
            <w:hideMark/>
          </w:tcPr>
          <w:p w:rsidR="00AA00E9" w:rsidRPr="00D25DF4" w:rsidRDefault="00AA00E9" w:rsidP="00AA00E9">
            <w:pPr>
              <w:jc w:val="right"/>
              <w:rPr>
                <w:sz w:val="22"/>
                <w:szCs w:val="22"/>
              </w:rPr>
            </w:pPr>
            <w:r w:rsidRPr="00D25DF4">
              <w:rPr>
                <w:sz w:val="22"/>
                <w:szCs w:val="22"/>
              </w:rPr>
              <w:t>0,0345**</w:t>
            </w:r>
          </w:p>
          <w:p w:rsidR="00AA00E9" w:rsidRPr="00D25DF4" w:rsidRDefault="00AA00E9" w:rsidP="00AA00E9">
            <w:pPr>
              <w:spacing w:line="240" w:lineRule="auto"/>
              <w:jc w:val="right"/>
              <w:rPr>
                <w:sz w:val="22"/>
                <w:szCs w:val="22"/>
              </w:rPr>
            </w:pPr>
            <w:r w:rsidRPr="00D25DF4">
              <w:rPr>
                <w:sz w:val="22"/>
                <w:szCs w:val="22"/>
              </w:rPr>
              <w:t>0,3783</w:t>
            </w:r>
          </w:p>
        </w:tc>
        <w:tc>
          <w:tcPr>
            <w:tcW w:w="0" w:type="auto"/>
            <w:noWrap/>
            <w:hideMark/>
          </w:tcPr>
          <w:p w:rsidR="00AA00E9" w:rsidRPr="00D25DF4" w:rsidRDefault="00AA00E9" w:rsidP="00AA00E9">
            <w:pPr>
              <w:spacing w:line="240" w:lineRule="auto"/>
              <w:jc w:val="center"/>
              <w:rPr>
                <w:sz w:val="22"/>
                <w:szCs w:val="22"/>
              </w:rPr>
            </w:pPr>
            <w:r w:rsidRPr="00D25DF4">
              <w:rPr>
                <w:sz w:val="22"/>
                <w:szCs w:val="22"/>
              </w:rPr>
              <w:t>Unidirectional</w:t>
            </w:r>
          </w:p>
        </w:tc>
      </w:tr>
    </w:tbl>
    <w:p w:rsidR="00AA00E9" w:rsidRPr="00D25DF4" w:rsidRDefault="00AA00E9" w:rsidP="00FF5C24">
      <w:pPr>
        <w:autoSpaceDE w:val="0"/>
        <w:autoSpaceDN w:val="0"/>
        <w:spacing w:line="360" w:lineRule="auto"/>
        <w:jc w:val="left"/>
        <w:rPr>
          <w:i/>
          <w:iCs/>
          <w:sz w:val="22"/>
          <w:szCs w:val="22"/>
          <w:lang w:val="en-US"/>
        </w:rPr>
      </w:pPr>
      <w:r w:rsidRPr="00D25DF4">
        <w:rPr>
          <w:i/>
          <w:iCs/>
          <w:sz w:val="22"/>
          <w:szCs w:val="22"/>
          <w:lang w:val="en-US"/>
        </w:rPr>
        <w:t>** denotes statistically significant at 5 percent</w:t>
      </w:r>
    </w:p>
    <w:p w:rsidR="00216586" w:rsidRPr="00D25DF4" w:rsidRDefault="00216586" w:rsidP="00FF5C24">
      <w:pPr>
        <w:autoSpaceDE w:val="0"/>
        <w:autoSpaceDN w:val="0"/>
        <w:spacing w:line="360" w:lineRule="auto"/>
        <w:rPr>
          <w:i/>
          <w:iCs/>
          <w:lang w:val="en-US"/>
        </w:rPr>
      </w:pPr>
    </w:p>
    <w:p w:rsidR="00ED66A6" w:rsidRPr="00D25DF4" w:rsidRDefault="00ED66A6" w:rsidP="00795D8A">
      <w:pPr>
        <w:autoSpaceDE w:val="0"/>
        <w:autoSpaceDN w:val="0"/>
        <w:spacing w:line="240" w:lineRule="auto"/>
        <w:rPr>
          <w:sz w:val="24"/>
          <w:szCs w:val="24"/>
          <w:lang w:val="en-US"/>
        </w:rPr>
      </w:pPr>
      <w:r w:rsidRPr="00D25DF4">
        <w:rPr>
          <w:sz w:val="24"/>
          <w:szCs w:val="24"/>
          <w:lang w:val="en-US"/>
        </w:rPr>
        <w:t>Granger-causality may not describe the whole situation about the interactions between the variables of a system. In applied work, it is often of interest to know the response of one variable to an impulse in another variable in a system that involves a number of further variables as well. Impulse response function (IRF) of a dynamic system is its output when presented with a brief input signal, called an impulse. More generally, an impulse response refers to the reaction of any dynamic system in response to some external change.</w:t>
      </w:r>
    </w:p>
    <w:p w:rsidR="00ED66A6" w:rsidRPr="00D25DF4" w:rsidRDefault="00ED66A6" w:rsidP="004E5D5B">
      <w:pPr>
        <w:autoSpaceDE w:val="0"/>
        <w:autoSpaceDN w:val="0"/>
        <w:spacing w:before="100" w:beforeAutospacing="1" w:line="240" w:lineRule="auto"/>
        <w:rPr>
          <w:sz w:val="24"/>
          <w:szCs w:val="24"/>
          <w:lang w:val="en-US"/>
        </w:rPr>
      </w:pPr>
      <w:r w:rsidRPr="00D25DF4">
        <w:rPr>
          <w:sz w:val="24"/>
          <w:szCs w:val="24"/>
          <w:lang w:val="en-US"/>
        </w:rPr>
        <w:t>Figure 3 indicates that the response of LFDI to GDP</w:t>
      </w:r>
      <w:r w:rsidR="004E5D5B" w:rsidRPr="00D25DF4">
        <w:rPr>
          <w:sz w:val="24"/>
          <w:szCs w:val="24"/>
          <w:lang w:val="en-US"/>
        </w:rPr>
        <w:t>PC</w:t>
      </w:r>
      <w:r w:rsidRPr="00D25DF4">
        <w:rPr>
          <w:sz w:val="24"/>
          <w:szCs w:val="24"/>
          <w:lang w:val="en-US"/>
        </w:rPr>
        <w:t xml:space="preserve"> is negative for the three first periods but it becomes positive for all the rest periods. This confirms the positive relation between FDI and economic growth. </w:t>
      </w:r>
      <w:r w:rsidR="006718F2" w:rsidRPr="00D25DF4">
        <w:rPr>
          <w:sz w:val="24"/>
          <w:szCs w:val="24"/>
          <w:lang w:val="en-US"/>
        </w:rPr>
        <w:t>T</w:t>
      </w:r>
      <w:r w:rsidRPr="00D25DF4">
        <w:rPr>
          <w:sz w:val="24"/>
          <w:szCs w:val="24"/>
          <w:lang w:val="en-US"/>
        </w:rPr>
        <w:t>he response of LOPEN to GDP</w:t>
      </w:r>
      <w:r w:rsidR="004E5D5B" w:rsidRPr="00D25DF4">
        <w:rPr>
          <w:sz w:val="24"/>
          <w:szCs w:val="24"/>
          <w:lang w:val="en-US"/>
        </w:rPr>
        <w:t>PC</w:t>
      </w:r>
      <w:r w:rsidRPr="00D25DF4">
        <w:rPr>
          <w:sz w:val="24"/>
          <w:szCs w:val="24"/>
          <w:lang w:val="en-US"/>
        </w:rPr>
        <w:t xml:space="preserve"> is negative only for the two first periods but it appears positive for all the eight periods. IRF illustrate also that the response of LINFRA to GDP</w:t>
      </w:r>
      <w:r w:rsidR="004E5D5B" w:rsidRPr="00D25DF4">
        <w:rPr>
          <w:sz w:val="24"/>
          <w:szCs w:val="24"/>
          <w:lang w:val="en-US"/>
        </w:rPr>
        <w:t>PC</w:t>
      </w:r>
      <w:r w:rsidRPr="00D25DF4">
        <w:rPr>
          <w:sz w:val="24"/>
          <w:szCs w:val="24"/>
          <w:lang w:val="en-US"/>
        </w:rPr>
        <w:t xml:space="preserve"> is negative for the two first periods then it becomes positive for the eight last periods. According to the figure 3, we conclude that the responses of LOPEN and LINFRA to GDP</w:t>
      </w:r>
      <w:r w:rsidR="004E5D5B" w:rsidRPr="00D25DF4">
        <w:rPr>
          <w:sz w:val="24"/>
          <w:szCs w:val="24"/>
          <w:lang w:val="en-US"/>
        </w:rPr>
        <w:t>PC</w:t>
      </w:r>
      <w:r w:rsidRPr="00D25DF4">
        <w:rPr>
          <w:sz w:val="24"/>
          <w:szCs w:val="24"/>
          <w:lang w:val="en-US"/>
        </w:rPr>
        <w:t xml:space="preserve"> are similar. </w:t>
      </w:r>
    </w:p>
    <w:p w:rsidR="00FF5C24" w:rsidRPr="00D25DF4" w:rsidRDefault="00FF5C24" w:rsidP="00FF5C24">
      <w:pPr>
        <w:autoSpaceDE w:val="0"/>
        <w:autoSpaceDN w:val="0"/>
        <w:spacing w:before="100" w:beforeAutospacing="1" w:line="240" w:lineRule="auto"/>
        <w:rPr>
          <w:sz w:val="24"/>
          <w:szCs w:val="24"/>
          <w:lang w:val="en-US"/>
        </w:rPr>
      </w:pPr>
    </w:p>
    <w:p w:rsidR="00FF5C24" w:rsidRPr="00D25DF4" w:rsidRDefault="00FF5C24" w:rsidP="00FF5C24">
      <w:pPr>
        <w:autoSpaceDE w:val="0"/>
        <w:autoSpaceDN w:val="0"/>
        <w:spacing w:before="100" w:beforeAutospacing="1" w:line="240" w:lineRule="auto"/>
        <w:rPr>
          <w:sz w:val="24"/>
          <w:szCs w:val="24"/>
          <w:lang w:val="en-US"/>
        </w:rPr>
      </w:pPr>
    </w:p>
    <w:p w:rsidR="00FF5C24" w:rsidRPr="00D25DF4" w:rsidRDefault="00FF5C24" w:rsidP="00FF5C24">
      <w:pPr>
        <w:autoSpaceDE w:val="0"/>
        <w:autoSpaceDN w:val="0"/>
        <w:spacing w:before="100" w:beforeAutospacing="1" w:line="240" w:lineRule="auto"/>
        <w:rPr>
          <w:sz w:val="24"/>
          <w:szCs w:val="24"/>
          <w:lang w:val="en-US"/>
        </w:rPr>
      </w:pPr>
    </w:p>
    <w:p w:rsidR="00FF5C24" w:rsidRPr="00D25DF4" w:rsidRDefault="00FF5C24" w:rsidP="00FF5C24">
      <w:pPr>
        <w:autoSpaceDE w:val="0"/>
        <w:autoSpaceDN w:val="0"/>
        <w:spacing w:before="100" w:beforeAutospacing="1" w:line="240" w:lineRule="auto"/>
        <w:rPr>
          <w:sz w:val="24"/>
          <w:szCs w:val="24"/>
          <w:lang w:val="en-US"/>
        </w:rPr>
      </w:pPr>
    </w:p>
    <w:p w:rsidR="00FF5C24" w:rsidRPr="00D25DF4" w:rsidRDefault="00FF5C24" w:rsidP="00FF5C24">
      <w:pPr>
        <w:autoSpaceDE w:val="0"/>
        <w:autoSpaceDN w:val="0"/>
        <w:spacing w:before="100" w:beforeAutospacing="1" w:line="240" w:lineRule="auto"/>
        <w:rPr>
          <w:sz w:val="24"/>
          <w:szCs w:val="24"/>
          <w:lang w:val="en-US"/>
        </w:rPr>
      </w:pPr>
    </w:p>
    <w:p w:rsidR="00FF5C24" w:rsidRPr="00D25DF4" w:rsidRDefault="00FF5C24" w:rsidP="00FF5C24">
      <w:pPr>
        <w:autoSpaceDE w:val="0"/>
        <w:autoSpaceDN w:val="0"/>
        <w:spacing w:before="100" w:beforeAutospacing="1" w:line="240" w:lineRule="auto"/>
        <w:rPr>
          <w:sz w:val="24"/>
          <w:szCs w:val="24"/>
          <w:lang w:val="en-US"/>
        </w:rPr>
      </w:pPr>
    </w:p>
    <w:p w:rsidR="00ED66A6" w:rsidRPr="00D25DF4" w:rsidRDefault="00ED66A6" w:rsidP="00FF5C24">
      <w:pPr>
        <w:autoSpaceDE w:val="0"/>
        <w:autoSpaceDN w:val="0"/>
        <w:spacing w:line="240" w:lineRule="auto"/>
        <w:rPr>
          <w:b/>
          <w:bCs/>
          <w:sz w:val="24"/>
          <w:szCs w:val="24"/>
          <w:lang w:val="en-US"/>
        </w:rPr>
      </w:pPr>
    </w:p>
    <w:p w:rsidR="00ED66A6" w:rsidRPr="00D25DF4" w:rsidRDefault="00ED66A6" w:rsidP="00A45908">
      <w:pPr>
        <w:autoSpaceDE w:val="0"/>
        <w:autoSpaceDN w:val="0"/>
        <w:spacing w:line="240" w:lineRule="auto"/>
        <w:jc w:val="center"/>
        <w:rPr>
          <w:b/>
          <w:bCs/>
          <w:sz w:val="24"/>
          <w:szCs w:val="24"/>
          <w:lang w:val="en-US"/>
        </w:rPr>
      </w:pPr>
      <w:r w:rsidRPr="00D25DF4">
        <w:rPr>
          <w:b/>
          <w:bCs/>
          <w:sz w:val="24"/>
          <w:szCs w:val="24"/>
          <w:lang w:val="en-US"/>
        </w:rPr>
        <w:t xml:space="preserve">Figure 3: </w:t>
      </w:r>
      <w:r w:rsidRPr="00D25DF4">
        <w:rPr>
          <w:sz w:val="24"/>
          <w:szCs w:val="24"/>
          <w:lang w:val="en-US"/>
        </w:rPr>
        <w:t>Impulse response functions</w:t>
      </w:r>
    </w:p>
    <w:p w:rsidR="00ED66A6" w:rsidRPr="00D25DF4" w:rsidRDefault="00ED66A6" w:rsidP="00911608">
      <w:pPr>
        <w:autoSpaceDE w:val="0"/>
        <w:autoSpaceDN w:val="0"/>
        <w:spacing w:line="240" w:lineRule="auto"/>
        <w:rPr>
          <w:sz w:val="18"/>
          <w:szCs w:val="18"/>
          <w:lang w:val="en-US"/>
        </w:rPr>
      </w:pPr>
    </w:p>
    <w:p w:rsidR="00ED66A6" w:rsidRPr="00D25DF4" w:rsidRDefault="00ED66A6" w:rsidP="00911608">
      <w:pPr>
        <w:autoSpaceDE w:val="0"/>
        <w:autoSpaceDN w:val="0"/>
        <w:spacing w:line="240" w:lineRule="auto"/>
        <w:rPr>
          <w:sz w:val="18"/>
          <w:szCs w:val="18"/>
          <w:lang w:val="en-US"/>
        </w:rPr>
      </w:pPr>
    </w:p>
    <w:p w:rsidR="00ED66A6" w:rsidRPr="00D25DF4" w:rsidRDefault="008C118F" w:rsidP="00911608">
      <w:pPr>
        <w:autoSpaceDE w:val="0"/>
        <w:autoSpaceDN w:val="0"/>
        <w:spacing w:line="240" w:lineRule="auto"/>
        <w:rPr>
          <w:noProof/>
          <w:sz w:val="18"/>
          <w:szCs w:val="18"/>
        </w:rPr>
      </w:pPr>
      <w:r w:rsidRPr="00D25DF4">
        <w:rPr>
          <w:noProof/>
          <w:sz w:val="18"/>
          <w:szCs w:val="18"/>
        </w:rPr>
        <w:drawing>
          <wp:inline distT="0" distB="0" distL="0" distR="0">
            <wp:extent cx="5741670" cy="600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670" cy="6007100"/>
                    </a:xfrm>
                    <a:prstGeom prst="rect">
                      <a:avLst/>
                    </a:prstGeom>
                    <a:noFill/>
                    <a:ln>
                      <a:noFill/>
                    </a:ln>
                  </pic:spPr>
                </pic:pic>
              </a:graphicData>
            </a:graphic>
          </wp:inline>
        </w:drawing>
      </w:r>
    </w:p>
    <w:p w:rsidR="00ED66A6" w:rsidRPr="00D25DF4" w:rsidRDefault="00ED66A6" w:rsidP="00DF4AA3">
      <w:pPr>
        <w:autoSpaceDE w:val="0"/>
        <w:autoSpaceDN w:val="0"/>
        <w:spacing w:line="240" w:lineRule="auto"/>
        <w:jc w:val="center"/>
        <w:rPr>
          <w:b/>
          <w:bCs/>
          <w:sz w:val="24"/>
          <w:szCs w:val="24"/>
          <w:lang w:val="en-US"/>
        </w:rPr>
      </w:pPr>
    </w:p>
    <w:p w:rsidR="00ED66A6" w:rsidRPr="00D25DF4" w:rsidRDefault="00ED66A6" w:rsidP="00DF4AA3">
      <w:pPr>
        <w:autoSpaceDE w:val="0"/>
        <w:autoSpaceDN w:val="0"/>
        <w:spacing w:line="240" w:lineRule="auto"/>
        <w:jc w:val="center"/>
        <w:rPr>
          <w:b/>
          <w:bCs/>
          <w:sz w:val="24"/>
          <w:szCs w:val="24"/>
          <w:lang w:val="en-US"/>
        </w:rPr>
      </w:pPr>
    </w:p>
    <w:p w:rsidR="00ED66A6" w:rsidRPr="00D25DF4" w:rsidRDefault="00ED66A6" w:rsidP="00DF4AA3">
      <w:pPr>
        <w:autoSpaceDE w:val="0"/>
        <w:autoSpaceDN w:val="0"/>
        <w:spacing w:line="240" w:lineRule="auto"/>
        <w:jc w:val="center"/>
        <w:rPr>
          <w:b/>
          <w:bCs/>
          <w:sz w:val="24"/>
          <w:szCs w:val="24"/>
          <w:lang w:val="en-US"/>
        </w:rPr>
      </w:pPr>
      <w:r w:rsidRPr="00D25DF4">
        <w:rPr>
          <w:b/>
          <w:bCs/>
          <w:sz w:val="24"/>
          <w:szCs w:val="24"/>
          <w:lang w:val="en-US"/>
        </w:rPr>
        <w:t>5. Conclusion and policy remarks</w:t>
      </w:r>
    </w:p>
    <w:p w:rsidR="00ED66A6" w:rsidRPr="00D25DF4" w:rsidRDefault="00ED66A6" w:rsidP="00911608">
      <w:pPr>
        <w:autoSpaceDE w:val="0"/>
        <w:autoSpaceDN w:val="0"/>
        <w:spacing w:line="240" w:lineRule="auto"/>
        <w:rPr>
          <w:sz w:val="18"/>
          <w:szCs w:val="18"/>
          <w:lang w:val="en-US"/>
        </w:rPr>
      </w:pPr>
    </w:p>
    <w:p w:rsidR="00ED66A6" w:rsidRPr="00D25DF4" w:rsidRDefault="00ED66A6" w:rsidP="00320898">
      <w:pPr>
        <w:autoSpaceDE w:val="0"/>
        <w:autoSpaceDN w:val="0"/>
        <w:spacing w:before="100" w:beforeAutospacing="1" w:line="240" w:lineRule="auto"/>
        <w:rPr>
          <w:sz w:val="24"/>
          <w:szCs w:val="24"/>
          <w:lang w:val="en-US"/>
        </w:rPr>
      </w:pPr>
      <w:r w:rsidRPr="00D25DF4">
        <w:rPr>
          <w:sz w:val="24"/>
          <w:szCs w:val="24"/>
          <w:lang w:val="en-US"/>
        </w:rPr>
        <w:t xml:space="preserve">Theoretically there is a widespread belief that FDI generates positive externalities for host countries.  To explore this </w:t>
      </w:r>
      <w:r w:rsidR="00320898" w:rsidRPr="00D25DF4">
        <w:rPr>
          <w:sz w:val="24"/>
          <w:szCs w:val="24"/>
          <w:lang w:val="en-US"/>
        </w:rPr>
        <w:t>linkage between</w:t>
      </w:r>
      <w:r w:rsidR="00A07208" w:rsidRPr="00D25DF4">
        <w:rPr>
          <w:sz w:val="24"/>
          <w:szCs w:val="24"/>
          <w:lang w:val="en-US"/>
        </w:rPr>
        <w:t xml:space="preserve"> FDI and growth</w:t>
      </w:r>
      <w:r w:rsidRPr="00D25DF4">
        <w:rPr>
          <w:sz w:val="24"/>
          <w:szCs w:val="24"/>
          <w:lang w:val="en-US"/>
        </w:rPr>
        <w:t xml:space="preserve"> we used a dataset related to Saudi Arabia during the period 1970-2013. The main source of our data is the World Bank’s World Development Indicators (WDI). In this paper, empirical approach requires three steps.  The first step aims to test whether the variables contain a unit root to confirm the stationarity of each variable. For this end, we use the Augmented Dickey–Fuller tests (F-ADF) and Philips–Perron (PP) tests.</w:t>
      </w:r>
      <w:r w:rsidR="00320898" w:rsidRPr="00D25DF4">
        <w:rPr>
          <w:sz w:val="24"/>
          <w:szCs w:val="24"/>
          <w:lang w:val="en-US"/>
        </w:rPr>
        <w:t xml:space="preserve"> While the second tests, are devoted to analyze the existence of a long-run </w:t>
      </w:r>
      <w:r w:rsidR="00320898" w:rsidRPr="00D25DF4">
        <w:rPr>
          <w:sz w:val="24"/>
          <w:szCs w:val="24"/>
          <w:lang w:val="en-US"/>
        </w:rPr>
        <w:lastRenderedPageBreak/>
        <w:t xml:space="preserve">cointegrating relationship </w:t>
      </w:r>
      <w:r w:rsidRPr="00D25DF4">
        <w:rPr>
          <w:sz w:val="24"/>
          <w:szCs w:val="24"/>
          <w:lang w:val="en-US"/>
        </w:rPr>
        <w:t xml:space="preserve">between the variables.  This is </w:t>
      </w:r>
      <w:r w:rsidR="00A07208" w:rsidRPr="00D25DF4">
        <w:rPr>
          <w:sz w:val="24"/>
          <w:szCs w:val="24"/>
          <w:lang w:val="en-US"/>
        </w:rPr>
        <w:t>done by the use of the Johansen</w:t>
      </w:r>
      <w:r w:rsidRPr="00D25DF4">
        <w:rPr>
          <w:sz w:val="24"/>
          <w:szCs w:val="24"/>
          <w:lang w:val="en-US"/>
        </w:rPr>
        <w:t xml:space="preserve"> methods.  Thirdly, a vector error correction model (VECM) method suggested by Engle and Granger (1987) is used if all variables are integrated of order one I (1) and cointegrated.</w:t>
      </w:r>
    </w:p>
    <w:p w:rsidR="00ED66A6" w:rsidRPr="00D25DF4" w:rsidRDefault="00ED66A6" w:rsidP="00180107">
      <w:pPr>
        <w:autoSpaceDE w:val="0"/>
        <w:autoSpaceDN w:val="0"/>
        <w:spacing w:before="100" w:beforeAutospacing="1" w:line="240" w:lineRule="auto"/>
        <w:rPr>
          <w:sz w:val="24"/>
          <w:szCs w:val="24"/>
          <w:lang w:val="en-US"/>
        </w:rPr>
      </w:pPr>
      <w:r w:rsidRPr="00D25DF4">
        <w:rPr>
          <w:sz w:val="24"/>
          <w:szCs w:val="24"/>
          <w:lang w:val="en-US"/>
        </w:rPr>
        <w:t xml:space="preserve">Empirical results show that </w:t>
      </w:r>
      <w:r w:rsidRPr="00D25DF4">
        <w:rPr>
          <w:sz w:val="24"/>
          <w:szCs w:val="24"/>
          <w:lang w:val="en-US" w:eastAsia="en-US"/>
        </w:rPr>
        <w:t>in long-run regression, FDI promotes economic growth in Saudi Arabia. Also the Granger Causality test shows</w:t>
      </w:r>
      <w:r w:rsidRPr="00D25DF4">
        <w:rPr>
          <w:sz w:val="24"/>
          <w:szCs w:val="24"/>
          <w:lang w:val="en-US"/>
        </w:rPr>
        <w:t xml:space="preserve"> that there is unidirectional causality between FDI and growth. Findings indicate also that trade openness (LOPEN) did not Granger cause </w:t>
      </w:r>
      <w:r w:rsidRPr="00D25DF4">
        <w:rPr>
          <w:sz w:val="24"/>
          <w:szCs w:val="24"/>
          <w:lang w:val="en-US" w:eastAsia="en-US"/>
        </w:rPr>
        <w:t>Gross domestic product per capita</w:t>
      </w:r>
      <w:r w:rsidRPr="00D25DF4">
        <w:rPr>
          <w:sz w:val="24"/>
          <w:szCs w:val="24"/>
          <w:lang w:val="en-US"/>
        </w:rPr>
        <w:t xml:space="preserve"> (</w:t>
      </w:r>
      <w:r w:rsidR="004E5D5B" w:rsidRPr="00D25DF4">
        <w:rPr>
          <w:sz w:val="24"/>
          <w:szCs w:val="24"/>
          <w:lang w:val="en-US"/>
        </w:rPr>
        <w:t>GDPPC</w:t>
      </w:r>
      <w:r w:rsidRPr="00D25DF4">
        <w:rPr>
          <w:sz w:val="24"/>
          <w:szCs w:val="24"/>
          <w:lang w:val="en-US"/>
        </w:rPr>
        <w:t>). In contrary, there is unidirectional causality between investment (LINFRA</w:t>
      </w:r>
      <w:r w:rsidR="004E5D5B" w:rsidRPr="00D25DF4">
        <w:rPr>
          <w:sz w:val="24"/>
          <w:szCs w:val="24"/>
          <w:lang w:val="en-US"/>
        </w:rPr>
        <w:t>) and LGDPPC</w:t>
      </w:r>
      <w:r w:rsidRPr="00D25DF4">
        <w:rPr>
          <w:sz w:val="24"/>
          <w:szCs w:val="24"/>
          <w:lang w:val="en-US"/>
        </w:rPr>
        <w:t>.</w:t>
      </w:r>
    </w:p>
    <w:p w:rsidR="00ED66A6" w:rsidRPr="00D25DF4" w:rsidRDefault="00ED66A6" w:rsidP="00A07208">
      <w:pPr>
        <w:autoSpaceDE w:val="0"/>
        <w:autoSpaceDN w:val="0"/>
        <w:spacing w:before="100" w:beforeAutospacing="1" w:line="240" w:lineRule="auto"/>
        <w:rPr>
          <w:sz w:val="24"/>
          <w:szCs w:val="24"/>
          <w:lang w:val="en-US" w:eastAsia="en-US"/>
        </w:rPr>
      </w:pPr>
      <w:r w:rsidRPr="00D25DF4">
        <w:rPr>
          <w:sz w:val="24"/>
          <w:szCs w:val="24"/>
          <w:lang w:val="en-US" w:eastAsia="en-US"/>
        </w:rPr>
        <w:t xml:space="preserve">This finding may be considered of great interest, the kingdom of Saudi Arabia should continue its efforts to attract foreign investors and to promote FDI by offering many investments incentives. </w:t>
      </w:r>
      <w:r w:rsidR="00A07208" w:rsidRPr="00D25DF4">
        <w:rPr>
          <w:sz w:val="24"/>
          <w:szCs w:val="24"/>
          <w:lang w:val="en-US" w:eastAsia="en-US"/>
        </w:rPr>
        <w:t>Also</w:t>
      </w:r>
      <w:r w:rsidR="00320898" w:rsidRPr="00D25DF4">
        <w:rPr>
          <w:sz w:val="24"/>
          <w:szCs w:val="24"/>
          <w:lang w:val="en-US" w:eastAsia="en-US"/>
        </w:rPr>
        <w:t>, to</w:t>
      </w:r>
      <w:r w:rsidRPr="00D25DF4">
        <w:rPr>
          <w:sz w:val="24"/>
          <w:szCs w:val="24"/>
          <w:lang w:val="en-US" w:eastAsia="en-US"/>
        </w:rPr>
        <w:t xml:space="preserve"> the encouragement and the support of the FDI, the Saudi Arabia policy should promote the trade openness (LOPEN) which appears an important engine to stimulate the economic</w:t>
      </w:r>
      <w:r w:rsidR="00320898" w:rsidRPr="00D25DF4">
        <w:rPr>
          <w:sz w:val="24"/>
          <w:szCs w:val="24"/>
          <w:lang w:val="en-US" w:eastAsia="en-US"/>
        </w:rPr>
        <w:t>growth.</w:t>
      </w:r>
    </w:p>
    <w:p w:rsidR="00ED66A6" w:rsidRPr="00D25DF4" w:rsidRDefault="00ED66A6" w:rsidP="00253BC6">
      <w:pPr>
        <w:autoSpaceDE w:val="0"/>
        <w:autoSpaceDN w:val="0"/>
        <w:spacing w:before="240" w:line="360" w:lineRule="auto"/>
        <w:rPr>
          <w:b/>
          <w:bCs/>
          <w:sz w:val="24"/>
          <w:szCs w:val="24"/>
          <w:lang w:val="en-US"/>
        </w:rPr>
      </w:pPr>
      <w:r w:rsidRPr="00D25DF4">
        <w:rPr>
          <w:b/>
          <w:bCs/>
          <w:sz w:val="24"/>
          <w:szCs w:val="24"/>
          <w:lang w:val="en-US"/>
        </w:rPr>
        <w:t xml:space="preserve">References </w:t>
      </w:r>
    </w:p>
    <w:p w:rsidR="00ED66A6" w:rsidRPr="00D25DF4" w:rsidRDefault="00ED66A6" w:rsidP="0063793E">
      <w:pPr>
        <w:pStyle w:val="Default"/>
        <w:jc w:val="both"/>
        <w:rPr>
          <w:color w:val="auto"/>
          <w:lang w:val="en-US"/>
        </w:rPr>
      </w:pPr>
      <w:r w:rsidRPr="00D25DF4">
        <w:rPr>
          <w:color w:val="auto"/>
          <w:lang w:val="en-US"/>
        </w:rPr>
        <w:t>Almahmood.A (2010). Foreign Direct Investment in Saudi Arabia: Joint Venture Equity Shares and Source Country Characteristics. Phd thesis in Economics, Economics, Newcastle University Business School, December 2010</w:t>
      </w:r>
    </w:p>
    <w:p w:rsidR="00ED66A6" w:rsidRPr="00D25DF4" w:rsidRDefault="00ED66A6" w:rsidP="00C15031">
      <w:pPr>
        <w:autoSpaceDE w:val="0"/>
        <w:autoSpaceDN w:val="0"/>
        <w:spacing w:before="100" w:beforeAutospacing="1" w:after="100" w:afterAutospacing="1" w:line="240" w:lineRule="auto"/>
        <w:rPr>
          <w:sz w:val="24"/>
          <w:szCs w:val="24"/>
          <w:lang w:val="en-US"/>
        </w:rPr>
      </w:pPr>
      <w:r w:rsidRPr="00D25DF4">
        <w:rPr>
          <w:sz w:val="24"/>
          <w:szCs w:val="24"/>
          <w:lang w:val="en-US"/>
        </w:rPr>
        <w:t>Aurangzeb Z, Thanasis S. 2014. The role of Foreign Direct Investment (FDI) in a dualistic growth framework: An application of smooth coefficient semi-parametric approach. Borsaistanbul Review</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Beddies, C. (1999). Investment, Capital Accumulation and Growth: Some Evidence from Gambia: 1964-1998. IMF Working Paper 99/117, August</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Blomstrom, M., Lipsey, R.E et Zejant, M.(1992), ‘What Explain Developing Country  Growth?’, NBER working paper No.34.</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Brewer, T.L. (1991): “Foreign Direct Investment in Developing Countries: Pattern, Policies  and Prospects”, World Bank Policy Research Working Paper No. 712.</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Brown, R. L., J. Durbin, and J. M. Evans.1975.Techniques for Testing the Constancy of Regression Relationships over Time.JRSS(B) 37:2, 149-163.</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Chien-C.L and Chun-P. C. 2009. FDI, financial devlopment, and economic growth: international evidence. Journal of Applied Economics.Vol XII, No. 2 (November 2009), 249-271</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De Mello, L.R., (1999). Foreign Direct Investment-led Growth: Evidence from time series and panel data, Oxford Economic Papers 51, Oxford University Press, pp 133-115</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de-DE"/>
        </w:rPr>
        <w:t xml:space="preserve">E. Borensztein, J. De Gregoriob, J-W. Lee. 1998. </w:t>
      </w:r>
      <w:r w:rsidRPr="00D25DF4">
        <w:rPr>
          <w:sz w:val="24"/>
          <w:szCs w:val="24"/>
          <w:lang w:val="en-GB"/>
        </w:rPr>
        <w:t>How does foreign direct investment affect economic growth? Journal of International Economics 45 (1998) 115–135</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Edfelt, Ralph B. 1975. “Direct Investment in a Developing Economy: Towards Evaluating the Human Resource Development Impact in Brazil.”Ph.D. dissertation, University of California, Los Angeles.</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lastRenderedPageBreak/>
        <w:t>Engle, R. F. and C. W. J. Granger, 1987. Co-integration and Error Correction: Representation, Estimation and Testing. Econometrica, 55 , 251–276.</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Ghura, D. and T. Hadji Michael 1996. Growth in Sub- Saharan Africa , Staff Papers, International Monetary Fund, 43, September.</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Ghura, D.1997. Private Investment and Endogenous Growth: Evidence from Cameroon, IMF Working Paper 97/165, December.</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Goncalves, R. 1986. Technological Spillovers and Manpower Training: A Comparative Analysis of Multinational and National Enterprises in Brazilian Manufacturing. Journal of Development Economics, July, 11(1), pp. 119–32.</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Hamdi.H Hakimi.A and Rashid.S (2013). Multivariate Granger Causality between Financial Development, Investment and Economic Growth: Evidence from Tunisia. Journal of Quantitative Economics Vol. 11, N. 1&amp;2.</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Hamdi. H, Rashid. S, Hakimi A and Khlaifia H. W (2013).Multivariate Granger causality between foreign direct investment and economic growth in Tunisia.</w:t>
      </w:r>
      <w:hyperlink r:id="rId23" w:history="1">
        <w:r w:rsidRPr="00D25DF4">
          <w:rPr>
            <w:sz w:val="24"/>
            <w:szCs w:val="24"/>
            <w:lang w:val="en-GB"/>
          </w:rPr>
          <w:t>Economics Bulletin</w:t>
        </w:r>
      </w:hyperlink>
      <w:r w:rsidRPr="00D25DF4">
        <w:rPr>
          <w:sz w:val="24"/>
          <w:szCs w:val="24"/>
          <w:lang w:val="en-GB"/>
        </w:rPr>
        <w:t xml:space="preserve"> 04/2013; vol. 33 ((2),): pages 1193-1203.</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Jen-Eem C, ShalizaAzreen M. Z. 2012. Malaysian outward FDI and economic growth.Procedia - Social and Behavioral Sciences 65 ( 2012 ) 717 – 722</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 xml:space="preserve">Johansen, S and Juselius, K.,1990. Maximum Likelihood Estimation and Inference on Cointegration with Applications to the Demand for Money. Oxford Bulletin of Economics and Statistics, Vol. 52, No. 2, pp. 169–210. </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Johansen, S. (1980). The Welch-James approximation of the distribution of the residual sums of squares in weighted linear regression. Biometrika, 67, 85-92</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Johansen, S., 1988.Statistical Analysis of Cointegration Vectors. Journal of Economic Dynamics and Control, Vol. 12, No. 2–3, pp. 231–254.</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Khalid Al Khathlan. 2014. Foreign Direct Investment Inflows and Economic Growth in Saudi Arabia: A Co-integration Analysis. Review of Economics and Finance pp. 70-80</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Laura Alfaro, AreendamChanda, SebnemKalemli-Ozcan, SelinSayek. 2010. Does foreign direct investment promote growth? Exploring the role of financial markets on linkages. Journal of Development Economics 91 (2010) 242–256</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Laura. A, Areendam. C, Sebnem. K-O, Selin. S. 2004. FDI and economic growth: the role of local financial markets. Journal of International Economics 64 (2004) 89–112</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Liming. H. 2014. Does and How does FDI Promote the Economic Growth? Evidence from Dynamic Panel Data of Prefecture City in China. IERI Procedia 6 ( 2014 ) 57 – 62</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Lipsey, R.E. (2000). Inward FDI and Economic Growth in Developing Countries. Transnational Corporations 9, (1) pp 67–95.</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US"/>
        </w:rPr>
        <w:lastRenderedPageBreak/>
        <w:t>Marta. B, Blanca. S-R.</w:t>
      </w:r>
      <w:r w:rsidRPr="00D25DF4">
        <w:rPr>
          <w:sz w:val="24"/>
          <w:szCs w:val="24"/>
          <w:lang w:val="en-GB"/>
        </w:rPr>
        <w:t>2003. Foreign direct investment, economic freedom and growth: new evidence from Latin America. European Journal of Political Economy Vol. 19 (2003) 529–545</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Mohammad Amin. A, Mahmoud.K , Liu. Y. 2014. Economic Growth and Foreign Direct Investment Inflows: The Case of Qatar. Procedia - Social and Behavioral Sciences 109 (2014) 1040 – 1045</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MounirBelloumi. 2014. The relationship between trade, FDI and economic growth in Tunisia: An application of the autoregressive distributed lag model. Economic Systems 38 (2014) 269–287</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Muawya Ahmed Hussein. 2009. Impacts of Foreign Direct Investment on Economic Growth in the Gulf Cooperation Council (GCC) Countries. International Review of Business Research Papers Vol. 5 No. 3 April 2009 Pp. 362-376</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 xml:space="preserve">Phillips, P. and Perron, P, 1988. Testing for a Unit Root in Time Series Regression.Biometrica 75(2), pp. 335-346. </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Teece, David J. “Technology Transfer by Multinational Firms: The Resource Cost of Transferring Technological Know-how.” Economic Journal, 1977, 87(346), pp. 242-261.</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W.N.W. Azman-Saini, Siong Hook Law, Abd Halim Ahmad. 2010. FDI and economic growth: New evidence on the role of financial markets. Economics Letters 107 (2010) 211–213</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Xiaying Li and Xiaming  Liu. 2004. Foreign Direct Investment and Economic Growth: An Increasingly Endogenous Relationship. Worm Development Vol. 33, No. 3, pp. 393-407, 2005.</w:t>
      </w:r>
    </w:p>
    <w:p w:rsidR="00ED66A6" w:rsidRPr="00D25DF4" w:rsidRDefault="00ED66A6" w:rsidP="00C15031">
      <w:pPr>
        <w:autoSpaceDE w:val="0"/>
        <w:autoSpaceDN w:val="0"/>
        <w:spacing w:before="100" w:beforeAutospacing="1" w:line="240" w:lineRule="auto"/>
        <w:rPr>
          <w:sz w:val="24"/>
          <w:szCs w:val="24"/>
          <w:lang w:val="en-GB"/>
        </w:rPr>
      </w:pPr>
      <w:r w:rsidRPr="00D25DF4">
        <w:rPr>
          <w:sz w:val="24"/>
          <w:szCs w:val="24"/>
          <w:lang w:val="en-GB"/>
        </w:rPr>
        <w:t>World Bank (2011), World Bank Indicators, Online database, World Bank.</w:t>
      </w:r>
    </w:p>
    <w:sectPr w:rsidR="00ED66A6" w:rsidRPr="00D25DF4" w:rsidSect="00D70A4C">
      <w:footerReference w:type="default" r:id="rId2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4B" w:rsidRDefault="002A2D4B" w:rsidP="00FC7FE0">
      <w:pPr>
        <w:spacing w:line="240" w:lineRule="auto"/>
      </w:pPr>
      <w:r>
        <w:separator/>
      </w:r>
    </w:p>
  </w:endnote>
  <w:endnote w:type="continuationSeparator" w:id="1">
    <w:p w:rsidR="002A2D4B" w:rsidRDefault="002A2D4B" w:rsidP="00FC7F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9B" w:rsidRDefault="000D5225">
    <w:pPr>
      <w:pStyle w:val="Pieddepage"/>
      <w:jc w:val="center"/>
    </w:pPr>
    <w:r>
      <w:fldChar w:fldCharType="begin"/>
    </w:r>
    <w:r w:rsidR="0000449B">
      <w:instrText xml:space="preserve"> PAGE   \* MERGEFORMAT </w:instrText>
    </w:r>
    <w:r>
      <w:fldChar w:fldCharType="separate"/>
    </w:r>
    <w:r w:rsidR="003D1C6A">
      <w:rPr>
        <w:noProof/>
      </w:rPr>
      <w:t>16</w:t>
    </w:r>
    <w:r>
      <w:rPr>
        <w:noProof/>
      </w:rPr>
      <w:fldChar w:fldCharType="end"/>
    </w:r>
  </w:p>
  <w:p w:rsidR="0000449B" w:rsidRDefault="000044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4B" w:rsidRDefault="002A2D4B" w:rsidP="00FC7FE0">
      <w:pPr>
        <w:spacing w:line="240" w:lineRule="auto"/>
      </w:pPr>
      <w:r>
        <w:separator/>
      </w:r>
    </w:p>
  </w:footnote>
  <w:footnote w:type="continuationSeparator" w:id="1">
    <w:p w:rsidR="002A2D4B" w:rsidRDefault="002A2D4B" w:rsidP="00FC7FE0">
      <w:pPr>
        <w:spacing w:line="240" w:lineRule="auto"/>
      </w:pPr>
      <w:r>
        <w:continuationSeparator/>
      </w:r>
    </w:p>
  </w:footnote>
  <w:footnote w:id="2">
    <w:p w:rsidR="0000449B" w:rsidRPr="008C118F" w:rsidRDefault="0000449B">
      <w:pPr>
        <w:pStyle w:val="Notedebasdepage"/>
        <w:rPr>
          <w:lang w:val="en-US"/>
        </w:rPr>
      </w:pPr>
      <w:r w:rsidRPr="00420D07">
        <w:rPr>
          <w:rStyle w:val="Appelnotedebasdep"/>
          <w:rFonts w:ascii="Times New Roman" w:hAnsi="Times New Roman"/>
        </w:rPr>
        <w:footnoteRef/>
      </w:r>
      <w:r w:rsidRPr="00420D07">
        <w:rPr>
          <w:rFonts w:ascii="Times New Roman" w:hAnsi="Times New Roman" w:cs="Times New Roman"/>
          <w:lang w:val="en-US"/>
        </w:rPr>
        <w:t xml:space="preserve"> For more details see Almahmood. A (2010)</w:t>
      </w:r>
    </w:p>
  </w:footnote>
  <w:footnote w:id="3">
    <w:p w:rsidR="0000449B" w:rsidRPr="008C118F" w:rsidRDefault="0000449B" w:rsidP="006A0080">
      <w:pPr>
        <w:pStyle w:val="Notedebasdepage"/>
        <w:jc w:val="both"/>
        <w:rPr>
          <w:lang w:val="en-US"/>
        </w:rPr>
      </w:pPr>
      <w:r w:rsidRPr="002F7B55">
        <w:rPr>
          <w:rStyle w:val="Appelnotedebasdep"/>
          <w:rFonts w:ascii="Times New Roman" w:hAnsi="Times New Roman" w:cs="Arial"/>
        </w:rPr>
        <w:footnoteRef/>
      </w:r>
      <w:r w:rsidRPr="002F7B55">
        <w:rPr>
          <w:rFonts w:ascii="Times New Roman" w:hAnsi="Times New Roman" w:cs="Times New Roman"/>
          <w:sz w:val="24"/>
          <w:szCs w:val="24"/>
          <w:lang w:val="en-US"/>
        </w:rPr>
        <w:t>Saudi Arabia, United Arab Emirates, Oman, Qatar, Kuwait and Bahrain</w:t>
      </w:r>
    </w:p>
  </w:footnote>
  <w:footnote w:id="4">
    <w:p w:rsidR="0000449B" w:rsidRPr="008C118F" w:rsidRDefault="0000449B">
      <w:pPr>
        <w:pStyle w:val="Notedebasdepage"/>
        <w:rPr>
          <w:lang w:val="en-US"/>
        </w:rPr>
      </w:pPr>
      <w:r w:rsidRPr="007B7A30">
        <w:rPr>
          <w:rStyle w:val="Appelnotedebasdep"/>
          <w:rFonts w:ascii="Times New Roman" w:hAnsi="Times New Roman"/>
        </w:rPr>
        <w:footnoteRef/>
      </w:r>
      <w:r w:rsidRPr="007B7A30">
        <w:rPr>
          <w:rFonts w:ascii="Times New Roman" w:hAnsi="Times New Roman" w:cs="Times New Roman"/>
          <w:lang w:val="en-US"/>
        </w:rPr>
        <w:t xml:space="preserve"> For more details see Hamdi et al (2013 a), (2013b)</w:t>
      </w:r>
    </w:p>
  </w:footnote>
  <w:footnote w:id="5">
    <w:p w:rsidR="0000449B" w:rsidRDefault="0000449B" w:rsidP="003B2F61">
      <w:pPr>
        <w:widowControl/>
        <w:autoSpaceDE w:val="0"/>
        <w:autoSpaceDN w:val="0"/>
        <w:spacing w:line="240" w:lineRule="auto"/>
        <w:jc w:val="left"/>
        <w:textAlignment w:val="auto"/>
        <w:rPr>
          <w:rFonts w:asciiTheme="majorBidi" w:eastAsia="Gill Sans MT" w:hAnsiTheme="majorBidi" w:cstheme="majorBidi"/>
          <w:sz w:val="24"/>
          <w:szCs w:val="24"/>
          <w:lang w:val="en-US"/>
        </w:rPr>
      </w:pPr>
      <w:r>
        <w:rPr>
          <w:rStyle w:val="Appelnotedebasdep"/>
        </w:rPr>
        <w:footnoteRef/>
      </w:r>
    </w:p>
    <w:p w:rsidR="0000449B" w:rsidRPr="008A486A" w:rsidRDefault="0000449B" w:rsidP="003B2F61">
      <w:pPr>
        <w:widowControl/>
        <w:autoSpaceDE w:val="0"/>
        <w:autoSpaceDN w:val="0"/>
        <w:spacing w:line="240" w:lineRule="auto"/>
        <w:jc w:val="left"/>
        <w:textAlignment w:val="auto"/>
        <w:rPr>
          <w:rFonts w:asciiTheme="majorBidi" w:eastAsia="Gill Sans MT" w:hAnsiTheme="majorBidi" w:cstheme="majorBidi"/>
          <w:lang w:val="en-US"/>
        </w:rPr>
      </w:pPr>
      <w:r w:rsidRPr="008A486A">
        <w:rPr>
          <w:rFonts w:asciiTheme="majorBidi" w:eastAsia="Gill Sans MT" w:hAnsiTheme="majorBidi" w:cstheme="majorBidi"/>
          <w:lang w:val="en-US"/>
        </w:rPr>
        <w:t>LR: sequential modified LR test statistic</w:t>
      </w:r>
    </w:p>
    <w:p w:rsidR="0000449B" w:rsidRPr="008A486A" w:rsidRDefault="0000449B" w:rsidP="003B2F61">
      <w:pPr>
        <w:widowControl/>
        <w:autoSpaceDE w:val="0"/>
        <w:autoSpaceDN w:val="0"/>
        <w:spacing w:line="240" w:lineRule="auto"/>
        <w:jc w:val="left"/>
        <w:textAlignment w:val="auto"/>
        <w:rPr>
          <w:rFonts w:asciiTheme="majorBidi" w:eastAsia="Gill Sans MT" w:hAnsiTheme="majorBidi" w:cstheme="majorBidi"/>
          <w:lang w:val="en-US"/>
        </w:rPr>
      </w:pPr>
      <w:r w:rsidRPr="008A486A">
        <w:rPr>
          <w:rFonts w:asciiTheme="majorBidi" w:eastAsia="Gill Sans MT" w:hAnsiTheme="majorBidi" w:cstheme="majorBidi"/>
          <w:lang w:val="en-US"/>
        </w:rPr>
        <w:t>FPE: Final prediction error</w:t>
      </w:r>
    </w:p>
    <w:p w:rsidR="0000449B" w:rsidRPr="008A486A" w:rsidRDefault="0000449B" w:rsidP="003B2F61">
      <w:pPr>
        <w:widowControl/>
        <w:autoSpaceDE w:val="0"/>
        <w:autoSpaceDN w:val="0"/>
        <w:spacing w:line="240" w:lineRule="auto"/>
        <w:jc w:val="left"/>
        <w:textAlignment w:val="auto"/>
        <w:rPr>
          <w:rFonts w:asciiTheme="majorBidi" w:eastAsia="Gill Sans MT" w:hAnsiTheme="majorBidi" w:cstheme="majorBidi"/>
          <w:lang w:val="en-US"/>
        </w:rPr>
      </w:pPr>
      <w:r w:rsidRPr="008A486A">
        <w:rPr>
          <w:rFonts w:asciiTheme="majorBidi" w:eastAsia="Gill Sans MT" w:hAnsiTheme="majorBidi" w:cstheme="majorBidi"/>
          <w:lang w:val="en-US"/>
        </w:rPr>
        <w:t>AIC: Akaike information criterion</w:t>
      </w:r>
    </w:p>
    <w:p w:rsidR="0000449B" w:rsidRPr="008A486A" w:rsidRDefault="0000449B" w:rsidP="003B2F61">
      <w:pPr>
        <w:widowControl/>
        <w:autoSpaceDE w:val="0"/>
        <w:autoSpaceDN w:val="0"/>
        <w:spacing w:line="240" w:lineRule="auto"/>
        <w:jc w:val="left"/>
        <w:textAlignment w:val="auto"/>
        <w:rPr>
          <w:rFonts w:asciiTheme="majorBidi" w:eastAsia="Gill Sans MT" w:hAnsiTheme="majorBidi" w:cstheme="majorBidi"/>
          <w:lang w:val="en-US"/>
        </w:rPr>
      </w:pPr>
      <w:r w:rsidRPr="008A486A">
        <w:rPr>
          <w:rFonts w:asciiTheme="majorBidi" w:eastAsia="Gill Sans MT" w:hAnsiTheme="majorBidi" w:cstheme="majorBidi"/>
          <w:lang w:val="en-US"/>
        </w:rPr>
        <w:t>SC: Schwarz information criterion</w:t>
      </w:r>
    </w:p>
    <w:p w:rsidR="0000449B" w:rsidRPr="008A486A" w:rsidRDefault="0000449B" w:rsidP="003B2F61">
      <w:pPr>
        <w:widowControl/>
        <w:autoSpaceDE w:val="0"/>
        <w:autoSpaceDN w:val="0"/>
        <w:spacing w:line="240" w:lineRule="auto"/>
        <w:jc w:val="left"/>
        <w:textAlignment w:val="auto"/>
        <w:rPr>
          <w:rStyle w:val="hps"/>
          <w:rFonts w:asciiTheme="majorBidi" w:eastAsia="Gill Sans MT" w:hAnsiTheme="majorBidi" w:cstheme="majorBidi"/>
          <w:lang w:val="en-US"/>
        </w:rPr>
      </w:pPr>
      <w:r w:rsidRPr="008A486A">
        <w:rPr>
          <w:rFonts w:asciiTheme="majorBidi" w:eastAsia="Gill Sans MT" w:hAnsiTheme="majorBidi" w:cstheme="majorBidi"/>
          <w:lang w:val="en-US"/>
        </w:rPr>
        <w:t>HQ: Hannan-Quinn information criterion</w:t>
      </w:r>
    </w:p>
    <w:p w:rsidR="0000449B" w:rsidRPr="003B2F61" w:rsidRDefault="0000449B" w:rsidP="003B2F61">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4644"/>
    <w:multiLevelType w:val="hybridMultilevel"/>
    <w:tmpl w:val="9250AA0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B861FA5"/>
    <w:multiLevelType w:val="hybridMultilevel"/>
    <w:tmpl w:val="59E2C402"/>
    <w:lvl w:ilvl="0" w:tplc="94C269DA">
      <w:start w:val="1"/>
      <w:numFmt w:val="decimal"/>
      <w:lvlText w:val="%1.[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66631A7"/>
    <w:multiLevelType w:val="hybridMultilevel"/>
    <w:tmpl w:val="108C4F72"/>
    <w:lvl w:ilvl="0" w:tplc="F314C5F2">
      <w:start w:val="1"/>
      <w:numFmt w:val="decimal"/>
      <w:lvlText w:val="%1 [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FE07B39"/>
    <w:multiLevelType w:val="hybridMultilevel"/>
    <w:tmpl w:val="21504236"/>
    <w:lvl w:ilvl="0" w:tplc="E5BCF5E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70DB4FB7"/>
    <w:multiLevelType w:val="multilevel"/>
    <w:tmpl w:val="68AC1182"/>
    <w:lvl w:ilvl="0">
      <w:start w:val="1"/>
      <w:numFmt w:val="upperRoman"/>
      <w:lvlText w:val="%1."/>
      <w:lvlJc w:val="left"/>
      <w:pPr>
        <w:ind w:left="1080" w:hanging="720"/>
      </w:pPr>
      <w:rPr>
        <w:rFonts w:cs="Times New Roman" w:hint="default"/>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E7BB2"/>
    <w:rsid w:val="0000123A"/>
    <w:rsid w:val="0000449B"/>
    <w:rsid w:val="00005760"/>
    <w:rsid w:val="00013C07"/>
    <w:rsid w:val="00014121"/>
    <w:rsid w:val="0002295E"/>
    <w:rsid w:val="0003164E"/>
    <w:rsid w:val="00031EDE"/>
    <w:rsid w:val="000323E0"/>
    <w:rsid w:val="0003655F"/>
    <w:rsid w:val="000366F5"/>
    <w:rsid w:val="000531B8"/>
    <w:rsid w:val="00053397"/>
    <w:rsid w:val="00054E41"/>
    <w:rsid w:val="00055394"/>
    <w:rsid w:val="00055B42"/>
    <w:rsid w:val="00060CEE"/>
    <w:rsid w:val="00064DF8"/>
    <w:rsid w:val="000659AC"/>
    <w:rsid w:val="00067B1F"/>
    <w:rsid w:val="00084025"/>
    <w:rsid w:val="00086DE7"/>
    <w:rsid w:val="000A471C"/>
    <w:rsid w:val="000A6C28"/>
    <w:rsid w:val="000B0A2D"/>
    <w:rsid w:val="000B3301"/>
    <w:rsid w:val="000B3D6C"/>
    <w:rsid w:val="000C4013"/>
    <w:rsid w:val="000C46A2"/>
    <w:rsid w:val="000C4B3C"/>
    <w:rsid w:val="000D5225"/>
    <w:rsid w:val="000E122B"/>
    <w:rsid w:val="000E7777"/>
    <w:rsid w:val="000F301F"/>
    <w:rsid w:val="000F4C18"/>
    <w:rsid w:val="00102D78"/>
    <w:rsid w:val="001057F2"/>
    <w:rsid w:val="001112AA"/>
    <w:rsid w:val="00111DBE"/>
    <w:rsid w:val="00112614"/>
    <w:rsid w:val="00113AFB"/>
    <w:rsid w:val="001305E0"/>
    <w:rsid w:val="00133BD6"/>
    <w:rsid w:val="00135EBE"/>
    <w:rsid w:val="00145E47"/>
    <w:rsid w:val="00154963"/>
    <w:rsid w:val="00156542"/>
    <w:rsid w:val="001756A0"/>
    <w:rsid w:val="00180107"/>
    <w:rsid w:val="001845BD"/>
    <w:rsid w:val="001A4AE1"/>
    <w:rsid w:val="001B331E"/>
    <w:rsid w:val="001C6B90"/>
    <w:rsid w:val="001D1067"/>
    <w:rsid w:val="001D3B82"/>
    <w:rsid w:val="001D4679"/>
    <w:rsid w:val="001F0366"/>
    <w:rsid w:val="001F1C34"/>
    <w:rsid w:val="001F1ED4"/>
    <w:rsid w:val="0020458A"/>
    <w:rsid w:val="00204F80"/>
    <w:rsid w:val="00214F45"/>
    <w:rsid w:val="00215999"/>
    <w:rsid w:val="00216586"/>
    <w:rsid w:val="002277AA"/>
    <w:rsid w:val="00232D37"/>
    <w:rsid w:val="002363D7"/>
    <w:rsid w:val="00236DED"/>
    <w:rsid w:val="00253BC6"/>
    <w:rsid w:val="00255E15"/>
    <w:rsid w:val="002571C4"/>
    <w:rsid w:val="002616D3"/>
    <w:rsid w:val="00266449"/>
    <w:rsid w:val="00286D7E"/>
    <w:rsid w:val="00286F9D"/>
    <w:rsid w:val="0029172B"/>
    <w:rsid w:val="002A00B9"/>
    <w:rsid w:val="002A067D"/>
    <w:rsid w:val="002A2D4B"/>
    <w:rsid w:val="002A7BD7"/>
    <w:rsid w:val="002B0908"/>
    <w:rsid w:val="002C6998"/>
    <w:rsid w:val="002C7E97"/>
    <w:rsid w:val="002D5992"/>
    <w:rsid w:val="002D7F59"/>
    <w:rsid w:val="002E057E"/>
    <w:rsid w:val="002E1BEA"/>
    <w:rsid w:val="002F7B55"/>
    <w:rsid w:val="00301148"/>
    <w:rsid w:val="003108AA"/>
    <w:rsid w:val="003133CA"/>
    <w:rsid w:val="0031645C"/>
    <w:rsid w:val="0032034F"/>
    <w:rsid w:val="00320898"/>
    <w:rsid w:val="00323E77"/>
    <w:rsid w:val="003258FA"/>
    <w:rsid w:val="00330919"/>
    <w:rsid w:val="0033624B"/>
    <w:rsid w:val="003376C3"/>
    <w:rsid w:val="003417F9"/>
    <w:rsid w:val="00345A3D"/>
    <w:rsid w:val="00350507"/>
    <w:rsid w:val="003509FD"/>
    <w:rsid w:val="00351F9A"/>
    <w:rsid w:val="0035267F"/>
    <w:rsid w:val="00355E81"/>
    <w:rsid w:val="00357D86"/>
    <w:rsid w:val="00370FE9"/>
    <w:rsid w:val="003729B7"/>
    <w:rsid w:val="0038541F"/>
    <w:rsid w:val="00395670"/>
    <w:rsid w:val="003A78C2"/>
    <w:rsid w:val="003B2F61"/>
    <w:rsid w:val="003B66E8"/>
    <w:rsid w:val="003C7D94"/>
    <w:rsid w:val="003D1C6A"/>
    <w:rsid w:val="003D3DAE"/>
    <w:rsid w:val="0040141E"/>
    <w:rsid w:val="00405CDB"/>
    <w:rsid w:val="00417CF2"/>
    <w:rsid w:val="00420D07"/>
    <w:rsid w:val="00422905"/>
    <w:rsid w:val="004236D5"/>
    <w:rsid w:val="004252B0"/>
    <w:rsid w:val="00427E9C"/>
    <w:rsid w:val="00430169"/>
    <w:rsid w:val="00436117"/>
    <w:rsid w:val="00442F7F"/>
    <w:rsid w:val="00450B36"/>
    <w:rsid w:val="0045193C"/>
    <w:rsid w:val="00453038"/>
    <w:rsid w:val="00463381"/>
    <w:rsid w:val="00467677"/>
    <w:rsid w:val="004721E6"/>
    <w:rsid w:val="00476789"/>
    <w:rsid w:val="004809A6"/>
    <w:rsid w:val="004822CF"/>
    <w:rsid w:val="00487DF8"/>
    <w:rsid w:val="00494415"/>
    <w:rsid w:val="0049699A"/>
    <w:rsid w:val="004A255D"/>
    <w:rsid w:val="004B1A3A"/>
    <w:rsid w:val="004B29BD"/>
    <w:rsid w:val="004B50C8"/>
    <w:rsid w:val="004D077D"/>
    <w:rsid w:val="004D45FA"/>
    <w:rsid w:val="004E09C4"/>
    <w:rsid w:val="004E5D5B"/>
    <w:rsid w:val="005017B6"/>
    <w:rsid w:val="00517C5E"/>
    <w:rsid w:val="00541EF7"/>
    <w:rsid w:val="005435D2"/>
    <w:rsid w:val="00564C6D"/>
    <w:rsid w:val="005676A0"/>
    <w:rsid w:val="00571D47"/>
    <w:rsid w:val="00572F20"/>
    <w:rsid w:val="00576C56"/>
    <w:rsid w:val="0059268F"/>
    <w:rsid w:val="005A43CC"/>
    <w:rsid w:val="005A5879"/>
    <w:rsid w:val="005A691C"/>
    <w:rsid w:val="005B0398"/>
    <w:rsid w:val="005C0828"/>
    <w:rsid w:val="005C3F77"/>
    <w:rsid w:val="005C5A43"/>
    <w:rsid w:val="005D2174"/>
    <w:rsid w:val="005D7408"/>
    <w:rsid w:val="005E404D"/>
    <w:rsid w:val="005E587A"/>
    <w:rsid w:val="005E5E1E"/>
    <w:rsid w:val="005F3187"/>
    <w:rsid w:val="005F6267"/>
    <w:rsid w:val="006045E0"/>
    <w:rsid w:val="00605E65"/>
    <w:rsid w:val="00614B05"/>
    <w:rsid w:val="006164EF"/>
    <w:rsid w:val="006171B0"/>
    <w:rsid w:val="00620878"/>
    <w:rsid w:val="006216C9"/>
    <w:rsid w:val="00623F69"/>
    <w:rsid w:val="00630465"/>
    <w:rsid w:val="00636716"/>
    <w:rsid w:val="0063793E"/>
    <w:rsid w:val="00654001"/>
    <w:rsid w:val="00654887"/>
    <w:rsid w:val="0066372B"/>
    <w:rsid w:val="006646A0"/>
    <w:rsid w:val="006718F2"/>
    <w:rsid w:val="00684865"/>
    <w:rsid w:val="00685E1A"/>
    <w:rsid w:val="0068638A"/>
    <w:rsid w:val="00694AF6"/>
    <w:rsid w:val="00695BF6"/>
    <w:rsid w:val="006A0080"/>
    <w:rsid w:val="006A40F6"/>
    <w:rsid w:val="006A5862"/>
    <w:rsid w:val="006A7236"/>
    <w:rsid w:val="006C01FE"/>
    <w:rsid w:val="006C165B"/>
    <w:rsid w:val="007052A8"/>
    <w:rsid w:val="00705EA7"/>
    <w:rsid w:val="00707493"/>
    <w:rsid w:val="00711012"/>
    <w:rsid w:val="00713E7D"/>
    <w:rsid w:val="00715C57"/>
    <w:rsid w:val="00723678"/>
    <w:rsid w:val="0073060A"/>
    <w:rsid w:val="00730F02"/>
    <w:rsid w:val="0073131B"/>
    <w:rsid w:val="0073636A"/>
    <w:rsid w:val="0073688F"/>
    <w:rsid w:val="00740F8F"/>
    <w:rsid w:val="00741F91"/>
    <w:rsid w:val="007426C0"/>
    <w:rsid w:val="00755936"/>
    <w:rsid w:val="007615CE"/>
    <w:rsid w:val="00770854"/>
    <w:rsid w:val="007734C7"/>
    <w:rsid w:val="00776E6C"/>
    <w:rsid w:val="007820AF"/>
    <w:rsid w:val="00795593"/>
    <w:rsid w:val="00795D8A"/>
    <w:rsid w:val="007A0B96"/>
    <w:rsid w:val="007A10C7"/>
    <w:rsid w:val="007A1106"/>
    <w:rsid w:val="007B5EE1"/>
    <w:rsid w:val="007B7A30"/>
    <w:rsid w:val="007C7BDF"/>
    <w:rsid w:val="007D789C"/>
    <w:rsid w:val="007E6A47"/>
    <w:rsid w:val="007E6E49"/>
    <w:rsid w:val="007F2C36"/>
    <w:rsid w:val="007F3950"/>
    <w:rsid w:val="007F75C1"/>
    <w:rsid w:val="0080078E"/>
    <w:rsid w:val="00810057"/>
    <w:rsid w:val="00815079"/>
    <w:rsid w:val="008348EC"/>
    <w:rsid w:val="00844198"/>
    <w:rsid w:val="00853922"/>
    <w:rsid w:val="00857F69"/>
    <w:rsid w:val="00872063"/>
    <w:rsid w:val="0087272E"/>
    <w:rsid w:val="0087471E"/>
    <w:rsid w:val="00880C32"/>
    <w:rsid w:val="00881A8E"/>
    <w:rsid w:val="00882755"/>
    <w:rsid w:val="00885B30"/>
    <w:rsid w:val="008929E1"/>
    <w:rsid w:val="00894D4E"/>
    <w:rsid w:val="008A486A"/>
    <w:rsid w:val="008A7F1E"/>
    <w:rsid w:val="008B4F22"/>
    <w:rsid w:val="008B55EE"/>
    <w:rsid w:val="008B71E8"/>
    <w:rsid w:val="008C118F"/>
    <w:rsid w:val="008C1748"/>
    <w:rsid w:val="008C2DD6"/>
    <w:rsid w:val="008D4A61"/>
    <w:rsid w:val="008D6E45"/>
    <w:rsid w:val="008F1652"/>
    <w:rsid w:val="008F664F"/>
    <w:rsid w:val="00911608"/>
    <w:rsid w:val="0092124F"/>
    <w:rsid w:val="00926F3F"/>
    <w:rsid w:val="009516A0"/>
    <w:rsid w:val="009520C4"/>
    <w:rsid w:val="00952D91"/>
    <w:rsid w:val="0095699D"/>
    <w:rsid w:val="00962D6F"/>
    <w:rsid w:val="00964631"/>
    <w:rsid w:val="00965842"/>
    <w:rsid w:val="00975CA4"/>
    <w:rsid w:val="009930E9"/>
    <w:rsid w:val="00993F61"/>
    <w:rsid w:val="00996D6D"/>
    <w:rsid w:val="009A4628"/>
    <w:rsid w:val="009C070D"/>
    <w:rsid w:val="009C37DE"/>
    <w:rsid w:val="009C478F"/>
    <w:rsid w:val="009C6530"/>
    <w:rsid w:val="009D4982"/>
    <w:rsid w:val="009D71B7"/>
    <w:rsid w:val="009E6E0B"/>
    <w:rsid w:val="009F5912"/>
    <w:rsid w:val="00A0261C"/>
    <w:rsid w:val="00A02BCC"/>
    <w:rsid w:val="00A0565C"/>
    <w:rsid w:val="00A07208"/>
    <w:rsid w:val="00A12620"/>
    <w:rsid w:val="00A24C2A"/>
    <w:rsid w:val="00A25EA8"/>
    <w:rsid w:val="00A3389C"/>
    <w:rsid w:val="00A41F1A"/>
    <w:rsid w:val="00A45908"/>
    <w:rsid w:val="00A52B39"/>
    <w:rsid w:val="00A56938"/>
    <w:rsid w:val="00A62D4D"/>
    <w:rsid w:val="00A6552F"/>
    <w:rsid w:val="00A717D2"/>
    <w:rsid w:val="00A72F5F"/>
    <w:rsid w:val="00A75F45"/>
    <w:rsid w:val="00A76B8C"/>
    <w:rsid w:val="00A965CB"/>
    <w:rsid w:val="00AA00E9"/>
    <w:rsid w:val="00AA541C"/>
    <w:rsid w:val="00AB7EE3"/>
    <w:rsid w:val="00AC32FA"/>
    <w:rsid w:val="00AC3D30"/>
    <w:rsid w:val="00AC52AA"/>
    <w:rsid w:val="00AD6784"/>
    <w:rsid w:val="00AE3152"/>
    <w:rsid w:val="00B02996"/>
    <w:rsid w:val="00B05C36"/>
    <w:rsid w:val="00B2259C"/>
    <w:rsid w:val="00B27CD5"/>
    <w:rsid w:val="00B40A31"/>
    <w:rsid w:val="00B40FAD"/>
    <w:rsid w:val="00B44129"/>
    <w:rsid w:val="00B46E69"/>
    <w:rsid w:val="00B47AD6"/>
    <w:rsid w:val="00B52513"/>
    <w:rsid w:val="00B52921"/>
    <w:rsid w:val="00B53968"/>
    <w:rsid w:val="00B552C6"/>
    <w:rsid w:val="00B57878"/>
    <w:rsid w:val="00B674C2"/>
    <w:rsid w:val="00B71010"/>
    <w:rsid w:val="00B76203"/>
    <w:rsid w:val="00BA42D0"/>
    <w:rsid w:val="00BA74AD"/>
    <w:rsid w:val="00BD1429"/>
    <w:rsid w:val="00BE7BB2"/>
    <w:rsid w:val="00BF05A3"/>
    <w:rsid w:val="00BF1C4A"/>
    <w:rsid w:val="00BF2785"/>
    <w:rsid w:val="00BF2B2E"/>
    <w:rsid w:val="00C15031"/>
    <w:rsid w:val="00C237C0"/>
    <w:rsid w:val="00C23B84"/>
    <w:rsid w:val="00C23DDE"/>
    <w:rsid w:val="00C24A30"/>
    <w:rsid w:val="00C26ED8"/>
    <w:rsid w:val="00C300BE"/>
    <w:rsid w:val="00C3010D"/>
    <w:rsid w:val="00C31276"/>
    <w:rsid w:val="00C312DD"/>
    <w:rsid w:val="00C334F7"/>
    <w:rsid w:val="00C56F72"/>
    <w:rsid w:val="00C62F52"/>
    <w:rsid w:val="00C64785"/>
    <w:rsid w:val="00C6636D"/>
    <w:rsid w:val="00C7141B"/>
    <w:rsid w:val="00C81453"/>
    <w:rsid w:val="00C96808"/>
    <w:rsid w:val="00C9748B"/>
    <w:rsid w:val="00CA1C1B"/>
    <w:rsid w:val="00CA2D94"/>
    <w:rsid w:val="00CB1398"/>
    <w:rsid w:val="00CC299A"/>
    <w:rsid w:val="00CC42CA"/>
    <w:rsid w:val="00CC7405"/>
    <w:rsid w:val="00CD2EDE"/>
    <w:rsid w:val="00CD3955"/>
    <w:rsid w:val="00CE5326"/>
    <w:rsid w:val="00CF5B4C"/>
    <w:rsid w:val="00D013F1"/>
    <w:rsid w:val="00D04D30"/>
    <w:rsid w:val="00D06768"/>
    <w:rsid w:val="00D10332"/>
    <w:rsid w:val="00D157D2"/>
    <w:rsid w:val="00D216CA"/>
    <w:rsid w:val="00D22AAE"/>
    <w:rsid w:val="00D25CF8"/>
    <w:rsid w:val="00D25DF4"/>
    <w:rsid w:val="00D2762D"/>
    <w:rsid w:val="00D308EB"/>
    <w:rsid w:val="00D33637"/>
    <w:rsid w:val="00D45649"/>
    <w:rsid w:val="00D45ECB"/>
    <w:rsid w:val="00D46769"/>
    <w:rsid w:val="00D46C5A"/>
    <w:rsid w:val="00D51385"/>
    <w:rsid w:val="00D5529A"/>
    <w:rsid w:val="00D55495"/>
    <w:rsid w:val="00D56380"/>
    <w:rsid w:val="00D622E2"/>
    <w:rsid w:val="00D668C5"/>
    <w:rsid w:val="00D70A4C"/>
    <w:rsid w:val="00D72AC9"/>
    <w:rsid w:val="00D73EE7"/>
    <w:rsid w:val="00D73F35"/>
    <w:rsid w:val="00D925E0"/>
    <w:rsid w:val="00D932DD"/>
    <w:rsid w:val="00D96E1E"/>
    <w:rsid w:val="00DA5D98"/>
    <w:rsid w:val="00DB5F10"/>
    <w:rsid w:val="00DB72BF"/>
    <w:rsid w:val="00DC0034"/>
    <w:rsid w:val="00DD0017"/>
    <w:rsid w:val="00DD189B"/>
    <w:rsid w:val="00DD4BFC"/>
    <w:rsid w:val="00DE31D0"/>
    <w:rsid w:val="00DE46DA"/>
    <w:rsid w:val="00DF4AA3"/>
    <w:rsid w:val="00DF4AFD"/>
    <w:rsid w:val="00DF5290"/>
    <w:rsid w:val="00DF569F"/>
    <w:rsid w:val="00DF579A"/>
    <w:rsid w:val="00E03E30"/>
    <w:rsid w:val="00E12074"/>
    <w:rsid w:val="00E200CE"/>
    <w:rsid w:val="00E24180"/>
    <w:rsid w:val="00E244FE"/>
    <w:rsid w:val="00E36DAF"/>
    <w:rsid w:val="00E41362"/>
    <w:rsid w:val="00E4508A"/>
    <w:rsid w:val="00E47492"/>
    <w:rsid w:val="00E7702A"/>
    <w:rsid w:val="00E868B3"/>
    <w:rsid w:val="00E9284E"/>
    <w:rsid w:val="00E97877"/>
    <w:rsid w:val="00EA4A64"/>
    <w:rsid w:val="00EA6E8D"/>
    <w:rsid w:val="00EB1F29"/>
    <w:rsid w:val="00EB2EA1"/>
    <w:rsid w:val="00EB3B0B"/>
    <w:rsid w:val="00EB784C"/>
    <w:rsid w:val="00ED17EA"/>
    <w:rsid w:val="00ED2A84"/>
    <w:rsid w:val="00ED66A6"/>
    <w:rsid w:val="00ED7E79"/>
    <w:rsid w:val="00EE13EB"/>
    <w:rsid w:val="00EF04A8"/>
    <w:rsid w:val="00EF303E"/>
    <w:rsid w:val="00EF6EB4"/>
    <w:rsid w:val="00F221AF"/>
    <w:rsid w:val="00F24460"/>
    <w:rsid w:val="00F26AE6"/>
    <w:rsid w:val="00F31911"/>
    <w:rsid w:val="00F333CA"/>
    <w:rsid w:val="00F36523"/>
    <w:rsid w:val="00F416F9"/>
    <w:rsid w:val="00F44F7C"/>
    <w:rsid w:val="00F46609"/>
    <w:rsid w:val="00F46964"/>
    <w:rsid w:val="00F46CBB"/>
    <w:rsid w:val="00F47EB6"/>
    <w:rsid w:val="00F51BA2"/>
    <w:rsid w:val="00F520EE"/>
    <w:rsid w:val="00F52BA2"/>
    <w:rsid w:val="00F62802"/>
    <w:rsid w:val="00F62DE6"/>
    <w:rsid w:val="00F6587A"/>
    <w:rsid w:val="00F65CB6"/>
    <w:rsid w:val="00F70BAD"/>
    <w:rsid w:val="00F735A2"/>
    <w:rsid w:val="00F75513"/>
    <w:rsid w:val="00F75AE8"/>
    <w:rsid w:val="00F77052"/>
    <w:rsid w:val="00F865E3"/>
    <w:rsid w:val="00FB0292"/>
    <w:rsid w:val="00FB1466"/>
    <w:rsid w:val="00FB2A53"/>
    <w:rsid w:val="00FC1224"/>
    <w:rsid w:val="00FC1B81"/>
    <w:rsid w:val="00FC31D2"/>
    <w:rsid w:val="00FC41D4"/>
    <w:rsid w:val="00FC6762"/>
    <w:rsid w:val="00FC7FE0"/>
    <w:rsid w:val="00FD06ED"/>
    <w:rsid w:val="00FE231F"/>
    <w:rsid w:val="00FE60CB"/>
    <w:rsid w:val="00FF5C24"/>
    <w:rsid w:val="00FF5EB4"/>
    <w:rsid w:val="00FF62B4"/>
    <w:rsid w:val="00FF74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Arial"/>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51F9A"/>
    <w:pPr>
      <w:widowControl w:val="0"/>
      <w:adjustRightInd w:val="0"/>
      <w:spacing w:line="360" w:lineRule="atLeast"/>
      <w:jc w:val="both"/>
      <w:textAlignment w:val="baseline"/>
    </w:pPr>
    <w:rPr>
      <w:rFonts w:ascii="Times New Roman" w:eastAsia="Times New Roman" w:hAnsi="Times New Roman" w:cs="Times New Roman"/>
      <w:sz w:val="20"/>
      <w:szCs w:val="20"/>
    </w:rPr>
  </w:style>
  <w:style w:type="paragraph" w:styleId="Titre1">
    <w:name w:val="heading 1"/>
    <w:basedOn w:val="Normal"/>
    <w:next w:val="Normal"/>
    <w:link w:val="Titre1Car"/>
    <w:uiPriority w:val="99"/>
    <w:qFormat/>
    <w:rsid w:val="00351F9A"/>
    <w:pPr>
      <w:pBdr>
        <w:top w:val="single" w:sz="24" w:space="0" w:color="4F81BD"/>
        <w:left w:val="single" w:sz="24" w:space="0" w:color="4F81BD"/>
        <w:bottom w:val="single" w:sz="24" w:space="0" w:color="4F81BD"/>
        <w:right w:val="single" w:sz="24" w:space="0" w:color="4F81BD"/>
      </w:pBdr>
      <w:shd w:val="clear" w:color="auto" w:fill="4F81BD"/>
      <w:spacing w:before="200"/>
      <w:outlineLvl w:val="0"/>
    </w:pPr>
    <w:rPr>
      <w:rFonts w:ascii="Calibri" w:hAnsi="Calibri"/>
      <w:b/>
      <w:bCs/>
      <w:caps/>
      <w:color w:val="FFFFFF"/>
      <w:spacing w:val="15"/>
      <w:lang w:val="en-US"/>
    </w:rPr>
  </w:style>
  <w:style w:type="paragraph" w:styleId="Titre2">
    <w:name w:val="heading 2"/>
    <w:basedOn w:val="Normal"/>
    <w:next w:val="Normal"/>
    <w:link w:val="Titre2Car"/>
    <w:uiPriority w:val="99"/>
    <w:qFormat/>
    <w:rsid w:val="00351F9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ascii="Calibri" w:hAnsi="Calibri"/>
      <w:caps/>
      <w:spacing w:val="15"/>
      <w:lang w:val="en-US"/>
    </w:rPr>
  </w:style>
  <w:style w:type="paragraph" w:styleId="Titre3">
    <w:name w:val="heading 3"/>
    <w:basedOn w:val="Normal"/>
    <w:next w:val="Normal"/>
    <w:link w:val="Titre3Car"/>
    <w:uiPriority w:val="99"/>
    <w:qFormat/>
    <w:rsid w:val="00351F9A"/>
    <w:pPr>
      <w:pBdr>
        <w:top w:val="single" w:sz="6" w:space="2" w:color="4F81BD"/>
        <w:left w:val="single" w:sz="6" w:space="2" w:color="4F81BD"/>
      </w:pBdr>
      <w:spacing w:before="300"/>
      <w:outlineLvl w:val="2"/>
    </w:pPr>
    <w:rPr>
      <w:rFonts w:ascii="Calibri" w:hAnsi="Calibri"/>
      <w:caps/>
      <w:color w:val="243F60"/>
      <w:spacing w:val="15"/>
      <w:lang w:val="en-US"/>
    </w:rPr>
  </w:style>
  <w:style w:type="paragraph" w:styleId="Titre4">
    <w:name w:val="heading 4"/>
    <w:basedOn w:val="Normal"/>
    <w:next w:val="Normal"/>
    <w:link w:val="Titre4Car"/>
    <w:uiPriority w:val="99"/>
    <w:qFormat/>
    <w:rsid w:val="00351F9A"/>
    <w:pPr>
      <w:pBdr>
        <w:top w:val="dotted" w:sz="6" w:space="2" w:color="4F81BD"/>
        <w:left w:val="dotted" w:sz="6" w:space="2" w:color="4F81BD"/>
      </w:pBdr>
      <w:spacing w:before="300"/>
      <w:outlineLvl w:val="3"/>
    </w:pPr>
    <w:rPr>
      <w:rFonts w:ascii="Calibri" w:hAnsi="Calibri"/>
      <w:caps/>
      <w:color w:val="365F91"/>
      <w:spacing w:val="10"/>
      <w:lang w:val="en-US"/>
    </w:rPr>
  </w:style>
  <w:style w:type="paragraph" w:styleId="Titre5">
    <w:name w:val="heading 5"/>
    <w:basedOn w:val="Normal"/>
    <w:next w:val="Normal"/>
    <w:link w:val="Titre5Car"/>
    <w:uiPriority w:val="99"/>
    <w:qFormat/>
    <w:rsid w:val="00351F9A"/>
    <w:pPr>
      <w:pBdr>
        <w:bottom w:val="single" w:sz="6" w:space="1" w:color="4F81BD"/>
      </w:pBdr>
      <w:spacing w:before="300"/>
      <w:outlineLvl w:val="4"/>
    </w:pPr>
    <w:rPr>
      <w:rFonts w:ascii="Calibri" w:hAnsi="Calibri"/>
      <w:caps/>
      <w:color w:val="365F91"/>
      <w:spacing w:val="10"/>
      <w:lang w:val="en-US"/>
    </w:rPr>
  </w:style>
  <w:style w:type="paragraph" w:styleId="Titre6">
    <w:name w:val="heading 6"/>
    <w:basedOn w:val="Normal"/>
    <w:next w:val="Normal"/>
    <w:link w:val="Titre6Car"/>
    <w:uiPriority w:val="99"/>
    <w:qFormat/>
    <w:rsid w:val="00351F9A"/>
    <w:pPr>
      <w:pBdr>
        <w:bottom w:val="dotted" w:sz="6" w:space="1" w:color="4F81BD"/>
      </w:pBdr>
      <w:spacing w:before="300"/>
      <w:outlineLvl w:val="5"/>
    </w:pPr>
    <w:rPr>
      <w:rFonts w:ascii="Calibri" w:hAnsi="Calibri"/>
      <w:caps/>
      <w:color w:val="365F91"/>
      <w:spacing w:val="10"/>
      <w:lang w:val="en-US"/>
    </w:rPr>
  </w:style>
  <w:style w:type="paragraph" w:styleId="Titre7">
    <w:name w:val="heading 7"/>
    <w:basedOn w:val="Normal"/>
    <w:next w:val="Normal"/>
    <w:link w:val="Titre7Car"/>
    <w:uiPriority w:val="99"/>
    <w:qFormat/>
    <w:rsid w:val="00351F9A"/>
    <w:pPr>
      <w:spacing w:before="300"/>
      <w:outlineLvl w:val="6"/>
    </w:pPr>
    <w:rPr>
      <w:rFonts w:ascii="Calibri" w:hAnsi="Calibri"/>
      <w:caps/>
      <w:color w:val="365F91"/>
      <w:spacing w:val="10"/>
      <w:lang w:val="en-US"/>
    </w:rPr>
  </w:style>
  <w:style w:type="paragraph" w:styleId="Titre8">
    <w:name w:val="heading 8"/>
    <w:basedOn w:val="Normal"/>
    <w:next w:val="Normal"/>
    <w:link w:val="Titre8Car"/>
    <w:uiPriority w:val="99"/>
    <w:qFormat/>
    <w:rsid w:val="00351F9A"/>
    <w:pPr>
      <w:spacing w:before="300"/>
      <w:outlineLvl w:val="7"/>
    </w:pPr>
    <w:rPr>
      <w:rFonts w:ascii="Calibri" w:hAnsi="Calibri"/>
      <w:caps/>
      <w:spacing w:val="10"/>
      <w:sz w:val="18"/>
      <w:szCs w:val="18"/>
      <w:lang w:val="en-US"/>
    </w:rPr>
  </w:style>
  <w:style w:type="paragraph" w:styleId="Titre9">
    <w:name w:val="heading 9"/>
    <w:basedOn w:val="Normal"/>
    <w:next w:val="Normal"/>
    <w:link w:val="Titre9Car"/>
    <w:uiPriority w:val="99"/>
    <w:qFormat/>
    <w:rsid w:val="00351F9A"/>
    <w:pPr>
      <w:spacing w:before="300"/>
      <w:outlineLvl w:val="8"/>
    </w:pPr>
    <w:rPr>
      <w:rFonts w:ascii="Calibri" w:hAnsi="Calibri"/>
      <w:i/>
      <w:caps/>
      <w:spacing w:val="10"/>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51F9A"/>
    <w:rPr>
      <w:rFonts w:ascii="Calibri" w:hAnsi="Calibri" w:cs="Times New Roman"/>
      <w:b/>
      <w:bCs/>
      <w:caps/>
      <w:color w:val="FFFFFF"/>
      <w:spacing w:val="15"/>
      <w:sz w:val="20"/>
      <w:szCs w:val="20"/>
      <w:shd w:val="clear" w:color="auto" w:fill="4F81BD"/>
      <w:lang w:val="en-US"/>
    </w:rPr>
  </w:style>
  <w:style w:type="character" w:customStyle="1" w:styleId="Titre2Car">
    <w:name w:val="Titre 2 Car"/>
    <w:basedOn w:val="Policepardfaut"/>
    <w:link w:val="Titre2"/>
    <w:uiPriority w:val="99"/>
    <w:locked/>
    <w:rsid w:val="00351F9A"/>
    <w:rPr>
      <w:rFonts w:ascii="Calibri" w:hAnsi="Calibri" w:cs="Times New Roman"/>
      <w:caps/>
      <w:spacing w:val="15"/>
      <w:sz w:val="20"/>
      <w:szCs w:val="20"/>
      <w:shd w:val="clear" w:color="auto" w:fill="DBE5F1"/>
      <w:lang w:val="en-US"/>
    </w:rPr>
  </w:style>
  <w:style w:type="character" w:customStyle="1" w:styleId="Titre3Car">
    <w:name w:val="Titre 3 Car"/>
    <w:basedOn w:val="Policepardfaut"/>
    <w:link w:val="Titre3"/>
    <w:uiPriority w:val="99"/>
    <w:locked/>
    <w:rsid w:val="00351F9A"/>
    <w:rPr>
      <w:rFonts w:ascii="Calibri" w:hAnsi="Calibri" w:cs="Times New Roman"/>
      <w:caps/>
      <w:color w:val="243F60"/>
      <w:spacing w:val="15"/>
      <w:sz w:val="20"/>
      <w:szCs w:val="20"/>
      <w:lang w:val="en-US"/>
    </w:rPr>
  </w:style>
  <w:style w:type="character" w:customStyle="1" w:styleId="Titre4Car">
    <w:name w:val="Titre 4 Car"/>
    <w:basedOn w:val="Policepardfaut"/>
    <w:link w:val="Titre4"/>
    <w:uiPriority w:val="99"/>
    <w:locked/>
    <w:rsid w:val="00351F9A"/>
    <w:rPr>
      <w:rFonts w:ascii="Calibri" w:hAnsi="Calibri" w:cs="Times New Roman"/>
      <w:caps/>
      <w:color w:val="365F91"/>
      <w:spacing w:val="10"/>
      <w:sz w:val="20"/>
      <w:szCs w:val="20"/>
      <w:lang w:val="en-US"/>
    </w:rPr>
  </w:style>
  <w:style w:type="character" w:customStyle="1" w:styleId="Titre5Car">
    <w:name w:val="Titre 5 Car"/>
    <w:basedOn w:val="Policepardfaut"/>
    <w:link w:val="Titre5"/>
    <w:uiPriority w:val="99"/>
    <w:locked/>
    <w:rsid w:val="00351F9A"/>
    <w:rPr>
      <w:rFonts w:ascii="Calibri" w:hAnsi="Calibri" w:cs="Times New Roman"/>
      <w:caps/>
      <w:color w:val="365F91"/>
      <w:spacing w:val="10"/>
      <w:sz w:val="20"/>
      <w:szCs w:val="20"/>
      <w:lang w:val="en-US"/>
    </w:rPr>
  </w:style>
  <w:style w:type="character" w:customStyle="1" w:styleId="Titre6Car">
    <w:name w:val="Titre 6 Car"/>
    <w:basedOn w:val="Policepardfaut"/>
    <w:link w:val="Titre6"/>
    <w:uiPriority w:val="99"/>
    <w:locked/>
    <w:rsid w:val="00351F9A"/>
    <w:rPr>
      <w:rFonts w:ascii="Calibri" w:hAnsi="Calibri" w:cs="Times New Roman"/>
      <w:caps/>
      <w:color w:val="365F91"/>
      <w:spacing w:val="10"/>
      <w:sz w:val="20"/>
      <w:szCs w:val="20"/>
      <w:lang w:val="en-US"/>
    </w:rPr>
  </w:style>
  <w:style w:type="character" w:customStyle="1" w:styleId="Titre7Car">
    <w:name w:val="Titre 7 Car"/>
    <w:basedOn w:val="Policepardfaut"/>
    <w:link w:val="Titre7"/>
    <w:uiPriority w:val="99"/>
    <w:locked/>
    <w:rsid w:val="00351F9A"/>
    <w:rPr>
      <w:rFonts w:ascii="Calibri" w:hAnsi="Calibri" w:cs="Times New Roman"/>
      <w:caps/>
      <w:color w:val="365F91"/>
      <w:spacing w:val="10"/>
      <w:sz w:val="20"/>
      <w:szCs w:val="20"/>
      <w:lang w:val="en-US"/>
    </w:rPr>
  </w:style>
  <w:style w:type="character" w:customStyle="1" w:styleId="Titre8Car">
    <w:name w:val="Titre 8 Car"/>
    <w:basedOn w:val="Policepardfaut"/>
    <w:link w:val="Titre8"/>
    <w:uiPriority w:val="99"/>
    <w:locked/>
    <w:rsid w:val="00351F9A"/>
    <w:rPr>
      <w:rFonts w:ascii="Calibri" w:hAnsi="Calibri" w:cs="Times New Roman"/>
      <w:caps/>
      <w:spacing w:val="10"/>
      <w:sz w:val="18"/>
      <w:szCs w:val="18"/>
      <w:lang w:val="en-US"/>
    </w:rPr>
  </w:style>
  <w:style w:type="character" w:customStyle="1" w:styleId="Titre9Car">
    <w:name w:val="Titre 9 Car"/>
    <w:basedOn w:val="Policepardfaut"/>
    <w:link w:val="Titre9"/>
    <w:uiPriority w:val="99"/>
    <w:locked/>
    <w:rsid w:val="00351F9A"/>
    <w:rPr>
      <w:rFonts w:ascii="Calibri" w:hAnsi="Calibri" w:cs="Times New Roman"/>
      <w:i/>
      <w:caps/>
      <w:spacing w:val="10"/>
      <w:sz w:val="18"/>
      <w:szCs w:val="18"/>
      <w:lang w:val="en-US"/>
    </w:rPr>
  </w:style>
  <w:style w:type="paragraph" w:styleId="TM1">
    <w:name w:val="toc 1"/>
    <w:basedOn w:val="Normal"/>
    <w:next w:val="Normal"/>
    <w:autoRedefine/>
    <w:uiPriority w:val="99"/>
    <w:rsid w:val="00351F9A"/>
    <w:pPr>
      <w:spacing w:before="120" w:after="120"/>
    </w:pPr>
    <w:rPr>
      <w:rFonts w:ascii="Calibri" w:hAnsi="Calibri" w:cs="Calibri"/>
      <w:b/>
      <w:bCs/>
      <w:caps/>
    </w:rPr>
  </w:style>
  <w:style w:type="paragraph" w:styleId="TM2">
    <w:name w:val="toc 2"/>
    <w:basedOn w:val="Normal"/>
    <w:next w:val="Normal"/>
    <w:autoRedefine/>
    <w:uiPriority w:val="99"/>
    <w:rsid w:val="00351F9A"/>
    <w:pPr>
      <w:ind w:left="200"/>
    </w:pPr>
    <w:rPr>
      <w:rFonts w:ascii="Calibri" w:hAnsi="Calibri" w:cs="Calibri"/>
      <w:smallCaps/>
    </w:rPr>
  </w:style>
  <w:style w:type="paragraph" w:styleId="TM3">
    <w:name w:val="toc 3"/>
    <w:basedOn w:val="Normal"/>
    <w:next w:val="Normal"/>
    <w:autoRedefine/>
    <w:uiPriority w:val="99"/>
    <w:rsid w:val="00351F9A"/>
    <w:pPr>
      <w:ind w:left="400"/>
    </w:pPr>
    <w:rPr>
      <w:rFonts w:ascii="Calibri" w:hAnsi="Calibri" w:cs="Calibri"/>
      <w:i/>
      <w:iCs/>
    </w:rPr>
  </w:style>
  <w:style w:type="paragraph" w:styleId="Lgende">
    <w:name w:val="caption"/>
    <w:basedOn w:val="Normal"/>
    <w:next w:val="Normal"/>
    <w:uiPriority w:val="99"/>
    <w:qFormat/>
    <w:rsid w:val="00351F9A"/>
    <w:pPr>
      <w:spacing w:before="200"/>
    </w:pPr>
    <w:rPr>
      <w:rFonts w:ascii="Calibri" w:hAnsi="Calibri" w:cs="Arial"/>
      <w:b/>
      <w:bCs/>
      <w:color w:val="365F91"/>
      <w:sz w:val="16"/>
      <w:szCs w:val="16"/>
    </w:rPr>
  </w:style>
  <w:style w:type="paragraph" w:styleId="Titre">
    <w:name w:val="Title"/>
    <w:basedOn w:val="Normal"/>
    <w:next w:val="Normal"/>
    <w:link w:val="TitreCar"/>
    <w:uiPriority w:val="99"/>
    <w:qFormat/>
    <w:rsid w:val="00351F9A"/>
    <w:pPr>
      <w:spacing w:before="720"/>
    </w:pPr>
    <w:rPr>
      <w:rFonts w:ascii="Calibri" w:hAnsi="Calibri"/>
      <w:caps/>
      <w:color w:val="4F81BD"/>
      <w:spacing w:val="10"/>
      <w:kern w:val="28"/>
      <w:sz w:val="52"/>
      <w:szCs w:val="52"/>
      <w:lang w:val="en-US"/>
    </w:rPr>
  </w:style>
  <w:style w:type="character" w:customStyle="1" w:styleId="TitreCar">
    <w:name w:val="Titre Car"/>
    <w:basedOn w:val="Policepardfaut"/>
    <w:link w:val="Titre"/>
    <w:uiPriority w:val="99"/>
    <w:locked/>
    <w:rsid w:val="00351F9A"/>
    <w:rPr>
      <w:rFonts w:ascii="Calibri" w:hAnsi="Calibri" w:cs="Times New Roman"/>
      <w:caps/>
      <w:color w:val="4F81BD"/>
      <w:spacing w:val="10"/>
      <w:kern w:val="28"/>
      <w:sz w:val="52"/>
      <w:szCs w:val="52"/>
      <w:lang w:val="en-US"/>
    </w:rPr>
  </w:style>
  <w:style w:type="paragraph" w:styleId="Sous-titre">
    <w:name w:val="Subtitle"/>
    <w:basedOn w:val="Normal"/>
    <w:next w:val="Normal"/>
    <w:link w:val="Sous-titreCar"/>
    <w:uiPriority w:val="99"/>
    <w:qFormat/>
    <w:rsid w:val="00351F9A"/>
    <w:pPr>
      <w:spacing w:before="200" w:after="1000" w:line="240" w:lineRule="auto"/>
    </w:pPr>
    <w:rPr>
      <w:rFonts w:ascii="Calibri" w:hAnsi="Calibri"/>
      <w:caps/>
      <w:color w:val="595959"/>
      <w:spacing w:val="10"/>
      <w:sz w:val="24"/>
      <w:szCs w:val="24"/>
      <w:lang w:val="en-US"/>
    </w:rPr>
  </w:style>
  <w:style w:type="character" w:customStyle="1" w:styleId="Sous-titreCar">
    <w:name w:val="Sous-titre Car"/>
    <w:basedOn w:val="Policepardfaut"/>
    <w:link w:val="Sous-titre"/>
    <w:uiPriority w:val="99"/>
    <w:locked/>
    <w:rsid w:val="00351F9A"/>
    <w:rPr>
      <w:rFonts w:ascii="Calibri" w:hAnsi="Calibri" w:cs="Times New Roman"/>
      <w:caps/>
      <w:color w:val="595959"/>
      <w:spacing w:val="10"/>
      <w:sz w:val="24"/>
      <w:szCs w:val="24"/>
      <w:lang w:val="en-US"/>
    </w:rPr>
  </w:style>
  <w:style w:type="character" w:styleId="lev">
    <w:name w:val="Strong"/>
    <w:basedOn w:val="Policepardfaut"/>
    <w:uiPriority w:val="99"/>
    <w:qFormat/>
    <w:rsid w:val="00351F9A"/>
    <w:rPr>
      <w:rFonts w:cs="Times New Roman"/>
      <w:b/>
    </w:rPr>
  </w:style>
  <w:style w:type="character" w:styleId="Accentuation">
    <w:name w:val="Emphasis"/>
    <w:basedOn w:val="Policepardfaut"/>
    <w:uiPriority w:val="99"/>
    <w:qFormat/>
    <w:rsid w:val="00351F9A"/>
    <w:rPr>
      <w:rFonts w:cs="Times New Roman"/>
      <w:caps/>
      <w:color w:val="243F60"/>
      <w:spacing w:val="5"/>
    </w:rPr>
  </w:style>
  <w:style w:type="paragraph" w:styleId="Sansinterligne">
    <w:name w:val="No Spacing"/>
    <w:link w:val="SansinterligneCar"/>
    <w:uiPriority w:val="99"/>
    <w:qFormat/>
    <w:rsid w:val="00351F9A"/>
    <w:pPr>
      <w:widowControl w:val="0"/>
      <w:adjustRightInd w:val="0"/>
      <w:jc w:val="both"/>
      <w:textAlignment w:val="baseline"/>
    </w:pPr>
    <w:rPr>
      <w:rFonts w:ascii="Times New Roman" w:eastAsia="Times New Roman" w:hAnsi="Times New Roman" w:cs="Times New Roman"/>
      <w:sz w:val="20"/>
      <w:szCs w:val="20"/>
    </w:rPr>
  </w:style>
  <w:style w:type="character" w:customStyle="1" w:styleId="SansinterligneCar">
    <w:name w:val="Sans interligne Car"/>
    <w:link w:val="Sansinterligne"/>
    <w:uiPriority w:val="99"/>
    <w:locked/>
    <w:rsid w:val="00351F9A"/>
    <w:rPr>
      <w:rFonts w:ascii="Times New Roman" w:hAnsi="Times New Roman"/>
      <w:lang w:val="fr-FR" w:eastAsia="fr-FR"/>
    </w:rPr>
  </w:style>
  <w:style w:type="paragraph" w:styleId="Paragraphedeliste">
    <w:name w:val="List Paragraph"/>
    <w:basedOn w:val="Normal"/>
    <w:uiPriority w:val="99"/>
    <w:qFormat/>
    <w:rsid w:val="00351F9A"/>
    <w:pPr>
      <w:ind w:left="720"/>
      <w:contextualSpacing/>
    </w:pPr>
  </w:style>
  <w:style w:type="paragraph" w:styleId="Citation">
    <w:name w:val="Quote"/>
    <w:basedOn w:val="Normal"/>
    <w:next w:val="Normal"/>
    <w:link w:val="CitationCar"/>
    <w:uiPriority w:val="99"/>
    <w:qFormat/>
    <w:rsid w:val="00351F9A"/>
    <w:pPr>
      <w:spacing w:before="200"/>
    </w:pPr>
    <w:rPr>
      <w:rFonts w:ascii="Calibri" w:hAnsi="Calibri"/>
      <w:i/>
      <w:iCs/>
      <w:lang w:val="en-US"/>
    </w:rPr>
  </w:style>
  <w:style w:type="character" w:customStyle="1" w:styleId="CitationCar">
    <w:name w:val="Citation Car"/>
    <w:basedOn w:val="Policepardfaut"/>
    <w:link w:val="Citation"/>
    <w:uiPriority w:val="99"/>
    <w:locked/>
    <w:rsid w:val="00351F9A"/>
    <w:rPr>
      <w:rFonts w:ascii="Calibri" w:hAnsi="Calibri" w:cs="Times New Roman"/>
      <w:i/>
      <w:iCs/>
      <w:sz w:val="20"/>
      <w:szCs w:val="20"/>
      <w:lang w:val="en-US"/>
    </w:rPr>
  </w:style>
  <w:style w:type="paragraph" w:styleId="Citationintense">
    <w:name w:val="Intense Quote"/>
    <w:basedOn w:val="Normal"/>
    <w:next w:val="Normal"/>
    <w:link w:val="CitationintenseCar"/>
    <w:uiPriority w:val="99"/>
    <w:qFormat/>
    <w:rsid w:val="00351F9A"/>
    <w:pPr>
      <w:pBdr>
        <w:top w:val="single" w:sz="4" w:space="10" w:color="4F81BD"/>
        <w:left w:val="single" w:sz="4" w:space="10" w:color="4F81BD"/>
      </w:pBdr>
      <w:spacing w:before="200"/>
      <w:ind w:left="1296" w:right="1152"/>
    </w:pPr>
    <w:rPr>
      <w:rFonts w:ascii="Calibri" w:hAnsi="Calibri"/>
      <w:i/>
      <w:iCs/>
      <w:color w:val="4F81BD"/>
      <w:lang w:val="en-US"/>
    </w:rPr>
  </w:style>
  <w:style w:type="character" w:customStyle="1" w:styleId="CitationintenseCar">
    <w:name w:val="Citation intense Car"/>
    <w:basedOn w:val="Policepardfaut"/>
    <w:link w:val="Citationintense"/>
    <w:uiPriority w:val="99"/>
    <w:locked/>
    <w:rsid w:val="00351F9A"/>
    <w:rPr>
      <w:rFonts w:ascii="Calibri" w:hAnsi="Calibri" w:cs="Times New Roman"/>
      <w:i/>
      <w:iCs/>
      <w:color w:val="4F81BD"/>
      <w:sz w:val="20"/>
      <w:szCs w:val="20"/>
      <w:lang w:val="en-US"/>
    </w:rPr>
  </w:style>
  <w:style w:type="character" w:styleId="Emphaseple">
    <w:name w:val="Subtle Emphasis"/>
    <w:basedOn w:val="Policepardfaut"/>
    <w:uiPriority w:val="99"/>
    <w:qFormat/>
    <w:rsid w:val="00351F9A"/>
    <w:rPr>
      <w:i/>
      <w:color w:val="243F60"/>
    </w:rPr>
  </w:style>
  <w:style w:type="character" w:styleId="Emphaseintense">
    <w:name w:val="Intense Emphasis"/>
    <w:basedOn w:val="Policepardfaut"/>
    <w:uiPriority w:val="99"/>
    <w:qFormat/>
    <w:rsid w:val="00351F9A"/>
    <w:rPr>
      <w:b/>
      <w:caps/>
      <w:color w:val="243F60"/>
      <w:spacing w:val="10"/>
    </w:rPr>
  </w:style>
  <w:style w:type="character" w:styleId="Rfrenceple">
    <w:name w:val="Subtle Reference"/>
    <w:basedOn w:val="Policepardfaut"/>
    <w:uiPriority w:val="99"/>
    <w:qFormat/>
    <w:rsid w:val="00351F9A"/>
    <w:rPr>
      <w:b/>
      <w:color w:val="4F81BD"/>
    </w:rPr>
  </w:style>
  <w:style w:type="character" w:styleId="Rfrenceintense">
    <w:name w:val="Intense Reference"/>
    <w:basedOn w:val="Policepardfaut"/>
    <w:uiPriority w:val="99"/>
    <w:qFormat/>
    <w:rsid w:val="00351F9A"/>
    <w:rPr>
      <w:b/>
      <w:i/>
      <w:caps/>
      <w:color w:val="4F81BD"/>
    </w:rPr>
  </w:style>
  <w:style w:type="character" w:styleId="Titredulivre">
    <w:name w:val="Book Title"/>
    <w:basedOn w:val="Policepardfaut"/>
    <w:uiPriority w:val="99"/>
    <w:qFormat/>
    <w:rsid w:val="00351F9A"/>
    <w:rPr>
      <w:b/>
      <w:i/>
      <w:spacing w:val="9"/>
    </w:rPr>
  </w:style>
  <w:style w:type="paragraph" w:styleId="En-ttedetabledesmatires">
    <w:name w:val="TOC Heading"/>
    <w:basedOn w:val="Titre1"/>
    <w:next w:val="Normal"/>
    <w:uiPriority w:val="99"/>
    <w:qFormat/>
    <w:rsid w:val="00351F9A"/>
    <w:pPr>
      <w:outlineLvl w:val="9"/>
    </w:pPr>
  </w:style>
  <w:style w:type="paragraph" w:styleId="Textedebulles">
    <w:name w:val="Balloon Text"/>
    <w:basedOn w:val="Normal"/>
    <w:link w:val="TextedebullesCar"/>
    <w:uiPriority w:val="99"/>
    <w:semiHidden/>
    <w:rsid w:val="00BE7BB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E7BB2"/>
    <w:rPr>
      <w:rFonts w:ascii="Tahoma" w:hAnsi="Tahoma" w:cs="Tahoma"/>
      <w:sz w:val="16"/>
      <w:szCs w:val="16"/>
    </w:rPr>
  </w:style>
  <w:style w:type="paragraph" w:styleId="Corpsdetexte">
    <w:name w:val="Body Text"/>
    <w:basedOn w:val="Normal"/>
    <w:link w:val="CorpsdetexteCar"/>
    <w:uiPriority w:val="99"/>
    <w:rsid w:val="00355E81"/>
    <w:pPr>
      <w:spacing w:line="240" w:lineRule="auto"/>
      <w:jc w:val="center"/>
    </w:pPr>
    <w:rPr>
      <w:b/>
      <w:sz w:val="28"/>
      <w:szCs w:val="24"/>
      <w:lang w:val="en-GB"/>
    </w:rPr>
  </w:style>
  <w:style w:type="character" w:customStyle="1" w:styleId="CorpsdetexteCar">
    <w:name w:val="Corps de texte Car"/>
    <w:basedOn w:val="Policepardfaut"/>
    <w:link w:val="Corpsdetexte"/>
    <w:uiPriority w:val="99"/>
    <w:locked/>
    <w:rsid w:val="00355E81"/>
    <w:rPr>
      <w:rFonts w:ascii="Times New Roman" w:hAnsi="Times New Roman" w:cs="Times New Roman"/>
      <w:b/>
      <w:sz w:val="24"/>
      <w:szCs w:val="24"/>
      <w:lang w:val="en-GB"/>
    </w:rPr>
  </w:style>
  <w:style w:type="paragraph" w:styleId="En-tte">
    <w:name w:val="header"/>
    <w:basedOn w:val="Normal"/>
    <w:link w:val="En-tteCar"/>
    <w:uiPriority w:val="99"/>
    <w:semiHidden/>
    <w:rsid w:val="00FC7FE0"/>
    <w:pPr>
      <w:tabs>
        <w:tab w:val="center" w:pos="4536"/>
        <w:tab w:val="right" w:pos="9072"/>
      </w:tabs>
      <w:spacing w:line="240" w:lineRule="auto"/>
    </w:pPr>
  </w:style>
  <w:style w:type="character" w:customStyle="1" w:styleId="En-tteCar">
    <w:name w:val="En-tête Car"/>
    <w:basedOn w:val="Policepardfaut"/>
    <w:link w:val="En-tte"/>
    <w:uiPriority w:val="99"/>
    <w:semiHidden/>
    <w:locked/>
    <w:rsid w:val="00FC7FE0"/>
    <w:rPr>
      <w:rFonts w:cs="Times New Roman"/>
    </w:rPr>
  </w:style>
  <w:style w:type="paragraph" w:styleId="Pieddepage">
    <w:name w:val="footer"/>
    <w:basedOn w:val="Normal"/>
    <w:link w:val="PieddepageCar"/>
    <w:uiPriority w:val="99"/>
    <w:rsid w:val="00FC7FE0"/>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FC7FE0"/>
    <w:rPr>
      <w:rFonts w:cs="Times New Roman"/>
    </w:rPr>
  </w:style>
  <w:style w:type="table" w:styleId="Grilledutableau">
    <w:name w:val="Table Grid"/>
    <w:basedOn w:val="TableauNormal"/>
    <w:uiPriority w:val="99"/>
    <w:rsid w:val="000323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Policepardfaut"/>
    <w:uiPriority w:val="99"/>
    <w:rsid w:val="00926F3F"/>
    <w:rPr>
      <w:rFonts w:cs="Times New Roman"/>
    </w:rPr>
  </w:style>
  <w:style w:type="character" w:customStyle="1" w:styleId="luc1m51z">
    <w:name w:val="luc1m51z"/>
    <w:basedOn w:val="Policepardfaut"/>
    <w:uiPriority w:val="99"/>
    <w:rsid w:val="00926F3F"/>
    <w:rPr>
      <w:rFonts w:cs="Times New Roman"/>
    </w:rPr>
  </w:style>
  <w:style w:type="paragraph" w:styleId="Notedebasdepage">
    <w:name w:val="footnote text"/>
    <w:basedOn w:val="Normal"/>
    <w:link w:val="NotedebasdepageCar"/>
    <w:uiPriority w:val="99"/>
    <w:semiHidden/>
    <w:rsid w:val="00962D6F"/>
    <w:pPr>
      <w:widowControl/>
      <w:adjustRightInd/>
      <w:spacing w:line="240" w:lineRule="auto"/>
      <w:jc w:val="left"/>
      <w:textAlignment w:val="auto"/>
    </w:pPr>
    <w:rPr>
      <w:rFonts w:ascii="Gill Sans MT" w:eastAsia="Gill Sans MT" w:hAnsi="Gill Sans MT" w:cs="Arial"/>
      <w:lang w:eastAsia="en-US"/>
    </w:rPr>
  </w:style>
  <w:style w:type="character" w:customStyle="1" w:styleId="NotedebasdepageCar">
    <w:name w:val="Note de bas de page Car"/>
    <w:basedOn w:val="Policepardfaut"/>
    <w:link w:val="Notedebasdepage"/>
    <w:uiPriority w:val="99"/>
    <w:semiHidden/>
    <w:locked/>
    <w:rsid w:val="00962D6F"/>
    <w:rPr>
      <w:rFonts w:cs="Times New Roman"/>
      <w:sz w:val="20"/>
      <w:szCs w:val="20"/>
    </w:rPr>
  </w:style>
  <w:style w:type="character" w:styleId="Appelnotedebasdep">
    <w:name w:val="footnote reference"/>
    <w:basedOn w:val="Policepardfaut"/>
    <w:uiPriority w:val="99"/>
    <w:semiHidden/>
    <w:rsid w:val="00962D6F"/>
    <w:rPr>
      <w:rFonts w:cs="Times New Roman"/>
      <w:vertAlign w:val="superscript"/>
    </w:rPr>
  </w:style>
  <w:style w:type="paragraph" w:customStyle="1" w:styleId="Default">
    <w:name w:val="Default"/>
    <w:uiPriority w:val="99"/>
    <w:rsid w:val="00E03E30"/>
    <w:pPr>
      <w:autoSpaceDE w:val="0"/>
      <w:autoSpaceDN w:val="0"/>
      <w:adjustRightInd w:val="0"/>
    </w:pPr>
    <w:rPr>
      <w:rFonts w:ascii="Times New Roman" w:hAnsi="Times New Roman" w:cs="Times New Roman"/>
      <w:color w:val="000000"/>
      <w:sz w:val="24"/>
      <w:szCs w:val="24"/>
      <w:lang w:eastAsia="en-US"/>
    </w:rPr>
  </w:style>
  <w:style w:type="character" w:customStyle="1" w:styleId="hps">
    <w:name w:val="hps"/>
    <w:rsid w:val="006A0080"/>
  </w:style>
  <w:style w:type="character" w:customStyle="1" w:styleId="hpsalt-edited">
    <w:name w:val="hps alt-edited"/>
    <w:uiPriority w:val="99"/>
    <w:rsid w:val="006A0080"/>
  </w:style>
  <w:style w:type="character" w:customStyle="1" w:styleId="alt-edited1">
    <w:name w:val="alt-edited1"/>
    <w:uiPriority w:val="99"/>
    <w:rsid w:val="006A0080"/>
    <w:rPr>
      <w:color w:val="4D90F0"/>
    </w:rPr>
  </w:style>
  <w:style w:type="character" w:styleId="Textedelespacerserv">
    <w:name w:val="Placeholder Text"/>
    <w:basedOn w:val="Policepardfaut"/>
    <w:uiPriority w:val="99"/>
    <w:semiHidden/>
    <w:rsid w:val="006A0080"/>
    <w:rPr>
      <w:rFonts w:cs="Times New Roman"/>
      <w:color w:val="808080"/>
    </w:rPr>
  </w:style>
  <w:style w:type="character" w:customStyle="1" w:styleId="A3">
    <w:name w:val="A3"/>
    <w:uiPriority w:val="99"/>
    <w:rsid w:val="008A7F1E"/>
    <w:rPr>
      <w:color w:val="000000"/>
      <w:sz w:val="19"/>
    </w:rPr>
  </w:style>
  <w:style w:type="paragraph" w:styleId="Notedefin">
    <w:name w:val="endnote text"/>
    <w:basedOn w:val="Normal"/>
    <w:link w:val="NotedefinCar"/>
    <w:uiPriority w:val="99"/>
    <w:semiHidden/>
    <w:unhideWhenUsed/>
    <w:rsid w:val="003B2F61"/>
    <w:pPr>
      <w:spacing w:line="240" w:lineRule="auto"/>
    </w:pPr>
  </w:style>
  <w:style w:type="character" w:customStyle="1" w:styleId="NotedefinCar">
    <w:name w:val="Note de fin Car"/>
    <w:basedOn w:val="Policepardfaut"/>
    <w:link w:val="Notedefin"/>
    <w:uiPriority w:val="99"/>
    <w:semiHidden/>
    <w:rsid w:val="003B2F61"/>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3B2F61"/>
    <w:rPr>
      <w:vertAlign w:val="superscript"/>
    </w:rPr>
  </w:style>
  <w:style w:type="table" w:customStyle="1" w:styleId="TableGrid1">
    <w:name w:val="Table Grid1"/>
    <w:basedOn w:val="TableauNormal"/>
    <w:next w:val="Grilledutableau"/>
    <w:uiPriority w:val="59"/>
    <w:rsid w:val="00AA00E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Gill Sans MT" w:hAnsi="Gill Sans MT" w:cs="Arial"/>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51F9A"/>
    <w:pPr>
      <w:widowControl w:val="0"/>
      <w:adjustRightInd w:val="0"/>
      <w:spacing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51F9A"/>
    <w:pPr>
      <w:pBdr>
        <w:top w:val="single" w:sz="24" w:space="0" w:color="4F81BD"/>
        <w:left w:val="single" w:sz="24" w:space="0" w:color="4F81BD"/>
        <w:bottom w:val="single" w:sz="24" w:space="0" w:color="4F81BD"/>
        <w:right w:val="single" w:sz="24" w:space="0" w:color="4F81BD"/>
      </w:pBdr>
      <w:shd w:val="clear" w:color="auto" w:fill="4F81BD"/>
      <w:spacing w:before="200"/>
      <w:outlineLvl w:val="0"/>
    </w:pPr>
    <w:rPr>
      <w:rFonts w:ascii="Calibri" w:hAnsi="Calibri"/>
      <w:b/>
      <w:bCs/>
      <w:caps/>
      <w:color w:val="FFFFFF"/>
      <w:spacing w:val="15"/>
      <w:lang w:val="en-US"/>
    </w:rPr>
  </w:style>
  <w:style w:type="paragraph" w:styleId="Heading2">
    <w:name w:val="heading 2"/>
    <w:basedOn w:val="Normal"/>
    <w:next w:val="Normal"/>
    <w:link w:val="Heading2Char"/>
    <w:uiPriority w:val="99"/>
    <w:qFormat/>
    <w:rsid w:val="00351F9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ascii="Calibri" w:hAnsi="Calibri"/>
      <w:caps/>
      <w:spacing w:val="15"/>
      <w:lang w:val="en-US"/>
    </w:rPr>
  </w:style>
  <w:style w:type="paragraph" w:styleId="Heading3">
    <w:name w:val="heading 3"/>
    <w:basedOn w:val="Normal"/>
    <w:next w:val="Normal"/>
    <w:link w:val="Heading3Char"/>
    <w:uiPriority w:val="99"/>
    <w:qFormat/>
    <w:rsid w:val="00351F9A"/>
    <w:pPr>
      <w:pBdr>
        <w:top w:val="single" w:sz="6" w:space="2" w:color="4F81BD"/>
        <w:left w:val="single" w:sz="6" w:space="2" w:color="4F81BD"/>
      </w:pBdr>
      <w:spacing w:before="300"/>
      <w:outlineLvl w:val="2"/>
    </w:pPr>
    <w:rPr>
      <w:rFonts w:ascii="Calibri" w:hAnsi="Calibri"/>
      <w:caps/>
      <w:color w:val="243F60"/>
      <w:spacing w:val="15"/>
      <w:lang w:val="en-US"/>
    </w:rPr>
  </w:style>
  <w:style w:type="paragraph" w:styleId="Heading4">
    <w:name w:val="heading 4"/>
    <w:basedOn w:val="Normal"/>
    <w:next w:val="Normal"/>
    <w:link w:val="Heading4Char"/>
    <w:uiPriority w:val="99"/>
    <w:qFormat/>
    <w:rsid w:val="00351F9A"/>
    <w:pPr>
      <w:pBdr>
        <w:top w:val="dotted" w:sz="6" w:space="2" w:color="4F81BD"/>
        <w:left w:val="dotted" w:sz="6" w:space="2" w:color="4F81BD"/>
      </w:pBdr>
      <w:spacing w:before="300"/>
      <w:outlineLvl w:val="3"/>
    </w:pPr>
    <w:rPr>
      <w:rFonts w:ascii="Calibri" w:hAnsi="Calibri"/>
      <w:caps/>
      <w:color w:val="365F91"/>
      <w:spacing w:val="10"/>
      <w:lang w:val="en-US"/>
    </w:rPr>
  </w:style>
  <w:style w:type="paragraph" w:styleId="Heading5">
    <w:name w:val="heading 5"/>
    <w:basedOn w:val="Normal"/>
    <w:next w:val="Normal"/>
    <w:link w:val="Heading5Char"/>
    <w:uiPriority w:val="99"/>
    <w:qFormat/>
    <w:rsid w:val="00351F9A"/>
    <w:pPr>
      <w:pBdr>
        <w:bottom w:val="single" w:sz="6" w:space="1" w:color="4F81BD"/>
      </w:pBdr>
      <w:spacing w:before="300"/>
      <w:outlineLvl w:val="4"/>
    </w:pPr>
    <w:rPr>
      <w:rFonts w:ascii="Calibri" w:hAnsi="Calibri"/>
      <w:caps/>
      <w:color w:val="365F91"/>
      <w:spacing w:val="10"/>
      <w:lang w:val="en-US"/>
    </w:rPr>
  </w:style>
  <w:style w:type="paragraph" w:styleId="Heading6">
    <w:name w:val="heading 6"/>
    <w:basedOn w:val="Normal"/>
    <w:next w:val="Normal"/>
    <w:link w:val="Heading6Char"/>
    <w:uiPriority w:val="99"/>
    <w:qFormat/>
    <w:rsid w:val="00351F9A"/>
    <w:pPr>
      <w:pBdr>
        <w:bottom w:val="dotted" w:sz="6" w:space="1" w:color="4F81BD"/>
      </w:pBdr>
      <w:spacing w:before="300"/>
      <w:outlineLvl w:val="5"/>
    </w:pPr>
    <w:rPr>
      <w:rFonts w:ascii="Calibri" w:hAnsi="Calibri"/>
      <w:caps/>
      <w:color w:val="365F91"/>
      <w:spacing w:val="10"/>
      <w:lang w:val="en-US"/>
    </w:rPr>
  </w:style>
  <w:style w:type="paragraph" w:styleId="Heading7">
    <w:name w:val="heading 7"/>
    <w:basedOn w:val="Normal"/>
    <w:next w:val="Normal"/>
    <w:link w:val="Heading7Char"/>
    <w:uiPriority w:val="99"/>
    <w:qFormat/>
    <w:rsid w:val="00351F9A"/>
    <w:pPr>
      <w:spacing w:before="300"/>
      <w:outlineLvl w:val="6"/>
    </w:pPr>
    <w:rPr>
      <w:rFonts w:ascii="Calibri" w:hAnsi="Calibri"/>
      <w:caps/>
      <w:color w:val="365F91"/>
      <w:spacing w:val="10"/>
      <w:lang w:val="en-US"/>
    </w:rPr>
  </w:style>
  <w:style w:type="paragraph" w:styleId="Heading8">
    <w:name w:val="heading 8"/>
    <w:basedOn w:val="Normal"/>
    <w:next w:val="Normal"/>
    <w:link w:val="Heading8Char"/>
    <w:uiPriority w:val="99"/>
    <w:qFormat/>
    <w:rsid w:val="00351F9A"/>
    <w:pPr>
      <w:spacing w:before="300"/>
      <w:outlineLvl w:val="7"/>
    </w:pPr>
    <w:rPr>
      <w:rFonts w:ascii="Calibri" w:hAnsi="Calibri"/>
      <w:caps/>
      <w:spacing w:val="10"/>
      <w:sz w:val="18"/>
      <w:szCs w:val="18"/>
      <w:lang w:val="en-US"/>
    </w:rPr>
  </w:style>
  <w:style w:type="paragraph" w:styleId="Heading9">
    <w:name w:val="heading 9"/>
    <w:basedOn w:val="Normal"/>
    <w:next w:val="Normal"/>
    <w:link w:val="Heading9Char"/>
    <w:uiPriority w:val="99"/>
    <w:qFormat/>
    <w:rsid w:val="00351F9A"/>
    <w:pPr>
      <w:spacing w:before="300"/>
      <w:outlineLvl w:val="8"/>
    </w:pPr>
    <w:rPr>
      <w:rFonts w:ascii="Calibri" w:hAnsi="Calibri"/>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F9A"/>
    <w:rPr>
      <w:rFonts w:ascii="Calibri" w:hAnsi="Calibri" w:cs="Times New Roman"/>
      <w:b/>
      <w:bCs/>
      <w:caps/>
      <w:color w:val="FFFFFF"/>
      <w:spacing w:val="15"/>
      <w:sz w:val="20"/>
      <w:szCs w:val="20"/>
      <w:shd w:val="clear" w:color="auto" w:fill="4F81BD"/>
      <w:lang w:val="en-US"/>
    </w:rPr>
  </w:style>
  <w:style w:type="character" w:customStyle="1" w:styleId="Heading2Char">
    <w:name w:val="Heading 2 Char"/>
    <w:basedOn w:val="DefaultParagraphFont"/>
    <w:link w:val="Heading2"/>
    <w:uiPriority w:val="99"/>
    <w:locked/>
    <w:rsid w:val="00351F9A"/>
    <w:rPr>
      <w:rFonts w:ascii="Calibri" w:hAnsi="Calibri" w:cs="Times New Roman"/>
      <w:caps/>
      <w:spacing w:val="15"/>
      <w:sz w:val="20"/>
      <w:szCs w:val="20"/>
      <w:shd w:val="clear" w:color="auto" w:fill="DBE5F1"/>
      <w:lang w:val="en-US"/>
    </w:rPr>
  </w:style>
  <w:style w:type="character" w:customStyle="1" w:styleId="Heading3Char">
    <w:name w:val="Heading 3 Char"/>
    <w:basedOn w:val="DefaultParagraphFont"/>
    <w:link w:val="Heading3"/>
    <w:uiPriority w:val="99"/>
    <w:locked/>
    <w:rsid w:val="00351F9A"/>
    <w:rPr>
      <w:rFonts w:ascii="Calibri" w:hAnsi="Calibri" w:cs="Times New Roman"/>
      <w:caps/>
      <w:color w:val="243F60"/>
      <w:spacing w:val="15"/>
      <w:sz w:val="20"/>
      <w:szCs w:val="20"/>
      <w:lang w:val="en-US"/>
    </w:rPr>
  </w:style>
  <w:style w:type="character" w:customStyle="1" w:styleId="Heading4Char">
    <w:name w:val="Heading 4 Char"/>
    <w:basedOn w:val="DefaultParagraphFont"/>
    <w:link w:val="Heading4"/>
    <w:uiPriority w:val="99"/>
    <w:locked/>
    <w:rsid w:val="00351F9A"/>
    <w:rPr>
      <w:rFonts w:ascii="Calibri" w:hAnsi="Calibri" w:cs="Times New Roman"/>
      <w:caps/>
      <w:color w:val="365F91"/>
      <w:spacing w:val="10"/>
      <w:sz w:val="20"/>
      <w:szCs w:val="20"/>
      <w:lang w:val="en-US"/>
    </w:rPr>
  </w:style>
  <w:style w:type="character" w:customStyle="1" w:styleId="Heading5Char">
    <w:name w:val="Heading 5 Char"/>
    <w:basedOn w:val="DefaultParagraphFont"/>
    <w:link w:val="Heading5"/>
    <w:uiPriority w:val="99"/>
    <w:locked/>
    <w:rsid w:val="00351F9A"/>
    <w:rPr>
      <w:rFonts w:ascii="Calibri" w:hAnsi="Calibri" w:cs="Times New Roman"/>
      <w:caps/>
      <w:color w:val="365F91"/>
      <w:spacing w:val="10"/>
      <w:sz w:val="20"/>
      <w:szCs w:val="20"/>
      <w:lang w:val="en-US"/>
    </w:rPr>
  </w:style>
  <w:style w:type="character" w:customStyle="1" w:styleId="Heading6Char">
    <w:name w:val="Heading 6 Char"/>
    <w:basedOn w:val="DefaultParagraphFont"/>
    <w:link w:val="Heading6"/>
    <w:uiPriority w:val="99"/>
    <w:locked/>
    <w:rsid w:val="00351F9A"/>
    <w:rPr>
      <w:rFonts w:ascii="Calibri" w:hAnsi="Calibri" w:cs="Times New Roman"/>
      <w:caps/>
      <w:color w:val="365F91"/>
      <w:spacing w:val="10"/>
      <w:sz w:val="20"/>
      <w:szCs w:val="20"/>
      <w:lang w:val="en-US"/>
    </w:rPr>
  </w:style>
  <w:style w:type="character" w:customStyle="1" w:styleId="Heading7Char">
    <w:name w:val="Heading 7 Char"/>
    <w:basedOn w:val="DefaultParagraphFont"/>
    <w:link w:val="Heading7"/>
    <w:uiPriority w:val="99"/>
    <w:locked/>
    <w:rsid w:val="00351F9A"/>
    <w:rPr>
      <w:rFonts w:ascii="Calibri" w:hAnsi="Calibri" w:cs="Times New Roman"/>
      <w:caps/>
      <w:color w:val="365F91"/>
      <w:spacing w:val="10"/>
      <w:sz w:val="20"/>
      <w:szCs w:val="20"/>
      <w:lang w:val="en-US"/>
    </w:rPr>
  </w:style>
  <w:style w:type="character" w:customStyle="1" w:styleId="Heading8Char">
    <w:name w:val="Heading 8 Char"/>
    <w:basedOn w:val="DefaultParagraphFont"/>
    <w:link w:val="Heading8"/>
    <w:uiPriority w:val="99"/>
    <w:locked/>
    <w:rsid w:val="00351F9A"/>
    <w:rPr>
      <w:rFonts w:ascii="Calibri" w:hAnsi="Calibri" w:cs="Times New Roman"/>
      <w:caps/>
      <w:spacing w:val="10"/>
      <w:sz w:val="18"/>
      <w:szCs w:val="18"/>
      <w:lang w:val="en-US"/>
    </w:rPr>
  </w:style>
  <w:style w:type="character" w:customStyle="1" w:styleId="Heading9Char">
    <w:name w:val="Heading 9 Char"/>
    <w:basedOn w:val="DefaultParagraphFont"/>
    <w:link w:val="Heading9"/>
    <w:uiPriority w:val="99"/>
    <w:locked/>
    <w:rsid w:val="00351F9A"/>
    <w:rPr>
      <w:rFonts w:ascii="Calibri" w:hAnsi="Calibri" w:cs="Times New Roman"/>
      <w:i/>
      <w:caps/>
      <w:spacing w:val="10"/>
      <w:sz w:val="18"/>
      <w:szCs w:val="18"/>
      <w:lang w:val="en-US"/>
    </w:rPr>
  </w:style>
  <w:style w:type="paragraph" w:styleId="TOC1">
    <w:name w:val="toc 1"/>
    <w:basedOn w:val="Normal"/>
    <w:next w:val="Normal"/>
    <w:autoRedefine/>
    <w:uiPriority w:val="99"/>
    <w:rsid w:val="00351F9A"/>
    <w:pPr>
      <w:spacing w:before="120" w:after="120"/>
    </w:pPr>
    <w:rPr>
      <w:rFonts w:ascii="Calibri" w:hAnsi="Calibri" w:cs="Calibri"/>
      <w:b/>
      <w:bCs/>
      <w:caps/>
    </w:rPr>
  </w:style>
  <w:style w:type="paragraph" w:styleId="TOC2">
    <w:name w:val="toc 2"/>
    <w:basedOn w:val="Normal"/>
    <w:next w:val="Normal"/>
    <w:autoRedefine/>
    <w:uiPriority w:val="99"/>
    <w:rsid w:val="00351F9A"/>
    <w:pPr>
      <w:ind w:left="200"/>
    </w:pPr>
    <w:rPr>
      <w:rFonts w:ascii="Calibri" w:hAnsi="Calibri" w:cs="Calibri"/>
      <w:smallCaps/>
    </w:rPr>
  </w:style>
  <w:style w:type="paragraph" w:styleId="TOC3">
    <w:name w:val="toc 3"/>
    <w:basedOn w:val="Normal"/>
    <w:next w:val="Normal"/>
    <w:autoRedefine/>
    <w:uiPriority w:val="99"/>
    <w:rsid w:val="00351F9A"/>
    <w:pPr>
      <w:ind w:left="400"/>
    </w:pPr>
    <w:rPr>
      <w:rFonts w:ascii="Calibri" w:hAnsi="Calibri" w:cs="Calibri"/>
      <w:i/>
      <w:iCs/>
    </w:rPr>
  </w:style>
  <w:style w:type="paragraph" w:styleId="Caption">
    <w:name w:val="caption"/>
    <w:basedOn w:val="Normal"/>
    <w:next w:val="Normal"/>
    <w:uiPriority w:val="99"/>
    <w:qFormat/>
    <w:rsid w:val="00351F9A"/>
    <w:pPr>
      <w:spacing w:before="200"/>
    </w:pPr>
    <w:rPr>
      <w:rFonts w:ascii="Calibri" w:hAnsi="Calibri" w:cs="Arial"/>
      <w:b/>
      <w:bCs/>
      <w:color w:val="365F91"/>
      <w:sz w:val="16"/>
      <w:szCs w:val="16"/>
    </w:rPr>
  </w:style>
  <w:style w:type="paragraph" w:styleId="Title">
    <w:name w:val="Title"/>
    <w:basedOn w:val="Normal"/>
    <w:next w:val="Normal"/>
    <w:link w:val="TitleChar"/>
    <w:uiPriority w:val="99"/>
    <w:qFormat/>
    <w:rsid w:val="00351F9A"/>
    <w:pPr>
      <w:spacing w:before="720"/>
    </w:pPr>
    <w:rPr>
      <w:rFonts w:ascii="Calibri" w:hAnsi="Calibri"/>
      <w:caps/>
      <w:color w:val="4F81BD"/>
      <w:spacing w:val="10"/>
      <w:kern w:val="28"/>
      <w:sz w:val="52"/>
      <w:szCs w:val="52"/>
      <w:lang w:val="en-US"/>
    </w:rPr>
  </w:style>
  <w:style w:type="character" w:customStyle="1" w:styleId="TitleChar">
    <w:name w:val="Title Char"/>
    <w:basedOn w:val="DefaultParagraphFont"/>
    <w:link w:val="Title"/>
    <w:uiPriority w:val="99"/>
    <w:locked/>
    <w:rsid w:val="00351F9A"/>
    <w:rPr>
      <w:rFonts w:ascii="Calibri" w:hAnsi="Calibri" w:cs="Times New Roman"/>
      <w:caps/>
      <w:color w:val="4F81BD"/>
      <w:spacing w:val="10"/>
      <w:kern w:val="28"/>
      <w:sz w:val="52"/>
      <w:szCs w:val="52"/>
      <w:lang w:val="en-US"/>
    </w:rPr>
  </w:style>
  <w:style w:type="paragraph" w:styleId="Subtitle">
    <w:name w:val="Subtitle"/>
    <w:basedOn w:val="Normal"/>
    <w:next w:val="Normal"/>
    <w:link w:val="SubtitleChar"/>
    <w:uiPriority w:val="99"/>
    <w:qFormat/>
    <w:rsid w:val="00351F9A"/>
    <w:pPr>
      <w:spacing w:before="200" w:after="1000" w:line="240" w:lineRule="auto"/>
    </w:pPr>
    <w:rPr>
      <w:rFonts w:ascii="Calibri" w:hAnsi="Calibri"/>
      <w:caps/>
      <w:color w:val="595959"/>
      <w:spacing w:val="10"/>
      <w:sz w:val="24"/>
      <w:szCs w:val="24"/>
      <w:lang w:val="en-US"/>
    </w:rPr>
  </w:style>
  <w:style w:type="character" w:customStyle="1" w:styleId="SubtitleChar">
    <w:name w:val="Subtitle Char"/>
    <w:basedOn w:val="DefaultParagraphFont"/>
    <w:link w:val="Subtitle"/>
    <w:uiPriority w:val="99"/>
    <w:locked/>
    <w:rsid w:val="00351F9A"/>
    <w:rPr>
      <w:rFonts w:ascii="Calibri" w:hAnsi="Calibri" w:cs="Times New Roman"/>
      <w:caps/>
      <w:color w:val="595959"/>
      <w:spacing w:val="10"/>
      <w:sz w:val="24"/>
      <w:szCs w:val="24"/>
      <w:lang w:val="en-US"/>
    </w:rPr>
  </w:style>
  <w:style w:type="character" w:styleId="Strong">
    <w:name w:val="Strong"/>
    <w:basedOn w:val="DefaultParagraphFont"/>
    <w:uiPriority w:val="99"/>
    <w:qFormat/>
    <w:rsid w:val="00351F9A"/>
    <w:rPr>
      <w:rFonts w:cs="Times New Roman"/>
      <w:b/>
    </w:rPr>
  </w:style>
  <w:style w:type="character" w:styleId="Emphasis">
    <w:name w:val="Emphasis"/>
    <w:basedOn w:val="DefaultParagraphFont"/>
    <w:uiPriority w:val="99"/>
    <w:qFormat/>
    <w:rsid w:val="00351F9A"/>
    <w:rPr>
      <w:rFonts w:cs="Times New Roman"/>
      <w:caps/>
      <w:color w:val="243F60"/>
      <w:spacing w:val="5"/>
    </w:rPr>
  </w:style>
  <w:style w:type="paragraph" w:styleId="NoSpacing">
    <w:name w:val="No Spacing"/>
    <w:link w:val="NoSpacingChar"/>
    <w:uiPriority w:val="99"/>
    <w:qFormat/>
    <w:rsid w:val="00351F9A"/>
    <w:pPr>
      <w:widowControl w:val="0"/>
      <w:adjustRightInd w:val="0"/>
      <w:jc w:val="both"/>
      <w:textAlignment w:val="baseline"/>
    </w:pPr>
    <w:rPr>
      <w:rFonts w:ascii="Times New Roman" w:eastAsia="Times New Roman" w:hAnsi="Times New Roman" w:cs="Times New Roman"/>
      <w:sz w:val="20"/>
      <w:szCs w:val="20"/>
    </w:rPr>
  </w:style>
  <w:style w:type="character" w:customStyle="1" w:styleId="NoSpacingChar">
    <w:name w:val="No Spacing Char"/>
    <w:link w:val="NoSpacing"/>
    <w:uiPriority w:val="99"/>
    <w:locked/>
    <w:rsid w:val="00351F9A"/>
    <w:rPr>
      <w:rFonts w:ascii="Times New Roman" w:hAnsi="Times New Roman"/>
      <w:lang w:val="fr-FR" w:eastAsia="fr-FR"/>
    </w:rPr>
  </w:style>
  <w:style w:type="paragraph" w:styleId="ListParagraph">
    <w:name w:val="List Paragraph"/>
    <w:basedOn w:val="Normal"/>
    <w:uiPriority w:val="99"/>
    <w:qFormat/>
    <w:rsid w:val="00351F9A"/>
    <w:pPr>
      <w:ind w:left="720"/>
      <w:contextualSpacing/>
    </w:pPr>
  </w:style>
  <w:style w:type="paragraph" w:styleId="Quote">
    <w:name w:val="Quote"/>
    <w:basedOn w:val="Normal"/>
    <w:next w:val="Normal"/>
    <w:link w:val="QuoteChar"/>
    <w:uiPriority w:val="99"/>
    <w:qFormat/>
    <w:rsid w:val="00351F9A"/>
    <w:pPr>
      <w:spacing w:before="200"/>
    </w:pPr>
    <w:rPr>
      <w:rFonts w:ascii="Calibri" w:hAnsi="Calibri"/>
      <w:i/>
      <w:iCs/>
      <w:lang w:val="en-US"/>
    </w:rPr>
  </w:style>
  <w:style w:type="character" w:customStyle="1" w:styleId="QuoteChar">
    <w:name w:val="Quote Char"/>
    <w:basedOn w:val="DefaultParagraphFont"/>
    <w:link w:val="Quote"/>
    <w:uiPriority w:val="99"/>
    <w:locked/>
    <w:rsid w:val="00351F9A"/>
    <w:rPr>
      <w:rFonts w:ascii="Calibri" w:hAnsi="Calibri" w:cs="Times New Roman"/>
      <w:i/>
      <w:iCs/>
      <w:sz w:val="20"/>
      <w:szCs w:val="20"/>
      <w:lang w:val="en-US"/>
    </w:rPr>
  </w:style>
  <w:style w:type="paragraph" w:styleId="IntenseQuote">
    <w:name w:val="Intense Quote"/>
    <w:basedOn w:val="Normal"/>
    <w:next w:val="Normal"/>
    <w:link w:val="IntenseQuoteChar"/>
    <w:uiPriority w:val="99"/>
    <w:qFormat/>
    <w:rsid w:val="00351F9A"/>
    <w:pPr>
      <w:pBdr>
        <w:top w:val="single" w:sz="4" w:space="10" w:color="4F81BD"/>
        <w:left w:val="single" w:sz="4" w:space="10" w:color="4F81BD"/>
      </w:pBdr>
      <w:spacing w:before="200"/>
      <w:ind w:left="1296" w:right="1152"/>
    </w:pPr>
    <w:rPr>
      <w:rFonts w:ascii="Calibri" w:hAnsi="Calibri"/>
      <w:i/>
      <w:iCs/>
      <w:color w:val="4F81BD"/>
      <w:lang w:val="en-US"/>
    </w:rPr>
  </w:style>
  <w:style w:type="character" w:customStyle="1" w:styleId="IntenseQuoteChar">
    <w:name w:val="Intense Quote Char"/>
    <w:basedOn w:val="DefaultParagraphFont"/>
    <w:link w:val="IntenseQuote"/>
    <w:uiPriority w:val="99"/>
    <w:locked/>
    <w:rsid w:val="00351F9A"/>
    <w:rPr>
      <w:rFonts w:ascii="Calibri" w:hAnsi="Calibri" w:cs="Times New Roman"/>
      <w:i/>
      <w:iCs/>
      <w:color w:val="4F81BD"/>
      <w:sz w:val="20"/>
      <w:szCs w:val="20"/>
      <w:lang w:val="en-US"/>
    </w:rPr>
  </w:style>
  <w:style w:type="character" w:styleId="SubtleEmphasis">
    <w:name w:val="Subtle Emphasis"/>
    <w:basedOn w:val="DefaultParagraphFont"/>
    <w:uiPriority w:val="99"/>
    <w:qFormat/>
    <w:rsid w:val="00351F9A"/>
    <w:rPr>
      <w:i/>
      <w:color w:val="243F60"/>
    </w:rPr>
  </w:style>
  <w:style w:type="character" w:styleId="IntenseEmphasis">
    <w:name w:val="Intense Emphasis"/>
    <w:basedOn w:val="DefaultParagraphFont"/>
    <w:uiPriority w:val="99"/>
    <w:qFormat/>
    <w:rsid w:val="00351F9A"/>
    <w:rPr>
      <w:b/>
      <w:caps/>
      <w:color w:val="243F60"/>
      <w:spacing w:val="10"/>
    </w:rPr>
  </w:style>
  <w:style w:type="character" w:styleId="SubtleReference">
    <w:name w:val="Subtle Reference"/>
    <w:basedOn w:val="DefaultParagraphFont"/>
    <w:uiPriority w:val="99"/>
    <w:qFormat/>
    <w:rsid w:val="00351F9A"/>
    <w:rPr>
      <w:b/>
      <w:color w:val="4F81BD"/>
    </w:rPr>
  </w:style>
  <w:style w:type="character" w:styleId="IntenseReference">
    <w:name w:val="Intense Reference"/>
    <w:basedOn w:val="DefaultParagraphFont"/>
    <w:uiPriority w:val="99"/>
    <w:qFormat/>
    <w:rsid w:val="00351F9A"/>
    <w:rPr>
      <w:b/>
      <w:i/>
      <w:caps/>
      <w:color w:val="4F81BD"/>
    </w:rPr>
  </w:style>
  <w:style w:type="character" w:styleId="BookTitle">
    <w:name w:val="Book Title"/>
    <w:basedOn w:val="DefaultParagraphFont"/>
    <w:uiPriority w:val="99"/>
    <w:qFormat/>
    <w:rsid w:val="00351F9A"/>
    <w:rPr>
      <w:b/>
      <w:i/>
      <w:spacing w:val="9"/>
    </w:rPr>
  </w:style>
  <w:style w:type="paragraph" w:styleId="TOCHeading">
    <w:name w:val="TOC Heading"/>
    <w:basedOn w:val="Heading1"/>
    <w:next w:val="Normal"/>
    <w:uiPriority w:val="99"/>
    <w:qFormat/>
    <w:rsid w:val="00351F9A"/>
    <w:pPr>
      <w:outlineLvl w:val="9"/>
    </w:pPr>
  </w:style>
  <w:style w:type="paragraph" w:styleId="BalloonText">
    <w:name w:val="Balloon Text"/>
    <w:basedOn w:val="Normal"/>
    <w:link w:val="BalloonTextChar"/>
    <w:uiPriority w:val="99"/>
    <w:semiHidden/>
    <w:rsid w:val="00BE7B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B2"/>
    <w:rPr>
      <w:rFonts w:ascii="Tahoma" w:hAnsi="Tahoma" w:cs="Tahoma"/>
      <w:sz w:val="16"/>
      <w:szCs w:val="16"/>
    </w:rPr>
  </w:style>
  <w:style w:type="paragraph" w:styleId="BodyText">
    <w:name w:val="Body Text"/>
    <w:basedOn w:val="Normal"/>
    <w:link w:val="BodyTextChar"/>
    <w:uiPriority w:val="99"/>
    <w:rsid w:val="00355E81"/>
    <w:pPr>
      <w:spacing w:line="240" w:lineRule="auto"/>
      <w:jc w:val="center"/>
    </w:pPr>
    <w:rPr>
      <w:b/>
      <w:sz w:val="28"/>
      <w:szCs w:val="24"/>
      <w:lang w:val="en-GB"/>
    </w:rPr>
  </w:style>
  <w:style w:type="character" w:customStyle="1" w:styleId="BodyTextChar">
    <w:name w:val="Body Text Char"/>
    <w:basedOn w:val="DefaultParagraphFont"/>
    <w:link w:val="BodyText"/>
    <w:uiPriority w:val="99"/>
    <w:locked/>
    <w:rsid w:val="00355E81"/>
    <w:rPr>
      <w:rFonts w:ascii="Times New Roman" w:hAnsi="Times New Roman" w:cs="Times New Roman"/>
      <w:b/>
      <w:sz w:val="24"/>
      <w:szCs w:val="24"/>
      <w:lang w:val="en-GB"/>
    </w:rPr>
  </w:style>
  <w:style w:type="paragraph" w:styleId="Header">
    <w:name w:val="header"/>
    <w:basedOn w:val="Normal"/>
    <w:link w:val="HeaderChar"/>
    <w:uiPriority w:val="99"/>
    <w:semiHidden/>
    <w:rsid w:val="00FC7FE0"/>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FC7FE0"/>
    <w:rPr>
      <w:rFonts w:cs="Times New Roman"/>
    </w:rPr>
  </w:style>
  <w:style w:type="paragraph" w:styleId="Footer">
    <w:name w:val="footer"/>
    <w:basedOn w:val="Normal"/>
    <w:link w:val="FooterChar"/>
    <w:uiPriority w:val="99"/>
    <w:rsid w:val="00FC7FE0"/>
    <w:pPr>
      <w:tabs>
        <w:tab w:val="center" w:pos="4536"/>
        <w:tab w:val="right" w:pos="9072"/>
      </w:tabs>
      <w:spacing w:line="240" w:lineRule="auto"/>
    </w:pPr>
  </w:style>
  <w:style w:type="character" w:customStyle="1" w:styleId="FooterChar">
    <w:name w:val="Footer Char"/>
    <w:basedOn w:val="DefaultParagraphFont"/>
    <w:link w:val="Footer"/>
    <w:uiPriority w:val="99"/>
    <w:locked/>
    <w:rsid w:val="00FC7FE0"/>
    <w:rPr>
      <w:rFonts w:cs="Times New Roman"/>
    </w:rPr>
  </w:style>
  <w:style w:type="table" w:styleId="TableGrid">
    <w:name w:val="Table Grid"/>
    <w:basedOn w:val="TableNormal"/>
    <w:uiPriority w:val="99"/>
    <w:rsid w:val="000323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uiPriority w:val="99"/>
    <w:rsid w:val="00926F3F"/>
    <w:rPr>
      <w:rFonts w:cs="Times New Roman"/>
    </w:rPr>
  </w:style>
  <w:style w:type="character" w:customStyle="1" w:styleId="luc1m51z">
    <w:name w:val="luc1m51z"/>
    <w:basedOn w:val="DefaultParagraphFont"/>
    <w:uiPriority w:val="99"/>
    <w:rsid w:val="00926F3F"/>
    <w:rPr>
      <w:rFonts w:cs="Times New Roman"/>
    </w:rPr>
  </w:style>
  <w:style w:type="paragraph" w:styleId="FootnoteText">
    <w:name w:val="footnote text"/>
    <w:basedOn w:val="Normal"/>
    <w:link w:val="FootnoteTextChar"/>
    <w:uiPriority w:val="99"/>
    <w:semiHidden/>
    <w:rsid w:val="00962D6F"/>
    <w:pPr>
      <w:widowControl/>
      <w:adjustRightInd/>
      <w:spacing w:line="240" w:lineRule="auto"/>
      <w:jc w:val="left"/>
      <w:textAlignment w:val="auto"/>
    </w:pPr>
    <w:rPr>
      <w:rFonts w:ascii="Gill Sans MT" w:eastAsia="Gill Sans MT" w:hAnsi="Gill Sans MT" w:cs="Arial"/>
      <w:lang w:eastAsia="en-US"/>
    </w:rPr>
  </w:style>
  <w:style w:type="character" w:customStyle="1" w:styleId="FootnoteTextChar">
    <w:name w:val="Footnote Text Char"/>
    <w:basedOn w:val="DefaultParagraphFont"/>
    <w:link w:val="FootnoteText"/>
    <w:uiPriority w:val="99"/>
    <w:semiHidden/>
    <w:locked/>
    <w:rsid w:val="00962D6F"/>
    <w:rPr>
      <w:rFonts w:cs="Times New Roman"/>
      <w:sz w:val="20"/>
      <w:szCs w:val="20"/>
    </w:rPr>
  </w:style>
  <w:style w:type="character" w:styleId="FootnoteReference">
    <w:name w:val="footnote reference"/>
    <w:basedOn w:val="DefaultParagraphFont"/>
    <w:uiPriority w:val="99"/>
    <w:semiHidden/>
    <w:rsid w:val="00962D6F"/>
    <w:rPr>
      <w:rFonts w:cs="Times New Roman"/>
      <w:vertAlign w:val="superscript"/>
    </w:rPr>
  </w:style>
  <w:style w:type="paragraph" w:customStyle="1" w:styleId="Default">
    <w:name w:val="Default"/>
    <w:uiPriority w:val="99"/>
    <w:rsid w:val="00E03E30"/>
    <w:pPr>
      <w:autoSpaceDE w:val="0"/>
      <w:autoSpaceDN w:val="0"/>
      <w:adjustRightInd w:val="0"/>
    </w:pPr>
    <w:rPr>
      <w:rFonts w:ascii="Times New Roman" w:hAnsi="Times New Roman" w:cs="Times New Roman"/>
      <w:color w:val="000000"/>
      <w:sz w:val="24"/>
      <w:szCs w:val="24"/>
      <w:lang w:eastAsia="en-US"/>
    </w:rPr>
  </w:style>
  <w:style w:type="character" w:customStyle="1" w:styleId="hps">
    <w:name w:val="hps"/>
    <w:rsid w:val="006A0080"/>
  </w:style>
  <w:style w:type="character" w:customStyle="1" w:styleId="hpsalt-edited">
    <w:name w:val="hps alt-edited"/>
    <w:uiPriority w:val="99"/>
    <w:rsid w:val="006A0080"/>
  </w:style>
  <w:style w:type="character" w:customStyle="1" w:styleId="alt-edited1">
    <w:name w:val="alt-edited1"/>
    <w:uiPriority w:val="99"/>
    <w:rsid w:val="006A0080"/>
    <w:rPr>
      <w:color w:val="4D90F0"/>
    </w:rPr>
  </w:style>
  <w:style w:type="character" w:styleId="PlaceholderText">
    <w:name w:val="Placeholder Text"/>
    <w:basedOn w:val="DefaultParagraphFont"/>
    <w:uiPriority w:val="99"/>
    <w:semiHidden/>
    <w:rsid w:val="006A0080"/>
    <w:rPr>
      <w:rFonts w:cs="Times New Roman"/>
      <w:color w:val="808080"/>
    </w:rPr>
  </w:style>
  <w:style w:type="character" w:customStyle="1" w:styleId="A3">
    <w:name w:val="A3"/>
    <w:uiPriority w:val="99"/>
    <w:rsid w:val="008A7F1E"/>
    <w:rPr>
      <w:color w:val="000000"/>
      <w:sz w:val="19"/>
    </w:rPr>
  </w:style>
  <w:style w:type="paragraph" w:styleId="EndnoteText">
    <w:name w:val="endnote text"/>
    <w:basedOn w:val="Normal"/>
    <w:link w:val="EndnoteTextChar"/>
    <w:uiPriority w:val="99"/>
    <w:semiHidden/>
    <w:unhideWhenUsed/>
    <w:rsid w:val="003B2F61"/>
    <w:pPr>
      <w:spacing w:line="240" w:lineRule="auto"/>
    </w:pPr>
  </w:style>
  <w:style w:type="character" w:customStyle="1" w:styleId="EndnoteTextChar">
    <w:name w:val="Endnote Text Char"/>
    <w:basedOn w:val="DefaultParagraphFont"/>
    <w:link w:val="EndnoteText"/>
    <w:uiPriority w:val="99"/>
    <w:semiHidden/>
    <w:rsid w:val="003B2F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2F61"/>
    <w:rPr>
      <w:vertAlign w:val="superscript"/>
    </w:rPr>
  </w:style>
  <w:style w:type="table" w:customStyle="1" w:styleId="TableGrid1">
    <w:name w:val="Table Grid1"/>
    <w:basedOn w:val="TableNormal"/>
    <w:next w:val="TableGrid"/>
    <w:uiPriority w:val="59"/>
    <w:rsid w:val="00AA00E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035814756">
      <w:marLeft w:val="0"/>
      <w:marRight w:val="0"/>
      <w:marTop w:val="0"/>
      <w:marBottom w:val="0"/>
      <w:divBdr>
        <w:top w:val="none" w:sz="0" w:space="0" w:color="auto"/>
        <w:left w:val="none" w:sz="0" w:space="0" w:color="auto"/>
        <w:bottom w:val="none" w:sz="0" w:space="0" w:color="auto"/>
        <w:right w:val="none" w:sz="0" w:space="0" w:color="auto"/>
      </w:divBdr>
    </w:div>
    <w:div w:id="1035814757">
      <w:marLeft w:val="0"/>
      <w:marRight w:val="0"/>
      <w:marTop w:val="0"/>
      <w:marBottom w:val="0"/>
      <w:divBdr>
        <w:top w:val="none" w:sz="0" w:space="0" w:color="auto"/>
        <w:left w:val="none" w:sz="0" w:space="0" w:color="auto"/>
        <w:bottom w:val="none" w:sz="0" w:space="0" w:color="auto"/>
        <w:right w:val="none" w:sz="0" w:space="0" w:color="auto"/>
      </w:divBdr>
    </w:div>
    <w:div w:id="1035814758">
      <w:marLeft w:val="0"/>
      <w:marRight w:val="0"/>
      <w:marTop w:val="0"/>
      <w:marBottom w:val="0"/>
      <w:divBdr>
        <w:top w:val="none" w:sz="0" w:space="0" w:color="auto"/>
        <w:left w:val="none" w:sz="0" w:space="0" w:color="auto"/>
        <w:bottom w:val="none" w:sz="0" w:space="0" w:color="auto"/>
        <w:right w:val="none" w:sz="0" w:space="0" w:color="auto"/>
      </w:divBdr>
    </w:div>
    <w:div w:id="1035814759">
      <w:marLeft w:val="0"/>
      <w:marRight w:val="0"/>
      <w:marTop w:val="0"/>
      <w:marBottom w:val="0"/>
      <w:divBdr>
        <w:top w:val="none" w:sz="0" w:space="0" w:color="auto"/>
        <w:left w:val="none" w:sz="0" w:space="0" w:color="auto"/>
        <w:bottom w:val="none" w:sz="0" w:space="0" w:color="auto"/>
        <w:right w:val="none" w:sz="0" w:space="0" w:color="auto"/>
      </w:divBdr>
    </w:div>
    <w:div w:id="1035814760">
      <w:marLeft w:val="0"/>
      <w:marRight w:val="0"/>
      <w:marTop w:val="0"/>
      <w:marBottom w:val="0"/>
      <w:divBdr>
        <w:top w:val="none" w:sz="0" w:space="0" w:color="auto"/>
        <w:left w:val="none" w:sz="0" w:space="0" w:color="auto"/>
        <w:bottom w:val="none" w:sz="0" w:space="0" w:color="auto"/>
        <w:right w:val="none" w:sz="0" w:space="0" w:color="auto"/>
      </w:divBdr>
    </w:div>
    <w:div w:id="1035814761">
      <w:marLeft w:val="0"/>
      <w:marRight w:val="0"/>
      <w:marTop w:val="0"/>
      <w:marBottom w:val="0"/>
      <w:divBdr>
        <w:top w:val="none" w:sz="0" w:space="0" w:color="auto"/>
        <w:left w:val="none" w:sz="0" w:space="0" w:color="auto"/>
        <w:bottom w:val="none" w:sz="0" w:space="0" w:color="auto"/>
        <w:right w:val="none" w:sz="0" w:space="0" w:color="auto"/>
      </w:divBdr>
    </w:div>
    <w:div w:id="1035814762">
      <w:marLeft w:val="0"/>
      <w:marRight w:val="0"/>
      <w:marTop w:val="0"/>
      <w:marBottom w:val="0"/>
      <w:divBdr>
        <w:top w:val="none" w:sz="0" w:space="0" w:color="auto"/>
        <w:left w:val="none" w:sz="0" w:space="0" w:color="auto"/>
        <w:bottom w:val="none" w:sz="0" w:space="0" w:color="auto"/>
        <w:right w:val="none" w:sz="0" w:space="0" w:color="auto"/>
      </w:divBdr>
    </w:div>
    <w:div w:id="1035814763">
      <w:marLeft w:val="0"/>
      <w:marRight w:val="0"/>
      <w:marTop w:val="0"/>
      <w:marBottom w:val="0"/>
      <w:divBdr>
        <w:top w:val="none" w:sz="0" w:space="0" w:color="auto"/>
        <w:left w:val="none" w:sz="0" w:space="0" w:color="auto"/>
        <w:bottom w:val="none" w:sz="0" w:space="0" w:color="auto"/>
        <w:right w:val="none" w:sz="0" w:space="0" w:color="auto"/>
      </w:divBdr>
    </w:div>
    <w:div w:id="1035814764">
      <w:marLeft w:val="0"/>
      <w:marRight w:val="0"/>
      <w:marTop w:val="0"/>
      <w:marBottom w:val="0"/>
      <w:divBdr>
        <w:top w:val="none" w:sz="0" w:space="0" w:color="auto"/>
        <w:left w:val="none" w:sz="0" w:space="0" w:color="auto"/>
        <w:bottom w:val="none" w:sz="0" w:space="0" w:color="auto"/>
        <w:right w:val="none" w:sz="0" w:space="0" w:color="auto"/>
      </w:divBdr>
    </w:div>
    <w:div w:id="1035814765">
      <w:marLeft w:val="0"/>
      <w:marRight w:val="0"/>
      <w:marTop w:val="0"/>
      <w:marBottom w:val="0"/>
      <w:divBdr>
        <w:top w:val="none" w:sz="0" w:space="0" w:color="auto"/>
        <w:left w:val="none" w:sz="0" w:space="0" w:color="auto"/>
        <w:bottom w:val="none" w:sz="0" w:space="0" w:color="auto"/>
        <w:right w:val="none" w:sz="0" w:space="0" w:color="auto"/>
      </w:divBdr>
    </w:div>
    <w:div w:id="1035814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researchgate.net/journal/1545-2921_Economics_Bulletin"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A2D9-09C5-468C-86C1-DE194E96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5767</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Does Foreign Direct Investment spur Economic Growth</vt:lpstr>
    </vt:vector>
  </TitlesOfParts>
  <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Foreign Direct Investment spur Economic Growth</dc:title>
  <dc:creator>ORDI</dc:creator>
  <cp:lastModifiedBy>G580-64-500</cp:lastModifiedBy>
  <cp:revision>2</cp:revision>
  <cp:lastPrinted>2014-08-26T14:21:00Z</cp:lastPrinted>
  <dcterms:created xsi:type="dcterms:W3CDTF">2014-09-23T12:46:00Z</dcterms:created>
  <dcterms:modified xsi:type="dcterms:W3CDTF">2014-09-23T12:46:00Z</dcterms:modified>
</cp:coreProperties>
</file>