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D7" w:rsidRDefault="00FC6625" w:rsidP="00FC6625">
      <w:pPr>
        <w:wordWrap/>
        <w:jc w:val="center"/>
        <w:rPr>
          <w:rFonts w:eastAsia="黑体" w:cs="Times New Roman"/>
          <w:b/>
          <w:sz w:val="36"/>
        </w:rPr>
      </w:pPr>
      <w:r w:rsidRPr="00DC0DDB">
        <w:rPr>
          <w:rFonts w:eastAsia="黑体" w:cs="Times New Roman"/>
          <w:b/>
          <w:sz w:val="36"/>
        </w:rPr>
        <w:t xml:space="preserve">Leviathan is in Action? </w:t>
      </w:r>
    </w:p>
    <w:p w:rsidR="004C2E18" w:rsidRDefault="00FC6625" w:rsidP="00FC6625">
      <w:pPr>
        <w:wordWrap/>
        <w:jc w:val="center"/>
        <w:rPr>
          <w:rFonts w:eastAsia="黑体" w:cs="Times New Roman"/>
          <w:b/>
          <w:sz w:val="36"/>
        </w:rPr>
      </w:pPr>
      <w:r w:rsidRPr="00DC0DDB">
        <w:rPr>
          <w:rFonts w:eastAsia="黑体" w:cs="Times New Roman"/>
          <w:b/>
          <w:sz w:val="36"/>
        </w:rPr>
        <w:t xml:space="preserve">-- </w:t>
      </w:r>
      <w:r w:rsidR="008E1994">
        <w:rPr>
          <w:rFonts w:eastAsia="黑体" w:cs="Times New Roman" w:hint="eastAsia"/>
          <w:b/>
          <w:sz w:val="36"/>
        </w:rPr>
        <w:t>the</w:t>
      </w:r>
      <w:r w:rsidR="008E1994">
        <w:rPr>
          <w:rFonts w:eastAsia="黑体" w:cs="Times New Roman"/>
          <w:b/>
          <w:sz w:val="36"/>
        </w:rPr>
        <w:t xml:space="preserve"> Political Motivation </w:t>
      </w:r>
      <w:r w:rsidR="008E1994">
        <w:rPr>
          <w:rFonts w:eastAsia="黑体" w:cs="Times New Roman" w:hint="eastAsia"/>
          <w:b/>
          <w:sz w:val="36"/>
        </w:rPr>
        <w:t>B</w:t>
      </w:r>
      <w:r w:rsidR="008E1994">
        <w:rPr>
          <w:rFonts w:eastAsia="黑体" w:cs="Times New Roman"/>
          <w:b/>
          <w:sz w:val="36"/>
        </w:rPr>
        <w:t xml:space="preserve">ehind the </w:t>
      </w:r>
      <w:r w:rsidRPr="00DC0DDB">
        <w:rPr>
          <w:rFonts w:eastAsia="黑体" w:cs="Times New Roman"/>
          <w:b/>
          <w:sz w:val="36"/>
        </w:rPr>
        <w:t>Outbound Investment</w:t>
      </w:r>
      <w:r w:rsidR="00326044">
        <w:rPr>
          <w:rFonts w:eastAsia="黑体" w:cs="Times New Roman" w:hint="eastAsia"/>
          <w:b/>
          <w:sz w:val="36"/>
        </w:rPr>
        <w:t>s</w:t>
      </w:r>
      <w:r w:rsidRPr="00DC0DDB">
        <w:rPr>
          <w:rFonts w:eastAsia="黑体" w:cs="Times New Roman"/>
          <w:b/>
          <w:sz w:val="36"/>
        </w:rPr>
        <w:t xml:space="preserve"> of SWF</w:t>
      </w:r>
      <w:r w:rsidR="007E40C0">
        <w:rPr>
          <w:rFonts w:eastAsia="黑体" w:cs="Times New Roman"/>
          <w:b/>
          <w:sz w:val="36"/>
        </w:rPr>
        <w:t>s</w:t>
      </w:r>
    </w:p>
    <w:p w:rsidR="008E2DA8" w:rsidRDefault="008E2DA8" w:rsidP="00FC6625">
      <w:pPr>
        <w:wordWrap/>
        <w:jc w:val="center"/>
        <w:rPr>
          <w:rFonts w:eastAsia="黑体" w:cs="Times New Roman"/>
          <w:b/>
          <w:sz w:val="18"/>
        </w:rPr>
      </w:pPr>
    </w:p>
    <w:p w:rsidR="00AA1390" w:rsidRPr="00DC0DDB" w:rsidRDefault="00AA1390" w:rsidP="00FC6625">
      <w:pPr>
        <w:wordWrap/>
        <w:jc w:val="center"/>
        <w:rPr>
          <w:rFonts w:eastAsia="黑体" w:cs="Times New Roman"/>
          <w:b/>
          <w:sz w:val="18"/>
        </w:rPr>
      </w:pPr>
    </w:p>
    <w:p w:rsidR="00B92E25" w:rsidRPr="00B92E25" w:rsidRDefault="00B92E25" w:rsidP="00DC0DDB">
      <w:pPr>
        <w:rPr>
          <w:b/>
        </w:rPr>
      </w:pPr>
      <w:r w:rsidRPr="00B92E25">
        <w:rPr>
          <w:b/>
        </w:rPr>
        <w:t>Authors:</w:t>
      </w:r>
    </w:p>
    <w:p w:rsidR="00B92E25" w:rsidRDefault="00B92E25" w:rsidP="00DC0DDB">
      <w:proofErr w:type="spellStart"/>
      <w:r>
        <w:rPr>
          <w:rFonts w:hint="eastAsia"/>
        </w:rPr>
        <w:t>H</w:t>
      </w:r>
      <w:r>
        <w:t>uadong</w:t>
      </w:r>
      <w:proofErr w:type="spellEnd"/>
      <w:r>
        <w:t xml:space="preserve"> Chang</w:t>
      </w:r>
      <w:r w:rsidR="00BA5B29">
        <w:rPr>
          <w:rStyle w:val="a5"/>
        </w:rPr>
        <w:footnoteReference w:id="1"/>
      </w:r>
      <w:r>
        <w:t>,</w:t>
      </w:r>
      <w:r w:rsidRPr="00B92E25">
        <w:t xml:space="preserve"> </w:t>
      </w:r>
      <w:r>
        <w:t xml:space="preserve">PBC School of Finance, Tsinghua University, Beijing </w:t>
      </w:r>
      <w:r w:rsidR="00BA5B29">
        <w:t>100083, China</w:t>
      </w:r>
    </w:p>
    <w:p w:rsidR="00DC0DDB" w:rsidRDefault="00B92E25" w:rsidP="00DC0DDB">
      <w:proofErr w:type="spellStart"/>
      <w:r>
        <w:t>Guozhi</w:t>
      </w:r>
      <w:proofErr w:type="spellEnd"/>
      <w:r>
        <w:t xml:space="preserve"> </w:t>
      </w:r>
      <w:proofErr w:type="gramStart"/>
      <w:r>
        <w:t>An</w:t>
      </w:r>
      <w:proofErr w:type="gramEnd"/>
      <w:r>
        <w:t xml:space="preserve">, </w:t>
      </w:r>
      <w:proofErr w:type="spellStart"/>
      <w:r>
        <w:t>Guotai</w:t>
      </w:r>
      <w:proofErr w:type="spellEnd"/>
      <w:r>
        <w:t xml:space="preserve"> </w:t>
      </w:r>
      <w:proofErr w:type="spellStart"/>
      <w:r>
        <w:t>Junan</w:t>
      </w:r>
      <w:proofErr w:type="spellEnd"/>
      <w:r>
        <w:t xml:space="preserve"> Securities Co.</w:t>
      </w:r>
      <w:r w:rsidR="00BA5B29">
        <w:t>, Ltd, Shanghai 200120, China</w:t>
      </w:r>
    </w:p>
    <w:p w:rsidR="00BA5B29" w:rsidRDefault="00BA5B29" w:rsidP="00DC0DDB"/>
    <w:p w:rsidR="00D62A32" w:rsidRDefault="00D62A32" w:rsidP="00BA5B29">
      <w:pPr>
        <w:rPr>
          <w:b/>
        </w:rPr>
      </w:pPr>
    </w:p>
    <w:p w:rsidR="00772C49" w:rsidRDefault="00772C49" w:rsidP="00BA5B29"/>
    <w:p w:rsidR="00D62A32" w:rsidRPr="00DC0DDB" w:rsidRDefault="00D62A32" w:rsidP="00BA5B29"/>
    <w:p w:rsidR="00D67FCB" w:rsidRPr="00196F58" w:rsidRDefault="009F0689" w:rsidP="00DC0DDB">
      <w:pPr>
        <w:pStyle w:val="2"/>
        <w:jc w:val="center"/>
        <w:rPr>
          <w:b/>
        </w:rPr>
      </w:pPr>
      <w:r w:rsidRPr="00196F58">
        <w:rPr>
          <w:rFonts w:hint="eastAsia"/>
          <w:b/>
        </w:rPr>
        <w:t>Abstract</w:t>
      </w:r>
    </w:p>
    <w:p w:rsidR="00DC0DDB" w:rsidRDefault="00B01458" w:rsidP="00B01458">
      <w:pPr>
        <w:wordWrap/>
        <w:spacing w:line="400" w:lineRule="exact"/>
        <w:ind w:firstLineChars="200" w:firstLine="480"/>
      </w:pPr>
      <w:r w:rsidRPr="00B01458">
        <w:t>This paper studies the role of bilateral political relation</w:t>
      </w:r>
      <w:r w:rsidR="008D2460">
        <w:t>ship</w:t>
      </w:r>
      <w:r w:rsidRPr="00B01458">
        <w:t xml:space="preserve"> in the decision-making of sovereign wealth funds (SWF</w:t>
      </w:r>
      <w:r w:rsidR="008D2460">
        <w:rPr>
          <w:rFonts w:hint="eastAsia"/>
        </w:rPr>
        <w:t>s</w:t>
      </w:r>
      <w:r w:rsidRPr="00B01458">
        <w:t xml:space="preserve">). Based on the </w:t>
      </w:r>
      <w:r w:rsidR="008E1994">
        <w:t xml:space="preserve">detailed </w:t>
      </w:r>
      <w:r w:rsidRPr="00B01458">
        <w:t>data of SWFs</w:t>
      </w:r>
      <w:r w:rsidR="008D2460">
        <w:t>’</w:t>
      </w:r>
      <w:r w:rsidRPr="00B01458">
        <w:t xml:space="preserve"> </w:t>
      </w:r>
      <w:r w:rsidR="008D2460">
        <w:t xml:space="preserve">outbound investments </w:t>
      </w:r>
      <w:r w:rsidRPr="00B01458">
        <w:t>in 2007-2017, this paper finds that SWF</w:t>
      </w:r>
      <w:r w:rsidR="002D441D">
        <w:t>s tend</w:t>
      </w:r>
      <w:r w:rsidRPr="00B01458">
        <w:t xml:space="preserve"> to invest in countries with distant </w:t>
      </w:r>
      <w:r w:rsidR="00D13E3F">
        <w:rPr>
          <w:rFonts w:hint="eastAsia"/>
        </w:rPr>
        <w:t>bi</w:t>
      </w:r>
      <w:r w:rsidR="00D13E3F">
        <w:t xml:space="preserve">lateral </w:t>
      </w:r>
      <w:r w:rsidRPr="00B01458">
        <w:t>political relations. Furthermore, bilateral political relations</w:t>
      </w:r>
      <w:r w:rsidR="002D441D">
        <w:t>hip</w:t>
      </w:r>
      <w:r w:rsidRPr="00B01458">
        <w:t xml:space="preserve"> play</w:t>
      </w:r>
      <w:r w:rsidR="002D441D">
        <w:t>s</w:t>
      </w:r>
      <w:r w:rsidRPr="00B01458">
        <w:t xml:space="preserve"> an important role in the choice of investment area and the determination of investment amount. The results of this study show that, unlike rational </w:t>
      </w:r>
      <w:r w:rsidR="002D441D">
        <w:t xml:space="preserve">private </w:t>
      </w:r>
      <w:r w:rsidRPr="00B01458">
        <w:t xml:space="preserve">investors who seek to maximize benefits and minimize risks, SWF's </w:t>
      </w:r>
      <w:r w:rsidR="00F03B68">
        <w:t>outbound</w:t>
      </w:r>
      <w:r w:rsidRPr="00B01458">
        <w:t xml:space="preserve"> investment</w:t>
      </w:r>
      <w:r w:rsidR="008E1994">
        <w:t>s</w:t>
      </w:r>
      <w:r w:rsidR="00C5071C">
        <w:rPr>
          <w:rFonts w:hint="eastAsia"/>
        </w:rPr>
        <w:t xml:space="preserve"> </w:t>
      </w:r>
      <w:r w:rsidR="00C5071C">
        <w:t>have</w:t>
      </w:r>
      <w:r w:rsidR="00C72F63">
        <w:t xml:space="preserve"> </w:t>
      </w:r>
      <w:r w:rsidRPr="00B01458">
        <w:t xml:space="preserve">strong political </w:t>
      </w:r>
      <w:r w:rsidR="002D441D">
        <w:t>motives</w:t>
      </w:r>
      <w:r w:rsidRPr="00B01458">
        <w:t>.</w:t>
      </w:r>
    </w:p>
    <w:p w:rsidR="0096041E" w:rsidRPr="008E1994" w:rsidRDefault="0096041E" w:rsidP="00DC0DDB"/>
    <w:p w:rsidR="00D62A32" w:rsidRDefault="00D62A32" w:rsidP="00DC0DDB"/>
    <w:p w:rsidR="0096041E" w:rsidRDefault="002F0711" w:rsidP="00B92E25">
      <w:pPr>
        <w:wordWrap/>
      </w:pPr>
      <w:r w:rsidRPr="00B92E25">
        <w:rPr>
          <w:b/>
        </w:rPr>
        <w:t>JEL classification</w:t>
      </w:r>
      <w:r>
        <w:t>:</w:t>
      </w:r>
      <w:r w:rsidR="0041393C">
        <w:t xml:space="preserve"> F21 G15 G18</w:t>
      </w:r>
    </w:p>
    <w:p w:rsidR="002F0711" w:rsidRDefault="002F0711" w:rsidP="00B92E25">
      <w:pPr>
        <w:wordWrap/>
      </w:pPr>
      <w:r w:rsidRPr="00B92E25">
        <w:rPr>
          <w:b/>
        </w:rPr>
        <w:t>Key words</w:t>
      </w:r>
      <w:r>
        <w:t>: Sovereign Wealth Fund</w:t>
      </w:r>
      <w:r w:rsidR="00D62A32">
        <w:t xml:space="preserve">; </w:t>
      </w:r>
      <w:r>
        <w:t xml:space="preserve">Bilateral Political </w:t>
      </w:r>
      <w:r w:rsidR="008E2DA8">
        <w:t>R</w:t>
      </w:r>
      <w:r>
        <w:t>elationship</w:t>
      </w:r>
      <w:r w:rsidR="00D62A32">
        <w:t xml:space="preserve">; </w:t>
      </w:r>
      <w:r w:rsidR="0041393C">
        <w:t>Outbound Investment</w:t>
      </w:r>
      <w:r w:rsidR="001C26F4">
        <w:t>s</w:t>
      </w:r>
    </w:p>
    <w:p w:rsidR="0096041E" w:rsidRDefault="0096041E" w:rsidP="00DC0DDB">
      <w:r>
        <w:br w:type="page"/>
      </w:r>
    </w:p>
    <w:p w:rsidR="00D67FCB" w:rsidRDefault="007C0E3C" w:rsidP="00D43CE6">
      <w:pPr>
        <w:pStyle w:val="2"/>
        <w:numPr>
          <w:ilvl w:val="0"/>
          <w:numId w:val="46"/>
        </w:numPr>
      </w:pPr>
      <w:r>
        <w:rPr>
          <w:rFonts w:hint="eastAsia"/>
        </w:rPr>
        <w:lastRenderedPageBreak/>
        <w:t>Introduction</w:t>
      </w:r>
    </w:p>
    <w:p w:rsidR="00B001B7" w:rsidRDefault="00742032" w:rsidP="0055431B">
      <w:pPr>
        <w:wordWrap/>
        <w:spacing w:line="400" w:lineRule="exact"/>
        <w:ind w:firstLineChars="200" w:firstLine="480"/>
      </w:pPr>
      <w:r>
        <w:t xml:space="preserve">Sovereign wealth fund is not a new phenomenon. </w:t>
      </w:r>
      <w:r>
        <w:fldChar w:fldCharType="begin"/>
      </w:r>
      <w:r>
        <w:instrText xml:space="preserve"> ADDIN EN.CITE &lt;EndNote&gt;&lt;Cite AuthorYear="1"&gt;&lt;Author&gt;Hildebrand&lt;/Author&gt;&lt;Year&gt;2007&lt;/Year&gt;&lt;RecNum&gt;755&lt;/RecNum&gt;&lt;DisplayText&gt;Hildebrand (2007)&lt;/DisplayText&gt;&lt;record&gt;&lt;rec-number&gt;755&lt;/rec-number&gt;&lt;foreign-keys&gt;&lt;key app="EN" db-id="09p992av6fr0zjepzxpxrf2h9vve0w099a5w" timestamp="1545293673"&gt;755&lt;/key&gt;&lt;/foreign-keys&gt;&lt;ref-type name="Book"&gt;6&lt;/ref-type&gt;&lt;contributors&gt;&lt;authors&gt;&lt;author&gt;Philipp M. Hildebrand&lt;/author&gt;&lt;/authors&gt;&lt;/contributors&gt;&lt;titles&gt;&lt;title&gt;The challenge of sovereign wealth funds&lt;/title&gt;&lt;/titles&gt;&lt;dates&gt;&lt;year&gt;2007&lt;/year&gt;&lt;/dates&gt;&lt;publisher&gt;SNB&lt;/publisher&gt;&lt;urls&gt;&lt;/urls&gt;&lt;/record&gt;&lt;/Cite&gt;&lt;Cite&gt;&lt;Author&gt;Hildebrand&lt;/Author&gt;&lt;Year&gt;2007&lt;/Year&gt;&lt;RecNum&gt;755&lt;/RecNum&gt;&lt;record&gt;&lt;rec-number&gt;755&lt;/rec-number&gt;&lt;foreign-keys&gt;&lt;key app="EN" db-id="09p992av6fr0zjepzxpxrf2h9vve0w099a5w" timestamp="1545293673"&gt;755&lt;/key&gt;&lt;/foreign-keys&gt;&lt;ref-type name="Book"&gt;6&lt;/ref-type&gt;&lt;contributors&gt;&lt;authors&gt;&lt;author&gt;Philipp M. Hildebrand&lt;/author&gt;&lt;/authors&gt;&lt;/contributors&gt;&lt;titles&gt;&lt;title&gt;The challenge of sovereign wealth funds&lt;/title&gt;&lt;/titles&gt;&lt;dates&gt;&lt;year&gt;2007&lt;/year&gt;&lt;/dates&gt;&lt;publisher&gt;SNB&lt;/publisher&gt;&lt;urls&gt;&lt;/urls&gt;&lt;/record&gt;&lt;/Cite&gt;&lt;/EndNote&gt;</w:instrText>
      </w:r>
      <w:r>
        <w:fldChar w:fldCharType="separate"/>
      </w:r>
      <w:r>
        <w:rPr>
          <w:noProof/>
        </w:rPr>
        <w:t>Hildebrand (2007)</w:t>
      </w:r>
      <w:r>
        <w:fldChar w:fldCharType="end"/>
      </w:r>
      <w:r>
        <w:t xml:space="preserve"> </w:t>
      </w:r>
      <w:r w:rsidR="00C5071C">
        <w:t>thinks</w:t>
      </w:r>
      <w:r>
        <w:t xml:space="preserve"> that SWF’s </w:t>
      </w:r>
      <w:r w:rsidR="00B001B7" w:rsidRPr="00B001B7">
        <w:t xml:space="preserve">history can be traced back to </w:t>
      </w:r>
      <w:r>
        <w:t xml:space="preserve">1816 when </w:t>
      </w:r>
      <w:r w:rsidR="00B001B7" w:rsidRPr="00B001B7">
        <w:t>Deposits and Consignments Fund</w:t>
      </w:r>
      <w:r>
        <w:t xml:space="preserve"> was </w:t>
      </w:r>
      <w:r w:rsidR="00B001B7" w:rsidRPr="00B001B7">
        <w:t xml:space="preserve">founded in France. </w:t>
      </w:r>
      <w:r>
        <w:fldChar w:fldCharType="begin"/>
      </w:r>
      <w:r>
        <w:instrText xml:space="preserve"> ADDIN EN.CITE &lt;EndNote&gt;&lt;Cite AuthorYear="1"&gt;&lt;Author&gt;Dewenter&lt;/Author&gt;&lt;Year&gt;2010&lt;/Year&gt;&lt;RecNum&gt;62&lt;/RecNum&gt;&lt;DisplayText&gt;Dewenter, Han, and Malatesta (2010)&lt;/DisplayText&gt;&lt;record&gt;&lt;rec-number&gt;62&lt;/rec-number&gt;&lt;foreign-keys&gt;&lt;key app="EN" db-id="09p992av6fr0zjepzxpxrf2h9vve0w099a5w" timestamp="1518119550"&gt;62&lt;/key&gt;&lt;key app="ENWeb" db-id=""&gt;0&lt;/key&gt;&lt;/foreign-keys&gt;&lt;ref-type name="Journal Article"&gt;17&lt;/ref-type&gt;&lt;contributors&gt;&lt;authors&gt;&lt;author&gt;Dewenter, Kathryn L.&lt;/author&gt;&lt;author&gt;Han, Xi&lt;/author&gt;&lt;author&gt;Malatesta, Paul H.&lt;/author&gt;&lt;/authors&gt;&lt;/contributors&gt;&lt;titles&gt;&lt;title&gt;Firm values and sovereign wealth fund investments&lt;/title&gt;&lt;secondary-title&gt;Journal of Financial Economics&lt;/secondary-title&gt;&lt;/titles&gt;&lt;periodical&gt;&lt;full-title&gt;Journal of Financial Economics&lt;/full-title&gt;&lt;/periodical&gt;&lt;pages&gt;256-278&lt;/pages&gt;&lt;volume&gt;98&lt;/volume&gt;&lt;number&gt;2&lt;/number&gt;&lt;section&gt;256&lt;/section&gt;&lt;dates&gt;&lt;year&gt;2010&lt;/year&gt;&lt;/dates&gt;&lt;isbn&gt;0304405X&lt;/isbn&gt;&lt;urls&gt;&lt;/urls&gt;&lt;electronic-resource-num&gt;10.1016/j.jfineco.2010.05.006&lt;/electronic-resource-num&gt;&lt;/record&gt;&lt;/Cite&gt;&lt;/EndNote&gt;</w:instrText>
      </w:r>
      <w:r>
        <w:fldChar w:fldCharType="separate"/>
      </w:r>
      <w:r>
        <w:rPr>
          <w:noProof/>
        </w:rPr>
        <w:t>Dewenter, Han, and Malatesta (2010)</w:t>
      </w:r>
      <w:r>
        <w:fldChar w:fldCharType="end"/>
      </w:r>
      <w:r w:rsidR="00B001B7" w:rsidRPr="00B001B7">
        <w:t xml:space="preserve"> </w:t>
      </w:r>
      <w:r w:rsidR="005D7EF1">
        <w:t>put up that</w:t>
      </w:r>
      <w:r w:rsidR="00B001B7" w:rsidRPr="00B001B7">
        <w:t xml:space="preserve"> </w:t>
      </w:r>
      <w:r w:rsidR="00C5071C">
        <w:t xml:space="preserve">the first </w:t>
      </w:r>
      <w:r w:rsidR="00B001B7" w:rsidRPr="00B001B7">
        <w:t>SWF</w:t>
      </w:r>
      <w:r w:rsidR="005D7EF1">
        <w:t xml:space="preserve"> </w:t>
      </w:r>
      <w:r w:rsidR="00C5071C">
        <w:t xml:space="preserve">is </w:t>
      </w:r>
      <w:r w:rsidR="00B001B7" w:rsidRPr="00B001B7">
        <w:t xml:space="preserve">the Permanent School Fund established by the Texas State Government in 1854. </w:t>
      </w:r>
      <w:r w:rsidR="00C5071C">
        <w:t xml:space="preserve">In fact, </w:t>
      </w:r>
      <w:r w:rsidR="00300A1B">
        <w:t>t</w:t>
      </w:r>
      <w:r w:rsidR="005D7EF1">
        <w:t xml:space="preserve">he </w:t>
      </w:r>
      <w:r w:rsidR="00B001B7" w:rsidRPr="00B001B7">
        <w:t>first recognized modern SWF</w:t>
      </w:r>
      <w:r w:rsidR="00C5071C">
        <w:t xml:space="preserve"> is </w:t>
      </w:r>
      <w:r w:rsidR="00B001B7" w:rsidRPr="00B001B7">
        <w:t xml:space="preserve">the Kuwait Investment Authority (KIA), established in 1953. However, it </w:t>
      </w:r>
      <w:r w:rsidR="00C5071C">
        <w:t xml:space="preserve">is </w:t>
      </w:r>
      <w:r w:rsidR="00B001B7" w:rsidRPr="00B001B7">
        <w:t xml:space="preserve">not until 2005 that the concept of sovereign wealth fund was formally proposed by Andrew </w:t>
      </w:r>
      <w:proofErr w:type="spellStart"/>
      <w:r w:rsidR="00B001B7" w:rsidRPr="00B001B7">
        <w:t>Rozanov</w:t>
      </w:r>
      <w:proofErr w:type="spellEnd"/>
      <w:r w:rsidR="00DA0E7F">
        <w:t>(</w:t>
      </w:r>
      <w:r w:rsidR="00300A1B">
        <w:t xml:space="preserve">a </w:t>
      </w:r>
      <w:r w:rsidR="00300A1B" w:rsidRPr="00B001B7">
        <w:t>Goldman Sachs analyst</w:t>
      </w:r>
      <w:r w:rsidR="00DA0E7F">
        <w:t>)</w:t>
      </w:r>
      <w:r w:rsidR="00B001B7" w:rsidRPr="00B001B7">
        <w:t xml:space="preserve"> in a </w:t>
      </w:r>
      <w:r w:rsidR="00300A1B">
        <w:t>b</w:t>
      </w:r>
      <w:r w:rsidR="00B001B7" w:rsidRPr="00B001B7">
        <w:t xml:space="preserve">usiness </w:t>
      </w:r>
      <w:r w:rsidR="00300A1B">
        <w:t>r</w:t>
      </w:r>
      <w:r w:rsidR="00B001B7" w:rsidRPr="00B001B7">
        <w:t xml:space="preserve">eport </w:t>
      </w:r>
      <w:r w:rsidR="00300A1B">
        <w:fldChar w:fldCharType="begin"/>
      </w:r>
      <w:r w:rsidR="00300A1B">
        <w:instrText xml:space="preserve"> ADDIN EN.CITE &lt;EndNote&gt;&lt;Cite&gt;&lt;Author&gt;Rozanov&lt;/Author&gt;&lt;Year&gt;2005&lt;/Year&gt;&lt;RecNum&gt;704&lt;/RecNum&gt;&lt;DisplayText&gt;(Rozanov, 2005)&lt;/DisplayText&gt;&lt;record&gt;&lt;rec-number&gt;704&lt;/rec-number&gt;&lt;foreign-keys&gt;&lt;key app="EN" db-id="09p992av6fr0zjepzxpxrf2h9vve0w099a5w" timestamp="1519269717"&gt;704&lt;/key&gt;&lt;/foreign-keys&gt;&lt;ref-type name="Journal Article"&gt;17&lt;/ref-type&gt;&lt;contributors&gt;&lt;authors&gt;&lt;author&gt;Rozanov, Andrew&lt;/author&gt;&lt;/authors&gt;&lt;/contributors&gt;&lt;titles&gt;&lt;title&gt;Who holds the wealth of nations&lt;/title&gt;&lt;secondary-title&gt;Central Banking Journal&lt;/secondary-title&gt;&lt;/titles&gt;&lt;periodical&gt;&lt;full-title&gt;Central Banking Journal&lt;/full-title&gt;&lt;/periodical&gt;&lt;pages&gt;52-57&lt;/pages&gt;&lt;volume&gt;15&lt;/volume&gt;&lt;number&gt;4&lt;/number&gt;&lt;dates&gt;&lt;year&gt;2005&lt;/year&gt;&lt;/dates&gt;&lt;urls&gt;&lt;/urls&gt;&lt;/record&gt;&lt;/Cite&gt;&lt;/EndNote&gt;</w:instrText>
      </w:r>
      <w:r w:rsidR="00300A1B">
        <w:fldChar w:fldCharType="separate"/>
      </w:r>
      <w:r w:rsidR="00300A1B">
        <w:rPr>
          <w:noProof/>
        </w:rPr>
        <w:t>(Rozanov, 2005)</w:t>
      </w:r>
      <w:r w:rsidR="00300A1B">
        <w:fldChar w:fldCharType="end"/>
      </w:r>
      <w:r w:rsidR="004B3C95">
        <w:t xml:space="preserve"> and </w:t>
      </w:r>
      <w:r w:rsidR="00853598">
        <w:t xml:space="preserve">there is no consensus in academic or practitioner literature, on the definition of </w:t>
      </w:r>
      <w:r w:rsidR="00B001B7" w:rsidRPr="00B001B7">
        <w:t>SWF</w:t>
      </w:r>
      <w:r w:rsidR="004B3C95">
        <w:t xml:space="preserve"> up to now</w:t>
      </w:r>
      <w:r w:rsidR="00B001B7" w:rsidRPr="00B001B7">
        <w:t xml:space="preserve">. </w:t>
      </w:r>
      <w:r w:rsidR="00300A1B">
        <w:fldChar w:fldCharType="begin"/>
      </w:r>
      <w:r w:rsidR="00300A1B">
        <w:instrText xml:space="preserve"> ADDIN EN.CITE &lt;EndNote&gt;&lt;Cite AuthorYear="1"&gt;&lt;Author&gt;Miracky&lt;/Author&gt;&lt;Year&gt;2009&lt;/Year&gt;&lt;RecNum&gt;793&lt;/RecNum&gt;&lt;DisplayText&gt;Miracky and Bortolotti (2009)&lt;/DisplayText&gt;&lt;record&gt;&lt;rec-number&gt;793&lt;/rec-number&gt;&lt;foreign-keys&gt;&lt;key app="EN" db-id="09p992av6fr0zjepzxpxrf2h9vve0w099a5w" timestamp="1550335412"&gt;793&lt;/key&gt;&lt;/foreign-keys&gt;&lt;ref-type name="Journal Article"&gt;17&lt;/ref-type&gt;&lt;contributors&gt;&lt;authors&gt;&lt;author&gt;Miracky, William&lt;/author&gt;&lt;author&gt;Bortolotti, Bernardo&lt;/author&gt;&lt;/authors&gt;&lt;/contributors&gt;&lt;titles&gt;&lt;title&gt;Weathering the storm: Sovereign wealth funds in the global economic crisis of 2008&lt;/title&gt;&lt;secondary-title&gt;SWF Annual Report 2008&lt;/secondary-title&gt;&lt;/titles&gt;&lt;periodical&gt;&lt;full-title&gt;SWF Annual Report 2008&lt;/full-title&gt;&lt;/periodical&gt;&lt;dates&gt;&lt;year&gt;2009&lt;/year&gt;&lt;/dates&gt;&lt;urls&gt;&lt;/urls&gt;&lt;/record&gt;&lt;/Cite&gt;&lt;/EndNote&gt;</w:instrText>
      </w:r>
      <w:r w:rsidR="00300A1B">
        <w:fldChar w:fldCharType="separate"/>
      </w:r>
      <w:r w:rsidR="00300A1B">
        <w:rPr>
          <w:noProof/>
        </w:rPr>
        <w:t>Miracky and Bortolotti (2009)</w:t>
      </w:r>
      <w:r w:rsidR="00300A1B">
        <w:fldChar w:fldCharType="end"/>
      </w:r>
      <w:r w:rsidR="00B001B7" w:rsidRPr="00B001B7">
        <w:t xml:space="preserve"> argue that SWF should have the following characteristics: directly owned by the government, independent operation management </w:t>
      </w:r>
      <w:r w:rsidR="00300A1B">
        <w:t xml:space="preserve">from </w:t>
      </w:r>
      <w:r w:rsidR="00B001B7" w:rsidRPr="00B001B7">
        <w:t xml:space="preserve">other government departments, no explicit pension obligations, diversification of investment in the pursuit of profitability, mainly in the international market. </w:t>
      </w:r>
      <w:r w:rsidR="005C5133">
        <w:t>After</w:t>
      </w:r>
      <w:r w:rsidR="00DA0E7F">
        <w:t xml:space="preserve"> surveying more than 30 paper,</w:t>
      </w:r>
      <w:r w:rsidR="00B001B7" w:rsidRPr="00B001B7">
        <w:t xml:space="preserve"> </w:t>
      </w:r>
      <w:r w:rsidR="00DA0E7F">
        <w:fldChar w:fldCharType="begin"/>
      </w:r>
      <w:r w:rsidR="00DA0E7F">
        <w:instrText xml:space="preserve"> ADDIN EN.CITE &lt;EndNote&gt;&lt;Cite AuthorYear="1"&gt;&lt;Author&gt;Capapé&lt;/Author&gt;&lt;Year&gt;2013&lt;/Year&gt;&lt;RecNum&gt;765&lt;/RecNum&gt;&lt;DisplayText&gt;Capapé and Guerrero Blanco (2013)&lt;/DisplayText&gt;&lt;record&gt;&lt;rec-number&gt;765&lt;/rec-number&gt;&lt;foreign-keys&gt;&lt;key app="EN" db-id="09p992av6fr0zjepzxpxrf2h9vve0w099a5w" timestamp="1546525828"&gt;765&lt;/key&gt;&lt;/foreign-keys&gt;&lt;ref-type name="Journal Article"&gt;17&lt;/ref-type&gt;&lt;contributors&gt;&lt;authors&gt;&lt;author&gt;Capapé, Javier&lt;/author&gt;&lt;author&gt;Guerrero Blanco, Tomas&lt;/author&gt;&lt;/authors&gt;&lt;/contributors&gt;&lt;titles&gt;&lt;title&gt;More Layers than an Onion: Looking for a Definition of Sovereign Wealth Funds&lt;/title&gt;&lt;/titles&gt;&lt;dates&gt;&lt;year&gt;2013&lt;/year&gt;&lt;/dates&gt;&lt;urls&gt;&lt;/urls&gt;&lt;/record&gt;&lt;/Cite&gt;&lt;/EndNote&gt;</w:instrText>
      </w:r>
      <w:r w:rsidR="00DA0E7F">
        <w:fldChar w:fldCharType="separate"/>
      </w:r>
      <w:r w:rsidR="00DA0E7F">
        <w:rPr>
          <w:noProof/>
        </w:rPr>
        <w:t>Capapé and Guerrero Blanco (2013)</w:t>
      </w:r>
      <w:r w:rsidR="00DA0E7F">
        <w:fldChar w:fldCharType="end"/>
      </w:r>
      <w:r w:rsidR="00DA0E7F">
        <w:t xml:space="preserve"> </w:t>
      </w:r>
      <w:r w:rsidR="00B001B7" w:rsidRPr="00B001B7">
        <w:t>summarize</w:t>
      </w:r>
      <w:r w:rsidR="00DA0E7F">
        <w:t xml:space="preserve"> </w:t>
      </w:r>
      <w:r w:rsidR="00B001B7" w:rsidRPr="00B001B7">
        <w:t>that the definition</w:t>
      </w:r>
      <w:r w:rsidR="00C5071C">
        <w:t xml:space="preserve"> of SWF mainly involves</w:t>
      </w:r>
      <w:r w:rsidR="00B001B7" w:rsidRPr="00B001B7">
        <w:t xml:space="preserve"> 13 elements. The biggest consensus is that SWF is a</w:t>
      </w:r>
      <w:r w:rsidR="00DA0E7F">
        <w:t xml:space="preserve"> </w:t>
      </w:r>
      <w:r w:rsidR="005C5133">
        <w:t>governed-</w:t>
      </w:r>
      <w:r w:rsidR="00B001B7" w:rsidRPr="00B001B7">
        <w:t xml:space="preserve">owned investment </w:t>
      </w:r>
      <w:r w:rsidR="00DA0E7F">
        <w:t>vehicle</w:t>
      </w:r>
      <w:r w:rsidR="00B001B7" w:rsidRPr="00B001B7">
        <w:t>.</w:t>
      </w:r>
    </w:p>
    <w:p w:rsidR="00FA25A9" w:rsidRDefault="00B36CCF" w:rsidP="00FA25A9">
      <w:pPr>
        <w:keepNext/>
      </w:pPr>
      <w:r>
        <w:rPr>
          <w:noProof/>
        </w:rPr>
        <w:drawing>
          <wp:inline distT="0" distB="0" distL="0" distR="0" wp14:anchorId="243669E1" wp14:editId="5688A74A">
            <wp:extent cx="5274310" cy="2968625"/>
            <wp:effectExtent l="0" t="0" r="2540" b="317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2968625"/>
                    </a:xfrm>
                    <a:prstGeom prst="rect">
                      <a:avLst/>
                    </a:prstGeom>
                  </pic:spPr>
                </pic:pic>
              </a:graphicData>
            </a:graphic>
          </wp:inline>
        </w:drawing>
      </w:r>
    </w:p>
    <w:p w:rsidR="00B36CCF" w:rsidRDefault="00FA25A9" w:rsidP="00FA25A9">
      <w:pPr>
        <w:pStyle w:val="a7"/>
      </w:pPr>
      <w:r>
        <w:t xml:space="preserve">Figure </w:t>
      </w:r>
      <w:r w:rsidR="00B105AF">
        <w:fldChar w:fldCharType="begin"/>
      </w:r>
      <w:r w:rsidR="00B105AF">
        <w:instrText xml:space="preserve"> SEQ Figure \* ARABIC </w:instrText>
      </w:r>
      <w:r w:rsidR="00B105AF">
        <w:fldChar w:fldCharType="separate"/>
      </w:r>
      <w:r w:rsidR="001F186B">
        <w:rPr>
          <w:noProof/>
        </w:rPr>
        <w:t>1</w:t>
      </w:r>
      <w:r w:rsidR="00B105AF">
        <w:rPr>
          <w:noProof/>
        </w:rPr>
        <w:fldChar w:fldCharType="end"/>
      </w:r>
      <w:r>
        <w:t xml:space="preserve"> </w:t>
      </w:r>
      <w:r>
        <w:rPr>
          <w:noProof/>
        </w:rPr>
        <w:t xml:space="preserve">SWF’s extension </w:t>
      </w:r>
    </w:p>
    <w:p w:rsidR="00176FCB" w:rsidRDefault="00176FCB" w:rsidP="00176FCB">
      <w:pPr>
        <w:wordWrap/>
        <w:spacing w:line="400" w:lineRule="exact"/>
        <w:ind w:firstLineChars="200" w:firstLine="480"/>
      </w:pPr>
      <w:r w:rsidRPr="00C84860">
        <w:t>With the bull market of c</w:t>
      </w:r>
      <w:r>
        <w:t xml:space="preserve">ommodity (especially oil, </w:t>
      </w:r>
      <w:r w:rsidRPr="00C84860">
        <w:t>gas</w:t>
      </w:r>
      <w:r>
        <w:t xml:space="preserve"> and minerals</w:t>
      </w:r>
      <w:r w:rsidRPr="00C84860">
        <w:t>) in the early 21st c</w:t>
      </w:r>
      <w:r>
        <w:t xml:space="preserve">entury, SWF </w:t>
      </w:r>
      <w:r w:rsidRPr="00C84860">
        <w:t>entered a period of rapid development, and the scale of assets expanded rapidly. During the financial crisis, SWF</w:t>
      </w:r>
      <w:r>
        <w:t>s</w:t>
      </w:r>
      <w:r w:rsidRPr="00C84860">
        <w:t xml:space="preserve">, represented by China Investment Corporation (CIC), Singapore Government Investment Corporation (GIC) and Abu </w:t>
      </w:r>
      <w:r w:rsidRPr="00C84860">
        <w:lastRenderedPageBreak/>
        <w:t xml:space="preserve">Dhabi Investment Agency (ADIA), attracted worldwide attention. </w:t>
      </w:r>
      <w:r>
        <w:t xml:space="preserve">Huge assets under management, providing financing flexibility and liquidity, sovereign background, and lack of transparency. These </w:t>
      </w:r>
      <w:r w:rsidRPr="00C84860">
        <w:t>labels highlight SWF's very important and unique position in the international financial market.</w:t>
      </w:r>
    </w:p>
    <w:p w:rsidR="00176FCB" w:rsidRDefault="00176FCB" w:rsidP="00176FCB">
      <w:pPr>
        <w:wordWrap/>
        <w:spacing w:line="400" w:lineRule="exact"/>
        <w:ind w:firstLineChars="200" w:firstLine="480"/>
      </w:pPr>
      <w:r w:rsidRPr="00CD7407">
        <w:t xml:space="preserve">By the end of September 2018, </w:t>
      </w:r>
      <w:r>
        <w:t xml:space="preserve">the assets under the management of 79 SWFs all over the world (involving 66 countries) had reached </w:t>
      </w:r>
      <w:r w:rsidRPr="00CD7407">
        <w:t>7.7 trillion US dollars</w:t>
      </w:r>
      <w:r>
        <w:rPr>
          <w:rStyle w:val="a5"/>
        </w:rPr>
        <w:footnoteReference w:id="2"/>
      </w:r>
      <w:r w:rsidRPr="00CD7407">
        <w:t>.</w:t>
      </w:r>
      <w:r>
        <w:t xml:space="preserve"> Norway</w:t>
      </w:r>
      <w:r w:rsidRPr="002168C9">
        <w:t xml:space="preserve"> Global Pension Fund (NGPF), </w:t>
      </w:r>
      <w:r w:rsidR="00A3003E">
        <w:t>was</w:t>
      </w:r>
      <w:r>
        <w:t xml:space="preserve"> the largest SWF, </w:t>
      </w:r>
      <w:r w:rsidRPr="002168C9">
        <w:t xml:space="preserve">with </w:t>
      </w:r>
      <w:r>
        <w:t xml:space="preserve">more than one trillion assets. </w:t>
      </w:r>
      <w:r w:rsidRPr="002168C9">
        <w:t xml:space="preserve">China (including Hong Kong) </w:t>
      </w:r>
      <w:r w:rsidR="00A3003E">
        <w:t>possessed the most SWF assets (</w:t>
      </w:r>
      <w:r w:rsidRPr="002168C9">
        <w:t>$1</w:t>
      </w:r>
      <w:r w:rsidR="00A3003E">
        <w:t>.</w:t>
      </w:r>
      <w:r w:rsidRPr="002168C9">
        <w:t>7 trillion</w:t>
      </w:r>
      <w:r w:rsidR="00A3003E">
        <w:t>)</w:t>
      </w:r>
      <w:r w:rsidRPr="002168C9">
        <w:t>, followed by the United Arab Emirates (nearly $1.2 trillion) and Norway (nearly $1</w:t>
      </w:r>
      <w:r w:rsidR="00A3003E">
        <w:t>.07 trillion).</w:t>
      </w:r>
      <w:r w:rsidRPr="002168C9">
        <w:t xml:space="preserve"> Singapore and Kuwait (about $760 billion and $600 billion, respectively) rank</w:t>
      </w:r>
      <w:r w:rsidR="00A3003E">
        <w:t>ed</w:t>
      </w:r>
      <w:r w:rsidRPr="002168C9">
        <w:t xml:space="preserve"> fourth and fifth. It is worth noting that although the United States has been very vigilant a</w:t>
      </w:r>
      <w:r w:rsidR="00A3003E">
        <w:t>bout foreign government-backed investments</w:t>
      </w:r>
      <w:r w:rsidRPr="002168C9">
        <w:t xml:space="preserve"> and has</w:t>
      </w:r>
      <w:r w:rsidR="00A3003E">
        <w:t xml:space="preserve"> imposed</w:t>
      </w:r>
      <w:r w:rsidRPr="002168C9">
        <w:t xml:space="preserve"> many restrictions, its </w:t>
      </w:r>
      <w:r w:rsidR="00A3003E">
        <w:t>sev</w:t>
      </w:r>
      <w:r w:rsidR="002D342C">
        <w:t>eral state-</w:t>
      </w:r>
      <w:r w:rsidR="00A3003E">
        <w:t xml:space="preserve">level </w:t>
      </w:r>
      <w:r w:rsidRPr="002168C9">
        <w:t xml:space="preserve">SWFs </w:t>
      </w:r>
      <w:r w:rsidR="00A3003E">
        <w:t xml:space="preserve">managed </w:t>
      </w:r>
      <w:r w:rsidRPr="002168C9">
        <w:t>more than $150 billion</w:t>
      </w:r>
      <w:r w:rsidR="00A3003E">
        <w:t xml:space="preserve"> assets then</w:t>
      </w:r>
      <w:r w:rsidRPr="002168C9">
        <w:t>.</w:t>
      </w:r>
    </w:p>
    <w:p w:rsidR="00C53327" w:rsidRDefault="00C53327" w:rsidP="00C53327">
      <w:pPr>
        <w:pStyle w:val="a7"/>
        <w:keepNext/>
      </w:pPr>
      <w:r>
        <w:t xml:space="preserve">Table </w:t>
      </w:r>
      <w:r w:rsidR="00B105AF">
        <w:fldChar w:fldCharType="begin"/>
      </w:r>
      <w:r w:rsidR="00B105AF">
        <w:instrText xml:space="preserve"> SEQ Table \* ARABIC </w:instrText>
      </w:r>
      <w:r w:rsidR="00B105AF">
        <w:fldChar w:fldCharType="separate"/>
      </w:r>
      <w:r w:rsidR="00DC5497">
        <w:rPr>
          <w:noProof/>
        </w:rPr>
        <w:t>1</w:t>
      </w:r>
      <w:r w:rsidR="00B105AF">
        <w:rPr>
          <w:noProof/>
        </w:rPr>
        <w:fldChar w:fldCharType="end"/>
      </w:r>
      <w:r>
        <w:t xml:space="preserve"> Top 15 </w:t>
      </w:r>
      <w:r>
        <w:rPr>
          <w:rFonts w:hint="eastAsia"/>
        </w:rPr>
        <w:t>SWFs</w:t>
      </w:r>
    </w:p>
    <w:tbl>
      <w:tblPr>
        <w:tblW w:w="9423" w:type="dxa"/>
        <w:tblInd w:w="-709" w:type="dxa"/>
        <w:tblBorders>
          <w:top w:val="single" w:sz="4" w:space="0" w:color="auto"/>
          <w:bottom w:val="single" w:sz="4" w:space="0" w:color="auto"/>
        </w:tblBorders>
        <w:tblLook w:val="04A0" w:firstRow="1" w:lastRow="0" w:firstColumn="1" w:lastColumn="0" w:noHBand="0" w:noVBand="1"/>
      </w:tblPr>
      <w:tblGrid>
        <w:gridCol w:w="540"/>
        <w:gridCol w:w="4928"/>
        <w:gridCol w:w="1359"/>
        <w:gridCol w:w="1549"/>
        <w:gridCol w:w="1047"/>
      </w:tblGrid>
      <w:tr w:rsidR="00C53327" w:rsidRPr="005756D3" w:rsidTr="006E255B">
        <w:trPr>
          <w:trHeight w:val="233"/>
        </w:trPr>
        <w:tc>
          <w:tcPr>
            <w:tcW w:w="0" w:type="auto"/>
            <w:tcBorders>
              <w:top w:val="single" w:sz="4" w:space="0" w:color="auto"/>
              <w:bottom w:val="single" w:sz="4" w:space="0" w:color="auto"/>
            </w:tcBorders>
            <w:shd w:val="clear" w:color="auto" w:fill="auto"/>
            <w:noWrap/>
            <w:vAlign w:val="center"/>
            <w:hideMark/>
          </w:tcPr>
          <w:p w:rsidR="00C53327" w:rsidRPr="005756D3" w:rsidRDefault="006E255B" w:rsidP="00947B67">
            <w:pPr>
              <w:wordWrap/>
              <w:jc w:val="center"/>
              <w:rPr>
                <w:sz w:val="22"/>
              </w:rPr>
            </w:pPr>
            <w:r>
              <w:rPr>
                <w:sz w:val="22"/>
              </w:rPr>
              <w:t>No.</w:t>
            </w:r>
          </w:p>
        </w:tc>
        <w:tc>
          <w:tcPr>
            <w:tcW w:w="0" w:type="auto"/>
            <w:tcBorders>
              <w:top w:val="single" w:sz="4" w:space="0" w:color="auto"/>
              <w:bottom w:val="single" w:sz="4" w:space="0" w:color="auto"/>
            </w:tcBorders>
            <w:shd w:val="clear" w:color="auto" w:fill="auto"/>
            <w:noWrap/>
            <w:vAlign w:val="center"/>
            <w:hideMark/>
          </w:tcPr>
          <w:p w:rsidR="00C53327" w:rsidRPr="005756D3" w:rsidRDefault="00C53327" w:rsidP="00947B67">
            <w:pPr>
              <w:wordWrap/>
              <w:jc w:val="center"/>
              <w:rPr>
                <w:sz w:val="22"/>
              </w:rPr>
            </w:pPr>
            <w:r>
              <w:rPr>
                <w:rFonts w:hint="eastAsia"/>
                <w:sz w:val="22"/>
              </w:rPr>
              <w:t>Name</w:t>
            </w:r>
          </w:p>
        </w:tc>
        <w:tc>
          <w:tcPr>
            <w:tcW w:w="0" w:type="auto"/>
            <w:tcBorders>
              <w:top w:val="single" w:sz="4" w:space="0" w:color="auto"/>
              <w:bottom w:val="single" w:sz="4" w:space="0" w:color="auto"/>
            </w:tcBorders>
            <w:shd w:val="clear" w:color="auto" w:fill="auto"/>
            <w:noWrap/>
            <w:vAlign w:val="center"/>
            <w:hideMark/>
          </w:tcPr>
          <w:p w:rsidR="00C53327" w:rsidRPr="005756D3" w:rsidRDefault="00C53327" w:rsidP="00947B67">
            <w:pPr>
              <w:wordWrap/>
              <w:jc w:val="center"/>
              <w:rPr>
                <w:sz w:val="22"/>
              </w:rPr>
            </w:pPr>
            <w:r>
              <w:rPr>
                <w:rFonts w:hint="eastAsia"/>
                <w:sz w:val="22"/>
              </w:rPr>
              <w:t>Country</w:t>
            </w:r>
          </w:p>
        </w:tc>
        <w:tc>
          <w:tcPr>
            <w:tcW w:w="0" w:type="auto"/>
            <w:tcBorders>
              <w:top w:val="single" w:sz="4" w:space="0" w:color="auto"/>
              <w:bottom w:val="single" w:sz="4" w:space="0" w:color="auto"/>
            </w:tcBorders>
            <w:shd w:val="clear" w:color="auto" w:fill="auto"/>
            <w:noWrap/>
            <w:vAlign w:val="center"/>
            <w:hideMark/>
          </w:tcPr>
          <w:p w:rsidR="00C53327" w:rsidRPr="005756D3" w:rsidRDefault="00C53327" w:rsidP="00C53327">
            <w:pPr>
              <w:wordWrap/>
              <w:jc w:val="center"/>
              <w:rPr>
                <w:sz w:val="22"/>
              </w:rPr>
            </w:pPr>
            <w:r>
              <w:rPr>
                <w:rFonts w:hint="eastAsia"/>
                <w:sz w:val="22"/>
              </w:rPr>
              <w:t>AUM</w:t>
            </w:r>
            <w:r w:rsidRPr="005756D3">
              <w:rPr>
                <w:rFonts w:hint="eastAsia"/>
                <w:sz w:val="22"/>
              </w:rPr>
              <w:t>（</w:t>
            </w:r>
            <w:r w:rsidRPr="005756D3">
              <w:rPr>
                <w:rFonts w:hint="eastAsia"/>
                <w:sz w:val="22"/>
              </w:rPr>
              <w:t>$</w:t>
            </w:r>
            <w:proofErr w:type="spellStart"/>
            <w:r w:rsidRPr="005756D3">
              <w:rPr>
                <w:sz w:val="22"/>
              </w:rPr>
              <w:t>Bil</w:t>
            </w:r>
            <w:proofErr w:type="spellEnd"/>
            <w:r w:rsidRPr="005756D3">
              <w:rPr>
                <w:rFonts w:hint="eastAsia"/>
                <w:sz w:val="22"/>
              </w:rPr>
              <w:t>）</w:t>
            </w:r>
          </w:p>
        </w:tc>
        <w:tc>
          <w:tcPr>
            <w:tcW w:w="0" w:type="auto"/>
            <w:tcBorders>
              <w:top w:val="single" w:sz="4" w:space="0" w:color="auto"/>
              <w:bottom w:val="single" w:sz="4" w:space="0" w:color="auto"/>
            </w:tcBorders>
            <w:shd w:val="clear" w:color="auto" w:fill="auto"/>
            <w:noWrap/>
            <w:vAlign w:val="center"/>
            <w:hideMark/>
          </w:tcPr>
          <w:p w:rsidR="00C53327" w:rsidRPr="005756D3" w:rsidRDefault="00C53327" w:rsidP="00947B67">
            <w:pPr>
              <w:wordWrap/>
              <w:jc w:val="center"/>
              <w:rPr>
                <w:sz w:val="22"/>
              </w:rPr>
            </w:pPr>
            <w:r w:rsidRPr="00C53327">
              <w:rPr>
                <w:sz w:val="22"/>
              </w:rPr>
              <w:t>Inception</w:t>
            </w:r>
          </w:p>
        </w:tc>
      </w:tr>
      <w:tr w:rsidR="00C53327" w:rsidRPr="005756D3" w:rsidTr="006E255B">
        <w:trPr>
          <w:trHeight w:val="233"/>
        </w:trPr>
        <w:tc>
          <w:tcPr>
            <w:tcW w:w="0" w:type="auto"/>
            <w:tcBorders>
              <w:top w:val="single" w:sz="4" w:space="0" w:color="auto"/>
            </w:tcBorders>
            <w:shd w:val="clear" w:color="auto" w:fill="auto"/>
            <w:noWrap/>
            <w:vAlign w:val="center"/>
            <w:hideMark/>
          </w:tcPr>
          <w:p w:rsidR="00C53327" w:rsidRPr="005756D3" w:rsidRDefault="00C53327" w:rsidP="00947B67">
            <w:pPr>
              <w:wordWrap/>
              <w:jc w:val="center"/>
              <w:rPr>
                <w:sz w:val="22"/>
              </w:rPr>
            </w:pPr>
            <w:r w:rsidRPr="005756D3">
              <w:rPr>
                <w:rFonts w:hint="eastAsia"/>
                <w:sz w:val="22"/>
              </w:rPr>
              <w:t>1</w:t>
            </w:r>
          </w:p>
        </w:tc>
        <w:tc>
          <w:tcPr>
            <w:tcW w:w="0" w:type="auto"/>
            <w:tcBorders>
              <w:top w:val="single" w:sz="4" w:space="0" w:color="auto"/>
            </w:tcBorders>
            <w:shd w:val="clear" w:color="auto" w:fill="auto"/>
            <w:noWrap/>
            <w:vAlign w:val="center"/>
            <w:hideMark/>
          </w:tcPr>
          <w:p w:rsidR="00C53327" w:rsidRPr="005756D3" w:rsidRDefault="00C53327" w:rsidP="00947B67">
            <w:pPr>
              <w:wordWrap/>
              <w:jc w:val="center"/>
              <w:rPr>
                <w:sz w:val="22"/>
              </w:rPr>
            </w:pPr>
            <w:r w:rsidRPr="005756D3">
              <w:rPr>
                <w:rFonts w:hint="eastAsia"/>
                <w:sz w:val="22"/>
              </w:rPr>
              <w:t>Norway Government Pension Fund Global</w:t>
            </w:r>
          </w:p>
        </w:tc>
        <w:tc>
          <w:tcPr>
            <w:tcW w:w="0" w:type="auto"/>
            <w:tcBorders>
              <w:top w:val="single" w:sz="4" w:space="0" w:color="auto"/>
            </w:tcBorders>
            <w:shd w:val="clear" w:color="auto" w:fill="auto"/>
            <w:noWrap/>
            <w:vAlign w:val="center"/>
            <w:hideMark/>
          </w:tcPr>
          <w:p w:rsidR="00C53327" w:rsidRPr="005756D3" w:rsidRDefault="00C53327" w:rsidP="00C53327">
            <w:pPr>
              <w:wordWrap/>
              <w:jc w:val="center"/>
              <w:rPr>
                <w:sz w:val="22"/>
              </w:rPr>
            </w:pPr>
            <w:r>
              <w:rPr>
                <w:rFonts w:hint="eastAsia"/>
                <w:sz w:val="22"/>
              </w:rPr>
              <w:t>Norway</w:t>
            </w:r>
          </w:p>
        </w:tc>
        <w:tc>
          <w:tcPr>
            <w:tcW w:w="0" w:type="auto"/>
            <w:tcBorders>
              <w:top w:val="single" w:sz="4" w:space="0" w:color="auto"/>
            </w:tcBorders>
            <w:shd w:val="clear" w:color="auto" w:fill="auto"/>
            <w:noWrap/>
            <w:vAlign w:val="center"/>
            <w:hideMark/>
          </w:tcPr>
          <w:p w:rsidR="00C53327" w:rsidRPr="005756D3" w:rsidRDefault="00C53327" w:rsidP="00947B67">
            <w:pPr>
              <w:wordWrap/>
              <w:jc w:val="center"/>
              <w:rPr>
                <w:sz w:val="22"/>
              </w:rPr>
            </w:pPr>
            <w:r w:rsidRPr="005756D3">
              <w:rPr>
                <w:rFonts w:hint="eastAsia"/>
                <w:sz w:val="22"/>
              </w:rPr>
              <w:t>1074.60</w:t>
            </w:r>
          </w:p>
        </w:tc>
        <w:tc>
          <w:tcPr>
            <w:tcW w:w="0" w:type="auto"/>
            <w:tcBorders>
              <w:top w:val="single" w:sz="4" w:space="0" w:color="auto"/>
            </w:tcBorders>
            <w:shd w:val="clear" w:color="auto" w:fill="auto"/>
            <w:noWrap/>
            <w:vAlign w:val="center"/>
            <w:hideMark/>
          </w:tcPr>
          <w:p w:rsidR="00C53327" w:rsidRPr="005756D3" w:rsidRDefault="00C53327" w:rsidP="00947B67">
            <w:pPr>
              <w:wordWrap/>
              <w:jc w:val="center"/>
              <w:rPr>
                <w:sz w:val="22"/>
              </w:rPr>
            </w:pPr>
            <w:r w:rsidRPr="005756D3">
              <w:rPr>
                <w:rFonts w:hint="eastAsia"/>
                <w:sz w:val="22"/>
              </w:rPr>
              <w:t>1990</w:t>
            </w:r>
          </w:p>
        </w:tc>
      </w:tr>
      <w:tr w:rsidR="00C53327" w:rsidRPr="005756D3" w:rsidTr="006E255B">
        <w:trPr>
          <w:trHeight w:val="233"/>
        </w:trPr>
        <w:tc>
          <w:tcPr>
            <w:tcW w:w="0" w:type="auto"/>
            <w:shd w:val="clear" w:color="auto" w:fill="auto"/>
            <w:noWrap/>
            <w:vAlign w:val="center"/>
            <w:hideMark/>
          </w:tcPr>
          <w:p w:rsidR="00C53327" w:rsidRPr="005756D3" w:rsidRDefault="00C53327" w:rsidP="00947B67">
            <w:pPr>
              <w:wordWrap/>
              <w:jc w:val="center"/>
              <w:rPr>
                <w:sz w:val="22"/>
              </w:rPr>
            </w:pPr>
            <w:r w:rsidRPr="005756D3">
              <w:rPr>
                <w:rFonts w:hint="eastAsia"/>
                <w:sz w:val="22"/>
              </w:rPr>
              <w:t>2</w:t>
            </w:r>
          </w:p>
        </w:tc>
        <w:tc>
          <w:tcPr>
            <w:tcW w:w="0" w:type="auto"/>
            <w:shd w:val="clear" w:color="auto" w:fill="auto"/>
            <w:noWrap/>
            <w:vAlign w:val="center"/>
            <w:hideMark/>
          </w:tcPr>
          <w:p w:rsidR="00C53327" w:rsidRPr="005756D3" w:rsidRDefault="00C53327" w:rsidP="00947B67">
            <w:pPr>
              <w:wordWrap/>
              <w:jc w:val="center"/>
              <w:rPr>
                <w:sz w:val="22"/>
              </w:rPr>
            </w:pPr>
            <w:r w:rsidRPr="005756D3">
              <w:rPr>
                <w:rFonts w:hint="eastAsia"/>
                <w:sz w:val="22"/>
              </w:rPr>
              <w:t>China Investment Corporation</w:t>
            </w:r>
          </w:p>
        </w:tc>
        <w:tc>
          <w:tcPr>
            <w:tcW w:w="0" w:type="auto"/>
            <w:shd w:val="clear" w:color="auto" w:fill="auto"/>
            <w:noWrap/>
            <w:vAlign w:val="center"/>
            <w:hideMark/>
          </w:tcPr>
          <w:p w:rsidR="00C53327" w:rsidRPr="005756D3" w:rsidRDefault="00C53327" w:rsidP="00947B67">
            <w:pPr>
              <w:wordWrap/>
              <w:jc w:val="center"/>
              <w:rPr>
                <w:sz w:val="22"/>
              </w:rPr>
            </w:pPr>
            <w:r>
              <w:rPr>
                <w:rFonts w:hint="eastAsia"/>
                <w:sz w:val="22"/>
              </w:rPr>
              <w:t>China</w:t>
            </w:r>
          </w:p>
        </w:tc>
        <w:tc>
          <w:tcPr>
            <w:tcW w:w="0" w:type="auto"/>
            <w:shd w:val="clear" w:color="auto" w:fill="auto"/>
            <w:noWrap/>
            <w:vAlign w:val="center"/>
            <w:hideMark/>
          </w:tcPr>
          <w:p w:rsidR="00C53327" w:rsidRPr="005756D3" w:rsidRDefault="00C53327" w:rsidP="00947B67">
            <w:pPr>
              <w:wordWrap/>
              <w:jc w:val="center"/>
              <w:rPr>
                <w:sz w:val="22"/>
              </w:rPr>
            </w:pPr>
            <w:r w:rsidRPr="005756D3">
              <w:rPr>
                <w:rFonts w:hint="eastAsia"/>
                <w:sz w:val="22"/>
              </w:rPr>
              <w:t>941.42</w:t>
            </w:r>
          </w:p>
        </w:tc>
        <w:tc>
          <w:tcPr>
            <w:tcW w:w="0" w:type="auto"/>
            <w:shd w:val="clear" w:color="auto" w:fill="auto"/>
            <w:noWrap/>
            <w:vAlign w:val="center"/>
            <w:hideMark/>
          </w:tcPr>
          <w:p w:rsidR="00C53327" w:rsidRPr="005756D3" w:rsidRDefault="00C53327" w:rsidP="00947B67">
            <w:pPr>
              <w:wordWrap/>
              <w:jc w:val="center"/>
              <w:rPr>
                <w:sz w:val="22"/>
              </w:rPr>
            </w:pPr>
            <w:r w:rsidRPr="005756D3">
              <w:rPr>
                <w:rFonts w:hint="eastAsia"/>
                <w:sz w:val="22"/>
              </w:rPr>
              <w:t>2007</w:t>
            </w:r>
          </w:p>
        </w:tc>
      </w:tr>
      <w:tr w:rsidR="00C53327" w:rsidRPr="005756D3" w:rsidTr="006E255B">
        <w:trPr>
          <w:trHeight w:val="233"/>
        </w:trPr>
        <w:tc>
          <w:tcPr>
            <w:tcW w:w="0" w:type="auto"/>
            <w:shd w:val="clear" w:color="auto" w:fill="auto"/>
            <w:noWrap/>
            <w:vAlign w:val="center"/>
            <w:hideMark/>
          </w:tcPr>
          <w:p w:rsidR="00C53327" w:rsidRPr="005756D3" w:rsidRDefault="00C53327" w:rsidP="00947B67">
            <w:pPr>
              <w:wordWrap/>
              <w:jc w:val="center"/>
              <w:rPr>
                <w:sz w:val="22"/>
              </w:rPr>
            </w:pPr>
            <w:r w:rsidRPr="005756D3">
              <w:rPr>
                <w:rFonts w:hint="eastAsia"/>
                <w:sz w:val="22"/>
              </w:rPr>
              <w:t>3</w:t>
            </w:r>
          </w:p>
        </w:tc>
        <w:tc>
          <w:tcPr>
            <w:tcW w:w="0" w:type="auto"/>
            <w:shd w:val="clear" w:color="auto" w:fill="auto"/>
            <w:noWrap/>
            <w:vAlign w:val="center"/>
            <w:hideMark/>
          </w:tcPr>
          <w:p w:rsidR="00C53327" w:rsidRPr="005756D3" w:rsidRDefault="00C53327" w:rsidP="00947B67">
            <w:pPr>
              <w:wordWrap/>
              <w:jc w:val="center"/>
              <w:rPr>
                <w:sz w:val="22"/>
              </w:rPr>
            </w:pPr>
            <w:r w:rsidRPr="005756D3">
              <w:rPr>
                <w:rFonts w:hint="eastAsia"/>
                <w:sz w:val="22"/>
              </w:rPr>
              <w:t>Abu Dhabi Investment Authority</w:t>
            </w:r>
          </w:p>
        </w:tc>
        <w:tc>
          <w:tcPr>
            <w:tcW w:w="0" w:type="auto"/>
            <w:shd w:val="clear" w:color="auto" w:fill="auto"/>
            <w:noWrap/>
            <w:vAlign w:val="center"/>
            <w:hideMark/>
          </w:tcPr>
          <w:p w:rsidR="00C53327" w:rsidRPr="005756D3" w:rsidRDefault="006E255B" w:rsidP="00947B67">
            <w:pPr>
              <w:wordWrap/>
              <w:jc w:val="center"/>
              <w:rPr>
                <w:sz w:val="22"/>
              </w:rPr>
            </w:pPr>
            <w:r>
              <w:rPr>
                <w:rFonts w:hint="eastAsia"/>
                <w:sz w:val="22"/>
              </w:rPr>
              <w:t>UAE</w:t>
            </w:r>
          </w:p>
        </w:tc>
        <w:tc>
          <w:tcPr>
            <w:tcW w:w="0" w:type="auto"/>
            <w:shd w:val="clear" w:color="auto" w:fill="auto"/>
            <w:noWrap/>
            <w:vAlign w:val="center"/>
            <w:hideMark/>
          </w:tcPr>
          <w:p w:rsidR="00C53327" w:rsidRPr="005756D3" w:rsidRDefault="00C53327" w:rsidP="00947B67">
            <w:pPr>
              <w:wordWrap/>
              <w:jc w:val="center"/>
              <w:rPr>
                <w:sz w:val="22"/>
              </w:rPr>
            </w:pPr>
            <w:r w:rsidRPr="005756D3">
              <w:rPr>
                <w:rFonts w:hint="eastAsia"/>
                <w:sz w:val="22"/>
              </w:rPr>
              <w:t>683.00</w:t>
            </w:r>
          </w:p>
        </w:tc>
        <w:tc>
          <w:tcPr>
            <w:tcW w:w="0" w:type="auto"/>
            <w:shd w:val="clear" w:color="auto" w:fill="auto"/>
            <w:noWrap/>
            <w:vAlign w:val="center"/>
            <w:hideMark/>
          </w:tcPr>
          <w:p w:rsidR="00C53327" w:rsidRPr="005756D3" w:rsidRDefault="00C53327" w:rsidP="00947B67">
            <w:pPr>
              <w:wordWrap/>
              <w:jc w:val="center"/>
              <w:rPr>
                <w:sz w:val="22"/>
              </w:rPr>
            </w:pPr>
            <w:r w:rsidRPr="005756D3">
              <w:rPr>
                <w:rFonts w:hint="eastAsia"/>
                <w:sz w:val="22"/>
              </w:rPr>
              <w:t>1976</w:t>
            </w:r>
          </w:p>
        </w:tc>
      </w:tr>
      <w:tr w:rsidR="00C53327" w:rsidRPr="005756D3" w:rsidTr="006E255B">
        <w:trPr>
          <w:trHeight w:val="233"/>
        </w:trPr>
        <w:tc>
          <w:tcPr>
            <w:tcW w:w="0" w:type="auto"/>
            <w:shd w:val="clear" w:color="auto" w:fill="auto"/>
            <w:noWrap/>
            <w:vAlign w:val="center"/>
            <w:hideMark/>
          </w:tcPr>
          <w:p w:rsidR="00C53327" w:rsidRPr="005756D3" w:rsidRDefault="00C53327" w:rsidP="00947B67">
            <w:pPr>
              <w:wordWrap/>
              <w:jc w:val="center"/>
              <w:rPr>
                <w:sz w:val="22"/>
              </w:rPr>
            </w:pPr>
            <w:r w:rsidRPr="005756D3">
              <w:rPr>
                <w:rFonts w:hint="eastAsia"/>
                <w:sz w:val="22"/>
              </w:rPr>
              <w:t>4</w:t>
            </w:r>
          </w:p>
        </w:tc>
        <w:tc>
          <w:tcPr>
            <w:tcW w:w="0" w:type="auto"/>
            <w:shd w:val="clear" w:color="auto" w:fill="auto"/>
            <w:noWrap/>
            <w:vAlign w:val="center"/>
            <w:hideMark/>
          </w:tcPr>
          <w:p w:rsidR="00C53327" w:rsidRPr="005756D3" w:rsidRDefault="00C53327" w:rsidP="00947B67">
            <w:pPr>
              <w:wordWrap/>
              <w:jc w:val="center"/>
              <w:rPr>
                <w:sz w:val="22"/>
              </w:rPr>
            </w:pPr>
            <w:r w:rsidRPr="005756D3">
              <w:rPr>
                <w:rFonts w:hint="eastAsia"/>
                <w:sz w:val="22"/>
              </w:rPr>
              <w:t>Kuwait Investment Authority</w:t>
            </w:r>
          </w:p>
        </w:tc>
        <w:tc>
          <w:tcPr>
            <w:tcW w:w="0" w:type="auto"/>
            <w:shd w:val="clear" w:color="auto" w:fill="auto"/>
            <w:noWrap/>
            <w:vAlign w:val="center"/>
            <w:hideMark/>
          </w:tcPr>
          <w:p w:rsidR="00C53327" w:rsidRPr="005756D3" w:rsidRDefault="006E255B" w:rsidP="00947B67">
            <w:pPr>
              <w:wordWrap/>
              <w:jc w:val="center"/>
              <w:rPr>
                <w:sz w:val="22"/>
              </w:rPr>
            </w:pPr>
            <w:r>
              <w:rPr>
                <w:rFonts w:hint="eastAsia"/>
                <w:sz w:val="22"/>
              </w:rPr>
              <w:t>Kuwait</w:t>
            </w:r>
          </w:p>
        </w:tc>
        <w:tc>
          <w:tcPr>
            <w:tcW w:w="0" w:type="auto"/>
            <w:shd w:val="clear" w:color="auto" w:fill="auto"/>
            <w:noWrap/>
            <w:vAlign w:val="center"/>
            <w:hideMark/>
          </w:tcPr>
          <w:p w:rsidR="00C53327" w:rsidRPr="005756D3" w:rsidRDefault="00C53327" w:rsidP="00947B67">
            <w:pPr>
              <w:wordWrap/>
              <w:jc w:val="center"/>
              <w:rPr>
                <w:sz w:val="22"/>
              </w:rPr>
            </w:pPr>
            <w:r w:rsidRPr="005756D3">
              <w:rPr>
                <w:rFonts w:hint="eastAsia"/>
                <w:sz w:val="22"/>
              </w:rPr>
              <w:t>592.00</w:t>
            </w:r>
          </w:p>
        </w:tc>
        <w:tc>
          <w:tcPr>
            <w:tcW w:w="0" w:type="auto"/>
            <w:shd w:val="clear" w:color="auto" w:fill="auto"/>
            <w:noWrap/>
            <w:vAlign w:val="center"/>
            <w:hideMark/>
          </w:tcPr>
          <w:p w:rsidR="00C53327" w:rsidRPr="005756D3" w:rsidRDefault="00C53327" w:rsidP="00947B67">
            <w:pPr>
              <w:wordWrap/>
              <w:jc w:val="center"/>
              <w:rPr>
                <w:sz w:val="22"/>
              </w:rPr>
            </w:pPr>
            <w:r w:rsidRPr="005756D3">
              <w:rPr>
                <w:rFonts w:hint="eastAsia"/>
                <w:sz w:val="22"/>
              </w:rPr>
              <w:t>1953</w:t>
            </w:r>
          </w:p>
        </w:tc>
      </w:tr>
      <w:tr w:rsidR="00C53327" w:rsidRPr="005756D3" w:rsidTr="006E255B">
        <w:trPr>
          <w:trHeight w:val="233"/>
        </w:trPr>
        <w:tc>
          <w:tcPr>
            <w:tcW w:w="0" w:type="auto"/>
            <w:shd w:val="clear" w:color="auto" w:fill="auto"/>
            <w:noWrap/>
            <w:vAlign w:val="center"/>
            <w:hideMark/>
          </w:tcPr>
          <w:p w:rsidR="00C53327" w:rsidRPr="005756D3" w:rsidRDefault="00C53327" w:rsidP="00947B67">
            <w:pPr>
              <w:wordWrap/>
              <w:jc w:val="center"/>
              <w:rPr>
                <w:sz w:val="22"/>
              </w:rPr>
            </w:pPr>
            <w:r w:rsidRPr="005756D3">
              <w:rPr>
                <w:rFonts w:hint="eastAsia"/>
                <w:sz w:val="22"/>
              </w:rPr>
              <w:t>5</w:t>
            </w:r>
          </w:p>
        </w:tc>
        <w:tc>
          <w:tcPr>
            <w:tcW w:w="0" w:type="auto"/>
            <w:shd w:val="clear" w:color="auto" w:fill="auto"/>
            <w:noWrap/>
            <w:vAlign w:val="center"/>
            <w:hideMark/>
          </w:tcPr>
          <w:p w:rsidR="00C53327" w:rsidRPr="005756D3" w:rsidRDefault="00C53327" w:rsidP="00947B67">
            <w:pPr>
              <w:wordWrap/>
              <w:jc w:val="center"/>
              <w:rPr>
                <w:sz w:val="22"/>
              </w:rPr>
            </w:pPr>
            <w:r w:rsidRPr="005756D3">
              <w:rPr>
                <w:rFonts w:hint="eastAsia"/>
                <w:sz w:val="22"/>
              </w:rPr>
              <w:t>Hong Kong Monetary Authority Investment Portfolio</w:t>
            </w:r>
          </w:p>
        </w:tc>
        <w:tc>
          <w:tcPr>
            <w:tcW w:w="0" w:type="auto"/>
            <w:shd w:val="clear" w:color="auto" w:fill="auto"/>
            <w:noWrap/>
            <w:vAlign w:val="center"/>
            <w:hideMark/>
          </w:tcPr>
          <w:p w:rsidR="00C53327" w:rsidRPr="005756D3" w:rsidRDefault="006E255B" w:rsidP="006E255B">
            <w:pPr>
              <w:wordWrap/>
              <w:jc w:val="center"/>
              <w:rPr>
                <w:sz w:val="22"/>
              </w:rPr>
            </w:pPr>
            <w:r>
              <w:rPr>
                <w:sz w:val="22"/>
              </w:rPr>
              <w:t>China</w:t>
            </w:r>
          </w:p>
        </w:tc>
        <w:tc>
          <w:tcPr>
            <w:tcW w:w="0" w:type="auto"/>
            <w:shd w:val="clear" w:color="auto" w:fill="auto"/>
            <w:noWrap/>
            <w:vAlign w:val="center"/>
            <w:hideMark/>
          </w:tcPr>
          <w:p w:rsidR="00C53327" w:rsidRPr="005756D3" w:rsidRDefault="00C53327" w:rsidP="00947B67">
            <w:pPr>
              <w:wordWrap/>
              <w:jc w:val="center"/>
              <w:rPr>
                <w:sz w:val="22"/>
              </w:rPr>
            </w:pPr>
            <w:r w:rsidRPr="005756D3">
              <w:rPr>
                <w:rFonts w:hint="eastAsia"/>
                <w:sz w:val="22"/>
              </w:rPr>
              <w:t>522.57</w:t>
            </w:r>
          </w:p>
        </w:tc>
        <w:tc>
          <w:tcPr>
            <w:tcW w:w="0" w:type="auto"/>
            <w:shd w:val="clear" w:color="auto" w:fill="auto"/>
            <w:noWrap/>
            <w:vAlign w:val="center"/>
            <w:hideMark/>
          </w:tcPr>
          <w:p w:rsidR="00C53327" w:rsidRPr="005756D3" w:rsidRDefault="00C53327" w:rsidP="00947B67">
            <w:pPr>
              <w:wordWrap/>
              <w:jc w:val="center"/>
              <w:rPr>
                <w:sz w:val="22"/>
              </w:rPr>
            </w:pPr>
            <w:r w:rsidRPr="005756D3">
              <w:rPr>
                <w:rFonts w:hint="eastAsia"/>
                <w:sz w:val="22"/>
              </w:rPr>
              <w:t>1993</w:t>
            </w:r>
          </w:p>
        </w:tc>
      </w:tr>
      <w:tr w:rsidR="00C53327" w:rsidRPr="005756D3" w:rsidTr="006E255B">
        <w:trPr>
          <w:trHeight w:val="233"/>
        </w:trPr>
        <w:tc>
          <w:tcPr>
            <w:tcW w:w="0" w:type="auto"/>
            <w:shd w:val="clear" w:color="auto" w:fill="auto"/>
            <w:noWrap/>
            <w:vAlign w:val="center"/>
            <w:hideMark/>
          </w:tcPr>
          <w:p w:rsidR="00C53327" w:rsidRPr="005756D3" w:rsidRDefault="00C53327" w:rsidP="00947B67">
            <w:pPr>
              <w:wordWrap/>
              <w:jc w:val="center"/>
              <w:rPr>
                <w:sz w:val="22"/>
              </w:rPr>
            </w:pPr>
            <w:r w:rsidRPr="005756D3">
              <w:rPr>
                <w:rFonts w:hint="eastAsia"/>
                <w:sz w:val="22"/>
              </w:rPr>
              <w:t>6</w:t>
            </w:r>
          </w:p>
        </w:tc>
        <w:tc>
          <w:tcPr>
            <w:tcW w:w="0" w:type="auto"/>
            <w:shd w:val="clear" w:color="auto" w:fill="auto"/>
            <w:noWrap/>
            <w:vAlign w:val="center"/>
            <w:hideMark/>
          </w:tcPr>
          <w:p w:rsidR="00C53327" w:rsidRPr="005756D3" w:rsidRDefault="00C53327" w:rsidP="00947B67">
            <w:pPr>
              <w:wordWrap/>
              <w:jc w:val="center"/>
              <w:rPr>
                <w:sz w:val="22"/>
              </w:rPr>
            </w:pPr>
            <w:r w:rsidRPr="005756D3">
              <w:rPr>
                <w:rFonts w:hint="eastAsia"/>
                <w:sz w:val="22"/>
              </w:rPr>
              <w:t>SAFE Investment Company</w:t>
            </w:r>
          </w:p>
        </w:tc>
        <w:tc>
          <w:tcPr>
            <w:tcW w:w="0" w:type="auto"/>
            <w:shd w:val="clear" w:color="auto" w:fill="auto"/>
            <w:noWrap/>
            <w:vAlign w:val="center"/>
            <w:hideMark/>
          </w:tcPr>
          <w:p w:rsidR="00C53327" w:rsidRPr="005756D3" w:rsidRDefault="006E255B" w:rsidP="00947B67">
            <w:pPr>
              <w:wordWrap/>
              <w:jc w:val="center"/>
              <w:rPr>
                <w:sz w:val="22"/>
              </w:rPr>
            </w:pPr>
            <w:r>
              <w:rPr>
                <w:rFonts w:hint="eastAsia"/>
                <w:sz w:val="22"/>
              </w:rPr>
              <w:t>C</w:t>
            </w:r>
            <w:r>
              <w:rPr>
                <w:sz w:val="22"/>
              </w:rPr>
              <w:t>hina</w:t>
            </w:r>
          </w:p>
        </w:tc>
        <w:tc>
          <w:tcPr>
            <w:tcW w:w="0" w:type="auto"/>
            <w:shd w:val="clear" w:color="auto" w:fill="auto"/>
            <w:noWrap/>
            <w:vAlign w:val="center"/>
            <w:hideMark/>
          </w:tcPr>
          <w:p w:rsidR="00C53327" w:rsidRPr="005756D3" w:rsidRDefault="00C53327" w:rsidP="00947B67">
            <w:pPr>
              <w:wordWrap/>
              <w:jc w:val="center"/>
              <w:rPr>
                <w:sz w:val="22"/>
              </w:rPr>
            </w:pPr>
            <w:r w:rsidRPr="005756D3">
              <w:rPr>
                <w:rFonts w:hint="eastAsia"/>
                <w:sz w:val="22"/>
              </w:rPr>
              <w:t>439.84</w:t>
            </w:r>
          </w:p>
        </w:tc>
        <w:tc>
          <w:tcPr>
            <w:tcW w:w="0" w:type="auto"/>
            <w:shd w:val="clear" w:color="auto" w:fill="auto"/>
            <w:noWrap/>
            <w:vAlign w:val="center"/>
            <w:hideMark/>
          </w:tcPr>
          <w:p w:rsidR="00C53327" w:rsidRPr="005756D3" w:rsidRDefault="00C53327" w:rsidP="00947B67">
            <w:pPr>
              <w:wordWrap/>
              <w:jc w:val="center"/>
              <w:rPr>
                <w:sz w:val="22"/>
              </w:rPr>
            </w:pPr>
            <w:r w:rsidRPr="005756D3">
              <w:rPr>
                <w:rFonts w:hint="eastAsia"/>
                <w:sz w:val="22"/>
              </w:rPr>
              <w:t>1997</w:t>
            </w:r>
          </w:p>
        </w:tc>
      </w:tr>
      <w:tr w:rsidR="00C53327" w:rsidRPr="005756D3" w:rsidTr="006E255B">
        <w:trPr>
          <w:trHeight w:val="233"/>
        </w:trPr>
        <w:tc>
          <w:tcPr>
            <w:tcW w:w="0" w:type="auto"/>
            <w:shd w:val="clear" w:color="auto" w:fill="auto"/>
            <w:noWrap/>
            <w:vAlign w:val="center"/>
            <w:hideMark/>
          </w:tcPr>
          <w:p w:rsidR="00C53327" w:rsidRPr="005756D3" w:rsidRDefault="00C53327" w:rsidP="00947B67">
            <w:pPr>
              <w:wordWrap/>
              <w:jc w:val="center"/>
              <w:rPr>
                <w:sz w:val="22"/>
              </w:rPr>
            </w:pPr>
            <w:r w:rsidRPr="005756D3">
              <w:rPr>
                <w:rFonts w:hint="eastAsia"/>
                <w:sz w:val="22"/>
              </w:rPr>
              <w:t>7</w:t>
            </w:r>
          </w:p>
        </w:tc>
        <w:tc>
          <w:tcPr>
            <w:tcW w:w="0" w:type="auto"/>
            <w:shd w:val="clear" w:color="auto" w:fill="auto"/>
            <w:noWrap/>
            <w:vAlign w:val="center"/>
            <w:hideMark/>
          </w:tcPr>
          <w:p w:rsidR="00C53327" w:rsidRPr="005756D3" w:rsidRDefault="00C53327" w:rsidP="00947B67">
            <w:pPr>
              <w:wordWrap/>
              <w:jc w:val="center"/>
              <w:rPr>
                <w:sz w:val="22"/>
              </w:rPr>
            </w:pPr>
            <w:r w:rsidRPr="005756D3">
              <w:rPr>
                <w:rFonts w:hint="eastAsia"/>
                <w:sz w:val="22"/>
              </w:rPr>
              <w:t>Government Investment Corporation</w:t>
            </w:r>
          </w:p>
        </w:tc>
        <w:tc>
          <w:tcPr>
            <w:tcW w:w="0" w:type="auto"/>
            <w:shd w:val="clear" w:color="auto" w:fill="auto"/>
            <w:noWrap/>
            <w:vAlign w:val="center"/>
            <w:hideMark/>
          </w:tcPr>
          <w:p w:rsidR="00C53327" w:rsidRPr="005756D3" w:rsidRDefault="006E255B" w:rsidP="00947B67">
            <w:pPr>
              <w:wordWrap/>
              <w:jc w:val="center"/>
              <w:rPr>
                <w:sz w:val="22"/>
              </w:rPr>
            </w:pPr>
            <w:r>
              <w:rPr>
                <w:sz w:val="22"/>
              </w:rPr>
              <w:t>Singapore</w:t>
            </w:r>
          </w:p>
        </w:tc>
        <w:tc>
          <w:tcPr>
            <w:tcW w:w="0" w:type="auto"/>
            <w:shd w:val="clear" w:color="auto" w:fill="auto"/>
            <w:noWrap/>
            <w:vAlign w:val="center"/>
            <w:hideMark/>
          </w:tcPr>
          <w:p w:rsidR="00C53327" w:rsidRPr="005756D3" w:rsidRDefault="00C53327" w:rsidP="00947B67">
            <w:pPr>
              <w:wordWrap/>
              <w:jc w:val="center"/>
              <w:rPr>
                <w:sz w:val="22"/>
              </w:rPr>
            </w:pPr>
            <w:r w:rsidRPr="005756D3">
              <w:rPr>
                <w:rFonts w:hint="eastAsia"/>
                <w:sz w:val="22"/>
              </w:rPr>
              <w:t>390.00</w:t>
            </w:r>
          </w:p>
        </w:tc>
        <w:tc>
          <w:tcPr>
            <w:tcW w:w="0" w:type="auto"/>
            <w:shd w:val="clear" w:color="auto" w:fill="auto"/>
            <w:noWrap/>
            <w:vAlign w:val="center"/>
            <w:hideMark/>
          </w:tcPr>
          <w:p w:rsidR="00C53327" w:rsidRPr="005756D3" w:rsidRDefault="00C53327" w:rsidP="00947B67">
            <w:pPr>
              <w:wordWrap/>
              <w:jc w:val="center"/>
              <w:rPr>
                <w:sz w:val="22"/>
              </w:rPr>
            </w:pPr>
            <w:r w:rsidRPr="005756D3">
              <w:rPr>
                <w:rFonts w:hint="eastAsia"/>
                <w:sz w:val="22"/>
              </w:rPr>
              <w:t>1981</w:t>
            </w:r>
          </w:p>
        </w:tc>
      </w:tr>
      <w:tr w:rsidR="00C53327" w:rsidRPr="005756D3" w:rsidTr="006E255B">
        <w:trPr>
          <w:trHeight w:val="233"/>
        </w:trPr>
        <w:tc>
          <w:tcPr>
            <w:tcW w:w="0" w:type="auto"/>
            <w:shd w:val="clear" w:color="auto" w:fill="auto"/>
            <w:noWrap/>
            <w:vAlign w:val="center"/>
            <w:hideMark/>
          </w:tcPr>
          <w:p w:rsidR="00C53327" w:rsidRPr="005756D3" w:rsidRDefault="00C53327" w:rsidP="00947B67">
            <w:pPr>
              <w:wordWrap/>
              <w:jc w:val="center"/>
              <w:rPr>
                <w:sz w:val="22"/>
              </w:rPr>
            </w:pPr>
            <w:r w:rsidRPr="005756D3">
              <w:rPr>
                <w:rFonts w:hint="eastAsia"/>
                <w:sz w:val="22"/>
              </w:rPr>
              <w:t>8</w:t>
            </w:r>
          </w:p>
        </w:tc>
        <w:tc>
          <w:tcPr>
            <w:tcW w:w="0" w:type="auto"/>
            <w:shd w:val="clear" w:color="auto" w:fill="auto"/>
            <w:noWrap/>
            <w:vAlign w:val="center"/>
            <w:hideMark/>
          </w:tcPr>
          <w:p w:rsidR="00C53327" w:rsidRPr="005756D3" w:rsidRDefault="00C53327" w:rsidP="00947B67">
            <w:pPr>
              <w:wordWrap/>
              <w:jc w:val="center"/>
              <w:rPr>
                <w:sz w:val="22"/>
              </w:rPr>
            </w:pPr>
            <w:proofErr w:type="spellStart"/>
            <w:r w:rsidRPr="005756D3">
              <w:rPr>
                <w:rFonts w:hint="eastAsia"/>
                <w:sz w:val="22"/>
              </w:rPr>
              <w:t>Temasek</w:t>
            </w:r>
            <w:proofErr w:type="spellEnd"/>
            <w:r w:rsidRPr="005756D3">
              <w:rPr>
                <w:rFonts w:hint="eastAsia"/>
                <w:sz w:val="22"/>
              </w:rPr>
              <w:t xml:space="preserve"> Holdings</w:t>
            </w:r>
          </w:p>
        </w:tc>
        <w:tc>
          <w:tcPr>
            <w:tcW w:w="0" w:type="auto"/>
            <w:shd w:val="clear" w:color="auto" w:fill="auto"/>
            <w:noWrap/>
            <w:vAlign w:val="center"/>
            <w:hideMark/>
          </w:tcPr>
          <w:p w:rsidR="00C53327" w:rsidRPr="005756D3" w:rsidRDefault="006E255B" w:rsidP="00947B67">
            <w:pPr>
              <w:wordWrap/>
              <w:jc w:val="center"/>
              <w:rPr>
                <w:sz w:val="22"/>
              </w:rPr>
            </w:pPr>
            <w:r>
              <w:rPr>
                <w:rFonts w:hint="eastAsia"/>
                <w:sz w:val="22"/>
              </w:rPr>
              <w:t>S</w:t>
            </w:r>
            <w:r>
              <w:rPr>
                <w:sz w:val="22"/>
              </w:rPr>
              <w:t>ingapore</w:t>
            </w:r>
          </w:p>
        </w:tc>
        <w:tc>
          <w:tcPr>
            <w:tcW w:w="0" w:type="auto"/>
            <w:shd w:val="clear" w:color="auto" w:fill="auto"/>
            <w:noWrap/>
            <w:vAlign w:val="center"/>
            <w:hideMark/>
          </w:tcPr>
          <w:p w:rsidR="00C53327" w:rsidRPr="005756D3" w:rsidRDefault="00C53327" w:rsidP="00947B67">
            <w:pPr>
              <w:wordWrap/>
              <w:jc w:val="center"/>
              <w:rPr>
                <w:sz w:val="22"/>
              </w:rPr>
            </w:pPr>
            <w:r w:rsidRPr="005756D3">
              <w:rPr>
                <w:rFonts w:hint="eastAsia"/>
                <w:sz w:val="22"/>
              </w:rPr>
              <w:t>374.90</w:t>
            </w:r>
          </w:p>
        </w:tc>
        <w:tc>
          <w:tcPr>
            <w:tcW w:w="0" w:type="auto"/>
            <w:shd w:val="clear" w:color="auto" w:fill="auto"/>
            <w:noWrap/>
            <w:vAlign w:val="center"/>
            <w:hideMark/>
          </w:tcPr>
          <w:p w:rsidR="00C53327" w:rsidRPr="005756D3" w:rsidRDefault="00C53327" w:rsidP="00947B67">
            <w:pPr>
              <w:wordWrap/>
              <w:jc w:val="center"/>
              <w:rPr>
                <w:sz w:val="22"/>
              </w:rPr>
            </w:pPr>
            <w:r w:rsidRPr="005756D3">
              <w:rPr>
                <w:rFonts w:hint="eastAsia"/>
                <w:sz w:val="22"/>
              </w:rPr>
              <w:t>1974</w:t>
            </w:r>
          </w:p>
        </w:tc>
      </w:tr>
      <w:tr w:rsidR="00C53327" w:rsidRPr="005756D3" w:rsidTr="006E255B">
        <w:trPr>
          <w:trHeight w:val="233"/>
        </w:trPr>
        <w:tc>
          <w:tcPr>
            <w:tcW w:w="0" w:type="auto"/>
            <w:shd w:val="clear" w:color="auto" w:fill="auto"/>
            <w:noWrap/>
            <w:vAlign w:val="center"/>
            <w:hideMark/>
          </w:tcPr>
          <w:p w:rsidR="00C53327" w:rsidRPr="005756D3" w:rsidRDefault="00C53327" w:rsidP="00947B67">
            <w:pPr>
              <w:wordWrap/>
              <w:jc w:val="center"/>
              <w:rPr>
                <w:sz w:val="22"/>
              </w:rPr>
            </w:pPr>
            <w:r w:rsidRPr="005756D3">
              <w:rPr>
                <w:rFonts w:hint="eastAsia"/>
                <w:sz w:val="22"/>
              </w:rPr>
              <w:t>9</w:t>
            </w:r>
          </w:p>
        </w:tc>
        <w:tc>
          <w:tcPr>
            <w:tcW w:w="0" w:type="auto"/>
            <w:shd w:val="clear" w:color="auto" w:fill="auto"/>
            <w:noWrap/>
            <w:vAlign w:val="center"/>
            <w:hideMark/>
          </w:tcPr>
          <w:p w:rsidR="00C53327" w:rsidRPr="005756D3" w:rsidRDefault="00C53327" w:rsidP="00947B67">
            <w:pPr>
              <w:wordWrap/>
              <w:jc w:val="center"/>
              <w:rPr>
                <w:sz w:val="22"/>
              </w:rPr>
            </w:pPr>
            <w:r w:rsidRPr="005756D3">
              <w:rPr>
                <w:rFonts w:hint="eastAsia"/>
                <w:sz w:val="22"/>
              </w:rPr>
              <w:t>National Social Security Fund</w:t>
            </w:r>
          </w:p>
        </w:tc>
        <w:tc>
          <w:tcPr>
            <w:tcW w:w="0" w:type="auto"/>
            <w:shd w:val="clear" w:color="auto" w:fill="auto"/>
            <w:noWrap/>
            <w:vAlign w:val="center"/>
            <w:hideMark/>
          </w:tcPr>
          <w:p w:rsidR="00C53327" w:rsidRPr="005756D3" w:rsidRDefault="006E255B" w:rsidP="00947B67">
            <w:pPr>
              <w:wordWrap/>
              <w:jc w:val="center"/>
              <w:rPr>
                <w:sz w:val="22"/>
              </w:rPr>
            </w:pPr>
            <w:r>
              <w:rPr>
                <w:rFonts w:hint="eastAsia"/>
                <w:sz w:val="22"/>
              </w:rPr>
              <w:t>C</w:t>
            </w:r>
            <w:r>
              <w:rPr>
                <w:sz w:val="22"/>
              </w:rPr>
              <w:t>hina</w:t>
            </w:r>
          </w:p>
        </w:tc>
        <w:tc>
          <w:tcPr>
            <w:tcW w:w="0" w:type="auto"/>
            <w:shd w:val="clear" w:color="auto" w:fill="auto"/>
            <w:noWrap/>
            <w:vAlign w:val="center"/>
            <w:hideMark/>
          </w:tcPr>
          <w:p w:rsidR="00C53327" w:rsidRPr="005756D3" w:rsidRDefault="00C53327" w:rsidP="00947B67">
            <w:pPr>
              <w:wordWrap/>
              <w:jc w:val="center"/>
              <w:rPr>
                <w:sz w:val="22"/>
              </w:rPr>
            </w:pPr>
            <w:r w:rsidRPr="005756D3">
              <w:rPr>
                <w:rFonts w:hint="eastAsia"/>
                <w:sz w:val="22"/>
              </w:rPr>
              <w:t>341.35</w:t>
            </w:r>
          </w:p>
        </w:tc>
        <w:tc>
          <w:tcPr>
            <w:tcW w:w="0" w:type="auto"/>
            <w:shd w:val="clear" w:color="auto" w:fill="auto"/>
            <w:noWrap/>
            <w:vAlign w:val="center"/>
            <w:hideMark/>
          </w:tcPr>
          <w:p w:rsidR="00C53327" w:rsidRPr="005756D3" w:rsidRDefault="00C53327" w:rsidP="00947B67">
            <w:pPr>
              <w:wordWrap/>
              <w:jc w:val="center"/>
              <w:rPr>
                <w:sz w:val="22"/>
              </w:rPr>
            </w:pPr>
            <w:r w:rsidRPr="005756D3">
              <w:rPr>
                <w:rFonts w:hint="eastAsia"/>
                <w:sz w:val="22"/>
              </w:rPr>
              <w:t>2000</w:t>
            </w:r>
          </w:p>
        </w:tc>
      </w:tr>
      <w:tr w:rsidR="00C53327" w:rsidRPr="005756D3" w:rsidTr="006E255B">
        <w:trPr>
          <w:trHeight w:val="233"/>
        </w:trPr>
        <w:tc>
          <w:tcPr>
            <w:tcW w:w="0" w:type="auto"/>
            <w:shd w:val="clear" w:color="auto" w:fill="auto"/>
            <w:noWrap/>
            <w:vAlign w:val="center"/>
            <w:hideMark/>
          </w:tcPr>
          <w:p w:rsidR="00C53327" w:rsidRPr="005756D3" w:rsidRDefault="00C53327" w:rsidP="00947B67">
            <w:pPr>
              <w:wordWrap/>
              <w:jc w:val="center"/>
              <w:rPr>
                <w:sz w:val="22"/>
              </w:rPr>
            </w:pPr>
            <w:r w:rsidRPr="005756D3">
              <w:rPr>
                <w:rFonts w:hint="eastAsia"/>
                <w:sz w:val="22"/>
              </w:rPr>
              <w:t>10</w:t>
            </w:r>
          </w:p>
        </w:tc>
        <w:tc>
          <w:tcPr>
            <w:tcW w:w="0" w:type="auto"/>
            <w:shd w:val="clear" w:color="auto" w:fill="auto"/>
            <w:noWrap/>
            <w:vAlign w:val="center"/>
            <w:hideMark/>
          </w:tcPr>
          <w:p w:rsidR="00C53327" w:rsidRPr="005756D3" w:rsidRDefault="00C53327" w:rsidP="00947B67">
            <w:pPr>
              <w:wordWrap/>
              <w:jc w:val="center"/>
              <w:rPr>
                <w:sz w:val="22"/>
              </w:rPr>
            </w:pPr>
            <w:r w:rsidRPr="005756D3">
              <w:rPr>
                <w:rFonts w:hint="eastAsia"/>
                <w:sz w:val="22"/>
              </w:rPr>
              <w:t>Qatar Investment Authority</w:t>
            </w:r>
          </w:p>
        </w:tc>
        <w:tc>
          <w:tcPr>
            <w:tcW w:w="0" w:type="auto"/>
            <w:shd w:val="clear" w:color="auto" w:fill="auto"/>
            <w:noWrap/>
            <w:vAlign w:val="center"/>
            <w:hideMark/>
          </w:tcPr>
          <w:p w:rsidR="00C53327" w:rsidRPr="005756D3" w:rsidRDefault="006E255B" w:rsidP="00947B67">
            <w:pPr>
              <w:wordWrap/>
              <w:jc w:val="center"/>
              <w:rPr>
                <w:sz w:val="22"/>
              </w:rPr>
            </w:pPr>
            <w:r>
              <w:rPr>
                <w:rFonts w:hint="eastAsia"/>
                <w:sz w:val="22"/>
              </w:rPr>
              <w:t>Q</w:t>
            </w:r>
            <w:r>
              <w:rPr>
                <w:sz w:val="22"/>
              </w:rPr>
              <w:t>atar</w:t>
            </w:r>
          </w:p>
        </w:tc>
        <w:tc>
          <w:tcPr>
            <w:tcW w:w="0" w:type="auto"/>
            <w:shd w:val="clear" w:color="auto" w:fill="auto"/>
            <w:noWrap/>
            <w:vAlign w:val="center"/>
            <w:hideMark/>
          </w:tcPr>
          <w:p w:rsidR="00C53327" w:rsidRPr="005756D3" w:rsidRDefault="00C53327" w:rsidP="00947B67">
            <w:pPr>
              <w:wordWrap/>
              <w:jc w:val="center"/>
              <w:rPr>
                <w:sz w:val="22"/>
              </w:rPr>
            </w:pPr>
            <w:r w:rsidRPr="005756D3">
              <w:rPr>
                <w:rFonts w:hint="eastAsia"/>
                <w:sz w:val="22"/>
              </w:rPr>
              <w:t>320.00</w:t>
            </w:r>
          </w:p>
        </w:tc>
        <w:tc>
          <w:tcPr>
            <w:tcW w:w="0" w:type="auto"/>
            <w:shd w:val="clear" w:color="auto" w:fill="auto"/>
            <w:noWrap/>
            <w:vAlign w:val="center"/>
            <w:hideMark/>
          </w:tcPr>
          <w:p w:rsidR="00C53327" w:rsidRPr="005756D3" w:rsidRDefault="00C53327" w:rsidP="00947B67">
            <w:pPr>
              <w:wordWrap/>
              <w:jc w:val="center"/>
              <w:rPr>
                <w:sz w:val="22"/>
              </w:rPr>
            </w:pPr>
            <w:r w:rsidRPr="005756D3">
              <w:rPr>
                <w:rFonts w:hint="eastAsia"/>
                <w:sz w:val="22"/>
              </w:rPr>
              <w:t>2005</w:t>
            </w:r>
          </w:p>
        </w:tc>
      </w:tr>
      <w:tr w:rsidR="00C53327" w:rsidRPr="005756D3" w:rsidTr="006E255B">
        <w:trPr>
          <w:trHeight w:val="233"/>
        </w:trPr>
        <w:tc>
          <w:tcPr>
            <w:tcW w:w="0" w:type="auto"/>
            <w:shd w:val="clear" w:color="auto" w:fill="auto"/>
            <w:noWrap/>
            <w:vAlign w:val="center"/>
            <w:hideMark/>
          </w:tcPr>
          <w:p w:rsidR="00C53327" w:rsidRPr="005756D3" w:rsidRDefault="00C53327" w:rsidP="00947B67">
            <w:pPr>
              <w:wordWrap/>
              <w:jc w:val="center"/>
              <w:rPr>
                <w:sz w:val="22"/>
              </w:rPr>
            </w:pPr>
            <w:r w:rsidRPr="005756D3">
              <w:rPr>
                <w:rFonts w:hint="eastAsia"/>
                <w:sz w:val="22"/>
              </w:rPr>
              <w:t>11</w:t>
            </w:r>
          </w:p>
        </w:tc>
        <w:tc>
          <w:tcPr>
            <w:tcW w:w="0" w:type="auto"/>
            <w:shd w:val="clear" w:color="auto" w:fill="auto"/>
            <w:noWrap/>
            <w:vAlign w:val="center"/>
            <w:hideMark/>
          </w:tcPr>
          <w:p w:rsidR="00C53327" w:rsidRPr="005756D3" w:rsidRDefault="00C53327" w:rsidP="00947B67">
            <w:pPr>
              <w:wordWrap/>
              <w:jc w:val="center"/>
              <w:rPr>
                <w:sz w:val="22"/>
              </w:rPr>
            </w:pPr>
            <w:r w:rsidRPr="005756D3">
              <w:rPr>
                <w:rFonts w:hint="eastAsia"/>
                <w:sz w:val="22"/>
              </w:rPr>
              <w:t>Public Investment Fund</w:t>
            </w:r>
          </w:p>
        </w:tc>
        <w:tc>
          <w:tcPr>
            <w:tcW w:w="0" w:type="auto"/>
            <w:shd w:val="clear" w:color="auto" w:fill="auto"/>
            <w:noWrap/>
            <w:vAlign w:val="center"/>
            <w:hideMark/>
          </w:tcPr>
          <w:p w:rsidR="00C53327" w:rsidRPr="005756D3" w:rsidRDefault="006E255B" w:rsidP="00947B67">
            <w:pPr>
              <w:wordWrap/>
              <w:jc w:val="center"/>
              <w:rPr>
                <w:sz w:val="22"/>
              </w:rPr>
            </w:pPr>
            <w:r>
              <w:rPr>
                <w:rFonts w:hint="eastAsia"/>
                <w:sz w:val="22"/>
              </w:rPr>
              <w:t>S</w:t>
            </w:r>
            <w:r>
              <w:rPr>
                <w:sz w:val="22"/>
              </w:rPr>
              <w:t>audi Arabia</w:t>
            </w:r>
          </w:p>
        </w:tc>
        <w:tc>
          <w:tcPr>
            <w:tcW w:w="0" w:type="auto"/>
            <w:shd w:val="clear" w:color="auto" w:fill="auto"/>
            <w:noWrap/>
            <w:vAlign w:val="center"/>
            <w:hideMark/>
          </w:tcPr>
          <w:p w:rsidR="00C53327" w:rsidRPr="005756D3" w:rsidRDefault="00C53327" w:rsidP="00947B67">
            <w:pPr>
              <w:wordWrap/>
              <w:jc w:val="center"/>
              <w:rPr>
                <w:sz w:val="22"/>
              </w:rPr>
            </w:pPr>
            <w:r w:rsidRPr="005756D3">
              <w:rPr>
                <w:rFonts w:hint="eastAsia"/>
                <w:sz w:val="22"/>
              </w:rPr>
              <w:t>290.00</w:t>
            </w:r>
          </w:p>
        </w:tc>
        <w:tc>
          <w:tcPr>
            <w:tcW w:w="0" w:type="auto"/>
            <w:shd w:val="clear" w:color="auto" w:fill="auto"/>
            <w:noWrap/>
            <w:vAlign w:val="center"/>
            <w:hideMark/>
          </w:tcPr>
          <w:p w:rsidR="00C53327" w:rsidRPr="005756D3" w:rsidRDefault="00C53327" w:rsidP="00947B67">
            <w:pPr>
              <w:wordWrap/>
              <w:jc w:val="center"/>
              <w:rPr>
                <w:sz w:val="22"/>
              </w:rPr>
            </w:pPr>
            <w:r w:rsidRPr="005756D3">
              <w:rPr>
                <w:rFonts w:hint="eastAsia"/>
                <w:sz w:val="22"/>
              </w:rPr>
              <w:t>2008</w:t>
            </w:r>
          </w:p>
        </w:tc>
      </w:tr>
      <w:tr w:rsidR="00C53327" w:rsidRPr="005756D3" w:rsidTr="006E255B">
        <w:trPr>
          <w:trHeight w:val="233"/>
        </w:trPr>
        <w:tc>
          <w:tcPr>
            <w:tcW w:w="0" w:type="auto"/>
            <w:shd w:val="clear" w:color="auto" w:fill="auto"/>
            <w:noWrap/>
            <w:vAlign w:val="center"/>
            <w:hideMark/>
          </w:tcPr>
          <w:p w:rsidR="00C53327" w:rsidRPr="005756D3" w:rsidRDefault="00C53327" w:rsidP="00947B67">
            <w:pPr>
              <w:wordWrap/>
              <w:jc w:val="center"/>
              <w:rPr>
                <w:sz w:val="22"/>
              </w:rPr>
            </w:pPr>
            <w:r w:rsidRPr="005756D3">
              <w:rPr>
                <w:rFonts w:hint="eastAsia"/>
                <w:sz w:val="22"/>
              </w:rPr>
              <w:t>12</w:t>
            </w:r>
          </w:p>
        </w:tc>
        <w:tc>
          <w:tcPr>
            <w:tcW w:w="0" w:type="auto"/>
            <w:shd w:val="clear" w:color="auto" w:fill="auto"/>
            <w:noWrap/>
            <w:vAlign w:val="center"/>
            <w:hideMark/>
          </w:tcPr>
          <w:p w:rsidR="00C53327" w:rsidRPr="005756D3" w:rsidRDefault="00C53327" w:rsidP="00947B67">
            <w:pPr>
              <w:wordWrap/>
              <w:jc w:val="center"/>
              <w:rPr>
                <w:sz w:val="22"/>
              </w:rPr>
            </w:pPr>
            <w:r w:rsidRPr="005756D3">
              <w:rPr>
                <w:rFonts w:hint="eastAsia"/>
                <w:sz w:val="22"/>
              </w:rPr>
              <w:t>Investment Corporation of Dubai</w:t>
            </w:r>
          </w:p>
        </w:tc>
        <w:tc>
          <w:tcPr>
            <w:tcW w:w="0" w:type="auto"/>
            <w:shd w:val="clear" w:color="auto" w:fill="auto"/>
            <w:noWrap/>
            <w:vAlign w:val="center"/>
            <w:hideMark/>
          </w:tcPr>
          <w:p w:rsidR="00C53327" w:rsidRPr="005756D3" w:rsidRDefault="006E255B" w:rsidP="00947B67">
            <w:pPr>
              <w:wordWrap/>
              <w:jc w:val="center"/>
              <w:rPr>
                <w:sz w:val="22"/>
              </w:rPr>
            </w:pPr>
            <w:r>
              <w:rPr>
                <w:rFonts w:hint="eastAsia"/>
                <w:sz w:val="22"/>
              </w:rPr>
              <w:t>U</w:t>
            </w:r>
            <w:r>
              <w:rPr>
                <w:sz w:val="22"/>
              </w:rPr>
              <w:t>AE</w:t>
            </w:r>
          </w:p>
        </w:tc>
        <w:tc>
          <w:tcPr>
            <w:tcW w:w="0" w:type="auto"/>
            <w:shd w:val="clear" w:color="auto" w:fill="auto"/>
            <w:noWrap/>
            <w:vAlign w:val="center"/>
            <w:hideMark/>
          </w:tcPr>
          <w:p w:rsidR="00C53327" w:rsidRPr="005756D3" w:rsidRDefault="00C53327" w:rsidP="00947B67">
            <w:pPr>
              <w:wordWrap/>
              <w:jc w:val="center"/>
              <w:rPr>
                <w:sz w:val="22"/>
              </w:rPr>
            </w:pPr>
            <w:r w:rsidRPr="005756D3">
              <w:rPr>
                <w:rFonts w:hint="eastAsia"/>
                <w:sz w:val="22"/>
              </w:rPr>
              <w:t>229.82</w:t>
            </w:r>
          </w:p>
        </w:tc>
        <w:tc>
          <w:tcPr>
            <w:tcW w:w="0" w:type="auto"/>
            <w:shd w:val="clear" w:color="auto" w:fill="auto"/>
            <w:noWrap/>
            <w:vAlign w:val="center"/>
            <w:hideMark/>
          </w:tcPr>
          <w:p w:rsidR="00C53327" w:rsidRPr="005756D3" w:rsidRDefault="00C53327" w:rsidP="00947B67">
            <w:pPr>
              <w:wordWrap/>
              <w:jc w:val="center"/>
              <w:rPr>
                <w:sz w:val="22"/>
              </w:rPr>
            </w:pPr>
            <w:r w:rsidRPr="005756D3">
              <w:rPr>
                <w:rFonts w:hint="eastAsia"/>
                <w:sz w:val="22"/>
              </w:rPr>
              <w:t>2006</w:t>
            </w:r>
          </w:p>
        </w:tc>
      </w:tr>
      <w:tr w:rsidR="00C53327" w:rsidRPr="005756D3" w:rsidTr="006E255B">
        <w:trPr>
          <w:trHeight w:val="233"/>
        </w:trPr>
        <w:tc>
          <w:tcPr>
            <w:tcW w:w="0" w:type="auto"/>
            <w:shd w:val="clear" w:color="auto" w:fill="auto"/>
            <w:noWrap/>
            <w:vAlign w:val="center"/>
            <w:hideMark/>
          </w:tcPr>
          <w:p w:rsidR="00C53327" w:rsidRPr="005756D3" w:rsidRDefault="00C53327" w:rsidP="00947B67">
            <w:pPr>
              <w:wordWrap/>
              <w:jc w:val="center"/>
              <w:rPr>
                <w:sz w:val="22"/>
              </w:rPr>
            </w:pPr>
            <w:r w:rsidRPr="005756D3">
              <w:rPr>
                <w:rFonts w:hint="eastAsia"/>
                <w:sz w:val="22"/>
              </w:rPr>
              <w:t>13</w:t>
            </w:r>
          </w:p>
        </w:tc>
        <w:tc>
          <w:tcPr>
            <w:tcW w:w="0" w:type="auto"/>
            <w:shd w:val="clear" w:color="auto" w:fill="auto"/>
            <w:noWrap/>
            <w:vAlign w:val="center"/>
            <w:hideMark/>
          </w:tcPr>
          <w:p w:rsidR="00C53327" w:rsidRPr="005756D3" w:rsidRDefault="00C53327" w:rsidP="00947B67">
            <w:pPr>
              <w:wordWrap/>
              <w:jc w:val="center"/>
              <w:rPr>
                <w:sz w:val="22"/>
              </w:rPr>
            </w:pPr>
            <w:proofErr w:type="spellStart"/>
            <w:r w:rsidRPr="005756D3">
              <w:rPr>
                <w:rFonts w:hint="eastAsia"/>
                <w:sz w:val="22"/>
              </w:rPr>
              <w:t>Mubadala</w:t>
            </w:r>
            <w:proofErr w:type="spellEnd"/>
            <w:r w:rsidRPr="005756D3">
              <w:rPr>
                <w:rFonts w:hint="eastAsia"/>
                <w:sz w:val="22"/>
              </w:rPr>
              <w:t xml:space="preserve"> Investment Company</w:t>
            </w:r>
          </w:p>
        </w:tc>
        <w:tc>
          <w:tcPr>
            <w:tcW w:w="0" w:type="auto"/>
            <w:shd w:val="clear" w:color="auto" w:fill="auto"/>
            <w:noWrap/>
            <w:vAlign w:val="center"/>
            <w:hideMark/>
          </w:tcPr>
          <w:p w:rsidR="00C53327" w:rsidRPr="005756D3" w:rsidRDefault="006E255B" w:rsidP="00947B67">
            <w:pPr>
              <w:wordWrap/>
              <w:jc w:val="center"/>
              <w:rPr>
                <w:sz w:val="22"/>
              </w:rPr>
            </w:pPr>
            <w:r>
              <w:rPr>
                <w:rFonts w:hint="eastAsia"/>
                <w:sz w:val="22"/>
              </w:rPr>
              <w:t>U</w:t>
            </w:r>
            <w:r>
              <w:rPr>
                <w:sz w:val="22"/>
              </w:rPr>
              <w:t>AE</w:t>
            </w:r>
          </w:p>
        </w:tc>
        <w:tc>
          <w:tcPr>
            <w:tcW w:w="0" w:type="auto"/>
            <w:shd w:val="clear" w:color="auto" w:fill="auto"/>
            <w:noWrap/>
            <w:vAlign w:val="center"/>
            <w:hideMark/>
          </w:tcPr>
          <w:p w:rsidR="00C53327" w:rsidRPr="005756D3" w:rsidRDefault="00C53327" w:rsidP="00947B67">
            <w:pPr>
              <w:wordWrap/>
              <w:jc w:val="center"/>
              <w:rPr>
                <w:sz w:val="22"/>
              </w:rPr>
            </w:pPr>
            <w:r w:rsidRPr="005756D3">
              <w:rPr>
                <w:rFonts w:hint="eastAsia"/>
                <w:sz w:val="22"/>
              </w:rPr>
              <w:t>226.48</w:t>
            </w:r>
          </w:p>
        </w:tc>
        <w:tc>
          <w:tcPr>
            <w:tcW w:w="0" w:type="auto"/>
            <w:shd w:val="clear" w:color="auto" w:fill="auto"/>
            <w:noWrap/>
            <w:vAlign w:val="center"/>
            <w:hideMark/>
          </w:tcPr>
          <w:p w:rsidR="00C53327" w:rsidRPr="005756D3" w:rsidRDefault="00C53327" w:rsidP="00947B67">
            <w:pPr>
              <w:wordWrap/>
              <w:jc w:val="center"/>
              <w:rPr>
                <w:sz w:val="22"/>
              </w:rPr>
            </w:pPr>
            <w:r w:rsidRPr="005756D3">
              <w:rPr>
                <w:rFonts w:hint="eastAsia"/>
                <w:sz w:val="22"/>
              </w:rPr>
              <w:t>2002</w:t>
            </w:r>
          </w:p>
        </w:tc>
      </w:tr>
      <w:tr w:rsidR="00C53327" w:rsidRPr="005756D3" w:rsidTr="006E255B">
        <w:trPr>
          <w:trHeight w:val="233"/>
        </w:trPr>
        <w:tc>
          <w:tcPr>
            <w:tcW w:w="0" w:type="auto"/>
            <w:tcBorders>
              <w:bottom w:val="nil"/>
            </w:tcBorders>
            <w:shd w:val="clear" w:color="auto" w:fill="auto"/>
            <w:noWrap/>
            <w:vAlign w:val="center"/>
            <w:hideMark/>
          </w:tcPr>
          <w:p w:rsidR="00C53327" w:rsidRPr="005756D3" w:rsidRDefault="00C53327" w:rsidP="00947B67">
            <w:pPr>
              <w:wordWrap/>
              <w:jc w:val="center"/>
              <w:rPr>
                <w:sz w:val="22"/>
              </w:rPr>
            </w:pPr>
            <w:r w:rsidRPr="005756D3">
              <w:rPr>
                <w:rFonts w:hint="eastAsia"/>
                <w:sz w:val="22"/>
              </w:rPr>
              <w:t>14</w:t>
            </w:r>
          </w:p>
        </w:tc>
        <w:tc>
          <w:tcPr>
            <w:tcW w:w="0" w:type="auto"/>
            <w:tcBorders>
              <w:bottom w:val="nil"/>
            </w:tcBorders>
            <w:shd w:val="clear" w:color="auto" w:fill="auto"/>
            <w:noWrap/>
            <w:vAlign w:val="center"/>
            <w:hideMark/>
          </w:tcPr>
          <w:p w:rsidR="00C53327" w:rsidRPr="005756D3" w:rsidRDefault="00C53327" w:rsidP="00947B67">
            <w:pPr>
              <w:wordWrap/>
              <w:jc w:val="center"/>
              <w:rPr>
                <w:sz w:val="22"/>
              </w:rPr>
            </w:pPr>
            <w:r w:rsidRPr="005756D3">
              <w:rPr>
                <w:rFonts w:hint="eastAsia"/>
                <w:sz w:val="22"/>
              </w:rPr>
              <w:t>Korea Investment Corporation</w:t>
            </w:r>
          </w:p>
        </w:tc>
        <w:tc>
          <w:tcPr>
            <w:tcW w:w="0" w:type="auto"/>
            <w:tcBorders>
              <w:bottom w:val="nil"/>
            </w:tcBorders>
            <w:shd w:val="clear" w:color="auto" w:fill="auto"/>
            <w:noWrap/>
            <w:vAlign w:val="center"/>
            <w:hideMark/>
          </w:tcPr>
          <w:p w:rsidR="00C53327" w:rsidRPr="005756D3" w:rsidRDefault="006E255B" w:rsidP="00947B67">
            <w:pPr>
              <w:wordWrap/>
              <w:jc w:val="center"/>
              <w:rPr>
                <w:sz w:val="22"/>
              </w:rPr>
            </w:pPr>
            <w:r>
              <w:rPr>
                <w:rFonts w:hint="eastAsia"/>
                <w:sz w:val="22"/>
              </w:rPr>
              <w:t>S</w:t>
            </w:r>
            <w:r>
              <w:rPr>
                <w:sz w:val="22"/>
              </w:rPr>
              <w:t>outh Korea</w:t>
            </w:r>
          </w:p>
        </w:tc>
        <w:tc>
          <w:tcPr>
            <w:tcW w:w="0" w:type="auto"/>
            <w:tcBorders>
              <w:bottom w:val="nil"/>
            </w:tcBorders>
            <w:shd w:val="clear" w:color="auto" w:fill="auto"/>
            <w:noWrap/>
            <w:vAlign w:val="center"/>
            <w:hideMark/>
          </w:tcPr>
          <w:p w:rsidR="00C53327" w:rsidRPr="005756D3" w:rsidRDefault="00C53327" w:rsidP="00947B67">
            <w:pPr>
              <w:wordWrap/>
              <w:jc w:val="center"/>
              <w:rPr>
                <w:sz w:val="22"/>
              </w:rPr>
            </w:pPr>
            <w:r w:rsidRPr="005756D3">
              <w:rPr>
                <w:rFonts w:hint="eastAsia"/>
                <w:sz w:val="22"/>
              </w:rPr>
              <w:t>134.10</w:t>
            </w:r>
          </w:p>
        </w:tc>
        <w:tc>
          <w:tcPr>
            <w:tcW w:w="0" w:type="auto"/>
            <w:tcBorders>
              <w:bottom w:val="nil"/>
            </w:tcBorders>
            <w:shd w:val="clear" w:color="auto" w:fill="auto"/>
            <w:noWrap/>
            <w:vAlign w:val="center"/>
            <w:hideMark/>
          </w:tcPr>
          <w:p w:rsidR="00C53327" w:rsidRPr="005756D3" w:rsidRDefault="00C53327" w:rsidP="00947B67">
            <w:pPr>
              <w:wordWrap/>
              <w:jc w:val="center"/>
              <w:rPr>
                <w:sz w:val="22"/>
              </w:rPr>
            </w:pPr>
            <w:r w:rsidRPr="005756D3">
              <w:rPr>
                <w:rFonts w:hint="eastAsia"/>
                <w:sz w:val="22"/>
              </w:rPr>
              <w:t>2005</w:t>
            </w:r>
          </w:p>
        </w:tc>
      </w:tr>
      <w:tr w:rsidR="00C53327" w:rsidRPr="005756D3" w:rsidTr="006E255B">
        <w:trPr>
          <w:trHeight w:val="233"/>
        </w:trPr>
        <w:tc>
          <w:tcPr>
            <w:tcW w:w="0" w:type="auto"/>
            <w:tcBorders>
              <w:top w:val="nil"/>
              <w:bottom w:val="single" w:sz="4" w:space="0" w:color="auto"/>
            </w:tcBorders>
            <w:shd w:val="clear" w:color="auto" w:fill="auto"/>
            <w:noWrap/>
            <w:vAlign w:val="center"/>
            <w:hideMark/>
          </w:tcPr>
          <w:p w:rsidR="00C53327" w:rsidRPr="005756D3" w:rsidRDefault="00C53327" w:rsidP="00947B67">
            <w:pPr>
              <w:wordWrap/>
              <w:jc w:val="center"/>
              <w:rPr>
                <w:sz w:val="22"/>
              </w:rPr>
            </w:pPr>
            <w:r w:rsidRPr="005756D3">
              <w:rPr>
                <w:rFonts w:hint="eastAsia"/>
                <w:sz w:val="22"/>
              </w:rPr>
              <w:t>15</w:t>
            </w:r>
          </w:p>
        </w:tc>
        <w:tc>
          <w:tcPr>
            <w:tcW w:w="0" w:type="auto"/>
            <w:tcBorders>
              <w:top w:val="nil"/>
              <w:bottom w:val="single" w:sz="4" w:space="0" w:color="auto"/>
            </w:tcBorders>
            <w:shd w:val="clear" w:color="auto" w:fill="auto"/>
            <w:noWrap/>
            <w:vAlign w:val="center"/>
            <w:hideMark/>
          </w:tcPr>
          <w:p w:rsidR="00C53327" w:rsidRPr="005756D3" w:rsidRDefault="00C53327" w:rsidP="00947B67">
            <w:pPr>
              <w:wordWrap/>
              <w:jc w:val="center"/>
              <w:rPr>
                <w:sz w:val="22"/>
              </w:rPr>
            </w:pPr>
            <w:r w:rsidRPr="005756D3">
              <w:rPr>
                <w:rFonts w:hint="eastAsia"/>
                <w:sz w:val="22"/>
              </w:rPr>
              <w:t>Australian Future Fund</w:t>
            </w:r>
          </w:p>
        </w:tc>
        <w:tc>
          <w:tcPr>
            <w:tcW w:w="0" w:type="auto"/>
            <w:tcBorders>
              <w:top w:val="nil"/>
              <w:bottom w:val="single" w:sz="4" w:space="0" w:color="auto"/>
            </w:tcBorders>
            <w:shd w:val="clear" w:color="auto" w:fill="auto"/>
            <w:noWrap/>
            <w:vAlign w:val="center"/>
            <w:hideMark/>
          </w:tcPr>
          <w:p w:rsidR="00C53327" w:rsidRPr="005756D3" w:rsidRDefault="006E255B" w:rsidP="00947B67">
            <w:pPr>
              <w:wordWrap/>
              <w:jc w:val="center"/>
              <w:rPr>
                <w:sz w:val="22"/>
              </w:rPr>
            </w:pPr>
            <w:r>
              <w:rPr>
                <w:rFonts w:hint="eastAsia"/>
                <w:sz w:val="22"/>
              </w:rPr>
              <w:t>A</w:t>
            </w:r>
            <w:r>
              <w:rPr>
                <w:sz w:val="22"/>
              </w:rPr>
              <w:t>ustralia</w:t>
            </w:r>
          </w:p>
        </w:tc>
        <w:tc>
          <w:tcPr>
            <w:tcW w:w="0" w:type="auto"/>
            <w:tcBorders>
              <w:top w:val="nil"/>
              <w:bottom w:val="single" w:sz="4" w:space="0" w:color="auto"/>
            </w:tcBorders>
            <w:shd w:val="clear" w:color="auto" w:fill="auto"/>
            <w:noWrap/>
            <w:vAlign w:val="center"/>
            <w:hideMark/>
          </w:tcPr>
          <w:p w:rsidR="00C53327" w:rsidRPr="005756D3" w:rsidRDefault="00C53327" w:rsidP="00947B67">
            <w:pPr>
              <w:wordWrap/>
              <w:jc w:val="center"/>
              <w:rPr>
                <w:sz w:val="22"/>
              </w:rPr>
            </w:pPr>
            <w:r w:rsidRPr="005756D3">
              <w:rPr>
                <w:rFonts w:hint="eastAsia"/>
                <w:sz w:val="22"/>
              </w:rPr>
              <w:t>107.42</w:t>
            </w:r>
          </w:p>
        </w:tc>
        <w:tc>
          <w:tcPr>
            <w:tcW w:w="0" w:type="auto"/>
            <w:tcBorders>
              <w:top w:val="nil"/>
              <w:bottom w:val="single" w:sz="4" w:space="0" w:color="auto"/>
            </w:tcBorders>
            <w:shd w:val="clear" w:color="auto" w:fill="auto"/>
            <w:noWrap/>
            <w:vAlign w:val="center"/>
            <w:hideMark/>
          </w:tcPr>
          <w:p w:rsidR="00C53327" w:rsidRPr="005756D3" w:rsidRDefault="00C53327" w:rsidP="00947B67">
            <w:pPr>
              <w:wordWrap/>
              <w:jc w:val="center"/>
              <w:rPr>
                <w:sz w:val="22"/>
              </w:rPr>
            </w:pPr>
            <w:r w:rsidRPr="005756D3">
              <w:rPr>
                <w:rFonts w:hint="eastAsia"/>
                <w:sz w:val="22"/>
              </w:rPr>
              <w:t>2006</w:t>
            </w:r>
          </w:p>
        </w:tc>
      </w:tr>
      <w:tr w:rsidR="00C53327" w:rsidRPr="005756D3" w:rsidTr="006E255B">
        <w:trPr>
          <w:trHeight w:val="233"/>
        </w:trPr>
        <w:tc>
          <w:tcPr>
            <w:tcW w:w="0" w:type="auto"/>
            <w:gridSpan w:val="5"/>
            <w:tcBorders>
              <w:top w:val="single" w:sz="4" w:space="0" w:color="auto"/>
              <w:bottom w:val="nil"/>
            </w:tcBorders>
            <w:shd w:val="clear" w:color="auto" w:fill="auto"/>
            <w:noWrap/>
            <w:vAlign w:val="center"/>
          </w:tcPr>
          <w:p w:rsidR="00C53327" w:rsidRPr="006473EE" w:rsidRDefault="00C53327" w:rsidP="00947B67">
            <w:pPr>
              <w:wordWrap/>
              <w:jc w:val="left"/>
              <w:rPr>
                <w:sz w:val="20"/>
              </w:rPr>
            </w:pPr>
            <w:r>
              <w:rPr>
                <w:sz w:val="18"/>
              </w:rPr>
              <w:t>Data source</w:t>
            </w:r>
            <w:r w:rsidRPr="006473EE">
              <w:rPr>
                <w:rFonts w:hint="eastAsia"/>
                <w:sz w:val="18"/>
              </w:rPr>
              <w:t>：</w:t>
            </w:r>
            <w:r w:rsidRPr="006473EE">
              <w:rPr>
                <w:rFonts w:hint="eastAsia"/>
                <w:sz w:val="18"/>
              </w:rPr>
              <w:t>SWF</w:t>
            </w:r>
            <w:r w:rsidRPr="006473EE">
              <w:rPr>
                <w:sz w:val="18"/>
              </w:rPr>
              <w:t xml:space="preserve"> </w:t>
            </w:r>
            <w:r w:rsidRPr="006473EE">
              <w:rPr>
                <w:rFonts w:hint="eastAsia"/>
                <w:sz w:val="18"/>
              </w:rPr>
              <w:t>Institute</w:t>
            </w:r>
            <w:r>
              <w:rPr>
                <w:sz w:val="18"/>
              </w:rPr>
              <w:t>; by the end of September 2018</w:t>
            </w:r>
          </w:p>
        </w:tc>
      </w:tr>
    </w:tbl>
    <w:p w:rsidR="00C53327" w:rsidRDefault="000B6352" w:rsidP="00176FCB">
      <w:pPr>
        <w:wordWrap/>
        <w:spacing w:line="400" w:lineRule="exact"/>
        <w:ind w:firstLineChars="200" w:firstLine="480"/>
      </w:pPr>
      <w:r w:rsidRPr="000B6352">
        <w:t>Considering the rapid development of SWF</w:t>
      </w:r>
      <w:r w:rsidR="00C5071C">
        <w:t>s</w:t>
      </w:r>
      <w:r w:rsidRPr="000B6352">
        <w:t xml:space="preserve"> and their huge assets, i</w:t>
      </w:r>
      <w:r w:rsidR="00100CE3">
        <w:t>t is very necessary to analyze their</w:t>
      </w:r>
      <w:r w:rsidRPr="000B6352">
        <w:t xml:space="preserve"> </w:t>
      </w:r>
      <w:r w:rsidR="00436920">
        <w:t>outbound</w:t>
      </w:r>
      <w:r w:rsidRPr="000B6352">
        <w:t xml:space="preserve"> investment</w:t>
      </w:r>
      <w:r w:rsidR="00436920">
        <w:t>s</w:t>
      </w:r>
      <w:r w:rsidRPr="000B6352">
        <w:t xml:space="preserve"> behavior. </w:t>
      </w:r>
      <w:r w:rsidR="00436920">
        <w:t>In fact, t</w:t>
      </w:r>
      <w:r w:rsidR="00436920" w:rsidRPr="003D114B">
        <w:t>he news of outbound investment</w:t>
      </w:r>
      <w:r w:rsidR="00436920">
        <w:t>s</w:t>
      </w:r>
      <w:r w:rsidR="00436920" w:rsidRPr="003D114B">
        <w:t xml:space="preserve"> of SWF</w:t>
      </w:r>
      <w:r w:rsidR="00436920">
        <w:t>s</w:t>
      </w:r>
      <w:r w:rsidR="00436920" w:rsidRPr="003D114B">
        <w:t xml:space="preserve"> seem</w:t>
      </w:r>
      <w:r w:rsidR="00436920">
        <w:rPr>
          <w:rFonts w:hint="eastAsia"/>
        </w:rPr>
        <w:t>s</w:t>
      </w:r>
      <w:r w:rsidR="00436920" w:rsidRPr="003D114B">
        <w:t xml:space="preserve"> to be often associated with some political </w:t>
      </w:r>
      <w:r w:rsidR="00436920">
        <w:t>headline</w:t>
      </w:r>
      <w:r w:rsidR="00436920" w:rsidRPr="003D114B">
        <w:t xml:space="preserve">s. For example, when Saudi Arabia faced enormous political pressure </w:t>
      </w:r>
      <w:r w:rsidR="00436920">
        <w:t>in 2018 due to the "</w:t>
      </w:r>
      <w:proofErr w:type="spellStart"/>
      <w:r w:rsidR="00436920" w:rsidRPr="003F038D">
        <w:t>Khashoggi</w:t>
      </w:r>
      <w:proofErr w:type="spellEnd"/>
      <w:r w:rsidR="00436920" w:rsidRPr="003D114B">
        <w:t xml:space="preserve"> Incident", its sovereign wealth fund PIF invested US$500 million in</w:t>
      </w:r>
      <w:r w:rsidR="00436920">
        <w:t>to</w:t>
      </w:r>
      <w:r w:rsidR="00436920" w:rsidRPr="003D114B">
        <w:t xml:space="preserve"> the </w:t>
      </w:r>
      <w:r w:rsidR="00436920" w:rsidRPr="003D114B">
        <w:lastRenderedPageBreak/>
        <w:t xml:space="preserve">Russia-China Investment Fund (RCIF). </w:t>
      </w:r>
      <w:r w:rsidR="00436920">
        <w:t xml:space="preserve">Similar cases seem to imply </w:t>
      </w:r>
      <w:r w:rsidR="00436920" w:rsidRPr="003D114B">
        <w:t xml:space="preserve">that there may be </w:t>
      </w:r>
      <w:r w:rsidR="00436920">
        <w:t xml:space="preserve">some </w:t>
      </w:r>
      <w:r w:rsidR="00436920" w:rsidRPr="003D114B">
        <w:t>political considerations</w:t>
      </w:r>
      <w:r w:rsidR="00436920">
        <w:t xml:space="preserve"> behind the </w:t>
      </w:r>
      <w:r w:rsidR="00100CE3">
        <w:t xml:space="preserve">behavior </w:t>
      </w:r>
      <w:r w:rsidR="00436920" w:rsidRPr="003D114B">
        <w:t>of SWF</w:t>
      </w:r>
      <w:r w:rsidR="00436920">
        <w:t>s</w:t>
      </w:r>
      <w:r w:rsidR="00436920" w:rsidRPr="003D114B">
        <w:t>.</w:t>
      </w:r>
      <w:r w:rsidR="00436920">
        <w:t xml:space="preserve"> </w:t>
      </w:r>
      <w:r w:rsidRPr="000B6352">
        <w:t>In</w:t>
      </w:r>
      <w:r w:rsidR="00436920">
        <w:t xml:space="preserve"> </w:t>
      </w:r>
      <w:r w:rsidRPr="000B6352">
        <w:t xml:space="preserve">fact, </w:t>
      </w:r>
      <w:r w:rsidR="00574590">
        <w:t>in the early days, cross-border SWF investments were viewed as a threat by the recipient-country governments, especially by developed countries</w:t>
      </w:r>
      <w:r w:rsidRPr="000B6352">
        <w:t xml:space="preserve">. </w:t>
      </w:r>
      <w:r w:rsidR="00574590">
        <w:fldChar w:fldCharType="begin"/>
      </w:r>
      <w:r w:rsidR="00574590">
        <w:instrText xml:space="preserve"> ADDIN EN.CITE &lt;EndNote&gt;&lt;Cite AuthorYear="1"&gt;&lt;Author&gt;Mattoo&lt;/Author&gt;&lt;Year&gt;2009&lt;/Year&gt;&lt;RecNum&gt;70&lt;/RecNum&gt;&lt;DisplayText&gt;Mattoo and Subramanian (2009)&lt;/DisplayText&gt;&lt;record&gt;&lt;rec-number&gt;70&lt;/rec-number&gt;&lt;foreign-keys&gt;&lt;key app="EN" db-id="09p992av6fr0zjepzxpxrf2h9vve0w099a5w" timestamp="1519003504"&gt;70&lt;/key&gt;&lt;/foreign-keys&gt;&lt;ref-type name="Journal Article"&gt;17&lt;/ref-type&gt;&lt;contributors&gt;&lt;authors&gt;&lt;author&gt;Mattoo, Aaditya&lt;/author&gt;&lt;author&gt;Subramanian, Arvind&lt;/author&gt;&lt;/authors&gt;&lt;/contributors&gt;&lt;titles&gt;&lt;title&gt;Currency undervaluation and sovereign wealth funds: a new role for the World Trade Organization&lt;/title&gt;&lt;secondary-title&gt;The World Economy&lt;/secondary-title&gt;&lt;/titles&gt;&lt;periodical&gt;&lt;full-title&gt;The World Economy&lt;/full-title&gt;&lt;/periodical&gt;&lt;pages&gt;1135-1164&lt;/pages&gt;&lt;volume&gt;32&lt;/volume&gt;&lt;number&gt;8&lt;/number&gt;&lt;dates&gt;&lt;year&gt;2009&lt;/year&gt;&lt;/dates&gt;&lt;isbn&gt;1467-9701&lt;/isbn&gt;&lt;urls&gt;&lt;/urls&gt;&lt;/record&gt;&lt;/Cite&gt;&lt;/EndNote&gt;</w:instrText>
      </w:r>
      <w:r w:rsidR="00574590">
        <w:fldChar w:fldCharType="separate"/>
      </w:r>
      <w:r w:rsidR="00574590">
        <w:rPr>
          <w:noProof/>
        </w:rPr>
        <w:t>Mattoo and Subramanian (2009)</w:t>
      </w:r>
      <w:r w:rsidR="00574590">
        <w:fldChar w:fldCharType="end"/>
      </w:r>
      <w:r w:rsidR="00574590">
        <w:t xml:space="preserve"> </w:t>
      </w:r>
      <w:r w:rsidRPr="000B6352">
        <w:t xml:space="preserve">attributed </w:t>
      </w:r>
      <w:r w:rsidR="00574590">
        <w:t xml:space="preserve">the </w:t>
      </w:r>
      <w:r w:rsidRPr="000B6352">
        <w:t>distrust of SWF</w:t>
      </w:r>
      <w:r w:rsidR="00100CE3">
        <w:t>s</w:t>
      </w:r>
      <w:r w:rsidRPr="000B6352">
        <w:t xml:space="preserve"> to two aspects: first, the </w:t>
      </w:r>
      <w:r w:rsidR="00947B67">
        <w:t>recipient</w:t>
      </w:r>
      <w:r w:rsidRPr="000B6352">
        <w:t xml:space="preserve"> countr</w:t>
      </w:r>
      <w:r w:rsidR="00947B67">
        <w:t xml:space="preserve">ies were </w:t>
      </w:r>
      <w:r w:rsidRPr="000B6352">
        <w:t xml:space="preserve">alert to the background of </w:t>
      </w:r>
      <w:r w:rsidR="00947B67">
        <w:t>SWFs’</w:t>
      </w:r>
      <w:r w:rsidRPr="000B6352">
        <w:t xml:space="preserve"> government ownership; second, the motivation of SWF</w:t>
      </w:r>
      <w:r w:rsidR="00947B67">
        <w:t>s’</w:t>
      </w:r>
      <w:r w:rsidRPr="000B6352">
        <w:t xml:space="preserve"> investment</w:t>
      </w:r>
      <w:r w:rsidR="00947B67">
        <w:t>s w</w:t>
      </w:r>
      <w:r w:rsidR="002D342C">
        <w:t>as</w:t>
      </w:r>
      <w:r w:rsidRPr="000B6352">
        <w:t xml:space="preserve"> likely to be political rather than economic. </w:t>
      </w:r>
      <w:r w:rsidR="00947B67">
        <w:fldChar w:fldCharType="begin"/>
      </w:r>
      <w:r w:rsidR="00947B67">
        <w:instrText xml:space="preserve"> ADDIN EN.CITE &lt;EndNote&gt;&lt;Cite AuthorYear="1"&gt;&lt;Author&gt;Farrell&lt;/Author&gt;&lt;Year&gt;2008&lt;/Year&gt;&lt;RecNum&gt;66&lt;/RecNum&gt;&lt;DisplayText&gt;Farrell and Lund (2008)&lt;/DisplayText&gt;&lt;record&gt;&lt;rec-number&gt;66&lt;/rec-number&gt;&lt;foreign-keys&gt;&lt;key app="EN" db-id="09p992av6fr0zjepzxpxrf2h9vve0w099a5w" timestamp="1518930622"&gt;66&lt;/key&gt;&lt;/foreign-keys&gt;&lt;ref-type name="Journal Article"&gt;17&lt;/ref-type&gt;&lt;contributors&gt;&lt;authors&gt;&lt;author&gt;Farrell, Diana&lt;/author&gt;&lt;author&gt;Lund, Susan&lt;/author&gt;&lt;/authors&gt;&lt;/contributors&gt;&lt;titles&gt;&lt;title&gt;The New Power Brokers&lt;/title&gt;&lt;secondary-title&gt;The International Economy&lt;/secondary-title&gt;&lt;/titles&gt;&lt;periodical&gt;&lt;full-title&gt;The International Economy&lt;/full-title&gt;&lt;/periodical&gt;&lt;pages&gt;38&lt;/pages&gt;&lt;volume&gt;22&lt;/volume&gt;&lt;number&gt;1&lt;/number&gt;&lt;dates&gt;&lt;year&gt;2008&lt;/year&gt;&lt;/dates&gt;&lt;isbn&gt;0898-4336&lt;/isbn&gt;&lt;urls&gt;&lt;/urls&gt;&lt;/record&gt;&lt;/Cite&gt;&lt;/EndNote&gt;</w:instrText>
      </w:r>
      <w:r w:rsidR="00947B67">
        <w:fldChar w:fldCharType="separate"/>
      </w:r>
      <w:r w:rsidR="00947B67">
        <w:rPr>
          <w:noProof/>
        </w:rPr>
        <w:t>Farrell and Lund (2008)</w:t>
      </w:r>
      <w:r w:rsidR="00947B67">
        <w:fldChar w:fldCharType="end"/>
      </w:r>
      <w:r w:rsidRPr="000B6352">
        <w:t xml:space="preserve"> even called SWF the "new power brokers" directly.</w:t>
      </w:r>
    </w:p>
    <w:p w:rsidR="003E7A01" w:rsidRDefault="00A9135B" w:rsidP="00872EE7">
      <w:pPr>
        <w:wordWrap/>
        <w:spacing w:line="400" w:lineRule="exact"/>
        <w:ind w:firstLineChars="200" w:firstLine="480"/>
      </w:pPr>
      <w:r>
        <w:t>Recent</w:t>
      </w:r>
      <w:r w:rsidR="00543C3B">
        <w:t xml:space="preserve">ly produced SWF-related works focused on the </w:t>
      </w:r>
      <w:r w:rsidR="00C72B7B">
        <w:t xml:space="preserve">motivation of foundation, </w:t>
      </w:r>
      <w:r w:rsidR="00543C3B">
        <w:t>operations, allocation strategies</w:t>
      </w:r>
      <w:r w:rsidR="00C72B7B">
        <w:t>,</w:t>
      </w:r>
      <w:r w:rsidR="00543C3B">
        <w:t xml:space="preserve"> investment decision-making process</w:t>
      </w:r>
      <w:r w:rsidR="00C72B7B">
        <w:t xml:space="preserve"> and the effect on the target firms</w:t>
      </w:r>
      <w:r w:rsidR="00100CE3">
        <w:t xml:space="preserve"> et.al [</w:t>
      </w:r>
      <w:r w:rsidR="00100CE3">
        <w:fldChar w:fldCharType="begin"/>
      </w:r>
      <w:r w:rsidR="00100CE3">
        <w:instrText xml:space="preserve"> ADDIN EN.CITE &lt;EndNote&gt;&lt;Cite&gt;&lt;Author&gt;Alhashel&lt;/Author&gt;&lt;Year&gt;2015&lt;/Year&gt;&lt;RecNum&gt;25&lt;/RecNum&gt;&lt;DisplayText&gt;(Alhashel, 2015)&lt;/DisplayText&gt;&lt;record&gt;&lt;rec-number&gt;25&lt;/rec-number&gt;&lt;foreign-keys&gt;&lt;key app="EN" db-id="09p992av6fr0zjepzxpxrf2h9vve0w099a5w" timestamp="1517172627"&gt;25&lt;/key&gt;&lt;key app="ENWeb" db-id=""&gt;0&lt;/key&gt;&lt;/foreign-keys&gt;&lt;ref-type name="Journal Article"&gt;17&lt;/ref-type&gt;&lt;contributors&gt;&lt;authors&gt;&lt;author&gt;Alhashel, Bader&lt;/author&gt;&lt;/authors&gt;&lt;/contributors&gt;&lt;titles&gt;&lt;title&gt;Sovereign Wealth Funds: A literature review&lt;/title&gt;&lt;secondary-title&gt;Journal of Economics and Business&lt;/secondary-title&gt;&lt;/titles&gt;&lt;periodical&gt;&lt;full-title&gt;Journal of Economics and Business&lt;/full-title&gt;&lt;/periodical&gt;&lt;pages&gt;1-13&lt;/pages&gt;&lt;volume&gt;78&lt;/volume&gt;&lt;section&gt;1&lt;/section&gt;&lt;dates&gt;&lt;year&gt;2015&lt;/year&gt;&lt;/dates&gt;&lt;isbn&gt;01486195&lt;/isbn&gt;&lt;urls&gt;&lt;/urls&gt;&lt;electronic-resource-num&gt;10.1016/j.jeconbus.2014.10.001&lt;/electronic-resource-num&gt;&lt;/record&gt;&lt;/Cite&gt;&lt;/EndNote&gt;</w:instrText>
      </w:r>
      <w:r w:rsidR="00100CE3">
        <w:fldChar w:fldCharType="separate"/>
      </w:r>
      <w:r w:rsidR="00100CE3">
        <w:rPr>
          <w:noProof/>
        </w:rPr>
        <w:t>(Alhashel, 2015)</w:t>
      </w:r>
      <w:r w:rsidR="00100CE3">
        <w:fldChar w:fldCharType="end"/>
      </w:r>
      <w:r w:rsidR="00100CE3">
        <w:t xml:space="preserve">, </w:t>
      </w:r>
      <w:r w:rsidR="00100CE3">
        <w:fldChar w:fldCharType="begin"/>
      </w:r>
      <w:r w:rsidR="00100CE3">
        <w:instrText xml:space="preserve"> ADDIN EN.CITE &lt;EndNote&gt;&lt;Cite&gt;&lt;Author&gt;Fotak&lt;/Author&gt;&lt;Year&gt;2017&lt;/Year&gt;&lt;RecNum&gt;910&lt;/RecNum&gt;&lt;DisplayText&gt;(Fotak, Gao, &amp;amp; Megginson, 2017)&lt;/DisplayText&gt;&lt;record&gt;&lt;rec-number&gt;910&lt;/rec-number&gt;&lt;foreign-keys&gt;&lt;key app="EN" db-id="09p992av6fr0zjepzxpxrf2h9vve0w099a5w" timestamp="1554294268"&gt;910&lt;/key&gt;&lt;/foreign-keys&gt;&lt;ref-type name="Journal Article"&gt;17&lt;/ref-type&gt;&lt;contributors&gt;&lt;authors&gt;&lt;author&gt;Fotak, Veljko&lt;/author&gt;&lt;author&gt;Gao, Xuechen&lt;/author&gt;&lt;author&gt;Megginson, William L&lt;/author&gt;&lt;/authors&gt;&lt;/contributors&gt;&lt;titles&gt;&lt;title&gt;A Financial Force to be Reckoned With? An Overview of Sovereign Wealth Funds&lt;/title&gt;&lt;/titles&gt;&lt;dates&gt;&lt;year&gt;2017&lt;/year&gt;&lt;/dates&gt;&lt;urls&gt;&lt;/urls&gt;&lt;/record&gt;&lt;/Cite&gt;&lt;/EndNote&gt;</w:instrText>
      </w:r>
      <w:r w:rsidR="00100CE3">
        <w:fldChar w:fldCharType="separate"/>
      </w:r>
      <w:r w:rsidR="00100CE3">
        <w:rPr>
          <w:noProof/>
        </w:rPr>
        <w:t>(Fotak, Gao, &amp; Megginson, 2017)</w:t>
      </w:r>
      <w:r w:rsidR="00100CE3">
        <w:fldChar w:fldCharType="end"/>
      </w:r>
      <w:r w:rsidR="00100CE3">
        <w:t xml:space="preserve">, </w:t>
      </w:r>
      <w:r w:rsidR="00100CE3">
        <w:fldChar w:fldCharType="begin"/>
      </w:r>
      <w:r w:rsidR="00100CE3">
        <w:instrText xml:space="preserve"> ADDIN EN.CITE &lt;EndNote&gt;&lt;Cite&gt;&lt;Author&gt;Megginson&lt;/Author&gt;&lt;Year&gt;2015&lt;/Year&gt;&lt;RecNum&gt;77&lt;/RecNum&gt;&lt;DisplayText&gt;(Megginson &amp;amp; Fotak, 2015)&lt;/DisplayText&gt;&lt;record&gt;&lt;rec-number&gt;77&lt;/rec-number&gt;&lt;foreign-keys&gt;&lt;key app="EN" db-id="09p992av6fr0zjepzxpxrf2h9vve0w099a5w" timestamp="1519094061"&gt;77&lt;/key&gt;&lt;key app="ENWeb" db-id=""&gt;0&lt;/key&gt;&lt;/foreign-keys&gt;&lt;ref-type name="Journal Article"&gt;17&lt;/ref-type&gt;&lt;contributors&gt;&lt;authors&gt;&lt;author&gt;Megginson, William L.&lt;/author&gt;&lt;author&gt;Fotak, Veljko&lt;/author&gt;&lt;/authors&gt;&lt;/contributors&gt;&lt;titles&gt;&lt;title&gt;Rise of the Fiduciary State: A Survey of Sovereign Wealth Fund Research&lt;/title&gt;&lt;secondary-title&gt;Journal of Economic Surveys&lt;/secondary-title&gt;&lt;/titles&gt;&lt;periodical&gt;&lt;full-title&gt;Journal of Economic Surveys&lt;/full-title&gt;&lt;/periodical&gt;&lt;pages&gt;733-778&lt;/pages&gt;&lt;volume&gt;29&lt;/volume&gt;&lt;number&gt;4&lt;/number&gt;&lt;section&gt;733&lt;/section&gt;&lt;dates&gt;&lt;year&gt;2015&lt;/year&gt;&lt;/dates&gt;&lt;isbn&gt;09500804&lt;/isbn&gt;&lt;urls&gt;&lt;/urls&gt;&lt;electronic-resource-num&gt;10.1111/joes.12125&lt;/electronic-resource-num&gt;&lt;/record&gt;&lt;/Cite&gt;&lt;/EndNote&gt;</w:instrText>
      </w:r>
      <w:r w:rsidR="00100CE3">
        <w:fldChar w:fldCharType="separate"/>
      </w:r>
      <w:r w:rsidR="00100CE3">
        <w:rPr>
          <w:noProof/>
        </w:rPr>
        <w:t>(Megginson &amp; Fotak, 2015)</w:t>
      </w:r>
      <w:r w:rsidR="00100CE3">
        <w:fldChar w:fldCharType="end"/>
      </w:r>
      <w:r w:rsidR="00100CE3">
        <w:t>].</w:t>
      </w:r>
      <w:r w:rsidR="00C72B7B">
        <w:t xml:space="preserve"> However, there </w:t>
      </w:r>
      <w:r w:rsidR="002D342C">
        <w:t>are</w:t>
      </w:r>
      <w:r w:rsidR="00C72B7B">
        <w:t xml:space="preserve"> few researches explaining the political motivation behind the outbound investments of SWFs.</w:t>
      </w:r>
      <w:r w:rsidR="00872EE7" w:rsidRPr="00872EE7">
        <w:t xml:space="preserve"> </w:t>
      </w:r>
      <w:r w:rsidR="00872EE7">
        <w:t>Based on the unique data from China Investment Company(CIC) t</w:t>
      </w:r>
      <w:r w:rsidR="00872EE7" w:rsidRPr="00543C3B">
        <w:t xml:space="preserve">his paper attempts to </w:t>
      </w:r>
      <w:r w:rsidR="00872EE7">
        <w:t>analyze</w:t>
      </w:r>
      <w:r w:rsidR="00872EE7" w:rsidRPr="00543C3B">
        <w:t xml:space="preserve"> the role of bilateral international </w:t>
      </w:r>
      <w:r w:rsidR="00872EE7">
        <w:t xml:space="preserve">political </w:t>
      </w:r>
      <w:r w:rsidR="00872EE7" w:rsidRPr="00543C3B">
        <w:t>relations in SWF</w:t>
      </w:r>
      <w:r w:rsidR="00872EE7">
        <w:t xml:space="preserve">s’ cross-border </w:t>
      </w:r>
      <w:r w:rsidR="00872EE7" w:rsidRPr="00543C3B">
        <w:t>investment</w:t>
      </w:r>
      <w:r w:rsidR="00872EE7">
        <w:t xml:space="preserve">s, </w:t>
      </w:r>
      <w:r w:rsidR="00872EE7" w:rsidRPr="00543C3B">
        <w:t>which is a useful supplement to the existing literature on SWF</w:t>
      </w:r>
      <w:r w:rsidR="00100CE3">
        <w:t>s</w:t>
      </w:r>
      <w:r w:rsidR="00872EE7" w:rsidRPr="00543C3B">
        <w:t>.</w:t>
      </w:r>
    </w:p>
    <w:p w:rsidR="00947B67" w:rsidRDefault="00947B67" w:rsidP="00947B67">
      <w:pPr>
        <w:pStyle w:val="2"/>
        <w:numPr>
          <w:ilvl w:val="0"/>
          <w:numId w:val="46"/>
        </w:numPr>
      </w:pPr>
      <w:r>
        <w:rPr>
          <w:rFonts w:hint="eastAsia"/>
        </w:rPr>
        <w:t>Literature</w:t>
      </w:r>
      <w:r>
        <w:t xml:space="preserve"> </w:t>
      </w:r>
      <w:r>
        <w:rPr>
          <w:rFonts w:hint="eastAsia"/>
        </w:rPr>
        <w:t>View</w:t>
      </w:r>
    </w:p>
    <w:p w:rsidR="005411A7" w:rsidRDefault="007D5F12" w:rsidP="00CE7957">
      <w:pPr>
        <w:wordWrap/>
        <w:spacing w:line="400" w:lineRule="exact"/>
        <w:ind w:firstLineChars="200" w:firstLine="480"/>
      </w:pPr>
      <w:r>
        <w:t xml:space="preserve">Do political and macroeconomic factors influence SWFs’ outbound investments? </w:t>
      </w:r>
      <w:r w:rsidR="00E83BF0">
        <w:fldChar w:fldCharType="begin"/>
      </w:r>
      <w:r w:rsidR="00E83BF0">
        <w:instrText xml:space="preserve"> ADDIN EN.CITE &lt;EndNote&gt;&lt;Cite AuthorYear="1"&gt;&lt;Author&gt;Chhaochharia&lt;/Author&gt;&lt;Year&gt;2009&lt;/Year&gt;&lt;RecNum&gt;882&lt;/RecNum&gt;&lt;DisplayText&gt;Chhaochharia and Laeven (2009)&lt;/DisplayText&gt;&lt;record&gt;&lt;rec-number&gt;882&lt;/rec-number&gt;&lt;foreign-keys&gt;&lt;key app="EN" db-id="09p992av6fr0zjepzxpxrf2h9vve0w099a5w" timestamp="1551606729"&gt;882&lt;/key&gt;&lt;/foreign-keys&gt;&lt;ref-type name="Journal Article"&gt;17&lt;/ref-type&gt;&lt;contributors&gt;&lt;authors&gt;&lt;author&gt;Chhaochharia, Vidhi&lt;/author&gt;&lt;author&gt;Laeven, Luc&lt;/author&gt;&lt;/authors&gt;&lt;/contributors&gt;&lt;titles&gt;&lt;title&gt;The investment allocation of sovereign wealth funds&lt;/title&gt;&lt;/titles&gt;&lt;dates&gt;&lt;year&gt;2009&lt;/year&gt;&lt;/dates&gt;&lt;urls&gt;&lt;/urls&gt;&lt;/record&gt;&lt;/Cite&gt;&lt;/EndNote&gt;</w:instrText>
      </w:r>
      <w:r w:rsidR="00E83BF0">
        <w:fldChar w:fldCharType="separate"/>
      </w:r>
      <w:r w:rsidR="00E83BF0">
        <w:rPr>
          <w:noProof/>
        </w:rPr>
        <w:t>Chhaochharia and Laeven (2009)</w:t>
      </w:r>
      <w:r w:rsidR="00E83BF0">
        <w:fldChar w:fldCharType="end"/>
      </w:r>
      <w:r w:rsidR="00E83BF0">
        <w:t xml:space="preserve"> test whether SWFs show systematic investment biases by 27 SWFs’ stock investments from 1996 to 2008. They find that SWFs tend to invest in countries that share a common culture, particularly religion. However, </w:t>
      </w:r>
      <w:r>
        <w:t>they argue that the</w:t>
      </w:r>
      <w:r w:rsidR="00E83BF0">
        <w:t xml:space="preserve"> cultural bias disappears with repeated investments. Moreover, SWFs prefer </w:t>
      </w:r>
      <w:r>
        <w:t xml:space="preserve">to invest in oil company stocks, especially when </w:t>
      </w:r>
      <w:r w:rsidR="00E83BF0">
        <w:t>SWFs are</w:t>
      </w:r>
      <w:r>
        <w:t xml:space="preserve"> </w:t>
      </w:r>
      <w:r w:rsidR="00E83BF0">
        <w:t xml:space="preserve">less transparent, and </w:t>
      </w:r>
      <w:r>
        <w:t xml:space="preserve">come </w:t>
      </w:r>
      <w:r w:rsidR="00E83BF0">
        <w:t xml:space="preserve">from less democratic countries. </w:t>
      </w:r>
      <w:r w:rsidR="00CE7957">
        <w:fldChar w:fldCharType="begin"/>
      </w:r>
      <w:r w:rsidR="00CE7957">
        <w:instrText xml:space="preserve"> ADDIN EN.CITE &lt;EndNote&gt;&lt;Cite AuthorYear="1"&gt;&lt;Author&gt;Dyck&lt;/Author&gt;&lt;Year&gt;2011&lt;/Year&gt;&lt;RecNum&gt;709&lt;/RecNum&gt;&lt;DisplayText&gt;Dyck and Morse (2011)&lt;/DisplayText&gt;&lt;record&gt;&lt;rec-number&gt;709&lt;/rec-number&gt;&lt;foreign-keys&gt;&lt;key app="EN" db-id="09p992av6fr0zjepzxpxrf2h9vve0w099a5w" timestamp="1519533465"&gt;709&lt;/key&gt;&lt;/foreign-keys&gt;&lt;ref-type name="Journal Article"&gt;17&lt;/ref-type&gt;&lt;contributors&gt;&lt;authors&gt;&lt;author&gt;Dyck, IJ&lt;/author&gt;&lt;author&gt;Morse, Adair&lt;/author&gt;&lt;/authors&gt;&lt;/contributors&gt;&lt;titles&gt;&lt;title&gt;Sovereign wealth fund portfolios&lt;/title&gt;&lt;/titles&gt;&lt;dates&gt;&lt;year&gt;2011&lt;/year&gt;&lt;/dates&gt;&lt;urls&gt;&lt;/urls&gt;&lt;/record&gt;&lt;/Cite&gt;&lt;/EndNote&gt;</w:instrText>
      </w:r>
      <w:r w:rsidR="00CE7957">
        <w:fldChar w:fldCharType="separate"/>
      </w:r>
      <w:r w:rsidR="00CE7957">
        <w:rPr>
          <w:noProof/>
        </w:rPr>
        <w:t>Dyck and Morse (2011)</w:t>
      </w:r>
      <w:r w:rsidR="00CE7957">
        <w:fldChar w:fldCharType="end"/>
      </w:r>
      <w:r w:rsidR="00CE7957">
        <w:t xml:space="preserve"> find that SWF asset allocations are s</w:t>
      </w:r>
      <w:r w:rsidR="006E73D4">
        <w:t xml:space="preserve">ubstantially home-region biased and </w:t>
      </w:r>
      <w:r w:rsidR="00CE7957">
        <w:t xml:space="preserve">SWFs </w:t>
      </w:r>
      <w:r w:rsidR="00CE7957" w:rsidRPr="005411A7">
        <w:t xml:space="preserve">are more likely to invest in </w:t>
      </w:r>
      <w:r w:rsidR="00CE7957">
        <w:t>the financial, transportation, energy, and telecommunications industries—particularly finance.</w:t>
      </w:r>
    </w:p>
    <w:p w:rsidR="005137C9" w:rsidRDefault="00D0395C" w:rsidP="005137C9">
      <w:pPr>
        <w:wordWrap/>
        <w:spacing w:line="400" w:lineRule="exact"/>
        <w:ind w:firstLineChars="200" w:firstLine="480"/>
      </w:pPr>
      <w:r>
        <w:fldChar w:fldCharType="begin"/>
      </w:r>
      <w:r>
        <w:instrText xml:space="preserve"> ADDIN EN.CITE &lt;EndNote&gt;&lt;Cite AuthorYear="1"&gt;&lt;Author&gt;Candelon&lt;/Author&gt;&lt;Year&gt;2011&lt;/Year&gt;&lt;RecNum&gt;742&lt;/RecNum&gt;&lt;DisplayText&gt;Candelon, Kerkour, and Lecourt (2011)&lt;/DisplayText&gt;&lt;record&gt;&lt;rec-number&gt;742&lt;/rec-number&gt;&lt;foreign-keys&gt;&lt;key app="EN" db-id="09p992av6fr0zjepzxpxrf2h9vve0w099a5w" timestamp="1520139658"&gt;742&lt;/key&gt;&lt;/foreign-keys&gt;&lt;ref-type name="Report"&gt;27&lt;/ref-type&gt;&lt;contributors&gt;&lt;authors&gt;&lt;author&gt;Candelon, Bertrand&lt;/author&gt;&lt;author&gt;Kerkour, Malik&lt;/author&gt;&lt;author&gt;Lecourt, Christelle&lt;/author&gt;&lt;/authors&gt;&lt;/contributors&gt;&lt;titles&gt;&lt;title&gt;Are sovereign wealth funds’ investments determined by macroeconomic factors&lt;/title&gt;&lt;/titles&gt;&lt;dates&gt;&lt;year&gt;2011&lt;/year&gt;&lt;/dates&gt;&lt;publisher&gt;University Maastricht Working Paper&lt;/publisher&gt;&lt;urls&gt;&lt;/urls&gt;&lt;/record&gt;&lt;/Cite&gt;&lt;/EndNote&gt;</w:instrText>
      </w:r>
      <w:r>
        <w:fldChar w:fldCharType="separate"/>
      </w:r>
      <w:r>
        <w:rPr>
          <w:noProof/>
        </w:rPr>
        <w:t>Candelon, Kerkour, and Lecourt (2011)</w:t>
      </w:r>
      <w:r>
        <w:fldChar w:fldCharType="end"/>
      </w:r>
      <w:r>
        <w:t xml:space="preserve"> find macroeconomic factors play an important role in SWFs’ investing decisions and that SWFs largely invest in countries with economic and institutional stability. Moreover, they </w:t>
      </w:r>
      <w:r w:rsidR="007D5F12">
        <w:t>claim</w:t>
      </w:r>
      <w:r>
        <w:t xml:space="preserve"> that SWFs use different criteria when deciding on investments in OECD vs non-OECD countries, and </w:t>
      </w:r>
      <w:r w:rsidR="00347E9F">
        <w:t xml:space="preserve">they </w:t>
      </w:r>
      <w:r>
        <w:t xml:space="preserve">tend to re-invest in a country once an initial investment has been made. </w:t>
      </w:r>
      <w:r>
        <w:fldChar w:fldCharType="begin"/>
      </w:r>
      <w:r>
        <w:instrText xml:space="preserve"> ADDIN EN.CITE &lt;EndNote&gt;&lt;Cite AuthorYear="1"&gt;&lt;Author&gt;Ciarlone&lt;/Author&gt;&lt;Year&gt;2014&lt;/Year&gt;&lt;RecNum&gt;912&lt;/RecNum&gt;&lt;DisplayText&gt;Ciarlone and Miceli (2014)&lt;/DisplayText&gt;&lt;record&gt;&lt;rec-number&gt;912&lt;/rec-number&gt;&lt;foreign-keys&gt;&lt;key app="EN" db-id="09p992av6fr0zjepzxpxrf2h9vve0w099a5w" timestamp="1554572732"&gt;912&lt;/key&gt;&lt;/foreign-keys&gt;&lt;ref-type name="Journal Article"&gt;17&lt;/ref-type&gt;&lt;contributors&gt;&lt;authors&gt;&lt;author&gt;Ciarlone, Alessio&lt;/author&gt;&lt;author&gt;Miceli, Valeria&lt;/author&gt;&lt;/authors&gt;&lt;/contributors&gt;&lt;titles&gt;&lt;title&gt;Are Sovereign Wealth Funds contrarian investors?&lt;/title&gt;&lt;secondary-title&gt;Bank of Italy Temi di Discussione (Working Paper) No&lt;/secondary-title&gt;&lt;/titles&gt;&lt;periodical&gt;&lt;full-title&gt;Bank of Italy Temi di Discussione (Working Paper) No&lt;/full-title&gt;&lt;/periodical&gt;&lt;volume&gt;972&lt;/volume&gt;&lt;dates&gt;&lt;year&gt;2014&lt;/year&gt;&lt;/dates&gt;&lt;urls&gt;&lt;/urls&gt;&lt;/record&gt;&lt;/Cite&gt;&lt;/EndNote&gt;</w:instrText>
      </w:r>
      <w:r>
        <w:fldChar w:fldCharType="separate"/>
      </w:r>
      <w:r>
        <w:rPr>
          <w:noProof/>
        </w:rPr>
        <w:t>Ciarlone and Miceli (2014)</w:t>
      </w:r>
      <w:r>
        <w:fldChar w:fldCharType="end"/>
      </w:r>
      <w:r w:rsidRPr="00D0395C">
        <w:t xml:space="preserve"> </w:t>
      </w:r>
      <w:r>
        <w:t>also study how macroeconomic factors affect SWF asset allocation.</w:t>
      </w:r>
      <w:r w:rsidR="00663A7A">
        <w:t xml:space="preserve"> T</w:t>
      </w:r>
      <w:r>
        <w:t>hey</w:t>
      </w:r>
      <w:r w:rsidR="00663A7A">
        <w:t xml:space="preserve"> </w:t>
      </w:r>
      <w:r w:rsidR="00347E9F">
        <w:t xml:space="preserve">note </w:t>
      </w:r>
      <w:r>
        <w:lastRenderedPageBreak/>
        <w:t>that SWFs tend to invest in the countries with more developed financial markets, more stable</w:t>
      </w:r>
      <w:r w:rsidR="00663A7A">
        <w:t xml:space="preserve"> </w:t>
      </w:r>
      <w:r>
        <w:t xml:space="preserve">macroeconomic environments, and better protection for investors. </w:t>
      </w:r>
      <w:r w:rsidR="00663A7A">
        <w:t xml:space="preserve">Especially, they </w:t>
      </w:r>
      <w:r w:rsidR="005137C9">
        <w:t>conclude</w:t>
      </w:r>
      <w:r w:rsidR="00663A7A">
        <w:t xml:space="preserve"> that SWFs show a “contrarian” behavior by increasing their acquisitions in the crisis trapped countries</w:t>
      </w:r>
      <w:r w:rsidR="005137C9">
        <w:t xml:space="preserve">, which means that </w:t>
      </w:r>
      <w:r w:rsidR="00663A7A">
        <w:t xml:space="preserve">SWFs play a role to stabilize the target country financial markets during the period of crisis. </w:t>
      </w:r>
      <w:r w:rsidR="00663A7A">
        <w:fldChar w:fldCharType="begin"/>
      </w:r>
      <w:r w:rsidR="00663A7A">
        <w:instrText xml:space="preserve"> ADDIN EN.CITE &lt;EndNote&gt;&lt;Cite AuthorYear="1"&gt;&lt;Author&gt;Murtinu&lt;/Author&gt;&lt;Year&gt;2016&lt;/Year&gt;&lt;RecNum&gt;915&lt;/RecNum&gt;&lt;DisplayText&gt;Murtinu and Scalera (2016)&lt;/DisplayText&gt;&lt;record&gt;&lt;rec-number&gt;915&lt;/rec-number&gt;&lt;foreign-keys&gt;&lt;key app="EN" db-id="09p992av6fr0zjepzxpxrf2h9vve0w099a5w" timestamp="1554573143"&gt;915&lt;/key&gt;&lt;/foreign-keys&gt;&lt;ref-type name="Journal Article"&gt;17&lt;/ref-type&gt;&lt;contributors&gt;&lt;authors&gt;&lt;author&gt;Murtinu, Samuele&lt;/author&gt;&lt;author&gt;Scalera, Vittoria G&lt;/author&gt;&lt;/authors&gt;&lt;/contributors&gt;&lt;titles&gt;&lt;title&gt;Sovereign wealth funds&amp;apos; internationalization strategies: the use of investment vehicles&lt;/title&gt;&lt;secondary-title&gt;Journal of International Management&lt;/secondary-title&gt;&lt;/titles&gt;&lt;periodical&gt;&lt;full-title&gt;Journal of International Management&lt;/full-title&gt;&lt;/periodical&gt;&lt;pages&gt;249-264&lt;/pages&gt;&lt;volume&gt;22&lt;/volume&gt;&lt;number&gt;3&lt;/number&gt;&lt;dates&gt;&lt;year&gt;2016&lt;/year&gt;&lt;/dates&gt;&lt;isbn&gt;1075-4253&lt;/isbn&gt;&lt;urls&gt;&lt;/urls&gt;&lt;/record&gt;&lt;/Cite&gt;&lt;/EndNote&gt;</w:instrText>
      </w:r>
      <w:r w:rsidR="00663A7A">
        <w:fldChar w:fldCharType="separate"/>
      </w:r>
      <w:r w:rsidR="00663A7A">
        <w:rPr>
          <w:noProof/>
        </w:rPr>
        <w:t>Murtinu and Scalera (2016)</w:t>
      </w:r>
      <w:r w:rsidR="00663A7A">
        <w:fldChar w:fldCharType="end"/>
      </w:r>
      <w:r w:rsidR="00663A7A">
        <w:t xml:space="preserve"> claim that low transparency SWFs have a greater incentive to use investment vehicles to avoid potential hostility from the target country government. </w:t>
      </w:r>
      <w:r w:rsidR="005137C9">
        <w:fldChar w:fldCharType="begin"/>
      </w:r>
      <w:r w:rsidR="005137C9">
        <w:instrText xml:space="preserve"> ADDIN EN.CITE &lt;EndNote&gt;&lt;Cite AuthorYear="1"&gt;&lt;Author&gt;Debarsy&lt;/Author&gt;&lt;Year&gt;2017&lt;/Year&gt;&lt;RecNum&gt;35&lt;/RecNum&gt;&lt;DisplayText&gt;Debarsy, Gnabo, and Kerkour (2017)&lt;/DisplayText&gt;&lt;record&gt;&lt;rec-number&gt;35&lt;/rec-number&gt;&lt;foreign-keys&gt;&lt;key app="EN" db-id="09p992av6fr0zjepzxpxrf2h9vve0w099a5w" timestamp="1517174268"&gt;35&lt;/key&gt;&lt;/foreign-keys&gt;&lt;ref-type name="Journal Article"&gt;17&lt;/ref-type&gt;&lt;contributors&gt;&lt;authors&gt;&lt;author&gt;Debarsy, N.&lt;/author&gt;&lt;author&gt;Gnabo, J. Y.&lt;/author&gt;&lt;author&gt;Kerkour, M.&lt;/author&gt;&lt;/authors&gt;&lt;/contributors&gt;&lt;titles&gt;&lt;title&gt;Sovereign wealth funds&amp;apos; cross-border investments: Assessing the role of country-level drivers and spatial competition&lt;/title&gt;&lt;secondary-title&gt;Journal of International Money and Finance&lt;/secondary-title&gt;&lt;/titles&gt;&lt;periodical&gt;&lt;full-title&gt;Journal of International Money and Finance&lt;/full-title&gt;&lt;/periodical&gt;&lt;pages&gt;68-87&lt;/pages&gt;&lt;volume&gt;76&lt;/volume&gt;&lt;dates&gt;&lt;year&gt;2017&lt;/year&gt;&lt;pub-dates&gt;&lt;date&gt;Sep&lt;/date&gt;&lt;/pub-dates&gt;&lt;/dates&gt;&lt;isbn&gt;0261-5606&lt;/isbn&gt;&lt;accession-num&gt;WOS:000405457400005&lt;/accession-num&gt;&lt;urls&gt;&lt;related-urls&gt;&lt;url&gt;&amp;lt;Go to ISI&amp;gt;://WOS:000405457400005&lt;/url&gt;&lt;/related-urls&gt;&lt;/urls&gt;&lt;electronic-resource-num&gt;10.1016/j.jimonfin.2017.05.007&lt;/electronic-resource-num&gt;&lt;/record&gt;&lt;/Cite&gt;&lt;/EndNote&gt;</w:instrText>
      </w:r>
      <w:r w:rsidR="005137C9">
        <w:fldChar w:fldCharType="separate"/>
      </w:r>
      <w:r w:rsidR="005137C9">
        <w:rPr>
          <w:noProof/>
        </w:rPr>
        <w:t>Debarsy, Gnabo, and Kerkour (2017)</w:t>
      </w:r>
      <w:r w:rsidR="005137C9">
        <w:fldChar w:fldCharType="end"/>
      </w:r>
      <w:r w:rsidR="005137C9">
        <w:t xml:space="preserve"> also investigate the impact of the national macroeconomic and political factors on cross-border SWF investments. </w:t>
      </w:r>
      <w:r w:rsidR="005137C9">
        <w:rPr>
          <w:rFonts w:hint="eastAsia"/>
        </w:rPr>
        <w:t>T</w:t>
      </w:r>
      <w:r w:rsidR="005137C9">
        <w:t xml:space="preserve">hey find that countries with higher GDP per capita, more developed financial systems, lower stock market volatility, and better political stability attract more capital inflows from foreign SWFs. </w:t>
      </w:r>
    </w:p>
    <w:p w:rsidR="00412A62" w:rsidRDefault="005137C9" w:rsidP="00412A62">
      <w:pPr>
        <w:wordWrap/>
        <w:spacing w:line="400" w:lineRule="exact"/>
        <w:ind w:firstLineChars="200" w:firstLine="480"/>
      </w:pPr>
      <w:r>
        <w:t>Besides, there</w:t>
      </w:r>
      <w:r w:rsidR="007D5F12">
        <w:t xml:space="preserve"> is a major debate about whether SWFs behave like other classes of international investors with profit maximization goals.</w:t>
      </w:r>
      <w:r>
        <w:t xml:space="preserve"> </w:t>
      </w:r>
      <w:r w:rsidR="007D5F12">
        <w:fldChar w:fldCharType="begin"/>
      </w:r>
      <w:r w:rsidR="007D5F12">
        <w:instrText xml:space="preserve"> ADDIN EN.CITE &lt;EndNote&gt;&lt;Cite AuthorYear="1"&gt;&lt;Author&gt;Avendano&lt;/Author&gt;&lt;Year&gt;2010&lt;/Year&gt;&lt;RecNum&gt;911&lt;/RecNum&gt;&lt;DisplayText&gt;Avendano (2010)&lt;/DisplayText&gt;&lt;record&gt;&lt;rec-number&gt;911&lt;/rec-number&gt;&lt;foreign-keys&gt;&lt;key app="EN" db-id="09p992av6fr0zjepzxpxrf2h9vve0w099a5w" timestamp="1554572056"&gt;911&lt;/key&gt;&lt;/foreign-keys&gt;&lt;ref-type name="Journal Article"&gt;17&lt;/ref-type&gt;&lt;contributors&gt;&lt;authors&gt;&lt;author&gt;Avendano, Rolando&lt;/author&gt;&lt;/authors&gt;&lt;/contributors&gt;&lt;titles&gt;&lt;title&gt;Sovereign wealth fund investments: From firm-level preferences to natural endowments&lt;/title&gt;&lt;secondary-title&gt;Paris School of Economics Working Paper&lt;/secondary-title&gt;&lt;/titles&gt;&lt;periodical&gt;&lt;full-title&gt;Paris School of Economics Working Paper&lt;/full-title&gt;&lt;/periodical&gt;&lt;volume&gt;7&lt;/volume&gt;&lt;dates&gt;&lt;year&gt;2010&lt;/year&gt;&lt;/dates&gt;&lt;urls&gt;&lt;/urls&gt;&lt;/record&gt;&lt;/Cite&gt;&lt;/EndNote&gt;</w:instrText>
      </w:r>
      <w:r w:rsidR="007D5F12">
        <w:fldChar w:fldCharType="separate"/>
      </w:r>
      <w:r w:rsidR="007D5F12">
        <w:rPr>
          <w:noProof/>
        </w:rPr>
        <w:t>Avendano (2010)</w:t>
      </w:r>
      <w:r w:rsidR="007D5F12">
        <w:fldChar w:fldCharType="end"/>
      </w:r>
      <w:r w:rsidR="007D5F12">
        <w:t xml:space="preserve"> finds SWFs prefer to invest in larger and internationally active firms, but OECD-based and non-OECD-based funds differ in their preferences about target-firm leverage, degree of internationalization, and profitability.</w:t>
      </w:r>
      <w:r>
        <w:t xml:space="preserve"> </w:t>
      </w:r>
      <w:r w:rsidR="00412A62">
        <w:fldChar w:fldCharType="begin"/>
      </w:r>
      <w:r w:rsidR="00412A62">
        <w:instrText xml:space="preserve"> ADDIN EN.CITE &lt;EndNote&gt;&lt;Cite AuthorYear="1"&gt;&lt;Author&gt;Boubakri&lt;/Author&gt;&lt;Year&gt;2016&lt;/Year&gt;&lt;RecNum&gt;909&lt;/RecNum&gt;&lt;DisplayText&gt;Boubakri, Cosset, and Grira (2016)&lt;/DisplayText&gt;&lt;record&gt;&lt;rec-number&gt;909&lt;/rec-number&gt;&lt;foreign-keys&gt;&lt;key app="EN" db-id="09p992av6fr0zjepzxpxrf2h9vve0w099a5w" timestamp="1554277671"&gt;909&lt;/key&gt;&lt;/foreign-keys&gt;&lt;ref-type name="Journal Article"&gt;17&lt;/ref-type&gt;&lt;contributors&gt;&lt;authors&gt;&lt;author&gt;Boubakri, Narjess&lt;/author&gt;&lt;author&gt;Cosset, Jean-Claude&lt;/author&gt;&lt;author&gt;Grira, Jocelyn&lt;/author&gt;&lt;/authors&gt;&lt;/contributors&gt;&lt;titles&gt;&lt;title&gt;Sovereign wealth funds targets selection: A comparison with pension funds&lt;/title&gt;&lt;secondary-title&gt;Journal of International Financial Markets, Institutions and Money&lt;/secondary-title&gt;&lt;/titles&gt;&lt;periodical&gt;&lt;full-title&gt;Journal of International Financial Markets, Institutions and Money&lt;/full-title&gt;&lt;/periodical&gt;&lt;pages&gt;60-76&lt;/pages&gt;&lt;volume&gt;42&lt;/volume&gt;&lt;dates&gt;&lt;year&gt;2016&lt;/year&gt;&lt;/dates&gt;&lt;isbn&gt;1042-4431&lt;/isbn&gt;&lt;urls&gt;&lt;/urls&gt;&lt;/record&gt;&lt;/Cite&gt;&lt;/EndNote&gt;</w:instrText>
      </w:r>
      <w:r w:rsidR="00412A62">
        <w:fldChar w:fldCharType="separate"/>
      </w:r>
      <w:r w:rsidR="00412A62">
        <w:rPr>
          <w:noProof/>
        </w:rPr>
        <w:t>Boubakri, Cosset, and Grira (2016)</w:t>
      </w:r>
      <w:r w:rsidR="00412A62">
        <w:fldChar w:fldCharType="end"/>
      </w:r>
      <w:r w:rsidR="00412A62">
        <w:t xml:space="preserve"> compare the target selection criteria between SWFs and another group of institutional investors, pension funds. Their results show that SWFs are more likely to be attracted by firms with higher profitability, operating in strategic industries, and operating in countries with weaker legal and institutional environments and greater economic growth. However, they also find that SWFs are less concerned about a firm’s size, liquidity, and dividend payout than are pension funds.</w:t>
      </w:r>
    </w:p>
    <w:p w:rsidR="00C1781F" w:rsidRDefault="00CE7957" w:rsidP="00C1781F">
      <w:pPr>
        <w:wordWrap/>
        <w:spacing w:line="400" w:lineRule="exact"/>
        <w:ind w:firstLineChars="200" w:firstLine="480"/>
      </w:pPr>
      <w:r w:rsidRPr="000F20CB">
        <w:t>SWF</w:t>
      </w:r>
      <w:r>
        <w:t>s’ outbound</w:t>
      </w:r>
      <w:r w:rsidRPr="000F20CB">
        <w:t xml:space="preserve"> investment</w:t>
      </w:r>
      <w:r>
        <w:t>s</w:t>
      </w:r>
      <w:r w:rsidRPr="000F20CB">
        <w:t xml:space="preserve"> </w:t>
      </w:r>
      <w:r>
        <w:t xml:space="preserve">have </w:t>
      </w:r>
      <w:r w:rsidRPr="000F20CB">
        <w:t>many similarities with foreign direct investment</w:t>
      </w:r>
      <w:r>
        <w:t>s</w:t>
      </w:r>
      <w:r w:rsidRPr="000F20CB">
        <w:t xml:space="preserve"> (FDI) in many aspects (such as long-term investment, cross-border capital flow, etc.)</w:t>
      </w:r>
      <w:r>
        <w:t xml:space="preserve"> </w:t>
      </w:r>
      <w:r w:rsidRPr="00674CAB">
        <w:t>except for not seeking control over the invested enterprises.</w:t>
      </w:r>
      <w:r w:rsidR="00D54B7A" w:rsidRPr="00D54B7A">
        <w:t xml:space="preserve"> Therefore, the research</w:t>
      </w:r>
      <w:r w:rsidR="00B43D08">
        <w:t>es</w:t>
      </w:r>
      <w:r w:rsidR="00D54B7A" w:rsidRPr="00D54B7A">
        <w:t xml:space="preserve"> on FDI </w:t>
      </w:r>
      <w:r w:rsidR="00B43D08">
        <w:t>are</w:t>
      </w:r>
      <w:r w:rsidR="00D54B7A" w:rsidRPr="00D54B7A">
        <w:t xml:space="preserve"> also of great reference value.</w:t>
      </w:r>
      <w:r w:rsidR="0064203E">
        <w:t xml:space="preserve"> There are</w:t>
      </w:r>
      <w:r w:rsidR="00B43D08">
        <w:t xml:space="preserve"> much</w:t>
      </w:r>
      <w:r w:rsidR="0064203E">
        <w:t xml:space="preserve"> literature analyzing</w:t>
      </w:r>
      <w:r w:rsidRPr="000F20CB">
        <w:t xml:space="preserve"> </w:t>
      </w:r>
      <w:r w:rsidR="0064203E">
        <w:t xml:space="preserve">what can attract </w:t>
      </w:r>
      <w:r w:rsidRPr="000F20CB">
        <w:t>foreign investment</w:t>
      </w:r>
      <w:r w:rsidR="0064203E">
        <w:t>s</w:t>
      </w:r>
      <w:r w:rsidRPr="000F20CB">
        <w:t xml:space="preserve"> from the perspective of inflow countries. </w:t>
      </w:r>
      <w:r>
        <w:fldChar w:fldCharType="begin"/>
      </w:r>
      <w:r>
        <w:instrText xml:space="preserve"> ADDIN EN.CITE &lt;EndNote&gt;&lt;Cite AuthorYear="1"&gt;&lt;Author&gt;Nunes&lt;/Author&gt;&lt;Year&gt;2006&lt;/Year&gt;&lt;RecNum&gt;898&lt;/RecNum&gt;&lt;DisplayText&gt;Nunes, Oscátegui Arteta, and Peschiera (2006)&lt;/DisplayText&gt;&lt;record&gt;&lt;rec-number&gt;898&lt;/rec-number&gt;&lt;foreign-keys&gt;&lt;key app="EN" db-id="09p992av6fr0zjepzxpxrf2h9vve0w099a5w" timestamp="1554102990"&gt;898&lt;/key&gt;&lt;/foreign-keys&gt;&lt;ref-type name="Journal Article"&gt;17&lt;/ref-type&gt;&lt;contributors&gt;&lt;authors&gt;&lt;author&gt;Nunes, Luis C&lt;/author&gt;&lt;author&gt;Oscátegui Arteta, José Alberto&lt;/author&gt;&lt;author&gt;Peschiera, Juan&lt;/author&gt;&lt;/authors&gt;&lt;/contributors&gt;&lt;titles&gt;&lt;title&gt;Determinants of FDI in Latin America&lt;/title&gt;&lt;/titles&gt;&lt;dates&gt;&lt;year&gt;2006&lt;/year&gt;&lt;/dates&gt;&lt;urls&gt;&lt;/urls&gt;&lt;/record&gt;&lt;/Cite&gt;&lt;/EndNote&gt;</w:instrText>
      </w:r>
      <w:r>
        <w:fldChar w:fldCharType="separate"/>
      </w:r>
      <w:r>
        <w:rPr>
          <w:noProof/>
        </w:rPr>
        <w:t>Nunes, Oscátegui Arteta, and Peschiera (2006)</w:t>
      </w:r>
      <w:r>
        <w:fldChar w:fldCharType="end"/>
      </w:r>
      <w:r w:rsidRPr="000F20CB">
        <w:t xml:space="preserve"> </w:t>
      </w:r>
      <w:r w:rsidR="0064203E">
        <w:t>study</w:t>
      </w:r>
      <w:r w:rsidRPr="000F20CB">
        <w:t xml:space="preserve"> the considerations when foreign capital invest in Latin American countries</w:t>
      </w:r>
      <w:r w:rsidR="0064203E">
        <w:t xml:space="preserve">. They </w:t>
      </w:r>
      <w:r w:rsidR="00B43D08">
        <w:t>find</w:t>
      </w:r>
      <w:r w:rsidR="0064203E">
        <w:t xml:space="preserve"> that </w:t>
      </w:r>
      <w:r w:rsidRPr="000F20CB">
        <w:t>market size, infrastructure, economic openness, macroeconomic stability, accu</w:t>
      </w:r>
      <w:r w:rsidR="00B43D08">
        <w:t xml:space="preserve">mulation of human capital </w:t>
      </w:r>
      <w:proofErr w:type="gramStart"/>
      <w:r w:rsidR="00B43D08">
        <w:t>have</w:t>
      </w:r>
      <w:proofErr w:type="gramEnd"/>
      <w:r w:rsidR="0064203E">
        <w:t xml:space="preserve"> much positive influence</w:t>
      </w:r>
      <w:r w:rsidRPr="000F20CB">
        <w:t>, while inflation and wage levels would play a negative role.</w:t>
      </w:r>
      <w:r>
        <w:t xml:space="preserve"> </w:t>
      </w:r>
      <w:r>
        <w:fldChar w:fldCharType="begin"/>
      </w:r>
      <w:r>
        <w:instrText xml:space="preserve"> ADDIN EN.CITE &lt;EndNote&gt;&lt;Cite AuthorYear="1"&gt;&lt;Author&gt;Vijayakumar&lt;/Author&gt;&lt;Year&gt;2010&lt;/Year&gt;&lt;RecNum&gt;899&lt;/RecNum&gt;&lt;DisplayText&gt;Vijayakumar, Sridharan, and Rao (2010)&lt;/DisplayText&gt;&lt;record&gt;&lt;rec-number&gt;899&lt;/rec-number&gt;&lt;foreign-keys&gt;&lt;key app="EN" db-id="09p992av6fr0zjepzxpxrf2h9vve0w099a5w" timestamp="1554104768"&gt;899&lt;/key&gt;&lt;/foreign-keys&gt;&lt;ref-type name="Journal Article"&gt;17&lt;/ref-type&gt;&lt;contributors&gt;&lt;authors&gt;&lt;author&gt;Vijayakumar, Narayanamurthy&lt;/author&gt;&lt;author&gt;Sridharan, Perumal&lt;/author&gt;&lt;author&gt;Rao, Kode Chandra Sekhara&lt;/author&gt;&lt;/authors&gt;&lt;/contributors&gt;&lt;titles&gt;&lt;title&gt;Determinants of FDI in BRICS Countries: A panel analysis&lt;/title&gt;&lt;secondary-title&gt;International Journal of Business Science &amp;amp; Applied Management (IJBSAM)&lt;/secondary-title&gt;&lt;/titles&gt;&lt;periodical&gt;&lt;full-title&gt;International Journal of Business Science &amp;amp; Applied Management (IJBSAM)&lt;/full-title&gt;&lt;/periodical&gt;&lt;pages&gt;1-13&lt;/pages&gt;&lt;volume&gt;5&lt;/volume&gt;&lt;number&gt;3&lt;/number&gt;&lt;dates&gt;&lt;year&gt;2010&lt;/year&gt;&lt;/dates&gt;&lt;isbn&gt;1753-0296&lt;/isbn&gt;&lt;urls&gt;&lt;/urls&gt;&lt;/record&gt;&lt;/Cite&gt;&lt;/EndNote&gt;</w:instrText>
      </w:r>
      <w:r>
        <w:fldChar w:fldCharType="separate"/>
      </w:r>
      <w:r>
        <w:rPr>
          <w:noProof/>
        </w:rPr>
        <w:t>Vijayakumar, Sridharan, and Rao (2010)</w:t>
      </w:r>
      <w:r>
        <w:fldChar w:fldCharType="end"/>
      </w:r>
      <w:r w:rsidRPr="000F20CB">
        <w:t xml:space="preserve"> have similar research purposes and methods. By analyzing the data of BRICS (Brazil, Russia, India, China, South Africa) from 1975 to 2007, they </w:t>
      </w:r>
      <w:r w:rsidR="00C1475E">
        <w:t>find</w:t>
      </w:r>
      <w:r w:rsidRPr="000F20CB">
        <w:t xml:space="preserve"> that market size, labor costs, infrastructure, monetary value and total capital </w:t>
      </w:r>
      <w:r w:rsidRPr="000F20CB">
        <w:lastRenderedPageBreak/>
        <w:t>formation are the determinants of attracting foreign capital inflows. Economic stability (</w:t>
      </w:r>
      <w:r w:rsidR="00C1475E">
        <w:t xml:space="preserve">measured by </w:t>
      </w:r>
      <w:r w:rsidRPr="000F20CB">
        <w:t>inflation rate), growth prospects (measured by industrial production), and trade openness (the ratio of total trade to GDP) seem irrelevant.</w:t>
      </w:r>
      <w:r>
        <w:t xml:space="preserve"> </w:t>
      </w:r>
    </w:p>
    <w:p w:rsidR="00947B67" w:rsidRPr="00D0395C" w:rsidRDefault="00A6503E" w:rsidP="004C2E18">
      <w:pPr>
        <w:wordWrap/>
        <w:spacing w:line="400" w:lineRule="exact"/>
        <w:ind w:firstLineChars="200" w:firstLine="480"/>
      </w:pPr>
      <w:r w:rsidRPr="00A6503E">
        <w:t xml:space="preserve">Some documents have begun to </w:t>
      </w:r>
      <w:r>
        <w:t xml:space="preserve">research </w:t>
      </w:r>
      <w:r w:rsidRPr="00A6503E">
        <w:t>the political factors behind FDI.</w:t>
      </w:r>
      <w:r w:rsidR="00B43D08">
        <w:t xml:space="preserve"> </w:t>
      </w:r>
      <w:r w:rsidR="00C1475E">
        <w:fldChar w:fldCharType="begin"/>
      </w:r>
      <w:r w:rsidR="00C1475E">
        <w:instrText xml:space="preserve"> ADDIN EN.CITE &lt;EndNote&gt;&lt;Cite AuthorYear="1"&gt;&lt;Author&gt;Addison&lt;/Author&gt;&lt;Year&gt;2003&lt;/Year&gt;&lt;RecNum&gt;900&lt;/RecNum&gt;&lt;DisplayText&gt;Addison and Heshmati (2003)&lt;/DisplayText&gt;&lt;record&gt;&lt;rec-number&gt;900&lt;/rec-number&gt;&lt;foreign-keys&gt;&lt;key app="EN" db-id="09p992av6fr0zjepzxpxrf2h9vve0w099a5w" timestamp="1554106131"&gt;900&lt;/key&gt;&lt;/foreign-keys&gt;&lt;ref-type name="Book"&gt;6&lt;/ref-type&gt;&lt;contributors&gt;&lt;authors&gt;&lt;author&gt;Addison, Tony&lt;/author&gt;&lt;author&gt;Heshmati, Almas&lt;/author&gt;&lt;/authors&gt;&lt;/contributors&gt;&lt;titles&gt;&lt;title&gt;The new global determinants of FDI flows to developing countries: The importance of ICT and democratization&lt;/title&gt;&lt;/titles&gt;&lt;number&gt;2003/45&lt;/number&gt;&lt;dates&gt;&lt;year&gt;2003&lt;/year&gt;&lt;/dates&gt;&lt;publisher&gt;WIDER Discussion Papers//World Institute for Development Economics (UNU-WIDER)&lt;/publisher&gt;&lt;isbn&gt;9291904775&lt;/isbn&gt;&lt;urls&gt;&lt;/urls&gt;&lt;/record&gt;&lt;/Cite&gt;&lt;/EndNote&gt;</w:instrText>
      </w:r>
      <w:r w:rsidR="00C1475E">
        <w:fldChar w:fldCharType="separate"/>
      </w:r>
      <w:r w:rsidR="00C1475E">
        <w:rPr>
          <w:noProof/>
        </w:rPr>
        <w:t>Addison and Heshmati (2003)</w:t>
      </w:r>
      <w:r w:rsidR="00C1475E">
        <w:fldChar w:fldCharType="end"/>
      </w:r>
      <w:r w:rsidR="00C1475E" w:rsidRPr="00C1475E">
        <w:t xml:space="preserve"> analyze the </w:t>
      </w:r>
      <w:r w:rsidR="00C1781F">
        <w:t>data</w:t>
      </w:r>
      <w:r w:rsidR="00C1475E" w:rsidRPr="00C1475E">
        <w:t xml:space="preserve"> of FDI </w:t>
      </w:r>
      <w:r w:rsidR="00C1781F">
        <w:t xml:space="preserve">to </w:t>
      </w:r>
      <w:r w:rsidR="00C1475E" w:rsidRPr="00C1475E">
        <w:t>developing countries from 1970 to 1999</w:t>
      </w:r>
      <w:r w:rsidR="00C1781F">
        <w:t>. T</w:t>
      </w:r>
      <w:r w:rsidR="00C1475E" w:rsidRPr="00C1475E">
        <w:t>hey believe</w:t>
      </w:r>
      <w:r w:rsidR="00C1781F">
        <w:t xml:space="preserve"> that democratization and </w:t>
      </w:r>
      <w:proofErr w:type="spellStart"/>
      <w:r w:rsidR="00C1781F" w:rsidRPr="00C1781F">
        <w:t>informatization</w:t>
      </w:r>
      <w:proofErr w:type="spellEnd"/>
      <w:r w:rsidR="00C1781F">
        <w:t xml:space="preserve"> play</w:t>
      </w:r>
      <w:r w:rsidR="00C1475E" w:rsidRPr="00C1475E">
        <w:t xml:space="preserve"> a positive role.</w:t>
      </w:r>
      <w:r w:rsidR="00C1781F" w:rsidRPr="00C1781F">
        <w:t xml:space="preserve"> </w:t>
      </w:r>
      <w:r w:rsidR="00C1781F">
        <w:t>B</w:t>
      </w:r>
      <w:r w:rsidR="00C1781F" w:rsidRPr="00C1781F">
        <w:t>ased on a questionnaire survey of CEOs of major transnational corporations in the United States,</w:t>
      </w:r>
      <w:r w:rsidR="00C1781F">
        <w:t xml:space="preserve"> </w:t>
      </w:r>
      <w:r w:rsidR="00C1475E">
        <w:fldChar w:fldCharType="begin"/>
      </w:r>
      <w:r w:rsidR="00C1475E">
        <w:instrText xml:space="preserve"> ADDIN EN.CITE &lt;EndNote&gt;&lt;Cite AuthorYear="1"&gt;&lt;Author&gt;Biglaiser&lt;/Author&gt;&lt;Year&gt;2010&lt;/Year&gt;&lt;RecNum&gt;901&lt;/RecNum&gt;&lt;DisplayText&gt;Biglaiser and Staats (2010)&lt;/DisplayText&gt;&lt;record&gt;&lt;rec-number&gt;901&lt;/rec-number&gt;&lt;foreign-keys&gt;&lt;key app="EN" db-id="09p992av6fr0zjepzxpxrf2h9vve0w099a5w" timestamp="1554106674"&gt;901&lt;/key&gt;&lt;/foreign-keys&gt;&lt;ref-type name="Journal Article"&gt;17&lt;/ref-type&gt;&lt;contributors&gt;&lt;authors&gt;&lt;author&gt;Biglaiser, Glen&lt;/author&gt;&lt;author&gt;Staats, Joseph L&lt;/author&gt;&lt;/authors&gt;&lt;/contributors&gt;&lt;titles&gt;&lt;title&gt;Do political institutions affect foreign direct investment? A survey of US corporations in Latin America&lt;/title&gt;&lt;secondary-title&gt;Political Research Quarterly&lt;/secondary-title&gt;&lt;/titles&gt;&lt;periodical&gt;&lt;full-title&gt;Political Research Quarterly&lt;/full-title&gt;&lt;/periodical&gt;&lt;pages&gt;508-522&lt;/pages&gt;&lt;volume&gt;63&lt;/volume&gt;&lt;number&gt;3&lt;/number&gt;&lt;dates&gt;&lt;year&gt;2010&lt;/year&gt;&lt;/dates&gt;&lt;isbn&gt;1065-9129&lt;/isbn&gt;&lt;urls&gt;&lt;/urls&gt;&lt;/record&gt;&lt;/Cite&gt;&lt;/EndNote&gt;</w:instrText>
      </w:r>
      <w:r w:rsidR="00C1475E">
        <w:fldChar w:fldCharType="separate"/>
      </w:r>
      <w:r w:rsidR="00C1475E">
        <w:rPr>
          <w:noProof/>
        </w:rPr>
        <w:t>Biglaiser and Staats (2010)</w:t>
      </w:r>
      <w:r w:rsidR="00C1475E">
        <w:fldChar w:fldCharType="end"/>
      </w:r>
      <w:r w:rsidR="00C1781F" w:rsidRPr="00C1781F">
        <w:t xml:space="preserve"> argue that transnational corporations pay most attention to the operation mechanism of democratic systems, such as property rights protection, the effectiveness of the judicial system, rather than the democratic system itself, when investing in Latin America.</w:t>
      </w:r>
      <w:r w:rsidR="00C1781F">
        <w:t xml:space="preserve"> </w:t>
      </w:r>
      <w:r w:rsidR="00012E45">
        <w:t xml:space="preserve">Both </w:t>
      </w:r>
      <w:r w:rsidR="00C1475E">
        <w:fldChar w:fldCharType="begin"/>
      </w:r>
      <w:r w:rsidR="00012E45">
        <w:instrText xml:space="preserve"> ADDIN EN.CITE &lt;EndNote&gt;&lt;Cite&gt;&lt;Author&gt;Gupta&lt;/Author&gt;&lt;Year&gt;2007&lt;/Year&gt;&lt;RecNum&gt;880&lt;/RecNum&gt;&lt;DisplayText&gt;(Gupta &amp;amp; Yu, 2007)&lt;/DisplayText&gt;&lt;record&gt;&lt;rec-number&gt;880&lt;/rec-number&gt;&lt;foreign-keys&gt;&lt;key app="EN" db-id="09p992av6fr0zjepzxpxrf2h9vve0w099a5w" timestamp="1551603032"&gt;880&lt;/key&gt;&lt;/foreign-keys&gt;&lt;ref-type name="Journal Article"&gt;17&lt;/ref-type&gt;&lt;contributors&gt;&lt;authors&gt;&lt;author&gt;Gupta, Nandini&lt;/author&gt;&lt;author&gt;Yu, Xiaoyun&lt;/author&gt;&lt;/authors&gt;&lt;/contributors&gt;&lt;titles&gt;&lt;title&gt;Does money follow the flag?&lt;/title&gt;&lt;/titles&gt;&lt;dates&gt;&lt;year&gt;2007&lt;/year&gt;&lt;/dates&gt;&lt;urls&gt;&lt;/urls&gt;&lt;/record&gt;&lt;/Cite&gt;&lt;/EndNote&gt;</w:instrText>
      </w:r>
      <w:r w:rsidR="00C1475E">
        <w:fldChar w:fldCharType="separate"/>
      </w:r>
      <w:r w:rsidR="00012E45">
        <w:rPr>
          <w:noProof/>
        </w:rPr>
        <w:t>(Gupta &amp; Yu, 2007)</w:t>
      </w:r>
      <w:r w:rsidR="00C1475E">
        <w:fldChar w:fldCharType="end"/>
      </w:r>
      <w:r w:rsidR="00C1781F" w:rsidRPr="00C1781F">
        <w:t xml:space="preserve"> </w:t>
      </w:r>
      <w:r w:rsidR="00012E45">
        <w:t xml:space="preserve">and </w:t>
      </w:r>
      <w:r w:rsidR="00C1475E">
        <w:fldChar w:fldCharType="begin"/>
      </w:r>
      <w:r w:rsidR="00012E45">
        <w:instrText xml:space="preserve"> ADDIN EN.CITE &lt;EndNote&gt;&lt;Cite&gt;&lt;Author&gt;Li&lt;/Author&gt;&lt;Year&gt;2010&lt;/Year&gt;&lt;RecNum&gt;883&lt;/RecNum&gt;&lt;DisplayText&gt;(Li &amp;amp; Vashchilko, 2010)&lt;/DisplayText&gt;&lt;record&gt;&lt;rec-number&gt;883&lt;/rec-number&gt;&lt;foreign-keys&gt;&lt;key app="EN" db-id="09p992av6fr0zjepzxpxrf2h9vve0w099a5w" timestamp="1551613010"&gt;883&lt;/key&gt;&lt;/foreign-keys&gt;&lt;ref-type name="Journal Article"&gt;17&lt;/ref-type&gt;&lt;contributors&gt;&lt;authors&gt;&lt;author&gt;Li, Quan&lt;/author&gt;&lt;author&gt;Vashchilko, Tatiana&lt;/author&gt;&lt;/authors&gt;&lt;/contributors&gt;&lt;titles&gt;&lt;title&gt;Dyadic military conflict, security alliances, and bilateral FDI flows&lt;/title&gt;&lt;secondary-title&gt;Journal of International Business Studies&lt;/secondary-title&gt;&lt;/titles&gt;&lt;periodical&gt;&lt;full-title&gt;Journal of International Business Studies&lt;/full-title&gt;&lt;/periodical&gt;&lt;pages&gt;765-782&lt;/pages&gt;&lt;volume&gt;41&lt;/volume&gt;&lt;number&gt;5&lt;/number&gt;&lt;dates&gt;&lt;year&gt;2010&lt;/year&gt;&lt;/dates&gt;&lt;isbn&gt;0047-2506&lt;/isbn&gt;&lt;urls&gt;&lt;/urls&gt;&lt;/record&gt;&lt;/Cite&gt;&lt;/EndNote&gt;</w:instrText>
      </w:r>
      <w:r w:rsidR="00C1475E">
        <w:fldChar w:fldCharType="separate"/>
      </w:r>
      <w:r w:rsidR="00012E45">
        <w:rPr>
          <w:noProof/>
        </w:rPr>
        <w:t>(Li &amp; Vashchilko, 2010)</w:t>
      </w:r>
      <w:r w:rsidR="00C1475E">
        <w:fldChar w:fldCharType="end"/>
      </w:r>
      <w:r w:rsidR="00C1781F">
        <w:t xml:space="preserve"> </w:t>
      </w:r>
      <w:r w:rsidR="00012E45" w:rsidRPr="00012E45">
        <w:t>find that investors would consider changes in political relations when making outward FDI.</w:t>
      </w:r>
      <w:r w:rsidR="00012E45">
        <w:t xml:space="preserve"> </w:t>
      </w:r>
    </w:p>
    <w:p w:rsidR="004C2E18" w:rsidRDefault="00D37811" w:rsidP="00D37811">
      <w:pPr>
        <w:pStyle w:val="2"/>
        <w:numPr>
          <w:ilvl w:val="0"/>
          <w:numId w:val="46"/>
        </w:numPr>
      </w:pPr>
      <w:r>
        <w:rPr>
          <w:rFonts w:hint="eastAsia"/>
        </w:rPr>
        <w:t>M</w:t>
      </w:r>
      <w:r w:rsidRPr="00D37811">
        <w:t>ethodology</w:t>
      </w:r>
      <w:r w:rsidR="00947B67">
        <w:t xml:space="preserve"> </w:t>
      </w:r>
      <w:r w:rsidR="00947B67">
        <w:rPr>
          <w:rFonts w:hint="eastAsia"/>
        </w:rPr>
        <w:t>and</w:t>
      </w:r>
      <w:r w:rsidR="00947B67">
        <w:t xml:space="preserve"> Data</w:t>
      </w:r>
    </w:p>
    <w:p w:rsidR="00D37811" w:rsidRDefault="004F36FA" w:rsidP="00D37811">
      <w:pPr>
        <w:pStyle w:val="3"/>
      </w:pPr>
      <w:bookmarkStart w:id="0" w:name="_Toc3842393"/>
      <w:r>
        <w:t>3</w:t>
      </w:r>
      <w:r w:rsidR="00D37811">
        <w:t xml:space="preserve">.1 </w:t>
      </w:r>
      <w:r w:rsidR="00D37811">
        <w:rPr>
          <w:rFonts w:hint="eastAsia"/>
        </w:rPr>
        <w:t>Model</w:t>
      </w:r>
      <w:bookmarkEnd w:id="0"/>
      <w:r w:rsidR="00D37811">
        <w:rPr>
          <w:rFonts w:hint="eastAsia"/>
        </w:rPr>
        <w:t>s</w:t>
      </w:r>
    </w:p>
    <w:p w:rsidR="00A87822" w:rsidRDefault="00A87822" w:rsidP="00D37811">
      <w:pPr>
        <w:wordWrap/>
        <w:spacing w:line="400" w:lineRule="exact"/>
        <w:ind w:firstLineChars="200" w:firstLine="480"/>
      </w:pPr>
      <w:r w:rsidRPr="00A87822">
        <w:t xml:space="preserve">Based on the existing literature, this paper takes the economic, political, cultural and natural factors between the two countries as control variables to explore the influence of </w:t>
      </w:r>
      <w:r>
        <w:t xml:space="preserve">bilateral </w:t>
      </w:r>
      <w:r w:rsidRPr="00A87822">
        <w:t>international</w:t>
      </w:r>
      <w:r>
        <w:t xml:space="preserve"> political</w:t>
      </w:r>
      <w:r w:rsidRPr="00A87822">
        <w:t xml:space="preserve"> relation</w:t>
      </w:r>
      <w:r>
        <w:t xml:space="preserve"> on SWF</w:t>
      </w:r>
      <w:r w:rsidR="00356635">
        <w:t>s’ outward</w:t>
      </w:r>
      <w:r w:rsidRPr="00A87822">
        <w:t xml:space="preserve"> investment</w:t>
      </w:r>
      <w:r w:rsidR="00356635">
        <w:t>s</w:t>
      </w:r>
      <w:r w:rsidRPr="00A87822">
        <w:t xml:space="preserve"> decision-making.</w:t>
      </w:r>
    </w:p>
    <w:p w:rsidR="00D37811" w:rsidRDefault="003E7A01" w:rsidP="00D37811">
      <w:pPr>
        <w:wordWrap/>
        <w:spacing w:line="400" w:lineRule="exact"/>
        <w:ind w:firstLineChars="200" w:firstLine="480"/>
      </w:pPr>
      <w:r w:rsidRPr="003E7A01">
        <w:t>The basic regression equation is as follows:</w:t>
      </w:r>
    </w:p>
    <w:p w:rsidR="00D37811" w:rsidRPr="003862AC" w:rsidRDefault="00D37811" w:rsidP="00D37811">
      <w:pPr>
        <w:pStyle w:val="AMDisplayEquation"/>
      </w:pPr>
      <w:r>
        <w:tab/>
      </w:r>
      <w:r w:rsidRPr="003862AC">
        <w:rPr>
          <w:position w:val="-12"/>
        </w:rPr>
        <w:object w:dxaOrig="4863" w:dyaOrig="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4pt;height:18pt" o:ole="">
            <v:imagedata r:id="rId9" o:title=""/>
          </v:shape>
          <o:OLEObject Type="Embed" ProgID="Equation.AxMath" ShapeID="_x0000_i1025" DrawAspect="Content" ObjectID="_1616160410" r:id="rId10"/>
        </w:object>
      </w:r>
    </w:p>
    <w:p w:rsidR="00D37811" w:rsidRDefault="00D37811" w:rsidP="00D37811">
      <w:pPr>
        <w:wordWrap/>
        <w:spacing w:line="400" w:lineRule="exact"/>
        <w:ind w:firstLineChars="200" w:firstLine="480"/>
      </w:pPr>
      <w:r w:rsidRPr="003862AC">
        <w:rPr>
          <w:position w:val="-12"/>
        </w:rPr>
        <w:object w:dxaOrig="1374" w:dyaOrig="365">
          <v:shape id="_x0000_i1026" type="#_x0000_t75" style="width:68.4pt;height:18pt" o:ole="">
            <v:imagedata r:id="rId11" o:title=""/>
          </v:shape>
          <o:OLEObject Type="Embed" ProgID="Equation.AxMath" ShapeID="_x0000_i1026" DrawAspect="Content" ObjectID="_1616160411" r:id="rId12"/>
        </w:object>
      </w:r>
      <w:r w:rsidR="003E7A01">
        <w:t xml:space="preserve">is the natural logarithm of the investment amount of SWFs from country j to country </w:t>
      </w:r>
      <w:proofErr w:type="spellStart"/>
      <w:r w:rsidR="003E7A01">
        <w:t>i</w:t>
      </w:r>
      <w:proofErr w:type="spellEnd"/>
      <w:r w:rsidR="003E7A01">
        <w:t xml:space="preserve"> in the t </w:t>
      </w:r>
      <w:proofErr w:type="gramStart"/>
      <w:r w:rsidR="003E7A01">
        <w:t>year.</w:t>
      </w:r>
      <w:proofErr w:type="gramEnd"/>
      <w:r w:rsidR="003E7A01">
        <w:t xml:space="preserve"> </w:t>
      </w:r>
      <w:r w:rsidRPr="00B17DBE">
        <w:rPr>
          <w:position w:val="-12"/>
        </w:rPr>
        <w:object w:dxaOrig="598" w:dyaOrig="365">
          <v:shape id="_x0000_i1027" type="#_x0000_t75" style="width:30pt;height:18pt" o:ole="">
            <v:imagedata r:id="rId13" o:title=""/>
          </v:shape>
          <o:OLEObject Type="Embed" ProgID="Equation.AxMath" ShapeID="_x0000_i1027" DrawAspect="Content" ObjectID="_1616160412" r:id="rId14"/>
        </w:object>
      </w:r>
      <w:r w:rsidR="003E7A01">
        <w:rPr>
          <w:rFonts w:hint="eastAsia"/>
        </w:rPr>
        <w:t>i</w:t>
      </w:r>
      <w:r w:rsidR="003E7A01">
        <w:t xml:space="preserve">s the bilateral political relationship between the country j and </w:t>
      </w:r>
      <w:proofErr w:type="spellStart"/>
      <w:r w:rsidR="003E7A01">
        <w:t>i</w:t>
      </w:r>
      <w:proofErr w:type="spellEnd"/>
      <w:r w:rsidR="003E7A01">
        <w:t xml:space="preserve">. </w:t>
      </w:r>
      <w:r w:rsidRPr="00B17DBE">
        <w:rPr>
          <w:position w:val="-12"/>
        </w:rPr>
        <w:object w:dxaOrig="423" w:dyaOrig="362">
          <v:shape id="_x0000_i1028" type="#_x0000_t75" style="width:21pt;height:18pt" o:ole="">
            <v:imagedata r:id="rId15" o:title=""/>
          </v:shape>
          <o:OLEObject Type="Embed" ProgID="Equation.AxMath" ShapeID="_x0000_i1028" DrawAspect="Content" ObjectID="_1616160413" r:id="rId16"/>
        </w:object>
      </w:r>
      <w:r w:rsidR="009442A1">
        <w:t xml:space="preserve"> are control variables. Considering the distribution of</w:t>
      </w:r>
      <w:r w:rsidRPr="003862AC">
        <w:rPr>
          <w:position w:val="-12"/>
        </w:rPr>
        <w:object w:dxaOrig="1374" w:dyaOrig="365">
          <v:shape id="_x0000_i1029" type="#_x0000_t75" style="width:68.4pt;height:18pt" o:ole="">
            <v:imagedata r:id="rId11" o:title=""/>
          </v:shape>
          <o:OLEObject Type="Embed" ProgID="Equation.AxMath" ShapeID="_x0000_i1029" DrawAspect="Content" ObjectID="_1616160414" r:id="rId17"/>
        </w:object>
      </w:r>
      <w:r w:rsidR="009442A1">
        <w:t>is a mixture of a discrete point(0 point) and a continuous distribution, this paper adopts Tobit Model.</w:t>
      </w:r>
    </w:p>
    <w:p w:rsidR="003E7A01" w:rsidRDefault="003E7A01" w:rsidP="003E7A01">
      <w:pPr>
        <w:wordWrap/>
        <w:spacing w:line="400" w:lineRule="exact"/>
        <w:ind w:firstLineChars="200" w:firstLine="480"/>
      </w:pPr>
      <w:r>
        <w:t xml:space="preserve">Considering </w:t>
      </w:r>
      <w:r w:rsidR="009442A1">
        <w:t>the</w:t>
      </w:r>
      <w:r w:rsidR="000F09A6">
        <w:t xml:space="preserve"> SWFs </w:t>
      </w:r>
      <w:r w:rsidR="009442A1">
        <w:t>investment decisions may be di</w:t>
      </w:r>
      <w:r w:rsidR="000F09A6">
        <w:t xml:space="preserve">vided into </w:t>
      </w:r>
      <w:r>
        <w:t>two steps</w:t>
      </w:r>
      <w:r w:rsidR="000F09A6">
        <w:t>—where to invest and how much to invest</w:t>
      </w:r>
      <w:r w:rsidR="00C3189A">
        <w:t>—</w:t>
      </w:r>
      <w:r>
        <w:t>this</w:t>
      </w:r>
      <w:r w:rsidR="00C3189A">
        <w:t xml:space="preserve"> paper</w:t>
      </w:r>
      <w:r>
        <w:t xml:space="preserve"> uses </w:t>
      </w:r>
      <w:proofErr w:type="spellStart"/>
      <w:r>
        <w:t>Cragg</w:t>
      </w:r>
      <w:proofErr w:type="spellEnd"/>
      <w:r>
        <w:t xml:space="preserve"> Model to test after completing Tobit regression.</w:t>
      </w:r>
      <w:r w:rsidR="00A87822" w:rsidRPr="00A87822">
        <w:t xml:space="preserve"> The idea is to div</w:t>
      </w:r>
      <w:r w:rsidR="00A87822">
        <w:t xml:space="preserve">ide the decision-making process </w:t>
      </w:r>
      <w:r w:rsidR="00A87822" w:rsidRPr="00A87822">
        <w:t>into two stages: where to invest</w:t>
      </w:r>
      <w:r w:rsidR="009422A6">
        <w:t xml:space="preserve"> </w:t>
      </w:r>
      <w:r w:rsidR="00A87822" w:rsidRPr="00A87822">
        <w:t>and</w:t>
      </w:r>
      <w:r w:rsidR="009422A6">
        <w:t xml:space="preserve"> </w:t>
      </w:r>
      <w:r w:rsidR="00A87822" w:rsidRPr="00A87822">
        <w:t>how much to invest.</w:t>
      </w:r>
    </w:p>
    <w:p w:rsidR="00D43CE6" w:rsidRDefault="004F36FA" w:rsidP="009422A6">
      <w:pPr>
        <w:pStyle w:val="3"/>
      </w:pPr>
      <w:r>
        <w:lastRenderedPageBreak/>
        <w:t>3</w:t>
      </w:r>
      <w:r w:rsidR="006C5ADB">
        <w:t>.</w:t>
      </w:r>
      <w:r w:rsidR="00D37811">
        <w:t>2</w:t>
      </w:r>
      <w:r w:rsidR="006C5ADB">
        <w:t xml:space="preserve"> </w:t>
      </w:r>
      <w:r w:rsidR="009422A6">
        <w:t xml:space="preserve">Outbound Investments of </w:t>
      </w:r>
      <w:r w:rsidR="0018445B">
        <w:rPr>
          <w:rFonts w:hint="eastAsia"/>
        </w:rPr>
        <w:t>S</w:t>
      </w:r>
      <w:r w:rsidR="0018445B">
        <w:t>WF</w:t>
      </w:r>
      <w:r w:rsidR="00587615">
        <w:t>s</w:t>
      </w:r>
    </w:p>
    <w:p w:rsidR="003549B7" w:rsidRDefault="00C3189A" w:rsidP="003549B7">
      <w:pPr>
        <w:wordWrap/>
        <w:spacing w:line="400" w:lineRule="exact"/>
        <w:ind w:firstLineChars="200" w:firstLine="480"/>
      </w:pPr>
      <w:r>
        <w:t>D</w:t>
      </w:r>
      <w:r w:rsidR="00D848F9" w:rsidRPr="00D848F9">
        <w:t>ata</w:t>
      </w:r>
      <w:r>
        <w:t xml:space="preserve"> </w:t>
      </w:r>
      <w:r w:rsidR="00D848F9" w:rsidRPr="00D848F9">
        <w:t>are</w:t>
      </w:r>
      <w:r w:rsidR="00D848F9">
        <w:t xml:space="preserve"> defined in</w:t>
      </w:r>
      <w:r w:rsidR="00D848F9" w:rsidRPr="00D848F9">
        <w:t xml:space="preserve"> 2007-2017</w:t>
      </w:r>
      <w:r w:rsidR="00454982">
        <w:t xml:space="preserve"> </w:t>
      </w:r>
      <w:r w:rsidR="00D848F9">
        <w:t>when SWFs outbound investments flourish.</w:t>
      </w:r>
      <w:r w:rsidR="00D848F9" w:rsidRPr="00D848F9">
        <w:t xml:space="preserve"> Considering the research</w:t>
      </w:r>
      <w:r w:rsidR="00CA05A0">
        <w:t xml:space="preserve"> value, this</w:t>
      </w:r>
      <w:r w:rsidR="00D848F9" w:rsidRPr="00D848F9">
        <w:t xml:space="preserve"> paper selects the data of the top 30 SWF funds (all of which were established in </w:t>
      </w:r>
      <w:r w:rsidR="00CA05A0">
        <w:t>or</w:t>
      </w:r>
      <w:r w:rsidR="00D848F9" w:rsidRPr="00D848F9">
        <w:t xml:space="preserve"> before</w:t>
      </w:r>
      <w:r w:rsidR="00CA05A0">
        <w:t xml:space="preserve"> 2007) and each </w:t>
      </w:r>
      <w:r w:rsidR="00D848F9" w:rsidRPr="00D848F9">
        <w:t xml:space="preserve">investment </w:t>
      </w:r>
      <w:r w:rsidR="00CA05A0">
        <w:t xml:space="preserve">is over </w:t>
      </w:r>
      <w:r w:rsidR="00D848F9" w:rsidRPr="00D848F9">
        <w:t>US$10 million. There are 7,158 investment</w:t>
      </w:r>
      <w:r>
        <w:t>s</w:t>
      </w:r>
      <w:r w:rsidR="00D848F9" w:rsidRPr="00D848F9">
        <w:t xml:space="preserve"> data from 18 </w:t>
      </w:r>
      <w:r>
        <w:t xml:space="preserve">SWFs </w:t>
      </w:r>
      <w:r w:rsidR="00D848F9" w:rsidRPr="00D848F9">
        <w:t>countries, involving 75 recipient countries</w:t>
      </w:r>
      <w:r w:rsidR="003549B7">
        <w:t xml:space="preserve"> and the amount is nearly one trillion dollars</w:t>
      </w:r>
      <w:r w:rsidR="00D848F9" w:rsidRPr="00D848F9">
        <w:t>. The direction</w:t>
      </w:r>
      <w:r>
        <w:t>s</w:t>
      </w:r>
      <w:r w:rsidR="00D848F9" w:rsidRPr="00D848F9">
        <w:t xml:space="preserve"> of SWF</w:t>
      </w:r>
      <w:r>
        <w:t>s’</w:t>
      </w:r>
      <w:r w:rsidR="00D848F9" w:rsidRPr="00D848F9">
        <w:t xml:space="preserve"> investment</w:t>
      </w:r>
      <w:r>
        <w:t>s are</w:t>
      </w:r>
      <w:r w:rsidR="00D848F9" w:rsidRPr="00D848F9">
        <w:t xml:space="preserve"> mainly </w:t>
      </w:r>
      <w:r>
        <w:t>in</w:t>
      </w:r>
      <w:r w:rsidR="00C97669">
        <w:t>to</w:t>
      </w:r>
      <w:r>
        <w:t xml:space="preserve"> </w:t>
      </w:r>
      <w:r w:rsidR="00D848F9" w:rsidRPr="00D848F9">
        <w:t>developed countries</w:t>
      </w:r>
      <w:r w:rsidR="00325ADE">
        <w:t>: t</w:t>
      </w:r>
      <w:r w:rsidR="00325ADE" w:rsidRPr="00D848F9">
        <w:t>he</w:t>
      </w:r>
      <w:r w:rsidR="00D848F9" w:rsidRPr="00D848F9">
        <w:t xml:space="preserve"> </w:t>
      </w:r>
      <w:r w:rsidR="00325ADE">
        <w:t>USA</w:t>
      </w:r>
      <w:r w:rsidR="00D848F9" w:rsidRPr="00D848F9">
        <w:t xml:space="preserve"> and </w:t>
      </w:r>
      <w:r w:rsidR="00325ADE">
        <w:t>UK</w:t>
      </w:r>
      <w:r w:rsidR="00D848F9" w:rsidRPr="00D848F9">
        <w:t xml:space="preserve"> are major investment destinations. Finance, real estate</w:t>
      </w:r>
      <w:r w:rsidR="00454982">
        <w:t>,</w:t>
      </w:r>
      <w:r w:rsidR="00D848F9" w:rsidRPr="00D848F9">
        <w:t xml:space="preserve"> and energy are in the top three areas for SWF</w:t>
      </w:r>
      <w:r>
        <w:t>s’</w:t>
      </w:r>
      <w:r w:rsidR="00D848F9" w:rsidRPr="00D848F9">
        <w:t xml:space="preserve"> investments</w:t>
      </w:r>
      <w:r w:rsidR="00610F62">
        <w:rPr>
          <w:rStyle w:val="a5"/>
        </w:rPr>
        <w:footnoteReference w:id="3"/>
      </w:r>
      <w:r w:rsidR="00D848F9" w:rsidRPr="00D848F9">
        <w:t>.</w:t>
      </w:r>
    </w:p>
    <w:p w:rsidR="00F932E7" w:rsidRDefault="00F932E7" w:rsidP="00F932E7">
      <w:pPr>
        <w:pStyle w:val="a7"/>
        <w:keepNext/>
      </w:pPr>
      <w:r>
        <w:t xml:space="preserve">Table </w:t>
      </w:r>
      <w:r w:rsidR="00B105AF">
        <w:fldChar w:fldCharType="begin"/>
      </w:r>
      <w:r w:rsidR="00B105AF">
        <w:instrText xml:space="preserve"> SEQ Table \* ARABIC </w:instrText>
      </w:r>
      <w:r w:rsidR="00B105AF">
        <w:fldChar w:fldCharType="separate"/>
      </w:r>
      <w:r w:rsidR="00DC5497">
        <w:rPr>
          <w:noProof/>
        </w:rPr>
        <w:t>2</w:t>
      </w:r>
      <w:r w:rsidR="00B105AF">
        <w:rPr>
          <w:noProof/>
        </w:rPr>
        <w:fldChar w:fldCharType="end"/>
      </w:r>
      <w:r>
        <w:t xml:space="preserve"> </w:t>
      </w:r>
      <w:r>
        <w:rPr>
          <w:noProof/>
        </w:rPr>
        <w:t>Outbound Investmens of</w:t>
      </w:r>
      <w:r w:rsidR="00546D48">
        <w:rPr>
          <w:noProof/>
        </w:rPr>
        <w:t xml:space="preserve"> SWFs from </w:t>
      </w:r>
      <w:r w:rsidR="00B43D08">
        <w:rPr>
          <w:noProof/>
        </w:rPr>
        <w:t>T</w:t>
      </w:r>
      <w:r w:rsidR="003F7296">
        <w:rPr>
          <w:noProof/>
        </w:rPr>
        <w:t xml:space="preserve">op </w:t>
      </w:r>
      <w:r w:rsidR="00B43D08">
        <w:rPr>
          <w:noProof/>
        </w:rPr>
        <w:t>C</w:t>
      </w:r>
      <w:r w:rsidR="003F7296">
        <w:rPr>
          <w:noProof/>
        </w:rPr>
        <w:t>ountries</w:t>
      </w:r>
    </w:p>
    <w:tbl>
      <w:tblPr>
        <w:tblW w:w="8232" w:type="dxa"/>
        <w:tblBorders>
          <w:top w:val="single" w:sz="4" w:space="0" w:color="auto"/>
          <w:bottom w:val="single" w:sz="4" w:space="0" w:color="auto"/>
        </w:tblBorders>
        <w:tblLook w:val="04A0" w:firstRow="1" w:lastRow="0" w:firstColumn="1" w:lastColumn="0" w:noHBand="0" w:noVBand="1"/>
      </w:tblPr>
      <w:tblGrid>
        <w:gridCol w:w="1828"/>
        <w:gridCol w:w="960"/>
        <w:gridCol w:w="996"/>
        <w:gridCol w:w="996"/>
        <w:gridCol w:w="980"/>
        <w:gridCol w:w="1116"/>
        <w:gridCol w:w="1356"/>
      </w:tblGrid>
      <w:tr w:rsidR="00F932E7" w:rsidRPr="00915E90" w:rsidTr="00F932E7">
        <w:trPr>
          <w:trHeight w:val="276"/>
        </w:trPr>
        <w:tc>
          <w:tcPr>
            <w:tcW w:w="1828" w:type="dxa"/>
            <w:tcBorders>
              <w:top w:val="single" w:sz="4" w:space="0" w:color="auto"/>
              <w:bottom w:val="single" w:sz="4" w:space="0" w:color="auto"/>
            </w:tcBorders>
            <w:shd w:val="clear" w:color="auto" w:fill="auto"/>
            <w:noWrap/>
            <w:vAlign w:val="center"/>
            <w:hideMark/>
          </w:tcPr>
          <w:p w:rsidR="00F932E7" w:rsidRPr="00915E90" w:rsidRDefault="00F932E7" w:rsidP="00F932E7">
            <w:pPr>
              <w:widowControl/>
              <w:wordWrap/>
              <w:jc w:val="center"/>
            </w:pPr>
            <w:r w:rsidRPr="00B953E4">
              <w:t>SWF</w:t>
            </w:r>
            <w:r>
              <w:t xml:space="preserve"> Country</w:t>
            </w:r>
          </w:p>
        </w:tc>
        <w:tc>
          <w:tcPr>
            <w:tcW w:w="960" w:type="dxa"/>
            <w:tcBorders>
              <w:top w:val="single" w:sz="4" w:space="0" w:color="auto"/>
              <w:bottom w:val="single" w:sz="4" w:space="0" w:color="auto"/>
            </w:tcBorders>
            <w:shd w:val="clear" w:color="auto" w:fill="auto"/>
            <w:noWrap/>
            <w:vAlign w:val="center"/>
            <w:hideMark/>
          </w:tcPr>
          <w:p w:rsidR="00F932E7" w:rsidRPr="00093400" w:rsidRDefault="00F932E7" w:rsidP="00F932E7">
            <w:pPr>
              <w:autoSpaceDE w:val="0"/>
              <w:autoSpaceDN w:val="0"/>
              <w:adjustRightInd w:val="0"/>
              <w:jc w:val="center"/>
              <w:rPr>
                <w:rFonts w:cs="Times New Roman"/>
                <w:kern w:val="0"/>
                <w:szCs w:val="24"/>
              </w:rPr>
            </w:pPr>
            <w:r w:rsidRPr="00E47D05">
              <w:t>N</w:t>
            </w:r>
          </w:p>
        </w:tc>
        <w:tc>
          <w:tcPr>
            <w:tcW w:w="996" w:type="dxa"/>
            <w:tcBorders>
              <w:top w:val="single" w:sz="4" w:space="0" w:color="auto"/>
              <w:bottom w:val="single" w:sz="4" w:space="0" w:color="auto"/>
            </w:tcBorders>
            <w:shd w:val="clear" w:color="auto" w:fill="auto"/>
            <w:noWrap/>
            <w:vAlign w:val="center"/>
            <w:hideMark/>
          </w:tcPr>
          <w:p w:rsidR="00F932E7" w:rsidRPr="00093400" w:rsidRDefault="00F932E7" w:rsidP="00F932E7">
            <w:pPr>
              <w:autoSpaceDE w:val="0"/>
              <w:autoSpaceDN w:val="0"/>
              <w:adjustRightInd w:val="0"/>
              <w:jc w:val="center"/>
              <w:rPr>
                <w:rFonts w:cs="Times New Roman"/>
                <w:kern w:val="0"/>
                <w:szCs w:val="24"/>
              </w:rPr>
            </w:pPr>
            <w:r>
              <w:t>M</w:t>
            </w:r>
            <w:r w:rsidRPr="00E47D05">
              <w:t>ean</w:t>
            </w:r>
          </w:p>
        </w:tc>
        <w:tc>
          <w:tcPr>
            <w:tcW w:w="996" w:type="dxa"/>
            <w:tcBorders>
              <w:top w:val="single" w:sz="4" w:space="0" w:color="auto"/>
              <w:bottom w:val="single" w:sz="4" w:space="0" w:color="auto"/>
            </w:tcBorders>
            <w:shd w:val="clear" w:color="auto" w:fill="auto"/>
            <w:noWrap/>
            <w:vAlign w:val="center"/>
            <w:hideMark/>
          </w:tcPr>
          <w:p w:rsidR="00F932E7" w:rsidRPr="00093400" w:rsidRDefault="00F932E7" w:rsidP="00F932E7">
            <w:pPr>
              <w:autoSpaceDE w:val="0"/>
              <w:autoSpaceDN w:val="0"/>
              <w:adjustRightInd w:val="0"/>
              <w:jc w:val="center"/>
              <w:rPr>
                <w:rFonts w:cs="Times New Roman"/>
                <w:kern w:val="0"/>
                <w:szCs w:val="24"/>
              </w:rPr>
            </w:pPr>
            <w:proofErr w:type="spellStart"/>
            <w:r>
              <w:t>Std.Dev</w:t>
            </w:r>
            <w:proofErr w:type="spellEnd"/>
          </w:p>
        </w:tc>
        <w:tc>
          <w:tcPr>
            <w:tcW w:w="980" w:type="dxa"/>
            <w:tcBorders>
              <w:top w:val="single" w:sz="4" w:space="0" w:color="auto"/>
              <w:bottom w:val="single" w:sz="4" w:space="0" w:color="auto"/>
            </w:tcBorders>
            <w:shd w:val="clear" w:color="auto" w:fill="auto"/>
            <w:noWrap/>
            <w:vAlign w:val="center"/>
            <w:hideMark/>
          </w:tcPr>
          <w:p w:rsidR="00F932E7" w:rsidRPr="00093400" w:rsidRDefault="00F932E7" w:rsidP="00F932E7">
            <w:pPr>
              <w:autoSpaceDE w:val="0"/>
              <w:autoSpaceDN w:val="0"/>
              <w:adjustRightInd w:val="0"/>
              <w:jc w:val="center"/>
              <w:rPr>
                <w:rFonts w:cs="Times New Roman"/>
                <w:kern w:val="0"/>
                <w:szCs w:val="24"/>
              </w:rPr>
            </w:pPr>
            <w:r>
              <w:t>M</w:t>
            </w:r>
            <w:r w:rsidRPr="00E47D05">
              <w:t>in</w:t>
            </w:r>
          </w:p>
        </w:tc>
        <w:tc>
          <w:tcPr>
            <w:tcW w:w="1116" w:type="dxa"/>
            <w:tcBorders>
              <w:top w:val="single" w:sz="4" w:space="0" w:color="auto"/>
              <w:bottom w:val="single" w:sz="4" w:space="0" w:color="auto"/>
            </w:tcBorders>
            <w:shd w:val="clear" w:color="auto" w:fill="auto"/>
            <w:noWrap/>
            <w:vAlign w:val="center"/>
            <w:hideMark/>
          </w:tcPr>
          <w:p w:rsidR="00F932E7" w:rsidRPr="00093400" w:rsidRDefault="00F932E7" w:rsidP="00F932E7">
            <w:pPr>
              <w:autoSpaceDE w:val="0"/>
              <w:autoSpaceDN w:val="0"/>
              <w:adjustRightInd w:val="0"/>
              <w:jc w:val="center"/>
              <w:rPr>
                <w:rFonts w:cs="Times New Roman"/>
                <w:kern w:val="0"/>
                <w:szCs w:val="24"/>
              </w:rPr>
            </w:pPr>
            <w:r>
              <w:t>M</w:t>
            </w:r>
            <w:r w:rsidRPr="00E47D05">
              <w:t>ax</w:t>
            </w:r>
          </w:p>
        </w:tc>
        <w:tc>
          <w:tcPr>
            <w:tcW w:w="1356" w:type="dxa"/>
            <w:tcBorders>
              <w:top w:val="single" w:sz="4" w:space="0" w:color="auto"/>
              <w:bottom w:val="single" w:sz="4" w:space="0" w:color="auto"/>
            </w:tcBorders>
            <w:shd w:val="clear" w:color="auto" w:fill="auto"/>
            <w:noWrap/>
            <w:vAlign w:val="center"/>
            <w:hideMark/>
          </w:tcPr>
          <w:p w:rsidR="00F932E7" w:rsidRPr="00915E90" w:rsidRDefault="00F932E7" w:rsidP="00F932E7">
            <w:pPr>
              <w:widowControl/>
              <w:wordWrap/>
              <w:jc w:val="center"/>
            </w:pPr>
            <w:r>
              <w:t>Sum</w:t>
            </w:r>
          </w:p>
        </w:tc>
      </w:tr>
      <w:tr w:rsidR="00F932E7" w:rsidRPr="00915E90" w:rsidTr="00F932E7">
        <w:trPr>
          <w:trHeight w:val="276"/>
        </w:trPr>
        <w:tc>
          <w:tcPr>
            <w:tcW w:w="1828" w:type="dxa"/>
            <w:tcBorders>
              <w:top w:val="single" w:sz="4" w:space="0" w:color="auto"/>
            </w:tcBorders>
            <w:shd w:val="clear" w:color="auto" w:fill="auto"/>
            <w:noWrap/>
            <w:vAlign w:val="center"/>
            <w:hideMark/>
          </w:tcPr>
          <w:p w:rsidR="00F932E7" w:rsidRPr="00915E90" w:rsidRDefault="00F932E7" w:rsidP="00F932E7">
            <w:pPr>
              <w:widowControl/>
              <w:wordWrap/>
              <w:jc w:val="center"/>
            </w:pPr>
            <w:r>
              <w:rPr>
                <w:rFonts w:hint="eastAsia"/>
              </w:rPr>
              <w:t>N</w:t>
            </w:r>
            <w:r>
              <w:t>orway</w:t>
            </w:r>
          </w:p>
        </w:tc>
        <w:tc>
          <w:tcPr>
            <w:tcW w:w="960" w:type="dxa"/>
            <w:tcBorders>
              <w:top w:val="single" w:sz="4" w:space="0" w:color="auto"/>
            </w:tcBorders>
            <w:shd w:val="clear" w:color="auto" w:fill="auto"/>
            <w:noWrap/>
            <w:vAlign w:val="center"/>
            <w:hideMark/>
          </w:tcPr>
          <w:p w:rsidR="00F932E7" w:rsidRPr="00915E90" w:rsidRDefault="00F932E7" w:rsidP="00F932E7">
            <w:pPr>
              <w:widowControl/>
              <w:wordWrap/>
              <w:jc w:val="center"/>
            </w:pPr>
            <w:r w:rsidRPr="00B953E4">
              <w:t>3912</w:t>
            </w:r>
          </w:p>
        </w:tc>
        <w:tc>
          <w:tcPr>
            <w:tcW w:w="996" w:type="dxa"/>
            <w:tcBorders>
              <w:top w:val="single" w:sz="4" w:space="0" w:color="auto"/>
            </w:tcBorders>
            <w:shd w:val="clear" w:color="auto" w:fill="auto"/>
            <w:noWrap/>
            <w:vAlign w:val="center"/>
            <w:hideMark/>
          </w:tcPr>
          <w:p w:rsidR="00F932E7" w:rsidRPr="00915E90" w:rsidRDefault="00F932E7" w:rsidP="00F932E7">
            <w:pPr>
              <w:widowControl/>
              <w:wordWrap/>
              <w:jc w:val="center"/>
            </w:pPr>
            <w:r w:rsidRPr="00B953E4">
              <w:t>81.98</w:t>
            </w:r>
          </w:p>
        </w:tc>
        <w:tc>
          <w:tcPr>
            <w:tcW w:w="996" w:type="dxa"/>
            <w:tcBorders>
              <w:top w:val="single" w:sz="4" w:space="0" w:color="auto"/>
            </w:tcBorders>
            <w:shd w:val="clear" w:color="auto" w:fill="auto"/>
            <w:noWrap/>
            <w:vAlign w:val="center"/>
            <w:hideMark/>
          </w:tcPr>
          <w:p w:rsidR="00F932E7" w:rsidRPr="00915E90" w:rsidRDefault="00F932E7" w:rsidP="00F932E7">
            <w:pPr>
              <w:widowControl/>
              <w:wordWrap/>
              <w:jc w:val="center"/>
            </w:pPr>
            <w:r w:rsidRPr="00B953E4">
              <w:t>232.06</w:t>
            </w:r>
          </w:p>
        </w:tc>
        <w:tc>
          <w:tcPr>
            <w:tcW w:w="980" w:type="dxa"/>
            <w:tcBorders>
              <w:top w:val="single" w:sz="4" w:space="0" w:color="auto"/>
            </w:tcBorders>
            <w:shd w:val="clear" w:color="auto" w:fill="auto"/>
            <w:noWrap/>
            <w:vAlign w:val="center"/>
            <w:hideMark/>
          </w:tcPr>
          <w:p w:rsidR="00F932E7" w:rsidRPr="00915E90" w:rsidRDefault="00F932E7" w:rsidP="00F932E7">
            <w:pPr>
              <w:widowControl/>
              <w:wordWrap/>
              <w:jc w:val="center"/>
            </w:pPr>
            <w:r w:rsidRPr="00B953E4">
              <w:t>10.01</w:t>
            </w:r>
          </w:p>
        </w:tc>
        <w:tc>
          <w:tcPr>
            <w:tcW w:w="1116" w:type="dxa"/>
            <w:tcBorders>
              <w:top w:val="single" w:sz="4" w:space="0" w:color="auto"/>
            </w:tcBorders>
            <w:shd w:val="clear" w:color="auto" w:fill="auto"/>
            <w:noWrap/>
            <w:vAlign w:val="center"/>
            <w:hideMark/>
          </w:tcPr>
          <w:p w:rsidR="00F932E7" w:rsidRPr="00915E90" w:rsidRDefault="00F932E7" w:rsidP="00F932E7">
            <w:pPr>
              <w:widowControl/>
              <w:wordWrap/>
              <w:jc w:val="center"/>
            </w:pPr>
            <w:r w:rsidRPr="00B953E4">
              <w:t>3986.48</w:t>
            </w:r>
          </w:p>
        </w:tc>
        <w:tc>
          <w:tcPr>
            <w:tcW w:w="1356" w:type="dxa"/>
            <w:tcBorders>
              <w:top w:val="single" w:sz="4" w:space="0" w:color="auto"/>
            </w:tcBorders>
            <w:shd w:val="clear" w:color="auto" w:fill="auto"/>
            <w:noWrap/>
            <w:vAlign w:val="center"/>
            <w:hideMark/>
          </w:tcPr>
          <w:p w:rsidR="00F932E7" w:rsidRPr="00915E90" w:rsidRDefault="00F932E7" w:rsidP="00F932E7">
            <w:pPr>
              <w:widowControl/>
              <w:wordWrap/>
              <w:jc w:val="center"/>
            </w:pPr>
            <w:r w:rsidRPr="00B953E4">
              <w:t>320700.21</w:t>
            </w:r>
          </w:p>
        </w:tc>
      </w:tr>
      <w:tr w:rsidR="00F932E7" w:rsidRPr="00915E90" w:rsidTr="00F932E7">
        <w:trPr>
          <w:trHeight w:val="276"/>
        </w:trPr>
        <w:tc>
          <w:tcPr>
            <w:tcW w:w="1828" w:type="dxa"/>
            <w:shd w:val="clear" w:color="auto" w:fill="auto"/>
            <w:noWrap/>
            <w:vAlign w:val="center"/>
            <w:hideMark/>
          </w:tcPr>
          <w:p w:rsidR="00F932E7" w:rsidRPr="00915E90" w:rsidRDefault="00F932E7" w:rsidP="00F932E7">
            <w:pPr>
              <w:widowControl/>
              <w:wordWrap/>
              <w:jc w:val="center"/>
            </w:pPr>
            <w:r>
              <w:t>Singapore</w:t>
            </w:r>
          </w:p>
        </w:tc>
        <w:tc>
          <w:tcPr>
            <w:tcW w:w="960" w:type="dxa"/>
            <w:shd w:val="clear" w:color="auto" w:fill="auto"/>
            <w:noWrap/>
            <w:vAlign w:val="center"/>
            <w:hideMark/>
          </w:tcPr>
          <w:p w:rsidR="00F932E7" w:rsidRPr="00915E90" w:rsidRDefault="00F932E7" w:rsidP="00F932E7">
            <w:pPr>
              <w:widowControl/>
              <w:wordWrap/>
              <w:jc w:val="center"/>
            </w:pPr>
            <w:r w:rsidRPr="00B953E4">
              <w:t>1227</w:t>
            </w:r>
          </w:p>
        </w:tc>
        <w:tc>
          <w:tcPr>
            <w:tcW w:w="996" w:type="dxa"/>
            <w:shd w:val="clear" w:color="auto" w:fill="auto"/>
            <w:noWrap/>
            <w:vAlign w:val="center"/>
            <w:hideMark/>
          </w:tcPr>
          <w:p w:rsidR="00F932E7" w:rsidRPr="00915E90" w:rsidRDefault="00F932E7" w:rsidP="00F932E7">
            <w:pPr>
              <w:widowControl/>
              <w:wordWrap/>
              <w:jc w:val="center"/>
            </w:pPr>
            <w:r w:rsidRPr="00B953E4">
              <w:t>196.74</w:t>
            </w:r>
          </w:p>
        </w:tc>
        <w:tc>
          <w:tcPr>
            <w:tcW w:w="996" w:type="dxa"/>
            <w:shd w:val="clear" w:color="auto" w:fill="auto"/>
            <w:noWrap/>
            <w:vAlign w:val="center"/>
            <w:hideMark/>
          </w:tcPr>
          <w:p w:rsidR="00F932E7" w:rsidRPr="00915E90" w:rsidRDefault="00F932E7" w:rsidP="00F932E7">
            <w:pPr>
              <w:widowControl/>
              <w:wordWrap/>
              <w:jc w:val="center"/>
            </w:pPr>
            <w:r w:rsidRPr="00B953E4">
              <w:t>542.63</w:t>
            </w:r>
          </w:p>
        </w:tc>
        <w:tc>
          <w:tcPr>
            <w:tcW w:w="980" w:type="dxa"/>
            <w:shd w:val="clear" w:color="auto" w:fill="auto"/>
            <w:noWrap/>
            <w:vAlign w:val="center"/>
            <w:hideMark/>
          </w:tcPr>
          <w:p w:rsidR="00F932E7" w:rsidRPr="00915E90" w:rsidRDefault="00F932E7" w:rsidP="00F932E7">
            <w:pPr>
              <w:widowControl/>
              <w:wordWrap/>
              <w:jc w:val="center"/>
            </w:pPr>
            <w:r w:rsidRPr="00B953E4">
              <w:t>10.01</w:t>
            </w:r>
          </w:p>
        </w:tc>
        <w:tc>
          <w:tcPr>
            <w:tcW w:w="1116" w:type="dxa"/>
            <w:shd w:val="clear" w:color="auto" w:fill="auto"/>
            <w:noWrap/>
            <w:vAlign w:val="center"/>
            <w:hideMark/>
          </w:tcPr>
          <w:p w:rsidR="00F932E7" w:rsidRPr="00915E90" w:rsidRDefault="00F932E7" w:rsidP="00F932E7">
            <w:pPr>
              <w:widowControl/>
              <w:wordWrap/>
              <w:jc w:val="center"/>
            </w:pPr>
            <w:r w:rsidRPr="00B953E4">
              <w:t>9760.00</w:t>
            </w:r>
          </w:p>
        </w:tc>
        <w:tc>
          <w:tcPr>
            <w:tcW w:w="1356" w:type="dxa"/>
            <w:shd w:val="clear" w:color="auto" w:fill="auto"/>
            <w:noWrap/>
            <w:vAlign w:val="center"/>
            <w:hideMark/>
          </w:tcPr>
          <w:p w:rsidR="00F932E7" w:rsidRPr="00915E90" w:rsidRDefault="00F932E7" w:rsidP="00F932E7">
            <w:pPr>
              <w:widowControl/>
              <w:wordWrap/>
              <w:jc w:val="center"/>
            </w:pPr>
            <w:r w:rsidRPr="00B953E4">
              <w:t>241404.58</w:t>
            </w:r>
          </w:p>
        </w:tc>
      </w:tr>
      <w:tr w:rsidR="00F932E7" w:rsidRPr="00915E90" w:rsidTr="00F932E7">
        <w:trPr>
          <w:trHeight w:val="276"/>
        </w:trPr>
        <w:tc>
          <w:tcPr>
            <w:tcW w:w="1828" w:type="dxa"/>
            <w:shd w:val="clear" w:color="auto" w:fill="auto"/>
            <w:noWrap/>
            <w:vAlign w:val="center"/>
            <w:hideMark/>
          </w:tcPr>
          <w:p w:rsidR="00F932E7" w:rsidRPr="00915E90" w:rsidRDefault="00F932E7" w:rsidP="00F932E7">
            <w:pPr>
              <w:widowControl/>
              <w:wordWrap/>
              <w:jc w:val="center"/>
            </w:pPr>
            <w:r>
              <w:rPr>
                <w:rFonts w:hint="eastAsia"/>
              </w:rPr>
              <w:t>Q</w:t>
            </w:r>
            <w:r>
              <w:t>atar</w:t>
            </w:r>
          </w:p>
        </w:tc>
        <w:tc>
          <w:tcPr>
            <w:tcW w:w="960" w:type="dxa"/>
            <w:shd w:val="clear" w:color="auto" w:fill="auto"/>
            <w:noWrap/>
            <w:vAlign w:val="center"/>
            <w:hideMark/>
          </w:tcPr>
          <w:p w:rsidR="00F932E7" w:rsidRPr="00915E90" w:rsidRDefault="00F932E7" w:rsidP="00F932E7">
            <w:pPr>
              <w:widowControl/>
              <w:wordWrap/>
              <w:jc w:val="center"/>
            </w:pPr>
            <w:r w:rsidRPr="00B953E4">
              <w:t>114</w:t>
            </w:r>
          </w:p>
        </w:tc>
        <w:tc>
          <w:tcPr>
            <w:tcW w:w="996" w:type="dxa"/>
            <w:shd w:val="clear" w:color="auto" w:fill="auto"/>
            <w:noWrap/>
            <w:vAlign w:val="center"/>
            <w:hideMark/>
          </w:tcPr>
          <w:p w:rsidR="00F932E7" w:rsidRPr="00915E90" w:rsidRDefault="00F932E7" w:rsidP="00F932E7">
            <w:pPr>
              <w:widowControl/>
              <w:wordWrap/>
              <w:jc w:val="center"/>
            </w:pPr>
            <w:r w:rsidRPr="00B953E4">
              <w:t>982.33</w:t>
            </w:r>
          </w:p>
        </w:tc>
        <w:tc>
          <w:tcPr>
            <w:tcW w:w="996" w:type="dxa"/>
            <w:shd w:val="clear" w:color="auto" w:fill="auto"/>
            <w:noWrap/>
            <w:vAlign w:val="center"/>
            <w:hideMark/>
          </w:tcPr>
          <w:p w:rsidR="00F932E7" w:rsidRPr="00915E90" w:rsidRDefault="00F932E7" w:rsidP="00F932E7">
            <w:pPr>
              <w:widowControl/>
              <w:wordWrap/>
              <w:jc w:val="center"/>
            </w:pPr>
            <w:r w:rsidRPr="00B953E4">
              <w:t>1652.10</w:t>
            </w:r>
          </w:p>
        </w:tc>
        <w:tc>
          <w:tcPr>
            <w:tcW w:w="980" w:type="dxa"/>
            <w:shd w:val="clear" w:color="auto" w:fill="auto"/>
            <w:noWrap/>
            <w:vAlign w:val="center"/>
            <w:hideMark/>
          </w:tcPr>
          <w:p w:rsidR="00F932E7" w:rsidRPr="00915E90" w:rsidRDefault="00F932E7" w:rsidP="00F932E7">
            <w:pPr>
              <w:widowControl/>
              <w:wordWrap/>
              <w:jc w:val="center"/>
            </w:pPr>
            <w:r w:rsidRPr="00B953E4">
              <w:t>20.00</w:t>
            </w:r>
          </w:p>
        </w:tc>
        <w:tc>
          <w:tcPr>
            <w:tcW w:w="1116" w:type="dxa"/>
            <w:shd w:val="clear" w:color="auto" w:fill="auto"/>
            <w:noWrap/>
            <w:vAlign w:val="center"/>
            <w:hideMark/>
          </w:tcPr>
          <w:p w:rsidR="00F932E7" w:rsidRPr="00915E90" w:rsidRDefault="00F932E7" w:rsidP="00F932E7">
            <w:pPr>
              <w:widowControl/>
              <w:wordWrap/>
              <w:jc w:val="center"/>
            </w:pPr>
            <w:r w:rsidRPr="00B953E4">
              <w:t>9983.40</w:t>
            </w:r>
          </w:p>
        </w:tc>
        <w:tc>
          <w:tcPr>
            <w:tcW w:w="1356" w:type="dxa"/>
            <w:shd w:val="clear" w:color="auto" w:fill="auto"/>
            <w:noWrap/>
            <w:vAlign w:val="center"/>
            <w:hideMark/>
          </w:tcPr>
          <w:p w:rsidR="00F932E7" w:rsidRPr="00915E90" w:rsidRDefault="00F932E7" w:rsidP="00F932E7">
            <w:pPr>
              <w:widowControl/>
              <w:wordWrap/>
              <w:jc w:val="center"/>
            </w:pPr>
            <w:r w:rsidRPr="00B953E4">
              <w:t>111985.23</w:t>
            </w:r>
          </w:p>
        </w:tc>
      </w:tr>
      <w:tr w:rsidR="00F932E7" w:rsidRPr="00915E90" w:rsidTr="00F932E7">
        <w:trPr>
          <w:trHeight w:val="276"/>
        </w:trPr>
        <w:tc>
          <w:tcPr>
            <w:tcW w:w="1828" w:type="dxa"/>
            <w:shd w:val="clear" w:color="auto" w:fill="auto"/>
            <w:noWrap/>
            <w:vAlign w:val="center"/>
            <w:hideMark/>
          </w:tcPr>
          <w:p w:rsidR="00F932E7" w:rsidRPr="00915E90" w:rsidRDefault="00F932E7" w:rsidP="00F932E7">
            <w:pPr>
              <w:widowControl/>
              <w:wordWrap/>
              <w:jc w:val="center"/>
            </w:pPr>
            <w:r>
              <w:rPr>
                <w:rFonts w:hint="eastAsia"/>
              </w:rPr>
              <w:t>U</w:t>
            </w:r>
            <w:r>
              <w:t>AE</w:t>
            </w:r>
          </w:p>
        </w:tc>
        <w:tc>
          <w:tcPr>
            <w:tcW w:w="960" w:type="dxa"/>
            <w:shd w:val="clear" w:color="auto" w:fill="auto"/>
            <w:noWrap/>
            <w:vAlign w:val="center"/>
            <w:hideMark/>
          </w:tcPr>
          <w:p w:rsidR="00F932E7" w:rsidRPr="00915E90" w:rsidRDefault="00F932E7" w:rsidP="00F932E7">
            <w:pPr>
              <w:widowControl/>
              <w:wordWrap/>
              <w:jc w:val="center"/>
            </w:pPr>
            <w:r w:rsidRPr="00B953E4">
              <w:t>336</w:t>
            </w:r>
          </w:p>
        </w:tc>
        <w:tc>
          <w:tcPr>
            <w:tcW w:w="996" w:type="dxa"/>
            <w:shd w:val="clear" w:color="auto" w:fill="auto"/>
            <w:noWrap/>
            <w:vAlign w:val="center"/>
            <w:hideMark/>
          </w:tcPr>
          <w:p w:rsidR="00F932E7" w:rsidRPr="00915E90" w:rsidRDefault="00F932E7" w:rsidP="00F932E7">
            <w:pPr>
              <w:widowControl/>
              <w:wordWrap/>
              <w:jc w:val="center"/>
            </w:pPr>
            <w:r w:rsidRPr="00B953E4">
              <w:t>307.93</w:t>
            </w:r>
          </w:p>
        </w:tc>
        <w:tc>
          <w:tcPr>
            <w:tcW w:w="996" w:type="dxa"/>
            <w:shd w:val="clear" w:color="auto" w:fill="auto"/>
            <w:noWrap/>
            <w:vAlign w:val="center"/>
            <w:hideMark/>
          </w:tcPr>
          <w:p w:rsidR="00F932E7" w:rsidRPr="00915E90" w:rsidRDefault="00F932E7" w:rsidP="00F932E7">
            <w:pPr>
              <w:widowControl/>
              <w:wordWrap/>
              <w:jc w:val="center"/>
            </w:pPr>
            <w:r w:rsidRPr="00B953E4">
              <w:t>689.26</w:t>
            </w:r>
          </w:p>
        </w:tc>
        <w:tc>
          <w:tcPr>
            <w:tcW w:w="980" w:type="dxa"/>
            <w:shd w:val="clear" w:color="auto" w:fill="auto"/>
            <w:noWrap/>
            <w:vAlign w:val="center"/>
            <w:hideMark/>
          </w:tcPr>
          <w:p w:rsidR="00F932E7" w:rsidRPr="00915E90" w:rsidRDefault="00F932E7" w:rsidP="00F932E7">
            <w:pPr>
              <w:widowControl/>
              <w:wordWrap/>
              <w:jc w:val="center"/>
            </w:pPr>
            <w:r w:rsidRPr="00B953E4">
              <w:t>10.02</w:t>
            </w:r>
          </w:p>
        </w:tc>
        <w:tc>
          <w:tcPr>
            <w:tcW w:w="1116" w:type="dxa"/>
            <w:shd w:val="clear" w:color="auto" w:fill="auto"/>
            <w:noWrap/>
            <w:vAlign w:val="center"/>
            <w:hideMark/>
          </w:tcPr>
          <w:p w:rsidR="00F932E7" w:rsidRPr="00915E90" w:rsidRDefault="00F932E7" w:rsidP="00F932E7">
            <w:pPr>
              <w:widowControl/>
              <w:wordWrap/>
              <w:jc w:val="center"/>
            </w:pPr>
            <w:r w:rsidRPr="00B953E4">
              <w:t>7500.00</w:t>
            </w:r>
          </w:p>
        </w:tc>
        <w:tc>
          <w:tcPr>
            <w:tcW w:w="1356" w:type="dxa"/>
            <w:shd w:val="clear" w:color="auto" w:fill="auto"/>
            <w:noWrap/>
            <w:vAlign w:val="center"/>
            <w:hideMark/>
          </w:tcPr>
          <w:p w:rsidR="00F932E7" w:rsidRPr="00915E90" w:rsidRDefault="00F932E7" w:rsidP="00F932E7">
            <w:pPr>
              <w:widowControl/>
              <w:wordWrap/>
              <w:jc w:val="center"/>
            </w:pPr>
            <w:r w:rsidRPr="00B953E4">
              <w:t>103464.72</w:t>
            </w:r>
          </w:p>
        </w:tc>
      </w:tr>
      <w:tr w:rsidR="00F932E7" w:rsidRPr="00915E90" w:rsidTr="00F932E7">
        <w:trPr>
          <w:trHeight w:val="276"/>
        </w:trPr>
        <w:tc>
          <w:tcPr>
            <w:tcW w:w="1828" w:type="dxa"/>
            <w:shd w:val="clear" w:color="auto" w:fill="auto"/>
            <w:noWrap/>
            <w:vAlign w:val="center"/>
            <w:hideMark/>
          </w:tcPr>
          <w:p w:rsidR="00F932E7" w:rsidRPr="00915E90" w:rsidRDefault="00F932E7" w:rsidP="00F932E7">
            <w:pPr>
              <w:widowControl/>
              <w:wordWrap/>
              <w:jc w:val="center"/>
            </w:pPr>
            <w:r>
              <w:rPr>
                <w:rFonts w:hint="eastAsia"/>
              </w:rPr>
              <w:t>C</w:t>
            </w:r>
            <w:r>
              <w:t>hina</w:t>
            </w:r>
          </w:p>
        </w:tc>
        <w:tc>
          <w:tcPr>
            <w:tcW w:w="960" w:type="dxa"/>
            <w:shd w:val="clear" w:color="auto" w:fill="auto"/>
            <w:noWrap/>
            <w:vAlign w:val="center"/>
            <w:hideMark/>
          </w:tcPr>
          <w:p w:rsidR="00F932E7" w:rsidRPr="00915E90" w:rsidRDefault="00F932E7" w:rsidP="00F932E7">
            <w:pPr>
              <w:widowControl/>
              <w:wordWrap/>
              <w:jc w:val="center"/>
            </w:pPr>
            <w:r w:rsidRPr="00B953E4">
              <w:t>166</w:t>
            </w:r>
          </w:p>
        </w:tc>
        <w:tc>
          <w:tcPr>
            <w:tcW w:w="996" w:type="dxa"/>
            <w:shd w:val="clear" w:color="auto" w:fill="auto"/>
            <w:noWrap/>
            <w:vAlign w:val="center"/>
            <w:hideMark/>
          </w:tcPr>
          <w:p w:rsidR="00F932E7" w:rsidRPr="00915E90" w:rsidRDefault="00F932E7" w:rsidP="00F932E7">
            <w:pPr>
              <w:widowControl/>
              <w:wordWrap/>
              <w:jc w:val="center"/>
            </w:pPr>
            <w:r w:rsidRPr="00B953E4">
              <w:t>537.90</w:t>
            </w:r>
          </w:p>
        </w:tc>
        <w:tc>
          <w:tcPr>
            <w:tcW w:w="996" w:type="dxa"/>
            <w:shd w:val="clear" w:color="auto" w:fill="auto"/>
            <w:noWrap/>
            <w:vAlign w:val="center"/>
            <w:hideMark/>
          </w:tcPr>
          <w:p w:rsidR="00F932E7" w:rsidRPr="00915E90" w:rsidRDefault="00F932E7" w:rsidP="00F932E7">
            <w:pPr>
              <w:widowControl/>
              <w:wordWrap/>
              <w:jc w:val="center"/>
            </w:pPr>
            <w:r w:rsidRPr="00B953E4">
              <w:t>1249.75</w:t>
            </w:r>
          </w:p>
        </w:tc>
        <w:tc>
          <w:tcPr>
            <w:tcW w:w="980" w:type="dxa"/>
            <w:shd w:val="clear" w:color="auto" w:fill="auto"/>
            <w:noWrap/>
            <w:vAlign w:val="center"/>
            <w:hideMark/>
          </w:tcPr>
          <w:p w:rsidR="00F932E7" w:rsidRPr="00915E90" w:rsidRDefault="00F932E7" w:rsidP="00F932E7">
            <w:pPr>
              <w:widowControl/>
              <w:wordWrap/>
              <w:jc w:val="center"/>
            </w:pPr>
            <w:r w:rsidRPr="00B953E4">
              <w:t>10.46</w:t>
            </w:r>
          </w:p>
        </w:tc>
        <w:tc>
          <w:tcPr>
            <w:tcW w:w="1116" w:type="dxa"/>
            <w:shd w:val="clear" w:color="auto" w:fill="auto"/>
            <w:noWrap/>
            <w:vAlign w:val="center"/>
            <w:hideMark/>
          </w:tcPr>
          <w:p w:rsidR="00F932E7" w:rsidRPr="00915E90" w:rsidRDefault="00F932E7" w:rsidP="00F932E7">
            <w:pPr>
              <w:widowControl/>
              <w:wordWrap/>
              <w:jc w:val="center"/>
            </w:pPr>
            <w:r w:rsidRPr="00B953E4">
              <w:t>13820.00</w:t>
            </w:r>
          </w:p>
        </w:tc>
        <w:tc>
          <w:tcPr>
            <w:tcW w:w="1356" w:type="dxa"/>
            <w:shd w:val="clear" w:color="auto" w:fill="auto"/>
            <w:noWrap/>
            <w:vAlign w:val="center"/>
            <w:hideMark/>
          </w:tcPr>
          <w:p w:rsidR="00F932E7" w:rsidRPr="00915E90" w:rsidRDefault="00F932E7" w:rsidP="00F932E7">
            <w:pPr>
              <w:widowControl/>
              <w:wordWrap/>
              <w:jc w:val="center"/>
            </w:pPr>
            <w:r w:rsidRPr="00B953E4">
              <w:t>89291.21</w:t>
            </w:r>
          </w:p>
        </w:tc>
      </w:tr>
      <w:tr w:rsidR="00F932E7" w:rsidRPr="00915E90" w:rsidTr="00F932E7">
        <w:trPr>
          <w:trHeight w:val="276"/>
        </w:trPr>
        <w:tc>
          <w:tcPr>
            <w:tcW w:w="1828" w:type="dxa"/>
            <w:shd w:val="clear" w:color="auto" w:fill="auto"/>
            <w:noWrap/>
            <w:vAlign w:val="center"/>
            <w:hideMark/>
          </w:tcPr>
          <w:p w:rsidR="00F932E7" w:rsidRPr="00915E90" w:rsidRDefault="00F932E7" w:rsidP="00F932E7">
            <w:pPr>
              <w:widowControl/>
              <w:wordWrap/>
              <w:jc w:val="center"/>
            </w:pPr>
            <w:r>
              <w:rPr>
                <w:rFonts w:hint="eastAsia"/>
              </w:rPr>
              <w:t>K</w:t>
            </w:r>
            <w:r>
              <w:t>uwait</w:t>
            </w:r>
          </w:p>
        </w:tc>
        <w:tc>
          <w:tcPr>
            <w:tcW w:w="960" w:type="dxa"/>
            <w:shd w:val="clear" w:color="auto" w:fill="auto"/>
            <w:noWrap/>
            <w:vAlign w:val="center"/>
            <w:hideMark/>
          </w:tcPr>
          <w:p w:rsidR="00F932E7" w:rsidRPr="00915E90" w:rsidRDefault="00F932E7" w:rsidP="00F932E7">
            <w:pPr>
              <w:widowControl/>
              <w:wordWrap/>
              <w:jc w:val="center"/>
            </w:pPr>
            <w:r w:rsidRPr="00B953E4">
              <w:t>288</w:t>
            </w:r>
          </w:p>
        </w:tc>
        <w:tc>
          <w:tcPr>
            <w:tcW w:w="996" w:type="dxa"/>
            <w:shd w:val="clear" w:color="auto" w:fill="auto"/>
            <w:noWrap/>
            <w:vAlign w:val="center"/>
            <w:hideMark/>
          </w:tcPr>
          <w:p w:rsidR="00F932E7" w:rsidRPr="00915E90" w:rsidRDefault="00F932E7" w:rsidP="00F932E7">
            <w:pPr>
              <w:widowControl/>
              <w:wordWrap/>
              <w:jc w:val="center"/>
            </w:pPr>
            <w:r w:rsidRPr="00B953E4">
              <w:t>157.88</w:t>
            </w:r>
          </w:p>
        </w:tc>
        <w:tc>
          <w:tcPr>
            <w:tcW w:w="996" w:type="dxa"/>
            <w:shd w:val="clear" w:color="auto" w:fill="auto"/>
            <w:noWrap/>
            <w:vAlign w:val="center"/>
            <w:hideMark/>
          </w:tcPr>
          <w:p w:rsidR="00F932E7" w:rsidRPr="00915E90" w:rsidRDefault="00F932E7" w:rsidP="00F932E7">
            <w:pPr>
              <w:widowControl/>
              <w:wordWrap/>
              <w:jc w:val="center"/>
            </w:pPr>
            <w:r w:rsidRPr="00B953E4">
              <w:t>447.77</w:t>
            </w:r>
          </w:p>
        </w:tc>
        <w:tc>
          <w:tcPr>
            <w:tcW w:w="980" w:type="dxa"/>
            <w:shd w:val="clear" w:color="auto" w:fill="auto"/>
            <w:noWrap/>
            <w:vAlign w:val="center"/>
            <w:hideMark/>
          </w:tcPr>
          <w:p w:rsidR="00F932E7" w:rsidRPr="00915E90" w:rsidRDefault="00F932E7" w:rsidP="00F932E7">
            <w:pPr>
              <w:widowControl/>
              <w:wordWrap/>
              <w:jc w:val="center"/>
            </w:pPr>
            <w:r w:rsidRPr="00B953E4">
              <w:t>10.02</w:t>
            </w:r>
          </w:p>
        </w:tc>
        <w:tc>
          <w:tcPr>
            <w:tcW w:w="1116" w:type="dxa"/>
            <w:shd w:val="clear" w:color="auto" w:fill="auto"/>
            <w:noWrap/>
            <w:vAlign w:val="center"/>
            <w:hideMark/>
          </w:tcPr>
          <w:p w:rsidR="00F932E7" w:rsidRPr="00915E90" w:rsidRDefault="00F932E7" w:rsidP="00F932E7">
            <w:pPr>
              <w:widowControl/>
              <w:wordWrap/>
              <w:jc w:val="center"/>
            </w:pPr>
            <w:r w:rsidRPr="00B953E4">
              <w:t>3937.73</w:t>
            </w:r>
          </w:p>
        </w:tc>
        <w:tc>
          <w:tcPr>
            <w:tcW w:w="1356" w:type="dxa"/>
            <w:shd w:val="clear" w:color="auto" w:fill="auto"/>
            <w:noWrap/>
            <w:vAlign w:val="center"/>
            <w:hideMark/>
          </w:tcPr>
          <w:p w:rsidR="00F932E7" w:rsidRPr="00915E90" w:rsidRDefault="00F932E7" w:rsidP="00F932E7">
            <w:pPr>
              <w:widowControl/>
              <w:wordWrap/>
              <w:jc w:val="center"/>
            </w:pPr>
            <w:r w:rsidRPr="00B953E4">
              <w:t>45469.14</w:t>
            </w:r>
          </w:p>
        </w:tc>
      </w:tr>
      <w:tr w:rsidR="00F932E7" w:rsidRPr="00915E90" w:rsidTr="00F932E7">
        <w:trPr>
          <w:trHeight w:val="276"/>
        </w:trPr>
        <w:tc>
          <w:tcPr>
            <w:tcW w:w="1828" w:type="dxa"/>
            <w:shd w:val="clear" w:color="auto" w:fill="auto"/>
            <w:noWrap/>
            <w:vAlign w:val="center"/>
            <w:hideMark/>
          </w:tcPr>
          <w:p w:rsidR="00F932E7" w:rsidRPr="00915E90" w:rsidRDefault="00F932E7" w:rsidP="00F932E7">
            <w:pPr>
              <w:widowControl/>
              <w:wordWrap/>
              <w:jc w:val="center"/>
            </w:pPr>
            <w:r>
              <w:rPr>
                <w:rFonts w:hint="eastAsia"/>
              </w:rPr>
              <w:t>S</w:t>
            </w:r>
            <w:r>
              <w:t>outh Korea</w:t>
            </w:r>
          </w:p>
        </w:tc>
        <w:tc>
          <w:tcPr>
            <w:tcW w:w="960" w:type="dxa"/>
            <w:shd w:val="clear" w:color="auto" w:fill="auto"/>
            <w:noWrap/>
            <w:vAlign w:val="center"/>
            <w:hideMark/>
          </w:tcPr>
          <w:p w:rsidR="00F932E7" w:rsidRPr="00915E90" w:rsidRDefault="00F932E7" w:rsidP="00F932E7">
            <w:pPr>
              <w:widowControl/>
              <w:wordWrap/>
              <w:jc w:val="center"/>
            </w:pPr>
            <w:r w:rsidRPr="00B953E4">
              <w:t>764</w:t>
            </w:r>
          </w:p>
        </w:tc>
        <w:tc>
          <w:tcPr>
            <w:tcW w:w="996" w:type="dxa"/>
            <w:shd w:val="clear" w:color="auto" w:fill="auto"/>
            <w:noWrap/>
            <w:vAlign w:val="center"/>
            <w:hideMark/>
          </w:tcPr>
          <w:p w:rsidR="00F932E7" w:rsidRPr="00915E90" w:rsidRDefault="00F932E7" w:rsidP="00F932E7">
            <w:pPr>
              <w:widowControl/>
              <w:wordWrap/>
              <w:jc w:val="center"/>
            </w:pPr>
            <w:r w:rsidRPr="00B953E4">
              <w:t>25.80</w:t>
            </w:r>
          </w:p>
        </w:tc>
        <w:tc>
          <w:tcPr>
            <w:tcW w:w="996" w:type="dxa"/>
            <w:shd w:val="clear" w:color="auto" w:fill="auto"/>
            <w:noWrap/>
            <w:vAlign w:val="center"/>
            <w:hideMark/>
          </w:tcPr>
          <w:p w:rsidR="00F932E7" w:rsidRPr="00915E90" w:rsidRDefault="00F932E7" w:rsidP="00F932E7">
            <w:pPr>
              <w:widowControl/>
              <w:wordWrap/>
              <w:jc w:val="center"/>
            </w:pPr>
            <w:r w:rsidRPr="00B953E4">
              <w:t>83.55</w:t>
            </w:r>
          </w:p>
        </w:tc>
        <w:tc>
          <w:tcPr>
            <w:tcW w:w="980" w:type="dxa"/>
            <w:shd w:val="clear" w:color="auto" w:fill="auto"/>
            <w:noWrap/>
            <w:vAlign w:val="center"/>
            <w:hideMark/>
          </w:tcPr>
          <w:p w:rsidR="00F932E7" w:rsidRPr="00915E90" w:rsidRDefault="00F932E7" w:rsidP="00F932E7">
            <w:pPr>
              <w:widowControl/>
              <w:wordWrap/>
              <w:jc w:val="center"/>
            </w:pPr>
            <w:r w:rsidRPr="00B953E4">
              <w:t>10.01</w:t>
            </w:r>
          </w:p>
        </w:tc>
        <w:tc>
          <w:tcPr>
            <w:tcW w:w="1116" w:type="dxa"/>
            <w:shd w:val="clear" w:color="auto" w:fill="auto"/>
            <w:noWrap/>
            <w:vAlign w:val="center"/>
            <w:hideMark/>
          </w:tcPr>
          <w:p w:rsidR="00F932E7" w:rsidRPr="00915E90" w:rsidRDefault="00F932E7" w:rsidP="00F932E7">
            <w:pPr>
              <w:widowControl/>
              <w:wordWrap/>
              <w:jc w:val="center"/>
            </w:pPr>
            <w:r w:rsidRPr="00B953E4">
              <w:t>2000.00</w:t>
            </w:r>
          </w:p>
        </w:tc>
        <w:tc>
          <w:tcPr>
            <w:tcW w:w="1356" w:type="dxa"/>
            <w:shd w:val="clear" w:color="auto" w:fill="auto"/>
            <w:noWrap/>
            <w:vAlign w:val="center"/>
            <w:hideMark/>
          </w:tcPr>
          <w:p w:rsidR="00F932E7" w:rsidRPr="00915E90" w:rsidRDefault="00F932E7" w:rsidP="00F932E7">
            <w:pPr>
              <w:widowControl/>
              <w:wordWrap/>
              <w:jc w:val="center"/>
            </w:pPr>
            <w:r w:rsidRPr="00B953E4">
              <w:t>19707.59</w:t>
            </w:r>
          </w:p>
        </w:tc>
      </w:tr>
      <w:tr w:rsidR="00F932E7" w:rsidRPr="00915E90" w:rsidTr="00F932E7">
        <w:trPr>
          <w:trHeight w:val="276"/>
        </w:trPr>
        <w:tc>
          <w:tcPr>
            <w:tcW w:w="1828" w:type="dxa"/>
            <w:shd w:val="clear" w:color="auto" w:fill="auto"/>
            <w:noWrap/>
            <w:vAlign w:val="center"/>
            <w:hideMark/>
          </w:tcPr>
          <w:p w:rsidR="00F932E7" w:rsidRPr="00915E90" w:rsidRDefault="00F932E7" w:rsidP="00F932E7">
            <w:pPr>
              <w:widowControl/>
              <w:wordWrap/>
              <w:jc w:val="center"/>
            </w:pPr>
            <w:r>
              <w:rPr>
                <w:rFonts w:hint="eastAsia"/>
              </w:rPr>
              <w:t>S</w:t>
            </w:r>
            <w:r>
              <w:t>audi Arab</w:t>
            </w:r>
          </w:p>
        </w:tc>
        <w:tc>
          <w:tcPr>
            <w:tcW w:w="960" w:type="dxa"/>
            <w:shd w:val="clear" w:color="auto" w:fill="auto"/>
            <w:noWrap/>
            <w:vAlign w:val="center"/>
            <w:hideMark/>
          </w:tcPr>
          <w:p w:rsidR="00F932E7" w:rsidRPr="00915E90" w:rsidRDefault="00F932E7" w:rsidP="00F932E7">
            <w:pPr>
              <w:widowControl/>
              <w:wordWrap/>
              <w:jc w:val="center"/>
            </w:pPr>
            <w:r w:rsidRPr="00B953E4">
              <w:t>25</w:t>
            </w:r>
          </w:p>
        </w:tc>
        <w:tc>
          <w:tcPr>
            <w:tcW w:w="996" w:type="dxa"/>
            <w:shd w:val="clear" w:color="auto" w:fill="auto"/>
            <w:noWrap/>
            <w:vAlign w:val="center"/>
            <w:hideMark/>
          </w:tcPr>
          <w:p w:rsidR="00F932E7" w:rsidRPr="00915E90" w:rsidRDefault="00F932E7" w:rsidP="00F932E7">
            <w:pPr>
              <w:widowControl/>
              <w:wordWrap/>
              <w:jc w:val="center"/>
            </w:pPr>
            <w:r w:rsidRPr="00B953E4">
              <w:t>464.84</w:t>
            </w:r>
          </w:p>
        </w:tc>
        <w:tc>
          <w:tcPr>
            <w:tcW w:w="996" w:type="dxa"/>
            <w:shd w:val="clear" w:color="auto" w:fill="auto"/>
            <w:noWrap/>
            <w:vAlign w:val="center"/>
            <w:hideMark/>
          </w:tcPr>
          <w:p w:rsidR="00F932E7" w:rsidRPr="00915E90" w:rsidRDefault="00F932E7" w:rsidP="00F932E7">
            <w:pPr>
              <w:widowControl/>
              <w:wordWrap/>
              <w:jc w:val="center"/>
            </w:pPr>
            <w:r w:rsidRPr="00B953E4">
              <w:t>809.19</w:t>
            </w:r>
          </w:p>
        </w:tc>
        <w:tc>
          <w:tcPr>
            <w:tcW w:w="980" w:type="dxa"/>
            <w:shd w:val="clear" w:color="auto" w:fill="auto"/>
            <w:noWrap/>
            <w:vAlign w:val="center"/>
            <w:hideMark/>
          </w:tcPr>
          <w:p w:rsidR="00F932E7" w:rsidRPr="00915E90" w:rsidRDefault="00F932E7" w:rsidP="00F932E7">
            <w:pPr>
              <w:widowControl/>
              <w:wordWrap/>
              <w:jc w:val="center"/>
            </w:pPr>
            <w:r w:rsidRPr="00B953E4">
              <w:t>10.68</w:t>
            </w:r>
          </w:p>
        </w:tc>
        <w:tc>
          <w:tcPr>
            <w:tcW w:w="1116" w:type="dxa"/>
            <w:shd w:val="clear" w:color="auto" w:fill="auto"/>
            <w:noWrap/>
            <w:vAlign w:val="center"/>
            <w:hideMark/>
          </w:tcPr>
          <w:p w:rsidR="00F932E7" w:rsidRPr="00915E90" w:rsidRDefault="00F932E7" w:rsidP="00F932E7">
            <w:pPr>
              <w:widowControl/>
              <w:wordWrap/>
              <w:jc w:val="center"/>
            </w:pPr>
            <w:r w:rsidRPr="00B953E4">
              <w:t>3500.00</w:t>
            </w:r>
          </w:p>
        </w:tc>
        <w:tc>
          <w:tcPr>
            <w:tcW w:w="1356" w:type="dxa"/>
            <w:shd w:val="clear" w:color="auto" w:fill="auto"/>
            <w:noWrap/>
            <w:vAlign w:val="center"/>
            <w:hideMark/>
          </w:tcPr>
          <w:p w:rsidR="00F932E7" w:rsidRPr="00915E90" w:rsidRDefault="00F932E7" w:rsidP="00F932E7">
            <w:pPr>
              <w:widowControl/>
              <w:wordWrap/>
              <w:jc w:val="center"/>
            </w:pPr>
            <w:r w:rsidRPr="00B953E4">
              <w:t>11620.97</w:t>
            </w:r>
          </w:p>
        </w:tc>
      </w:tr>
      <w:tr w:rsidR="00F932E7" w:rsidRPr="00915E90" w:rsidTr="00F932E7">
        <w:trPr>
          <w:trHeight w:val="276"/>
        </w:trPr>
        <w:tc>
          <w:tcPr>
            <w:tcW w:w="1828" w:type="dxa"/>
            <w:shd w:val="clear" w:color="auto" w:fill="auto"/>
            <w:noWrap/>
            <w:vAlign w:val="center"/>
            <w:hideMark/>
          </w:tcPr>
          <w:p w:rsidR="00F932E7" w:rsidRPr="00915E90" w:rsidRDefault="00F932E7" w:rsidP="00F932E7">
            <w:pPr>
              <w:widowControl/>
              <w:wordWrap/>
              <w:jc w:val="center"/>
            </w:pPr>
            <w:r w:rsidRPr="00F932E7">
              <w:t>Azerbaijan</w:t>
            </w:r>
          </w:p>
        </w:tc>
        <w:tc>
          <w:tcPr>
            <w:tcW w:w="960" w:type="dxa"/>
            <w:shd w:val="clear" w:color="auto" w:fill="auto"/>
            <w:noWrap/>
            <w:vAlign w:val="center"/>
            <w:hideMark/>
          </w:tcPr>
          <w:p w:rsidR="00F932E7" w:rsidRPr="00915E90" w:rsidRDefault="00F932E7" w:rsidP="00F932E7">
            <w:pPr>
              <w:widowControl/>
              <w:wordWrap/>
              <w:jc w:val="center"/>
            </w:pPr>
            <w:r w:rsidRPr="00B953E4">
              <w:t>23</w:t>
            </w:r>
          </w:p>
        </w:tc>
        <w:tc>
          <w:tcPr>
            <w:tcW w:w="996" w:type="dxa"/>
            <w:shd w:val="clear" w:color="auto" w:fill="auto"/>
            <w:noWrap/>
            <w:vAlign w:val="center"/>
            <w:hideMark/>
          </w:tcPr>
          <w:p w:rsidR="00F932E7" w:rsidRPr="00915E90" w:rsidRDefault="00F932E7" w:rsidP="00F932E7">
            <w:pPr>
              <w:widowControl/>
              <w:wordWrap/>
              <w:jc w:val="center"/>
            </w:pPr>
            <w:r w:rsidRPr="00B953E4">
              <w:t>400.74</w:t>
            </w:r>
          </w:p>
        </w:tc>
        <w:tc>
          <w:tcPr>
            <w:tcW w:w="996" w:type="dxa"/>
            <w:shd w:val="clear" w:color="auto" w:fill="auto"/>
            <w:noWrap/>
            <w:vAlign w:val="center"/>
            <w:hideMark/>
          </w:tcPr>
          <w:p w:rsidR="00F932E7" w:rsidRPr="00915E90" w:rsidRDefault="00F932E7" w:rsidP="00F932E7">
            <w:pPr>
              <w:widowControl/>
              <w:wordWrap/>
              <w:jc w:val="center"/>
            </w:pPr>
            <w:r w:rsidRPr="00B953E4">
              <w:t>890.36</w:t>
            </w:r>
          </w:p>
        </w:tc>
        <w:tc>
          <w:tcPr>
            <w:tcW w:w="980" w:type="dxa"/>
            <w:shd w:val="clear" w:color="auto" w:fill="auto"/>
            <w:noWrap/>
            <w:vAlign w:val="center"/>
            <w:hideMark/>
          </w:tcPr>
          <w:p w:rsidR="00F932E7" w:rsidRPr="00915E90" w:rsidRDefault="00F932E7" w:rsidP="00F932E7">
            <w:pPr>
              <w:widowControl/>
              <w:wordWrap/>
              <w:jc w:val="center"/>
            </w:pPr>
            <w:r w:rsidRPr="00B953E4">
              <w:t>18.94</w:t>
            </w:r>
          </w:p>
        </w:tc>
        <w:tc>
          <w:tcPr>
            <w:tcW w:w="1116" w:type="dxa"/>
            <w:shd w:val="clear" w:color="auto" w:fill="auto"/>
            <w:noWrap/>
            <w:vAlign w:val="center"/>
            <w:hideMark/>
          </w:tcPr>
          <w:p w:rsidR="00F932E7" w:rsidRPr="00915E90" w:rsidRDefault="00F932E7" w:rsidP="00F932E7">
            <w:pPr>
              <w:widowControl/>
              <w:wordWrap/>
              <w:jc w:val="center"/>
            </w:pPr>
            <w:r w:rsidRPr="00B953E4">
              <w:t>4000.00</w:t>
            </w:r>
          </w:p>
        </w:tc>
        <w:tc>
          <w:tcPr>
            <w:tcW w:w="1356" w:type="dxa"/>
            <w:shd w:val="clear" w:color="auto" w:fill="auto"/>
            <w:noWrap/>
            <w:vAlign w:val="center"/>
            <w:hideMark/>
          </w:tcPr>
          <w:p w:rsidR="00F932E7" w:rsidRPr="00915E90" w:rsidRDefault="00F932E7" w:rsidP="00F932E7">
            <w:pPr>
              <w:widowControl/>
              <w:wordWrap/>
              <w:jc w:val="center"/>
            </w:pPr>
            <w:r w:rsidRPr="00B953E4">
              <w:t>9217.07</w:t>
            </w:r>
          </w:p>
        </w:tc>
      </w:tr>
      <w:tr w:rsidR="00F932E7" w:rsidRPr="00915E90" w:rsidTr="00F932E7">
        <w:trPr>
          <w:trHeight w:val="276"/>
        </w:trPr>
        <w:tc>
          <w:tcPr>
            <w:tcW w:w="1828" w:type="dxa"/>
            <w:shd w:val="clear" w:color="auto" w:fill="auto"/>
            <w:noWrap/>
            <w:vAlign w:val="center"/>
            <w:hideMark/>
          </w:tcPr>
          <w:p w:rsidR="00F932E7" w:rsidRPr="00915E90" w:rsidRDefault="00F932E7" w:rsidP="00F932E7">
            <w:pPr>
              <w:widowControl/>
              <w:wordWrap/>
              <w:jc w:val="center"/>
            </w:pPr>
            <w:r>
              <w:rPr>
                <w:rFonts w:hint="eastAsia"/>
              </w:rPr>
              <w:t>C</w:t>
            </w:r>
            <w:r>
              <w:t>anada</w:t>
            </w:r>
          </w:p>
        </w:tc>
        <w:tc>
          <w:tcPr>
            <w:tcW w:w="960" w:type="dxa"/>
            <w:shd w:val="clear" w:color="auto" w:fill="auto"/>
            <w:noWrap/>
            <w:vAlign w:val="center"/>
            <w:hideMark/>
          </w:tcPr>
          <w:p w:rsidR="00F932E7" w:rsidRPr="00915E90" w:rsidRDefault="00F932E7" w:rsidP="00F932E7">
            <w:pPr>
              <w:widowControl/>
              <w:wordWrap/>
              <w:jc w:val="center"/>
            </w:pPr>
            <w:r w:rsidRPr="00B953E4">
              <w:t>203</w:t>
            </w:r>
          </w:p>
        </w:tc>
        <w:tc>
          <w:tcPr>
            <w:tcW w:w="996" w:type="dxa"/>
            <w:shd w:val="clear" w:color="auto" w:fill="auto"/>
            <w:noWrap/>
            <w:vAlign w:val="center"/>
            <w:hideMark/>
          </w:tcPr>
          <w:p w:rsidR="00F932E7" w:rsidRPr="00915E90" w:rsidRDefault="00F932E7" w:rsidP="00F932E7">
            <w:pPr>
              <w:widowControl/>
              <w:wordWrap/>
              <w:jc w:val="center"/>
            </w:pPr>
            <w:r w:rsidRPr="00B953E4">
              <w:t>43.88</w:t>
            </w:r>
          </w:p>
        </w:tc>
        <w:tc>
          <w:tcPr>
            <w:tcW w:w="996" w:type="dxa"/>
            <w:shd w:val="clear" w:color="auto" w:fill="auto"/>
            <w:noWrap/>
            <w:vAlign w:val="center"/>
            <w:hideMark/>
          </w:tcPr>
          <w:p w:rsidR="00F932E7" w:rsidRPr="00915E90" w:rsidRDefault="00F932E7" w:rsidP="00F932E7">
            <w:pPr>
              <w:widowControl/>
              <w:wordWrap/>
              <w:jc w:val="center"/>
            </w:pPr>
            <w:r w:rsidRPr="00B953E4">
              <w:t>111.62</w:t>
            </w:r>
          </w:p>
        </w:tc>
        <w:tc>
          <w:tcPr>
            <w:tcW w:w="980" w:type="dxa"/>
            <w:shd w:val="clear" w:color="auto" w:fill="auto"/>
            <w:noWrap/>
            <w:vAlign w:val="center"/>
            <w:hideMark/>
          </w:tcPr>
          <w:p w:rsidR="00F932E7" w:rsidRPr="00915E90" w:rsidRDefault="00F932E7" w:rsidP="00F932E7">
            <w:pPr>
              <w:widowControl/>
              <w:wordWrap/>
              <w:jc w:val="center"/>
            </w:pPr>
            <w:r w:rsidRPr="00B953E4">
              <w:t>10.03</w:t>
            </w:r>
          </w:p>
        </w:tc>
        <w:tc>
          <w:tcPr>
            <w:tcW w:w="1116" w:type="dxa"/>
            <w:shd w:val="clear" w:color="auto" w:fill="auto"/>
            <w:noWrap/>
            <w:vAlign w:val="center"/>
            <w:hideMark/>
          </w:tcPr>
          <w:p w:rsidR="00F932E7" w:rsidRPr="00915E90" w:rsidRDefault="00F932E7" w:rsidP="00F932E7">
            <w:pPr>
              <w:widowControl/>
              <w:wordWrap/>
              <w:jc w:val="center"/>
            </w:pPr>
            <w:r w:rsidRPr="00B953E4">
              <w:t>735.65</w:t>
            </w:r>
          </w:p>
        </w:tc>
        <w:tc>
          <w:tcPr>
            <w:tcW w:w="1356" w:type="dxa"/>
            <w:shd w:val="clear" w:color="auto" w:fill="auto"/>
            <w:noWrap/>
            <w:vAlign w:val="center"/>
            <w:hideMark/>
          </w:tcPr>
          <w:p w:rsidR="00F932E7" w:rsidRPr="00915E90" w:rsidRDefault="00F932E7" w:rsidP="00F932E7">
            <w:pPr>
              <w:widowControl/>
              <w:wordWrap/>
              <w:jc w:val="center"/>
            </w:pPr>
            <w:r w:rsidRPr="00B953E4">
              <w:t>8908.49</w:t>
            </w:r>
          </w:p>
        </w:tc>
      </w:tr>
      <w:tr w:rsidR="00F932E7" w:rsidRPr="00915E90" w:rsidTr="00F932E7">
        <w:trPr>
          <w:trHeight w:val="276"/>
        </w:trPr>
        <w:tc>
          <w:tcPr>
            <w:tcW w:w="1828" w:type="dxa"/>
            <w:shd w:val="clear" w:color="auto" w:fill="auto"/>
            <w:noWrap/>
            <w:vAlign w:val="center"/>
            <w:hideMark/>
          </w:tcPr>
          <w:p w:rsidR="00F932E7" w:rsidRPr="00915E90" w:rsidRDefault="00F932E7" w:rsidP="00F932E7">
            <w:pPr>
              <w:widowControl/>
              <w:wordWrap/>
              <w:jc w:val="center"/>
            </w:pPr>
            <w:r w:rsidRPr="00F932E7">
              <w:t>Malaysia</w:t>
            </w:r>
          </w:p>
        </w:tc>
        <w:tc>
          <w:tcPr>
            <w:tcW w:w="960" w:type="dxa"/>
            <w:shd w:val="clear" w:color="auto" w:fill="auto"/>
            <w:noWrap/>
            <w:vAlign w:val="center"/>
            <w:hideMark/>
          </w:tcPr>
          <w:p w:rsidR="00F932E7" w:rsidRPr="00915E90" w:rsidRDefault="00F932E7" w:rsidP="00F932E7">
            <w:pPr>
              <w:widowControl/>
              <w:wordWrap/>
              <w:jc w:val="center"/>
            </w:pPr>
            <w:r w:rsidRPr="00B953E4">
              <w:t>30</w:t>
            </w:r>
          </w:p>
        </w:tc>
        <w:tc>
          <w:tcPr>
            <w:tcW w:w="996" w:type="dxa"/>
            <w:shd w:val="clear" w:color="auto" w:fill="auto"/>
            <w:noWrap/>
            <w:vAlign w:val="center"/>
            <w:hideMark/>
          </w:tcPr>
          <w:p w:rsidR="00F932E7" w:rsidRPr="00915E90" w:rsidRDefault="00F932E7" w:rsidP="00F932E7">
            <w:pPr>
              <w:widowControl/>
              <w:wordWrap/>
              <w:jc w:val="center"/>
            </w:pPr>
            <w:r w:rsidRPr="00B953E4">
              <w:t>237.85</w:t>
            </w:r>
          </w:p>
        </w:tc>
        <w:tc>
          <w:tcPr>
            <w:tcW w:w="996" w:type="dxa"/>
            <w:shd w:val="clear" w:color="auto" w:fill="auto"/>
            <w:noWrap/>
            <w:vAlign w:val="center"/>
            <w:hideMark/>
          </w:tcPr>
          <w:p w:rsidR="00F932E7" w:rsidRPr="00915E90" w:rsidRDefault="00F932E7" w:rsidP="00F932E7">
            <w:pPr>
              <w:widowControl/>
              <w:wordWrap/>
              <w:jc w:val="center"/>
            </w:pPr>
            <w:r w:rsidRPr="00B953E4">
              <w:t>482.29</w:t>
            </w:r>
          </w:p>
        </w:tc>
        <w:tc>
          <w:tcPr>
            <w:tcW w:w="980" w:type="dxa"/>
            <w:shd w:val="clear" w:color="auto" w:fill="auto"/>
            <w:noWrap/>
            <w:vAlign w:val="center"/>
            <w:hideMark/>
          </w:tcPr>
          <w:p w:rsidR="00F932E7" w:rsidRPr="00915E90" w:rsidRDefault="00F932E7" w:rsidP="00F932E7">
            <w:pPr>
              <w:widowControl/>
              <w:wordWrap/>
              <w:jc w:val="center"/>
            </w:pPr>
            <w:r w:rsidRPr="00B953E4">
              <w:t>15.00</w:t>
            </w:r>
          </w:p>
        </w:tc>
        <w:tc>
          <w:tcPr>
            <w:tcW w:w="1116" w:type="dxa"/>
            <w:shd w:val="clear" w:color="auto" w:fill="auto"/>
            <w:noWrap/>
            <w:vAlign w:val="center"/>
            <w:hideMark/>
          </w:tcPr>
          <w:p w:rsidR="00F932E7" w:rsidRPr="00915E90" w:rsidRDefault="00F932E7" w:rsidP="00F932E7">
            <w:pPr>
              <w:widowControl/>
              <w:wordWrap/>
              <w:jc w:val="center"/>
            </w:pPr>
            <w:r w:rsidRPr="00B953E4">
              <w:t>2600.00</w:t>
            </w:r>
          </w:p>
        </w:tc>
        <w:tc>
          <w:tcPr>
            <w:tcW w:w="1356" w:type="dxa"/>
            <w:shd w:val="clear" w:color="auto" w:fill="auto"/>
            <w:noWrap/>
            <w:vAlign w:val="center"/>
            <w:hideMark/>
          </w:tcPr>
          <w:p w:rsidR="00F932E7" w:rsidRPr="00915E90" w:rsidRDefault="00F932E7" w:rsidP="00F932E7">
            <w:pPr>
              <w:widowControl/>
              <w:wordWrap/>
              <w:jc w:val="center"/>
            </w:pPr>
            <w:r w:rsidRPr="00B953E4">
              <w:t>7135.50</w:t>
            </w:r>
          </w:p>
        </w:tc>
      </w:tr>
      <w:tr w:rsidR="00F932E7" w:rsidRPr="00915E90" w:rsidTr="00F932E7">
        <w:trPr>
          <w:trHeight w:val="276"/>
        </w:trPr>
        <w:tc>
          <w:tcPr>
            <w:tcW w:w="1828" w:type="dxa"/>
            <w:shd w:val="clear" w:color="auto" w:fill="auto"/>
            <w:noWrap/>
            <w:vAlign w:val="center"/>
            <w:hideMark/>
          </w:tcPr>
          <w:p w:rsidR="00F932E7" w:rsidRPr="00915E90" w:rsidRDefault="00F932E7" w:rsidP="00F932E7">
            <w:pPr>
              <w:widowControl/>
              <w:wordWrap/>
              <w:jc w:val="center"/>
            </w:pPr>
            <w:r>
              <w:t>Liberia</w:t>
            </w:r>
          </w:p>
        </w:tc>
        <w:tc>
          <w:tcPr>
            <w:tcW w:w="960" w:type="dxa"/>
            <w:shd w:val="clear" w:color="auto" w:fill="auto"/>
            <w:noWrap/>
            <w:vAlign w:val="center"/>
            <w:hideMark/>
          </w:tcPr>
          <w:p w:rsidR="00F932E7" w:rsidRPr="00915E90" w:rsidRDefault="00F932E7" w:rsidP="00F932E7">
            <w:pPr>
              <w:widowControl/>
              <w:wordWrap/>
              <w:jc w:val="center"/>
            </w:pPr>
            <w:r w:rsidRPr="00B953E4">
              <w:t>16</w:t>
            </w:r>
          </w:p>
        </w:tc>
        <w:tc>
          <w:tcPr>
            <w:tcW w:w="996" w:type="dxa"/>
            <w:shd w:val="clear" w:color="auto" w:fill="auto"/>
            <w:noWrap/>
            <w:vAlign w:val="center"/>
            <w:hideMark/>
          </w:tcPr>
          <w:p w:rsidR="00F932E7" w:rsidRPr="00915E90" w:rsidRDefault="00F932E7" w:rsidP="00F932E7">
            <w:pPr>
              <w:widowControl/>
              <w:wordWrap/>
              <w:jc w:val="center"/>
            </w:pPr>
            <w:r w:rsidRPr="00B953E4">
              <w:t>251.79</w:t>
            </w:r>
          </w:p>
        </w:tc>
        <w:tc>
          <w:tcPr>
            <w:tcW w:w="996" w:type="dxa"/>
            <w:shd w:val="clear" w:color="auto" w:fill="auto"/>
            <w:noWrap/>
            <w:vAlign w:val="center"/>
            <w:hideMark/>
          </w:tcPr>
          <w:p w:rsidR="00F932E7" w:rsidRPr="00915E90" w:rsidRDefault="00F932E7" w:rsidP="00F932E7">
            <w:pPr>
              <w:widowControl/>
              <w:wordWrap/>
              <w:jc w:val="center"/>
            </w:pPr>
            <w:r w:rsidRPr="00B953E4">
              <w:t>384.85</w:t>
            </w:r>
          </w:p>
        </w:tc>
        <w:tc>
          <w:tcPr>
            <w:tcW w:w="980" w:type="dxa"/>
            <w:shd w:val="clear" w:color="auto" w:fill="auto"/>
            <w:noWrap/>
            <w:vAlign w:val="center"/>
            <w:hideMark/>
          </w:tcPr>
          <w:p w:rsidR="00F932E7" w:rsidRPr="00915E90" w:rsidRDefault="00F932E7" w:rsidP="00F932E7">
            <w:pPr>
              <w:widowControl/>
              <w:wordWrap/>
              <w:jc w:val="center"/>
            </w:pPr>
            <w:r w:rsidRPr="00B953E4">
              <w:t>10.01</w:t>
            </w:r>
          </w:p>
        </w:tc>
        <w:tc>
          <w:tcPr>
            <w:tcW w:w="1116" w:type="dxa"/>
            <w:shd w:val="clear" w:color="auto" w:fill="auto"/>
            <w:noWrap/>
            <w:vAlign w:val="center"/>
            <w:hideMark/>
          </w:tcPr>
          <w:p w:rsidR="00F932E7" w:rsidRPr="00915E90" w:rsidRDefault="00F932E7" w:rsidP="00F932E7">
            <w:pPr>
              <w:widowControl/>
              <w:wordWrap/>
              <w:jc w:val="center"/>
            </w:pPr>
            <w:r w:rsidRPr="00B953E4">
              <w:t>1521.16</w:t>
            </w:r>
          </w:p>
        </w:tc>
        <w:tc>
          <w:tcPr>
            <w:tcW w:w="1356" w:type="dxa"/>
            <w:shd w:val="clear" w:color="auto" w:fill="auto"/>
            <w:noWrap/>
            <w:vAlign w:val="center"/>
            <w:hideMark/>
          </w:tcPr>
          <w:p w:rsidR="00F932E7" w:rsidRPr="00915E90" w:rsidRDefault="00F932E7" w:rsidP="00F932E7">
            <w:pPr>
              <w:widowControl/>
              <w:wordWrap/>
              <w:jc w:val="center"/>
            </w:pPr>
            <w:r w:rsidRPr="00B953E4">
              <w:t>4028.71</w:t>
            </w:r>
          </w:p>
        </w:tc>
      </w:tr>
      <w:tr w:rsidR="00F932E7" w:rsidRPr="00915E90" w:rsidTr="00F932E7">
        <w:trPr>
          <w:trHeight w:val="276"/>
        </w:trPr>
        <w:tc>
          <w:tcPr>
            <w:tcW w:w="1828" w:type="dxa"/>
            <w:shd w:val="clear" w:color="auto" w:fill="auto"/>
            <w:noWrap/>
            <w:vAlign w:val="center"/>
            <w:hideMark/>
          </w:tcPr>
          <w:p w:rsidR="00F932E7" w:rsidRPr="00915E90" w:rsidRDefault="00F932E7" w:rsidP="00F932E7">
            <w:pPr>
              <w:widowControl/>
              <w:wordWrap/>
              <w:jc w:val="center"/>
            </w:pPr>
            <w:r>
              <w:rPr>
                <w:rFonts w:hint="eastAsia"/>
              </w:rPr>
              <w:t>R</w:t>
            </w:r>
            <w:r>
              <w:t>ussia</w:t>
            </w:r>
          </w:p>
        </w:tc>
        <w:tc>
          <w:tcPr>
            <w:tcW w:w="960" w:type="dxa"/>
            <w:shd w:val="clear" w:color="auto" w:fill="auto"/>
            <w:noWrap/>
            <w:vAlign w:val="center"/>
            <w:hideMark/>
          </w:tcPr>
          <w:p w:rsidR="00F932E7" w:rsidRPr="00915E90" w:rsidRDefault="00F932E7" w:rsidP="00F932E7">
            <w:pPr>
              <w:widowControl/>
              <w:wordWrap/>
              <w:jc w:val="center"/>
            </w:pPr>
            <w:r w:rsidRPr="00B953E4">
              <w:t>2</w:t>
            </w:r>
          </w:p>
        </w:tc>
        <w:tc>
          <w:tcPr>
            <w:tcW w:w="996" w:type="dxa"/>
            <w:shd w:val="clear" w:color="auto" w:fill="auto"/>
            <w:noWrap/>
            <w:vAlign w:val="center"/>
            <w:hideMark/>
          </w:tcPr>
          <w:p w:rsidR="00F932E7" w:rsidRPr="00915E90" w:rsidRDefault="00F932E7" w:rsidP="00F932E7">
            <w:pPr>
              <w:widowControl/>
              <w:wordWrap/>
              <w:jc w:val="center"/>
            </w:pPr>
            <w:r w:rsidRPr="00B953E4">
              <w:t>1700.00</w:t>
            </w:r>
          </w:p>
        </w:tc>
        <w:tc>
          <w:tcPr>
            <w:tcW w:w="996" w:type="dxa"/>
            <w:shd w:val="clear" w:color="auto" w:fill="auto"/>
            <w:noWrap/>
            <w:vAlign w:val="center"/>
            <w:hideMark/>
          </w:tcPr>
          <w:p w:rsidR="00F932E7" w:rsidRPr="00915E90" w:rsidRDefault="00F932E7" w:rsidP="00F932E7">
            <w:pPr>
              <w:widowControl/>
              <w:wordWrap/>
              <w:jc w:val="center"/>
            </w:pPr>
            <w:r w:rsidRPr="00B953E4">
              <w:t>1838.48</w:t>
            </w:r>
          </w:p>
        </w:tc>
        <w:tc>
          <w:tcPr>
            <w:tcW w:w="980" w:type="dxa"/>
            <w:shd w:val="clear" w:color="auto" w:fill="auto"/>
            <w:noWrap/>
            <w:vAlign w:val="center"/>
            <w:hideMark/>
          </w:tcPr>
          <w:p w:rsidR="00F932E7" w:rsidRPr="00915E90" w:rsidRDefault="00F932E7" w:rsidP="00F932E7">
            <w:pPr>
              <w:widowControl/>
              <w:wordWrap/>
              <w:jc w:val="center"/>
            </w:pPr>
            <w:r w:rsidRPr="00B953E4">
              <w:t>400.00</w:t>
            </w:r>
          </w:p>
        </w:tc>
        <w:tc>
          <w:tcPr>
            <w:tcW w:w="1116" w:type="dxa"/>
            <w:shd w:val="clear" w:color="auto" w:fill="auto"/>
            <w:noWrap/>
            <w:vAlign w:val="center"/>
            <w:hideMark/>
          </w:tcPr>
          <w:p w:rsidR="00F932E7" w:rsidRPr="00915E90" w:rsidRDefault="00F932E7" w:rsidP="00F932E7">
            <w:pPr>
              <w:widowControl/>
              <w:wordWrap/>
              <w:jc w:val="center"/>
            </w:pPr>
            <w:r w:rsidRPr="00B953E4">
              <w:t>3000.00</w:t>
            </w:r>
          </w:p>
        </w:tc>
        <w:tc>
          <w:tcPr>
            <w:tcW w:w="1356" w:type="dxa"/>
            <w:shd w:val="clear" w:color="auto" w:fill="auto"/>
            <w:noWrap/>
            <w:vAlign w:val="center"/>
            <w:hideMark/>
          </w:tcPr>
          <w:p w:rsidR="00F932E7" w:rsidRPr="00915E90" w:rsidRDefault="00F932E7" w:rsidP="00F932E7">
            <w:pPr>
              <w:widowControl/>
              <w:wordWrap/>
              <w:jc w:val="center"/>
            </w:pPr>
            <w:r w:rsidRPr="00B953E4">
              <w:t>3400.00</w:t>
            </w:r>
          </w:p>
        </w:tc>
      </w:tr>
      <w:tr w:rsidR="00F932E7" w:rsidRPr="00915E90" w:rsidTr="00F932E7">
        <w:trPr>
          <w:trHeight w:val="276"/>
        </w:trPr>
        <w:tc>
          <w:tcPr>
            <w:tcW w:w="1828" w:type="dxa"/>
            <w:shd w:val="clear" w:color="auto" w:fill="auto"/>
            <w:noWrap/>
            <w:vAlign w:val="center"/>
            <w:hideMark/>
          </w:tcPr>
          <w:p w:rsidR="00F932E7" w:rsidRPr="00915E90" w:rsidRDefault="00F932E7" w:rsidP="00F932E7">
            <w:pPr>
              <w:widowControl/>
              <w:wordWrap/>
              <w:jc w:val="center"/>
            </w:pPr>
            <w:r>
              <w:t>Ireland</w:t>
            </w:r>
          </w:p>
        </w:tc>
        <w:tc>
          <w:tcPr>
            <w:tcW w:w="960" w:type="dxa"/>
            <w:shd w:val="clear" w:color="auto" w:fill="auto"/>
            <w:noWrap/>
            <w:vAlign w:val="center"/>
            <w:hideMark/>
          </w:tcPr>
          <w:p w:rsidR="00F932E7" w:rsidRPr="00915E90" w:rsidRDefault="00F932E7" w:rsidP="00F932E7">
            <w:pPr>
              <w:widowControl/>
              <w:wordWrap/>
              <w:jc w:val="center"/>
            </w:pPr>
            <w:r w:rsidRPr="00B953E4">
              <w:t>11</w:t>
            </w:r>
          </w:p>
        </w:tc>
        <w:tc>
          <w:tcPr>
            <w:tcW w:w="996" w:type="dxa"/>
            <w:shd w:val="clear" w:color="auto" w:fill="auto"/>
            <w:noWrap/>
            <w:vAlign w:val="center"/>
            <w:hideMark/>
          </w:tcPr>
          <w:p w:rsidR="00F932E7" w:rsidRPr="00915E90" w:rsidRDefault="00F932E7" w:rsidP="00F932E7">
            <w:pPr>
              <w:widowControl/>
              <w:wordWrap/>
              <w:jc w:val="center"/>
            </w:pPr>
            <w:r w:rsidRPr="00B953E4">
              <w:t>222.84</w:t>
            </w:r>
          </w:p>
        </w:tc>
        <w:tc>
          <w:tcPr>
            <w:tcW w:w="996" w:type="dxa"/>
            <w:shd w:val="clear" w:color="auto" w:fill="auto"/>
            <w:noWrap/>
            <w:vAlign w:val="center"/>
            <w:hideMark/>
          </w:tcPr>
          <w:p w:rsidR="00F932E7" w:rsidRPr="00915E90" w:rsidRDefault="00F932E7" w:rsidP="00F932E7">
            <w:pPr>
              <w:widowControl/>
              <w:wordWrap/>
              <w:jc w:val="center"/>
            </w:pPr>
            <w:r w:rsidRPr="00B953E4">
              <w:t>660.44</w:t>
            </w:r>
          </w:p>
        </w:tc>
        <w:tc>
          <w:tcPr>
            <w:tcW w:w="980" w:type="dxa"/>
            <w:shd w:val="clear" w:color="auto" w:fill="auto"/>
            <w:noWrap/>
            <w:vAlign w:val="center"/>
            <w:hideMark/>
          </w:tcPr>
          <w:p w:rsidR="00F932E7" w:rsidRPr="00915E90" w:rsidRDefault="00F932E7" w:rsidP="00F932E7">
            <w:pPr>
              <w:widowControl/>
              <w:wordWrap/>
              <w:jc w:val="center"/>
            </w:pPr>
            <w:r w:rsidRPr="00B953E4">
              <w:t>12.34</w:t>
            </w:r>
          </w:p>
        </w:tc>
        <w:tc>
          <w:tcPr>
            <w:tcW w:w="1116" w:type="dxa"/>
            <w:shd w:val="clear" w:color="auto" w:fill="auto"/>
            <w:noWrap/>
            <w:vAlign w:val="center"/>
            <w:hideMark/>
          </w:tcPr>
          <w:p w:rsidR="00F932E7" w:rsidRPr="00915E90" w:rsidRDefault="00F932E7" w:rsidP="00F932E7">
            <w:pPr>
              <w:widowControl/>
              <w:wordWrap/>
              <w:jc w:val="center"/>
            </w:pPr>
            <w:r w:rsidRPr="00B953E4">
              <w:t>2213.67</w:t>
            </w:r>
          </w:p>
        </w:tc>
        <w:tc>
          <w:tcPr>
            <w:tcW w:w="1356" w:type="dxa"/>
            <w:shd w:val="clear" w:color="auto" w:fill="auto"/>
            <w:noWrap/>
            <w:vAlign w:val="center"/>
            <w:hideMark/>
          </w:tcPr>
          <w:p w:rsidR="00F932E7" w:rsidRPr="00915E90" w:rsidRDefault="00F932E7" w:rsidP="00F932E7">
            <w:pPr>
              <w:widowControl/>
              <w:wordWrap/>
              <w:jc w:val="center"/>
            </w:pPr>
            <w:r w:rsidRPr="00B953E4">
              <w:t>2451.27</w:t>
            </w:r>
          </w:p>
        </w:tc>
      </w:tr>
      <w:tr w:rsidR="00F932E7" w:rsidRPr="00915E90" w:rsidTr="00F932E7">
        <w:trPr>
          <w:trHeight w:val="276"/>
        </w:trPr>
        <w:tc>
          <w:tcPr>
            <w:tcW w:w="1828" w:type="dxa"/>
            <w:shd w:val="clear" w:color="auto" w:fill="auto"/>
            <w:noWrap/>
            <w:vAlign w:val="center"/>
            <w:hideMark/>
          </w:tcPr>
          <w:p w:rsidR="00F932E7" w:rsidRPr="00915E90" w:rsidRDefault="00F932E7" w:rsidP="00F932E7">
            <w:pPr>
              <w:widowControl/>
              <w:wordWrap/>
              <w:jc w:val="center"/>
            </w:pPr>
            <w:r>
              <w:rPr>
                <w:rFonts w:hint="eastAsia"/>
              </w:rPr>
              <w:t>A</w:t>
            </w:r>
            <w:r>
              <w:t>ustralia</w:t>
            </w:r>
          </w:p>
        </w:tc>
        <w:tc>
          <w:tcPr>
            <w:tcW w:w="960" w:type="dxa"/>
            <w:shd w:val="clear" w:color="auto" w:fill="auto"/>
            <w:noWrap/>
            <w:vAlign w:val="center"/>
            <w:hideMark/>
          </w:tcPr>
          <w:p w:rsidR="00F932E7" w:rsidRPr="00915E90" w:rsidRDefault="00F932E7" w:rsidP="00F932E7">
            <w:pPr>
              <w:widowControl/>
              <w:wordWrap/>
              <w:jc w:val="center"/>
            </w:pPr>
            <w:r w:rsidRPr="00B953E4">
              <w:t>13</w:t>
            </w:r>
          </w:p>
        </w:tc>
        <w:tc>
          <w:tcPr>
            <w:tcW w:w="996" w:type="dxa"/>
            <w:shd w:val="clear" w:color="auto" w:fill="auto"/>
            <w:noWrap/>
            <w:vAlign w:val="center"/>
            <w:hideMark/>
          </w:tcPr>
          <w:p w:rsidR="00F932E7" w:rsidRPr="00915E90" w:rsidRDefault="00F932E7" w:rsidP="00F932E7">
            <w:pPr>
              <w:widowControl/>
              <w:wordWrap/>
              <w:jc w:val="center"/>
            </w:pPr>
            <w:r w:rsidRPr="00B953E4">
              <w:t>147.30</w:t>
            </w:r>
          </w:p>
        </w:tc>
        <w:tc>
          <w:tcPr>
            <w:tcW w:w="996" w:type="dxa"/>
            <w:shd w:val="clear" w:color="auto" w:fill="auto"/>
            <w:noWrap/>
            <w:vAlign w:val="center"/>
            <w:hideMark/>
          </w:tcPr>
          <w:p w:rsidR="00F932E7" w:rsidRPr="00915E90" w:rsidRDefault="00F932E7" w:rsidP="00F932E7">
            <w:pPr>
              <w:widowControl/>
              <w:wordWrap/>
              <w:jc w:val="center"/>
            </w:pPr>
            <w:r w:rsidRPr="00B953E4">
              <w:t>213.84</w:t>
            </w:r>
          </w:p>
        </w:tc>
        <w:tc>
          <w:tcPr>
            <w:tcW w:w="980" w:type="dxa"/>
            <w:shd w:val="clear" w:color="auto" w:fill="auto"/>
            <w:noWrap/>
            <w:vAlign w:val="center"/>
            <w:hideMark/>
          </w:tcPr>
          <w:p w:rsidR="00F932E7" w:rsidRPr="00915E90" w:rsidRDefault="00F932E7" w:rsidP="00F932E7">
            <w:pPr>
              <w:widowControl/>
              <w:wordWrap/>
              <w:jc w:val="center"/>
            </w:pPr>
            <w:r w:rsidRPr="00B953E4">
              <w:t>12.22</w:t>
            </w:r>
          </w:p>
        </w:tc>
        <w:tc>
          <w:tcPr>
            <w:tcW w:w="1116" w:type="dxa"/>
            <w:shd w:val="clear" w:color="auto" w:fill="auto"/>
            <w:noWrap/>
            <w:vAlign w:val="center"/>
            <w:hideMark/>
          </w:tcPr>
          <w:p w:rsidR="00F932E7" w:rsidRPr="00915E90" w:rsidRDefault="00F932E7" w:rsidP="00F932E7">
            <w:pPr>
              <w:widowControl/>
              <w:wordWrap/>
              <w:jc w:val="center"/>
            </w:pPr>
            <w:r w:rsidRPr="00B953E4">
              <w:t>785.00</w:t>
            </w:r>
          </w:p>
        </w:tc>
        <w:tc>
          <w:tcPr>
            <w:tcW w:w="1356" w:type="dxa"/>
            <w:shd w:val="clear" w:color="auto" w:fill="auto"/>
            <w:noWrap/>
            <w:vAlign w:val="center"/>
            <w:hideMark/>
          </w:tcPr>
          <w:p w:rsidR="00F932E7" w:rsidRPr="00915E90" w:rsidRDefault="00F932E7" w:rsidP="00F932E7">
            <w:pPr>
              <w:widowControl/>
              <w:wordWrap/>
              <w:jc w:val="center"/>
            </w:pPr>
            <w:r w:rsidRPr="00B953E4">
              <w:t>1914.94</w:t>
            </w:r>
          </w:p>
        </w:tc>
      </w:tr>
      <w:tr w:rsidR="00F932E7" w:rsidRPr="00915E90" w:rsidTr="00F932E7">
        <w:trPr>
          <w:trHeight w:val="276"/>
        </w:trPr>
        <w:tc>
          <w:tcPr>
            <w:tcW w:w="1828" w:type="dxa"/>
            <w:shd w:val="clear" w:color="auto" w:fill="auto"/>
            <w:noWrap/>
            <w:vAlign w:val="center"/>
            <w:hideMark/>
          </w:tcPr>
          <w:p w:rsidR="00F932E7" w:rsidRPr="00915E90" w:rsidRDefault="00F932E7" w:rsidP="00F932E7">
            <w:pPr>
              <w:widowControl/>
              <w:wordWrap/>
              <w:jc w:val="center"/>
            </w:pPr>
            <w:r>
              <w:rPr>
                <w:rFonts w:hint="eastAsia"/>
              </w:rPr>
              <w:t>U</w:t>
            </w:r>
            <w:r>
              <w:t>SA</w:t>
            </w:r>
          </w:p>
        </w:tc>
        <w:tc>
          <w:tcPr>
            <w:tcW w:w="960" w:type="dxa"/>
            <w:shd w:val="clear" w:color="auto" w:fill="auto"/>
            <w:noWrap/>
            <w:vAlign w:val="center"/>
            <w:hideMark/>
          </w:tcPr>
          <w:p w:rsidR="00F932E7" w:rsidRPr="00915E90" w:rsidRDefault="00F932E7" w:rsidP="00F932E7">
            <w:pPr>
              <w:widowControl/>
              <w:wordWrap/>
              <w:jc w:val="center"/>
            </w:pPr>
            <w:r w:rsidRPr="00B953E4">
              <w:t>14</w:t>
            </w:r>
          </w:p>
        </w:tc>
        <w:tc>
          <w:tcPr>
            <w:tcW w:w="996" w:type="dxa"/>
            <w:shd w:val="clear" w:color="auto" w:fill="auto"/>
            <w:noWrap/>
            <w:vAlign w:val="center"/>
            <w:hideMark/>
          </w:tcPr>
          <w:p w:rsidR="00F932E7" w:rsidRPr="00915E90" w:rsidRDefault="00F932E7" w:rsidP="00F932E7">
            <w:pPr>
              <w:widowControl/>
              <w:wordWrap/>
              <w:jc w:val="center"/>
            </w:pPr>
            <w:r w:rsidRPr="00B953E4">
              <w:t>109.76</w:t>
            </w:r>
          </w:p>
        </w:tc>
        <w:tc>
          <w:tcPr>
            <w:tcW w:w="996" w:type="dxa"/>
            <w:shd w:val="clear" w:color="auto" w:fill="auto"/>
            <w:noWrap/>
            <w:vAlign w:val="center"/>
            <w:hideMark/>
          </w:tcPr>
          <w:p w:rsidR="00F932E7" w:rsidRPr="00915E90" w:rsidRDefault="00F932E7" w:rsidP="00F932E7">
            <w:pPr>
              <w:widowControl/>
              <w:wordWrap/>
              <w:jc w:val="center"/>
            </w:pPr>
            <w:r w:rsidRPr="00B953E4">
              <w:t>104.85</w:t>
            </w:r>
          </w:p>
        </w:tc>
        <w:tc>
          <w:tcPr>
            <w:tcW w:w="980" w:type="dxa"/>
            <w:shd w:val="clear" w:color="auto" w:fill="auto"/>
            <w:noWrap/>
            <w:vAlign w:val="center"/>
            <w:hideMark/>
          </w:tcPr>
          <w:p w:rsidR="00F932E7" w:rsidRPr="00915E90" w:rsidRDefault="00F932E7" w:rsidP="00F932E7">
            <w:pPr>
              <w:widowControl/>
              <w:wordWrap/>
              <w:jc w:val="center"/>
            </w:pPr>
            <w:r w:rsidRPr="00B953E4">
              <w:t>11.70</w:t>
            </w:r>
          </w:p>
        </w:tc>
        <w:tc>
          <w:tcPr>
            <w:tcW w:w="1116" w:type="dxa"/>
            <w:shd w:val="clear" w:color="auto" w:fill="auto"/>
            <w:noWrap/>
            <w:vAlign w:val="center"/>
            <w:hideMark/>
          </w:tcPr>
          <w:p w:rsidR="00F932E7" w:rsidRPr="00915E90" w:rsidRDefault="00F932E7" w:rsidP="00F932E7">
            <w:pPr>
              <w:widowControl/>
              <w:wordWrap/>
              <w:jc w:val="center"/>
            </w:pPr>
            <w:r w:rsidRPr="00B953E4">
              <w:t>340.00</w:t>
            </w:r>
          </w:p>
        </w:tc>
        <w:tc>
          <w:tcPr>
            <w:tcW w:w="1356" w:type="dxa"/>
            <w:shd w:val="clear" w:color="auto" w:fill="auto"/>
            <w:noWrap/>
            <w:vAlign w:val="center"/>
            <w:hideMark/>
          </w:tcPr>
          <w:p w:rsidR="00F932E7" w:rsidRPr="00915E90" w:rsidRDefault="00F932E7" w:rsidP="00F932E7">
            <w:pPr>
              <w:widowControl/>
              <w:wordWrap/>
              <w:jc w:val="center"/>
            </w:pPr>
            <w:r w:rsidRPr="00B953E4">
              <w:t>1536.58</w:t>
            </w:r>
          </w:p>
        </w:tc>
      </w:tr>
      <w:tr w:rsidR="00F932E7" w:rsidRPr="00915E90" w:rsidTr="00F932E7">
        <w:trPr>
          <w:trHeight w:val="276"/>
        </w:trPr>
        <w:tc>
          <w:tcPr>
            <w:tcW w:w="1828" w:type="dxa"/>
            <w:shd w:val="clear" w:color="auto" w:fill="auto"/>
            <w:noWrap/>
            <w:vAlign w:val="center"/>
            <w:hideMark/>
          </w:tcPr>
          <w:p w:rsidR="00F932E7" w:rsidRPr="00915E90" w:rsidRDefault="00F932E7" w:rsidP="00F932E7">
            <w:pPr>
              <w:widowControl/>
              <w:wordWrap/>
              <w:jc w:val="center"/>
            </w:pPr>
            <w:r>
              <w:t>New Zealand</w:t>
            </w:r>
          </w:p>
        </w:tc>
        <w:tc>
          <w:tcPr>
            <w:tcW w:w="960" w:type="dxa"/>
            <w:shd w:val="clear" w:color="auto" w:fill="auto"/>
            <w:noWrap/>
            <w:vAlign w:val="center"/>
            <w:hideMark/>
          </w:tcPr>
          <w:p w:rsidR="00F932E7" w:rsidRPr="00915E90" w:rsidRDefault="00F932E7" w:rsidP="00F932E7">
            <w:pPr>
              <w:widowControl/>
              <w:wordWrap/>
              <w:jc w:val="center"/>
            </w:pPr>
            <w:r w:rsidRPr="00B953E4">
              <w:t>11</w:t>
            </w:r>
          </w:p>
        </w:tc>
        <w:tc>
          <w:tcPr>
            <w:tcW w:w="996" w:type="dxa"/>
            <w:shd w:val="clear" w:color="auto" w:fill="auto"/>
            <w:noWrap/>
            <w:vAlign w:val="center"/>
            <w:hideMark/>
          </w:tcPr>
          <w:p w:rsidR="00F932E7" w:rsidRPr="00915E90" w:rsidRDefault="00F932E7" w:rsidP="00F932E7">
            <w:pPr>
              <w:widowControl/>
              <w:wordWrap/>
              <w:jc w:val="center"/>
            </w:pPr>
            <w:r w:rsidRPr="00B953E4">
              <w:t>72.79</w:t>
            </w:r>
          </w:p>
        </w:tc>
        <w:tc>
          <w:tcPr>
            <w:tcW w:w="996" w:type="dxa"/>
            <w:shd w:val="clear" w:color="auto" w:fill="auto"/>
            <w:noWrap/>
            <w:vAlign w:val="center"/>
            <w:hideMark/>
          </w:tcPr>
          <w:p w:rsidR="00F932E7" w:rsidRPr="00915E90" w:rsidRDefault="00F932E7" w:rsidP="00F932E7">
            <w:pPr>
              <w:widowControl/>
              <w:wordWrap/>
              <w:jc w:val="center"/>
            </w:pPr>
            <w:r w:rsidRPr="00B953E4">
              <w:t>47.44</w:t>
            </w:r>
          </w:p>
        </w:tc>
        <w:tc>
          <w:tcPr>
            <w:tcW w:w="980" w:type="dxa"/>
            <w:shd w:val="clear" w:color="auto" w:fill="auto"/>
            <w:noWrap/>
            <w:vAlign w:val="center"/>
            <w:hideMark/>
          </w:tcPr>
          <w:p w:rsidR="00F932E7" w:rsidRPr="00915E90" w:rsidRDefault="00F932E7" w:rsidP="00F932E7">
            <w:pPr>
              <w:widowControl/>
              <w:wordWrap/>
              <w:jc w:val="center"/>
            </w:pPr>
            <w:r w:rsidRPr="00B953E4">
              <w:t>25.00</w:t>
            </w:r>
          </w:p>
        </w:tc>
        <w:tc>
          <w:tcPr>
            <w:tcW w:w="1116" w:type="dxa"/>
            <w:shd w:val="clear" w:color="auto" w:fill="auto"/>
            <w:noWrap/>
            <w:vAlign w:val="center"/>
            <w:hideMark/>
          </w:tcPr>
          <w:p w:rsidR="00F932E7" w:rsidRPr="00915E90" w:rsidRDefault="00F932E7" w:rsidP="00F932E7">
            <w:pPr>
              <w:widowControl/>
              <w:wordWrap/>
              <w:jc w:val="center"/>
            </w:pPr>
            <w:r w:rsidRPr="00B953E4">
              <w:t>174.36</w:t>
            </w:r>
          </w:p>
        </w:tc>
        <w:tc>
          <w:tcPr>
            <w:tcW w:w="1356" w:type="dxa"/>
            <w:shd w:val="clear" w:color="auto" w:fill="auto"/>
            <w:noWrap/>
            <w:vAlign w:val="center"/>
            <w:hideMark/>
          </w:tcPr>
          <w:p w:rsidR="00F932E7" w:rsidRPr="00915E90" w:rsidRDefault="00F932E7" w:rsidP="00F932E7">
            <w:pPr>
              <w:widowControl/>
              <w:wordWrap/>
              <w:jc w:val="center"/>
            </w:pPr>
            <w:r w:rsidRPr="00B953E4">
              <w:t>800.67</w:t>
            </w:r>
          </w:p>
        </w:tc>
      </w:tr>
      <w:tr w:rsidR="00F932E7" w:rsidRPr="00915E90" w:rsidTr="00F932E7">
        <w:trPr>
          <w:trHeight w:val="276"/>
        </w:trPr>
        <w:tc>
          <w:tcPr>
            <w:tcW w:w="1828" w:type="dxa"/>
            <w:tcBorders>
              <w:bottom w:val="single" w:sz="4" w:space="0" w:color="auto"/>
            </w:tcBorders>
            <w:shd w:val="clear" w:color="auto" w:fill="auto"/>
            <w:noWrap/>
            <w:vAlign w:val="center"/>
            <w:hideMark/>
          </w:tcPr>
          <w:p w:rsidR="00F932E7" w:rsidRPr="00915E90" w:rsidRDefault="00F932E7" w:rsidP="00F932E7">
            <w:pPr>
              <w:widowControl/>
              <w:wordWrap/>
              <w:jc w:val="center"/>
            </w:pPr>
            <w:r>
              <w:t>Bunia</w:t>
            </w:r>
          </w:p>
        </w:tc>
        <w:tc>
          <w:tcPr>
            <w:tcW w:w="960" w:type="dxa"/>
            <w:tcBorders>
              <w:bottom w:val="single" w:sz="4" w:space="0" w:color="auto"/>
            </w:tcBorders>
            <w:shd w:val="clear" w:color="auto" w:fill="auto"/>
            <w:noWrap/>
            <w:vAlign w:val="center"/>
            <w:hideMark/>
          </w:tcPr>
          <w:p w:rsidR="00F932E7" w:rsidRPr="00915E90" w:rsidRDefault="00F932E7" w:rsidP="00F932E7">
            <w:pPr>
              <w:widowControl/>
              <w:wordWrap/>
              <w:jc w:val="center"/>
            </w:pPr>
            <w:r w:rsidRPr="00B953E4">
              <w:t>3</w:t>
            </w:r>
          </w:p>
        </w:tc>
        <w:tc>
          <w:tcPr>
            <w:tcW w:w="996" w:type="dxa"/>
            <w:tcBorders>
              <w:bottom w:val="single" w:sz="4" w:space="0" w:color="auto"/>
            </w:tcBorders>
            <w:shd w:val="clear" w:color="auto" w:fill="auto"/>
            <w:noWrap/>
            <w:vAlign w:val="center"/>
            <w:hideMark/>
          </w:tcPr>
          <w:p w:rsidR="00F932E7" w:rsidRPr="00915E90" w:rsidRDefault="00F932E7" w:rsidP="00F932E7">
            <w:pPr>
              <w:widowControl/>
              <w:wordWrap/>
              <w:jc w:val="center"/>
            </w:pPr>
            <w:r w:rsidRPr="00B953E4">
              <w:t>73.88</w:t>
            </w:r>
          </w:p>
        </w:tc>
        <w:tc>
          <w:tcPr>
            <w:tcW w:w="996" w:type="dxa"/>
            <w:tcBorders>
              <w:bottom w:val="single" w:sz="4" w:space="0" w:color="auto"/>
            </w:tcBorders>
            <w:shd w:val="clear" w:color="auto" w:fill="auto"/>
            <w:noWrap/>
            <w:vAlign w:val="center"/>
            <w:hideMark/>
          </w:tcPr>
          <w:p w:rsidR="00F932E7" w:rsidRPr="00915E90" w:rsidRDefault="00F932E7" w:rsidP="00F932E7">
            <w:pPr>
              <w:widowControl/>
              <w:wordWrap/>
              <w:jc w:val="center"/>
            </w:pPr>
            <w:r w:rsidRPr="00B953E4">
              <w:t>70.58</w:t>
            </w:r>
          </w:p>
        </w:tc>
        <w:tc>
          <w:tcPr>
            <w:tcW w:w="980" w:type="dxa"/>
            <w:tcBorders>
              <w:bottom w:val="single" w:sz="4" w:space="0" w:color="auto"/>
            </w:tcBorders>
            <w:shd w:val="clear" w:color="auto" w:fill="auto"/>
            <w:noWrap/>
            <w:vAlign w:val="center"/>
            <w:hideMark/>
          </w:tcPr>
          <w:p w:rsidR="00F932E7" w:rsidRPr="00915E90" w:rsidRDefault="00F932E7" w:rsidP="00F932E7">
            <w:pPr>
              <w:widowControl/>
              <w:wordWrap/>
              <w:jc w:val="center"/>
            </w:pPr>
            <w:r w:rsidRPr="00B953E4">
              <w:t>28.54</w:t>
            </w:r>
          </w:p>
        </w:tc>
        <w:tc>
          <w:tcPr>
            <w:tcW w:w="1116" w:type="dxa"/>
            <w:tcBorders>
              <w:bottom w:val="single" w:sz="4" w:space="0" w:color="auto"/>
            </w:tcBorders>
            <w:shd w:val="clear" w:color="auto" w:fill="auto"/>
            <w:noWrap/>
            <w:vAlign w:val="center"/>
            <w:hideMark/>
          </w:tcPr>
          <w:p w:rsidR="00F932E7" w:rsidRPr="00915E90" w:rsidRDefault="00F932E7" w:rsidP="00F932E7">
            <w:pPr>
              <w:widowControl/>
              <w:wordWrap/>
              <w:jc w:val="center"/>
            </w:pPr>
            <w:r w:rsidRPr="00B953E4">
              <w:t>155.20</w:t>
            </w:r>
          </w:p>
        </w:tc>
        <w:tc>
          <w:tcPr>
            <w:tcW w:w="1356" w:type="dxa"/>
            <w:tcBorders>
              <w:bottom w:val="single" w:sz="4" w:space="0" w:color="auto"/>
            </w:tcBorders>
            <w:shd w:val="clear" w:color="auto" w:fill="auto"/>
            <w:noWrap/>
            <w:vAlign w:val="center"/>
            <w:hideMark/>
          </w:tcPr>
          <w:p w:rsidR="00F932E7" w:rsidRPr="00915E90" w:rsidRDefault="00F932E7" w:rsidP="00F932E7">
            <w:pPr>
              <w:widowControl/>
              <w:wordWrap/>
              <w:jc w:val="center"/>
            </w:pPr>
            <w:r w:rsidRPr="00B953E4">
              <w:t>221.64</w:t>
            </w:r>
          </w:p>
        </w:tc>
      </w:tr>
      <w:tr w:rsidR="00F932E7" w:rsidRPr="00915E90" w:rsidTr="00F932E7">
        <w:trPr>
          <w:trHeight w:val="276"/>
        </w:trPr>
        <w:tc>
          <w:tcPr>
            <w:tcW w:w="1828" w:type="dxa"/>
            <w:tcBorders>
              <w:top w:val="single" w:sz="4" w:space="0" w:color="auto"/>
              <w:bottom w:val="single" w:sz="4" w:space="0" w:color="auto"/>
            </w:tcBorders>
            <w:shd w:val="clear" w:color="auto" w:fill="auto"/>
            <w:noWrap/>
            <w:vAlign w:val="center"/>
            <w:hideMark/>
          </w:tcPr>
          <w:p w:rsidR="00F932E7" w:rsidRPr="00915E90" w:rsidRDefault="00F932E7" w:rsidP="00F932E7">
            <w:pPr>
              <w:widowControl/>
              <w:wordWrap/>
              <w:jc w:val="center"/>
            </w:pPr>
            <w:r>
              <w:rPr>
                <w:rFonts w:hint="eastAsia"/>
              </w:rPr>
              <w:t>T</w:t>
            </w:r>
            <w:r>
              <w:t>otal</w:t>
            </w:r>
          </w:p>
        </w:tc>
        <w:tc>
          <w:tcPr>
            <w:tcW w:w="960" w:type="dxa"/>
            <w:tcBorders>
              <w:top w:val="single" w:sz="4" w:space="0" w:color="auto"/>
              <w:bottom w:val="single" w:sz="4" w:space="0" w:color="auto"/>
            </w:tcBorders>
            <w:shd w:val="clear" w:color="auto" w:fill="auto"/>
            <w:noWrap/>
            <w:vAlign w:val="center"/>
            <w:hideMark/>
          </w:tcPr>
          <w:p w:rsidR="00F932E7" w:rsidRPr="00915E90" w:rsidRDefault="00F932E7" w:rsidP="00F932E7">
            <w:pPr>
              <w:widowControl/>
              <w:wordWrap/>
              <w:jc w:val="center"/>
            </w:pPr>
            <w:r w:rsidRPr="00B953E4">
              <w:t>7158</w:t>
            </w:r>
          </w:p>
        </w:tc>
        <w:tc>
          <w:tcPr>
            <w:tcW w:w="996" w:type="dxa"/>
            <w:tcBorders>
              <w:top w:val="single" w:sz="4" w:space="0" w:color="auto"/>
              <w:bottom w:val="single" w:sz="4" w:space="0" w:color="auto"/>
            </w:tcBorders>
            <w:shd w:val="clear" w:color="auto" w:fill="auto"/>
            <w:noWrap/>
            <w:vAlign w:val="center"/>
            <w:hideMark/>
          </w:tcPr>
          <w:p w:rsidR="00F932E7" w:rsidRPr="00915E90" w:rsidRDefault="00F932E7" w:rsidP="00F932E7">
            <w:pPr>
              <w:widowControl/>
              <w:wordWrap/>
              <w:jc w:val="center"/>
            </w:pPr>
            <w:r w:rsidRPr="00B953E4">
              <w:t>137.36</w:t>
            </w:r>
          </w:p>
        </w:tc>
        <w:tc>
          <w:tcPr>
            <w:tcW w:w="996" w:type="dxa"/>
            <w:tcBorders>
              <w:top w:val="single" w:sz="4" w:space="0" w:color="auto"/>
              <w:bottom w:val="single" w:sz="4" w:space="0" w:color="auto"/>
            </w:tcBorders>
            <w:shd w:val="clear" w:color="auto" w:fill="auto"/>
            <w:noWrap/>
            <w:vAlign w:val="center"/>
            <w:hideMark/>
          </w:tcPr>
          <w:p w:rsidR="00F932E7" w:rsidRPr="00915E90" w:rsidRDefault="00F932E7" w:rsidP="00F932E7">
            <w:pPr>
              <w:widowControl/>
              <w:wordWrap/>
              <w:jc w:val="center"/>
            </w:pPr>
            <w:r w:rsidRPr="00B953E4">
              <w:t>468.10</w:t>
            </w:r>
          </w:p>
        </w:tc>
        <w:tc>
          <w:tcPr>
            <w:tcW w:w="980" w:type="dxa"/>
            <w:tcBorders>
              <w:top w:val="single" w:sz="4" w:space="0" w:color="auto"/>
              <w:bottom w:val="single" w:sz="4" w:space="0" w:color="auto"/>
            </w:tcBorders>
            <w:shd w:val="clear" w:color="auto" w:fill="auto"/>
            <w:noWrap/>
            <w:vAlign w:val="center"/>
            <w:hideMark/>
          </w:tcPr>
          <w:p w:rsidR="00F932E7" w:rsidRPr="00915E90" w:rsidRDefault="00F932E7" w:rsidP="00F932E7">
            <w:pPr>
              <w:widowControl/>
              <w:wordWrap/>
              <w:jc w:val="center"/>
            </w:pPr>
            <w:r w:rsidRPr="00B953E4">
              <w:t>10.01</w:t>
            </w:r>
          </w:p>
        </w:tc>
        <w:tc>
          <w:tcPr>
            <w:tcW w:w="1116" w:type="dxa"/>
            <w:tcBorders>
              <w:top w:val="single" w:sz="4" w:space="0" w:color="auto"/>
              <w:bottom w:val="single" w:sz="4" w:space="0" w:color="auto"/>
            </w:tcBorders>
            <w:shd w:val="clear" w:color="auto" w:fill="auto"/>
            <w:noWrap/>
            <w:vAlign w:val="center"/>
            <w:hideMark/>
          </w:tcPr>
          <w:p w:rsidR="00F932E7" w:rsidRPr="00915E90" w:rsidRDefault="00F932E7" w:rsidP="00F932E7">
            <w:pPr>
              <w:widowControl/>
              <w:wordWrap/>
              <w:jc w:val="center"/>
            </w:pPr>
            <w:r w:rsidRPr="00B953E4">
              <w:t>13820.00</w:t>
            </w:r>
          </w:p>
        </w:tc>
        <w:tc>
          <w:tcPr>
            <w:tcW w:w="1356" w:type="dxa"/>
            <w:tcBorders>
              <w:top w:val="single" w:sz="4" w:space="0" w:color="auto"/>
              <w:bottom w:val="single" w:sz="4" w:space="0" w:color="auto"/>
            </w:tcBorders>
            <w:shd w:val="clear" w:color="auto" w:fill="auto"/>
            <w:noWrap/>
            <w:vAlign w:val="center"/>
            <w:hideMark/>
          </w:tcPr>
          <w:p w:rsidR="00F932E7" w:rsidRPr="00915E90" w:rsidRDefault="00F932E7" w:rsidP="00F932E7">
            <w:pPr>
              <w:widowControl/>
              <w:wordWrap/>
              <w:jc w:val="center"/>
            </w:pPr>
            <w:r w:rsidRPr="00B953E4">
              <w:t>983258.53</w:t>
            </w:r>
          </w:p>
        </w:tc>
      </w:tr>
    </w:tbl>
    <w:p w:rsidR="00F932E7" w:rsidRDefault="00F932E7" w:rsidP="003549B7">
      <w:pPr>
        <w:wordWrap/>
        <w:spacing w:line="400" w:lineRule="exact"/>
        <w:ind w:firstLineChars="200" w:firstLine="480"/>
      </w:pPr>
    </w:p>
    <w:p w:rsidR="00AA050A" w:rsidRDefault="004F36FA" w:rsidP="003F7296">
      <w:pPr>
        <w:pStyle w:val="3"/>
      </w:pPr>
      <w:r>
        <w:t>3</w:t>
      </w:r>
      <w:r w:rsidR="00AA050A">
        <w:t>.</w:t>
      </w:r>
      <w:r w:rsidR="00D37811">
        <w:t>2</w:t>
      </w:r>
      <w:r w:rsidR="003F7296">
        <w:t xml:space="preserve"> </w:t>
      </w:r>
      <w:r w:rsidR="00F679CF">
        <w:t>Bilateral Political Relationship</w:t>
      </w:r>
    </w:p>
    <w:p w:rsidR="00AA050A" w:rsidRDefault="003F7296" w:rsidP="00AA050A">
      <w:pPr>
        <w:wordWrap/>
        <w:spacing w:line="400" w:lineRule="exact"/>
        <w:ind w:firstLineChars="200" w:firstLine="480"/>
      </w:pPr>
      <w:r>
        <w:t>Considering the continuity and completeness of data, this paper draw</w:t>
      </w:r>
      <w:r w:rsidR="001D4EF6">
        <w:t xml:space="preserve"> on the ideas of </w:t>
      </w:r>
      <w:r w:rsidR="00AA050A">
        <w:fldChar w:fldCharType="begin"/>
      </w:r>
      <w:r w:rsidR="00AA050A">
        <w:instrText xml:space="preserve"> ADDIN EN.CITE &lt;EndNote&gt;&lt;Cite AuthorYear="1"&gt;&lt;Author&gt;Gupta&lt;/Author&gt;&lt;Year&gt;2007&lt;/Year&gt;&lt;RecNum&gt;880&lt;/RecNum&gt;&lt;DisplayText&gt;Gupta and Yu (2007)&lt;/DisplayText&gt;&lt;record&gt;&lt;rec-number&gt;880&lt;/rec-number&gt;&lt;foreign-keys&gt;&lt;key app="EN" db-id="09p992av6fr0zjepzxpxrf2h9vve0w099a5w" timestamp="1551603032"&gt;880&lt;/key&gt;&lt;/foreign-keys&gt;&lt;ref-type name="Journal Article"&gt;17&lt;/ref-type&gt;&lt;contributors&gt;&lt;authors&gt;&lt;author&gt;Gupta, Nandini&lt;/author&gt;&lt;author&gt;Yu, Xiaoyun&lt;/author&gt;&lt;/authors&gt;&lt;/contributors&gt;&lt;titles&gt;&lt;title&gt;Does money follow the flag?&lt;/title&gt;&lt;/titles&gt;&lt;dates&gt;&lt;year&gt;2007&lt;/year&gt;&lt;/dates&gt;&lt;urls&gt;&lt;/urls&gt;&lt;/record&gt;&lt;/Cite&gt;&lt;/EndNote&gt;</w:instrText>
      </w:r>
      <w:r w:rsidR="00AA050A">
        <w:fldChar w:fldCharType="separate"/>
      </w:r>
      <w:r w:rsidR="00AA050A">
        <w:rPr>
          <w:noProof/>
        </w:rPr>
        <w:t>Gupta and Yu (2007)</w:t>
      </w:r>
      <w:r w:rsidR="00AA050A">
        <w:fldChar w:fldCharType="end"/>
      </w:r>
      <w:r w:rsidR="000F2DC0">
        <w:t xml:space="preserve">, </w:t>
      </w:r>
      <w:r>
        <w:t>using</w:t>
      </w:r>
      <w:r w:rsidR="00587615" w:rsidRPr="00587615">
        <w:t xml:space="preserve"> the voting data of </w:t>
      </w:r>
      <w:r w:rsidR="000F2DC0">
        <w:t>UN</w:t>
      </w:r>
      <w:r w:rsidR="00587615" w:rsidRPr="00587615">
        <w:t xml:space="preserve"> General Assembly to quantify the </w:t>
      </w:r>
      <w:r w:rsidR="000F2DC0">
        <w:t xml:space="preserve">bilateral </w:t>
      </w:r>
      <w:r w:rsidR="00587615" w:rsidRPr="00587615">
        <w:t xml:space="preserve">political relationship. The mechanism is that there should be stronger political ties between countries that are more </w:t>
      </w:r>
      <w:r>
        <w:t>coordination</w:t>
      </w:r>
      <w:r w:rsidR="00587615" w:rsidRPr="00587615">
        <w:t xml:space="preserve"> in voting action</w:t>
      </w:r>
      <w:r w:rsidR="00C3189A">
        <w:t>s</w:t>
      </w:r>
      <w:r w:rsidR="00587615" w:rsidRPr="00587615">
        <w:t>.</w:t>
      </w:r>
      <w:r w:rsidR="000F2DC0">
        <w:t xml:space="preserve"> Define PR</w:t>
      </w:r>
      <w:r w:rsidR="001614A3">
        <w:t xml:space="preserve"> </w:t>
      </w:r>
      <w:r w:rsidR="000F2DC0">
        <w:rPr>
          <w:rFonts w:hint="eastAsia"/>
        </w:rPr>
        <w:t>(</w:t>
      </w:r>
      <w:r w:rsidR="00AA050A">
        <w:rPr>
          <w:rFonts w:hint="eastAsia"/>
        </w:rPr>
        <w:t>Public</w:t>
      </w:r>
      <w:r w:rsidR="000F2DC0">
        <w:t xml:space="preserve"> </w:t>
      </w:r>
      <w:r w:rsidR="000F2DC0">
        <w:lastRenderedPageBreak/>
        <w:t xml:space="preserve">Relation) </w:t>
      </w:r>
      <w:r w:rsidR="000F2DC0">
        <w:rPr>
          <w:rFonts w:hint="eastAsia"/>
        </w:rPr>
        <w:t>a</w:t>
      </w:r>
      <w:r w:rsidR="000F2DC0">
        <w:t>s:</w:t>
      </w:r>
    </w:p>
    <w:p w:rsidR="00AA050A" w:rsidRPr="00CF235F" w:rsidRDefault="00AA050A" w:rsidP="00AA050A">
      <w:pPr>
        <w:jc w:val="center"/>
      </w:pPr>
      <w:r w:rsidRPr="00A964C6">
        <w:rPr>
          <w:position w:val="-27"/>
        </w:rPr>
        <w:object w:dxaOrig="2212" w:dyaOrig="664">
          <v:shape id="_x0000_i1030" type="#_x0000_t75" style="width:110.4pt;height:33pt" o:ole="">
            <v:imagedata r:id="rId18" o:title=""/>
          </v:shape>
          <o:OLEObject Type="Embed" ProgID="Equation.AxMath" ShapeID="_x0000_i1030" DrawAspect="Content" ObjectID="_1616160415" r:id="rId19"/>
        </w:object>
      </w:r>
    </w:p>
    <w:p w:rsidR="000F2DC0" w:rsidRDefault="00F62DC2" w:rsidP="00F679CF">
      <w:pPr>
        <w:wordWrap/>
        <w:spacing w:line="400" w:lineRule="exact"/>
        <w:ind w:firstLineChars="200" w:firstLine="480"/>
      </w:pPr>
      <w:r>
        <w:t>“</w:t>
      </w:r>
      <w:r w:rsidR="000F2DC0">
        <w:t>d</w:t>
      </w:r>
      <w:r>
        <w:t>”</w:t>
      </w:r>
      <w:r w:rsidR="000F2DC0">
        <w:t xml:space="preserve"> is the sum of the </w:t>
      </w:r>
      <w:r w:rsidR="000F2DC0" w:rsidRPr="000F2DC0">
        <w:t>bilateral voting distance</w:t>
      </w:r>
      <w:r w:rsidR="000F2DC0">
        <w:t xml:space="preserve"> for a given bilateral pair and year.  </w:t>
      </w:r>
      <w:r>
        <w:t>“</w:t>
      </w:r>
      <w:proofErr w:type="spellStart"/>
      <w:r w:rsidR="000F2DC0">
        <w:t>dmax</w:t>
      </w:r>
      <w:proofErr w:type="spellEnd"/>
      <w:r>
        <w:t>”</w:t>
      </w:r>
      <w:r w:rsidR="000F2DC0">
        <w:t xml:space="preserve"> is the maximum possible distance</w:t>
      </w:r>
      <w:r w:rsidR="00F679CF">
        <w:t>.</w:t>
      </w:r>
      <w:r w:rsidR="000F2DC0">
        <w:t xml:space="preserve"> </w:t>
      </w:r>
      <w:r w:rsidR="003F7296">
        <w:t>Firstly, t</w:t>
      </w:r>
      <w:r w:rsidR="000F2DC0">
        <w:t xml:space="preserve">he </w:t>
      </w:r>
      <w:r w:rsidR="00F679CF" w:rsidRPr="00F679CF">
        <w:t xml:space="preserve">bilateral voting distance </w:t>
      </w:r>
      <w:r w:rsidR="000F2DC0">
        <w:t>is calculated by</w:t>
      </w:r>
      <w:r w:rsidR="00F679CF">
        <w:t xml:space="preserve"> </w:t>
      </w:r>
      <w:r w:rsidR="000F2DC0">
        <w:t>classifying “Yes” votes equal to one and “No” votes equal to zero.</w:t>
      </w:r>
      <w:r w:rsidR="00F679CF">
        <w:t xml:space="preserve"> </w:t>
      </w:r>
      <w:r w:rsidR="000F2DC0">
        <w:t>This distance measure is then cumulated over the year for each bilateral pair. Thus</w:t>
      </w:r>
      <w:r w:rsidR="00F679CF" w:rsidRPr="00F679CF">
        <w:t xml:space="preserve"> </w:t>
      </w:r>
      <w:r w:rsidR="00F679CF">
        <w:t>t</w:t>
      </w:r>
      <w:r w:rsidR="00F679CF" w:rsidRPr="000F2DC0">
        <w:t>he value range of PR is [-1, 1]</w:t>
      </w:r>
      <w:r w:rsidR="000F2DC0">
        <w:t>,</w:t>
      </w:r>
      <w:r w:rsidR="00F679CF" w:rsidRPr="000F2DC0">
        <w:t xml:space="preserve"> </w:t>
      </w:r>
      <w:r w:rsidR="00F679CF">
        <w:t xml:space="preserve">and the </w:t>
      </w:r>
      <w:r w:rsidR="00F679CF" w:rsidRPr="000F2DC0">
        <w:t>higher the value, the closer the political relationship between the two countries</w:t>
      </w:r>
      <w:r w:rsidR="00F679CF">
        <w:t>.</w:t>
      </w:r>
    </w:p>
    <w:p w:rsidR="00826F42" w:rsidRDefault="00826F42" w:rsidP="00F679CF">
      <w:pPr>
        <w:wordWrap/>
        <w:spacing w:line="400" w:lineRule="exact"/>
        <w:ind w:firstLineChars="200" w:firstLine="480"/>
      </w:pPr>
      <w:r w:rsidRPr="00826F42">
        <w:t xml:space="preserve">Table 3 is the bilateral </w:t>
      </w:r>
      <w:r w:rsidR="00AA12A3">
        <w:t xml:space="preserve">political </w:t>
      </w:r>
      <w:r w:rsidR="00C40436">
        <w:t>relation</w:t>
      </w:r>
      <w:r w:rsidRPr="00826F42">
        <w:t xml:space="preserve"> matrix of the top ten</w:t>
      </w:r>
      <w:r w:rsidR="00C40436">
        <w:t xml:space="preserve"> acquirer</w:t>
      </w:r>
      <w:r w:rsidR="00AA12A3">
        <w:t xml:space="preserve"> </w:t>
      </w:r>
      <w:r w:rsidRPr="00826F42">
        <w:t xml:space="preserve">countries (horizontal axis) and the top ten </w:t>
      </w:r>
      <w:r w:rsidR="00AA12A3">
        <w:t xml:space="preserve">target </w:t>
      </w:r>
      <w:r w:rsidRPr="00826F42">
        <w:t xml:space="preserve">countries (vertical axis). The data are the average value from 2007 to 2017. Interestingly, </w:t>
      </w:r>
      <w:r w:rsidR="001104EC">
        <w:t xml:space="preserve">of all </w:t>
      </w:r>
      <w:r w:rsidRPr="00826F42">
        <w:t>the PR</w:t>
      </w:r>
      <w:r w:rsidR="001104EC">
        <w:t>s</w:t>
      </w:r>
      <w:r w:rsidRPr="00826F42">
        <w:t xml:space="preserve"> of</w:t>
      </w:r>
      <w:r w:rsidR="001104EC">
        <w:t xml:space="preserve"> </w:t>
      </w:r>
      <w:r w:rsidRPr="00826F42">
        <w:t>U</w:t>
      </w:r>
      <w:r w:rsidR="001104EC">
        <w:t>SA only one is positive, which is the political relation to Canada.</w:t>
      </w:r>
      <w:r w:rsidRPr="00826F42">
        <w:t xml:space="preserve"> </w:t>
      </w:r>
      <w:r w:rsidR="001104EC">
        <w:t xml:space="preserve">And </w:t>
      </w:r>
      <w:r w:rsidRPr="00826F42">
        <w:t xml:space="preserve">the PR of China and the United States is at a very small level, which is consistent with the intuitive experience </w:t>
      </w:r>
      <w:r w:rsidR="00360156">
        <w:t>gotten from the political</w:t>
      </w:r>
      <w:r w:rsidRPr="00826F42">
        <w:t xml:space="preserve"> news </w:t>
      </w:r>
      <w:r w:rsidR="00360156">
        <w:t>during</w:t>
      </w:r>
      <w:r w:rsidRPr="00826F42">
        <w:t xml:space="preserve"> the past decade.</w:t>
      </w:r>
    </w:p>
    <w:p w:rsidR="003F7296" w:rsidRDefault="003F7296" w:rsidP="003F7296">
      <w:pPr>
        <w:pStyle w:val="a7"/>
        <w:keepNext/>
      </w:pPr>
      <w:r>
        <w:t xml:space="preserve">Table </w:t>
      </w:r>
      <w:r w:rsidR="00B105AF">
        <w:fldChar w:fldCharType="begin"/>
      </w:r>
      <w:r w:rsidR="00B105AF">
        <w:instrText xml:space="preserve"> SEQ Table \* ARABIC </w:instrText>
      </w:r>
      <w:r w:rsidR="00B105AF">
        <w:fldChar w:fldCharType="separate"/>
      </w:r>
      <w:r w:rsidR="00DC5497">
        <w:rPr>
          <w:noProof/>
        </w:rPr>
        <w:t>3</w:t>
      </w:r>
      <w:r w:rsidR="00B105AF">
        <w:rPr>
          <w:noProof/>
        </w:rPr>
        <w:fldChar w:fldCharType="end"/>
      </w:r>
      <w:r>
        <w:rPr>
          <w:noProof/>
        </w:rPr>
        <w:t xml:space="preserve"> </w:t>
      </w:r>
      <w:r w:rsidR="00D53A24">
        <w:rPr>
          <w:noProof/>
        </w:rPr>
        <w:t xml:space="preserve">Bilateral </w:t>
      </w:r>
      <w:r w:rsidR="00932B8B">
        <w:rPr>
          <w:noProof/>
        </w:rPr>
        <w:t>Political R</w:t>
      </w:r>
      <w:r>
        <w:rPr>
          <w:noProof/>
        </w:rPr>
        <w:t>ealtions</w:t>
      </w:r>
    </w:p>
    <w:tbl>
      <w:tblPr>
        <w:tblW w:w="10524" w:type="dxa"/>
        <w:jc w:val="center"/>
        <w:tblBorders>
          <w:top w:val="single" w:sz="4" w:space="0" w:color="auto"/>
          <w:bottom w:val="single" w:sz="4" w:space="0" w:color="auto"/>
        </w:tblBorders>
        <w:tblLook w:val="04A0" w:firstRow="1" w:lastRow="0" w:firstColumn="1" w:lastColumn="0" w:noHBand="0" w:noVBand="1"/>
      </w:tblPr>
      <w:tblGrid>
        <w:gridCol w:w="1267"/>
        <w:gridCol w:w="925"/>
        <w:gridCol w:w="1109"/>
        <w:gridCol w:w="705"/>
        <w:gridCol w:w="675"/>
        <w:gridCol w:w="742"/>
        <w:gridCol w:w="864"/>
        <w:gridCol w:w="754"/>
        <w:gridCol w:w="1426"/>
        <w:gridCol w:w="1181"/>
        <w:gridCol w:w="876"/>
      </w:tblGrid>
      <w:tr w:rsidR="00E72732" w:rsidRPr="00E72732" w:rsidTr="00360156">
        <w:trPr>
          <w:trHeight w:val="294"/>
          <w:jc w:val="center"/>
        </w:trPr>
        <w:tc>
          <w:tcPr>
            <w:tcW w:w="0" w:type="auto"/>
            <w:tcBorders>
              <w:top w:val="single" w:sz="4" w:space="0" w:color="auto"/>
              <w:bottom w:val="single" w:sz="4" w:space="0" w:color="auto"/>
            </w:tcBorders>
            <w:shd w:val="clear" w:color="auto" w:fill="auto"/>
            <w:noWrap/>
            <w:vAlign w:val="center"/>
            <w:hideMark/>
          </w:tcPr>
          <w:p w:rsidR="00E72732" w:rsidRPr="00E72732" w:rsidRDefault="00E72732" w:rsidP="00E72732">
            <w:pPr>
              <w:widowControl/>
              <w:wordWrap/>
              <w:jc w:val="center"/>
              <w:rPr>
                <w:sz w:val="22"/>
              </w:rPr>
            </w:pPr>
          </w:p>
        </w:tc>
        <w:tc>
          <w:tcPr>
            <w:tcW w:w="0" w:type="auto"/>
            <w:tcBorders>
              <w:top w:val="single" w:sz="4" w:space="0" w:color="auto"/>
              <w:bottom w:val="single" w:sz="4" w:space="0" w:color="auto"/>
            </w:tcBorders>
            <w:shd w:val="clear" w:color="auto" w:fill="auto"/>
            <w:noWrap/>
            <w:vAlign w:val="center"/>
            <w:hideMark/>
          </w:tcPr>
          <w:p w:rsidR="00E72732" w:rsidRPr="00E72732" w:rsidRDefault="00E72732" w:rsidP="00E72732">
            <w:pPr>
              <w:jc w:val="center"/>
              <w:rPr>
                <w:sz w:val="22"/>
              </w:rPr>
            </w:pPr>
            <w:r w:rsidRPr="00E72732">
              <w:rPr>
                <w:sz w:val="22"/>
              </w:rPr>
              <w:t>Norway</w:t>
            </w:r>
          </w:p>
        </w:tc>
        <w:tc>
          <w:tcPr>
            <w:tcW w:w="0" w:type="auto"/>
            <w:tcBorders>
              <w:top w:val="single" w:sz="4" w:space="0" w:color="auto"/>
              <w:bottom w:val="single" w:sz="4" w:space="0" w:color="auto"/>
            </w:tcBorders>
            <w:shd w:val="clear" w:color="auto" w:fill="auto"/>
            <w:noWrap/>
            <w:vAlign w:val="center"/>
            <w:hideMark/>
          </w:tcPr>
          <w:p w:rsidR="00E72732" w:rsidRPr="00E72732" w:rsidRDefault="00E72732" w:rsidP="00E72732">
            <w:pPr>
              <w:jc w:val="center"/>
              <w:rPr>
                <w:sz w:val="22"/>
              </w:rPr>
            </w:pPr>
            <w:r w:rsidRPr="00E72732">
              <w:rPr>
                <w:sz w:val="22"/>
              </w:rPr>
              <w:t>Singapore</w:t>
            </w:r>
          </w:p>
        </w:tc>
        <w:tc>
          <w:tcPr>
            <w:tcW w:w="0" w:type="auto"/>
            <w:tcBorders>
              <w:top w:val="single" w:sz="4" w:space="0" w:color="auto"/>
              <w:bottom w:val="single" w:sz="4" w:space="0" w:color="auto"/>
            </w:tcBorders>
            <w:shd w:val="clear" w:color="auto" w:fill="auto"/>
            <w:noWrap/>
            <w:vAlign w:val="center"/>
            <w:hideMark/>
          </w:tcPr>
          <w:p w:rsidR="00E72732" w:rsidRPr="00E72732" w:rsidRDefault="00E72732" w:rsidP="00E72732">
            <w:pPr>
              <w:jc w:val="center"/>
              <w:rPr>
                <w:sz w:val="22"/>
              </w:rPr>
            </w:pPr>
            <w:r w:rsidRPr="00E72732">
              <w:rPr>
                <w:sz w:val="22"/>
              </w:rPr>
              <w:t>Qatar</w:t>
            </w:r>
          </w:p>
        </w:tc>
        <w:tc>
          <w:tcPr>
            <w:tcW w:w="0" w:type="auto"/>
            <w:tcBorders>
              <w:top w:val="single" w:sz="4" w:space="0" w:color="auto"/>
              <w:bottom w:val="single" w:sz="4" w:space="0" w:color="auto"/>
            </w:tcBorders>
            <w:shd w:val="clear" w:color="auto" w:fill="auto"/>
            <w:noWrap/>
            <w:vAlign w:val="center"/>
            <w:hideMark/>
          </w:tcPr>
          <w:p w:rsidR="00E72732" w:rsidRPr="00E72732" w:rsidRDefault="00E72732" w:rsidP="00E72732">
            <w:pPr>
              <w:jc w:val="center"/>
              <w:rPr>
                <w:sz w:val="22"/>
              </w:rPr>
            </w:pPr>
            <w:r w:rsidRPr="00E72732">
              <w:rPr>
                <w:sz w:val="22"/>
              </w:rPr>
              <w:t>UAE</w:t>
            </w:r>
          </w:p>
        </w:tc>
        <w:tc>
          <w:tcPr>
            <w:tcW w:w="0" w:type="auto"/>
            <w:tcBorders>
              <w:top w:val="single" w:sz="4" w:space="0" w:color="auto"/>
              <w:bottom w:val="single" w:sz="4" w:space="0" w:color="auto"/>
            </w:tcBorders>
            <w:shd w:val="clear" w:color="auto" w:fill="auto"/>
            <w:noWrap/>
            <w:vAlign w:val="center"/>
            <w:hideMark/>
          </w:tcPr>
          <w:p w:rsidR="00E72732" w:rsidRPr="00E72732" w:rsidRDefault="00E72732" w:rsidP="00E72732">
            <w:pPr>
              <w:jc w:val="center"/>
              <w:rPr>
                <w:sz w:val="22"/>
              </w:rPr>
            </w:pPr>
            <w:r w:rsidRPr="00E72732">
              <w:rPr>
                <w:sz w:val="22"/>
              </w:rPr>
              <w:t>China</w:t>
            </w:r>
          </w:p>
        </w:tc>
        <w:tc>
          <w:tcPr>
            <w:tcW w:w="0" w:type="auto"/>
            <w:tcBorders>
              <w:top w:val="single" w:sz="4" w:space="0" w:color="auto"/>
              <w:bottom w:val="single" w:sz="4" w:space="0" w:color="auto"/>
            </w:tcBorders>
            <w:shd w:val="clear" w:color="auto" w:fill="auto"/>
            <w:noWrap/>
            <w:vAlign w:val="center"/>
            <w:hideMark/>
          </w:tcPr>
          <w:p w:rsidR="00E72732" w:rsidRPr="00E72732" w:rsidRDefault="00E72732" w:rsidP="00E72732">
            <w:pPr>
              <w:jc w:val="center"/>
              <w:rPr>
                <w:sz w:val="22"/>
              </w:rPr>
            </w:pPr>
            <w:r w:rsidRPr="00E72732">
              <w:rPr>
                <w:sz w:val="22"/>
              </w:rPr>
              <w:t>Kuwait</w:t>
            </w:r>
          </w:p>
        </w:tc>
        <w:tc>
          <w:tcPr>
            <w:tcW w:w="0" w:type="auto"/>
            <w:tcBorders>
              <w:top w:val="single" w:sz="4" w:space="0" w:color="auto"/>
              <w:bottom w:val="single" w:sz="4" w:space="0" w:color="auto"/>
            </w:tcBorders>
            <w:shd w:val="clear" w:color="auto" w:fill="auto"/>
            <w:noWrap/>
            <w:vAlign w:val="center"/>
            <w:hideMark/>
          </w:tcPr>
          <w:p w:rsidR="00E72732" w:rsidRPr="00E72732" w:rsidRDefault="00E72732" w:rsidP="00E72732">
            <w:pPr>
              <w:jc w:val="center"/>
              <w:rPr>
                <w:sz w:val="22"/>
              </w:rPr>
            </w:pPr>
            <w:r w:rsidRPr="00E72732">
              <w:rPr>
                <w:sz w:val="22"/>
              </w:rPr>
              <w:t>Korea</w:t>
            </w:r>
          </w:p>
        </w:tc>
        <w:tc>
          <w:tcPr>
            <w:tcW w:w="0" w:type="auto"/>
            <w:tcBorders>
              <w:top w:val="single" w:sz="4" w:space="0" w:color="auto"/>
              <w:bottom w:val="single" w:sz="4" w:space="0" w:color="auto"/>
            </w:tcBorders>
            <w:shd w:val="clear" w:color="auto" w:fill="auto"/>
            <w:noWrap/>
            <w:vAlign w:val="center"/>
            <w:hideMark/>
          </w:tcPr>
          <w:p w:rsidR="00E72732" w:rsidRPr="00E72732" w:rsidRDefault="00E72732" w:rsidP="00E72732">
            <w:pPr>
              <w:jc w:val="center"/>
              <w:rPr>
                <w:sz w:val="22"/>
              </w:rPr>
            </w:pPr>
            <w:r w:rsidRPr="00E72732">
              <w:rPr>
                <w:sz w:val="22"/>
              </w:rPr>
              <w:t>Saudi</w:t>
            </w:r>
            <w:r>
              <w:rPr>
                <w:sz w:val="22"/>
              </w:rPr>
              <w:t xml:space="preserve"> </w:t>
            </w:r>
            <w:r w:rsidRPr="00E72732">
              <w:rPr>
                <w:sz w:val="22"/>
              </w:rPr>
              <w:t>Arabia</w:t>
            </w:r>
          </w:p>
        </w:tc>
        <w:tc>
          <w:tcPr>
            <w:tcW w:w="0" w:type="auto"/>
            <w:tcBorders>
              <w:top w:val="single" w:sz="4" w:space="0" w:color="auto"/>
              <w:bottom w:val="single" w:sz="4" w:space="0" w:color="auto"/>
            </w:tcBorders>
            <w:shd w:val="clear" w:color="auto" w:fill="auto"/>
            <w:noWrap/>
            <w:vAlign w:val="center"/>
            <w:hideMark/>
          </w:tcPr>
          <w:p w:rsidR="00E72732" w:rsidRPr="00E72732" w:rsidRDefault="00E72732" w:rsidP="00E72732">
            <w:pPr>
              <w:jc w:val="center"/>
              <w:rPr>
                <w:sz w:val="22"/>
              </w:rPr>
            </w:pPr>
            <w:r w:rsidRPr="00E72732">
              <w:rPr>
                <w:sz w:val="22"/>
              </w:rPr>
              <w:t>Azerbaijan</w:t>
            </w:r>
          </w:p>
        </w:tc>
        <w:tc>
          <w:tcPr>
            <w:tcW w:w="0" w:type="auto"/>
            <w:tcBorders>
              <w:top w:val="single" w:sz="4" w:space="0" w:color="auto"/>
              <w:bottom w:val="single" w:sz="4" w:space="0" w:color="auto"/>
            </w:tcBorders>
            <w:shd w:val="clear" w:color="auto" w:fill="auto"/>
            <w:noWrap/>
            <w:vAlign w:val="center"/>
            <w:hideMark/>
          </w:tcPr>
          <w:p w:rsidR="00E72732" w:rsidRPr="00E72732" w:rsidRDefault="00E72732" w:rsidP="00E72732">
            <w:pPr>
              <w:jc w:val="center"/>
              <w:rPr>
                <w:sz w:val="22"/>
              </w:rPr>
            </w:pPr>
            <w:r w:rsidRPr="00E72732">
              <w:rPr>
                <w:sz w:val="22"/>
              </w:rPr>
              <w:t>Canada</w:t>
            </w:r>
          </w:p>
        </w:tc>
      </w:tr>
      <w:tr w:rsidR="00E72732" w:rsidRPr="00E72732" w:rsidTr="00360156">
        <w:trPr>
          <w:trHeight w:val="294"/>
          <w:jc w:val="center"/>
        </w:trPr>
        <w:tc>
          <w:tcPr>
            <w:tcW w:w="0" w:type="auto"/>
            <w:tcBorders>
              <w:top w:val="single" w:sz="4" w:space="0" w:color="auto"/>
            </w:tcBorders>
            <w:shd w:val="clear" w:color="auto" w:fill="auto"/>
            <w:noWrap/>
            <w:vAlign w:val="center"/>
            <w:hideMark/>
          </w:tcPr>
          <w:p w:rsidR="00E72732" w:rsidRPr="00E72732" w:rsidRDefault="00E72732" w:rsidP="00E72732">
            <w:pPr>
              <w:jc w:val="center"/>
              <w:rPr>
                <w:sz w:val="22"/>
              </w:rPr>
            </w:pPr>
            <w:r w:rsidRPr="00E72732">
              <w:rPr>
                <w:sz w:val="22"/>
              </w:rPr>
              <w:t>USA</w:t>
            </w:r>
          </w:p>
        </w:tc>
        <w:tc>
          <w:tcPr>
            <w:tcW w:w="0" w:type="auto"/>
            <w:tcBorders>
              <w:top w:val="single" w:sz="4" w:space="0" w:color="auto"/>
            </w:tcBorders>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-0.25</w:t>
            </w:r>
          </w:p>
        </w:tc>
        <w:tc>
          <w:tcPr>
            <w:tcW w:w="0" w:type="auto"/>
            <w:tcBorders>
              <w:top w:val="single" w:sz="4" w:space="0" w:color="auto"/>
            </w:tcBorders>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-0.69</w:t>
            </w:r>
          </w:p>
        </w:tc>
        <w:tc>
          <w:tcPr>
            <w:tcW w:w="0" w:type="auto"/>
            <w:tcBorders>
              <w:top w:val="single" w:sz="4" w:space="0" w:color="auto"/>
            </w:tcBorders>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-0.73</w:t>
            </w:r>
          </w:p>
        </w:tc>
        <w:tc>
          <w:tcPr>
            <w:tcW w:w="0" w:type="auto"/>
            <w:tcBorders>
              <w:top w:val="single" w:sz="4" w:space="0" w:color="auto"/>
            </w:tcBorders>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-0.72</w:t>
            </w:r>
          </w:p>
        </w:tc>
        <w:tc>
          <w:tcPr>
            <w:tcW w:w="0" w:type="auto"/>
            <w:tcBorders>
              <w:top w:val="single" w:sz="4" w:space="0" w:color="auto"/>
            </w:tcBorders>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-0.75</w:t>
            </w:r>
          </w:p>
        </w:tc>
        <w:tc>
          <w:tcPr>
            <w:tcW w:w="0" w:type="auto"/>
            <w:tcBorders>
              <w:top w:val="single" w:sz="4" w:space="0" w:color="auto"/>
            </w:tcBorders>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-0.73</w:t>
            </w:r>
          </w:p>
        </w:tc>
        <w:tc>
          <w:tcPr>
            <w:tcW w:w="0" w:type="auto"/>
            <w:tcBorders>
              <w:top w:val="single" w:sz="4" w:space="0" w:color="auto"/>
            </w:tcBorders>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-0.30</w:t>
            </w:r>
          </w:p>
        </w:tc>
        <w:tc>
          <w:tcPr>
            <w:tcW w:w="0" w:type="auto"/>
            <w:tcBorders>
              <w:top w:val="single" w:sz="4" w:space="0" w:color="auto"/>
            </w:tcBorders>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-0.70</w:t>
            </w:r>
          </w:p>
        </w:tc>
        <w:tc>
          <w:tcPr>
            <w:tcW w:w="0" w:type="auto"/>
            <w:tcBorders>
              <w:top w:val="single" w:sz="4" w:space="0" w:color="auto"/>
            </w:tcBorders>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-0.73</w:t>
            </w:r>
          </w:p>
        </w:tc>
        <w:tc>
          <w:tcPr>
            <w:tcW w:w="0" w:type="auto"/>
            <w:tcBorders>
              <w:top w:val="single" w:sz="4" w:space="0" w:color="auto"/>
            </w:tcBorders>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0.28</w:t>
            </w:r>
          </w:p>
        </w:tc>
      </w:tr>
      <w:tr w:rsidR="00E72732" w:rsidRPr="00E72732" w:rsidTr="00360156">
        <w:trPr>
          <w:trHeight w:val="294"/>
          <w:jc w:val="center"/>
        </w:trPr>
        <w:tc>
          <w:tcPr>
            <w:tcW w:w="0" w:type="auto"/>
            <w:shd w:val="clear" w:color="auto" w:fill="auto"/>
            <w:noWrap/>
            <w:vAlign w:val="center"/>
            <w:hideMark/>
          </w:tcPr>
          <w:p w:rsidR="00E72732" w:rsidRPr="00E72732" w:rsidRDefault="00E72732" w:rsidP="00E72732">
            <w:pPr>
              <w:jc w:val="center"/>
              <w:rPr>
                <w:sz w:val="22"/>
              </w:rPr>
            </w:pPr>
            <w:r w:rsidRPr="00E72732">
              <w:rPr>
                <w:sz w:val="22"/>
              </w:rPr>
              <w:t>UK</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0.57</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-0.08</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-0.16</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-0.13</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-0.18</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-0.16</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0.41</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-0.17</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-0.13</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0.16</w:t>
            </w:r>
          </w:p>
        </w:tc>
      </w:tr>
      <w:tr w:rsidR="00E72732" w:rsidRPr="00E72732" w:rsidTr="00360156">
        <w:trPr>
          <w:trHeight w:val="294"/>
          <w:jc w:val="center"/>
        </w:trPr>
        <w:tc>
          <w:tcPr>
            <w:tcW w:w="0" w:type="auto"/>
            <w:shd w:val="clear" w:color="auto" w:fill="auto"/>
            <w:noWrap/>
            <w:vAlign w:val="center"/>
            <w:hideMark/>
          </w:tcPr>
          <w:p w:rsidR="00E72732" w:rsidRPr="00E72732" w:rsidRDefault="00E72732" w:rsidP="00E72732">
            <w:pPr>
              <w:jc w:val="center"/>
              <w:rPr>
                <w:sz w:val="22"/>
              </w:rPr>
            </w:pPr>
            <w:r w:rsidRPr="00E72732">
              <w:rPr>
                <w:sz w:val="22"/>
              </w:rPr>
              <w:t>Switzerland</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0.79</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0.24</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0.15</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0.18</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0.09</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0.15</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0.56</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0.13</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0.17</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0.27</w:t>
            </w:r>
          </w:p>
        </w:tc>
      </w:tr>
      <w:tr w:rsidR="00E72732" w:rsidRPr="00E72732" w:rsidTr="00360156">
        <w:trPr>
          <w:trHeight w:val="294"/>
          <w:jc w:val="center"/>
        </w:trPr>
        <w:tc>
          <w:tcPr>
            <w:tcW w:w="0" w:type="auto"/>
            <w:shd w:val="clear" w:color="auto" w:fill="auto"/>
            <w:noWrap/>
            <w:vAlign w:val="center"/>
            <w:hideMark/>
          </w:tcPr>
          <w:p w:rsidR="00E72732" w:rsidRPr="00E72732" w:rsidRDefault="00E72732" w:rsidP="00E72732">
            <w:pPr>
              <w:jc w:val="center"/>
              <w:rPr>
                <w:sz w:val="22"/>
              </w:rPr>
            </w:pPr>
            <w:r w:rsidRPr="00E72732">
              <w:rPr>
                <w:sz w:val="22"/>
              </w:rPr>
              <w:t>China</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0.03</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0.67</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0.67</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0.66</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1.00</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0.67</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0.01</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0.62</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0.56</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-0.35</w:t>
            </w:r>
          </w:p>
        </w:tc>
      </w:tr>
      <w:tr w:rsidR="00E72732" w:rsidRPr="00E72732" w:rsidTr="00360156">
        <w:trPr>
          <w:trHeight w:val="294"/>
          <w:jc w:val="center"/>
        </w:trPr>
        <w:tc>
          <w:tcPr>
            <w:tcW w:w="0" w:type="auto"/>
            <w:shd w:val="clear" w:color="auto" w:fill="auto"/>
            <w:noWrap/>
            <w:vAlign w:val="center"/>
            <w:hideMark/>
          </w:tcPr>
          <w:p w:rsidR="00E72732" w:rsidRPr="00E72732" w:rsidRDefault="00E72732" w:rsidP="00E72732">
            <w:pPr>
              <w:jc w:val="center"/>
              <w:rPr>
                <w:sz w:val="22"/>
              </w:rPr>
            </w:pPr>
            <w:r w:rsidRPr="00E72732">
              <w:rPr>
                <w:sz w:val="22"/>
              </w:rPr>
              <w:t>Germany</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0.86</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0.12</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0.04</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0.07</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-0.01</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0.03</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0.62</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0.02</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0.07</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0.40</w:t>
            </w:r>
          </w:p>
        </w:tc>
      </w:tr>
      <w:tr w:rsidR="00E72732" w:rsidRPr="00E72732" w:rsidTr="00360156">
        <w:trPr>
          <w:trHeight w:val="294"/>
          <w:jc w:val="center"/>
        </w:trPr>
        <w:tc>
          <w:tcPr>
            <w:tcW w:w="0" w:type="auto"/>
            <w:shd w:val="clear" w:color="auto" w:fill="auto"/>
            <w:noWrap/>
            <w:vAlign w:val="center"/>
            <w:hideMark/>
          </w:tcPr>
          <w:p w:rsidR="00E72732" w:rsidRPr="00E72732" w:rsidRDefault="00E72732" w:rsidP="00E72732">
            <w:pPr>
              <w:jc w:val="center"/>
              <w:rPr>
                <w:sz w:val="22"/>
              </w:rPr>
            </w:pPr>
            <w:r w:rsidRPr="00E72732">
              <w:rPr>
                <w:sz w:val="22"/>
              </w:rPr>
              <w:t>France</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0.63</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-0.07</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-0.15</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-0.11</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-0.15</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-0.15</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0.45</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-0.16</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-0.11</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0.15</w:t>
            </w:r>
          </w:p>
        </w:tc>
      </w:tr>
      <w:tr w:rsidR="00E72732" w:rsidRPr="00E72732" w:rsidTr="00360156">
        <w:trPr>
          <w:trHeight w:val="294"/>
          <w:jc w:val="center"/>
        </w:trPr>
        <w:tc>
          <w:tcPr>
            <w:tcW w:w="0" w:type="auto"/>
            <w:shd w:val="clear" w:color="auto" w:fill="auto"/>
            <w:noWrap/>
            <w:vAlign w:val="center"/>
            <w:hideMark/>
          </w:tcPr>
          <w:p w:rsidR="00E72732" w:rsidRPr="00E72732" w:rsidRDefault="00E72732" w:rsidP="00E72732">
            <w:pPr>
              <w:jc w:val="center"/>
              <w:rPr>
                <w:sz w:val="22"/>
              </w:rPr>
            </w:pPr>
            <w:r w:rsidRPr="00E72732">
              <w:rPr>
                <w:sz w:val="22"/>
              </w:rPr>
              <w:t>Australia</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0.53</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-0.06</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-0.14</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-0.10</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-0.17</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-0.15</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0.36</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-0.16</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-0.10</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0.59</w:t>
            </w:r>
          </w:p>
        </w:tc>
      </w:tr>
      <w:tr w:rsidR="00E72732" w:rsidRPr="00E72732" w:rsidTr="00360156">
        <w:trPr>
          <w:trHeight w:val="294"/>
          <w:jc w:val="center"/>
        </w:trPr>
        <w:tc>
          <w:tcPr>
            <w:tcW w:w="0" w:type="auto"/>
            <w:shd w:val="clear" w:color="auto" w:fill="auto"/>
            <w:noWrap/>
            <w:vAlign w:val="center"/>
            <w:hideMark/>
          </w:tcPr>
          <w:p w:rsidR="00E72732" w:rsidRPr="00E72732" w:rsidRDefault="00E72732" w:rsidP="00E72732">
            <w:pPr>
              <w:jc w:val="center"/>
              <w:rPr>
                <w:sz w:val="22"/>
              </w:rPr>
            </w:pPr>
            <w:r w:rsidRPr="00E72732">
              <w:rPr>
                <w:sz w:val="22"/>
              </w:rPr>
              <w:t>Japan</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0.73</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0.21</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0.14</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0.15</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0.11</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0.13</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0.68</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0.13</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0.18</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0.22</w:t>
            </w:r>
          </w:p>
        </w:tc>
      </w:tr>
      <w:tr w:rsidR="00E72732" w:rsidRPr="00E72732" w:rsidTr="00360156">
        <w:trPr>
          <w:trHeight w:val="294"/>
          <w:jc w:val="center"/>
        </w:trPr>
        <w:tc>
          <w:tcPr>
            <w:tcW w:w="0" w:type="auto"/>
            <w:shd w:val="clear" w:color="auto" w:fill="auto"/>
            <w:noWrap/>
            <w:vAlign w:val="center"/>
            <w:hideMark/>
          </w:tcPr>
          <w:p w:rsidR="00E72732" w:rsidRPr="00E72732" w:rsidRDefault="00E72732" w:rsidP="00E72732">
            <w:pPr>
              <w:jc w:val="center"/>
              <w:rPr>
                <w:sz w:val="22"/>
              </w:rPr>
            </w:pPr>
            <w:r w:rsidRPr="00E72732">
              <w:rPr>
                <w:sz w:val="22"/>
              </w:rPr>
              <w:t>Spain</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0.87</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0.13</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0.05</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0.09</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0.03</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0.05</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0.65</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0.04</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0.08</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0.36</w:t>
            </w:r>
          </w:p>
        </w:tc>
      </w:tr>
      <w:tr w:rsidR="00E72732" w:rsidRPr="00E72732" w:rsidTr="00360156">
        <w:trPr>
          <w:trHeight w:val="294"/>
          <w:jc w:val="center"/>
        </w:trPr>
        <w:tc>
          <w:tcPr>
            <w:tcW w:w="0" w:type="auto"/>
            <w:shd w:val="clear" w:color="auto" w:fill="auto"/>
            <w:noWrap/>
            <w:vAlign w:val="center"/>
            <w:hideMark/>
          </w:tcPr>
          <w:p w:rsidR="00E72732" w:rsidRPr="00E72732" w:rsidRDefault="00E72732" w:rsidP="00E72732">
            <w:pPr>
              <w:jc w:val="center"/>
              <w:rPr>
                <w:sz w:val="22"/>
              </w:rPr>
            </w:pPr>
            <w:r w:rsidRPr="00E72732">
              <w:rPr>
                <w:sz w:val="22"/>
              </w:rPr>
              <w:t>India</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-0.07</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0.61</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0.59</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0.55</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0.60</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0.59</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-0.04</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0.58</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0.50</w:t>
            </w:r>
          </w:p>
        </w:tc>
        <w:tc>
          <w:tcPr>
            <w:tcW w:w="0" w:type="auto"/>
            <w:shd w:val="clear" w:color="auto" w:fill="auto"/>
            <w:noWrap/>
            <w:vAlign w:val="center"/>
            <w:hideMark/>
          </w:tcPr>
          <w:p w:rsidR="00E72732" w:rsidRPr="00E72732" w:rsidRDefault="00E72732" w:rsidP="00E72732">
            <w:pPr>
              <w:widowControl/>
              <w:wordWrap/>
              <w:jc w:val="center"/>
              <w:rPr>
                <w:sz w:val="22"/>
              </w:rPr>
            </w:pPr>
            <w:r w:rsidRPr="00E72732">
              <w:rPr>
                <w:rFonts w:hint="eastAsia"/>
                <w:sz w:val="22"/>
              </w:rPr>
              <w:t>-0.42</w:t>
            </w:r>
          </w:p>
        </w:tc>
      </w:tr>
    </w:tbl>
    <w:p w:rsidR="00360156" w:rsidRDefault="00360156" w:rsidP="00360156">
      <w:pPr>
        <w:wordWrap/>
        <w:spacing w:line="400" w:lineRule="exact"/>
        <w:ind w:firstLineChars="200" w:firstLine="480"/>
      </w:pPr>
      <w:r w:rsidRPr="00360156">
        <w:t xml:space="preserve">Table 4 shows the </w:t>
      </w:r>
      <w:r>
        <w:t>results of difference in means and difference in medians test for PR.</w:t>
      </w:r>
      <w:r w:rsidRPr="00360156">
        <w:t xml:space="preserve"> </w:t>
      </w:r>
      <w:proofErr w:type="spellStart"/>
      <w:r w:rsidRPr="00360156">
        <w:t>SWFDummy</w:t>
      </w:r>
      <w:proofErr w:type="spellEnd"/>
      <w:r w:rsidRPr="00360156">
        <w:t xml:space="preserve">=0 means that </w:t>
      </w:r>
      <w:r>
        <w:t xml:space="preserve">the </w:t>
      </w:r>
      <w:r w:rsidRPr="00360156">
        <w:t xml:space="preserve">SWF did not invest in a country in that year; </w:t>
      </w:r>
      <w:proofErr w:type="spellStart"/>
      <w:r w:rsidRPr="00360156">
        <w:t>SWFDummy</w:t>
      </w:r>
      <w:proofErr w:type="spellEnd"/>
      <w:r>
        <w:t>=</w:t>
      </w:r>
      <w:r w:rsidRPr="00360156">
        <w:t xml:space="preserve">1 </w:t>
      </w:r>
      <w:r>
        <w:t>refers to country-years in which there is SWF investment.</w:t>
      </w:r>
      <w:r w:rsidRPr="00360156">
        <w:t xml:space="preserve"> </w:t>
      </w:r>
      <w:r w:rsidR="00F669E7">
        <w:t>R</w:t>
      </w:r>
      <w:r w:rsidRPr="00360156">
        <w:t>esults show that there are significant statistical differences between the PR of the two sample</w:t>
      </w:r>
      <w:r w:rsidR="00F669E7">
        <w:t xml:space="preserve"> </w:t>
      </w:r>
      <w:r w:rsidRPr="00360156">
        <w:t>s</w:t>
      </w:r>
      <w:r w:rsidR="00F669E7">
        <w:t>ets</w:t>
      </w:r>
      <w:r w:rsidRPr="00360156">
        <w:t>, whi</w:t>
      </w:r>
      <w:r w:rsidR="00F669E7">
        <w:t xml:space="preserve">ch indicates that PR may have an </w:t>
      </w:r>
      <w:r w:rsidRPr="00360156">
        <w:t xml:space="preserve">impact </w:t>
      </w:r>
      <w:r w:rsidR="00F669E7">
        <w:t xml:space="preserve">influence </w:t>
      </w:r>
      <w:r w:rsidRPr="00360156">
        <w:t>on SWF investment decision-making</w:t>
      </w:r>
      <w:r w:rsidR="00F669E7">
        <w:t>. H</w:t>
      </w:r>
      <w:r w:rsidRPr="00360156">
        <w:t xml:space="preserve">owever, the PR value of </w:t>
      </w:r>
      <w:proofErr w:type="spellStart"/>
      <w:r w:rsidRPr="00360156">
        <w:t>SWFDummy</w:t>
      </w:r>
      <w:proofErr w:type="spellEnd"/>
      <w:r w:rsidRPr="00360156">
        <w:t xml:space="preserve"> = 0 group is significantly higher, indicating that SWF seems to prefer countries w</w:t>
      </w:r>
      <w:r w:rsidR="00F669E7">
        <w:t>ith less political relationship</w:t>
      </w:r>
      <w:r w:rsidRPr="00360156">
        <w:t xml:space="preserve">. It can also be </w:t>
      </w:r>
      <w:r w:rsidR="00F669E7">
        <w:t xml:space="preserve">calculated </w:t>
      </w:r>
      <w:r w:rsidRPr="00360156">
        <w:t>from</w:t>
      </w:r>
      <w:r w:rsidR="00F669E7">
        <w:t xml:space="preserve"> table4</w:t>
      </w:r>
      <w:r w:rsidRPr="00360156">
        <w:t xml:space="preserve"> that only about 5.9% of the observations of "SWF </w:t>
      </w:r>
      <w:r w:rsidR="00F669E7">
        <w:t>Acquirer</w:t>
      </w:r>
      <w:r w:rsidRPr="00360156">
        <w:t xml:space="preserve"> Country - </w:t>
      </w:r>
      <w:r w:rsidR="00F669E7">
        <w:t>Target</w:t>
      </w:r>
      <w:r w:rsidRPr="00360156">
        <w:t xml:space="preserve"> Country - Year" have taken place in investment behavior. In </w:t>
      </w:r>
      <w:r w:rsidRPr="00360156">
        <w:lastRenderedPageBreak/>
        <w:t>other words, 94.1% of the dependent variables were observed to be zero.</w:t>
      </w:r>
    </w:p>
    <w:p w:rsidR="00360156" w:rsidRDefault="00360156" w:rsidP="00360156">
      <w:pPr>
        <w:pStyle w:val="a7"/>
        <w:keepNext/>
      </w:pPr>
      <w:r>
        <w:t xml:space="preserve">Table </w:t>
      </w:r>
      <w:r w:rsidR="00B105AF">
        <w:fldChar w:fldCharType="begin"/>
      </w:r>
      <w:r w:rsidR="00B105AF">
        <w:instrText xml:space="preserve"> SEQ Table \* ARABIC </w:instrText>
      </w:r>
      <w:r w:rsidR="00B105AF">
        <w:fldChar w:fldCharType="separate"/>
      </w:r>
      <w:r w:rsidR="00DC5497">
        <w:rPr>
          <w:noProof/>
        </w:rPr>
        <w:t>4</w:t>
      </w:r>
      <w:r w:rsidR="00B105AF">
        <w:rPr>
          <w:noProof/>
        </w:rPr>
        <w:fldChar w:fldCharType="end"/>
      </w:r>
      <w:r>
        <w:t xml:space="preserve"> </w:t>
      </w:r>
      <w:r>
        <w:rPr>
          <w:noProof/>
        </w:rPr>
        <w:t xml:space="preserve">Difference of PRs </w:t>
      </w:r>
      <w:r w:rsidR="00D65BE0">
        <w:rPr>
          <w:noProof/>
        </w:rPr>
        <w:t>M</w:t>
      </w:r>
      <w:r>
        <w:rPr>
          <w:noProof/>
        </w:rPr>
        <w:t xml:space="preserve">eans and </w:t>
      </w:r>
      <w:r w:rsidR="00D65BE0">
        <w:rPr>
          <w:noProof/>
        </w:rPr>
        <w:t>M</w:t>
      </w:r>
      <w:r>
        <w:rPr>
          <w:noProof/>
        </w:rPr>
        <w:t>edians</w:t>
      </w:r>
    </w:p>
    <w:tbl>
      <w:tblPr>
        <w:tblStyle w:val="af3"/>
        <w:tblW w:w="83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8"/>
        <w:gridCol w:w="2098"/>
        <w:gridCol w:w="2098"/>
        <w:gridCol w:w="2098"/>
      </w:tblGrid>
      <w:tr w:rsidR="00360156" w:rsidRPr="00D13E3F" w:rsidTr="00C11CAB">
        <w:trPr>
          <w:trHeight w:val="20"/>
          <w:jc w:val="center"/>
        </w:trPr>
        <w:tc>
          <w:tcPr>
            <w:tcW w:w="2098" w:type="dxa"/>
            <w:tcBorders>
              <w:top w:val="single" w:sz="4" w:space="0" w:color="auto"/>
              <w:bottom w:val="single" w:sz="4" w:space="0" w:color="auto"/>
            </w:tcBorders>
            <w:vAlign w:val="center"/>
          </w:tcPr>
          <w:p w:rsidR="00360156" w:rsidRPr="00D13E3F" w:rsidRDefault="00360156" w:rsidP="00C11CAB">
            <w:pPr>
              <w:autoSpaceDE w:val="0"/>
              <w:autoSpaceDN w:val="0"/>
              <w:adjustRightInd w:val="0"/>
              <w:jc w:val="center"/>
              <w:rPr>
                <w:rFonts w:cs="Times New Roman"/>
                <w:kern w:val="0"/>
                <w:sz w:val="22"/>
                <w:szCs w:val="24"/>
              </w:rPr>
            </w:pPr>
          </w:p>
        </w:tc>
        <w:tc>
          <w:tcPr>
            <w:tcW w:w="2098" w:type="dxa"/>
            <w:tcBorders>
              <w:top w:val="single" w:sz="4" w:space="0" w:color="auto"/>
              <w:bottom w:val="single" w:sz="4" w:space="0" w:color="auto"/>
            </w:tcBorders>
            <w:vAlign w:val="center"/>
          </w:tcPr>
          <w:p w:rsidR="00360156" w:rsidRPr="00D13E3F" w:rsidRDefault="00360156" w:rsidP="00C11CAB">
            <w:pPr>
              <w:autoSpaceDE w:val="0"/>
              <w:autoSpaceDN w:val="0"/>
              <w:adjustRightInd w:val="0"/>
              <w:jc w:val="center"/>
              <w:rPr>
                <w:rFonts w:cs="Times New Roman"/>
                <w:kern w:val="0"/>
                <w:sz w:val="22"/>
                <w:szCs w:val="24"/>
              </w:rPr>
            </w:pPr>
            <w:r w:rsidRPr="00D13E3F">
              <w:rPr>
                <w:rFonts w:cs="Times New Roman" w:hint="eastAsia"/>
                <w:kern w:val="0"/>
                <w:sz w:val="22"/>
                <w:szCs w:val="24"/>
              </w:rPr>
              <w:t>N</w:t>
            </w:r>
          </w:p>
        </w:tc>
        <w:tc>
          <w:tcPr>
            <w:tcW w:w="2098" w:type="dxa"/>
            <w:tcBorders>
              <w:top w:val="single" w:sz="4" w:space="0" w:color="auto"/>
              <w:bottom w:val="single" w:sz="4" w:space="0" w:color="auto"/>
            </w:tcBorders>
            <w:vAlign w:val="center"/>
          </w:tcPr>
          <w:p w:rsidR="00360156" w:rsidRPr="00D13E3F" w:rsidRDefault="00360156" w:rsidP="00C11CAB">
            <w:pPr>
              <w:autoSpaceDE w:val="0"/>
              <w:autoSpaceDN w:val="0"/>
              <w:adjustRightInd w:val="0"/>
              <w:jc w:val="center"/>
              <w:rPr>
                <w:rFonts w:cs="Times New Roman"/>
                <w:kern w:val="0"/>
                <w:sz w:val="22"/>
                <w:szCs w:val="24"/>
              </w:rPr>
            </w:pPr>
            <w:r w:rsidRPr="00D13E3F">
              <w:rPr>
                <w:rFonts w:cs="Times New Roman" w:hint="eastAsia"/>
                <w:kern w:val="0"/>
                <w:sz w:val="22"/>
                <w:szCs w:val="24"/>
              </w:rPr>
              <w:t>Mean</w:t>
            </w:r>
          </w:p>
        </w:tc>
        <w:tc>
          <w:tcPr>
            <w:tcW w:w="2098" w:type="dxa"/>
            <w:tcBorders>
              <w:top w:val="single" w:sz="4" w:space="0" w:color="auto"/>
              <w:bottom w:val="single" w:sz="4" w:space="0" w:color="auto"/>
            </w:tcBorders>
            <w:vAlign w:val="center"/>
          </w:tcPr>
          <w:p w:rsidR="00360156" w:rsidRPr="00D13E3F" w:rsidRDefault="00360156" w:rsidP="00C11CAB">
            <w:pPr>
              <w:autoSpaceDE w:val="0"/>
              <w:autoSpaceDN w:val="0"/>
              <w:adjustRightInd w:val="0"/>
              <w:jc w:val="center"/>
              <w:rPr>
                <w:rFonts w:cs="Times New Roman"/>
                <w:kern w:val="0"/>
                <w:sz w:val="22"/>
                <w:szCs w:val="24"/>
              </w:rPr>
            </w:pPr>
            <w:r w:rsidRPr="00D13E3F">
              <w:rPr>
                <w:rFonts w:cs="Times New Roman" w:hint="eastAsia"/>
                <w:kern w:val="0"/>
                <w:sz w:val="22"/>
                <w:szCs w:val="24"/>
              </w:rPr>
              <w:t>Median</w:t>
            </w:r>
          </w:p>
        </w:tc>
      </w:tr>
      <w:tr w:rsidR="00360156" w:rsidRPr="00D13E3F" w:rsidTr="00C11CAB">
        <w:trPr>
          <w:trHeight w:val="20"/>
          <w:jc w:val="center"/>
        </w:trPr>
        <w:tc>
          <w:tcPr>
            <w:tcW w:w="2098" w:type="dxa"/>
            <w:tcBorders>
              <w:top w:val="single" w:sz="4" w:space="0" w:color="auto"/>
            </w:tcBorders>
            <w:vAlign w:val="center"/>
          </w:tcPr>
          <w:p w:rsidR="00360156" w:rsidRPr="00D13E3F" w:rsidRDefault="00360156" w:rsidP="00C11CAB">
            <w:pPr>
              <w:autoSpaceDE w:val="0"/>
              <w:autoSpaceDN w:val="0"/>
              <w:adjustRightInd w:val="0"/>
              <w:jc w:val="center"/>
              <w:rPr>
                <w:rFonts w:cs="Times New Roman"/>
                <w:kern w:val="0"/>
                <w:sz w:val="22"/>
                <w:szCs w:val="24"/>
              </w:rPr>
            </w:pPr>
            <w:proofErr w:type="spellStart"/>
            <w:r w:rsidRPr="00D13E3F">
              <w:rPr>
                <w:rFonts w:cs="Times New Roman" w:hint="eastAsia"/>
                <w:kern w:val="0"/>
                <w:sz w:val="22"/>
                <w:szCs w:val="24"/>
              </w:rPr>
              <w:t>SWFDummy</w:t>
            </w:r>
            <w:proofErr w:type="spellEnd"/>
            <w:r w:rsidRPr="00D13E3F">
              <w:rPr>
                <w:rFonts w:cs="Times New Roman" w:hint="eastAsia"/>
                <w:kern w:val="0"/>
                <w:sz w:val="22"/>
                <w:szCs w:val="24"/>
              </w:rPr>
              <w:t>=</w:t>
            </w:r>
            <w:r w:rsidRPr="00D13E3F">
              <w:rPr>
                <w:rFonts w:cs="Times New Roman"/>
                <w:kern w:val="0"/>
                <w:sz w:val="22"/>
                <w:szCs w:val="24"/>
              </w:rPr>
              <w:t>0</w:t>
            </w:r>
          </w:p>
        </w:tc>
        <w:tc>
          <w:tcPr>
            <w:tcW w:w="2098" w:type="dxa"/>
            <w:tcBorders>
              <w:top w:val="single" w:sz="4" w:space="0" w:color="auto"/>
            </w:tcBorders>
            <w:vAlign w:val="center"/>
          </w:tcPr>
          <w:p w:rsidR="00360156" w:rsidRPr="00D13E3F" w:rsidRDefault="00360156" w:rsidP="00C11CAB">
            <w:pPr>
              <w:autoSpaceDE w:val="0"/>
              <w:autoSpaceDN w:val="0"/>
              <w:adjustRightInd w:val="0"/>
              <w:jc w:val="center"/>
              <w:rPr>
                <w:rFonts w:cs="Times New Roman"/>
                <w:kern w:val="0"/>
                <w:sz w:val="22"/>
                <w:szCs w:val="24"/>
              </w:rPr>
            </w:pPr>
            <w:r w:rsidRPr="00D13E3F">
              <w:rPr>
                <w:rFonts w:cs="Times New Roman" w:hint="eastAsia"/>
                <w:kern w:val="0"/>
                <w:sz w:val="22"/>
                <w:szCs w:val="24"/>
              </w:rPr>
              <w:t>1</w:t>
            </w:r>
            <w:r w:rsidRPr="00D13E3F">
              <w:rPr>
                <w:rFonts w:cs="Times New Roman"/>
                <w:kern w:val="0"/>
                <w:sz w:val="22"/>
                <w:szCs w:val="24"/>
              </w:rPr>
              <w:t>3814</w:t>
            </w:r>
          </w:p>
        </w:tc>
        <w:tc>
          <w:tcPr>
            <w:tcW w:w="2098" w:type="dxa"/>
            <w:tcBorders>
              <w:top w:val="single" w:sz="4" w:space="0" w:color="auto"/>
            </w:tcBorders>
            <w:vAlign w:val="center"/>
          </w:tcPr>
          <w:p w:rsidR="00360156" w:rsidRPr="00D13E3F" w:rsidRDefault="00360156" w:rsidP="00C11CAB">
            <w:pPr>
              <w:autoSpaceDE w:val="0"/>
              <w:autoSpaceDN w:val="0"/>
              <w:adjustRightInd w:val="0"/>
              <w:jc w:val="center"/>
              <w:rPr>
                <w:rFonts w:cs="Times New Roman"/>
                <w:kern w:val="0"/>
                <w:sz w:val="22"/>
                <w:szCs w:val="24"/>
              </w:rPr>
            </w:pPr>
            <w:r w:rsidRPr="00D13E3F">
              <w:rPr>
                <w:rFonts w:cs="Times New Roman" w:hint="eastAsia"/>
                <w:kern w:val="0"/>
                <w:sz w:val="22"/>
                <w:szCs w:val="24"/>
              </w:rPr>
              <w:t>0</w:t>
            </w:r>
            <w:r w:rsidRPr="00D13E3F">
              <w:rPr>
                <w:rFonts w:cs="Times New Roman"/>
                <w:kern w:val="0"/>
                <w:sz w:val="22"/>
                <w:szCs w:val="24"/>
              </w:rPr>
              <w:t>.2906</w:t>
            </w:r>
          </w:p>
        </w:tc>
        <w:tc>
          <w:tcPr>
            <w:tcW w:w="2098" w:type="dxa"/>
            <w:tcBorders>
              <w:top w:val="single" w:sz="4" w:space="0" w:color="auto"/>
            </w:tcBorders>
            <w:vAlign w:val="center"/>
          </w:tcPr>
          <w:p w:rsidR="00360156" w:rsidRPr="00D13E3F" w:rsidRDefault="00360156" w:rsidP="00C11CAB">
            <w:pPr>
              <w:autoSpaceDE w:val="0"/>
              <w:autoSpaceDN w:val="0"/>
              <w:adjustRightInd w:val="0"/>
              <w:jc w:val="center"/>
              <w:rPr>
                <w:rFonts w:cs="Times New Roman"/>
                <w:kern w:val="0"/>
                <w:sz w:val="22"/>
                <w:szCs w:val="24"/>
              </w:rPr>
            </w:pPr>
            <w:r w:rsidRPr="00D13E3F">
              <w:rPr>
                <w:rFonts w:cs="Times New Roman"/>
                <w:kern w:val="0"/>
                <w:sz w:val="22"/>
                <w:szCs w:val="24"/>
              </w:rPr>
              <w:t>0.2424</w:t>
            </w:r>
          </w:p>
        </w:tc>
      </w:tr>
      <w:tr w:rsidR="00360156" w:rsidRPr="00D13E3F" w:rsidTr="00C11CAB">
        <w:trPr>
          <w:trHeight w:val="20"/>
          <w:jc w:val="center"/>
        </w:trPr>
        <w:tc>
          <w:tcPr>
            <w:tcW w:w="2098" w:type="dxa"/>
            <w:vAlign w:val="center"/>
          </w:tcPr>
          <w:p w:rsidR="00360156" w:rsidRPr="00D13E3F" w:rsidRDefault="00360156" w:rsidP="00C11CAB">
            <w:pPr>
              <w:autoSpaceDE w:val="0"/>
              <w:autoSpaceDN w:val="0"/>
              <w:adjustRightInd w:val="0"/>
              <w:jc w:val="center"/>
              <w:rPr>
                <w:rFonts w:cs="Times New Roman"/>
                <w:kern w:val="0"/>
                <w:sz w:val="22"/>
                <w:szCs w:val="24"/>
              </w:rPr>
            </w:pPr>
            <w:proofErr w:type="spellStart"/>
            <w:r w:rsidRPr="00D13E3F">
              <w:rPr>
                <w:rFonts w:cs="Times New Roman" w:hint="eastAsia"/>
                <w:kern w:val="0"/>
                <w:sz w:val="22"/>
                <w:szCs w:val="24"/>
              </w:rPr>
              <w:t>SWFDummy</w:t>
            </w:r>
            <w:proofErr w:type="spellEnd"/>
            <w:r w:rsidRPr="00D13E3F">
              <w:rPr>
                <w:rFonts w:cs="Times New Roman" w:hint="eastAsia"/>
                <w:kern w:val="0"/>
                <w:sz w:val="22"/>
                <w:szCs w:val="24"/>
              </w:rPr>
              <w:t>=</w:t>
            </w:r>
            <w:r w:rsidRPr="00D13E3F">
              <w:rPr>
                <w:rFonts w:cs="Times New Roman"/>
                <w:kern w:val="0"/>
                <w:sz w:val="22"/>
                <w:szCs w:val="24"/>
              </w:rPr>
              <w:t>1</w:t>
            </w:r>
          </w:p>
        </w:tc>
        <w:tc>
          <w:tcPr>
            <w:tcW w:w="2098" w:type="dxa"/>
            <w:vAlign w:val="center"/>
          </w:tcPr>
          <w:p w:rsidR="00360156" w:rsidRPr="00D13E3F" w:rsidRDefault="00360156" w:rsidP="00C11CAB">
            <w:pPr>
              <w:autoSpaceDE w:val="0"/>
              <w:autoSpaceDN w:val="0"/>
              <w:adjustRightInd w:val="0"/>
              <w:jc w:val="center"/>
              <w:rPr>
                <w:rFonts w:cs="Times New Roman"/>
                <w:kern w:val="0"/>
                <w:sz w:val="22"/>
                <w:szCs w:val="24"/>
              </w:rPr>
            </w:pPr>
            <w:r w:rsidRPr="00D13E3F">
              <w:rPr>
                <w:rFonts w:cs="Times New Roman" w:hint="eastAsia"/>
                <w:kern w:val="0"/>
                <w:sz w:val="22"/>
                <w:szCs w:val="24"/>
              </w:rPr>
              <w:t>8</w:t>
            </w:r>
            <w:r w:rsidRPr="00D13E3F">
              <w:rPr>
                <w:rFonts w:cs="Times New Roman"/>
                <w:kern w:val="0"/>
                <w:sz w:val="22"/>
                <w:szCs w:val="24"/>
              </w:rPr>
              <w:t>71</w:t>
            </w:r>
          </w:p>
        </w:tc>
        <w:tc>
          <w:tcPr>
            <w:tcW w:w="2098" w:type="dxa"/>
            <w:vAlign w:val="center"/>
          </w:tcPr>
          <w:p w:rsidR="00360156" w:rsidRPr="00D13E3F" w:rsidRDefault="00360156" w:rsidP="00C11CAB">
            <w:pPr>
              <w:autoSpaceDE w:val="0"/>
              <w:autoSpaceDN w:val="0"/>
              <w:adjustRightInd w:val="0"/>
              <w:jc w:val="center"/>
              <w:rPr>
                <w:rFonts w:cs="Times New Roman"/>
                <w:kern w:val="0"/>
                <w:sz w:val="22"/>
                <w:szCs w:val="24"/>
              </w:rPr>
            </w:pPr>
            <w:r w:rsidRPr="00D13E3F">
              <w:rPr>
                <w:rFonts w:cs="Times New Roman" w:hint="eastAsia"/>
                <w:kern w:val="0"/>
                <w:sz w:val="22"/>
                <w:szCs w:val="24"/>
              </w:rPr>
              <w:t>0</w:t>
            </w:r>
            <w:r w:rsidRPr="00D13E3F">
              <w:rPr>
                <w:rFonts w:cs="Times New Roman"/>
                <w:kern w:val="0"/>
                <w:sz w:val="22"/>
                <w:szCs w:val="24"/>
              </w:rPr>
              <w:t>.2520</w:t>
            </w:r>
          </w:p>
        </w:tc>
        <w:tc>
          <w:tcPr>
            <w:tcW w:w="2098" w:type="dxa"/>
            <w:vAlign w:val="center"/>
          </w:tcPr>
          <w:p w:rsidR="00360156" w:rsidRPr="00D13E3F" w:rsidRDefault="00360156" w:rsidP="00C11CAB">
            <w:pPr>
              <w:autoSpaceDE w:val="0"/>
              <w:autoSpaceDN w:val="0"/>
              <w:adjustRightInd w:val="0"/>
              <w:jc w:val="center"/>
              <w:rPr>
                <w:rFonts w:cs="Times New Roman"/>
                <w:kern w:val="0"/>
                <w:sz w:val="22"/>
                <w:szCs w:val="24"/>
              </w:rPr>
            </w:pPr>
            <w:r w:rsidRPr="00D13E3F">
              <w:rPr>
                <w:rFonts w:cs="Times New Roman"/>
                <w:kern w:val="0"/>
                <w:sz w:val="22"/>
                <w:szCs w:val="24"/>
              </w:rPr>
              <w:t>0.1500</w:t>
            </w:r>
          </w:p>
        </w:tc>
      </w:tr>
      <w:tr w:rsidR="00360156" w:rsidRPr="00D13E3F" w:rsidTr="00C11CAB">
        <w:trPr>
          <w:trHeight w:val="20"/>
          <w:jc w:val="center"/>
        </w:trPr>
        <w:tc>
          <w:tcPr>
            <w:tcW w:w="2098" w:type="dxa"/>
            <w:vAlign w:val="center"/>
          </w:tcPr>
          <w:p w:rsidR="00360156" w:rsidRPr="00D13E3F" w:rsidRDefault="00360156" w:rsidP="00C11CAB">
            <w:pPr>
              <w:autoSpaceDE w:val="0"/>
              <w:autoSpaceDN w:val="0"/>
              <w:adjustRightInd w:val="0"/>
              <w:jc w:val="center"/>
              <w:rPr>
                <w:rFonts w:cs="Times New Roman"/>
                <w:kern w:val="0"/>
                <w:sz w:val="22"/>
                <w:szCs w:val="24"/>
              </w:rPr>
            </w:pPr>
            <w:r w:rsidRPr="00D13E3F">
              <w:rPr>
                <w:rFonts w:cs="Times New Roman" w:hint="eastAsia"/>
                <w:kern w:val="0"/>
                <w:sz w:val="22"/>
                <w:szCs w:val="24"/>
              </w:rPr>
              <w:t>Difference</w:t>
            </w:r>
          </w:p>
        </w:tc>
        <w:tc>
          <w:tcPr>
            <w:tcW w:w="2098" w:type="dxa"/>
            <w:vAlign w:val="center"/>
          </w:tcPr>
          <w:p w:rsidR="00360156" w:rsidRPr="00D13E3F" w:rsidRDefault="00360156" w:rsidP="00C11CAB">
            <w:pPr>
              <w:autoSpaceDE w:val="0"/>
              <w:autoSpaceDN w:val="0"/>
              <w:adjustRightInd w:val="0"/>
              <w:jc w:val="center"/>
              <w:rPr>
                <w:rFonts w:cs="Times New Roman"/>
                <w:kern w:val="0"/>
                <w:sz w:val="22"/>
                <w:szCs w:val="24"/>
              </w:rPr>
            </w:pPr>
          </w:p>
        </w:tc>
        <w:tc>
          <w:tcPr>
            <w:tcW w:w="2098" w:type="dxa"/>
            <w:vAlign w:val="center"/>
          </w:tcPr>
          <w:p w:rsidR="00360156" w:rsidRPr="00D13E3F" w:rsidRDefault="00360156" w:rsidP="00C11CAB">
            <w:pPr>
              <w:autoSpaceDE w:val="0"/>
              <w:autoSpaceDN w:val="0"/>
              <w:adjustRightInd w:val="0"/>
              <w:jc w:val="center"/>
              <w:rPr>
                <w:rFonts w:cs="Times New Roman"/>
                <w:kern w:val="0"/>
                <w:sz w:val="22"/>
                <w:szCs w:val="24"/>
              </w:rPr>
            </w:pPr>
            <w:r w:rsidRPr="00D13E3F">
              <w:rPr>
                <w:rFonts w:cs="Times New Roman" w:hint="eastAsia"/>
                <w:kern w:val="0"/>
                <w:sz w:val="22"/>
                <w:szCs w:val="24"/>
              </w:rPr>
              <w:t>0</w:t>
            </w:r>
            <w:r w:rsidRPr="00D13E3F">
              <w:rPr>
                <w:rFonts w:cs="Times New Roman"/>
                <w:kern w:val="0"/>
                <w:sz w:val="22"/>
                <w:szCs w:val="24"/>
              </w:rPr>
              <w:t>.0386***</w:t>
            </w:r>
          </w:p>
        </w:tc>
        <w:tc>
          <w:tcPr>
            <w:tcW w:w="2098" w:type="dxa"/>
            <w:vAlign w:val="center"/>
          </w:tcPr>
          <w:p w:rsidR="00360156" w:rsidRPr="00D13E3F" w:rsidRDefault="00360156" w:rsidP="00C11CAB">
            <w:pPr>
              <w:autoSpaceDE w:val="0"/>
              <w:autoSpaceDN w:val="0"/>
              <w:adjustRightInd w:val="0"/>
              <w:jc w:val="center"/>
              <w:rPr>
                <w:rFonts w:cs="Times New Roman"/>
                <w:kern w:val="0"/>
                <w:sz w:val="22"/>
                <w:szCs w:val="24"/>
              </w:rPr>
            </w:pPr>
            <w:r w:rsidRPr="00D13E3F">
              <w:rPr>
                <w:rFonts w:cs="Times New Roman" w:hint="eastAsia"/>
                <w:kern w:val="0"/>
                <w:sz w:val="22"/>
                <w:szCs w:val="24"/>
              </w:rPr>
              <w:t>0</w:t>
            </w:r>
            <w:r w:rsidRPr="00D13E3F">
              <w:rPr>
                <w:rFonts w:cs="Times New Roman"/>
                <w:kern w:val="0"/>
                <w:sz w:val="22"/>
                <w:szCs w:val="24"/>
              </w:rPr>
              <w:t>.0924***</w:t>
            </w:r>
          </w:p>
        </w:tc>
      </w:tr>
      <w:tr w:rsidR="00360156" w:rsidRPr="00D13E3F" w:rsidTr="00C11CAB">
        <w:trPr>
          <w:trHeight w:val="20"/>
          <w:jc w:val="center"/>
        </w:trPr>
        <w:tc>
          <w:tcPr>
            <w:tcW w:w="2098" w:type="dxa"/>
            <w:tcBorders>
              <w:bottom w:val="single" w:sz="4" w:space="0" w:color="auto"/>
            </w:tcBorders>
            <w:vAlign w:val="center"/>
          </w:tcPr>
          <w:p w:rsidR="00360156" w:rsidRPr="00D13E3F" w:rsidRDefault="00360156" w:rsidP="00C11CAB">
            <w:pPr>
              <w:autoSpaceDE w:val="0"/>
              <w:autoSpaceDN w:val="0"/>
              <w:adjustRightInd w:val="0"/>
              <w:jc w:val="center"/>
              <w:rPr>
                <w:rFonts w:cs="Times New Roman"/>
                <w:kern w:val="0"/>
                <w:sz w:val="22"/>
                <w:szCs w:val="24"/>
              </w:rPr>
            </w:pPr>
            <w:r w:rsidRPr="00D13E3F">
              <w:rPr>
                <w:rFonts w:cs="Times New Roman"/>
                <w:kern w:val="0"/>
                <w:sz w:val="22"/>
                <w:szCs w:val="24"/>
              </w:rPr>
              <w:t>Wilcoxon-Mann-Whitney test</w:t>
            </w:r>
          </w:p>
        </w:tc>
        <w:tc>
          <w:tcPr>
            <w:tcW w:w="2098" w:type="dxa"/>
            <w:tcBorders>
              <w:bottom w:val="single" w:sz="4" w:space="0" w:color="auto"/>
            </w:tcBorders>
            <w:vAlign w:val="center"/>
          </w:tcPr>
          <w:p w:rsidR="00360156" w:rsidRPr="00D13E3F" w:rsidRDefault="00360156" w:rsidP="00C11CAB">
            <w:pPr>
              <w:autoSpaceDE w:val="0"/>
              <w:autoSpaceDN w:val="0"/>
              <w:adjustRightInd w:val="0"/>
              <w:jc w:val="center"/>
              <w:rPr>
                <w:rFonts w:cs="Times New Roman"/>
                <w:kern w:val="0"/>
                <w:sz w:val="22"/>
                <w:szCs w:val="24"/>
              </w:rPr>
            </w:pPr>
            <w:r w:rsidRPr="00D13E3F">
              <w:rPr>
                <w:rFonts w:cs="Times New Roman" w:hint="eastAsia"/>
                <w:kern w:val="0"/>
                <w:sz w:val="22"/>
                <w:szCs w:val="24"/>
              </w:rPr>
              <w:t>2</w:t>
            </w:r>
            <w:r w:rsidRPr="00D13E3F">
              <w:rPr>
                <w:rFonts w:cs="Times New Roman"/>
                <w:kern w:val="0"/>
                <w:sz w:val="22"/>
                <w:szCs w:val="24"/>
              </w:rPr>
              <w:t>.949***</w:t>
            </w:r>
          </w:p>
        </w:tc>
        <w:tc>
          <w:tcPr>
            <w:tcW w:w="2098" w:type="dxa"/>
            <w:tcBorders>
              <w:bottom w:val="single" w:sz="4" w:space="0" w:color="auto"/>
            </w:tcBorders>
            <w:vAlign w:val="center"/>
          </w:tcPr>
          <w:p w:rsidR="00360156" w:rsidRPr="00D13E3F" w:rsidRDefault="00360156" w:rsidP="00C11CAB">
            <w:pPr>
              <w:autoSpaceDE w:val="0"/>
              <w:autoSpaceDN w:val="0"/>
              <w:adjustRightInd w:val="0"/>
              <w:jc w:val="center"/>
              <w:rPr>
                <w:rFonts w:cs="Times New Roman"/>
                <w:kern w:val="0"/>
                <w:sz w:val="22"/>
                <w:szCs w:val="24"/>
              </w:rPr>
            </w:pPr>
          </w:p>
        </w:tc>
        <w:tc>
          <w:tcPr>
            <w:tcW w:w="2098" w:type="dxa"/>
            <w:tcBorders>
              <w:bottom w:val="single" w:sz="4" w:space="0" w:color="auto"/>
            </w:tcBorders>
            <w:vAlign w:val="center"/>
          </w:tcPr>
          <w:p w:rsidR="00360156" w:rsidRPr="00D13E3F" w:rsidRDefault="00360156" w:rsidP="00C11CAB">
            <w:pPr>
              <w:autoSpaceDE w:val="0"/>
              <w:autoSpaceDN w:val="0"/>
              <w:adjustRightInd w:val="0"/>
              <w:jc w:val="center"/>
              <w:rPr>
                <w:rFonts w:cs="Times New Roman"/>
                <w:kern w:val="0"/>
                <w:sz w:val="22"/>
                <w:szCs w:val="24"/>
              </w:rPr>
            </w:pPr>
          </w:p>
        </w:tc>
      </w:tr>
    </w:tbl>
    <w:tbl>
      <w:tblPr>
        <w:tblW w:w="0" w:type="auto"/>
        <w:tblLayout w:type="fixed"/>
        <w:tblLook w:val="0000" w:firstRow="0" w:lastRow="0" w:firstColumn="0" w:lastColumn="0" w:noHBand="0" w:noVBand="0"/>
      </w:tblPr>
      <w:tblGrid>
        <w:gridCol w:w="8051"/>
      </w:tblGrid>
      <w:tr w:rsidR="00360156" w:rsidRPr="00D13E3F" w:rsidTr="00C11CAB">
        <w:trPr>
          <w:trHeight w:val="312"/>
        </w:trPr>
        <w:tc>
          <w:tcPr>
            <w:tcW w:w="8051" w:type="dxa"/>
          </w:tcPr>
          <w:p w:rsidR="00360156" w:rsidRPr="00D13E3F" w:rsidRDefault="00360156" w:rsidP="00C11CAB">
            <w:pPr>
              <w:autoSpaceDE w:val="0"/>
              <w:autoSpaceDN w:val="0"/>
              <w:adjustRightInd w:val="0"/>
              <w:jc w:val="left"/>
              <w:rPr>
                <w:rFonts w:cs="Times New Roman"/>
                <w:kern w:val="0"/>
                <w:sz w:val="22"/>
                <w:szCs w:val="24"/>
              </w:rPr>
            </w:pPr>
            <w:r w:rsidRPr="00D13E3F">
              <w:rPr>
                <w:rFonts w:cs="Times New Roman"/>
                <w:kern w:val="0"/>
                <w:sz w:val="18"/>
                <w:szCs w:val="20"/>
                <w:vertAlign w:val="superscript"/>
              </w:rPr>
              <w:t>*</w:t>
            </w:r>
            <w:r w:rsidRPr="00D13E3F">
              <w:rPr>
                <w:rFonts w:cs="Times New Roman"/>
                <w:kern w:val="0"/>
                <w:sz w:val="18"/>
                <w:szCs w:val="20"/>
              </w:rPr>
              <w:t xml:space="preserve"> </w:t>
            </w:r>
            <w:r w:rsidRPr="00D13E3F">
              <w:rPr>
                <w:rFonts w:cs="Times New Roman"/>
                <w:i/>
                <w:iCs/>
                <w:kern w:val="0"/>
                <w:sz w:val="18"/>
                <w:szCs w:val="20"/>
              </w:rPr>
              <w:t>p</w:t>
            </w:r>
            <w:r w:rsidRPr="00D13E3F">
              <w:rPr>
                <w:rFonts w:cs="Times New Roman"/>
                <w:kern w:val="0"/>
                <w:sz w:val="18"/>
                <w:szCs w:val="20"/>
              </w:rPr>
              <w:t xml:space="preserve"> &lt; 0.05, </w:t>
            </w:r>
            <w:r w:rsidRPr="00D13E3F">
              <w:rPr>
                <w:rFonts w:cs="Times New Roman"/>
                <w:kern w:val="0"/>
                <w:sz w:val="18"/>
                <w:szCs w:val="20"/>
                <w:vertAlign w:val="superscript"/>
              </w:rPr>
              <w:t>**</w:t>
            </w:r>
            <w:r w:rsidRPr="00D13E3F">
              <w:rPr>
                <w:rFonts w:cs="Times New Roman"/>
                <w:kern w:val="0"/>
                <w:sz w:val="18"/>
                <w:szCs w:val="20"/>
              </w:rPr>
              <w:t xml:space="preserve"> </w:t>
            </w:r>
            <w:r w:rsidRPr="00D13E3F">
              <w:rPr>
                <w:rFonts w:cs="Times New Roman"/>
                <w:i/>
                <w:iCs/>
                <w:kern w:val="0"/>
                <w:sz w:val="18"/>
                <w:szCs w:val="20"/>
              </w:rPr>
              <w:t>p</w:t>
            </w:r>
            <w:r w:rsidRPr="00D13E3F">
              <w:rPr>
                <w:rFonts w:cs="Times New Roman"/>
                <w:kern w:val="0"/>
                <w:sz w:val="18"/>
                <w:szCs w:val="20"/>
              </w:rPr>
              <w:t xml:space="preserve"> &lt; 0.01, </w:t>
            </w:r>
            <w:r w:rsidRPr="00D13E3F">
              <w:rPr>
                <w:rFonts w:cs="Times New Roman"/>
                <w:kern w:val="0"/>
                <w:sz w:val="18"/>
                <w:szCs w:val="20"/>
                <w:vertAlign w:val="superscript"/>
              </w:rPr>
              <w:t>***</w:t>
            </w:r>
            <w:r w:rsidRPr="00D13E3F">
              <w:rPr>
                <w:rFonts w:cs="Times New Roman"/>
                <w:kern w:val="0"/>
                <w:sz w:val="18"/>
                <w:szCs w:val="20"/>
              </w:rPr>
              <w:t xml:space="preserve"> </w:t>
            </w:r>
            <w:r w:rsidRPr="00D13E3F">
              <w:rPr>
                <w:rFonts w:cs="Times New Roman"/>
                <w:i/>
                <w:iCs/>
                <w:kern w:val="0"/>
                <w:sz w:val="18"/>
                <w:szCs w:val="20"/>
              </w:rPr>
              <w:t>p</w:t>
            </w:r>
            <w:r w:rsidRPr="00D13E3F">
              <w:rPr>
                <w:rFonts w:cs="Times New Roman"/>
                <w:kern w:val="0"/>
                <w:sz w:val="18"/>
                <w:szCs w:val="20"/>
              </w:rPr>
              <w:t xml:space="preserve"> &lt; 0.001</w:t>
            </w:r>
          </w:p>
        </w:tc>
      </w:tr>
    </w:tbl>
    <w:p w:rsidR="003F7296" w:rsidRDefault="003F7296" w:rsidP="00F679CF">
      <w:pPr>
        <w:wordWrap/>
        <w:spacing w:line="400" w:lineRule="exact"/>
        <w:ind w:firstLineChars="200" w:firstLine="480"/>
      </w:pPr>
    </w:p>
    <w:p w:rsidR="00182981" w:rsidRPr="00246B0A" w:rsidRDefault="004F36FA" w:rsidP="00F669E7">
      <w:pPr>
        <w:pStyle w:val="3"/>
      </w:pPr>
      <w:r>
        <w:t>3.4</w:t>
      </w:r>
      <w:r w:rsidR="00182981">
        <w:t xml:space="preserve"> </w:t>
      </w:r>
      <w:r w:rsidR="00E34185">
        <w:t>Control Variables</w:t>
      </w:r>
    </w:p>
    <w:p w:rsidR="00C71E84" w:rsidRDefault="00C71E84" w:rsidP="00C71E84">
      <w:pPr>
        <w:wordWrap/>
        <w:spacing w:line="400" w:lineRule="exact"/>
        <w:ind w:firstLineChars="200" w:firstLine="480"/>
      </w:pPr>
      <w:r>
        <w:t>The outbound investment</w:t>
      </w:r>
      <w:r w:rsidR="00743173">
        <w:t>s</w:t>
      </w:r>
      <w:r>
        <w:t xml:space="preserve"> of SWF may also be affected by many other factors. The following control variables are proposed by referring to relevant literature on FDI and combining with the research purpose of this paper.</w:t>
      </w:r>
      <w:r w:rsidR="00D65BE0" w:rsidRPr="00D65BE0">
        <w:t xml:space="preserve"> The control variables mainly include the relevant factors that may affect SWF's </w:t>
      </w:r>
      <w:r w:rsidR="00D65BE0">
        <w:t>outbound</w:t>
      </w:r>
      <w:r w:rsidR="00D65BE0" w:rsidRPr="00D65BE0">
        <w:t xml:space="preserve"> investment</w:t>
      </w:r>
      <w:r w:rsidR="00D65BE0">
        <w:t>s</w:t>
      </w:r>
      <w:r w:rsidR="00D65BE0" w:rsidRPr="00D65BE0">
        <w:t xml:space="preserve"> at the n</w:t>
      </w:r>
      <w:r w:rsidR="0097360A">
        <w:t>ational level, such as economic</w:t>
      </w:r>
      <w:r w:rsidR="00D65BE0" w:rsidRPr="00D65BE0">
        <w:t>, natural and cultural factors and other political factors</w:t>
      </w:r>
      <w:r w:rsidR="00D65BE0">
        <w:t>.</w:t>
      </w:r>
      <w:r w:rsidR="00D65BE0" w:rsidRPr="00D65BE0">
        <w:t xml:space="preserve"> </w:t>
      </w:r>
      <w:r w:rsidR="00D65BE0">
        <w:t>A</w:t>
      </w:r>
      <w:r w:rsidR="00D65BE0" w:rsidRPr="00D65BE0">
        <w:t xml:space="preserve">nd the factors </w:t>
      </w:r>
      <w:r w:rsidR="00D65BE0">
        <w:t>can be divided into three groups: involving both the acquirer countries and the target countries, involving one of the bilateral countries.</w:t>
      </w:r>
    </w:p>
    <w:p w:rsidR="00C71E84" w:rsidRDefault="001334CC" w:rsidP="00C71E84">
      <w:pPr>
        <w:wordWrap/>
        <w:spacing w:line="400" w:lineRule="exact"/>
        <w:ind w:firstLineChars="200" w:firstLine="480"/>
      </w:pPr>
      <w:r>
        <w:t>F</w:t>
      </w:r>
      <w:r w:rsidR="009C61D2">
        <w:t xml:space="preserve">actors involved </w:t>
      </w:r>
      <w:r w:rsidR="00C71E84">
        <w:t>both sides are</w:t>
      </w:r>
      <w:r w:rsidR="00C24583">
        <w:t xml:space="preserve">: </w:t>
      </w:r>
      <w:r w:rsidR="00C71E84">
        <w:t xml:space="preserve">(1) </w:t>
      </w:r>
      <w:proofErr w:type="spellStart"/>
      <w:r w:rsidR="00C71E84">
        <w:t>ReturnD</w:t>
      </w:r>
      <w:proofErr w:type="spellEnd"/>
      <w:r w:rsidR="009C61D2">
        <w:t>,</w:t>
      </w:r>
      <w:r w:rsidR="00C71E84">
        <w:t xml:space="preserve"> refers to the </w:t>
      </w:r>
      <w:r w:rsidR="009C61D2">
        <w:t xml:space="preserve">annual </w:t>
      </w:r>
      <w:r w:rsidR="00C71E84">
        <w:t xml:space="preserve">difference </w:t>
      </w:r>
      <w:r w:rsidR="009C61D2">
        <w:t xml:space="preserve">in </w:t>
      </w:r>
      <w:r w:rsidR="00C71E84">
        <w:t xml:space="preserve">securities market </w:t>
      </w:r>
      <w:r w:rsidR="009C61D2">
        <w:t>return between the target and SWF nation</w:t>
      </w:r>
      <w:r>
        <w:t>s</w:t>
      </w:r>
      <w:r w:rsidR="00C24583">
        <w:t xml:space="preserve">; </w:t>
      </w:r>
      <w:r w:rsidR="00C71E84">
        <w:t>(2) COR</w:t>
      </w:r>
      <w:r w:rsidR="009C61D2">
        <w:t>,</w:t>
      </w:r>
      <w:r w:rsidR="00C71E84">
        <w:t xml:space="preserve"> refers to the correlation between the</w:t>
      </w:r>
      <w:r w:rsidR="00C24583">
        <w:t xml:space="preserve"> annual</w:t>
      </w:r>
      <w:r w:rsidR="00C71E84">
        <w:t xml:space="preserve"> financial market </w:t>
      </w:r>
      <w:r w:rsidR="00C24583">
        <w:t>returns;</w:t>
      </w:r>
      <w:r w:rsidR="00C71E84">
        <w:t xml:space="preserve"> (3)</w:t>
      </w:r>
      <w:r w:rsidR="00AE5810">
        <w:t xml:space="preserve"> </w:t>
      </w:r>
      <w:proofErr w:type="spellStart"/>
      <w:r w:rsidR="00C71E84">
        <w:t>ForExD</w:t>
      </w:r>
      <w:proofErr w:type="spellEnd"/>
      <w:r w:rsidR="00C24583">
        <w:t>,</w:t>
      </w:r>
      <w:r w:rsidR="00C71E84">
        <w:t xml:space="preserve"> refers to the </w:t>
      </w:r>
      <w:r w:rsidR="00C24583">
        <w:t xml:space="preserve">annual </w:t>
      </w:r>
      <w:r w:rsidR="00C71E84">
        <w:t xml:space="preserve">difference </w:t>
      </w:r>
      <w:r w:rsidR="00C24583">
        <w:t>in US dollar exchange rate returns;</w:t>
      </w:r>
      <w:r w:rsidR="00AE5810">
        <w:t xml:space="preserve"> </w:t>
      </w:r>
      <w:r w:rsidR="00C71E84">
        <w:t>(4) GDPPCD refers to the difference between the per capita GPD (taking logarithm)</w:t>
      </w:r>
      <w:r w:rsidR="00C24583">
        <w:t>;</w:t>
      </w:r>
      <w:r w:rsidR="00C71E84">
        <w:t xml:space="preserve"> (5) GDPGD</w:t>
      </w:r>
      <w:r w:rsidR="00AE5810">
        <w:t>,</w:t>
      </w:r>
      <w:r w:rsidR="00C71E84">
        <w:t xml:space="preserve"> refers to the difference between the GDP growth rate</w:t>
      </w:r>
      <w:r w:rsidR="00AE5810">
        <w:t>;</w:t>
      </w:r>
      <w:r w:rsidR="00C71E84">
        <w:t xml:space="preserve"> (6) Close</w:t>
      </w:r>
      <w:r w:rsidR="00AE5810">
        <w:t>,</w:t>
      </w:r>
      <w:r w:rsidR="00C71E84">
        <w:t xml:space="preserve"> refers to the geographical distance</w:t>
      </w:r>
      <w:r w:rsidR="00AE5810">
        <w:t>(</w:t>
      </w:r>
      <w:r w:rsidR="008F152C">
        <w:t>taking logarithm</w:t>
      </w:r>
      <w:r w:rsidR="00C71E84">
        <w:t>)</w:t>
      </w:r>
      <w:r w:rsidR="00AE5810">
        <w:t xml:space="preserve">,; </w:t>
      </w:r>
      <w:r w:rsidR="00C71E84">
        <w:t>(7) Culture</w:t>
      </w:r>
      <w:r w:rsidR="00AE5810">
        <w:t>,</w:t>
      </w:r>
      <w:r w:rsidR="00C71E84">
        <w:t xml:space="preserve"> refers to whether the culture</w:t>
      </w:r>
      <w:r w:rsidR="00AE5810">
        <w:t xml:space="preserve">s are similar.; </w:t>
      </w:r>
      <w:r w:rsidR="00C71E84">
        <w:t>(8) WGID, refers to the difference between the governance ability.</w:t>
      </w:r>
    </w:p>
    <w:p w:rsidR="00AE5810" w:rsidRDefault="00AE5810" w:rsidP="00AE5810">
      <w:pPr>
        <w:wordWrap/>
        <w:spacing w:line="400" w:lineRule="exact"/>
        <w:ind w:firstLineChars="200" w:firstLine="480"/>
      </w:pPr>
      <w:r>
        <w:t xml:space="preserve">Factors related to SWFs country </w:t>
      </w:r>
      <w:r w:rsidR="00DE6B2F">
        <w:t>include</w:t>
      </w:r>
      <w:r>
        <w:t xml:space="preserve">: (1) LM, a dummy variable of the transparency of SWF; (2) </w:t>
      </w:r>
      <w:proofErr w:type="spellStart"/>
      <w:r>
        <w:t>SWFD</w:t>
      </w:r>
      <w:r w:rsidR="005A6037">
        <w:t>is</w:t>
      </w:r>
      <w:proofErr w:type="spellEnd"/>
      <w:r>
        <w:t xml:space="preserve">, a dummy variable </w:t>
      </w:r>
      <w:r w:rsidR="00B90F6D">
        <w:t>indicating</w:t>
      </w:r>
      <w:r>
        <w:t xml:space="preserve"> whether the financial market</w:t>
      </w:r>
      <w:r w:rsidR="00B90F6D">
        <w:t xml:space="preserve"> </w:t>
      </w:r>
      <w:r>
        <w:t>in SWF country</w:t>
      </w:r>
      <w:r w:rsidR="00B90F6D">
        <w:t xml:space="preserve"> faces difficulty; </w:t>
      </w:r>
      <w:r>
        <w:t xml:space="preserve">(3) </w:t>
      </w:r>
      <w:proofErr w:type="spellStart"/>
      <w:r>
        <w:t>Comm</w:t>
      </w:r>
      <w:proofErr w:type="spellEnd"/>
      <w:r w:rsidR="00B90F6D">
        <w:t>,</w:t>
      </w:r>
      <w:r w:rsidR="00DE6B2F">
        <w:t xml:space="preserve"> a dummy variable describing whether or not a SWF nation sources its revenue with commodity</w:t>
      </w:r>
      <w:r>
        <w:t>.</w:t>
      </w:r>
    </w:p>
    <w:p w:rsidR="00AE5810" w:rsidRDefault="00DE6B2F" w:rsidP="00AE5810">
      <w:pPr>
        <w:wordWrap/>
        <w:spacing w:line="400" w:lineRule="exact"/>
        <w:ind w:firstLineChars="200" w:firstLine="480"/>
      </w:pPr>
      <w:r>
        <w:t>F</w:t>
      </w:r>
      <w:r w:rsidR="00AE5810">
        <w:t xml:space="preserve">actors related to the </w:t>
      </w:r>
      <w:r>
        <w:t xml:space="preserve">target </w:t>
      </w:r>
      <w:r w:rsidR="00AE5810">
        <w:t xml:space="preserve">country include: (1) </w:t>
      </w:r>
      <w:proofErr w:type="spellStart"/>
      <w:r w:rsidR="00AE5810">
        <w:t>TarDis</w:t>
      </w:r>
      <w:proofErr w:type="spellEnd"/>
      <w:r w:rsidR="00AE5810">
        <w:t xml:space="preserve">, </w:t>
      </w:r>
      <w:r>
        <w:t>an indicator variable equal to one if the target country faces difficulty in financial market; otherwise equal to</w:t>
      </w:r>
      <w:r w:rsidR="00AE5810">
        <w:t xml:space="preserve"> 0; (2) Grade</w:t>
      </w:r>
      <w:r>
        <w:t>,</w:t>
      </w:r>
      <w:r w:rsidR="00AE5810">
        <w:t xml:space="preserve"> refers to the sovereign credit rating of the </w:t>
      </w:r>
      <w:r>
        <w:t>target</w:t>
      </w:r>
      <w:r w:rsidR="00AE5810">
        <w:t xml:space="preserve"> country; (3) </w:t>
      </w:r>
      <w:r w:rsidR="00F90362">
        <w:t>Partner, an</w:t>
      </w:r>
      <w:r w:rsidR="009E7CDB">
        <w:t xml:space="preserve"> indicator equal to one</w:t>
      </w:r>
      <w:r w:rsidR="00AE5810">
        <w:t xml:space="preserve"> if the </w:t>
      </w:r>
      <w:r w:rsidR="009E7CDB">
        <w:t>target</w:t>
      </w:r>
      <w:r w:rsidR="00AE5810">
        <w:t xml:space="preserve"> country is an important trading partner of the SWF country.</w:t>
      </w:r>
    </w:p>
    <w:p w:rsidR="00454982" w:rsidRDefault="00454982" w:rsidP="00454982">
      <w:pPr>
        <w:pStyle w:val="a7"/>
        <w:keepNext/>
      </w:pPr>
      <w:r>
        <w:lastRenderedPageBreak/>
        <w:t xml:space="preserve">Table </w:t>
      </w:r>
      <w:r w:rsidR="00B105AF">
        <w:fldChar w:fldCharType="begin"/>
      </w:r>
      <w:r w:rsidR="00B105AF">
        <w:instrText xml:space="preserve"> SEQ Table \* ARABIC </w:instrText>
      </w:r>
      <w:r w:rsidR="00B105AF">
        <w:fldChar w:fldCharType="separate"/>
      </w:r>
      <w:r w:rsidR="00DC5497">
        <w:rPr>
          <w:noProof/>
        </w:rPr>
        <w:t>5</w:t>
      </w:r>
      <w:r w:rsidR="00B105AF">
        <w:rPr>
          <w:noProof/>
        </w:rPr>
        <w:fldChar w:fldCharType="end"/>
      </w:r>
      <w:r>
        <w:t xml:space="preserve"> </w:t>
      </w:r>
      <w:r>
        <w:rPr>
          <w:noProof/>
        </w:rPr>
        <w:t>Summary</w:t>
      </w:r>
      <w:r w:rsidR="007A72DE">
        <w:rPr>
          <w:noProof/>
        </w:rPr>
        <w:t xml:space="preserve"> Statistics</w:t>
      </w:r>
    </w:p>
    <w:tbl>
      <w:tblPr>
        <w:tblW w:w="7654" w:type="dxa"/>
        <w:jc w:val="center"/>
        <w:tblBorders>
          <w:top w:val="single" w:sz="4" w:space="0" w:color="auto"/>
          <w:bottom w:val="single" w:sz="4" w:space="0" w:color="auto"/>
        </w:tblBorders>
        <w:tblLook w:val="04A0" w:firstRow="1" w:lastRow="0" w:firstColumn="1" w:lastColumn="0" w:noHBand="0" w:noVBand="1"/>
      </w:tblPr>
      <w:tblGrid>
        <w:gridCol w:w="1563"/>
        <w:gridCol w:w="997"/>
        <w:gridCol w:w="704"/>
        <w:gridCol w:w="933"/>
        <w:gridCol w:w="1217"/>
        <w:gridCol w:w="1169"/>
        <w:gridCol w:w="1071"/>
      </w:tblGrid>
      <w:tr w:rsidR="00C92A49" w:rsidRPr="00093400" w:rsidTr="00C92A49">
        <w:trPr>
          <w:trHeight w:val="18"/>
          <w:jc w:val="center"/>
        </w:trPr>
        <w:tc>
          <w:tcPr>
            <w:tcW w:w="0" w:type="auto"/>
            <w:vMerge w:val="restart"/>
            <w:tcBorders>
              <w:top w:val="single" w:sz="4" w:space="0" w:color="auto"/>
            </w:tcBorders>
            <w:shd w:val="clear" w:color="auto" w:fill="auto"/>
            <w:noWrap/>
            <w:vAlign w:val="center"/>
            <w:hideMark/>
          </w:tcPr>
          <w:p w:rsidR="00C92A49" w:rsidRPr="00093400" w:rsidRDefault="00C92A49" w:rsidP="00A27181">
            <w:pPr>
              <w:autoSpaceDE w:val="0"/>
              <w:autoSpaceDN w:val="0"/>
              <w:adjustRightInd w:val="0"/>
              <w:jc w:val="center"/>
              <w:rPr>
                <w:rFonts w:cs="Times New Roman"/>
                <w:kern w:val="0"/>
                <w:szCs w:val="24"/>
              </w:rPr>
            </w:pPr>
            <w:r>
              <w:t>V</w:t>
            </w:r>
            <w:r w:rsidRPr="00E47D05">
              <w:t>ariable</w:t>
            </w:r>
            <w:r>
              <w:t>s</w:t>
            </w:r>
          </w:p>
        </w:tc>
        <w:tc>
          <w:tcPr>
            <w:tcW w:w="0" w:type="auto"/>
            <w:vMerge w:val="restart"/>
            <w:tcBorders>
              <w:top w:val="single" w:sz="4" w:space="0" w:color="auto"/>
            </w:tcBorders>
            <w:shd w:val="clear" w:color="auto" w:fill="auto"/>
            <w:noWrap/>
            <w:vAlign w:val="center"/>
            <w:hideMark/>
          </w:tcPr>
          <w:p w:rsidR="00C92A49" w:rsidRPr="00093400" w:rsidRDefault="00C92A49" w:rsidP="00A27181">
            <w:pPr>
              <w:autoSpaceDE w:val="0"/>
              <w:autoSpaceDN w:val="0"/>
              <w:adjustRightInd w:val="0"/>
              <w:jc w:val="center"/>
              <w:rPr>
                <w:rFonts w:cs="Times New Roman"/>
                <w:kern w:val="0"/>
                <w:szCs w:val="24"/>
              </w:rPr>
            </w:pPr>
            <w:r w:rsidRPr="00E47D05">
              <w:t>N</w:t>
            </w:r>
          </w:p>
        </w:tc>
        <w:tc>
          <w:tcPr>
            <w:tcW w:w="0" w:type="auto"/>
            <w:gridSpan w:val="5"/>
            <w:tcBorders>
              <w:top w:val="single" w:sz="4" w:space="0" w:color="auto"/>
              <w:bottom w:val="single" w:sz="4" w:space="0" w:color="auto"/>
            </w:tcBorders>
          </w:tcPr>
          <w:p w:rsidR="00C92A49" w:rsidRPr="00093400" w:rsidRDefault="00C92A49" w:rsidP="00A27181">
            <w:pPr>
              <w:autoSpaceDE w:val="0"/>
              <w:autoSpaceDN w:val="0"/>
              <w:adjustRightInd w:val="0"/>
              <w:jc w:val="center"/>
              <w:rPr>
                <w:rFonts w:cs="Times New Roman"/>
                <w:kern w:val="0"/>
                <w:szCs w:val="24"/>
              </w:rPr>
            </w:pPr>
            <w:r>
              <w:rPr>
                <w:rFonts w:cs="Times New Roman" w:hint="eastAsia"/>
                <w:kern w:val="0"/>
                <w:szCs w:val="24"/>
              </w:rPr>
              <w:t>N</w:t>
            </w:r>
            <w:r>
              <w:rPr>
                <w:rFonts w:cs="Times New Roman"/>
                <w:kern w:val="0"/>
                <w:szCs w:val="24"/>
              </w:rPr>
              <w:t>on-zero samples</w:t>
            </w:r>
          </w:p>
        </w:tc>
      </w:tr>
      <w:tr w:rsidR="00C92A49" w:rsidRPr="00093400" w:rsidTr="00C92A49">
        <w:trPr>
          <w:trHeight w:val="18"/>
          <w:jc w:val="center"/>
        </w:trPr>
        <w:tc>
          <w:tcPr>
            <w:tcW w:w="0" w:type="auto"/>
            <w:vMerge/>
            <w:tcBorders>
              <w:bottom w:val="single" w:sz="4" w:space="0" w:color="auto"/>
            </w:tcBorders>
            <w:shd w:val="clear" w:color="auto" w:fill="auto"/>
            <w:noWrap/>
            <w:vAlign w:val="center"/>
          </w:tcPr>
          <w:p w:rsidR="00C92A49" w:rsidRDefault="00C92A49" w:rsidP="00C11CAB">
            <w:pPr>
              <w:autoSpaceDE w:val="0"/>
              <w:autoSpaceDN w:val="0"/>
              <w:adjustRightInd w:val="0"/>
              <w:jc w:val="center"/>
            </w:pPr>
          </w:p>
        </w:tc>
        <w:tc>
          <w:tcPr>
            <w:tcW w:w="0" w:type="auto"/>
            <w:vMerge/>
            <w:tcBorders>
              <w:bottom w:val="single" w:sz="4" w:space="0" w:color="auto"/>
            </w:tcBorders>
            <w:shd w:val="clear" w:color="auto" w:fill="auto"/>
            <w:noWrap/>
            <w:vAlign w:val="center"/>
          </w:tcPr>
          <w:p w:rsidR="00C92A49" w:rsidRPr="00E47D05" w:rsidRDefault="00C92A49" w:rsidP="00C11CAB">
            <w:pPr>
              <w:autoSpaceDE w:val="0"/>
              <w:autoSpaceDN w:val="0"/>
              <w:adjustRightInd w:val="0"/>
              <w:jc w:val="center"/>
            </w:pPr>
          </w:p>
        </w:tc>
        <w:tc>
          <w:tcPr>
            <w:tcW w:w="0" w:type="auto"/>
            <w:tcBorders>
              <w:top w:val="single" w:sz="4" w:space="0" w:color="auto"/>
              <w:bottom w:val="single" w:sz="4" w:space="0" w:color="auto"/>
            </w:tcBorders>
          </w:tcPr>
          <w:p w:rsidR="00C92A49" w:rsidRDefault="00C92A49" w:rsidP="00C11CAB">
            <w:pPr>
              <w:autoSpaceDE w:val="0"/>
              <w:autoSpaceDN w:val="0"/>
              <w:adjustRightInd w:val="0"/>
              <w:jc w:val="center"/>
            </w:pPr>
            <w:r>
              <w:rPr>
                <w:rFonts w:hint="eastAsia"/>
              </w:rPr>
              <w:t>N</w:t>
            </w:r>
          </w:p>
        </w:tc>
        <w:tc>
          <w:tcPr>
            <w:tcW w:w="0" w:type="auto"/>
            <w:tcBorders>
              <w:top w:val="single" w:sz="4" w:space="0" w:color="auto"/>
              <w:bottom w:val="single" w:sz="4" w:space="0" w:color="auto"/>
            </w:tcBorders>
            <w:shd w:val="clear" w:color="auto" w:fill="auto"/>
            <w:noWrap/>
            <w:vAlign w:val="center"/>
          </w:tcPr>
          <w:p w:rsidR="00C92A49" w:rsidRPr="00093400" w:rsidRDefault="00C92A49" w:rsidP="00C11CAB">
            <w:pPr>
              <w:autoSpaceDE w:val="0"/>
              <w:autoSpaceDN w:val="0"/>
              <w:adjustRightInd w:val="0"/>
              <w:jc w:val="center"/>
              <w:rPr>
                <w:rFonts w:cs="Times New Roman"/>
                <w:kern w:val="0"/>
                <w:szCs w:val="24"/>
              </w:rPr>
            </w:pPr>
            <w:r>
              <w:t>M</w:t>
            </w:r>
            <w:r w:rsidRPr="00E47D05">
              <w:t>ean</w:t>
            </w:r>
          </w:p>
        </w:tc>
        <w:tc>
          <w:tcPr>
            <w:tcW w:w="0" w:type="auto"/>
            <w:tcBorders>
              <w:top w:val="single" w:sz="4" w:space="0" w:color="auto"/>
              <w:bottom w:val="single" w:sz="4" w:space="0" w:color="auto"/>
            </w:tcBorders>
            <w:shd w:val="clear" w:color="auto" w:fill="auto"/>
            <w:noWrap/>
            <w:vAlign w:val="center"/>
          </w:tcPr>
          <w:p w:rsidR="00C92A49" w:rsidRPr="00093400" w:rsidRDefault="00C92A49" w:rsidP="00C11CAB">
            <w:pPr>
              <w:autoSpaceDE w:val="0"/>
              <w:autoSpaceDN w:val="0"/>
              <w:adjustRightInd w:val="0"/>
              <w:jc w:val="center"/>
              <w:rPr>
                <w:rFonts w:cs="Times New Roman"/>
                <w:kern w:val="0"/>
                <w:szCs w:val="24"/>
              </w:rPr>
            </w:pPr>
            <w:proofErr w:type="spellStart"/>
            <w:r>
              <w:t>Std.Dev</w:t>
            </w:r>
            <w:proofErr w:type="spellEnd"/>
          </w:p>
        </w:tc>
        <w:tc>
          <w:tcPr>
            <w:tcW w:w="0" w:type="auto"/>
            <w:tcBorders>
              <w:top w:val="single" w:sz="4" w:space="0" w:color="auto"/>
              <w:bottom w:val="single" w:sz="4" w:space="0" w:color="auto"/>
            </w:tcBorders>
            <w:shd w:val="clear" w:color="auto" w:fill="auto"/>
            <w:noWrap/>
            <w:vAlign w:val="center"/>
          </w:tcPr>
          <w:p w:rsidR="00C92A49" w:rsidRPr="00093400" w:rsidRDefault="00C92A49" w:rsidP="00C11CAB">
            <w:pPr>
              <w:autoSpaceDE w:val="0"/>
              <w:autoSpaceDN w:val="0"/>
              <w:adjustRightInd w:val="0"/>
              <w:jc w:val="center"/>
              <w:rPr>
                <w:rFonts w:cs="Times New Roman"/>
                <w:kern w:val="0"/>
                <w:szCs w:val="24"/>
              </w:rPr>
            </w:pPr>
            <w:r>
              <w:t>M</w:t>
            </w:r>
            <w:r w:rsidRPr="00E47D05">
              <w:t>in</w:t>
            </w:r>
          </w:p>
        </w:tc>
        <w:tc>
          <w:tcPr>
            <w:tcW w:w="0" w:type="auto"/>
            <w:tcBorders>
              <w:top w:val="single" w:sz="4" w:space="0" w:color="auto"/>
              <w:bottom w:val="single" w:sz="4" w:space="0" w:color="auto"/>
            </w:tcBorders>
            <w:shd w:val="clear" w:color="auto" w:fill="auto"/>
            <w:noWrap/>
            <w:vAlign w:val="center"/>
          </w:tcPr>
          <w:p w:rsidR="00C92A49" w:rsidRPr="00093400" w:rsidRDefault="00C92A49" w:rsidP="00C11CAB">
            <w:pPr>
              <w:autoSpaceDE w:val="0"/>
              <w:autoSpaceDN w:val="0"/>
              <w:adjustRightInd w:val="0"/>
              <w:jc w:val="center"/>
              <w:rPr>
                <w:rFonts w:cs="Times New Roman"/>
                <w:kern w:val="0"/>
                <w:szCs w:val="24"/>
              </w:rPr>
            </w:pPr>
            <w:r>
              <w:t>M</w:t>
            </w:r>
            <w:r w:rsidRPr="00E47D05">
              <w:t>ax</w:t>
            </w:r>
          </w:p>
        </w:tc>
      </w:tr>
      <w:tr w:rsidR="00C92A49" w:rsidRPr="00093400" w:rsidTr="00C92A49">
        <w:trPr>
          <w:trHeight w:val="18"/>
          <w:jc w:val="center"/>
        </w:trPr>
        <w:tc>
          <w:tcPr>
            <w:tcW w:w="0" w:type="auto"/>
            <w:tcBorders>
              <w:top w:val="single" w:sz="4" w:space="0" w:color="auto"/>
            </w:tcBorders>
            <w:shd w:val="clear" w:color="auto" w:fill="auto"/>
            <w:noWrap/>
            <w:vAlign w:val="center"/>
            <w:hideMark/>
          </w:tcPr>
          <w:p w:rsidR="00C92A49" w:rsidRPr="00093400" w:rsidRDefault="00C92A49" w:rsidP="00C92A49">
            <w:pPr>
              <w:autoSpaceDE w:val="0"/>
              <w:autoSpaceDN w:val="0"/>
              <w:adjustRightInd w:val="0"/>
              <w:jc w:val="center"/>
              <w:rPr>
                <w:rFonts w:cs="Times New Roman"/>
                <w:kern w:val="0"/>
                <w:szCs w:val="24"/>
              </w:rPr>
            </w:pPr>
            <w:r w:rsidRPr="00213402">
              <w:t>SWFINVA</w:t>
            </w:r>
          </w:p>
        </w:tc>
        <w:tc>
          <w:tcPr>
            <w:tcW w:w="0" w:type="auto"/>
            <w:tcBorders>
              <w:top w:val="single" w:sz="4" w:space="0" w:color="auto"/>
            </w:tcBorders>
            <w:shd w:val="clear" w:color="auto" w:fill="auto"/>
            <w:noWrap/>
            <w:vAlign w:val="center"/>
            <w:hideMark/>
          </w:tcPr>
          <w:p w:rsidR="00C92A49" w:rsidRPr="00093400" w:rsidRDefault="00C92A49" w:rsidP="00C92A49">
            <w:pPr>
              <w:autoSpaceDE w:val="0"/>
              <w:autoSpaceDN w:val="0"/>
              <w:adjustRightInd w:val="0"/>
              <w:jc w:val="center"/>
              <w:rPr>
                <w:rFonts w:cs="Times New Roman"/>
                <w:kern w:val="0"/>
                <w:szCs w:val="24"/>
              </w:rPr>
            </w:pPr>
            <w:r w:rsidRPr="00213402">
              <w:t>14685</w:t>
            </w:r>
          </w:p>
        </w:tc>
        <w:tc>
          <w:tcPr>
            <w:tcW w:w="0" w:type="auto"/>
            <w:tcBorders>
              <w:top w:val="single" w:sz="4" w:space="0" w:color="auto"/>
            </w:tcBorders>
          </w:tcPr>
          <w:p w:rsidR="00C92A49" w:rsidRDefault="00C92A49" w:rsidP="00C92A49">
            <w:pPr>
              <w:jc w:val="center"/>
            </w:pPr>
            <w:r w:rsidRPr="00BF6BA3">
              <w:t>871</w:t>
            </w:r>
          </w:p>
        </w:tc>
        <w:tc>
          <w:tcPr>
            <w:tcW w:w="0" w:type="auto"/>
            <w:tcBorders>
              <w:top w:val="single" w:sz="4" w:space="0" w:color="auto"/>
            </w:tcBorders>
            <w:shd w:val="clear" w:color="auto" w:fill="auto"/>
            <w:noWrap/>
            <w:vAlign w:val="center"/>
            <w:hideMark/>
          </w:tcPr>
          <w:p w:rsidR="00C92A49" w:rsidRPr="00093400" w:rsidRDefault="00C92A49" w:rsidP="00C92A49">
            <w:pPr>
              <w:autoSpaceDE w:val="0"/>
              <w:autoSpaceDN w:val="0"/>
              <w:adjustRightInd w:val="0"/>
              <w:jc w:val="center"/>
              <w:rPr>
                <w:rFonts w:cs="Times New Roman"/>
                <w:kern w:val="0"/>
                <w:szCs w:val="24"/>
              </w:rPr>
            </w:pPr>
            <w:r w:rsidRPr="00213402">
              <w:t>0.50</w:t>
            </w:r>
          </w:p>
        </w:tc>
        <w:tc>
          <w:tcPr>
            <w:tcW w:w="0" w:type="auto"/>
            <w:tcBorders>
              <w:top w:val="single" w:sz="4" w:space="0" w:color="auto"/>
            </w:tcBorders>
            <w:shd w:val="clear" w:color="auto" w:fill="auto"/>
            <w:noWrap/>
            <w:vAlign w:val="center"/>
            <w:hideMark/>
          </w:tcPr>
          <w:p w:rsidR="00C92A49" w:rsidRPr="00093400" w:rsidRDefault="00C92A49" w:rsidP="00C92A49">
            <w:pPr>
              <w:autoSpaceDE w:val="0"/>
              <w:autoSpaceDN w:val="0"/>
              <w:adjustRightInd w:val="0"/>
              <w:jc w:val="center"/>
              <w:rPr>
                <w:rFonts w:cs="Times New Roman"/>
                <w:kern w:val="0"/>
                <w:szCs w:val="24"/>
              </w:rPr>
            </w:pPr>
            <w:r w:rsidRPr="00213402">
              <w:t>2.01</w:t>
            </w:r>
          </w:p>
        </w:tc>
        <w:tc>
          <w:tcPr>
            <w:tcW w:w="0" w:type="auto"/>
            <w:tcBorders>
              <w:top w:val="single" w:sz="4" w:space="0" w:color="auto"/>
            </w:tcBorders>
            <w:shd w:val="clear" w:color="auto" w:fill="auto"/>
            <w:noWrap/>
            <w:vAlign w:val="center"/>
            <w:hideMark/>
          </w:tcPr>
          <w:p w:rsidR="00C92A49" w:rsidRPr="00093400" w:rsidRDefault="00C92A49" w:rsidP="00C92A49">
            <w:pPr>
              <w:autoSpaceDE w:val="0"/>
              <w:autoSpaceDN w:val="0"/>
              <w:adjustRightInd w:val="0"/>
              <w:jc w:val="center"/>
              <w:rPr>
                <w:rFonts w:cs="Times New Roman"/>
                <w:kern w:val="0"/>
                <w:szCs w:val="24"/>
              </w:rPr>
            </w:pPr>
            <w:r w:rsidRPr="00213402">
              <w:t>0.00</w:t>
            </w:r>
          </w:p>
        </w:tc>
        <w:tc>
          <w:tcPr>
            <w:tcW w:w="0" w:type="auto"/>
            <w:tcBorders>
              <w:top w:val="single" w:sz="4" w:space="0" w:color="auto"/>
            </w:tcBorders>
            <w:shd w:val="clear" w:color="auto" w:fill="auto"/>
            <w:noWrap/>
            <w:vAlign w:val="center"/>
            <w:hideMark/>
          </w:tcPr>
          <w:p w:rsidR="00C92A49" w:rsidRPr="00093400" w:rsidRDefault="00C92A49" w:rsidP="00C92A49">
            <w:pPr>
              <w:autoSpaceDE w:val="0"/>
              <w:autoSpaceDN w:val="0"/>
              <w:adjustRightInd w:val="0"/>
              <w:jc w:val="center"/>
              <w:rPr>
                <w:rFonts w:cs="Times New Roman"/>
                <w:kern w:val="0"/>
                <w:szCs w:val="24"/>
              </w:rPr>
            </w:pPr>
            <w:r w:rsidRPr="00213402">
              <w:t>10.57</w:t>
            </w:r>
          </w:p>
        </w:tc>
      </w:tr>
      <w:tr w:rsidR="00C92A49" w:rsidRPr="00093400" w:rsidTr="00C92A49">
        <w:trPr>
          <w:trHeight w:val="18"/>
          <w:jc w:val="center"/>
        </w:trPr>
        <w:tc>
          <w:tcPr>
            <w:tcW w:w="0" w:type="auto"/>
            <w:shd w:val="clear" w:color="auto" w:fill="auto"/>
            <w:noWrap/>
            <w:vAlign w:val="center"/>
            <w:hideMark/>
          </w:tcPr>
          <w:p w:rsidR="00C92A49" w:rsidRPr="00093400" w:rsidRDefault="00C92A49" w:rsidP="00C92A49">
            <w:pPr>
              <w:autoSpaceDE w:val="0"/>
              <w:autoSpaceDN w:val="0"/>
              <w:adjustRightInd w:val="0"/>
              <w:jc w:val="center"/>
              <w:rPr>
                <w:rFonts w:cs="Times New Roman"/>
                <w:kern w:val="0"/>
                <w:szCs w:val="24"/>
              </w:rPr>
            </w:pPr>
            <w:r w:rsidRPr="00213402">
              <w:t>PR</w:t>
            </w:r>
          </w:p>
        </w:tc>
        <w:tc>
          <w:tcPr>
            <w:tcW w:w="0" w:type="auto"/>
            <w:shd w:val="clear" w:color="auto" w:fill="auto"/>
            <w:noWrap/>
            <w:vAlign w:val="center"/>
            <w:hideMark/>
          </w:tcPr>
          <w:p w:rsidR="00C92A49" w:rsidRPr="00093400" w:rsidRDefault="00C92A49" w:rsidP="00C92A49">
            <w:pPr>
              <w:autoSpaceDE w:val="0"/>
              <w:autoSpaceDN w:val="0"/>
              <w:adjustRightInd w:val="0"/>
              <w:jc w:val="center"/>
              <w:rPr>
                <w:rFonts w:cs="Times New Roman"/>
                <w:kern w:val="0"/>
                <w:szCs w:val="24"/>
              </w:rPr>
            </w:pPr>
            <w:r w:rsidRPr="00213402">
              <w:t>14685</w:t>
            </w:r>
          </w:p>
        </w:tc>
        <w:tc>
          <w:tcPr>
            <w:tcW w:w="0" w:type="auto"/>
          </w:tcPr>
          <w:p w:rsidR="00C92A49" w:rsidRDefault="00C92A49" w:rsidP="00C92A49">
            <w:pPr>
              <w:jc w:val="center"/>
            </w:pPr>
            <w:r w:rsidRPr="00BF6BA3">
              <w:t>871</w:t>
            </w:r>
          </w:p>
        </w:tc>
        <w:tc>
          <w:tcPr>
            <w:tcW w:w="0" w:type="auto"/>
            <w:shd w:val="clear" w:color="auto" w:fill="auto"/>
            <w:noWrap/>
            <w:vAlign w:val="center"/>
            <w:hideMark/>
          </w:tcPr>
          <w:p w:rsidR="00C92A49" w:rsidRPr="00093400" w:rsidRDefault="00C92A49" w:rsidP="00C92A49">
            <w:pPr>
              <w:autoSpaceDE w:val="0"/>
              <w:autoSpaceDN w:val="0"/>
              <w:adjustRightInd w:val="0"/>
              <w:jc w:val="center"/>
              <w:rPr>
                <w:rFonts w:cs="Times New Roman"/>
                <w:kern w:val="0"/>
                <w:szCs w:val="24"/>
              </w:rPr>
            </w:pPr>
            <w:r w:rsidRPr="00213402">
              <w:t>0.29</w:t>
            </w:r>
          </w:p>
        </w:tc>
        <w:tc>
          <w:tcPr>
            <w:tcW w:w="0" w:type="auto"/>
            <w:shd w:val="clear" w:color="auto" w:fill="auto"/>
            <w:noWrap/>
            <w:vAlign w:val="center"/>
            <w:hideMark/>
          </w:tcPr>
          <w:p w:rsidR="00C92A49" w:rsidRPr="00093400" w:rsidRDefault="00C92A49" w:rsidP="00C92A49">
            <w:pPr>
              <w:autoSpaceDE w:val="0"/>
              <w:autoSpaceDN w:val="0"/>
              <w:adjustRightInd w:val="0"/>
              <w:jc w:val="center"/>
              <w:rPr>
                <w:rFonts w:cs="Times New Roman"/>
                <w:kern w:val="0"/>
                <w:szCs w:val="24"/>
              </w:rPr>
            </w:pPr>
            <w:r w:rsidRPr="00213402">
              <w:t>0.43</w:t>
            </w:r>
          </w:p>
        </w:tc>
        <w:tc>
          <w:tcPr>
            <w:tcW w:w="0" w:type="auto"/>
            <w:shd w:val="clear" w:color="auto" w:fill="auto"/>
            <w:noWrap/>
            <w:vAlign w:val="center"/>
            <w:hideMark/>
          </w:tcPr>
          <w:p w:rsidR="00C92A49" w:rsidRPr="00093400" w:rsidRDefault="00C92A49" w:rsidP="00C92A49">
            <w:pPr>
              <w:autoSpaceDE w:val="0"/>
              <w:autoSpaceDN w:val="0"/>
              <w:adjustRightInd w:val="0"/>
              <w:jc w:val="center"/>
              <w:rPr>
                <w:rFonts w:cs="Times New Roman"/>
                <w:kern w:val="0"/>
                <w:szCs w:val="24"/>
              </w:rPr>
            </w:pPr>
            <w:r w:rsidRPr="00213402">
              <w:t>-0.97</w:t>
            </w:r>
          </w:p>
        </w:tc>
        <w:tc>
          <w:tcPr>
            <w:tcW w:w="0" w:type="auto"/>
            <w:shd w:val="clear" w:color="auto" w:fill="auto"/>
            <w:noWrap/>
            <w:vAlign w:val="center"/>
            <w:hideMark/>
          </w:tcPr>
          <w:p w:rsidR="00C92A49" w:rsidRPr="00093400" w:rsidRDefault="00C92A49" w:rsidP="00C92A49">
            <w:pPr>
              <w:autoSpaceDE w:val="0"/>
              <w:autoSpaceDN w:val="0"/>
              <w:adjustRightInd w:val="0"/>
              <w:jc w:val="center"/>
              <w:rPr>
                <w:rFonts w:cs="Times New Roman"/>
                <w:kern w:val="0"/>
                <w:szCs w:val="24"/>
              </w:rPr>
            </w:pPr>
            <w:r w:rsidRPr="00213402">
              <w:t>1.00</w:t>
            </w:r>
          </w:p>
        </w:tc>
      </w:tr>
      <w:tr w:rsidR="00C92A49" w:rsidRPr="00093400" w:rsidTr="00C92A49">
        <w:trPr>
          <w:trHeight w:val="18"/>
          <w:jc w:val="center"/>
        </w:trPr>
        <w:tc>
          <w:tcPr>
            <w:tcW w:w="0" w:type="auto"/>
            <w:shd w:val="clear" w:color="auto" w:fill="auto"/>
            <w:noWrap/>
            <w:vAlign w:val="center"/>
            <w:hideMark/>
          </w:tcPr>
          <w:p w:rsidR="00C92A49" w:rsidRPr="00093400" w:rsidRDefault="00C92A49" w:rsidP="00C92A49">
            <w:pPr>
              <w:autoSpaceDE w:val="0"/>
              <w:autoSpaceDN w:val="0"/>
              <w:adjustRightInd w:val="0"/>
              <w:jc w:val="center"/>
              <w:rPr>
                <w:rFonts w:cs="Times New Roman"/>
                <w:kern w:val="0"/>
                <w:szCs w:val="24"/>
              </w:rPr>
            </w:pPr>
            <w:proofErr w:type="spellStart"/>
            <w:r w:rsidRPr="00213402">
              <w:t>ReturnD</w:t>
            </w:r>
            <w:proofErr w:type="spellEnd"/>
          </w:p>
        </w:tc>
        <w:tc>
          <w:tcPr>
            <w:tcW w:w="0" w:type="auto"/>
            <w:shd w:val="clear" w:color="auto" w:fill="auto"/>
            <w:noWrap/>
            <w:vAlign w:val="center"/>
            <w:hideMark/>
          </w:tcPr>
          <w:p w:rsidR="00C92A49" w:rsidRPr="00093400" w:rsidRDefault="00C92A49" w:rsidP="00C92A49">
            <w:pPr>
              <w:autoSpaceDE w:val="0"/>
              <w:autoSpaceDN w:val="0"/>
              <w:adjustRightInd w:val="0"/>
              <w:jc w:val="center"/>
              <w:rPr>
                <w:rFonts w:cs="Times New Roman"/>
                <w:kern w:val="0"/>
                <w:szCs w:val="24"/>
              </w:rPr>
            </w:pPr>
            <w:r w:rsidRPr="00213402">
              <w:t>11816</w:t>
            </w:r>
          </w:p>
        </w:tc>
        <w:tc>
          <w:tcPr>
            <w:tcW w:w="0" w:type="auto"/>
          </w:tcPr>
          <w:p w:rsidR="00C92A49" w:rsidRDefault="00C92A49" w:rsidP="00C92A49">
            <w:pPr>
              <w:jc w:val="center"/>
            </w:pPr>
            <w:r w:rsidRPr="00BF6BA3">
              <w:t>871</w:t>
            </w:r>
          </w:p>
        </w:tc>
        <w:tc>
          <w:tcPr>
            <w:tcW w:w="0" w:type="auto"/>
            <w:shd w:val="clear" w:color="auto" w:fill="auto"/>
            <w:noWrap/>
            <w:vAlign w:val="center"/>
            <w:hideMark/>
          </w:tcPr>
          <w:p w:rsidR="00C92A49" w:rsidRPr="00093400" w:rsidRDefault="00C92A49" w:rsidP="00C92A49">
            <w:pPr>
              <w:autoSpaceDE w:val="0"/>
              <w:autoSpaceDN w:val="0"/>
              <w:adjustRightInd w:val="0"/>
              <w:jc w:val="center"/>
              <w:rPr>
                <w:rFonts w:cs="Times New Roman"/>
                <w:kern w:val="0"/>
                <w:szCs w:val="24"/>
              </w:rPr>
            </w:pPr>
            <w:r w:rsidRPr="00213402">
              <w:t>0.21</w:t>
            </w:r>
          </w:p>
        </w:tc>
        <w:tc>
          <w:tcPr>
            <w:tcW w:w="0" w:type="auto"/>
            <w:shd w:val="clear" w:color="auto" w:fill="auto"/>
            <w:noWrap/>
            <w:vAlign w:val="center"/>
            <w:hideMark/>
          </w:tcPr>
          <w:p w:rsidR="00C92A49" w:rsidRPr="00093400" w:rsidRDefault="00C92A49" w:rsidP="00C92A49">
            <w:pPr>
              <w:autoSpaceDE w:val="0"/>
              <w:autoSpaceDN w:val="0"/>
              <w:adjustRightInd w:val="0"/>
              <w:jc w:val="center"/>
              <w:rPr>
                <w:rFonts w:cs="Times New Roman"/>
                <w:kern w:val="0"/>
                <w:szCs w:val="24"/>
              </w:rPr>
            </w:pPr>
            <w:r w:rsidRPr="00213402">
              <w:t>25.62</w:t>
            </w:r>
          </w:p>
        </w:tc>
        <w:tc>
          <w:tcPr>
            <w:tcW w:w="0" w:type="auto"/>
            <w:shd w:val="clear" w:color="auto" w:fill="auto"/>
            <w:noWrap/>
            <w:vAlign w:val="center"/>
            <w:hideMark/>
          </w:tcPr>
          <w:p w:rsidR="00C92A49" w:rsidRPr="00093400" w:rsidRDefault="00C92A49" w:rsidP="00C92A49">
            <w:pPr>
              <w:autoSpaceDE w:val="0"/>
              <w:autoSpaceDN w:val="0"/>
              <w:adjustRightInd w:val="0"/>
              <w:jc w:val="center"/>
              <w:rPr>
                <w:rFonts w:cs="Times New Roman"/>
                <w:kern w:val="0"/>
                <w:szCs w:val="24"/>
              </w:rPr>
            </w:pPr>
            <w:r w:rsidRPr="00213402">
              <w:t>-140.92</w:t>
            </w:r>
          </w:p>
        </w:tc>
        <w:tc>
          <w:tcPr>
            <w:tcW w:w="0" w:type="auto"/>
            <w:shd w:val="clear" w:color="auto" w:fill="auto"/>
            <w:noWrap/>
            <w:vAlign w:val="center"/>
            <w:hideMark/>
          </w:tcPr>
          <w:p w:rsidR="00C92A49" w:rsidRPr="00093400" w:rsidRDefault="00C92A49" w:rsidP="00C92A49">
            <w:pPr>
              <w:autoSpaceDE w:val="0"/>
              <w:autoSpaceDN w:val="0"/>
              <w:adjustRightInd w:val="0"/>
              <w:jc w:val="center"/>
              <w:rPr>
                <w:rFonts w:cs="Times New Roman"/>
                <w:kern w:val="0"/>
                <w:szCs w:val="24"/>
              </w:rPr>
            </w:pPr>
            <w:r w:rsidRPr="00213402">
              <w:t>159.32</w:t>
            </w:r>
          </w:p>
        </w:tc>
      </w:tr>
      <w:tr w:rsidR="00C92A49" w:rsidRPr="00093400" w:rsidTr="00C92A49">
        <w:trPr>
          <w:trHeight w:val="18"/>
          <w:jc w:val="center"/>
        </w:trPr>
        <w:tc>
          <w:tcPr>
            <w:tcW w:w="0" w:type="auto"/>
            <w:shd w:val="clear" w:color="auto" w:fill="auto"/>
            <w:noWrap/>
            <w:vAlign w:val="center"/>
            <w:hideMark/>
          </w:tcPr>
          <w:p w:rsidR="00C92A49" w:rsidRPr="00093400" w:rsidRDefault="00C92A49" w:rsidP="00C92A49">
            <w:pPr>
              <w:autoSpaceDE w:val="0"/>
              <w:autoSpaceDN w:val="0"/>
              <w:adjustRightInd w:val="0"/>
              <w:jc w:val="center"/>
              <w:rPr>
                <w:rFonts w:cs="Times New Roman"/>
                <w:kern w:val="0"/>
                <w:szCs w:val="24"/>
              </w:rPr>
            </w:pPr>
            <w:proofErr w:type="spellStart"/>
            <w:r w:rsidRPr="00213402">
              <w:t>ForExD</w:t>
            </w:r>
            <w:proofErr w:type="spellEnd"/>
          </w:p>
        </w:tc>
        <w:tc>
          <w:tcPr>
            <w:tcW w:w="0" w:type="auto"/>
            <w:shd w:val="clear" w:color="auto" w:fill="auto"/>
            <w:noWrap/>
            <w:vAlign w:val="center"/>
            <w:hideMark/>
          </w:tcPr>
          <w:p w:rsidR="00C92A49" w:rsidRPr="00093400" w:rsidRDefault="00C92A49" w:rsidP="00C92A49">
            <w:pPr>
              <w:autoSpaceDE w:val="0"/>
              <w:autoSpaceDN w:val="0"/>
              <w:adjustRightInd w:val="0"/>
              <w:jc w:val="center"/>
              <w:rPr>
                <w:rFonts w:cs="Times New Roman"/>
                <w:kern w:val="0"/>
                <w:szCs w:val="24"/>
              </w:rPr>
            </w:pPr>
            <w:r w:rsidRPr="00213402">
              <w:t>14685</w:t>
            </w:r>
          </w:p>
        </w:tc>
        <w:tc>
          <w:tcPr>
            <w:tcW w:w="0" w:type="auto"/>
          </w:tcPr>
          <w:p w:rsidR="00C92A49" w:rsidRPr="00E6059E" w:rsidRDefault="00C92A49" w:rsidP="00C92A49">
            <w:pPr>
              <w:jc w:val="center"/>
            </w:pPr>
            <w:r w:rsidRPr="00E6059E">
              <w:t>845</w:t>
            </w:r>
          </w:p>
        </w:tc>
        <w:tc>
          <w:tcPr>
            <w:tcW w:w="0" w:type="auto"/>
            <w:shd w:val="clear" w:color="auto" w:fill="auto"/>
            <w:noWrap/>
            <w:vAlign w:val="center"/>
            <w:hideMark/>
          </w:tcPr>
          <w:p w:rsidR="00C92A49" w:rsidRPr="00093400" w:rsidRDefault="00C92A49" w:rsidP="00C92A49">
            <w:pPr>
              <w:autoSpaceDE w:val="0"/>
              <w:autoSpaceDN w:val="0"/>
              <w:adjustRightInd w:val="0"/>
              <w:jc w:val="center"/>
              <w:rPr>
                <w:rFonts w:cs="Times New Roman"/>
                <w:kern w:val="0"/>
                <w:szCs w:val="24"/>
              </w:rPr>
            </w:pPr>
            <w:r w:rsidRPr="00213402">
              <w:t>-1.45</w:t>
            </w:r>
          </w:p>
        </w:tc>
        <w:tc>
          <w:tcPr>
            <w:tcW w:w="0" w:type="auto"/>
            <w:shd w:val="clear" w:color="auto" w:fill="auto"/>
            <w:noWrap/>
            <w:vAlign w:val="center"/>
            <w:hideMark/>
          </w:tcPr>
          <w:p w:rsidR="00C92A49" w:rsidRPr="00093400" w:rsidRDefault="00C92A49" w:rsidP="00C92A49">
            <w:pPr>
              <w:autoSpaceDE w:val="0"/>
              <w:autoSpaceDN w:val="0"/>
              <w:adjustRightInd w:val="0"/>
              <w:jc w:val="center"/>
              <w:rPr>
                <w:rFonts w:cs="Times New Roman"/>
                <w:kern w:val="0"/>
                <w:szCs w:val="24"/>
              </w:rPr>
            </w:pPr>
            <w:r w:rsidRPr="00213402">
              <w:t>8.78</w:t>
            </w:r>
          </w:p>
        </w:tc>
        <w:tc>
          <w:tcPr>
            <w:tcW w:w="0" w:type="auto"/>
            <w:shd w:val="clear" w:color="auto" w:fill="auto"/>
            <w:noWrap/>
            <w:vAlign w:val="center"/>
            <w:hideMark/>
          </w:tcPr>
          <w:p w:rsidR="00C92A49" w:rsidRPr="00093400" w:rsidRDefault="00C92A49" w:rsidP="00C92A49">
            <w:pPr>
              <w:autoSpaceDE w:val="0"/>
              <w:autoSpaceDN w:val="0"/>
              <w:adjustRightInd w:val="0"/>
              <w:jc w:val="center"/>
              <w:rPr>
                <w:rFonts w:cs="Times New Roman"/>
                <w:kern w:val="0"/>
                <w:szCs w:val="24"/>
              </w:rPr>
            </w:pPr>
            <w:r w:rsidRPr="00213402">
              <w:t>-58.59</w:t>
            </w:r>
          </w:p>
        </w:tc>
        <w:tc>
          <w:tcPr>
            <w:tcW w:w="0" w:type="auto"/>
            <w:shd w:val="clear" w:color="auto" w:fill="auto"/>
            <w:noWrap/>
            <w:vAlign w:val="center"/>
            <w:hideMark/>
          </w:tcPr>
          <w:p w:rsidR="00C92A49" w:rsidRPr="00093400" w:rsidRDefault="00C92A49" w:rsidP="00C92A49">
            <w:pPr>
              <w:autoSpaceDE w:val="0"/>
              <w:autoSpaceDN w:val="0"/>
              <w:adjustRightInd w:val="0"/>
              <w:jc w:val="center"/>
              <w:rPr>
                <w:rFonts w:cs="Times New Roman"/>
                <w:kern w:val="0"/>
                <w:szCs w:val="24"/>
              </w:rPr>
            </w:pPr>
            <w:r w:rsidRPr="00213402">
              <w:t>47.27</w:t>
            </w:r>
          </w:p>
        </w:tc>
      </w:tr>
      <w:tr w:rsidR="00C92A49" w:rsidRPr="00093400" w:rsidTr="00C92A49">
        <w:trPr>
          <w:trHeight w:val="18"/>
          <w:jc w:val="center"/>
        </w:trPr>
        <w:tc>
          <w:tcPr>
            <w:tcW w:w="0" w:type="auto"/>
            <w:shd w:val="clear" w:color="auto" w:fill="auto"/>
            <w:noWrap/>
            <w:vAlign w:val="center"/>
            <w:hideMark/>
          </w:tcPr>
          <w:p w:rsidR="00C92A49" w:rsidRPr="00093400" w:rsidRDefault="00C92A49" w:rsidP="00C92A49">
            <w:pPr>
              <w:autoSpaceDE w:val="0"/>
              <w:autoSpaceDN w:val="0"/>
              <w:adjustRightInd w:val="0"/>
              <w:jc w:val="center"/>
              <w:rPr>
                <w:rFonts w:cs="Times New Roman"/>
                <w:kern w:val="0"/>
                <w:szCs w:val="24"/>
              </w:rPr>
            </w:pPr>
            <w:r w:rsidRPr="00213402">
              <w:t>GDPPCD</w:t>
            </w:r>
          </w:p>
        </w:tc>
        <w:tc>
          <w:tcPr>
            <w:tcW w:w="0" w:type="auto"/>
            <w:shd w:val="clear" w:color="auto" w:fill="auto"/>
            <w:noWrap/>
            <w:vAlign w:val="center"/>
            <w:hideMark/>
          </w:tcPr>
          <w:p w:rsidR="00C92A49" w:rsidRPr="00093400" w:rsidRDefault="00C92A49" w:rsidP="00C92A49">
            <w:pPr>
              <w:autoSpaceDE w:val="0"/>
              <w:autoSpaceDN w:val="0"/>
              <w:adjustRightInd w:val="0"/>
              <w:jc w:val="center"/>
              <w:rPr>
                <w:rFonts w:cs="Times New Roman"/>
                <w:kern w:val="0"/>
                <w:szCs w:val="24"/>
              </w:rPr>
            </w:pPr>
            <w:r w:rsidRPr="00213402">
              <w:t>14685</w:t>
            </w:r>
          </w:p>
        </w:tc>
        <w:tc>
          <w:tcPr>
            <w:tcW w:w="0" w:type="auto"/>
          </w:tcPr>
          <w:p w:rsidR="00C92A49" w:rsidRDefault="00C92A49" w:rsidP="00C92A49">
            <w:pPr>
              <w:jc w:val="center"/>
            </w:pPr>
            <w:r w:rsidRPr="005D5A7A">
              <w:t>871</w:t>
            </w:r>
          </w:p>
        </w:tc>
        <w:tc>
          <w:tcPr>
            <w:tcW w:w="0" w:type="auto"/>
            <w:shd w:val="clear" w:color="auto" w:fill="auto"/>
            <w:noWrap/>
            <w:vAlign w:val="center"/>
            <w:hideMark/>
          </w:tcPr>
          <w:p w:rsidR="00C92A49" w:rsidRPr="00093400" w:rsidRDefault="00C92A49" w:rsidP="00C92A49">
            <w:pPr>
              <w:autoSpaceDE w:val="0"/>
              <w:autoSpaceDN w:val="0"/>
              <w:adjustRightInd w:val="0"/>
              <w:jc w:val="center"/>
              <w:rPr>
                <w:rFonts w:cs="Times New Roman"/>
                <w:kern w:val="0"/>
                <w:szCs w:val="24"/>
              </w:rPr>
            </w:pPr>
            <w:r w:rsidRPr="00213402">
              <w:t>-0.40</w:t>
            </w:r>
          </w:p>
        </w:tc>
        <w:tc>
          <w:tcPr>
            <w:tcW w:w="0" w:type="auto"/>
            <w:shd w:val="clear" w:color="auto" w:fill="auto"/>
            <w:noWrap/>
            <w:vAlign w:val="center"/>
            <w:hideMark/>
          </w:tcPr>
          <w:p w:rsidR="00C92A49" w:rsidRPr="00093400" w:rsidRDefault="00C92A49" w:rsidP="00C92A49">
            <w:pPr>
              <w:autoSpaceDE w:val="0"/>
              <w:autoSpaceDN w:val="0"/>
              <w:adjustRightInd w:val="0"/>
              <w:jc w:val="center"/>
              <w:rPr>
                <w:rFonts w:cs="Times New Roman"/>
                <w:kern w:val="0"/>
                <w:szCs w:val="24"/>
              </w:rPr>
            </w:pPr>
            <w:r w:rsidRPr="00213402">
              <w:t>0.72</w:t>
            </w:r>
          </w:p>
        </w:tc>
        <w:tc>
          <w:tcPr>
            <w:tcW w:w="0" w:type="auto"/>
            <w:shd w:val="clear" w:color="auto" w:fill="auto"/>
            <w:noWrap/>
            <w:vAlign w:val="center"/>
            <w:hideMark/>
          </w:tcPr>
          <w:p w:rsidR="00C92A49" w:rsidRPr="00093400" w:rsidRDefault="00C92A49" w:rsidP="00C92A49">
            <w:pPr>
              <w:autoSpaceDE w:val="0"/>
              <w:autoSpaceDN w:val="0"/>
              <w:adjustRightInd w:val="0"/>
              <w:jc w:val="center"/>
              <w:rPr>
                <w:rFonts w:cs="Times New Roman"/>
                <w:kern w:val="0"/>
                <w:szCs w:val="24"/>
              </w:rPr>
            </w:pPr>
            <w:r w:rsidRPr="00213402">
              <w:t>-2.34</w:t>
            </w:r>
          </w:p>
        </w:tc>
        <w:tc>
          <w:tcPr>
            <w:tcW w:w="0" w:type="auto"/>
            <w:shd w:val="clear" w:color="auto" w:fill="auto"/>
            <w:noWrap/>
            <w:vAlign w:val="center"/>
            <w:hideMark/>
          </w:tcPr>
          <w:p w:rsidR="00C92A49" w:rsidRPr="00093400" w:rsidRDefault="00C92A49" w:rsidP="00C92A49">
            <w:pPr>
              <w:autoSpaceDE w:val="0"/>
              <w:autoSpaceDN w:val="0"/>
              <w:adjustRightInd w:val="0"/>
              <w:jc w:val="center"/>
              <w:rPr>
                <w:rFonts w:cs="Times New Roman"/>
                <w:kern w:val="0"/>
                <w:szCs w:val="24"/>
              </w:rPr>
            </w:pPr>
            <w:r w:rsidRPr="00213402">
              <w:t>1.59</w:t>
            </w:r>
          </w:p>
        </w:tc>
      </w:tr>
      <w:tr w:rsidR="00C92A49" w:rsidRPr="00093400" w:rsidTr="00C92A49">
        <w:trPr>
          <w:trHeight w:val="18"/>
          <w:jc w:val="center"/>
        </w:trPr>
        <w:tc>
          <w:tcPr>
            <w:tcW w:w="0" w:type="auto"/>
            <w:shd w:val="clear" w:color="auto" w:fill="auto"/>
            <w:noWrap/>
            <w:vAlign w:val="center"/>
            <w:hideMark/>
          </w:tcPr>
          <w:p w:rsidR="00C92A49" w:rsidRPr="00093400" w:rsidRDefault="00C92A49" w:rsidP="00C92A49">
            <w:pPr>
              <w:autoSpaceDE w:val="0"/>
              <w:autoSpaceDN w:val="0"/>
              <w:adjustRightInd w:val="0"/>
              <w:jc w:val="center"/>
              <w:rPr>
                <w:rFonts w:cs="Times New Roman"/>
                <w:kern w:val="0"/>
                <w:szCs w:val="24"/>
              </w:rPr>
            </w:pPr>
            <w:r w:rsidRPr="00213402">
              <w:t>GDPGD</w:t>
            </w:r>
          </w:p>
        </w:tc>
        <w:tc>
          <w:tcPr>
            <w:tcW w:w="0" w:type="auto"/>
            <w:shd w:val="clear" w:color="auto" w:fill="auto"/>
            <w:noWrap/>
            <w:vAlign w:val="center"/>
            <w:hideMark/>
          </w:tcPr>
          <w:p w:rsidR="00C92A49" w:rsidRPr="00093400" w:rsidRDefault="00C92A49" w:rsidP="00C92A49">
            <w:pPr>
              <w:autoSpaceDE w:val="0"/>
              <w:autoSpaceDN w:val="0"/>
              <w:adjustRightInd w:val="0"/>
              <w:jc w:val="center"/>
              <w:rPr>
                <w:rFonts w:cs="Times New Roman"/>
                <w:kern w:val="0"/>
                <w:szCs w:val="24"/>
              </w:rPr>
            </w:pPr>
            <w:r w:rsidRPr="00213402">
              <w:t>14685</w:t>
            </w:r>
          </w:p>
        </w:tc>
        <w:tc>
          <w:tcPr>
            <w:tcW w:w="0" w:type="auto"/>
          </w:tcPr>
          <w:p w:rsidR="00C92A49" w:rsidRDefault="00C92A49" w:rsidP="00C92A49">
            <w:pPr>
              <w:jc w:val="center"/>
            </w:pPr>
            <w:r w:rsidRPr="005D5A7A">
              <w:t>871</w:t>
            </w:r>
          </w:p>
        </w:tc>
        <w:tc>
          <w:tcPr>
            <w:tcW w:w="0" w:type="auto"/>
            <w:shd w:val="clear" w:color="auto" w:fill="auto"/>
            <w:noWrap/>
            <w:vAlign w:val="center"/>
            <w:hideMark/>
          </w:tcPr>
          <w:p w:rsidR="00C92A49" w:rsidRPr="00093400" w:rsidRDefault="00C92A49" w:rsidP="00C92A49">
            <w:pPr>
              <w:autoSpaceDE w:val="0"/>
              <w:autoSpaceDN w:val="0"/>
              <w:adjustRightInd w:val="0"/>
              <w:jc w:val="center"/>
              <w:rPr>
                <w:rFonts w:cs="Times New Roman"/>
                <w:kern w:val="0"/>
                <w:szCs w:val="24"/>
              </w:rPr>
            </w:pPr>
            <w:r w:rsidRPr="00213402">
              <w:t>-0.22</w:t>
            </w:r>
          </w:p>
        </w:tc>
        <w:tc>
          <w:tcPr>
            <w:tcW w:w="0" w:type="auto"/>
            <w:shd w:val="clear" w:color="auto" w:fill="auto"/>
            <w:noWrap/>
            <w:vAlign w:val="center"/>
            <w:hideMark/>
          </w:tcPr>
          <w:p w:rsidR="00C92A49" w:rsidRPr="00093400" w:rsidRDefault="00C92A49" w:rsidP="00C92A49">
            <w:pPr>
              <w:autoSpaceDE w:val="0"/>
              <w:autoSpaceDN w:val="0"/>
              <w:adjustRightInd w:val="0"/>
              <w:jc w:val="center"/>
              <w:rPr>
                <w:rFonts w:cs="Times New Roman"/>
                <w:kern w:val="0"/>
                <w:szCs w:val="24"/>
              </w:rPr>
            </w:pPr>
            <w:r w:rsidRPr="00213402">
              <w:t>11.60</w:t>
            </w:r>
          </w:p>
        </w:tc>
        <w:tc>
          <w:tcPr>
            <w:tcW w:w="0" w:type="auto"/>
            <w:shd w:val="clear" w:color="auto" w:fill="auto"/>
            <w:noWrap/>
            <w:vAlign w:val="center"/>
            <w:hideMark/>
          </w:tcPr>
          <w:p w:rsidR="00C92A49" w:rsidRPr="00093400" w:rsidRDefault="00C92A49" w:rsidP="00C92A49">
            <w:pPr>
              <w:autoSpaceDE w:val="0"/>
              <w:autoSpaceDN w:val="0"/>
              <w:adjustRightInd w:val="0"/>
              <w:jc w:val="center"/>
              <w:rPr>
                <w:rFonts w:cs="Times New Roman"/>
                <w:kern w:val="0"/>
                <w:szCs w:val="24"/>
              </w:rPr>
            </w:pPr>
            <w:r w:rsidRPr="00213402">
              <w:t>-130.44</w:t>
            </w:r>
          </w:p>
        </w:tc>
        <w:tc>
          <w:tcPr>
            <w:tcW w:w="0" w:type="auto"/>
            <w:shd w:val="clear" w:color="auto" w:fill="auto"/>
            <w:noWrap/>
            <w:vAlign w:val="center"/>
            <w:hideMark/>
          </w:tcPr>
          <w:p w:rsidR="00C92A49" w:rsidRPr="00093400" w:rsidRDefault="00C92A49" w:rsidP="00C92A49">
            <w:pPr>
              <w:autoSpaceDE w:val="0"/>
              <w:autoSpaceDN w:val="0"/>
              <w:adjustRightInd w:val="0"/>
              <w:jc w:val="center"/>
              <w:rPr>
                <w:rFonts w:cs="Times New Roman"/>
                <w:kern w:val="0"/>
                <w:szCs w:val="24"/>
              </w:rPr>
            </w:pPr>
            <w:r w:rsidRPr="00213402">
              <w:t>79.37</w:t>
            </w:r>
          </w:p>
        </w:tc>
      </w:tr>
      <w:tr w:rsidR="00C92A49" w:rsidRPr="00093400" w:rsidTr="00C92A49">
        <w:trPr>
          <w:trHeight w:val="18"/>
          <w:jc w:val="center"/>
        </w:trPr>
        <w:tc>
          <w:tcPr>
            <w:tcW w:w="0" w:type="auto"/>
            <w:shd w:val="clear" w:color="auto" w:fill="auto"/>
            <w:noWrap/>
            <w:vAlign w:val="center"/>
            <w:hideMark/>
          </w:tcPr>
          <w:p w:rsidR="00C92A49" w:rsidRPr="00093400" w:rsidRDefault="00C92A49" w:rsidP="00C92A49">
            <w:pPr>
              <w:autoSpaceDE w:val="0"/>
              <w:autoSpaceDN w:val="0"/>
              <w:adjustRightInd w:val="0"/>
              <w:jc w:val="center"/>
              <w:rPr>
                <w:rFonts w:cs="Times New Roman"/>
                <w:kern w:val="0"/>
                <w:szCs w:val="24"/>
              </w:rPr>
            </w:pPr>
            <w:r w:rsidRPr="00213402">
              <w:t>Close</w:t>
            </w:r>
          </w:p>
        </w:tc>
        <w:tc>
          <w:tcPr>
            <w:tcW w:w="0" w:type="auto"/>
            <w:shd w:val="clear" w:color="auto" w:fill="auto"/>
            <w:noWrap/>
            <w:vAlign w:val="center"/>
            <w:hideMark/>
          </w:tcPr>
          <w:p w:rsidR="00C92A49" w:rsidRPr="00093400" w:rsidRDefault="00C92A49" w:rsidP="00C92A49">
            <w:pPr>
              <w:autoSpaceDE w:val="0"/>
              <w:autoSpaceDN w:val="0"/>
              <w:adjustRightInd w:val="0"/>
              <w:jc w:val="center"/>
              <w:rPr>
                <w:rFonts w:cs="Times New Roman"/>
                <w:kern w:val="0"/>
                <w:szCs w:val="24"/>
              </w:rPr>
            </w:pPr>
            <w:r w:rsidRPr="00213402">
              <w:t>14685</w:t>
            </w:r>
          </w:p>
        </w:tc>
        <w:tc>
          <w:tcPr>
            <w:tcW w:w="0" w:type="auto"/>
          </w:tcPr>
          <w:p w:rsidR="00C92A49" w:rsidRDefault="00C92A49" w:rsidP="00C92A49">
            <w:pPr>
              <w:jc w:val="center"/>
            </w:pPr>
            <w:r w:rsidRPr="005D5A7A">
              <w:t>871</w:t>
            </w:r>
          </w:p>
        </w:tc>
        <w:tc>
          <w:tcPr>
            <w:tcW w:w="0" w:type="auto"/>
            <w:shd w:val="clear" w:color="auto" w:fill="auto"/>
            <w:noWrap/>
            <w:vAlign w:val="center"/>
            <w:hideMark/>
          </w:tcPr>
          <w:p w:rsidR="00C92A49" w:rsidRPr="00093400" w:rsidRDefault="00C92A49" w:rsidP="00C92A49">
            <w:pPr>
              <w:autoSpaceDE w:val="0"/>
              <w:autoSpaceDN w:val="0"/>
              <w:adjustRightInd w:val="0"/>
              <w:jc w:val="center"/>
              <w:rPr>
                <w:rFonts w:cs="Times New Roman"/>
                <w:kern w:val="0"/>
                <w:szCs w:val="24"/>
              </w:rPr>
            </w:pPr>
            <w:r w:rsidRPr="00213402">
              <w:t>3.78</w:t>
            </w:r>
          </w:p>
        </w:tc>
        <w:tc>
          <w:tcPr>
            <w:tcW w:w="0" w:type="auto"/>
            <w:shd w:val="clear" w:color="auto" w:fill="auto"/>
            <w:noWrap/>
            <w:vAlign w:val="center"/>
            <w:hideMark/>
          </w:tcPr>
          <w:p w:rsidR="00C92A49" w:rsidRPr="00093400" w:rsidRDefault="00C92A49" w:rsidP="00C92A49">
            <w:pPr>
              <w:autoSpaceDE w:val="0"/>
              <w:autoSpaceDN w:val="0"/>
              <w:adjustRightInd w:val="0"/>
              <w:jc w:val="center"/>
              <w:rPr>
                <w:rFonts w:cs="Times New Roman"/>
                <w:kern w:val="0"/>
                <w:szCs w:val="24"/>
              </w:rPr>
            </w:pPr>
            <w:r w:rsidRPr="00213402">
              <w:t>0.34</w:t>
            </w:r>
          </w:p>
        </w:tc>
        <w:tc>
          <w:tcPr>
            <w:tcW w:w="0" w:type="auto"/>
            <w:shd w:val="clear" w:color="auto" w:fill="auto"/>
            <w:noWrap/>
            <w:vAlign w:val="center"/>
            <w:hideMark/>
          </w:tcPr>
          <w:p w:rsidR="00C92A49" w:rsidRPr="00093400" w:rsidRDefault="00C92A49" w:rsidP="00C92A49">
            <w:pPr>
              <w:autoSpaceDE w:val="0"/>
              <w:autoSpaceDN w:val="0"/>
              <w:adjustRightInd w:val="0"/>
              <w:jc w:val="center"/>
              <w:rPr>
                <w:rFonts w:cs="Times New Roman"/>
                <w:kern w:val="0"/>
                <w:szCs w:val="24"/>
              </w:rPr>
            </w:pPr>
            <w:r w:rsidRPr="00213402">
              <w:t>2.14</w:t>
            </w:r>
          </w:p>
        </w:tc>
        <w:tc>
          <w:tcPr>
            <w:tcW w:w="0" w:type="auto"/>
            <w:shd w:val="clear" w:color="auto" w:fill="auto"/>
            <w:noWrap/>
            <w:vAlign w:val="center"/>
            <w:hideMark/>
          </w:tcPr>
          <w:p w:rsidR="00C92A49" w:rsidRPr="00093400" w:rsidRDefault="00C92A49" w:rsidP="00C92A49">
            <w:pPr>
              <w:autoSpaceDE w:val="0"/>
              <w:autoSpaceDN w:val="0"/>
              <w:adjustRightInd w:val="0"/>
              <w:jc w:val="center"/>
              <w:rPr>
                <w:rFonts w:cs="Times New Roman"/>
                <w:kern w:val="0"/>
                <w:szCs w:val="24"/>
              </w:rPr>
            </w:pPr>
            <w:r w:rsidRPr="00213402">
              <w:t>4.29</w:t>
            </w:r>
          </w:p>
        </w:tc>
      </w:tr>
      <w:tr w:rsidR="00C92A49" w:rsidRPr="00093400" w:rsidTr="00C92A49">
        <w:trPr>
          <w:trHeight w:val="18"/>
          <w:jc w:val="center"/>
        </w:trPr>
        <w:tc>
          <w:tcPr>
            <w:tcW w:w="0" w:type="auto"/>
            <w:shd w:val="clear" w:color="auto" w:fill="auto"/>
            <w:noWrap/>
            <w:vAlign w:val="center"/>
            <w:hideMark/>
          </w:tcPr>
          <w:p w:rsidR="00C92A49" w:rsidRPr="00093400" w:rsidRDefault="00C92A49" w:rsidP="00C92A49">
            <w:pPr>
              <w:autoSpaceDE w:val="0"/>
              <w:autoSpaceDN w:val="0"/>
              <w:adjustRightInd w:val="0"/>
              <w:jc w:val="center"/>
              <w:rPr>
                <w:rFonts w:cs="Times New Roman"/>
                <w:kern w:val="0"/>
                <w:szCs w:val="24"/>
              </w:rPr>
            </w:pPr>
            <w:r w:rsidRPr="00213402">
              <w:t>Culture</w:t>
            </w:r>
          </w:p>
        </w:tc>
        <w:tc>
          <w:tcPr>
            <w:tcW w:w="0" w:type="auto"/>
            <w:shd w:val="clear" w:color="auto" w:fill="auto"/>
            <w:noWrap/>
            <w:vAlign w:val="center"/>
            <w:hideMark/>
          </w:tcPr>
          <w:p w:rsidR="00C92A49" w:rsidRPr="00093400" w:rsidRDefault="00C92A49" w:rsidP="00C92A49">
            <w:pPr>
              <w:autoSpaceDE w:val="0"/>
              <w:autoSpaceDN w:val="0"/>
              <w:adjustRightInd w:val="0"/>
              <w:jc w:val="center"/>
              <w:rPr>
                <w:rFonts w:cs="Times New Roman"/>
                <w:kern w:val="0"/>
                <w:szCs w:val="24"/>
              </w:rPr>
            </w:pPr>
            <w:r w:rsidRPr="00213402">
              <w:t>14685</w:t>
            </w:r>
          </w:p>
        </w:tc>
        <w:tc>
          <w:tcPr>
            <w:tcW w:w="0" w:type="auto"/>
          </w:tcPr>
          <w:p w:rsidR="00C92A49" w:rsidRDefault="00C92A49" w:rsidP="00C92A49">
            <w:pPr>
              <w:jc w:val="center"/>
            </w:pPr>
            <w:r w:rsidRPr="005D5A7A">
              <w:t>871</w:t>
            </w:r>
          </w:p>
        </w:tc>
        <w:tc>
          <w:tcPr>
            <w:tcW w:w="0" w:type="auto"/>
            <w:shd w:val="clear" w:color="auto" w:fill="auto"/>
            <w:noWrap/>
            <w:vAlign w:val="center"/>
            <w:hideMark/>
          </w:tcPr>
          <w:p w:rsidR="00C92A49" w:rsidRPr="00093400" w:rsidRDefault="00C92A49" w:rsidP="00C92A49">
            <w:pPr>
              <w:autoSpaceDE w:val="0"/>
              <w:autoSpaceDN w:val="0"/>
              <w:adjustRightInd w:val="0"/>
              <w:jc w:val="center"/>
              <w:rPr>
                <w:rFonts w:cs="Times New Roman"/>
                <w:kern w:val="0"/>
                <w:szCs w:val="24"/>
              </w:rPr>
            </w:pPr>
            <w:r w:rsidRPr="00213402">
              <w:t>0.19</w:t>
            </w:r>
          </w:p>
        </w:tc>
        <w:tc>
          <w:tcPr>
            <w:tcW w:w="0" w:type="auto"/>
            <w:shd w:val="clear" w:color="auto" w:fill="auto"/>
            <w:noWrap/>
            <w:vAlign w:val="center"/>
            <w:hideMark/>
          </w:tcPr>
          <w:p w:rsidR="00C92A49" w:rsidRPr="00093400" w:rsidRDefault="00C92A49" w:rsidP="00C92A49">
            <w:pPr>
              <w:autoSpaceDE w:val="0"/>
              <w:autoSpaceDN w:val="0"/>
              <w:adjustRightInd w:val="0"/>
              <w:jc w:val="center"/>
              <w:rPr>
                <w:rFonts w:cs="Times New Roman"/>
                <w:kern w:val="0"/>
                <w:szCs w:val="24"/>
              </w:rPr>
            </w:pPr>
            <w:r w:rsidRPr="00213402">
              <w:t>0.39</w:t>
            </w:r>
          </w:p>
        </w:tc>
        <w:tc>
          <w:tcPr>
            <w:tcW w:w="0" w:type="auto"/>
            <w:shd w:val="clear" w:color="auto" w:fill="auto"/>
            <w:noWrap/>
            <w:vAlign w:val="center"/>
            <w:hideMark/>
          </w:tcPr>
          <w:p w:rsidR="00C92A49" w:rsidRPr="00093400" w:rsidRDefault="00C92A49" w:rsidP="00C92A49">
            <w:pPr>
              <w:autoSpaceDE w:val="0"/>
              <w:autoSpaceDN w:val="0"/>
              <w:adjustRightInd w:val="0"/>
              <w:jc w:val="center"/>
              <w:rPr>
                <w:rFonts w:cs="Times New Roman"/>
                <w:kern w:val="0"/>
                <w:szCs w:val="24"/>
              </w:rPr>
            </w:pPr>
            <w:r w:rsidRPr="00213402">
              <w:t>0.00</w:t>
            </w:r>
          </w:p>
        </w:tc>
        <w:tc>
          <w:tcPr>
            <w:tcW w:w="0" w:type="auto"/>
            <w:shd w:val="clear" w:color="auto" w:fill="auto"/>
            <w:noWrap/>
            <w:vAlign w:val="center"/>
            <w:hideMark/>
          </w:tcPr>
          <w:p w:rsidR="00C92A49" w:rsidRPr="00093400" w:rsidRDefault="00C92A49" w:rsidP="00C92A49">
            <w:pPr>
              <w:autoSpaceDE w:val="0"/>
              <w:autoSpaceDN w:val="0"/>
              <w:adjustRightInd w:val="0"/>
              <w:jc w:val="center"/>
              <w:rPr>
                <w:rFonts w:cs="Times New Roman"/>
                <w:kern w:val="0"/>
                <w:szCs w:val="24"/>
              </w:rPr>
            </w:pPr>
            <w:r w:rsidRPr="00213402">
              <w:t>1.00</w:t>
            </w:r>
          </w:p>
        </w:tc>
      </w:tr>
      <w:tr w:rsidR="00C92A49" w:rsidRPr="00093400" w:rsidTr="00C92A49">
        <w:trPr>
          <w:trHeight w:val="18"/>
          <w:jc w:val="center"/>
        </w:trPr>
        <w:tc>
          <w:tcPr>
            <w:tcW w:w="0" w:type="auto"/>
            <w:shd w:val="clear" w:color="auto" w:fill="auto"/>
            <w:noWrap/>
            <w:vAlign w:val="center"/>
            <w:hideMark/>
          </w:tcPr>
          <w:p w:rsidR="00C92A49" w:rsidRPr="00093400" w:rsidRDefault="00C92A49" w:rsidP="00C92A49">
            <w:pPr>
              <w:autoSpaceDE w:val="0"/>
              <w:autoSpaceDN w:val="0"/>
              <w:adjustRightInd w:val="0"/>
              <w:jc w:val="center"/>
              <w:rPr>
                <w:rFonts w:cs="Times New Roman"/>
                <w:kern w:val="0"/>
                <w:szCs w:val="24"/>
              </w:rPr>
            </w:pPr>
            <w:r w:rsidRPr="00213402">
              <w:t>WGID</w:t>
            </w:r>
          </w:p>
        </w:tc>
        <w:tc>
          <w:tcPr>
            <w:tcW w:w="0" w:type="auto"/>
            <w:shd w:val="clear" w:color="auto" w:fill="auto"/>
            <w:noWrap/>
            <w:vAlign w:val="center"/>
            <w:hideMark/>
          </w:tcPr>
          <w:p w:rsidR="00C92A49" w:rsidRPr="00093400" w:rsidRDefault="00C92A49" w:rsidP="00C92A49">
            <w:pPr>
              <w:autoSpaceDE w:val="0"/>
              <w:autoSpaceDN w:val="0"/>
              <w:adjustRightInd w:val="0"/>
              <w:jc w:val="center"/>
              <w:rPr>
                <w:rFonts w:cs="Times New Roman"/>
                <w:kern w:val="0"/>
                <w:szCs w:val="24"/>
              </w:rPr>
            </w:pPr>
            <w:r w:rsidRPr="00213402">
              <w:t>14685</w:t>
            </w:r>
          </w:p>
        </w:tc>
        <w:tc>
          <w:tcPr>
            <w:tcW w:w="0" w:type="auto"/>
          </w:tcPr>
          <w:p w:rsidR="00C92A49" w:rsidRDefault="00C92A49" w:rsidP="00C92A49">
            <w:pPr>
              <w:jc w:val="center"/>
            </w:pPr>
            <w:r w:rsidRPr="005D5A7A">
              <w:t>871</w:t>
            </w:r>
          </w:p>
        </w:tc>
        <w:tc>
          <w:tcPr>
            <w:tcW w:w="0" w:type="auto"/>
            <w:shd w:val="clear" w:color="auto" w:fill="auto"/>
            <w:noWrap/>
            <w:vAlign w:val="center"/>
            <w:hideMark/>
          </w:tcPr>
          <w:p w:rsidR="00C92A49" w:rsidRPr="00093400" w:rsidRDefault="00C92A49" w:rsidP="00C92A49">
            <w:pPr>
              <w:autoSpaceDE w:val="0"/>
              <w:autoSpaceDN w:val="0"/>
              <w:adjustRightInd w:val="0"/>
              <w:jc w:val="center"/>
              <w:rPr>
                <w:rFonts w:cs="Times New Roman"/>
                <w:kern w:val="0"/>
                <w:szCs w:val="24"/>
              </w:rPr>
            </w:pPr>
            <w:r w:rsidRPr="00213402">
              <w:t>-0.21</w:t>
            </w:r>
          </w:p>
        </w:tc>
        <w:tc>
          <w:tcPr>
            <w:tcW w:w="0" w:type="auto"/>
            <w:shd w:val="clear" w:color="auto" w:fill="auto"/>
            <w:noWrap/>
            <w:vAlign w:val="center"/>
            <w:hideMark/>
          </w:tcPr>
          <w:p w:rsidR="00C92A49" w:rsidRPr="00093400" w:rsidRDefault="00C92A49" w:rsidP="00C92A49">
            <w:pPr>
              <w:autoSpaceDE w:val="0"/>
              <w:autoSpaceDN w:val="0"/>
              <w:adjustRightInd w:val="0"/>
              <w:jc w:val="center"/>
              <w:rPr>
                <w:rFonts w:cs="Times New Roman"/>
                <w:kern w:val="0"/>
                <w:szCs w:val="24"/>
              </w:rPr>
            </w:pPr>
            <w:r w:rsidRPr="00213402">
              <w:t>1.34</w:t>
            </w:r>
          </w:p>
        </w:tc>
        <w:tc>
          <w:tcPr>
            <w:tcW w:w="0" w:type="auto"/>
            <w:shd w:val="clear" w:color="auto" w:fill="auto"/>
            <w:noWrap/>
            <w:vAlign w:val="center"/>
            <w:hideMark/>
          </w:tcPr>
          <w:p w:rsidR="00C92A49" w:rsidRPr="00093400" w:rsidRDefault="00C92A49" w:rsidP="00C92A49">
            <w:pPr>
              <w:autoSpaceDE w:val="0"/>
              <w:autoSpaceDN w:val="0"/>
              <w:adjustRightInd w:val="0"/>
              <w:jc w:val="center"/>
              <w:rPr>
                <w:rFonts w:cs="Times New Roman"/>
                <w:kern w:val="0"/>
                <w:szCs w:val="24"/>
              </w:rPr>
            </w:pPr>
            <w:r w:rsidRPr="00213402">
              <w:t>-3.52</w:t>
            </w:r>
          </w:p>
        </w:tc>
        <w:tc>
          <w:tcPr>
            <w:tcW w:w="0" w:type="auto"/>
            <w:shd w:val="clear" w:color="auto" w:fill="auto"/>
            <w:noWrap/>
            <w:vAlign w:val="center"/>
            <w:hideMark/>
          </w:tcPr>
          <w:p w:rsidR="00C92A49" w:rsidRPr="00093400" w:rsidRDefault="00C92A49" w:rsidP="00C92A49">
            <w:pPr>
              <w:autoSpaceDE w:val="0"/>
              <w:autoSpaceDN w:val="0"/>
              <w:adjustRightInd w:val="0"/>
              <w:jc w:val="center"/>
              <w:rPr>
                <w:rFonts w:cs="Times New Roman"/>
                <w:kern w:val="0"/>
                <w:szCs w:val="24"/>
              </w:rPr>
            </w:pPr>
            <w:r w:rsidRPr="00213402">
              <w:t>3.75</w:t>
            </w:r>
          </w:p>
        </w:tc>
      </w:tr>
      <w:tr w:rsidR="00C92A49" w:rsidRPr="00093400" w:rsidTr="00C92A49">
        <w:trPr>
          <w:trHeight w:val="18"/>
          <w:jc w:val="center"/>
        </w:trPr>
        <w:tc>
          <w:tcPr>
            <w:tcW w:w="0" w:type="auto"/>
            <w:shd w:val="clear" w:color="auto" w:fill="auto"/>
            <w:noWrap/>
            <w:vAlign w:val="center"/>
            <w:hideMark/>
          </w:tcPr>
          <w:p w:rsidR="00C92A49" w:rsidRPr="00093400" w:rsidRDefault="00C92A49" w:rsidP="00C92A49">
            <w:pPr>
              <w:autoSpaceDE w:val="0"/>
              <w:autoSpaceDN w:val="0"/>
              <w:adjustRightInd w:val="0"/>
              <w:jc w:val="center"/>
              <w:rPr>
                <w:rFonts w:cs="Times New Roman"/>
                <w:kern w:val="0"/>
                <w:szCs w:val="24"/>
              </w:rPr>
            </w:pPr>
            <w:r w:rsidRPr="00213402">
              <w:t>LM</w:t>
            </w:r>
          </w:p>
        </w:tc>
        <w:tc>
          <w:tcPr>
            <w:tcW w:w="0" w:type="auto"/>
            <w:shd w:val="clear" w:color="auto" w:fill="auto"/>
            <w:noWrap/>
            <w:vAlign w:val="center"/>
            <w:hideMark/>
          </w:tcPr>
          <w:p w:rsidR="00C92A49" w:rsidRPr="00093400" w:rsidRDefault="00C92A49" w:rsidP="00C92A49">
            <w:pPr>
              <w:autoSpaceDE w:val="0"/>
              <w:autoSpaceDN w:val="0"/>
              <w:adjustRightInd w:val="0"/>
              <w:jc w:val="center"/>
              <w:rPr>
                <w:rFonts w:cs="Times New Roman"/>
                <w:kern w:val="0"/>
                <w:szCs w:val="24"/>
              </w:rPr>
            </w:pPr>
            <w:r w:rsidRPr="00213402">
              <w:t>14685</w:t>
            </w:r>
          </w:p>
        </w:tc>
        <w:tc>
          <w:tcPr>
            <w:tcW w:w="0" w:type="auto"/>
          </w:tcPr>
          <w:p w:rsidR="00C92A49" w:rsidRDefault="00C92A49" w:rsidP="00C92A49">
            <w:pPr>
              <w:jc w:val="center"/>
            </w:pPr>
            <w:r w:rsidRPr="005D5A7A">
              <w:t>871</w:t>
            </w:r>
          </w:p>
        </w:tc>
        <w:tc>
          <w:tcPr>
            <w:tcW w:w="0" w:type="auto"/>
            <w:shd w:val="clear" w:color="auto" w:fill="auto"/>
            <w:noWrap/>
            <w:vAlign w:val="center"/>
            <w:hideMark/>
          </w:tcPr>
          <w:p w:rsidR="00C92A49" w:rsidRPr="00093400" w:rsidRDefault="00C92A49" w:rsidP="00C92A49">
            <w:pPr>
              <w:autoSpaceDE w:val="0"/>
              <w:autoSpaceDN w:val="0"/>
              <w:adjustRightInd w:val="0"/>
              <w:jc w:val="center"/>
              <w:rPr>
                <w:rFonts w:cs="Times New Roman"/>
                <w:kern w:val="0"/>
                <w:szCs w:val="24"/>
              </w:rPr>
            </w:pPr>
            <w:r w:rsidRPr="00213402">
              <w:t>0.49</w:t>
            </w:r>
          </w:p>
        </w:tc>
        <w:tc>
          <w:tcPr>
            <w:tcW w:w="0" w:type="auto"/>
            <w:shd w:val="clear" w:color="auto" w:fill="auto"/>
            <w:noWrap/>
            <w:vAlign w:val="center"/>
            <w:hideMark/>
          </w:tcPr>
          <w:p w:rsidR="00C92A49" w:rsidRPr="00093400" w:rsidRDefault="00C92A49" w:rsidP="00C92A49">
            <w:pPr>
              <w:autoSpaceDE w:val="0"/>
              <w:autoSpaceDN w:val="0"/>
              <w:adjustRightInd w:val="0"/>
              <w:jc w:val="center"/>
              <w:rPr>
                <w:rFonts w:cs="Times New Roman"/>
                <w:kern w:val="0"/>
                <w:szCs w:val="24"/>
              </w:rPr>
            </w:pPr>
            <w:r w:rsidRPr="00213402">
              <w:t>0.50</w:t>
            </w:r>
          </w:p>
        </w:tc>
        <w:tc>
          <w:tcPr>
            <w:tcW w:w="0" w:type="auto"/>
            <w:shd w:val="clear" w:color="auto" w:fill="auto"/>
            <w:noWrap/>
            <w:vAlign w:val="center"/>
            <w:hideMark/>
          </w:tcPr>
          <w:p w:rsidR="00C92A49" w:rsidRPr="00093400" w:rsidRDefault="00C92A49" w:rsidP="00C92A49">
            <w:pPr>
              <w:autoSpaceDE w:val="0"/>
              <w:autoSpaceDN w:val="0"/>
              <w:adjustRightInd w:val="0"/>
              <w:jc w:val="center"/>
              <w:rPr>
                <w:rFonts w:cs="Times New Roman"/>
                <w:kern w:val="0"/>
                <w:szCs w:val="24"/>
              </w:rPr>
            </w:pPr>
            <w:r w:rsidRPr="00213402">
              <w:t>0.00</w:t>
            </w:r>
          </w:p>
        </w:tc>
        <w:tc>
          <w:tcPr>
            <w:tcW w:w="0" w:type="auto"/>
            <w:shd w:val="clear" w:color="auto" w:fill="auto"/>
            <w:noWrap/>
            <w:vAlign w:val="center"/>
            <w:hideMark/>
          </w:tcPr>
          <w:p w:rsidR="00C92A49" w:rsidRPr="00093400" w:rsidRDefault="00C92A49" w:rsidP="00C92A49">
            <w:pPr>
              <w:autoSpaceDE w:val="0"/>
              <w:autoSpaceDN w:val="0"/>
              <w:adjustRightInd w:val="0"/>
              <w:jc w:val="center"/>
              <w:rPr>
                <w:rFonts w:cs="Times New Roman"/>
                <w:kern w:val="0"/>
                <w:szCs w:val="24"/>
              </w:rPr>
            </w:pPr>
            <w:r w:rsidRPr="00213402">
              <w:t>1.00</w:t>
            </w:r>
          </w:p>
        </w:tc>
      </w:tr>
      <w:tr w:rsidR="00C92A49" w:rsidRPr="00093400" w:rsidTr="00C92A49">
        <w:trPr>
          <w:trHeight w:val="18"/>
          <w:jc w:val="center"/>
        </w:trPr>
        <w:tc>
          <w:tcPr>
            <w:tcW w:w="0" w:type="auto"/>
            <w:shd w:val="clear" w:color="auto" w:fill="auto"/>
            <w:noWrap/>
            <w:vAlign w:val="center"/>
            <w:hideMark/>
          </w:tcPr>
          <w:p w:rsidR="00C92A49" w:rsidRPr="00093400" w:rsidRDefault="00C92A49" w:rsidP="00C92A49">
            <w:pPr>
              <w:autoSpaceDE w:val="0"/>
              <w:autoSpaceDN w:val="0"/>
              <w:adjustRightInd w:val="0"/>
              <w:jc w:val="center"/>
              <w:rPr>
                <w:rFonts w:cs="Times New Roman"/>
                <w:kern w:val="0"/>
                <w:szCs w:val="24"/>
              </w:rPr>
            </w:pPr>
            <w:proofErr w:type="spellStart"/>
            <w:r w:rsidRPr="00213402">
              <w:t>SWFDis</w:t>
            </w:r>
            <w:proofErr w:type="spellEnd"/>
          </w:p>
        </w:tc>
        <w:tc>
          <w:tcPr>
            <w:tcW w:w="0" w:type="auto"/>
            <w:shd w:val="clear" w:color="auto" w:fill="auto"/>
            <w:noWrap/>
            <w:vAlign w:val="center"/>
            <w:hideMark/>
          </w:tcPr>
          <w:p w:rsidR="00C92A49" w:rsidRPr="00093400" w:rsidRDefault="00C92A49" w:rsidP="00C92A49">
            <w:pPr>
              <w:autoSpaceDE w:val="0"/>
              <w:autoSpaceDN w:val="0"/>
              <w:adjustRightInd w:val="0"/>
              <w:jc w:val="center"/>
              <w:rPr>
                <w:rFonts w:cs="Times New Roman"/>
                <w:kern w:val="0"/>
                <w:szCs w:val="24"/>
              </w:rPr>
            </w:pPr>
            <w:r w:rsidRPr="00213402">
              <w:t>14685</w:t>
            </w:r>
          </w:p>
        </w:tc>
        <w:tc>
          <w:tcPr>
            <w:tcW w:w="0" w:type="auto"/>
          </w:tcPr>
          <w:p w:rsidR="00C92A49" w:rsidRDefault="00C92A49" w:rsidP="00C92A49">
            <w:pPr>
              <w:jc w:val="center"/>
            </w:pPr>
            <w:r w:rsidRPr="005D5A7A">
              <w:t>871</w:t>
            </w:r>
          </w:p>
        </w:tc>
        <w:tc>
          <w:tcPr>
            <w:tcW w:w="0" w:type="auto"/>
            <w:shd w:val="clear" w:color="auto" w:fill="auto"/>
            <w:noWrap/>
            <w:vAlign w:val="center"/>
            <w:hideMark/>
          </w:tcPr>
          <w:p w:rsidR="00C92A49" w:rsidRPr="00093400" w:rsidRDefault="00C92A49" w:rsidP="00C92A49">
            <w:pPr>
              <w:autoSpaceDE w:val="0"/>
              <w:autoSpaceDN w:val="0"/>
              <w:adjustRightInd w:val="0"/>
              <w:jc w:val="center"/>
              <w:rPr>
                <w:rFonts w:cs="Times New Roman"/>
                <w:kern w:val="0"/>
                <w:szCs w:val="24"/>
              </w:rPr>
            </w:pPr>
            <w:r w:rsidRPr="00213402">
              <w:t>0.31</w:t>
            </w:r>
          </w:p>
        </w:tc>
        <w:tc>
          <w:tcPr>
            <w:tcW w:w="0" w:type="auto"/>
            <w:shd w:val="clear" w:color="auto" w:fill="auto"/>
            <w:noWrap/>
            <w:vAlign w:val="center"/>
            <w:hideMark/>
          </w:tcPr>
          <w:p w:rsidR="00C92A49" w:rsidRPr="00093400" w:rsidRDefault="00C92A49" w:rsidP="00C92A49">
            <w:pPr>
              <w:autoSpaceDE w:val="0"/>
              <w:autoSpaceDN w:val="0"/>
              <w:adjustRightInd w:val="0"/>
              <w:jc w:val="center"/>
              <w:rPr>
                <w:rFonts w:cs="Times New Roman"/>
                <w:kern w:val="0"/>
                <w:szCs w:val="24"/>
              </w:rPr>
            </w:pPr>
            <w:r w:rsidRPr="00213402">
              <w:t>0.46</w:t>
            </w:r>
          </w:p>
        </w:tc>
        <w:tc>
          <w:tcPr>
            <w:tcW w:w="0" w:type="auto"/>
            <w:shd w:val="clear" w:color="auto" w:fill="auto"/>
            <w:noWrap/>
            <w:vAlign w:val="center"/>
            <w:hideMark/>
          </w:tcPr>
          <w:p w:rsidR="00C92A49" w:rsidRPr="00093400" w:rsidRDefault="00C92A49" w:rsidP="00C92A49">
            <w:pPr>
              <w:autoSpaceDE w:val="0"/>
              <w:autoSpaceDN w:val="0"/>
              <w:adjustRightInd w:val="0"/>
              <w:jc w:val="center"/>
              <w:rPr>
                <w:rFonts w:cs="Times New Roman"/>
                <w:kern w:val="0"/>
                <w:szCs w:val="24"/>
              </w:rPr>
            </w:pPr>
            <w:r w:rsidRPr="00213402">
              <w:t>0.00</w:t>
            </w:r>
          </w:p>
        </w:tc>
        <w:tc>
          <w:tcPr>
            <w:tcW w:w="0" w:type="auto"/>
            <w:shd w:val="clear" w:color="auto" w:fill="auto"/>
            <w:noWrap/>
            <w:vAlign w:val="center"/>
            <w:hideMark/>
          </w:tcPr>
          <w:p w:rsidR="00C92A49" w:rsidRPr="00093400" w:rsidRDefault="00C92A49" w:rsidP="00C92A49">
            <w:pPr>
              <w:autoSpaceDE w:val="0"/>
              <w:autoSpaceDN w:val="0"/>
              <w:adjustRightInd w:val="0"/>
              <w:jc w:val="center"/>
              <w:rPr>
                <w:rFonts w:cs="Times New Roman"/>
                <w:kern w:val="0"/>
                <w:szCs w:val="24"/>
              </w:rPr>
            </w:pPr>
            <w:r w:rsidRPr="00213402">
              <w:t>1.00</w:t>
            </w:r>
          </w:p>
        </w:tc>
      </w:tr>
      <w:tr w:rsidR="00C92A49" w:rsidRPr="00093400" w:rsidTr="00C92A49">
        <w:trPr>
          <w:trHeight w:val="18"/>
          <w:jc w:val="center"/>
        </w:trPr>
        <w:tc>
          <w:tcPr>
            <w:tcW w:w="0" w:type="auto"/>
            <w:shd w:val="clear" w:color="auto" w:fill="auto"/>
            <w:noWrap/>
            <w:vAlign w:val="center"/>
          </w:tcPr>
          <w:p w:rsidR="00C92A49" w:rsidRPr="00093400" w:rsidRDefault="00C92A49" w:rsidP="00C92A49">
            <w:pPr>
              <w:autoSpaceDE w:val="0"/>
              <w:autoSpaceDN w:val="0"/>
              <w:adjustRightInd w:val="0"/>
              <w:jc w:val="center"/>
              <w:rPr>
                <w:rFonts w:cs="Times New Roman"/>
                <w:kern w:val="0"/>
                <w:szCs w:val="24"/>
              </w:rPr>
            </w:pPr>
            <w:proofErr w:type="spellStart"/>
            <w:r w:rsidRPr="00213402">
              <w:t>Comm</w:t>
            </w:r>
            <w:proofErr w:type="spellEnd"/>
          </w:p>
        </w:tc>
        <w:tc>
          <w:tcPr>
            <w:tcW w:w="0" w:type="auto"/>
            <w:shd w:val="clear" w:color="auto" w:fill="auto"/>
            <w:noWrap/>
            <w:vAlign w:val="center"/>
          </w:tcPr>
          <w:p w:rsidR="00C92A49" w:rsidRPr="00093400" w:rsidRDefault="00C92A49" w:rsidP="00C92A49">
            <w:pPr>
              <w:autoSpaceDE w:val="0"/>
              <w:autoSpaceDN w:val="0"/>
              <w:adjustRightInd w:val="0"/>
              <w:jc w:val="center"/>
              <w:rPr>
                <w:rFonts w:cs="Times New Roman"/>
                <w:kern w:val="0"/>
                <w:szCs w:val="24"/>
              </w:rPr>
            </w:pPr>
            <w:r w:rsidRPr="00213402">
              <w:t>14685</w:t>
            </w:r>
          </w:p>
        </w:tc>
        <w:tc>
          <w:tcPr>
            <w:tcW w:w="0" w:type="auto"/>
          </w:tcPr>
          <w:p w:rsidR="00C92A49" w:rsidRDefault="00C92A49" w:rsidP="00C92A49">
            <w:pPr>
              <w:jc w:val="center"/>
            </w:pPr>
            <w:r w:rsidRPr="005D5A7A">
              <w:t>871</w:t>
            </w:r>
          </w:p>
        </w:tc>
        <w:tc>
          <w:tcPr>
            <w:tcW w:w="0" w:type="auto"/>
            <w:shd w:val="clear" w:color="auto" w:fill="auto"/>
            <w:noWrap/>
            <w:vAlign w:val="center"/>
          </w:tcPr>
          <w:p w:rsidR="00C92A49" w:rsidRPr="00093400" w:rsidRDefault="00C92A49" w:rsidP="00C92A49">
            <w:pPr>
              <w:autoSpaceDE w:val="0"/>
              <w:autoSpaceDN w:val="0"/>
              <w:adjustRightInd w:val="0"/>
              <w:jc w:val="center"/>
              <w:rPr>
                <w:rFonts w:cs="Times New Roman"/>
                <w:kern w:val="0"/>
                <w:szCs w:val="24"/>
              </w:rPr>
            </w:pPr>
            <w:r w:rsidRPr="00213402">
              <w:t>0.67</w:t>
            </w:r>
          </w:p>
        </w:tc>
        <w:tc>
          <w:tcPr>
            <w:tcW w:w="0" w:type="auto"/>
            <w:shd w:val="clear" w:color="auto" w:fill="auto"/>
            <w:noWrap/>
            <w:vAlign w:val="center"/>
          </w:tcPr>
          <w:p w:rsidR="00C92A49" w:rsidRPr="00093400" w:rsidRDefault="00C92A49" w:rsidP="00C92A49">
            <w:pPr>
              <w:autoSpaceDE w:val="0"/>
              <w:autoSpaceDN w:val="0"/>
              <w:adjustRightInd w:val="0"/>
              <w:jc w:val="center"/>
              <w:rPr>
                <w:rFonts w:cs="Times New Roman"/>
                <w:kern w:val="0"/>
                <w:szCs w:val="24"/>
              </w:rPr>
            </w:pPr>
            <w:r w:rsidRPr="00213402">
              <w:t>0.47</w:t>
            </w:r>
          </w:p>
        </w:tc>
        <w:tc>
          <w:tcPr>
            <w:tcW w:w="0" w:type="auto"/>
            <w:shd w:val="clear" w:color="auto" w:fill="auto"/>
            <w:noWrap/>
            <w:vAlign w:val="center"/>
          </w:tcPr>
          <w:p w:rsidR="00C92A49" w:rsidRPr="00093400" w:rsidRDefault="00C92A49" w:rsidP="00C92A49">
            <w:pPr>
              <w:autoSpaceDE w:val="0"/>
              <w:autoSpaceDN w:val="0"/>
              <w:adjustRightInd w:val="0"/>
              <w:jc w:val="center"/>
              <w:rPr>
                <w:rFonts w:cs="Times New Roman"/>
                <w:kern w:val="0"/>
                <w:szCs w:val="24"/>
              </w:rPr>
            </w:pPr>
            <w:r w:rsidRPr="00213402">
              <w:t>0.00</w:t>
            </w:r>
          </w:p>
        </w:tc>
        <w:tc>
          <w:tcPr>
            <w:tcW w:w="0" w:type="auto"/>
            <w:shd w:val="clear" w:color="auto" w:fill="auto"/>
            <w:noWrap/>
            <w:vAlign w:val="center"/>
          </w:tcPr>
          <w:p w:rsidR="00C92A49" w:rsidRPr="00093400" w:rsidRDefault="00C92A49" w:rsidP="00C92A49">
            <w:pPr>
              <w:autoSpaceDE w:val="0"/>
              <w:autoSpaceDN w:val="0"/>
              <w:adjustRightInd w:val="0"/>
              <w:jc w:val="center"/>
              <w:rPr>
                <w:rFonts w:cs="Times New Roman"/>
                <w:kern w:val="0"/>
                <w:szCs w:val="24"/>
              </w:rPr>
            </w:pPr>
            <w:r w:rsidRPr="00213402">
              <w:t>1.00</w:t>
            </w:r>
          </w:p>
        </w:tc>
      </w:tr>
      <w:tr w:rsidR="00C92A49" w:rsidRPr="00093400" w:rsidTr="00C92A49">
        <w:trPr>
          <w:trHeight w:val="18"/>
          <w:jc w:val="center"/>
        </w:trPr>
        <w:tc>
          <w:tcPr>
            <w:tcW w:w="0" w:type="auto"/>
            <w:shd w:val="clear" w:color="auto" w:fill="auto"/>
            <w:noWrap/>
            <w:vAlign w:val="center"/>
          </w:tcPr>
          <w:p w:rsidR="00C92A49" w:rsidRPr="00093400" w:rsidRDefault="00C92A49" w:rsidP="00C92A49">
            <w:pPr>
              <w:autoSpaceDE w:val="0"/>
              <w:autoSpaceDN w:val="0"/>
              <w:adjustRightInd w:val="0"/>
              <w:jc w:val="center"/>
              <w:rPr>
                <w:rFonts w:cs="Times New Roman"/>
                <w:kern w:val="0"/>
                <w:szCs w:val="24"/>
              </w:rPr>
            </w:pPr>
            <w:r w:rsidRPr="00213402">
              <w:t>Partner</w:t>
            </w:r>
          </w:p>
        </w:tc>
        <w:tc>
          <w:tcPr>
            <w:tcW w:w="0" w:type="auto"/>
            <w:shd w:val="clear" w:color="auto" w:fill="auto"/>
            <w:noWrap/>
            <w:vAlign w:val="center"/>
          </w:tcPr>
          <w:p w:rsidR="00C92A49" w:rsidRPr="00093400" w:rsidRDefault="00C92A49" w:rsidP="00C92A49">
            <w:pPr>
              <w:autoSpaceDE w:val="0"/>
              <w:autoSpaceDN w:val="0"/>
              <w:adjustRightInd w:val="0"/>
              <w:jc w:val="center"/>
              <w:rPr>
                <w:rFonts w:cs="Times New Roman"/>
                <w:kern w:val="0"/>
                <w:szCs w:val="24"/>
              </w:rPr>
            </w:pPr>
            <w:r w:rsidRPr="00213402">
              <w:t>14685</w:t>
            </w:r>
          </w:p>
        </w:tc>
        <w:tc>
          <w:tcPr>
            <w:tcW w:w="0" w:type="auto"/>
          </w:tcPr>
          <w:p w:rsidR="00C92A49" w:rsidRDefault="00C92A49" w:rsidP="00C92A49">
            <w:pPr>
              <w:jc w:val="center"/>
            </w:pPr>
            <w:r w:rsidRPr="005D5A7A">
              <w:t>871</w:t>
            </w:r>
          </w:p>
        </w:tc>
        <w:tc>
          <w:tcPr>
            <w:tcW w:w="0" w:type="auto"/>
            <w:shd w:val="clear" w:color="auto" w:fill="auto"/>
            <w:noWrap/>
            <w:vAlign w:val="center"/>
          </w:tcPr>
          <w:p w:rsidR="00C92A49" w:rsidRPr="00093400" w:rsidRDefault="00C92A49" w:rsidP="00C92A49">
            <w:pPr>
              <w:autoSpaceDE w:val="0"/>
              <w:autoSpaceDN w:val="0"/>
              <w:adjustRightInd w:val="0"/>
              <w:jc w:val="center"/>
              <w:rPr>
                <w:rFonts w:cs="Times New Roman"/>
                <w:kern w:val="0"/>
                <w:szCs w:val="24"/>
              </w:rPr>
            </w:pPr>
            <w:r w:rsidRPr="00213402">
              <w:t>0.08</w:t>
            </w:r>
          </w:p>
        </w:tc>
        <w:tc>
          <w:tcPr>
            <w:tcW w:w="0" w:type="auto"/>
            <w:shd w:val="clear" w:color="auto" w:fill="auto"/>
            <w:noWrap/>
            <w:vAlign w:val="center"/>
          </w:tcPr>
          <w:p w:rsidR="00C92A49" w:rsidRPr="00093400" w:rsidRDefault="00C92A49" w:rsidP="00C92A49">
            <w:pPr>
              <w:autoSpaceDE w:val="0"/>
              <w:autoSpaceDN w:val="0"/>
              <w:adjustRightInd w:val="0"/>
              <w:jc w:val="center"/>
              <w:rPr>
                <w:rFonts w:cs="Times New Roman"/>
                <w:kern w:val="0"/>
                <w:szCs w:val="24"/>
              </w:rPr>
            </w:pPr>
            <w:r w:rsidRPr="00213402">
              <w:t>0.27</w:t>
            </w:r>
          </w:p>
        </w:tc>
        <w:tc>
          <w:tcPr>
            <w:tcW w:w="0" w:type="auto"/>
            <w:shd w:val="clear" w:color="auto" w:fill="auto"/>
            <w:noWrap/>
            <w:vAlign w:val="center"/>
          </w:tcPr>
          <w:p w:rsidR="00C92A49" w:rsidRPr="00093400" w:rsidRDefault="00C92A49" w:rsidP="00C92A49">
            <w:pPr>
              <w:autoSpaceDE w:val="0"/>
              <w:autoSpaceDN w:val="0"/>
              <w:adjustRightInd w:val="0"/>
              <w:jc w:val="center"/>
              <w:rPr>
                <w:rFonts w:cs="Times New Roman"/>
                <w:kern w:val="0"/>
                <w:szCs w:val="24"/>
              </w:rPr>
            </w:pPr>
            <w:r w:rsidRPr="00213402">
              <w:t>0.00</w:t>
            </w:r>
          </w:p>
        </w:tc>
        <w:tc>
          <w:tcPr>
            <w:tcW w:w="0" w:type="auto"/>
            <w:shd w:val="clear" w:color="auto" w:fill="auto"/>
            <w:noWrap/>
            <w:vAlign w:val="center"/>
          </w:tcPr>
          <w:p w:rsidR="00C92A49" w:rsidRPr="00093400" w:rsidRDefault="00C92A49" w:rsidP="00C92A49">
            <w:pPr>
              <w:autoSpaceDE w:val="0"/>
              <w:autoSpaceDN w:val="0"/>
              <w:adjustRightInd w:val="0"/>
              <w:jc w:val="center"/>
              <w:rPr>
                <w:rFonts w:cs="Times New Roman"/>
                <w:kern w:val="0"/>
                <w:szCs w:val="24"/>
              </w:rPr>
            </w:pPr>
            <w:r w:rsidRPr="00213402">
              <w:t>1.00</w:t>
            </w:r>
          </w:p>
        </w:tc>
      </w:tr>
      <w:tr w:rsidR="00C92A49" w:rsidRPr="00093400" w:rsidTr="00C92A49">
        <w:trPr>
          <w:trHeight w:val="18"/>
          <w:jc w:val="center"/>
        </w:trPr>
        <w:tc>
          <w:tcPr>
            <w:tcW w:w="0" w:type="auto"/>
            <w:shd w:val="clear" w:color="auto" w:fill="auto"/>
            <w:noWrap/>
            <w:vAlign w:val="center"/>
          </w:tcPr>
          <w:p w:rsidR="00C92A49" w:rsidRPr="00093400" w:rsidRDefault="00C92A49" w:rsidP="00C92A49">
            <w:pPr>
              <w:autoSpaceDE w:val="0"/>
              <w:autoSpaceDN w:val="0"/>
              <w:adjustRightInd w:val="0"/>
              <w:jc w:val="center"/>
              <w:rPr>
                <w:rFonts w:cs="Times New Roman"/>
                <w:kern w:val="0"/>
                <w:szCs w:val="24"/>
              </w:rPr>
            </w:pPr>
            <w:proofErr w:type="spellStart"/>
            <w:r>
              <w:t>TarDis</w:t>
            </w:r>
            <w:proofErr w:type="spellEnd"/>
          </w:p>
        </w:tc>
        <w:tc>
          <w:tcPr>
            <w:tcW w:w="0" w:type="auto"/>
            <w:shd w:val="clear" w:color="auto" w:fill="auto"/>
            <w:noWrap/>
            <w:vAlign w:val="center"/>
          </w:tcPr>
          <w:p w:rsidR="00C92A49" w:rsidRPr="00093400" w:rsidRDefault="00C92A49" w:rsidP="00C92A49">
            <w:pPr>
              <w:autoSpaceDE w:val="0"/>
              <w:autoSpaceDN w:val="0"/>
              <w:adjustRightInd w:val="0"/>
              <w:jc w:val="center"/>
              <w:rPr>
                <w:rFonts w:cs="Times New Roman"/>
                <w:kern w:val="0"/>
                <w:szCs w:val="24"/>
              </w:rPr>
            </w:pPr>
            <w:r w:rsidRPr="00213402">
              <w:t>11933</w:t>
            </w:r>
          </w:p>
        </w:tc>
        <w:tc>
          <w:tcPr>
            <w:tcW w:w="0" w:type="auto"/>
          </w:tcPr>
          <w:p w:rsidR="00C92A49" w:rsidRDefault="00C92A49" w:rsidP="00C92A49">
            <w:pPr>
              <w:jc w:val="center"/>
            </w:pPr>
            <w:r w:rsidRPr="005D5A7A">
              <w:t>871</w:t>
            </w:r>
          </w:p>
        </w:tc>
        <w:tc>
          <w:tcPr>
            <w:tcW w:w="0" w:type="auto"/>
            <w:shd w:val="clear" w:color="auto" w:fill="auto"/>
            <w:noWrap/>
            <w:vAlign w:val="center"/>
          </w:tcPr>
          <w:p w:rsidR="00C92A49" w:rsidRPr="00093400" w:rsidRDefault="00C92A49" w:rsidP="00C92A49">
            <w:pPr>
              <w:autoSpaceDE w:val="0"/>
              <w:autoSpaceDN w:val="0"/>
              <w:adjustRightInd w:val="0"/>
              <w:jc w:val="center"/>
              <w:rPr>
                <w:rFonts w:cs="Times New Roman"/>
                <w:kern w:val="0"/>
                <w:szCs w:val="24"/>
              </w:rPr>
            </w:pPr>
            <w:r w:rsidRPr="00213402">
              <w:t>0.34</w:t>
            </w:r>
          </w:p>
        </w:tc>
        <w:tc>
          <w:tcPr>
            <w:tcW w:w="0" w:type="auto"/>
            <w:shd w:val="clear" w:color="auto" w:fill="auto"/>
            <w:noWrap/>
            <w:vAlign w:val="center"/>
          </w:tcPr>
          <w:p w:rsidR="00C92A49" w:rsidRPr="00093400" w:rsidRDefault="00C92A49" w:rsidP="00C92A49">
            <w:pPr>
              <w:autoSpaceDE w:val="0"/>
              <w:autoSpaceDN w:val="0"/>
              <w:adjustRightInd w:val="0"/>
              <w:jc w:val="center"/>
              <w:rPr>
                <w:rFonts w:cs="Times New Roman"/>
                <w:kern w:val="0"/>
                <w:szCs w:val="24"/>
              </w:rPr>
            </w:pPr>
            <w:r w:rsidRPr="00213402">
              <w:t>0.47</w:t>
            </w:r>
          </w:p>
        </w:tc>
        <w:tc>
          <w:tcPr>
            <w:tcW w:w="0" w:type="auto"/>
            <w:shd w:val="clear" w:color="auto" w:fill="auto"/>
            <w:noWrap/>
            <w:vAlign w:val="center"/>
          </w:tcPr>
          <w:p w:rsidR="00C92A49" w:rsidRPr="00093400" w:rsidRDefault="00C92A49" w:rsidP="00C92A49">
            <w:pPr>
              <w:autoSpaceDE w:val="0"/>
              <w:autoSpaceDN w:val="0"/>
              <w:adjustRightInd w:val="0"/>
              <w:jc w:val="center"/>
              <w:rPr>
                <w:rFonts w:cs="Times New Roman"/>
                <w:kern w:val="0"/>
                <w:szCs w:val="24"/>
              </w:rPr>
            </w:pPr>
            <w:r w:rsidRPr="00213402">
              <w:t>0.00</w:t>
            </w:r>
          </w:p>
        </w:tc>
        <w:tc>
          <w:tcPr>
            <w:tcW w:w="0" w:type="auto"/>
            <w:shd w:val="clear" w:color="auto" w:fill="auto"/>
            <w:noWrap/>
            <w:vAlign w:val="center"/>
          </w:tcPr>
          <w:p w:rsidR="00C92A49" w:rsidRPr="00093400" w:rsidRDefault="00C92A49" w:rsidP="00C92A49">
            <w:pPr>
              <w:autoSpaceDE w:val="0"/>
              <w:autoSpaceDN w:val="0"/>
              <w:adjustRightInd w:val="0"/>
              <w:jc w:val="center"/>
              <w:rPr>
                <w:rFonts w:cs="Times New Roman"/>
                <w:kern w:val="0"/>
                <w:szCs w:val="24"/>
              </w:rPr>
            </w:pPr>
            <w:r w:rsidRPr="00213402">
              <w:t>1.00</w:t>
            </w:r>
          </w:p>
        </w:tc>
      </w:tr>
      <w:tr w:rsidR="00C92A49" w:rsidRPr="00093400" w:rsidTr="00C92A49">
        <w:trPr>
          <w:trHeight w:val="18"/>
          <w:jc w:val="center"/>
        </w:trPr>
        <w:tc>
          <w:tcPr>
            <w:tcW w:w="0" w:type="auto"/>
            <w:shd w:val="clear" w:color="auto" w:fill="auto"/>
            <w:noWrap/>
            <w:vAlign w:val="center"/>
          </w:tcPr>
          <w:p w:rsidR="00C92A49" w:rsidRPr="00093400" w:rsidRDefault="00C92A49" w:rsidP="00C92A49">
            <w:pPr>
              <w:autoSpaceDE w:val="0"/>
              <w:autoSpaceDN w:val="0"/>
              <w:adjustRightInd w:val="0"/>
              <w:jc w:val="center"/>
              <w:rPr>
                <w:rFonts w:cs="Times New Roman"/>
                <w:kern w:val="0"/>
                <w:szCs w:val="24"/>
              </w:rPr>
            </w:pPr>
            <w:r w:rsidRPr="00213402">
              <w:t>Grade</w:t>
            </w:r>
          </w:p>
        </w:tc>
        <w:tc>
          <w:tcPr>
            <w:tcW w:w="0" w:type="auto"/>
            <w:shd w:val="clear" w:color="auto" w:fill="auto"/>
            <w:noWrap/>
            <w:vAlign w:val="center"/>
          </w:tcPr>
          <w:p w:rsidR="00C92A49" w:rsidRPr="00093400" w:rsidRDefault="00C92A49" w:rsidP="00C92A49">
            <w:pPr>
              <w:autoSpaceDE w:val="0"/>
              <w:autoSpaceDN w:val="0"/>
              <w:adjustRightInd w:val="0"/>
              <w:jc w:val="center"/>
              <w:rPr>
                <w:rFonts w:cs="Times New Roman"/>
                <w:kern w:val="0"/>
                <w:szCs w:val="24"/>
              </w:rPr>
            </w:pPr>
            <w:r w:rsidRPr="00213402">
              <w:t>13497</w:t>
            </w:r>
          </w:p>
        </w:tc>
        <w:tc>
          <w:tcPr>
            <w:tcW w:w="0" w:type="auto"/>
          </w:tcPr>
          <w:p w:rsidR="00C92A49" w:rsidRPr="00E6059E" w:rsidRDefault="00C92A49" w:rsidP="00C92A49">
            <w:pPr>
              <w:jc w:val="center"/>
            </w:pPr>
            <w:r w:rsidRPr="00E6059E">
              <w:t>852</w:t>
            </w:r>
          </w:p>
        </w:tc>
        <w:tc>
          <w:tcPr>
            <w:tcW w:w="0" w:type="auto"/>
            <w:shd w:val="clear" w:color="auto" w:fill="auto"/>
            <w:noWrap/>
            <w:vAlign w:val="center"/>
          </w:tcPr>
          <w:p w:rsidR="00C92A49" w:rsidRPr="00093400" w:rsidRDefault="00C92A49" w:rsidP="00C92A49">
            <w:pPr>
              <w:autoSpaceDE w:val="0"/>
              <w:autoSpaceDN w:val="0"/>
              <w:adjustRightInd w:val="0"/>
              <w:jc w:val="center"/>
              <w:rPr>
                <w:rFonts w:cs="Times New Roman"/>
                <w:kern w:val="0"/>
                <w:szCs w:val="24"/>
              </w:rPr>
            </w:pPr>
            <w:r w:rsidRPr="00213402">
              <w:t>1.73</w:t>
            </w:r>
          </w:p>
        </w:tc>
        <w:tc>
          <w:tcPr>
            <w:tcW w:w="0" w:type="auto"/>
            <w:shd w:val="clear" w:color="auto" w:fill="auto"/>
            <w:noWrap/>
            <w:vAlign w:val="center"/>
          </w:tcPr>
          <w:p w:rsidR="00C92A49" w:rsidRPr="00093400" w:rsidRDefault="00C92A49" w:rsidP="00C92A49">
            <w:pPr>
              <w:autoSpaceDE w:val="0"/>
              <w:autoSpaceDN w:val="0"/>
              <w:adjustRightInd w:val="0"/>
              <w:jc w:val="center"/>
              <w:rPr>
                <w:rFonts w:cs="Times New Roman"/>
                <w:kern w:val="0"/>
                <w:szCs w:val="24"/>
              </w:rPr>
            </w:pPr>
            <w:r w:rsidRPr="00213402">
              <w:t>1.50</w:t>
            </w:r>
          </w:p>
        </w:tc>
        <w:tc>
          <w:tcPr>
            <w:tcW w:w="0" w:type="auto"/>
            <w:shd w:val="clear" w:color="auto" w:fill="auto"/>
            <w:noWrap/>
            <w:vAlign w:val="center"/>
          </w:tcPr>
          <w:p w:rsidR="00C92A49" w:rsidRPr="00093400" w:rsidRDefault="00C92A49" w:rsidP="00C92A49">
            <w:pPr>
              <w:autoSpaceDE w:val="0"/>
              <w:autoSpaceDN w:val="0"/>
              <w:adjustRightInd w:val="0"/>
              <w:jc w:val="center"/>
              <w:rPr>
                <w:rFonts w:cs="Times New Roman"/>
                <w:kern w:val="0"/>
                <w:szCs w:val="24"/>
              </w:rPr>
            </w:pPr>
            <w:r w:rsidRPr="00213402">
              <w:t>0.00</w:t>
            </w:r>
          </w:p>
        </w:tc>
        <w:tc>
          <w:tcPr>
            <w:tcW w:w="0" w:type="auto"/>
            <w:shd w:val="clear" w:color="auto" w:fill="auto"/>
            <w:noWrap/>
            <w:vAlign w:val="center"/>
          </w:tcPr>
          <w:p w:rsidR="00C92A49" w:rsidRPr="00093400" w:rsidRDefault="00C92A49" w:rsidP="00C92A49">
            <w:pPr>
              <w:autoSpaceDE w:val="0"/>
              <w:autoSpaceDN w:val="0"/>
              <w:adjustRightInd w:val="0"/>
              <w:jc w:val="center"/>
              <w:rPr>
                <w:rFonts w:cs="Times New Roman"/>
                <w:kern w:val="0"/>
                <w:szCs w:val="24"/>
              </w:rPr>
            </w:pPr>
            <w:r w:rsidRPr="00213402">
              <w:t>4.00</w:t>
            </w:r>
          </w:p>
        </w:tc>
      </w:tr>
    </w:tbl>
    <w:p w:rsidR="00C11CAB" w:rsidRDefault="00C11CAB" w:rsidP="00C11CAB">
      <w:pPr>
        <w:wordWrap/>
        <w:spacing w:line="400" w:lineRule="exact"/>
        <w:ind w:firstLineChars="200" w:firstLine="480"/>
      </w:pPr>
      <w:bookmarkStart w:id="1" w:name="_Toc3842398"/>
      <w:r w:rsidRPr="00C11CAB">
        <w:t>From the correlation</w:t>
      </w:r>
      <w:r w:rsidR="0092076C">
        <w:t xml:space="preserve"> </w:t>
      </w:r>
      <w:r w:rsidRPr="00C11CAB">
        <w:t xml:space="preserve">matrix, it can be found that there is a negative relationship between SWFINA and PR, which indicates that the coefficient of PR in regression equation should also be negative. In other words, SWF may prefer countries with political ties that are somewhat distant from </w:t>
      </w:r>
      <w:r w:rsidR="0092076C">
        <w:t xml:space="preserve">acquirer </w:t>
      </w:r>
      <w:r w:rsidRPr="00C11CAB">
        <w:t>countries.</w:t>
      </w:r>
    </w:p>
    <w:p w:rsidR="0092076C" w:rsidRDefault="0092076C" w:rsidP="0092076C">
      <w:pPr>
        <w:pStyle w:val="a7"/>
        <w:keepNext/>
      </w:pPr>
      <w:r>
        <w:t xml:space="preserve">Table </w:t>
      </w:r>
      <w:r w:rsidR="00B105AF">
        <w:fldChar w:fldCharType="begin"/>
      </w:r>
      <w:r w:rsidR="00B105AF">
        <w:instrText xml:space="preserve"> SEQ Table \* ARABIC </w:instrText>
      </w:r>
      <w:r w:rsidR="00B105AF">
        <w:fldChar w:fldCharType="separate"/>
      </w:r>
      <w:r w:rsidR="00DC5497">
        <w:rPr>
          <w:noProof/>
        </w:rPr>
        <w:t>6</w:t>
      </w:r>
      <w:r w:rsidR="00B105AF">
        <w:rPr>
          <w:noProof/>
        </w:rPr>
        <w:fldChar w:fldCharType="end"/>
      </w:r>
      <w:r>
        <w:t xml:space="preserve"> </w:t>
      </w:r>
      <w:r>
        <w:rPr>
          <w:noProof/>
        </w:rPr>
        <w:t>Correlations</w:t>
      </w:r>
    </w:p>
    <w:tbl>
      <w:tblPr>
        <w:tblW w:w="9655" w:type="dxa"/>
        <w:tblInd w:w="-567" w:type="dxa"/>
        <w:tblLook w:val="0000" w:firstRow="0" w:lastRow="0" w:firstColumn="0" w:lastColumn="0" w:noHBand="0" w:noVBand="0"/>
      </w:tblPr>
      <w:tblGrid>
        <w:gridCol w:w="1136"/>
        <w:gridCol w:w="1136"/>
        <w:gridCol w:w="934"/>
        <w:gridCol w:w="934"/>
        <w:gridCol w:w="934"/>
        <w:gridCol w:w="1013"/>
        <w:gridCol w:w="934"/>
        <w:gridCol w:w="934"/>
        <w:gridCol w:w="934"/>
        <w:gridCol w:w="766"/>
      </w:tblGrid>
      <w:tr w:rsidR="00C11CAB" w:rsidRPr="00CF3748" w:rsidTr="00C11CAB">
        <w:trPr>
          <w:trHeight w:val="13"/>
        </w:trPr>
        <w:tc>
          <w:tcPr>
            <w:tcW w:w="0" w:type="auto"/>
            <w:tcBorders>
              <w:top w:val="single" w:sz="4" w:space="0" w:color="auto"/>
              <w:left w:val="nil"/>
              <w:bottom w:val="single" w:sz="4" w:space="0" w:color="auto"/>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p>
        </w:tc>
        <w:tc>
          <w:tcPr>
            <w:tcW w:w="0" w:type="auto"/>
            <w:tcBorders>
              <w:top w:val="single" w:sz="4" w:space="0" w:color="auto"/>
              <w:left w:val="nil"/>
              <w:bottom w:val="single" w:sz="4" w:space="0" w:color="auto"/>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r w:rsidRPr="00CF3748">
              <w:rPr>
                <w:rFonts w:cs="Times New Roman"/>
                <w:kern w:val="0"/>
                <w:sz w:val="20"/>
                <w:szCs w:val="24"/>
              </w:rPr>
              <w:t>SWFINVA</w:t>
            </w:r>
          </w:p>
        </w:tc>
        <w:tc>
          <w:tcPr>
            <w:tcW w:w="0" w:type="auto"/>
            <w:tcBorders>
              <w:top w:val="single" w:sz="4" w:space="0" w:color="auto"/>
              <w:left w:val="nil"/>
              <w:bottom w:val="single" w:sz="4" w:space="0" w:color="auto"/>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r w:rsidRPr="00CF3748">
              <w:rPr>
                <w:rFonts w:cs="Times New Roman"/>
                <w:kern w:val="0"/>
                <w:sz w:val="20"/>
                <w:szCs w:val="24"/>
              </w:rPr>
              <w:t>PR</w:t>
            </w:r>
          </w:p>
        </w:tc>
        <w:tc>
          <w:tcPr>
            <w:tcW w:w="0" w:type="auto"/>
            <w:tcBorders>
              <w:top w:val="single" w:sz="4" w:space="0" w:color="auto"/>
              <w:left w:val="nil"/>
              <w:bottom w:val="single" w:sz="4" w:space="0" w:color="auto"/>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proofErr w:type="spellStart"/>
            <w:r w:rsidRPr="00CF3748">
              <w:rPr>
                <w:rFonts w:cs="Times New Roman"/>
                <w:kern w:val="0"/>
                <w:sz w:val="20"/>
                <w:szCs w:val="24"/>
              </w:rPr>
              <w:t>Return</w:t>
            </w:r>
            <w:r w:rsidRPr="00CF3748">
              <w:rPr>
                <w:rFonts w:cs="Times New Roman" w:hint="eastAsia"/>
                <w:kern w:val="0"/>
                <w:sz w:val="20"/>
                <w:szCs w:val="24"/>
              </w:rPr>
              <w:t>D</w:t>
            </w:r>
            <w:proofErr w:type="spellEnd"/>
          </w:p>
        </w:tc>
        <w:tc>
          <w:tcPr>
            <w:tcW w:w="0" w:type="auto"/>
            <w:tcBorders>
              <w:top w:val="single" w:sz="4" w:space="0" w:color="auto"/>
              <w:left w:val="nil"/>
              <w:bottom w:val="single" w:sz="4" w:space="0" w:color="auto"/>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proofErr w:type="spellStart"/>
            <w:r w:rsidRPr="00CF3748">
              <w:rPr>
                <w:rFonts w:cs="Times New Roman"/>
                <w:kern w:val="0"/>
                <w:sz w:val="20"/>
                <w:szCs w:val="24"/>
              </w:rPr>
              <w:t>ForExD</w:t>
            </w:r>
            <w:proofErr w:type="spellEnd"/>
          </w:p>
        </w:tc>
        <w:tc>
          <w:tcPr>
            <w:tcW w:w="0" w:type="auto"/>
            <w:tcBorders>
              <w:top w:val="single" w:sz="4" w:space="0" w:color="auto"/>
              <w:left w:val="nil"/>
              <w:bottom w:val="single" w:sz="4" w:space="0" w:color="auto"/>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r w:rsidRPr="00CF3748">
              <w:rPr>
                <w:rFonts w:cs="Times New Roman"/>
                <w:kern w:val="0"/>
                <w:sz w:val="20"/>
                <w:szCs w:val="24"/>
              </w:rPr>
              <w:t>GDPPCD</w:t>
            </w:r>
          </w:p>
        </w:tc>
        <w:tc>
          <w:tcPr>
            <w:tcW w:w="0" w:type="auto"/>
            <w:tcBorders>
              <w:top w:val="single" w:sz="4" w:space="0" w:color="auto"/>
              <w:left w:val="nil"/>
              <w:bottom w:val="single" w:sz="4" w:space="0" w:color="auto"/>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r w:rsidRPr="00CF3748">
              <w:rPr>
                <w:rFonts w:cs="Times New Roman"/>
                <w:kern w:val="0"/>
                <w:sz w:val="20"/>
                <w:szCs w:val="24"/>
              </w:rPr>
              <w:t>GDPGD</w:t>
            </w:r>
          </w:p>
        </w:tc>
        <w:tc>
          <w:tcPr>
            <w:tcW w:w="0" w:type="auto"/>
            <w:tcBorders>
              <w:top w:val="single" w:sz="4" w:space="0" w:color="auto"/>
              <w:left w:val="nil"/>
              <w:bottom w:val="single" w:sz="4" w:space="0" w:color="auto"/>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r w:rsidRPr="00CF3748">
              <w:rPr>
                <w:rFonts w:cs="Times New Roman"/>
                <w:kern w:val="0"/>
                <w:sz w:val="20"/>
                <w:szCs w:val="24"/>
              </w:rPr>
              <w:t>Close</w:t>
            </w:r>
          </w:p>
        </w:tc>
        <w:tc>
          <w:tcPr>
            <w:tcW w:w="0" w:type="auto"/>
            <w:tcBorders>
              <w:top w:val="single" w:sz="4" w:space="0" w:color="auto"/>
              <w:left w:val="nil"/>
              <w:bottom w:val="single" w:sz="4" w:space="0" w:color="auto"/>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r w:rsidRPr="00CF3748">
              <w:rPr>
                <w:rFonts w:cs="Times New Roman"/>
                <w:kern w:val="0"/>
                <w:sz w:val="20"/>
                <w:szCs w:val="24"/>
              </w:rPr>
              <w:t>Culture</w:t>
            </w:r>
          </w:p>
        </w:tc>
        <w:tc>
          <w:tcPr>
            <w:tcW w:w="0" w:type="auto"/>
            <w:tcBorders>
              <w:top w:val="single" w:sz="4" w:space="0" w:color="auto"/>
              <w:left w:val="nil"/>
              <w:bottom w:val="single" w:sz="4" w:space="0" w:color="auto"/>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r w:rsidRPr="00CF3748">
              <w:rPr>
                <w:rFonts w:cs="Times New Roman"/>
                <w:kern w:val="0"/>
                <w:sz w:val="20"/>
                <w:szCs w:val="24"/>
              </w:rPr>
              <w:t>WGID</w:t>
            </w:r>
          </w:p>
        </w:tc>
      </w:tr>
      <w:tr w:rsidR="00C11CAB" w:rsidRPr="00CF3748" w:rsidTr="00C11CAB">
        <w:trPr>
          <w:trHeight w:val="13"/>
        </w:trPr>
        <w:tc>
          <w:tcPr>
            <w:tcW w:w="0" w:type="auto"/>
            <w:tcBorders>
              <w:top w:val="single" w:sz="4" w:space="0" w:color="auto"/>
              <w:left w:val="nil"/>
              <w:bottom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r w:rsidRPr="00CF3748">
              <w:rPr>
                <w:rFonts w:cs="Times New Roman"/>
                <w:kern w:val="0"/>
                <w:sz w:val="20"/>
                <w:szCs w:val="24"/>
              </w:rPr>
              <w:t>SWFINVA</w:t>
            </w:r>
          </w:p>
        </w:tc>
        <w:tc>
          <w:tcPr>
            <w:tcW w:w="0" w:type="auto"/>
            <w:tcBorders>
              <w:top w:val="single" w:sz="4" w:space="0" w:color="auto"/>
              <w:left w:val="nil"/>
              <w:bottom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r w:rsidRPr="00CF3748">
              <w:rPr>
                <w:rFonts w:cs="Times New Roman"/>
                <w:kern w:val="0"/>
                <w:sz w:val="20"/>
                <w:szCs w:val="24"/>
              </w:rPr>
              <w:t>1.000</w:t>
            </w:r>
          </w:p>
        </w:tc>
        <w:tc>
          <w:tcPr>
            <w:tcW w:w="0" w:type="auto"/>
            <w:tcBorders>
              <w:top w:val="single" w:sz="4" w:space="0" w:color="auto"/>
              <w:left w:val="nil"/>
              <w:bottom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p>
        </w:tc>
        <w:tc>
          <w:tcPr>
            <w:tcW w:w="0" w:type="auto"/>
            <w:tcBorders>
              <w:top w:val="single" w:sz="4" w:space="0" w:color="auto"/>
              <w:left w:val="nil"/>
              <w:bottom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p>
        </w:tc>
        <w:tc>
          <w:tcPr>
            <w:tcW w:w="0" w:type="auto"/>
            <w:tcBorders>
              <w:top w:val="single" w:sz="4" w:space="0" w:color="auto"/>
              <w:left w:val="nil"/>
              <w:bottom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p>
        </w:tc>
        <w:tc>
          <w:tcPr>
            <w:tcW w:w="0" w:type="auto"/>
            <w:tcBorders>
              <w:top w:val="single" w:sz="4" w:space="0" w:color="auto"/>
              <w:left w:val="nil"/>
              <w:bottom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p>
        </w:tc>
        <w:tc>
          <w:tcPr>
            <w:tcW w:w="0" w:type="auto"/>
            <w:tcBorders>
              <w:top w:val="single" w:sz="4" w:space="0" w:color="auto"/>
              <w:left w:val="nil"/>
              <w:bottom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p>
        </w:tc>
        <w:tc>
          <w:tcPr>
            <w:tcW w:w="0" w:type="auto"/>
            <w:tcBorders>
              <w:top w:val="single" w:sz="4" w:space="0" w:color="auto"/>
              <w:left w:val="nil"/>
              <w:bottom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p>
        </w:tc>
        <w:tc>
          <w:tcPr>
            <w:tcW w:w="0" w:type="auto"/>
            <w:tcBorders>
              <w:top w:val="single" w:sz="4" w:space="0" w:color="auto"/>
              <w:left w:val="nil"/>
              <w:bottom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p>
        </w:tc>
        <w:tc>
          <w:tcPr>
            <w:tcW w:w="0" w:type="auto"/>
            <w:tcBorders>
              <w:top w:val="single" w:sz="4" w:space="0" w:color="auto"/>
              <w:left w:val="nil"/>
              <w:bottom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p>
        </w:tc>
      </w:tr>
      <w:tr w:rsidR="00C11CAB" w:rsidRPr="00CF3748" w:rsidTr="00C11CAB">
        <w:trPr>
          <w:trHeight w:val="13"/>
        </w:trPr>
        <w:tc>
          <w:tcPr>
            <w:tcW w:w="0" w:type="auto"/>
            <w:tcBorders>
              <w:top w:val="nil"/>
              <w:left w:val="nil"/>
              <w:bottom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r w:rsidRPr="00CF3748">
              <w:rPr>
                <w:rFonts w:cs="Times New Roman"/>
                <w:kern w:val="0"/>
                <w:sz w:val="20"/>
                <w:szCs w:val="24"/>
              </w:rPr>
              <w:t>PR</w:t>
            </w:r>
          </w:p>
        </w:tc>
        <w:tc>
          <w:tcPr>
            <w:tcW w:w="0" w:type="auto"/>
            <w:tcBorders>
              <w:top w:val="nil"/>
              <w:left w:val="nil"/>
              <w:bottom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r w:rsidRPr="00CF3748">
              <w:rPr>
                <w:rFonts w:cs="Times New Roman"/>
                <w:kern w:val="0"/>
                <w:sz w:val="20"/>
                <w:szCs w:val="24"/>
              </w:rPr>
              <w:t>-0.024</w:t>
            </w:r>
            <w:r w:rsidRPr="00CF3748">
              <w:rPr>
                <w:rFonts w:cs="Times New Roman"/>
                <w:kern w:val="0"/>
                <w:sz w:val="20"/>
                <w:szCs w:val="24"/>
                <w:vertAlign w:val="superscript"/>
              </w:rPr>
              <w:t>***</w:t>
            </w:r>
          </w:p>
        </w:tc>
        <w:tc>
          <w:tcPr>
            <w:tcW w:w="0" w:type="auto"/>
            <w:tcBorders>
              <w:top w:val="nil"/>
              <w:left w:val="nil"/>
              <w:bottom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r w:rsidRPr="00CF3748">
              <w:rPr>
                <w:rFonts w:cs="Times New Roman"/>
                <w:kern w:val="0"/>
                <w:sz w:val="20"/>
                <w:szCs w:val="24"/>
              </w:rPr>
              <w:t>1.000</w:t>
            </w:r>
          </w:p>
        </w:tc>
        <w:tc>
          <w:tcPr>
            <w:tcW w:w="0" w:type="auto"/>
            <w:tcBorders>
              <w:top w:val="nil"/>
              <w:left w:val="nil"/>
              <w:bottom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p>
        </w:tc>
      </w:tr>
      <w:tr w:rsidR="00C11CAB" w:rsidRPr="00CF3748" w:rsidTr="00C11CAB">
        <w:trPr>
          <w:trHeight w:val="13"/>
        </w:trPr>
        <w:tc>
          <w:tcPr>
            <w:tcW w:w="0" w:type="auto"/>
            <w:tcBorders>
              <w:top w:val="nil"/>
              <w:left w:val="nil"/>
              <w:bottom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proofErr w:type="spellStart"/>
            <w:r w:rsidRPr="00CF3748">
              <w:rPr>
                <w:rFonts w:cs="Times New Roman"/>
                <w:kern w:val="0"/>
                <w:sz w:val="20"/>
                <w:szCs w:val="24"/>
              </w:rPr>
              <w:t>ReturnD</w:t>
            </w:r>
            <w:proofErr w:type="spellEnd"/>
          </w:p>
        </w:tc>
        <w:tc>
          <w:tcPr>
            <w:tcW w:w="0" w:type="auto"/>
            <w:tcBorders>
              <w:top w:val="nil"/>
              <w:left w:val="nil"/>
              <w:bottom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r w:rsidRPr="00CF3748">
              <w:rPr>
                <w:rFonts w:cs="Times New Roman"/>
                <w:kern w:val="0"/>
                <w:sz w:val="20"/>
                <w:szCs w:val="24"/>
              </w:rPr>
              <w:t>0.005</w:t>
            </w:r>
          </w:p>
        </w:tc>
        <w:tc>
          <w:tcPr>
            <w:tcW w:w="0" w:type="auto"/>
            <w:tcBorders>
              <w:top w:val="nil"/>
              <w:left w:val="nil"/>
              <w:bottom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r w:rsidRPr="00CF3748">
              <w:rPr>
                <w:rFonts w:cs="Times New Roman"/>
                <w:kern w:val="0"/>
                <w:sz w:val="20"/>
                <w:szCs w:val="24"/>
              </w:rPr>
              <w:t>0.013</w:t>
            </w:r>
          </w:p>
        </w:tc>
        <w:tc>
          <w:tcPr>
            <w:tcW w:w="0" w:type="auto"/>
            <w:tcBorders>
              <w:top w:val="nil"/>
              <w:left w:val="nil"/>
              <w:bottom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r w:rsidRPr="00CF3748">
              <w:rPr>
                <w:rFonts w:cs="Times New Roman"/>
                <w:kern w:val="0"/>
                <w:sz w:val="20"/>
                <w:szCs w:val="24"/>
              </w:rPr>
              <w:t>1.000</w:t>
            </w:r>
          </w:p>
        </w:tc>
        <w:tc>
          <w:tcPr>
            <w:tcW w:w="0" w:type="auto"/>
            <w:tcBorders>
              <w:top w:val="nil"/>
              <w:left w:val="nil"/>
              <w:bottom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p>
        </w:tc>
      </w:tr>
      <w:tr w:rsidR="00C11CAB" w:rsidRPr="00CF3748" w:rsidTr="00C11CAB">
        <w:trPr>
          <w:trHeight w:val="13"/>
        </w:trPr>
        <w:tc>
          <w:tcPr>
            <w:tcW w:w="0" w:type="auto"/>
            <w:tcBorders>
              <w:top w:val="nil"/>
              <w:left w:val="nil"/>
              <w:bottom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proofErr w:type="spellStart"/>
            <w:r w:rsidRPr="00CF3748">
              <w:rPr>
                <w:rFonts w:cs="Times New Roman"/>
                <w:kern w:val="0"/>
                <w:sz w:val="20"/>
                <w:szCs w:val="24"/>
              </w:rPr>
              <w:t>ForExD</w:t>
            </w:r>
            <w:proofErr w:type="spellEnd"/>
          </w:p>
        </w:tc>
        <w:tc>
          <w:tcPr>
            <w:tcW w:w="0" w:type="auto"/>
            <w:tcBorders>
              <w:top w:val="nil"/>
              <w:left w:val="nil"/>
              <w:bottom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r w:rsidRPr="00CF3748">
              <w:rPr>
                <w:rFonts w:cs="Times New Roman"/>
                <w:kern w:val="0"/>
                <w:sz w:val="20"/>
                <w:szCs w:val="24"/>
              </w:rPr>
              <w:t>0.019</w:t>
            </w:r>
            <w:r w:rsidRPr="00CF3748">
              <w:rPr>
                <w:rFonts w:cs="Times New Roman"/>
                <w:kern w:val="0"/>
                <w:sz w:val="20"/>
                <w:szCs w:val="24"/>
                <w:vertAlign w:val="superscript"/>
              </w:rPr>
              <w:t>**</w:t>
            </w:r>
          </w:p>
        </w:tc>
        <w:tc>
          <w:tcPr>
            <w:tcW w:w="0" w:type="auto"/>
            <w:tcBorders>
              <w:top w:val="nil"/>
              <w:left w:val="nil"/>
              <w:bottom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r w:rsidRPr="00CF3748">
              <w:rPr>
                <w:rFonts w:cs="Times New Roman"/>
                <w:kern w:val="0"/>
                <w:sz w:val="20"/>
                <w:szCs w:val="24"/>
              </w:rPr>
              <w:t>-0.030</w:t>
            </w:r>
            <w:r w:rsidRPr="00CF3748">
              <w:rPr>
                <w:rFonts w:cs="Times New Roman"/>
                <w:kern w:val="0"/>
                <w:sz w:val="20"/>
                <w:szCs w:val="24"/>
                <w:vertAlign w:val="superscript"/>
              </w:rPr>
              <w:t>***</w:t>
            </w:r>
          </w:p>
        </w:tc>
        <w:tc>
          <w:tcPr>
            <w:tcW w:w="0" w:type="auto"/>
            <w:tcBorders>
              <w:top w:val="nil"/>
              <w:left w:val="nil"/>
              <w:bottom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r w:rsidRPr="00CF3748">
              <w:rPr>
                <w:rFonts w:cs="Times New Roman"/>
                <w:kern w:val="0"/>
                <w:sz w:val="20"/>
                <w:szCs w:val="24"/>
              </w:rPr>
              <w:t>-0.156</w:t>
            </w:r>
            <w:r w:rsidRPr="00CF3748">
              <w:rPr>
                <w:rFonts w:cs="Times New Roman"/>
                <w:kern w:val="0"/>
                <w:sz w:val="20"/>
                <w:szCs w:val="24"/>
                <w:vertAlign w:val="superscript"/>
              </w:rPr>
              <w:t>***</w:t>
            </w:r>
          </w:p>
        </w:tc>
        <w:tc>
          <w:tcPr>
            <w:tcW w:w="0" w:type="auto"/>
            <w:tcBorders>
              <w:top w:val="nil"/>
              <w:left w:val="nil"/>
              <w:bottom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r w:rsidRPr="00CF3748">
              <w:rPr>
                <w:rFonts w:cs="Times New Roman"/>
                <w:kern w:val="0"/>
                <w:sz w:val="20"/>
                <w:szCs w:val="24"/>
              </w:rPr>
              <w:t>1.000</w:t>
            </w:r>
          </w:p>
        </w:tc>
        <w:tc>
          <w:tcPr>
            <w:tcW w:w="0" w:type="auto"/>
            <w:tcBorders>
              <w:top w:val="nil"/>
              <w:left w:val="nil"/>
              <w:bottom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p>
        </w:tc>
      </w:tr>
      <w:tr w:rsidR="00C11CAB" w:rsidRPr="00CF3748" w:rsidTr="00C11CAB">
        <w:trPr>
          <w:trHeight w:val="13"/>
        </w:trPr>
        <w:tc>
          <w:tcPr>
            <w:tcW w:w="0" w:type="auto"/>
            <w:tcBorders>
              <w:top w:val="nil"/>
              <w:left w:val="nil"/>
              <w:bottom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r w:rsidRPr="00CF3748">
              <w:rPr>
                <w:rFonts w:cs="Times New Roman"/>
                <w:kern w:val="0"/>
                <w:sz w:val="20"/>
                <w:szCs w:val="24"/>
              </w:rPr>
              <w:t>GDPPCD</w:t>
            </w:r>
          </w:p>
        </w:tc>
        <w:tc>
          <w:tcPr>
            <w:tcW w:w="0" w:type="auto"/>
            <w:tcBorders>
              <w:top w:val="nil"/>
              <w:left w:val="nil"/>
              <w:bottom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r w:rsidRPr="00CF3748">
              <w:rPr>
                <w:rFonts w:cs="Times New Roman"/>
                <w:kern w:val="0"/>
                <w:sz w:val="20"/>
                <w:szCs w:val="24"/>
              </w:rPr>
              <w:t>0.058</w:t>
            </w:r>
            <w:r w:rsidRPr="00CF3748">
              <w:rPr>
                <w:rFonts w:cs="Times New Roman"/>
                <w:kern w:val="0"/>
                <w:sz w:val="20"/>
                <w:szCs w:val="24"/>
                <w:vertAlign w:val="superscript"/>
              </w:rPr>
              <w:t>***</w:t>
            </w:r>
          </w:p>
        </w:tc>
        <w:tc>
          <w:tcPr>
            <w:tcW w:w="0" w:type="auto"/>
            <w:tcBorders>
              <w:top w:val="nil"/>
              <w:left w:val="nil"/>
              <w:bottom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r w:rsidRPr="00CF3748">
              <w:rPr>
                <w:rFonts w:cs="Times New Roman"/>
                <w:kern w:val="0"/>
                <w:sz w:val="20"/>
                <w:szCs w:val="24"/>
              </w:rPr>
              <w:t>-0.044</w:t>
            </w:r>
            <w:r w:rsidRPr="00CF3748">
              <w:rPr>
                <w:rFonts w:cs="Times New Roman"/>
                <w:kern w:val="0"/>
                <w:sz w:val="20"/>
                <w:szCs w:val="24"/>
                <w:vertAlign w:val="superscript"/>
              </w:rPr>
              <w:t>***</w:t>
            </w:r>
          </w:p>
        </w:tc>
        <w:tc>
          <w:tcPr>
            <w:tcW w:w="0" w:type="auto"/>
            <w:tcBorders>
              <w:top w:val="nil"/>
              <w:left w:val="nil"/>
              <w:bottom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r w:rsidRPr="00CF3748">
              <w:rPr>
                <w:rFonts w:cs="Times New Roman"/>
                <w:kern w:val="0"/>
                <w:sz w:val="20"/>
                <w:szCs w:val="24"/>
              </w:rPr>
              <w:t>-0.134</w:t>
            </w:r>
            <w:r w:rsidRPr="00CF3748">
              <w:rPr>
                <w:rFonts w:cs="Times New Roman"/>
                <w:kern w:val="0"/>
                <w:sz w:val="20"/>
                <w:szCs w:val="24"/>
                <w:vertAlign w:val="superscript"/>
              </w:rPr>
              <w:t>***</w:t>
            </w:r>
          </w:p>
        </w:tc>
        <w:tc>
          <w:tcPr>
            <w:tcW w:w="0" w:type="auto"/>
            <w:tcBorders>
              <w:top w:val="nil"/>
              <w:left w:val="nil"/>
              <w:bottom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r w:rsidRPr="00CF3748">
              <w:rPr>
                <w:rFonts w:cs="Times New Roman"/>
                <w:kern w:val="0"/>
                <w:sz w:val="20"/>
                <w:szCs w:val="24"/>
              </w:rPr>
              <w:t>0.195</w:t>
            </w:r>
            <w:r w:rsidRPr="00CF3748">
              <w:rPr>
                <w:rFonts w:cs="Times New Roman"/>
                <w:kern w:val="0"/>
                <w:sz w:val="20"/>
                <w:szCs w:val="24"/>
                <w:vertAlign w:val="superscript"/>
              </w:rPr>
              <w:t>***</w:t>
            </w:r>
          </w:p>
        </w:tc>
        <w:tc>
          <w:tcPr>
            <w:tcW w:w="0" w:type="auto"/>
            <w:tcBorders>
              <w:top w:val="nil"/>
              <w:left w:val="nil"/>
              <w:bottom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r w:rsidRPr="00CF3748">
              <w:rPr>
                <w:rFonts w:cs="Times New Roman"/>
                <w:kern w:val="0"/>
                <w:sz w:val="20"/>
                <w:szCs w:val="24"/>
              </w:rPr>
              <w:t>1.000</w:t>
            </w:r>
          </w:p>
        </w:tc>
        <w:tc>
          <w:tcPr>
            <w:tcW w:w="0" w:type="auto"/>
            <w:tcBorders>
              <w:top w:val="nil"/>
              <w:left w:val="nil"/>
              <w:bottom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p>
        </w:tc>
      </w:tr>
      <w:tr w:rsidR="00C11CAB" w:rsidRPr="00CF3748" w:rsidTr="00C11CAB">
        <w:trPr>
          <w:trHeight w:val="13"/>
        </w:trPr>
        <w:tc>
          <w:tcPr>
            <w:tcW w:w="0" w:type="auto"/>
            <w:tcBorders>
              <w:top w:val="nil"/>
              <w:left w:val="nil"/>
              <w:bottom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r w:rsidRPr="00CF3748">
              <w:rPr>
                <w:rFonts w:cs="Times New Roman"/>
                <w:kern w:val="0"/>
                <w:sz w:val="20"/>
                <w:szCs w:val="24"/>
              </w:rPr>
              <w:t>GDPGD</w:t>
            </w:r>
          </w:p>
        </w:tc>
        <w:tc>
          <w:tcPr>
            <w:tcW w:w="0" w:type="auto"/>
            <w:tcBorders>
              <w:top w:val="nil"/>
              <w:left w:val="nil"/>
              <w:bottom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r w:rsidRPr="00CF3748">
              <w:rPr>
                <w:rFonts w:cs="Times New Roman"/>
                <w:kern w:val="0"/>
                <w:sz w:val="20"/>
                <w:szCs w:val="24"/>
              </w:rPr>
              <w:t>-0.020</w:t>
            </w:r>
            <w:r w:rsidRPr="00CF3748">
              <w:rPr>
                <w:rFonts w:cs="Times New Roman"/>
                <w:kern w:val="0"/>
                <w:sz w:val="20"/>
                <w:szCs w:val="24"/>
                <w:vertAlign w:val="superscript"/>
              </w:rPr>
              <w:t>**</w:t>
            </w:r>
          </w:p>
        </w:tc>
        <w:tc>
          <w:tcPr>
            <w:tcW w:w="0" w:type="auto"/>
            <w:tcBorders>
              <w:top w:val="nil"/>
              <w:left w:val="nil"/>
              <w:bottom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r w:rsidRPr="00CF3748">
              <w:rPr>
                <w:rFonts w:cs="Times New Roman"/>
                <w:kern w:val="0"/>
                <w:sz w:val="20"/>
                <w:szCs w:val="24"/>
              </w:rPr>
              <w:t>-0.028</w:t>
            </w:r>
            <w:r w:rsidRPr="00CF3748">
              <w:rPr>
                <w:rFonts w:cs="Times New Roman"/>
                <w:kern w:val="0"/>
                <w:sz w:val="20"/>
                <w:szCs w:val="24"/>
                <w:vertAlign w:val="superscript"/>
              </w:rPr>
              <w:t>***</w:t>
            </w:r>
          </w:p>
        </w:tc>
        <w:tc>
          <w:tcPr>
            <w:tcW w:w="0" w:type="auto"/>
            <w:tcBorders>
              <w:top w:val="nil"/>
              <w:left w:val="nil"/>
              <w:bottom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r w:rsidRPr="00CF3748">
              <w:rPr>
                <w:rFonts w:cs="Times New Roman"/>
                <w:kern w:val="0"/>
                <w:sz w:val="20"/>
                <w:szCs w:val="24"/>
              </w:rPr>
              <w:t>0.064</w:t>
            </w:r>
            <w:r w:rsidRPr="00CF3748">
              <w:rPr>
                <w:rFonts w:cs="Times New Roman"/>
                <w:kern w:val="0"/>
                <w:sz w:val="20"/>
                <w:szCs w:val="24"/>
                <w:vertAlign w:val="superscript"/>
              </w:rPr>
              <w:t>***</w:t>
            </w:r>
          </w:p>
        </w:tc>
        <w:tc>
          <w:tcPr>
            <w:tcW w:w="0" w:type="auto"/>
            <w:tcBorders>
              <w:top w:val="nil"/>
              <w:left w:val="nil"/>
              <w:bottom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r w:rsidRPr="00CF3748">
              <w:rPr>
                <w:rFonts w:cs="Times New Roman"/>
                <w:kern w:val="0"/>
                <w:sz w:val="20"/>
                <w:szCs w:val="24"/>
              </w:rPr>
              <w:t>0.036</w:t>
            </w:r>
            <w:r w:rsidRPr="00CF3748">
              <w:rPr>
                <w:rFonts w:cs="Times New Roman"/>
                <w:kern w:val="0"/>
                <w:sz w:val="20"/>
                <w:szCs w:val="24"/>
                <w:vertAlign w:val="superscript"/>
              </w:rPr>
              <w:t>***</w:t>
            </w:r>
          </w:p>
        </w:tc>
        <w:tc>
          <w:tcPr>
            <w:tcW w:w="0" w:type="auto"/>
            <w:tcBorders>
              <w:top w:val="nil"/>
              <w:left w:val="nil"/>
              <w:bottom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r w:rsidRPr="00CF3748">
              <w:rPr>
                <w:rFonts w:cs="Times New Roman"/>
                <w:kern w:val="0"/>
                <w:sz w:val="20"/>
                <w:szCs w:val="24"/>
              </w:rPr>
              <w:t>-0.109</w:t>
            </w:r>
            <w:r w:rsidRPr="00CF3748">
              <w:rPr>
                <w:rFonts w:cs="Times New Roman"/>
                <w:kern w:val="0"/>
                <w:sz w:val="20"/>
                <w:szCs w:val="24"/>
                <w:vertAlign w:val="superscript"/>
              </w:rPr>
              <w:t>***</w:t>
            </w:r>
          </w:p>
        </w:tc>
        <w:tc>
          <w:tcPr>
            <w:tcW w:w="0" w:type="auto"/>
            <w:tcBorders>
              <w:top w:val="nil"/>
              <w:left w:val="nil"/>
              <w:bottom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r w:rsidRPr="00CF3748">
              <w:rPr>
                <w:rFonts w:cs="Times New Roman"/>
                <w:kern w:val="0"/>
                <w:sz w:val="20"/>
                <w:szCs w:val="24"/>
              </w:rPr>
              <w:t>1.000</w:t>
            </w:r>
          </w:p>
        </w:tc>
        <w:tc>
          <w:tcPr>
            <w:tcW w:w="0" w:type="auto"/>
            <w:tcBorders>
              <w:top w:val="nil"/>
              <w:left w:val="nil"/>
              <w:bottom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p>
        </w:tc>
      </w:tr>
      <w:tr w:rsidR="00C11CAB" w:rsidRPr="00CF3748" w:rsidTr="00C11CAB">
        <w:trPr>
          <w:trHeight w:val="13"/>
        </w:trPr>
        <w:tc>
          <w:tcPr>
            <w:tcW w:w="0" w:type="auto"/>
            <w:tcBorders>
              <w:top w:val="nil"/>
              <w:left w:val="nil"/>
              <w:bottom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r w:rsidRPr="00CF3748">
              <w:rPr>
                <w:rFonts w:cs="Times New Roman"/>
                <w:kern w:val="0"/>
                <w:sz w:val="20"/>
                <w:szCs w:val="24"/>
              </w:rPr>
              <w:t>Close</w:t>
            </w:r>
          </w:p>
        </w:tc>
        <w:tc>
          <w:tcPr>
            <w:tcW w:w="0" w:type="auto"/>
            <w:tcBorders>
              <w:top w:val="nil"/>
              <w:left w:val="nil"/>
              <w:bottom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r w:rsidRPr="00CF3748">
              <w:rPr>
                <w:rFonts w:cs="Times New Roman"/>
                <w:kern w:val="0"/>
                <w:sz w:val="20"/>
                <w:szCs w:val="24"/>
              </w:rPr>
              <w:t>-0.067</w:t>
            </w:r>
            <w:r w:rsidRPr="00CF3748">
              <w:rPr>
                <w:rFonts w:cs="Times New Roman"/>
                <w:kern w:val="0"/>
                <w:sz w:val="20"/>
                <w:szCs w:val="24"/>
                <w:vertAlign w:val="superscript"/>
              </w:rPr>
              <w:t>***</w:t>
            </w:r>
          </w:p>
        </w:tc>
        <w:tc>
          <w:tcPr>
            <w:tcW w:w="0" w:type="auto"/>
            <w:tcBorders>
              <w:top w:val="nil"/>
              <w:left w:val="nil"/>
              <w:bottom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r w:rsidRPr="00CF3748">
              <w:rPr>
                <w:rFonts w:cs="Times New Roman"/>
                <w:kern w:val="0"/>
                <w:sz w:val="20"/>
                <w:szCs w:val="24"/>
              </w:rPr>
              <w:t>-0.209</w:t>
            </w:r>
            <w:r w:rsidRPr="00CF3748">
              <w:rPr>
                <w:rFonts w:cs="Times New Roman"/>
                <w:kern w:val="0"/>
                <w:sz w:val="20"/>
                <w:szCs w:val="24"/>
                <w:vertAlign w:val="superscript"/>
              </w:rPr>
              <w:t>***</w:t>
            </w:r>
          </w:p>
        </w:tc>
        <w:tc>
          <w:tcPr>
            <w:tcW w:w="0" w:type="auto"/>
            <w:tcBorders>
              <w:top w:val="nil"/>
              <w:left w:val="nil"/>
              <w:bottom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r w:rsidRPr="00CF3748">
              <w:rPr>
                <w:rFonts w:cs="Times New Roman"/>
                <w:kern w:val="0"/>
                <w:sz w:val="20"/>
                <w:szCs w:val="24"/>
              </w:rPr>
              <w:t>0.003</w:t>
            </w:r>
          </w:p>
        </w:tc>
        <w:tc>
          <w:tcPr>
            <w:tcW w:w="0" w:type="auto"/>
            <w:tcBorders>
              <w:top w:val="nil"/>
              <w:left w:val="nil"/>
              <w:bottom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r w:rsidRPr="00CF3748">
              <w:rPr>
                <w:rFonts w:cs="Times New Roman"/>
                <w:kern w:val="0"/>
                <w:sz w:val="20"/>
                <w:szCs w:val="24"/>
              </w:rPr>
              <w:t>-0.029</w:t>
            </w:r>
            <w:r w:rsidRPr="00CF3748">
              <w:rPr>
                <w:rFonts w:cs="Times New Roman"/>
                <w:kern w:val="0"/>
                <w:sz w:val="20"/>
                <w:szCs w:val="24"/>
                <w:vertAlign w:val="superscript"/>
              </w:rPr>
              <w:t>***</w:t>
            </w:r>
          </w:p>
        </w:tc>
        <w:tc>
          <w:tcPr>
            <w:tcW w:w="0" w:type="auto"/>
            <w:tcBorders>
              <w:top w:val="nil"/>
              <w:left w:val="nil"/>
              <w:bottom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r w:rsidRPr="00CF3748">
              <w:rPr>
                <w:rFonts w:cs="Times New Roman"/>
                <w:kern w:val="0"/>
                <w:sz w:val="20"/>
                <w:szCs w:val="24"/>
              </w:rPr>
              <w:t>-0.120</w:t>
            </w:r>
            <w:r w:rsidRPr="00CF3748">
              <w:rPr>
                <w:rFonts w:cs="Times New Roman"/>
                <w:kern w:val="0"/>
                <w:sz w:val="20"/>
                <w:szCs w:val="24"/>
                <w:vertAlign w:val="superscript"/>
              </w:rPr>
              <w:t>***</w:t>
            </w:r>
          </w:p>
        </w:tc>
        <w:tc>
          <w:tcPr>
            <w:tcW w:w="0" w:type="auto"/>
            <w:tcBorders>
              <w:top w:val="nil"/>
              <w:left w:val="nil"/>
              <w:bottom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r w:rsidRPr="00CF3748">
              <w:rPr>
                <w:rFonts w:cs="Times New Roman"/>
                <w:kern w:val="0"/>
                <w:sz w:val="20"/>
                <w:szCs w:val="24"/>
              </w:rPr>
              <w:t>0.030</w:t>
            </w:r>
            <w:r w:rsidRPr="00CF3748">
              <w:rPr>
                <w:rFonts w:cs="Times New Roman"/>
                <w:kern w:val="0"/>
                <w:sz w:val="20"/>
                <w:szCs w:val="24"/>
                <w:vertAlign w:val="superscript"/>
              </w:rPr>
              <w:t>***</w:t>
            </w:r>
          </w:p>
        </w:tc>
        <w:tc>
          <w:tcPr>
            <w:tcW w:w="0" w:type="auto"/>
            <w:tcBorders>
              <w:top w:val="nil"/>
              <w:left w:val="nil"/>
              <w:bottom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r w:rsidRPr="00CF3748">
              <w:rPr>
                <w:rFonts w:cs="Times New Roman"/>
                <w:kern w:val="0"/>
                <w:sz w:val="20"/>
                <w:szCs w:val="24"/>
              </w:rPr>
              <w:t>1.000</w:t>
            </w:r>
          </w:p>
        </w:tc>
        <w:tc>
          <w:tcPr>
            <w:tcW w:w="0" w:type="auto"/>
            <w:tcBorders>
              <w:top w:val="nil"/>
              <w:left w:val="nil"/>
              <w:bottom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p>
        </w:tc>
      </w:tr>
      <w:tr w:rsidR="00C11CAB" w:rsidRPr="00CF3748" w:rsidTr="00C11CAB">
        <w:trPr>
          <w:trHeight w:val="13"/>
        </w:trPr>
        <w:tc>
          <w:tcPr>
            <w:tcW w:w="0" w:type="auto"/>
            <w:tcBorders>
              <w:top w:val="nil"/>
              <w:left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r w:rsidRPr="00CF3748">
              <w:rPr>
                <w:rFonts w:cs="Times New Roman"/>
                <w:kern w:val="0"/>
                <w:sz w:val="20"/>
                <w:szCs w:val="24"/>
              </w:rPr>
              <w:t>Culture</w:t>
            </w:r>
          </w:p>
        </w:tc>
        <w:tc>
          <w:tcPr>
            <w:tcW w:w="0" w:type="auto"/>
            <w:tcBorders>
              <w:top w:val="nil"/>
              <w:left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r w:rsidRPr="00CF3748">
              <w:rPr>
                <w:rFonts w:cs="Times New Roman"/>
                <w:kern w:val="0"/>
                <w:sz w:val="20"/>
                <w:szCs w:val="24"/>
              </w:rPr>
              <w:t>0.042</w:t>
            </w:r>
            <w:r w:rsidRPr="00CF3748">
              <w:rPr>
                <w:rFonts w:cs="Times New Roman"/>
                <w:kern w:val="0"/>
                <w:sz w:val="20"/>
                <w:szCs w:val="24"/>
                <w:vertAlign w:val="superscript"/>
              </w:rPr>
              <w:t>***</w:t>
            </w:r>
          </w:p>
        </w:tc>
        <w:tc>
          <w:tcPr>
            <w:tcW w:w="0" w:type="auto"/>
            <w:tcBorders>
              <w:top w:val="nil"/>
              <w:left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r w:rsidRPr="00CF3748">
              <w:rPr>
                <w:rFonts w:cs="Times New Roman"/>
                <w:kern w:val="0"/>
                <w:sz w:val="20"/>
                <w:szCs w:val="24"/>
              </w:rPr>
              <w:t>-0.059</w:t>
            </w:r>
            <w:r w:rsidRPr="00CF3748">
              <w:rPr>
                <w:rFonts w:cs="Times New Roman"/>
                <w:kern w:val="0"/>
                <w:sz w:val="20"/>
                <w:szCs w:val="24"/>
                <w:vertAlign w:val="superscript"/>
              </w:rPr>
              <w:t>***</w:t>
            </w:r>
          </w:p>
        </w:tc>
        <w:tc>
          <w:tcPr>
            <w:tcW w:w="0" w:type="auto"/>
            <w:tcBorders>
              <w:top w:val="nil"/>
              <w:left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r w:rsidRPr="00CF3748">
              <w:rPr>
                <w:rFonts w:cs="Times New Roman"/>
                <w:kern w:val="0"/>
                <w:sz w:val="20"/>
                <w:szCs w:val="24"/>
              </w:rPr>
              <w:t>0.014</w:t>
            </w:r>
          </w:p>
        </w:tc>
        <w:tc>
          <w:tcPr>
            <w:tcW w:w="0" w:type="auto"/>
            <w:tcBorders>
              <w:top w:val="nil"/>
              <w:left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r w:rsidRPr="00CF3748">
              <w:rPr>
                <w:rFonts w:cs="Times New Roman"/>
                <w:kern w:val="0"/>
                <w:sz w:val="20"/>
                <w:szCs w:val="24"/>
              </w:rPr>
              <w:t>-0.017</w:t>
            </w:r>
            <w:r w:rsidRPr="00CF3748">
              <w:rPr>
                <w:rFonts w:cs="Times New Roman"/>
                <w:kern w:val="0"/>
                <w:sz w:val="20"/>
                <w:szCs w:val="24"/>
                <w:vertAlign w:val="superscript"/>
              </w:rPr>
              <w:t>**</w:t>
            </w:r>
          </w:p>
        </w:tc>
        <w:tc>
          <w:tcPr>
            <w:tcW w:w="0" w:type="auto"/>
            <w:tcBorders>
              <w:top w:val="nil"/>
              <w:left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r w:rsidRPr="00CF3748">
              <w:rPr>
                <w:rFonts w:cs="Times New Roman"/>
                <w:kern w:val="0"/>
                <w:sz w:val="20"/>
                <w:szCs w:val="24"/>
              </w:rPr>
              <w:t>-0.161</w:t>
            </w:r>
            <w:r w:rsidRPr="00CF3748">
              <w:rPr>
                <w:rFonts w:cs="Times New Roman"/>
                <w:kern w:val="0"/>
                <w:sz w:val="20"/>
                <w:szCs w:val="24"/>
                <w:vertAlign w:val="superscript"/>
              </w:rPr>
              <w:t>***</w:t>
            </w:r>
          </w:p>
        </w:tc>
        <w:tc>
          <w:tcPr>
            <w:tcW w:w="0" w:type="auto"/>
            <w:tcBorders>
              <w:top w:val="nil"/>
              <w:left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r w:rsidRPr="00CF3748">
              <w:rPr>
                <w:rFonts w:cs="Times New Roman"/>
                <w:kern w:val="0"/>
                <w:sz w:val="20"/>
                <w:szCs w:val="24"/>
              </w:rPr>
              <w:t>0.048</w:t>
            </w:r>
            <w:r w:rsidRPr="00CF3748">
              <w:rPr>
                <w:rFonts w:cs="Times New Roman"/>
                <w:kern w:val="0"/>
                <w:sz w:val="20"/>
                <w:szCs w:val="24"/>
                <w:vertAlign w:val="superscript"/>
              </w:rPr>
              <w:t>***</w:t>
            </w:r>
          </w:p>
        </w:tc>
        <w:tc>
          <w:tcPr>
            <w:tcW w:w="0" w:type="auto"/>
            <w:tcBorders>
              <w:top w:val="nil"/>
              <w:left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r w:rsidRPr="00CF3748">
              <w:rPr>
                <w:rFonts w:cs="Times New Roman"/>
                <w:kern w:val="0"/>
                <w:sz w:val="20"/>
                <w:szCs w:val="24"/>
              </w:rPr>
              <w:t>-0.092</w:t>
            </w:r>
            <w:r w:rsidRPr="00CF3748">
              <w:rPr>
                <w:rFonts w:cs="Times New Roman"/>
                <w:kern w:val="0"/>
                <w:sz w:val="20"/>
                <w:szCs w:val="24"/>
                <w:vertAlign w:val="superscript"/>
              </w:rPr>
              <w:t>***</w:t>
            </w:r>
          </w:p>
        </w:tc>
        <w:tc>
          <w:tcPr>
            <w:tcW w:w="0" w:type="auto"/>
            <w:tcBorders>
              <w:top w:val="nil"/>
              <w:left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r w:rsidRPr="00CF3748">
              <w:rPr>
                <w:rFonts w:cs="Times New Roman"/>
                <w:kern w:val="0"/>
                <w:sz w:val="20"/>
                <w:szCs w:val="24"/>
              </w:rPr>
              <w:t>1.000</w:t>
            </w:r>
          </w:p>
        </w:tc>
        <w:tc>
          <w:tcPr>
            <w:tcW w:w="0" w:type="auto"/>
            <w:tcBorders>
              <w:top w:val="nil"/>
              <w:left w:val="nil"/>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p>
        </w:tc>
      </w:tr>
      <w:tr w:rsidR="00C11CAB" w:rsidRPr="00CF3748" w:rsidTr="00C11CAB">
        <w:trPr>
          <w:trHeight w:val="13"/>
        </w:trPr>
        <w:tc>
          <w:tcPr>
            <w:tcW w:w="0" w:type="auto"/>
            <w:tcBorders>
              <w:top w:val="nil"/>
              <w:left w:val="nil"/>
              <w:bottom w:val="single" w:sz="4" w:space="0" w:color="auto"/>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r w:rsidRPr="00CF3748">
              <w:rPr>
                <w:rFonts w:cs="Times New Roman"/>
                <w:kern w:val="0"/>
                <w:sz w:val="20"/>
                <w:szCs w:val="24"/>
              </w:rPr>
              <w:t>WGID</w:t>
            </w:r>
          </w:p>
        </w:tc>
        <w:tc>
          <w:tcPr>
            <w:tcW w:w="0" w:type="auto"/>
            <w:tcBorders>
              <w:top w:val="nil"/>
              <w:left w:val="nil"/>
              <w:bottom w:val="single" w:sz="4" w:space="0" w:color="auto"/>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r w:rsidRPr="00CF3748">
              <w:rPr>
                <w:rFonts w:cs="Times New Roman"/>
                <w:kern w:val="0"/>
                <w:sz w:val="20"/>
                <w:szCs w:val="24"/>
              </w:rPr>
              <w:t>0.018</w:t>
            </w:r>
            <w:r w:rsidRPr="00CF3748">
              <w:rPr>
                <w:rFonts w:cs="Times New Roman"/>
                <w:kern w:val="0"/>
                <w:sz w:val="20"/>
                <w:szCs w:val="24"/>
                <w:vertAlign w:val="superscript"/>
              </w:rPr>
              <w:t>**</w:t>
            </w:r>
          </w:p>
        </w:tc>
        <w:tc>
          <w:tcPr>
            <w:tcW w:w="0" w:type="auto"/>
            <w:tcBorders>
              <w:top w:val="nil"/>
              <w:left w:val="nil"/>
              <w:bottom w:val="single" w:sz="4" w:space="0" w:color="auto"/>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r w:rsidRPr="00CF3748">
              <w:rPr>
                <w:rFonts w:cs="Times New Roman"/>
                <w:kern w:val="0"/>
                <w:sz w:val="20"/>
                <w:szCs w:val="24"/>
              </w:rPr>
              <w:t>-0.005</w:t>
            </w:r>
          </w:p>
        </w:tc>
        <w:tc>
          <w:tcPr>
            <w:tcW w:w="0" w:type="auto"/>
            <w:tcBorders>
              <w:top w:val="nil"/>
              <w:left w:val="nil"/>
              <w:bottom w:val="single" w:sz="4" w:space="0" w:color="auto"/>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r w:rsidRPr="00CF3748">
              <w:rPr>
                <w:rFonts w:cs="Times New Roman"/>
                <w:kern w:val="0"/>
                <w:sz w:val="20"/>
                <w:szCs w:val="24"/>
              </w:rPr>
              <w:t>-0.047</w:t>
            </w:r>
            <w:r w:rsidRPr="00CF3748">
              <w:rPr>
                <w:rFonts w:cs="Times New Roman"/>
                <w:kern w:val="0"/>
                <w:sz w:val="20"/>
                <w:szCs w:val="24"/>
                <w:vertAlign w:val="superscript"/>
              </w:rPr>
              <w:t>***</w:t>
            </w:r>
          </w:p>
        </w:tc>
        <w:tc>
          <w:tcPr>
            <w:tcW w:w="0" w:type="auto"/>
            <w:tcBorders>
              <w:top w:val="nil"/>
              <w:left w:val="nil"/>
              <w:bottom w:val="single" w:sz="4" w:space="0" w:color="auto"/>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r w:rsidRPr="00CF3748">
              <w:rPr>
                <w:rFonts w:cs="Times New Roman"/>
                <w:kern w:val="0"/>
                <w:sz w:val="20"/>
                <w:szCs w:val="24"/>
              </w:rPr>
              <w:t>0.148</w:t>
            </w:r>
            <w:r w:rsidRPr="00CF3748">
              <w:rPr>
                <w:rFonts w:cs="Times New Roman"/>
                <w:kern w:val="0"/>
                <w:sz w:val="20"/>
                <w:szCs w:val="24"/>
                <w:vertAlign w:val="superscript"/>
              </w:rPr>
              <w:t>***</w:t>
            </w:r>
          </w:p>
        </w:tc>
        <w:tc>
          <w:tcPr>
            <w:tcW w:w="0" w:type="auto"/>
            <w:tcBorders>
              <w:top w:val="nil"/>
              <w:left w:val="nil"/>
              <w:bottom w:val="single" w:sz="4" w:space="0" w:color="auto"/>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r w:rsidRPr="00CF3748">
              <w:rPr>
                <w:rFonts w:cs="Times New Roman"/>
                <w:kern w:val="0"/>
                <w:sz w:val="20"/>
                <w:szCs w:val="24"/>
              </w:rPr>
              <w:t>0.803</w:t>
            </w:r>
            <w:r w:rsidRPr="00CF3748">
              <w:rPr>
                <w:rFonts w:cs="Times New Roman"/>
                <w:kern w:val="0"/>
                <w:sz w:val="20"/>
                <w:szCs w:val="24"/>
                <w:vertAlign w:val="superscript"/>
              </w:rPr>
              <w:t>***</w:t>
            </w:r>
          </w:p>
        </w:tc>
        <w:tc>
          <w:tcPr>
            <w:tcW w:w="0" w:type="auto"/>
            <w:tcBorders>
              <w:top w:val="nil"/>
              <w:left w:val="nil"/>
              <w:bottom w:val="single" w:sz="4" w:space="0" w:color="auto"/>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r w:rsidRPr="00CF3748">
              <w:rPr>
                <w:rFonts w:cs="Times New Roman"/>
                <w:kern w:val="0"/>
                <w:sz w:val="20"/>
                <w:szCs w:val="24"/>
              </w:rPr>
              <w:t>-0.115</w:t>
            </w:r>
            <w:r w:rsidRPr="00CF3748">
              <w:rPr>
                <w:rFonts w:cs="Times New Roman"/>
                <w:kern w:val="0"/>
                <w:sz w:val="20"/>
                <w:szCs w:val="24"/>
                <w:vertAlign w:val="superscript"/>
              </w:rPr>
              <w:t>***</w:t>
            </w:r>
          </w:p>
        </w:tc>
        <w:tc>
          <w:tcPr>
            <w:tcW w:w="0" w:type="auto"/>
            <w:tcBorders>
              <w:top w:val="nil"/>
              <w:left w:val="nil"/>
              <w:bottom w:val="single" w:sz="4" w:space="0" w:color="auto"/>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r w:rsidRPr="00CF3748">
              <w:rPr>
                <w:rFonts w:cs="Times New Roman"/>
                <w:kern w:val="0"/>
                <w:sz w:val="20"/>
                <w:szCs w:val="24"/>
              </w:rPr>
              <w:t>-0.227</w:t>
            </w:r>
            <w:r w:rsidRPr="00CF3748">
              <w:rPr>
                <w:rFonts w:cs="Times New Roman"/>
                <w:kern w:val="0"/>
                <w:sz w:val="20"/>
                <w:szCs w:val="24"/>
                <w:vertAlign w:val="superscript"/>
              </w:rPr>
              <w:t>***</w:t>
            </w:r>
          </w:p>
        </w:tc>
        <w:tc>
          <w:tcPr>
            <w:tcW w:w="0" w:type="auto"/>
            <w:tcBorders>
              <w:top w:val="nil"/>
              <w:left w:val="nil"/>
              <w:bottom w:val="single" w:sz="4" w:space="0" w:color="auto"/>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r w:rsidRPr="00CF3748">
              <w:rPr>
                <w:rFonts w:cs="Times New Roman"/>
                <w:kern w:val="0"/>
                <w:sz w:val="20"/>
                <w:szCs w:val="24"/>
              </w:rPr>
              <w:t>-0.170</w:t>
            </w:r>
            <w:r w:rsidRPr="00CF3748">
              <w:rPr>
                <w:rFonts w:cs="Times New Roman"/>
                <w:kern w:val="0"/>
                <w:sz w:val="20"/>
                <w:szCs w:val="24"/>
                <w:vertAlign w:val="superscript"/>
              </w:rPr>
              <w:t>***</w:t>
            </w:r>
          </w:p>
        </w:tc>
        <w:tc>
          <w:tcPr>
            <w:tcW w:w="0" w:type="auto"/>
            <w:tcBorders>
              <w:top w:val="nil"/>
              <w:left w:val="nil"/>
              <w:bottom w:val="single" w:sz="4" w:space="0" w:color="auto"/>
              <w:right w:val="nil"/>
            </w:tcBorders>
            <w:vAlign w:val="center"/>
          </w:tcPr>
          <w:p w:rsidR="00C11CAB" w:rsidRPr="00CF3748" w:rsidRDefault="00C11CAB" w:rsidP="00C11CAB">
            <w:pPr>
              <w:autoSpaceDE w:val="0"/>
              <w:autoSpaceDN w:val="0"/>
              <w:adjustRightInd w:val="0"/>
              <w:jc w:val="center"/>
              <w:rPr>
                <w:rFonts w:cs="Times New Roman"/>
                <w:kern w:val="0"/>
                <w:sz w:val="20"/>
                <w:szCs w:val="24"/>
              </w:rPr>
            </w:pPr>
            <w:r w:rsidRPr="00CF3748">
              <w:rPr>
                <w:rFonts w:cs="Times New Roman"/>
                <w:kern w:val="0"/>
                <w:sz w:val="20"/>
                <w:szCs w:val="24"/>
              </w:rPr>
              <w:t>1.000</w:t>
            </w:r>
          </w:p>
        </w:tc>
      </w:tr>
    </w:tbl>
    <w:p w:rsidR="00C11CAB" w:rsidRDefault="00C11CAB" w:rsidP="00C11CAB">
      <w:pPr>
        <w:wordWrap/>
        <w:spacing w:line="400" w:lineRule="exact"/>
        <w:ind w:firstLineChars="200" w:firstLine="480"/>
      </w:pPr>
    </w:p>
    <w:p w:rsidR="004C2E18" w:rsidRDefault="0018445B" w:rsidP="00A212E7">
      <w:pPr>
        <w:pStyle w:val="2"/>
        <w:numPr>
          <w:ilvl w:val="0"/>
          <w:numId w:val="46"/>
        </w:numPr>
      </w:pPr>
      <w:r>
        <w:rPr>
          <w:rFonts w:hint="eastAsia"/>
        </w:rPr>
        <w:t>E</w:t>
      </w:r>
      <w:r w:rsidR="0082555E">
        <w:t>mpirical A</w:t>
      </w:r>
      <w:r>
        <w:t>n</w:t>
      </w:r>
      <w:r w:rsidR="0082555E">
        <w:rPr>
          <w:rFonts w:hint="eastAsia"/>
        </w:rPr>
        <w:t>a</w:t>
      </w:r>
      <w:r>
        <w:t>lysis</w:t>
      </w:r>
      <w:bookmarkEnd w:id="1"/>
    </w:p>
    <w:p w:rsidR="0082555E" w:rsidRPr="0082555E" w:rsidRDefault="004F36FA" w:rsidP="004F36FA">
      <w:pPr>
        <w:pStyle w:val="3"/>
      </w:pPr>
      <w:r>
        <w:t xml:space="preserve">4.1 </w:t>
      </w:r>
      <w:r w:rsidR="0082555E">
        <w:t>Tobit Model</w:t>
      </w:r>
    </w:p>
    <w:p w:rsidR="009E7CDB" w:rsidRDefault="009E7CDB" w:rsidP="009E7CDB">
      <w:pPr>
        <w:wordWrap/>
        <w:spacing w:line="400" w:lineRule="exact"/>
        <w:ind w:firstLineChars="200" w:firstLine="480"/>
      </w:pPr>
      <w:r>
        <w:t>The PR coefficient of the regression results</w:t>
      </w:r>
      <w:r w:rsidR="007E40C0">
        <w:t xml:space="preserve"> </w:t>
      </w:r>
      <w:r>
        <w:t xml:space="preserve">is significantly negative (at the </w:t>
      </w:r>
      <w:r>
        <w:lastRenderedPageBreak/>
        <w:t>significance level of 1%). After adding control variables involving two countries, the SWF</w:t>
      </w:r>
      <w:r w:rsidR="00E9613F">
        <w:t xml:space="preserve"> countries</w:t>
      </w:r>
      <w:r w:rsidR="007E40C0">
        <w:t xml:space="preserve"> </w:t>
      </w:r>
      <w:r>
        <w:t xml:space="preserve">and the </w:t>
      </w:r>
      <w:r w:rsidR="00E9613F">
        <w:t>target countries</w:t>
      </w:r>
      <w:r>
        <w:t xml:space="preserve"> respectively, the coefficients of PR are still significantly negative. This suggests that SWF does tend to invest in countries with relatively weak political ties to their home countries. The data results are still robust under different measurement methods</w:t>
      </w:r>
      <w:r w:rsidR="0097360A">
        <w:rPr>
          <w:rStyle w:val="a5"/>
        </w:rPr>
        <w:footnoteReference w:id="4"/>
      </w:r>
      <w:r>
        <w:t>.</w:t>
      </w:r>
    </w:p>
    <w:p w:rsidR="00FF242C" w:rsidRDefault="00FF242C" w:rsidP="009E7CDB">
      <w:pPr>
        <w:wordWrap/>
        <w:spacing w:line="400" w:lineRule="exact"/>
        <w:ind w:firstLineChars="200" w:firstLine="480"/>
      </w:pPr>
      <w:r w:rsidRPr="00FF242C">
        <w:t>From the coefficient of the control variable, we can see that the SWF tends to invest in countries with higher per capita GDP</w:t>
      </w:r>
      <w:r>
        <w:t xml:space="preserve"> which </w:t>
      </w:r>
      <w:r w:rsidRPr="00FF242C">
        <w:t>is consistent with our intuition. Generally speaking, countries with higher per capita GDP tend to have more developed financial markets, w</w:t>
      </w:r>
      <w:r>
        <w:t>hich can provide more financial</w:t>
      </w:r>
      <w:r w:rsidRPr="00FF242C">
        <w:t xml:space="preserve"> products. The coefficient of GDP GD is negative, but it is not 1% significant in (3) and (10). </w:t>
      </w:r>
      <w:r w:rsidR="00383AD6">
        <w:t>GDPGD’s</w:t>
      </w:r>
      <w:r w:rsidRPr="00FF242C">
        <w:t xml:space="preserve"> coefficient</w:t>
      </w:r>
      <w:r w:rsidR="00383AD6">
        <w:t xml:space="preserve"> is</w:t>
      </w:r>
      <w:r w:rsidRPr="00FF242C">
        <w:t xml:space="preserve"> close to 0 but negative indicat</w:t>
      </w:r>
      <w:r w:rsidR="00383AD6">
        <w:t>ing</w:t>
      </w:r>
      <w:r w:rsidRPr="00FF242C">
        <w:t xml:space="preserve"> that the growth rate of GDP in </w:t>
      </w:r>
      <w:r w:rsidR="00383AD6">
        <w:t xml:space="preserve">target </w:t>
      </w:r>
      <w:r w:rsidRPr="00FF242C">
        <w:t>countries is slightly lower than that in SWF countries. After all, countries with higher per capita GDP tend to have passed the stage of rapid GDP growth</w:t>
      </w:r>
      <w:r w:rsidR="00383AD6">
        <w:t xml:space="preserve">, </w:t>
      </w:r>
      <w:r w:rsidRPr="00FF242C">
        <w:t xml:space="preserve">while </w:t>
      </w:r>
      <w:r w:rsidR="00383AD6">
        <w:t>most</w:t>
      </w:r>
      <w:r w:rsidRPr="00FF242C">
        <w:t xml:space="preserve"> SWF </w:t>
      </w:r>
      <w:r w:rsidR="00383AD6">
        <w:t xml:space="preserve">countries </w:t>
      </w:r>
      <w:r w:rsidRPr="00FF242C">
        <w:t xml:space="preserve">are emerging market economies, </w:t>
      </w:r>
      <w:r w:rsidR="00383AD6">
        <w:t>experiencing fast GDP growth nowadays.</w:t>
      </w:r>
      <w:r w:rsidRPr="00FF242C">
        <w:t xml:space="preserve"> </w:t>
      </w:r>
      <w:r w:rsidR="00383AD6">
        <w:t xml:space="preserve">The </w:t>
      </w:r>
      <w:r w:rsidRPr="00FF242C">
        <w:t>coefficient</w:t>
      </w:r>
      <w:r w:rsidR="00383AD6">
        <w:t xml:space="preserve"> of </w:t>
      </w:r>
      <w:proofErr w:type="spellStart"/>
      <w:r w:rsidR="00383AD6">
        <w:t>ForExD</w:t>
      </w:r>
      <w:proofErr w:type="spellEnd"/>
      <w:r w:rsidR="00383AD6">
        <w:t xml:space="preserve"> is</w:t>
      </w:r>
      <w:r w:rsidRPr="00FF242C">
        <w:t xml:space="preserve"> positive </w:t>
      </w:r>
      <w:r w:rsidR="00383AD6">
        <w:t xml:space="preserve">but </w:t>
      </w:r>
      <w:r w:rsidRPr="00FF242C">
        <w:t>not statistically significant in formula (10). This seems to indicate that although SWF</w:t>
      </w:r>
      <w:r w:rsidR="002D34C6">
        <w:t>s tend</w:t>
      </w:r>
      <w:r w:rsidRPr="00FF242C">
        <w:t xml:space="preserve"> to invest in countries with higher foreign exchange earnings, the fluctuation of foreign exchange</w:t>
      </w:r>
      <w:r w:rsidR="002D34C6">
        <w:t xml:space="preserve"> </w:t>
      </w:r>
      <w:r w:rsidRPr="00FF242C">
        <w:t xml:space="preserve">is not particularly important in SWF investment decision-making. </w:t>
      </w:r>
      <w:r w:rsidR="002D34C6">
        <w:t xml:space="preserve">Coefficients of </w:t>
      </w:r>
      <w:proofErr w:type="spellStart"/>
      <w:r w:rsidR="002D34C6">
        <w:t>Return</w:t>
      </w:r>
      <w:r w:rsidRPr="00FF242C">
        <w:t>D</w:t>
      </w:r>
      <w:proofErr w:type="spellEnd"/>
      <w:r w:rsidRPr="00FF242C">
        <w:t xml:space="preserve"> and </w:t>
      </w:r>
      <w:proofErr w:type="spellStart"/>
      <w:r w:rsidRPr="00FF242C">
        <w:t>Corr</w:t>
      </w:r>
      <w:proofErr w:type="spellEnd"/>
      <w:r w:rsidR="002D34C6">
        <w:t xml:space="preserve"> </w:t>
      </w:r>
      <w:r w:rsidRPr="00FF242C">
        <w:t>are positive, but the former</w:t>
      </w:r>
      <w:r w:rsidR="002D34C6">
        <w:t xml:space="preserve"> is </w:t>
      </w:r>
      <w:r w:rsidRPr="00FF242C">
        <w:t xml:space="preserve">not significantly different from 0 in statistical sense, which reflects that SWF may not be particularly concerned about the volatility of the invested country's stock market. Close's coefficient is significantly negative, which indicates that SWF has a preference for </w:t>
      </w:r>
      <w:r w:rsidR="002D34C6">
        <w:t xml:space="preserve">close </w:t>
      </w:r>
      <w:r w:rsidRPr="00FF242C">
        <w:t>countries. The coefficient of Culture is significantly positive, which is consistent with the results of</w:t>
      </w:r>
      <w:r w:rsidR="002D34C6">
        <w:t xml:space="preserve"> </w:t>
      </w:r>
      <w:r w:rsidR="002D34C6">
        <w:fldChar w:fldCharType="begin"/>
      </w:r>
      <w:r w:rsidR="002D34C6">
        <w:instrText xml:space="preserve"> ADDIN EN.CITE &lt;EndNote&gt;&lt;Cite&gt;&lt;Author&gt;Chhaochharia&lt;/Author&gt;&lt;Year&gt;2009&lt;/Year&gt;&lt;RecNum&gt;882&lt;/RecNum&gt;&lt;DisplayText&gt;(Chhaochharia &amp;amp; Laeven, 2009)&lt;/DisplayText&gt;&lt;record&gt;&lt;rec-number&gt;882&lt;/rec-number&gt;&lt;foreign-keys&gt;&lt;key app="EN" db-id="09p992av6fr0zjepzxpxrf2h9vve0w099a5w" timestamp="1551606729"&gt;882&lt;/key&gt;&lt;/foreign-keys&gt;&lt;ref-type name="Journal Article"&gt;17&lt;/ref-type&gt;&lt;contributors&gt;&lt;authors&gt;&lt;author&gt;Chhaochharia, Vidhi&lt;/author&gt;&lt;author&gt;Laeven, Luc&lt;/author&gt;&lt;/authors&gt;&lt;/contributors&gt;&lt;titles&gt;&lt;title&gt;The investment allocation of sovereign wealth funds&lt;/title&gt;&lt;/titles&gt;&lt;dates&gt;&lt;year&gt;2009&lt;/year&gt;&lt;/dates&gt;&lt;urls&gt;&lt;/urls&gt;&lt;/record&gt;&lt;/Cite&gt;&lt;/EndNote&gt;</w:instrText>
      </w:r>
      <w:r w:rsidR="002D34C6">
        <w:fldChar w:fldCharType="separate"/>
      </w:r>
      <w:r w:rsidR="002D34C6">
        <w:rPr>
          <w:noProof/>
        </w:rPr>
        <w:t>(Chhaochharia &amp; Laeven, 2009)</w:t>
      </w:r>
      <w:r w:rsidR="002D34C6">
        <w:fldChar w:fldCharType="end"/>
      </w:r>
      <w:r w:rsidR="002D34C6">
        <w:t>; namely,</w:t>
      </w:r>
      <w:r w:rsidRPr="00FF242C">
        <w:t xml:space="preserve"> SWF tends to invest in countries similar to its own culture.</w:t>
      </w:r>
    </w:p>
    <w:p w:rsidR="000552AC" w:rsidRDefault="000552AC" w:rsidP="000552AC">
      <w:pPr>
        <w:pStyle w:val="a7"/>
        <w:keepNext/>
      </w:pPr>
      <w:r>
        <w:t xml:space="preserve">Table </w:t>
      </w:r>
      <w:r w:rsidR="00B105AF">
        <w:fldChar w:fldCharType="begin"/>
      </w:r>
      <w:r w:rsidR="00B105AF">
        <w:instrText xml:space="preserve"> SEQ Table \* ARABIC </w:instrText>
      </w:r>
      <w:r w:rsidR="00B105AF">
        <w:fldChar w:fldCharType="separate"/>
      </w:r>
      <w:r w:rsidR="00DC5497">
        <w:rPr>
          <w:noProof/>
        </w:rPr>
        <w:t>7</w:t>
      </w:r>
      <w:r w:rsidR="00B105AF">
        <w:rPr>
          <w:noProof/>
        </w:rPr>
        <w:fldChar w:fldCharType="end"/>
      </w:r>
      <w:r>
        <w:rPr>
          <w:noProof/>
        </w:rPr>
        <w:t xml:space="preserve"> </w:t>
      </w:r>
      <w:r w:rsidR="00CE75EE">
        <w:rPr>
          <w:noProof/>
        </w:rPr>
        <w:t xml:space="preserve">Tobit Model </w:t>
      </w:r>
      <w:r>
        <w:rPr>
          <w:noProof/>
        </w:rPr>
        <w:t>Main Results</w:t>
      </w:r>
    </w:p>
    <w:tbl>
      <w:tblPr>
        <w:tblW w:w="10511" w:type="dxa"/>
        <w:tblInd w:w="-993" w:type="dxa"/>
        <w:tblLook w:val="0000" w:firstRow="0" w:lastRow="0" w:firstColumn="0" w:lastColumn="0" w:noHBand="0" w:noVBand="0"/>
      </w:tblPr>
      <w:tblGrid>
        <w:gridCol w:w="892"/>
        <w:gridCol w:w="111"/>
        <w:gridCol w:w="1050"/>
        <w:gridCol w:w="954"/>
        <w:gridCol w:w="953"/>
        <w:gridCol w:w="953"/>
        <w:gridCol w:w="953"/>
        <w:gridCol w:w="953"/>
        <w:gridCol w:w="893"/>
        <w:gridCol w:w="953"/>
        <w:gridCol w:w="953"/>
        <w:gridCol w:w="893"/>
      </w:tblGrid>
      <w:tr w:rsidR="002D34C6" w:rsidRPr="00D45AE6" w:rsidTr="007518F2">
        <w:trPr>
          <w:trHeight w:val="20"/>
        </w:trPr>
        <w:tc>
          <w:tcPr>
            <w:tcW w:w="999" w:type="dxa"/>
            <w:gridSpan w:val="2"/>
            <w:tcBorders>
              <w:top w:val="single" w:sz="4" w:space="0" w:color="auto"/>
              <w:left w:val="nil"/>
              <w:bottom w:val="single" w:sz="4" w:space="0" w:color="auto"/>
              <w:right w:val="nil"/>
            </w:tcBorders>
            <w:vAlign w:val="center"/>
          </w:tcPr>
          <w:p w:rsidR="002D34C6" w:rsidRPr="00D45AE6" w:rsidRDefault="002D34C6" w:rsidP="002A2606">
            <w:pPr>
              <w:autoSpaceDE w:val="0"/>
              <w:autoSpaceDN w:val="0"/>
              <w:adjustRightInd w:val="0"/>
              <w:jc w:val="center"/>
              <w:rPr>
                <w:kern w:val="0"/>
                <w:sz w:val="18"/>
                <w:szCs w:val="24"/>
              </w:rPr>
            </w:pPr>
          </w:p>
        </w:tc>
        <w:tc>
          <w:tcPr>
            <w:tcW w:w="1046" w:type="dxa"/>
            <w:tcBorders>
              <w:top w:val="single" w:sz="4" w:space="0" w:color="auto"/>
              <w:left w:val="nil"/>
              <w:bottom w:val="single" w:sz="4" w:space="0" w:color="auto"/>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(1)</w:t>
            </w:r>
          </w:p>
        </w:tc>
        <w:tc>
          <w:tcPr>
            <w:tcW w:w="0" w:type="auto"/>
            <w:tcBorders>
              <w:top w:val="single" w:sz="4" w:space="0" w:color="auto"/>
              <w:left w:val="nil"/>
              <w:bottom w:val="single" w:sz="4" w:space="0" w:color="auto"/>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(2)</w:t>
            </w:r>
          </w:p>
        </w:tc>
        <w:tc>
          <w:tcPr>
            <w:tcW w:w="0" w:type="auto"/>
            <w:tcBorders>
              <w:top w:val="single" w:sz="4" w:space="0" w:color="auto"/>
              <w:left w:val="nil"/>
              <w:bottom w:val="single" w:sz="4" w:space="0" w:color="auto"/>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(3)</w:t>
            </w:r>
          </w:p>
        </w:tc>
        <w:tc>
          <w:tcPr>
            <w:tcW w:w="0" w:type="auto"/>
            <w:tcBorders>
              <w:top w:val="single" w:sz="4" w:space="0" w:color="auto"/>
              <w:left w:val="nil"/>
              <w:bottom w:val="single" w:sz="4" w:space="0" w:color="auto"/>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(4)</w:t>
            </w:r>
          </w:p>
        </w:tc>
        <w:tc>
          <w:tcPr>
            <w:tcW w:w="0" w:type="auto"/>
            <w:tcBorders>
              <w:top w:val="single" w:sz="4" w:space="0" w:color="auto"/>
              <w:left w:val="nil"/>
              <w:bottom w:val="single" w:sz="4" w:space="0" w:color="auto"/>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(5)</w:t>
            </w:r>
          </w:p>
        </w:tc>
        <w:tc>
          <w:tcPr>
            <w:tcW w:w="0" w:type="auto"/>
            <w:tcBorders>
              <w:top w:val="single" w:sz="4" w:space="0" w:color="auto"/>
              <w:left w:val="nil"/>
              <w:bottom w:val="single" w:sz="4" w:space="0" w:color="auto"/>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(6)</w:t>
            </w:r>
          </w:p>
        </w:tc>
        <w:tc>
          <w:tcPr>
            <w:tcW w:w="0" w:type="auto"/>
            <w:tcBorders>
              <w:top w:val="single" w:sz="4" w:space="0" w:color="auto"/>
              <w:left w:val="nil"/>
              <w:bottom w:val="single" w:sz="4" w:space="0" w:color="auto"/>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(7)</w:t>
            </w:r>
          </w:p>
        </w:tc>
        <w:tc>
          <w:tcPr>
            <w:tcW w:w="0" w:type="auto"/>
            <w:tcBorders>
              <w:top w:val="single" w:sz="4" w:space="0" w:color="auto"/>
              <w:left w:val="nil"/>
              <w:bottom w:val="single" w:sz="4" w:space="0" w:color="auto"/>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(8)</w:t>
            </w:r>
          </w:p>
        </w:tc>
        <w:tc>
          <w:tcPr>
            <w:tcW w:w="0" w:type="auto"/>
            <w:tcBorders>
              <w:top w:val="single" w:sz="4" w:space="0" w:color="auto"/>
              <w:left w:val="nil"/>
              <w:bottom w:val="single" w:sz="4" w:space="0" w:color="auto"/>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(9)</w:t>
            </w:r>
          </w:p>
        </w:tc>
        <w:tc>
          <w:tcPr>
            <w:tcW w:w="0" w:type="auto"/>
            <w:tcBorders>
              <w:top w:val="single" w:sz="4" w:space="0" w:color="auto"/>
              <w:left w:val="nil"/>
              <w:bottom w:val="single" w:sz="4" w:space="0" w:color="auto"/>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(10)</w:t>
            </w:r>
          </w:p>
        </w:tc>
      </w:tr>
      <w:tr w:rsidR="002D34C6" w:rsidRPr="00D45AE6" w:rsidTr="007518F2">
        <w:trPr>
          <w:trHeight w:val="20"/>
        </w:trPr>
        <w:tc>
          <w:tcPr>
            <w:tcW w:w="999" w:type="dxa"/>
            <w:gridSpan w:val="2"/>
            <w:tcBorders>
              <w:top w:val="single" w:sz="4" w:space="0" w:color="auto"/>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PR</w:t>
            </w:r>
          </w:p>
        </w:tc>
        <w:tc>
          <w:tcPr>
            <w:tcW w:w="1046" w:type="dxa"/>
            <w:tcBorders>
              <w:top w:val="single" w:sz="4" w:space="0" w:color="auto"/>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-1.686</w:t>
            </w:r>
            <w:r w:rsidRPr="00D45AE6">
              <w:rPr>
                <w:kern w:val="0"/>
                <w:sz w:val="18"/>
                <w:szCs w:val="24"/>
                <w:vertAlign w:val="superscript"/>
              </w:rPr>
              <w:t>***</w:t>
            </w:r>
          </w:p>
        </w:tc>
        <w:tc>
          <w:tcPr>
            <w:tcW w:w="0" w:type="auto"/>
            <w:tcBorders>
              <w:top w:val="single" w:sz="4" w:space="0" w:color="auto"/>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-1.225</w:t>
            </w:r>
            <w:r w:rsidRPr="00D45AE6">
              <w:rPr>
                <w:kern w:val="0"/>
                <w:sz w:val="18"/>
                <w:szCs w:val="24"/>
                <w:vertAlign w:val="superscript"/>
              </w:rPr>
              <w:t>*</w:t>
            </w:r>
          </w:p>
        </w:tc>
        <w:tc>
          <w:tcPr>
            <w:tcW w:w="0" w:type="auto"/>
            <w:tcBorders>
              <w:top w:val="single" w:sz="4" w:space="0" w:color="auto"/>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-1.710</w:t>
            </w:r>
            <w:r w:rsidRPr="00D45AE6">
              <w:rPr>
                <w:kern w:val="0"/>
                <w:sz w:val="18"/>
                <w:szCs w:val="24"/>
                <w:vertAlign w:val="superscript"/>
              </w:rPr>
              <w:t>***</w:t>
            </w:r>
          </w:p>
        </w:tc>
        <w:tc>
          <w:tcPr>
            <w:tcW w:w="0" w:type="auto"/>
            <w:tcBorders>
              <w:top w:val="single" w:sz="4" w:space="0" w:color="auto"/>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-1.656</w:t>
            </w:r>
            <w:r w:rsidRPr="00D45AE6">
              <w:rPr>
                <w:kern w:val="0"/>
                <w:sz w:val="18"/>
                <w:szCs w:val="24"/>
                <w:vertAlign w:val="superscript"/>
              </w:rPr>
              <w:t>***</w:t>
            </w:r>
          </w:p>
        </w:tc>
        <w:tc>
          <w:tcPr>
            <w:tcW w:w="0" w:type="auto"/>
            <w:tcBorders>
              <w:top w:val="single" w:sz="4" w:space="0" w:color="auto"/>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-1.657</w:t>
            </w:r>
            <w:r w:rsidRPr="00D45AE6">
              <w:rPr>
                <w:kern w:val="0"/>
                <w:sz w:val="18"/>
                <w:szCs w:val="24"/>
                <w:vertAlign w:val="superscript"/>
              </w:rPr>
              <w:t>**</w:t>
            </w:r>
          </w:p>
        </w:tc>
        <w:tc>
          <w:tcPr>
            <w:tcW w:w="0" w:type="auto"/>
            <w:tcBorders>
              <w:top w:val="single" w:sz="4" w:space="0" w:color="auto"/>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-1.333</w:t>
            </w:r>
            <w:r w:rsidRPr="00D45AE6">
              <w:rPr>
                <w:kern w:val="0"/>
                <w:sz w:val="18"/>
                <w:szCs w:val="24"/>
                <w:vertAlign w:val="superscript"/>
              </w:rPr>
              <w:t>**</w:t>
            </w:r>
          </w:p>
        </w:tc>
        <w:tc>
          <w:tcPr>
            <w:tcW w:w="0" w:type="auto"/>
            <w:tcBorders>
              <w:top w:val="single" w:sz="4" w:space="0" w:color="auto"/>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-3.411</w:t>
            </w:r>
            <w:r w:rsidRPr="00D45AE6">
              <w:rPr>
                <w:kern w:val="0"/>
                <w:sz w:val="18"/>
                <w:szCs w:val="24"/>
                <w:vertAlign w:val="superscript"/>
              </w:rPr>
              <w:t>***</w:t>
            </w:r>
          </w:p>
        </w:tc>
        <w:tc>
          <w:tcPr>
            <w:tcW w:w="0" w:type="auto"/>
            <w:tcBorders>
              <w:top w:val="single" w:sz="4" w:space="0" w:color="auto"/>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-1.483</w:t>
            </w:r>
            <w:r w:rsidRPr="00D45AE6">
              <w:rPr>
                <w:kern w:val="0"/>
                <w:sz w:val="18"/>
                <w:szCs w:val="24"/>
                <w:vertAlign w:val="superscript"/>
              </w:rPr>
              <w:t>**</w:t>
            </w:r>
          </w:p>
        </w:tc>
        <w:tc>
          <w:tcPr>
            <w:tcW w:w="0" w:type="auto"/>
            <w:tcBorders>
              <w:top w:val="single" w:sz="4" w:space="0" w:color="auto"/>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-1.610</w:t>
            </w:r>
            <w:r w:rsidRPr="00D45AE6">
              <w:rPr>
                <w:kern w:val="0"/>
                <w:sz w:val="18"/>
                <w:szCs w:val="24"/>
                <w:vertAlign w:val="superscript"/>
              </w:rPr>
              <w:t>**</w:t>
            </w:r>
          </w:p>
        </w:tc>
        <w:tc>
          <w:tcPr>
            <w:tcW w:w="0" w:type="auto"/>
            <w:tcBorders>
              <w:top w:val="single" w:sz="4" w:space="0" w:color="auto"/>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-3.050</w:t>
            </w:r>
            <w:r w:rsidRPr="00D45AE6">
              <w:rPr>
                <w:kern w:val="0"/>
                <w:sz w:val="18"/>
                <w:szCs w:val="24"/>
                <w:vertAlign w:val="superscript"/>
              </w:rPr>
              <w:t>***</w:t>
            </w:r>
          </w:p>
        </w:tc>
      </w:tr>
      <w:tr w:rsidR="002D34C6" w:rsidRPr="00D45AE6" w:rsidTr="007518F2">
        <w:trPr>
          <w:trHeight w:val="20"/>
        </w:trPr>
        <w:tc>
          <w:tcPr>
            <w:tcW w:w="999" w:type="dxa"/>
            <w:gridSpan w:val="2"/>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1046" w:type="dxa"/>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(-2.63)</w:t>
            </w: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(-1.88)</w:t>
            </w: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(-2.66)</w:t>
            </w: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(-2.58)</w:t>
            </w: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(-2.56)</w:t>
            </w: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(-2.07)</w:t>
            </w: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(-5.06)</w:t>
            </w: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(-2.33)</w:t>
            </w: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(-2.49)</w:t>
            </w: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(-4.43)</w:t>
            </w:r>
          </w:p>
        </w:tc>
      </w:tr>
      <w:tr w:rsidR="002D34C6" w:rsidRPr="00D45AE6" w:rsidTr="007518F2">
        <w:trPr>
          <w:trHeight w:val="20"/>
        </w:trPr>
        <w:tc>
          <w:tcPr>
            <w:tcW w:w="999" w:type="dxa"/>
            <w:gridSpan w:val="2"/>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GDPPCD</w:t>
            </w:r>
          </w:p>
        </w:tc>
        <w:tc>
          <w:tcPr>
            <w:tcW w:w="1046" w:type="dxa"/>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2.703</w:t>
            </w:r>
            <w:r w:rsidRPr="00D45AE6">
              <w:rPr>
                <w:kern w:val="0"/>
                <w:sz w:val="18"/>
                <w:szCs w:val="24"/>
                <w:vertAlign w:val="superscript"/>
              </w:rPr>
              <w:t>***</w:t>
            </w: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3.467</w:t>
            </w:r>
            <w:r w:rsidRPr="00D45AE6">
              <w:rPr>
                <w:kern w:val="0"/>
                <w:sz w:val="18"/>
                <w:szCs w:val="24"/>
                <w:vertAlign w:val="superscript"/>
              </w:rPr>
              <w:t>***</w:t>
            </w:r>
          </w:p>
        </w:tc>
      </w:tr>
      <w:tr w:rsidR="002D34C6" w:rsidRPr="00D45AE6" w:rsidTr="007518F2">
        <w:trPr>
          <w:trHeight w:val="20"/>
        </w:trPr>
        <w:tc>
          <w:tcPr>
            <w:tcW w:w="999" w:type="dxa"/>
            <w:gridSpan w:val="2"/>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1046" w:type="dxa"/>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(6.57)</w:t>
            </w: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(4.25)</w:t>
            </w:r>
          </w:p>
        </w:tc>
      </w:tr>
      <w:tr w:rsidR="002D34C6" w:rsidRPr="00D45AE6" w:rsidTr="007518F2">
        <w:trPr>
          <w:trHeight w:val="20"/>
        </w:trPr>
        <w:tc>
          <w:tcPr>
            <w:tcW w:w="999" w:type="dxa"/>
            <w:gridSpan w:val="2"/>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GDPGD</w:t>
            </w:r>
          </w:p>
        </w:tc>
        <w:tc>
          <w:tcPr>
            <w:tcW w:w="1046" w:type="dxa"/>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-0.060</w:t>
            </w:r>
            <w:r w:rsidRPr="00D45AE6">
              <w:rPr>
                <w:kern w:val="0"/>
                <w:sz w:val="18"/>
                <w:szCs w:val="24"/>
                <w:vertAlign w:val="superscript"/>
              </w:rPr>
              <w:t>**</w:t>
            </w: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-0.043</w:t>
            </w:r>
            <w:r w:rsidRPr="00D45AE6">
              <w:rPr>
                <w:kern w:val="0"/>
                <w:sz w:val="18"/>
                <w:szCs w:val="24"/>
                <w:vertAlign w:val="superscript"/>
              </w:rPr>
              <w:t>*</w:t>
            </w:r>
          </w:p>
        </w:tc>
      </w:tr>
      <w:tr w:rsidR="002D34C6" w:rsidRPr="00D45AE6" w:rsidTr="007518F2">
        <w:trPr>
          <w:trHeight w:val="20"/>
        </w:trPr>
        <w:tc>
          <w:tcPr>
            <w:tcW w:w="999" w:type="dxa"/>
            <w:gridSpan w:val="2"/>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1046" w:type="dxa"/>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(-2.55)</w:t>
            </w: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(-1.74)</w:t>
            </w:r>
          </w:p>
        </w:tc>
      </w:tr>
      <w:tr w:rsidR="002D34C6" w:rsidRPr="00D45AE6" w:rsidTr="007518F2">
        <w:trPr>
          <w:trHeight w:val="20"/>
        </w:trPr>
        <w:tc>
          <w:tcPr>
            <w:tcW w:w="999" w:type="dxa"/>
            <w:gridSpan w:val="2"/>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roofErr w:type="spellStart"/>
            <w:r w:rsidRPr="00D45AE6">
              <w:rPr>
                <w:kern w:val="0"/>
                <w:sz w:val="18"/>
                <w:szCs w:val="24"/>
              </w:rPr>
              <w:t>ForExD</w:t>
            </w:r>
            <w:proofErr w:type="spellEnd"/>
          </w:p>
        </w:tc>
        <w:tc>
          <w:tcPr>
            <w:tcW w:w="1046" w:type="dxa"/>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0.077</w:t>
            </w:r>
            <w:r w:rsidRPr="00D45AE6">
              <w:rPr>
                <w:kern w:val="0"/>
                <w:sz w:val="18"/>
                <w:szCs w:val="24"/>
                <w:vertAlign w:val="superscript"/>
              </w:rPr>
              <w:t>**</w:t>
            </w: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0.009</w:t>
            </w:r>
          </w:p>
        </w:tc>
      </w:tr>
      <w:tr w:rsidR="002D34C6" w:rsidRPr="00D45AE6" w:rsidTr="007518F2">
        <w:trPr>
          <w:trHeight w:val="20"/>
        </w:trPr>
        <w:tc>
          <w:tcPr>
            <w:tcW w:w="999" w:type="dxa"/>
            <w:gridSpan w:val="2"/>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1046" w:type="dxa"/>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(2.36)</w:t>
            </w: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(0.26)</w:t>
            </w:r>
          </w:p>
        </w:tc>
      </w:tr>
      <w:tr w:rsidR="002D34C6" w:rsidRPr="00D45AE6" w:rsidTr="007518F2">
        <w:trPr>
          <w:trHeight w:val="20"/>
        </w:trPr>
        <w:tc>
          <w:tcPr>
            <w:tcW w:w="889" w:type="dxa"/>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roofErr w:type="spellStart"/>
            <w:r w:rsidRPr="00D45AE6">
              <w:rPr>
                <w:kern w:val="0"/>
                <w:sz w:val="18"/>
                <w:szCs w:val="24"/>
              </w:rPr>
              <w:t>ReturnD</w:t>
            </w:r>
            <w:proofErr w:type="spellEnd"/>
          </w:p>
        </w:tc>
        <w:tc>
          <w:tcPr>
            <w:tcW w:w="1156" w:type="dxa"/>
            <w:gridSpan w:val="2"/>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0.006</w:t>
            </w: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0.016</w:t>
            </w:r>
          </w:p>
        </w:tc>
      </w:tr>
      <w:tr w:rsidR="002D34C6" w:rsidRPr="00D45AE6" w:rsidTr="007518F2">
        <w:trPr>
          <w:trHeight w:val="20"/>
        </w:trPr>
        <w:tc>
          <w:tcPr>
            <w:tcW w:w="889" w:type="dxa"/>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1156" w:type="dxa"/>
            <w:gridSpan w:val="2"/>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(0.52)</w:t>
            </w: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(1.32)</w:t>
            </w:r>
          </w:p>
        </w:tc>
      </w:tr>
      <w:tr w:rsidR="002D34C6" w:rsidRPr="00D45AE6" w:rsidTr="007518F2">
        <w:trPr>
          <w:trHeight w:val="20"/>
        </w:trPr>
        <w:tc>
          <w:tcPr>
            <w:tcW w:w="889" w:type="dxa"/>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roofErr w:type="spellStart"/>
            <w:r w:rsidRPr="00D45AE6">
              <w:rPr>
                <w:kern w:val="0"/>
                <w:sz w:val="18"/>
                <w:szCs w:val="24"/>
              </w:rPr>
              <w:t>Corr</w:t>
            </w:r>
            <w:proofErr w:type="spellEnd"/>
          </w:p>
        </w:tc>
        <w:tc>
          <w:tcPr>
            <w:tcW w:w="1156" w:type="dxa"/>
            <w:gridSpan w:val="2"/>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14.026</w:t>
            </w:r>
            <w:r w:rsidRPr="00D45AE6">
              <w:rPr>
                <w:kern w:val="0"/>
                <w:sz w:val="18"/>
                <w:szCs w:val="24"/>
                <w:vertAlign w:val="superscript"/>
              </w:rPr>
              <w:t>***</w:t>
            </w: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11.509</w:t>
            </w:r>
            <w:r w:rsidRPr="00D45AE6">
              <w:rPr>
                <w:kern w:val="0"/>
                <w:sz w:val="18"/>
                <w:szCs w:val="24"/>
                <w:vertAlign w:val="superscript"/>
              </w:rPr>
              <w:t>***</w:t>
            </w:r>
          </w:p>
        </w:tc>
      </w:tr>
      <w:tr w:rsidR="002D34C6" w:rsidRPr="00D45AE6" w:rsidTr="007518F2">
        <w:trPr>
          <w:trHeight w:val="20"/>
        </w:trPr>
        <w:tc>
          <w:tcPr>
            <w:tcW w:w="889" w:type="dxa"/>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1156" w:type="dxa"/>
            <w:gridSpan w:val="2"/>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(9.39)</w:t>
            </w: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(7.41)</w:t>
            </w:r>
          </w:p>
        </w:tc>
      </w:tr>
      <w:tr w:rsidR="002D34C6" w:rsidRPr="00D45AE6" w:rsidTr="007518F2">
        <w:trPr>
          <w:trHeight w:val="20"/>
        </w:trPr>
        <w:tc>
          <w:tcPr>
            <w:tcW w:w="889" w:type="dxa"/>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Close</w:t>
            </w:r>
          </w:p>
        </w:tc>
        <w:tc>
          <w:tcPr>
            <w:tcW w:w="1156" w:type="dxa"/>
            <w:gridSpan w:val="2"/>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-7.137</w:t>
            </w:r>
            <w:r w:rsidRPr="00D45AE6">
              <w:rPr>
                <w:kern w:val="0"/>
                <w:sz w:val="18"/>
                <w:szCs w:val="24"/>
                <w:vertAlign w:val="superscript"/>
              </w:rPr>
              <w:t>***</w:t>
            </w: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-6.255</w:t>
            </w:r>
            <w:r w:rsidRPr="00D45AE6">
              <w:rPr>
                <w:kern w:val="0"/>
                <w:sz w:val="18"/>
                <w:szCs w:val="24"/>
                <w:vertAlign w:val="superscript"/>
              </w:rPr>
              <w:t>***</w:t>
            </w:r>
          </w:p>
        </w:tc>
      </w:tr>
      <w:tr w:rsidR="002D34C6" w:rsidRPr="00D45AE6" w:rsidTr="007518F2">
        <w:trPr>
          <w:trHeight w:val="20"/>
        </w:trPr>
        <w:tc>
          <w:tcPr>
            <w:tcW w:w="889" w:type="dxa"/>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1156" w:type="dxa"/>
            <w:gridSpan w:val="2"/>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(-8.65)</w:t>
            </w: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(-7.57)</w:t>
            </w:r>
          </w:p>
        </w:tc>
      </w:tr>
      <w:tr w:rsidR="002D34C6" w:rsidRPr="00D45AE6" w:rsidTr="007518F2">
        <w:trPr>
          <w:trHeight w:val="20"/>
        </w:trPr>
        <w:tc>
          <w:tcPr>
            <w:tcW w:w="889" w:type="dxa"/>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Culture</w:t>
            </w:r>
          </w:p>
        </w:tc>
        <w:tc>
          <w:tcPr>
            <w:tcW w:w="1156" w:type="dxa"/>
            <w:gridSpan w:val="2"/>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3.155</w:t>
            </w:r>
            <w:r w:rsidRPr="00D45AE6">
              <w:rPr>
                <w:kern w:val="0"/>
                <w:sz w:val="18"/>
                <w:szCs w:val="24"/>
                <w:vertAlign w:val="superscript"/>
              </w:rPr>
              <w:t>***</w:t>
            </w: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1.995</w:t>
            </w:r>
            <w:r w:rsidRPr="00D45AE6">
              <w:rPr>
                <w:kern w:val="0"/>
                <w:sz w:val="18"/>
                <w:szCs w:val="24"/>
                <w:vertAlign w:val="superscript"/>
              </w:rPr>
              <w:t>***</w:t>
            </w:r>
          </w:p>
        </w:tc>
      </w:tr>
      <w:tr w:rsidR="002D34C6" w:rsidRPr="00D45AE6" w:rsidTr="007518F2">
        <w:trPr>
          <w:trHeight w:val="20"/>
        </w:trPr>
        <w:tc>
          <w:tcPr>
            <w:tcW w:w="889" w:type="dxa"/>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1156" w:type="dxa"/>
            <w:gridSpan w:val="2"/>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(4.71)</w:t>
            </w: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(2.92)</w:t>
            </w:r>
          </w:p>
        </w:tc>
      </w:tr>
      <w:tr w:rsidR="002D34C6" w:rsidRPr="00D45AE6" w:rsidTr="007518F2">
        <w:trPr>
          <w:trHeight w:val="20"/>
        </w:trPr>
        <w:tc>
          <w:tcPr>
            <w:tcW w:w="889" w:type="dxa"/>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WGID</w:t>
            </w:r>
          </w:p>
        </w:tc>
        <w:tc>
          <w:tcPr>
            <w:tcW w:w="1156" w:type="dxa"/>
            <w:gridSpan w:val="2"/>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0.381</w:t>
            </w:r>
            <w:r w:rsidRPr="00D45AE6">
              <w:rPr>
                <w:kern w:val="0"/>
                <w:sz w:val="18"/>
                <w:szCs w:val="24"/>
                <w:vertAlign w:val="superscript"/>
              </w:rPr>
              <w:t>*</w:t>
            </w: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-2.408</w:t>
            </w:r>
            <w:r w:rsidRPr="00D45AE6">
              <w:rPr>
                <w:kern w:val="0"/>
                <w:sz w:val="18"/>
                <w:szCs w:val="24"/>
                <w:vertAlign w:val="superscript"/>
              </w:rPr>
              <w:t>***</w:t>
            </w:r>
          </w:p>
        </w:tc>
      </w:tr>
      <w:tr w:rsidR="002D34C6" w:rsidRPr="00D45AE6" w:rsidTr="007518F2">
        <w:trPr>
          <w:trHeight w:val="20"/>
        </w:trPr>
        <w:tc>
          <w:tcPr>
            <w:tcW w:w="889" w:type="dxa"/>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1156" w:type="dxa"/>
            <w:gridSpan w:val="2"/>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(1.79)</w:t>
            </w: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(-5.95)</w:t>
            </w:r>
          </w:p>
        </w:tc>
      </w:tr>
      <w:tr w:rsidR="002D34C6" w:rsidRPr="00D45AE6" w:rsidTr="007518F2">
        <w:trPr>
          <w:trHeight w:val="20"/>
        </w:trPr>
        <w:tc>
          <w:tcPr>
            <w:tcW w:w="889" w:type="dxa"/>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_cons</w:t>
            </w:r>
          </w:p>
        </w:tc>
        <w:tc>
          <w:tcPr>
            <w:tcW w:w="1156" w:type="dxa"/>
            <w:gridSpan w:val="2"/>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-26.274</w:t>
            </w:r>
            <w:r w:rsidRPr="00D45AE6">
              <w:rPr>
                <w:kern w:val="0"/>
                <w:sz w:val="18"/>
                <w:szCs w:val="24"/>
                <w:vertAlign w:val="superscript"/>
              </w:rPr>
              <w:t>***</w:t>
            </w: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-25.321</w:t>
            </w:r>
            <w:r w:rsidRPr="00D45AE6">
              <w:rPr>
                <w:kern w:val="0"/>
                <w:sz w:val="18"/>
                <w:szCs w:val="24"/>
                <w:vertAlign w:val="superscript"/>
              </w:rPr>
              <w:t>***</w:t>
            </w: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-26.279</w:t>
            </w:r>
            <w:r w:rsidRPr="00D45AE6">
              <w:rPr>
                <w:kern w:val="0"/>
                <w:sz w:val="18"/>
                <w:szCs w:val="24"/>
                <w:vertAlign w:val="superscript"/>
              </w:rPr>
              <w:t>***</w:t>
            </w: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-26.173</w:t>
            </w:r>
            <w:r w:rsidRPr="00D45AE6">
              <w:rPr>
                <w:kern w:val="0"/>
                <w:sz w:val="18"/>
                <w:szCs w:val="24"/>
                <w:vertAlign w:val="superscript"/>
              </w:rPr>
              <w:t>***</w:t>
            </w: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-23.654</w:t>
            </w:r>
            <w:r w:rsidRPr="00D45AE6">
              <w:rPr>
                <w:kern w:val="0"/>
                <w:sz w:val="18"/>
                <w:szCs w:val="24"/>
                <w:vertAlign w:val="superscript"/>
              </w:rPr>
              <w:t>***</w:t>
            </w: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-30.296</w:t>
            </w:r>
            <w:r w:rsidRPr="00D45AE6">
              <w:rPr>
                <w:kern w:val="0"/>
                <w:sz w:val="18"/>
                <w:szCs w:val="24"/>
                <w:vertAlign w:val="superscript"/>
              </w:rPr>
              <w:t>***</w:t>
            </w: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1.209</w:t>
            </w: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-26.925</w:t>
            </w:r>
            <w:r w:rsidRPr="00D45AE6">
              <w:rPr>
                <w:kern w:val="0"/>
                <w:sz w:val="18"/>
                <w:szCs w:val="24"/>
                <w:vertAlign w:val="superscript"/>
              </w:rPr>
              <w:t>***</w:t>
            </w: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-26.211</w:t>
            </w:r>
            <w:r w:rsidRPr="00D45AE6">
              <w:rPr>
                <w:kern w:val="0"/>
                <w:sz w:val="18"/>
                <w:szCs w:val="24"/>
                <w:vertAlign w:val="superscript"/>
              </w:rPr>
              <w:t>***</w:t>
            </w: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-4.536</w:t>
            </w:r>
          </w:p>
        </w:tc>
      </w:tr>
      <w:tr w:rsidR="002D34C6" w:rsidRPr="00D45AE6" w:rsidTr="007518F2">
        <w:trPr>
          <w:trHeight w:val="20"/>
        </w:trPr>
        <w:tc>
          <w:tcPr>
            <w:tcW w:w="889" w:type="dxa"/>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
        </w:tc>
        <w:tc>
          <w:tcPr>
            <w:tcW w:w="1156" w:type="dxa"/>
            <w:gridSpan w:val="2"/>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(-28.04)</w:t>
            </w: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(-27.62)</w:t>
            </w: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(-28.04)</w:t>
            </w: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(-28.01)</w:t>
            </w: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(-27.06)</w:t>
            </w: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(-23.63)</w:t>
            </w: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(0.40)</w:t>
            </w: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(-27.83)</w:t>
            </w: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(-28.01)</w:t>
            </w: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(-1.37)</w:t>
            </w:r>
          </w:p>
        </w:tc>
      </w:tr>
      <w:tr w:rsidR="002D34C6" w:rsidRPr="00D45AE6" w:rsidTr="007518F2">
        <w:trPr>
          <w:trHeight w:val="20"/>
        </w:trPr>
        <w:tc>
          <w:tcPr>
            <w:tcW w:w="889" w:type="dxa"/>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proofErr w:type="spellStart"/>
            <w:r w:rsidRPr="00D45AE6">
              <w:rPr>
                <w:kern w:val="0"/>
                <w:sz w:val="18"/>
                <w:szCs w:val="24"/>
              </w:rPr>
              <w:t>sigma_cons</w:t>
            </w:r>
            <w:proofErr w:type="spellEnd"/>
          </w:p>
        </w:tc>
        <w:tc>
          <w:tcPr>
            <w:tcW w:w="1156" w:type="dxa"/>
            <w:gridSpan w:val="2"/>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17.285</w:t>
            </w:r>
            <w:r w:rsidRPr="00D45AE6">
              <w:rPr>
                <w:kern w:val="0"/>
                <w:sz w:val="18"/>
                <w:szCs w:val="24"/>
                <w:vertAlign w:val="superscript"/>
              </w:rPr>
              <w:t>***</w:t>
            </w: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17.179</w:t>
            </w:r>
            <w:r w:rsidRPr="00D45AE6">
              <w:rPr>
                <w:kern w:val="0"/>
                <w:sz w:val="18"/>
                <w:szCs w:val="24"/>
                <w:vertAlign w:val="superscript"/>
              </w:rPr>
              <w:t>***</w:t>
            </w: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17.271</w:t>
            </w:r>
            <w:r w:rsidRPr="00D45AE6">
              <w:rPr>
                <w:kern w:val="0"/>
                <w:sz w:val="18"/>
                <w:szCs w:val="24"/>
                <w:vertAlign w:val="superscript"/>
              </w:rPr>
              <w:t>***</w:t>
            </w: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17.273</w:t>
            </w:r>
            <w:r w:rsidRPr="00D45AE6">
              <w:rPr>
                <w:kern w:val="0"/>
                <w:sz w:val="18"/>
                <w:szCs w:val="24"/>
                <w:vertAlign w:val="superscript"/>
              </w:rPr>
              <w:t>***</w:t>
            </w: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16.640</w:t>
            </w:r>
            <w:r w:rsidRPr="00D45AE6">
              <w:rPr>
                <w:kern w:val="0"/>
                <w:sz w:val="18"/>
                <w:szCs w:val="24"/>
                <w:vertAlign w:val="superscript"/>
              </w:rPr>
              <w:t>***</w:t>
            </w: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16.410</w:t>
            </w:r>
            <w:r w:rsidRPr="00D45AE6">
              <w:rPr>
                <w:kern w:val="0"/>
                <w:sz w:val="18"/>
                <w:szCs w:val="24"/>
                <w:vertAlign w:val="superscript"/>
              </w:rPr>
              <w:t>***</w:t>
            </w: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17.107</w:t>
            </w:r>
            <w:r w:rsidRPr="00D45AE6">
              <w:rPr>
                <w:kern w:val="0"/>
                <w:sz w:val="18"/>
                <w:szCs w:val="24"/>
                <w:vertAlign w:val="superscript"/>
              </w:rPr>
              <w:t>***</w:t>
            </w: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17.235</w:t>
            </w:r>
            <w:r w:rsidRPr="00D45AE6">
              <w:rPr>
                <w:kern w:val="0"/>
                <w:sz w:val="18"/>
                <w:szCs w:val="24"/>
                <w:vertAlign w:val="superscript"/>
              </w:rPr>
              <w:t>***</w:t>
            </w: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17.276</w:t>
            </w:r>
            <w:r w:rsidRPr="00D45AE6">
              <w:rPr>
                <w:kern w:val="0"/>
                <w:sz w:val="18"/>
                <w:szCs w:val="24"/>
                <w:vertAlign w:val="superscript"/>
              </w:rPr>
              <w:t>***</w:t>
            </w:r>
          </w:p>
        </w:tc>
        <w:tc>
          <w:tcPr>
            <w:tcW w:w="0" w:type="auto"/>
            <w:tcBorders>
              <w:top w:val="nil"/>
              <w:left w:val="nil"/>
              <w:bottom w:val="nil"/>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16.157</w:t>
            </w:r>
            <w:r w:rsidRPr="00D45AE6">
              <w:rPr>
                <w:kern w:val="0"/>
                <w:sz w:val="18"/>
                <w:szCs w:val="24"/>
                <w:vertAlign w:val="superscript"/>
              </w:rPr>
              <w:t>***</w:t>
            </w:r>
          </w:p>
        </w:tc>
      </w:tr>
      <w:tr w:rsidR="002D34C6" w:rsidRPr="00D45AE6" w:rsidTr="007518F2">
        <w:trPr>
          <w:trHeight w:val="20"/>
        </w:trPr>
        <w:tc>
          <w:tcPr>
            <w:tcW w:w="889" w:type="dxa"/>
            <w:tcBorders>
              <w:top w:val="nil"/>
              <w:left w:val="nil"/>
              <w:bottom w:val="single" w:sz="4" w:space="0" w:color="auto"/>
              <w:right w:val="nil"/>
            </w:tcBorders>
            <w:vAlign w:val="center"/>
          </w:tcPr>
          <w:p w:rsidR="002D34C6" w:rsidRPr="00D45AE6" w:rsidRDefault="002D34C6" w:rsidP="002A2606">
            <w:pPr>
              <w:autoSpaceDE w:val="0"/>
              <w:autoSpaceDN w:val="0"/>
              <w:adjustRightInd w:val="0"/>
              <w:jc w:val="center"/>
              <w:rPr>
                <w:kern w:val="0"/>
                <w:sz w:val="18"/>
                <w:szCs w:val="24"/>
              </w:rPr>
            </w:pPr>
          </w:p>
        </w:tc>
        <w:tc>
          <w:tcPr>
            <w:tcW w:w="1156" w:type="dxa"/>
            <w:gridSpan w:val="2"/>
            <w:tcBorders>
              <w:top w:val="nil"/>
              <w:left w:val="nil"/>
              <w:bottom w:val="single" w:sz="4" w:space="0" w:color="auto"/>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(32.17)</w:t>
            </w:r>
          </w:p>
        </w:tc>
        <w:tc>
          <w:tcPr>
            <w:tcW w:w="0" w:type="auto"/>
            <w:tcBorders>
              <w:top w:val="nil"/>
              <w:left w:val="nil"/>
              <w:bottom w:val="single" w:sz="4" w:space="0" w:color="auto"/>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(32.19)</w:t>
            </w:r>
          </w:p>
        </w:tc>
        <w:tc>
          <w:tcPr>
            <w:tcW w:w="0" w:type="auto"/>
            <w:tcBorders>
              <w:top w:val="nil"/>
              <w:left w:val="nil"/>
              <w:bottom w:val="single" w:sz="4" w:space="0" w:color="auto"/>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(32.17)</w:t>
            </w:r>
          </w:p>
        </w:tc>
        <w:tc>
          <w:tcPr>
            <w:tcW w:w="0" w:type="auto"/>
            <w:tcBorders>
              <w:top w:val="nil"/>
              <w:left w:val="nil"/>
              <w:bottom w:val="single" w:sz="4" w:space="0" w:color="auto"/>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(32.17)</w:t>
            </w:r>
          </w:p>
        </w:tc>
        <w:tc>
          <w:tcPr>
            <w:tcW w:w="0" w:type="auto"/>
            <w:tcBorders>
              <w:top w:val="nil"/>
              <w:left w:val="nil"/>
              <w:bottom w:val="single" w:sz="4" w:space="0" w:color="auto"/>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(31.83)</w:t>
            </w:r>
          </w:p>
        </w:tc>
        <w:tc>
          <w:tcPr>
            <w:tcW w:w="0" w:type="auto"/>
            <w:tcBorders>
              <w:top w:val="nil"/>
              <w:left w:val="nil"/>
              <w:bottom w:val="single" w:sz="4" w:space="0" w:color="auto"/>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(31.88)</w:t>
            </w:r>
          </w:p>
        </w:tc>
        <w:tc>
          <w:tcPr>
            <w:tcW w:w="0" w:type="auto"/>
            <w:tcBorders>
              <w:top w:val="nil"/>
              <w:left w:val="nil"/>
              <w:bottom w:val="single" w:sz="4" w:space="0" w:color="auto"/>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(32.20)</w:t>
            </w:r>
          </w:p>
        </w:tc>
        <w:tc>
          <w:tcPr>
            <w:tcW w:w="0" w:type="auto"/>
            <w:tcBorders>
              <w:top w:val="nil"/>
              <w:left w:val="nil"/>
              <w:bottom w:val="single" w:sz="4" w:space="0" w:color="auto"/>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(32.18)</w:t>
            </w:r>
          </w:p>
        </w:tc>
        <w:tc>
          <w:tcPr>
            <w:tcW w:w="0" w:type="auto"/>
            <w:tcBorders>
              <w:top w:val="nil"/>
              <w:left w:val="nil"/>
              <w:bottom w:val="single" w:sz="4" w:space="0" w:color="auto"/>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(32.17)</w:t>
            </w:r>
          </w:p>
        </w:tc>
        <w:tc>
          <w:tcPr>
            <w:tcW w:w="0" w:type="auto"/>
            <w:tcBorders>
              <w:top w:val="nil"/>
              <w:left w:val="nil"/>
              <w:bottom w:val="single" w:sz="4" w:space="0" w:color="auto"/>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(31.93)</w:t>
            </w:r>
          </w:p>
        </w:tc>
      </w:tr>
      <w:tr w:rsidR="002D34C6" w:rsidRPr="00D45AE6" w:rsidTr="007518F2">
        <w:trPr>
          <w:trHeight w:val="20"/>
        </w:trPr>
        <w:tc>
          <w:tcPr>
            <w:tcW w:w="889" w:type="dxa"/>
            <w:tcBorders>
              <w:top w:val="single" w:sz="4" w:space="0" w:color="auto"/>
              <w:left w:val="nil"/>
              <w:bottom w:val="single" w:sz="4" w:space="0" w:color="auto"/>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i/>
                <w:iCs/>
                <w:kern w:val="0"/>
                <w:sz w:val="18"/>
                <w:szCs w:val="24"/>
              </w:rPr>
              <w:t>N</w:t>
            </w:r>
          </w:p>
        </w:tc>
        <w:tc>
          <w:tcPr>
            <w:tcW w:w="1156" w:type="dxa"/>
            <w:gridSpan w:val="2"/>
            <w:tcBorders>
              <w:top w:val="single" w:sz="4" w:space="0" w:color="auto"/>
              <w:left w:val="nil"/>
              <w:bottom w:val="single" w:sz="4" w:space="0" w:color="auto"/>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14685</w:t>
            </w:r>
          </w:p>
        </w:tc>
        <w:tc>
          <w:tcPr>
            <w:tcW w:w="0" w:type="auto"/>
            <w:tcBorders>
              <w:top w:val="single" w:sz="4" w:space="0" w:color="auto"/>
              <w:left w:val="nil"/>
              <w:bottom w:val="single" w:sz="4" w:space="0" w:color="auto"/>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14685</w:t>
            </w:r>
          </w:p>
        </w:tc>
        <w:tc>
          <w:tcPr>
            <w:tcW w:w="0" w:type="auto"/>
            <w:tcBorders>
              <w:top w:val="single" w:sz="4" w:space="0" w:color="auto"/>
              <w:left w:val="nil"/>
              <w:bottom w:val="single" w:sz="4" w:space="0" w:color="auto"/>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14685</w:t>
            </w:r>
          </w:p>
        </w:tc>
        <w:tc>
          <w:tcPr>
            <w:tcW w:w="0" w:type="auto"/>
            <w:tcBorders>
              <w:top w:val="single" w:sz="4" w:space="0" w:color="auto"/>
              <w:left w:val="nil"/>
              <w:bottom w:val="single" w:sz="4" w:space="0" w:color="auto"/>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14685</w:t>
            </w:r>
          </w:p>
        </w:tc>
        <w:tc>
          <w:tcPr>
            <w:tcW w:w="0" w:type="auto"/>
            <w:tcBorders>
              <w:top w:val="single" w:sz="4" w:space="0" w:color="auto"/>
              <w:left w:val="nil"/>
              <w:bottom w:val="single" w:sz="4" w:space="0" w:color="auto"/>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11816</w:t>
            </w:r>
          </w:p>
        </w:tc>
        <w:tc>
          <w:tcPr>
            <w:tcW w:w="0" w:type="auto"/>
            <w:tcBorders>
              <w:top w:val="single" w:sz="4" w:space="0" w:color="auto"/>
              <w:left w:val="nil"/>
              <w:bottom w:val="single" w:sz="4" w:space="0" w:color="auto"/>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11816</w:t>
            </w:r>
          </w:p>
        </w:tc>
        <w:tc>
          <w:tcPr>
            <w:tcW w:w="0" w:type="auto"/>
            <w:tcBorders>
              <w:top w:val="single" w:sz="4" w:space="0" w:color="auto"/>
              <w:left w:val="nil"/>
              <w:bottom w:val="single" w:sz="4" w:space="0" w:color="auto"/>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14685</w:t>
            </w:r>
          </w:p>
        </w:tc>
        <w:tc>
          <w:tcPr>
            <w:tcW w:w="0" w:type="auto"/>
            <w:tcBorders>
              <w:top w:val="single" w:sz="4" w:space="0" w:color="auto"/>
              <w:left w:val="nil"/>
              <w:bottom w:val="single" w:sz="4" w:space="0" w:color="auto"/>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14685</w:t>
            </w:r>
          </w:p>
        </w:tc>
        <w:tc>
          <w:tcPr>
            <w:tcW w:w="0" w:type="auto"/>
            <w:tcBorders>
              <w:top w:val="single" w:sz="4" w:space="0" w:color="auto"/>
              <w:left w:val="nil"/>
              <w:bottom w:val="single" w:sz="4" w:space="0" w:color="auto"/>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14685</w:t>
            </w:r>
          </w:p>
        </w:tc>
        <w:tc>
          <w:tcPr>
            <w:tcW w:w="0" w:type="auto"/>
            <w:tcBorders>
              <w:top w:val="single" w:sz="4" w:space="0" w:color="auto"/>
              <w:left w:val="nil"/>
              <w:bottom w:val="single" w:sz="4" w:space="0" w:color="auto"/>
              <w:right w:val="nil"/>
            </w:tcBorders>
            <w:vAlign w:val="center"/>
          </w:tcPr>
          <w:p w:rsidR="002D34C6" w:rsidRPr="00D45AE6" w:rsidRDefault="002D34C6" w:rsidP="002A2606">
            <w:pPr>
              <w:autoSpaceDE w:val="0"/>
              <w:autoSpaceDN w:val="0"/>
              <w:adjustRightInd w:val="0"/>
              <w:jc w:val="center"/>
              <w:rPr>
                <w:kern w:val="0"/>
                <w:sz w:val="18"/>
                <w:szCs w:val="24"/>
              </w:rPr>
            </w:pPr>
            <w:r w:rsidRPr="00D45AE6">
              <w:rPr>
                <w:kern w:val="0"/>
                <w:sz w:val="18"/>
                <w:szCs w:val="24"/>
              </w:rPr>
              <w:t>11816</w:t>
            </w:r>
          </w:p>
        </w:tc>
      </w:tr>
      <w:tr w:rsidR="000552AC" w:rsidRPr="00D45AE6" w:rsidTr="000552AC">
        <w:trPr>
          <w:trHeight w:val="20"/>
        </w:trPr>
        <w:tc>
          <w:tcPr>
            <w:tcW w:w="10511" w:type="dxa"/>
            <w:gridSpan w:val="12"/>
            <w:tcBorders>
              <w:top w:val="single" w:sz="4" w:space="0" w:color="auto"/>
              <w:left w:val="nil"/>
              <w:right w:val="nil"/>
            </w:tcBorders>
            <w:vAlign w:val="center"/>
          </w:tcPr>
          <w:p w:rsidR="000552AC" w:rsidRPr="00D45AE6" w:rsidRDefault="000552AC" w:rsidP="004769DE">
            <w:pPr>
              <w:autoSpaceDE w:val="0"/>
              <w:autoSpaceDN w:val="0"/>
              <w:adjustRightInd w:val="0"/>
              <w:jc w:val="left"/>
              <w:rPr>
                <w:kern w:val="0"/>
                <w:sz w:val="18"/>
                <w:szCs w:val="24"/>
              </w:rPr>
            </w:pPr>
            <w:r w:rsidRPr="00D45AE6">
              <w:rPr>
                <w:i/>
                <w:iCs/>
                <w:kern w:val="0"/>
                <w:sz w:val="18"/>
                <w:szCs w:val="20"/>
              </w:rPr>
              <w:t>t</w:t>
            </w:r>
            <w:r w:rsidRPr="00D45AE6">
              <w:rPr>
                <w:kern w:val="0"/>
                <w:sz w:val="18"/>
                <w:szCs w:val="20"/>
              </w:rPr>
              <w:t xml:space="preserve"> statistics in parentheses</w:t>
            </w:r>
            <w:r w:rsidR="004769DE">
              <w:rPr>
                <w:rFonts w:hint="eastAsia"/>
                <w:kern w:val="0"/>
                <w:sz w:val="18"/>
                <w:szCs w:val="20"/>
              </w:rPr>
              <w:t>;</w:t>
            </w:r>
            <w:r w:rsidR="004769DE">
              <w:rPr>
                <w:kern w:val="0"/>
                <w:sz w:val="18"/>
                <w:szCs w:val="20"/>
              </w:rPr>
              <w:t xml:space="preserve"> </w:t>
            </w:r>
            <w:r w:rsidRPr="00D45AE6">
              <w:rPr>
                <w:kern w:val="0"/>
                <w:sz w:val="18"/>
                <w:szCs w:val="20"/>
                <w:vertAlign w:val="superscript"/>
              </w:rPr>
              <w:t>*</w:t>
            </w:r>
            <w:r w:rsidRPr="00D45AE6">
              <w:rPr>
                <w:kern w:val="0"/>
                <w:sz w:val="18"/>
                <w:szCs w:val="20"/>
              </w:rPr>
              <w:t xml:space="preserve"> </w:t>
            </w:r>
            <w:r w:rsidRPr="00D45AE6">
              <w:rPr>
                <w:i/>
                <w:iCs/>
                <w:kern w:val="0"/>
                <w:sz w:val="18"/>
                <w:szCs w:val="20"/>
              </w:rPr>
              <w:t>p</w:t>
            </w:r>
            <w:r w:rsidRPr="00D45AE6">
              <w:rPr>
                <w:kern w:val="0"/>
                <w:sz w:val="18"/>
                <w:szCs w:val="20"/>
              </w:rPr>
              <w:t xml:space="preserve"> &lt; 0.10, </w:t>
            </w:r>
            <w:r w:rsidRPr="00D45AE6">
              <w:rPr>
                <w:kern w:val="0"/>
                <w:sz w:val="18"/>
                <w:szCs w:val="20"/>
                <w:vertAlign w:val="superscript"/>
              </w:rPr>
              <w:t>**</w:t>
            </w:r>
            <w:r w:rsidRPr="00D45AE6">
              <w:rPr>
                <w:kern w:val="0"/>
                <w:sz w:val="18"/>
                <w:szCs w:val="20"/>
              </w:rPr>
              <w:t xml:space="preserve"> </w:t>
            </w:r>
            <w:r w:rsidRPr="00D45AE6">
              <w:rPr>
                <w:i/>
                <w:iCs/>
                <w:kern w:val="0"/>
                <w:sz w:val="18"/>
                <w:szCs w:val="20"/>
              </w:rPr>
              <w:t>p</w:t>
            </w:r>
            <w:r w:rsidRPr="00D45AE6">
              <w:rPr>
                <w:kern w:val="0"/>
                <w:sz w:val="18"/>
                <w:szCs w:val="20"/>
              </w:rPr>
              <w:t xml:space="preserve"> &lt; 0.05, </w:t>
            </w:r>
            <w:r w:rsidRPr="00D45AE6">
              <w:rPr>
                <w:kern w:val="0"/>
                <w:sz w:val="18"/>
                <w:szCs w:val="20"/>
                <w:vertAlign w:val="superscript"/>
              </w:rPr>
              <w:t>***</w:t>
            </w:r>
            <w:r w:rsidRPr="00D45AE6">
              <w:rPr>
                <w:kern w:val="0"/>
                <w:sz w:val="18"/>
                <w:szCs w:val="20"/>
              </w:rPr>
              <w:t xml:space="preserve"> </w:t>
            </w:r>
            <w:r w:rsidRPr="00D45AE6">
              <w:rPr>
                <w:i/>
                <w:iCs/>
                <w:kern w:val="0"/>
                <w:sz w:val="18"/>
                <w:szCs w:val="20"/>
              </w:rPr>
              <w:t>p</w:t>
            </w:r>
            <w:r w:rsidRPr="00D45AE6">
              <w:rPr>
                <w:kern w:val="0"/>
                <w:sz w:val="18"/>
                <w:szCs w:val="20"/>
              </w:rPr>
              <w:t xml:space="preserve"> &lt; 0.01</w:t>
            </w:r>
          </w:p>
        </w:tc>
      </w:tr>
    </w:tbl>
    <w:p w:rsidR="00613BC4" w:rsidRDefault="007518F2" w:rsidP="007518F2">
      <w:pPr>
        <w:wordWrap/>
        <w:spacing w:line="400" w:lineRule="exact"/>
        <w:ind w:firstLineChars="200" w:firstLine="480"/>
      </w:pPr>
      <w:r w:rsidRPr="007518F2">
        <w:t>After adding control variables re</w:t>
      </w:r>
      <w:r w:rsidR="008752F9">
        <w:t>flecting the characteristics of acquirer countries</w:t>
      </w:r>
      <w:r w:rsidRPr="007518F2">
        <w:t xml:space="preserve"> and </w:t>
      </w:r>
      <w:r w:rsidR="008752F9">
        <w:t>target countries</w:t>
      </w:r>
      <w:r w:rsidR="00613BC4">
        <w:t>, the PR coefficient remains</w:t>
      </w:r>
      <w:r w:rsidRPr="007518F2">
        <w:t xml:space="preserve"> significantly negative, and the results remained </w:t>
      </w:r>
      <w:r w:rsidR="00613BC4">
        <w:t>robust</w:t>
      </w:r>
      <w:r w:rsidRPr="007518F2">
        <w:t>.</w:t>
      </w:r>
    </w:p>
    <w:p w:rsidR="007518F2" w:rsidRDefault="007518F2" w:rsidP="007518F2">
      <w:pPr>
        <w:wordWrap/>
        <w:spacing w:line="400" w:lineRule="exact"/>
        <w:ind w:firstLineChars="200" w:firstLine="480"/>
      </w:pPr>
      <w:r w:rsidRPr="007518F2">
        <w:t>The LM coefficient is significantly positive, indicating that SWF with higher transparency may prefer overseas investment</w:t>
      </w:r>
      <w:r w:rsidR="00543559">
        <w:t>s</w:t>
      </w:r>
      <w:r w:rsidRPr="007518F2">
        <w:t xml:space="preserve">. The coefficient of </w:t>
      </w:r>
      <w:proofErr w:type="spellStart"/>
      <w:r w:rsidRPr="007518F2">
        <w:t>SWFDis</w:t>
      </w:r>
      <w:proofErr w:type="spellEnd"/>
      <w:r w:rsidRPr="007518F2">
        <w:t xml:space="preserve"> is</w:t>
      </w:r>
      <w:r w:rsidR="00543559">
        <w:t xml:space="preserve"> not statistically significant and the </w:t>
      </w:r>
      <w:r w:rsidRPr="007518F2">
        <w:t>reas</w:t>
      </w:r>
      <w:r w:rsidR="00543559">
        <w:t xml:space="preserve">on may be same with the coefficient of </w:t>
      </w:r>
      <w:proofErr w:type="spellStart"/>
      <w:r w:rsidR="00543559">
        <w:t>Return</w:t>
      </w:r>
      <w:r w:rsidRPr="007518F2">
        <w:t>D</w:t>
      </w:r>
      <w:proofErr w:type="spellEnd"/>
      <w:r w:rsidRPr="007518F2">
        <w:t xml:space="preserve">. </w:t>
      </w:r>
      <w:r w:rsidR="00543559">
        <w:t>Namely</w:t>
      </w:r>
      <w:r w:rsidRPr="007518F2">
        <w:t>, SWF does not pay special attention to the performance of the securities market when</w:t>
      </w:r>
      <w:r w:rsidR="00543559">
        <w:t xml:space="preserve"> </w:t>
      </w:r>
      <w:r w:rsidRPr="007518F2">
        <w:t xml:space="preserve">investing. </w:t>
      </w:r>
      <w:proofErr w:type="spellStart"/>
      <w:r w:rsidRPr="007518F2">
        <w:t>TarDis</w:t>
      </w:r>
      <w:proofErr w:type="spellEnd"/>
      <w:r w:rsidRPr="007518F2">
        <w:t xml:space="preserve"> coefficient is significantly negative, which is inconsistent with the results of </w:t>
      </w:r>
      <w:r w:rsidR="00543559">
        <w:fldChar w:fldCharType="begin"/>
      </w:r>
      <w:r w:rsidR="00543559">
        <w:instrText xml:space="preserve"> ADDIN EN.CITE &lt;EndNote&gt;&lt;Cite&gt;&lt;Author&gt;Kotter&lt;/Author&gt;&lt;Year&gt;2011&lt;/Year&gt;&lt;RecNum&gt;72&lt;/RecNum&gt;&lt;DisplayText&gt;(Kotter &amp;amp; Lel, 2011)&lt;/DisplayText&gt;&lt;record&gt;&lt;rec-number&gt;72&lt;/rec-number&gt;&lt;foreign-keys&gt;&lt;key app="EN" db-id="09p992av6fr0zjepzxpxrf2h9vve0w099a5w" timestamp="1519019233"&gt;72&lt;/key&gt;&lt;/foreign-keys&gt;&lt;ref-type name="Journal Article"&gt;17&lt;/ref-type&gt;&lt;contributors&gt;&lt;authors&gt;&lt;author&gt;Kotter, Jason&lt;/author&gt;&lt;author&gt;Lel, Ugur&lt;/author&gt;&lt;/authors&gt;&lt;/contributors&gt;&lt;titles&gt;&lt;title&gt;Friends or foes? Target selection decisions of sovereign wealth funds and their consequences&lt;/title&gt;&lt;secondary-title&gt;Journal of Financial Economics&lt;/secondary-title&gt;&lt;/titles&gt;&lt;periodical&gt;&lt;full-title&gt;Journal of Financial Economics&lt;/full-title&gt;&lt;/periodical&gt;&lt;pages&gt;360-381&lt;/pages&gt;&lt;volume&gt;101&lt;/volume&gt;&lt;number&gt;2&lt;/number&gt;&lt;dates&gt;&lt;year&gt;2011&lt;/year&gt;&lt;/dates&gt;&lt;isbn&gt;0304-405X&lt;/isbn&gt;&lt;urls&gt;&lt;related-urls&gt;&lt;url&gt;https://www.sciencedirect.com/science/article/pii/S0304405X11000729?via%3Dihub&lt;/url&gt;&lt;/related-urls&gt;&lt;/urls&gt;&lt;/record&gt;&lt;/Cite&gt;&lt;/EndNote&gt;</w:instrText>
      </w:r>
      <w:r w:rsidR="00543559">
        <w:fldChar w:fldCharType="separate"/>
      </w:r>
      <w:r w:rsidR="00543559">
        <w:rPr>
          <w:noProof/>
        </w:rPr>
        <w:t>(Kotter &amp; Lel, 2011)</w:t>
      </w:r>
      <w:r w:rsidR="00543559">
        <w:fldChar w:fldCharType="end"/>
      </w:r>
      <w:r w:rsidR="00543559">
        <w:t xml:space="preserve">. </w:t>
      </w:r>
      <w:r w:rsidR="00543559">
        <w:rPr>
          <w:rFonts w:hint="eastAsia"/>
        </w:rPr>
        <w:t>The</w:t>
      </w:r>
      <w:r w:rsidR="00543559">
        <w:t xml:space="preserve"> reason </w:t>
      </w:r>
      <w:r w:rsidRPr="007518F2">
        <w:t xml:space="preserve">may be </w:t>
      </w:r>
      <w:r w:rsidR="00543559">
        <w:t>that</w:t>
      </w:r>
      <w:r w:rsidRPr="007518F2">
        <w:t xml:space="preserve"> the focus of this </w:t>
      </w:r>
      <w:r w:rsidR="00543559">
        <w:t>paper</w:t>
      </w:r>
      <w:r w:rsidRPr="007518F2">
        <w:t xml:space="preserve"> is to explore the relationship between bilateral political relations and SWF</w:t>
      </w:r>
      <w:r w:rsidR="00543559">
        <w:t>s’</w:t>
      </w:r>
      <w:r w:rsidRPr="007518F2">
        <w:t xml:space="preserve"> investment</w:t>
      </w:r>
      <w:r w:rsidR="00543559">
        <w:t>s</w:t>
      </w:r>
      <w:r w:rsidRPr="007518F2">
        <w:t xml:space="preserve">, so </w:t>
      </w:r>
      <w:r w:rsidR="00543559">
        <w:t xml:space="preserve">this paper simply sums the amount of </w:t>
      </w:r>
      <w:r w:rsidRPr="007518F2">
        <w:t>the SWF</w:t>
      </w:r>
      <w:r w:rsidR="00543559">
        <w:t xml:space="preserve">s’ investments. However, </w:t>
      </w:r>
      <w:r w:rsidR="00543559">
        <w:fldChar w:fldCharType="begin"/>
      </w:r>
      <w:r w:rsidR="00543559">
        <w:instrText xml:space="preserve"> ADDIN EN.CITE &lt;EndNote&gt;&lt;Cite AuthorYear="1"&gt;&lt;Author&gt;Kotter&lt;/Author&gt;&lt;Year&gt;2011&lt;/Year&gt;&lt;RecNum&gt;72&lt;/RecNum&gt;&lt;DisplayText&gt;Kotter and Lel (2011)&lt;/DisplayText&gt;&lt;record&gt;&lt;rec-number&gt;72&lt;/rec-number&gt;&lt;foreign-keys&gt;&lt;key app="EN" db-id="09p992av6fr0zjepzxpxrf2h9vve0w099a5w" timestamp="1519019233"&gt;72&lt;/key&gt;&lt;/foreign-keys&gt;&lt;ref-type name="Journal Article"&gt;17&lt;/ref-type&gt;&lt;contributors&gt;&lt;authors&gt;&lt;author&gt;Kotter, Jason&lt;/author&gt;&lt;author&gt;Lel, Ugur&lt;/author&gt;&lt;/authors&gt;&lt;/contributors&gt;&lt;titles&gt;&lt;title&gt;Friends or foes? Target selection decisions of sovereign wealth funds and their consequences&lt;/title&gt;&lt;secondary-title&gt;Journal of Financial Economics&lt;/secondary-title&gt;&lt;/titles&gt;&lt;periodical&gt;&lt;full-title&gt;Journal of Financial Economics&lt;/full-title&gt;&lt;/periodical&gt;&lt;pages&gt;360-381&lt;/pages&gt;&lt;volume&gt;101&lt;/volume&gt;&lt;number&gt;2&lt;/number&gt;&lt;dates&gt;&lt;year&gt;2011&lt;/year&gt;&lt;/dates&gt;&lt;isbn&gt;0304-405X&lt;/isbn&gt;&lt;urls&gt;&lt;related-urls&gt;&lt;url&gt;https://www.sciencedirect.com/science/article/pii/S0304405X11000729?via%3Dihub&lt;/url&gt;&lt;/related-urls&gt;&lt;/urls&gt;&lt;/record&gt;&lt;/Cite&gt;&lt;/EndNote&gt;</w:instrText>
      </w:r>
      <w:r w:rsidR="00543559">
        <w:fldChar w:fldCharType="separate"/>
      </w:r>
      <w:r w:rsidR="00543559">
        <w:rPr>
          <w:noProof/>
        </w:rPr>
        <w:t>Kotter and Lel (2011)</w:t>
      </w:r>
      <w:r w:rsidR="00543559">
        <w:fldChar w:fldCharType="end"/>
      </w:r>
      <w:r w:rsidR="00543559">
        <w:t xml:space="preserve"> </w:t>
      </w:r>
      <w:r w:rsidRPr="007518F2">
        <w:t>subdivided and compared different industries. Partner's coefficient is also significantly positive, which has been consistent with the existing research results, indicating that SWF does pay more attention to the important tradin</w:t>
      </w:r>
      <w:r w:rsidR="00DC5497">
        <w:t>g partners</w:t>
      </w:r>
      <w:r w:rsidRPr="007518F2">
        <w:t>. Grade</w:t>
      </w:r>
      <w:r w:rsidR="00DC5497">
        <w:t>’s</w:t>
      </w:r>
      <w:r w:rsidRPr="007518F2">
        <w:t xml:space="preserve"> coefficient </w:t>
      </w:r>
      <w:r w:rsidR="00DC5497">
        <w:t>is</w:t>
      </w:r>
      <w:r w:rsidRPr="007518F2">
        <w:t xml:space="preserve"> also significantly positive, indicating that SWF preferred countries with higher sovereign credit rating.</w:t>
      </w:r>
    </w:p>
    <w:p w:rsidR="007518F2" w:rsidRDefault="007518F2" w:rsidP="007518F2">
      <w:pPr>
        <w:pStyle w:val="a7"/>
        <w:keepNext/>
      </w:pPr>
      <w:r>
        <w:t xml:space="preserve">Table </w:t>
      </w:r>
      <w:r w:rsidR="00B105AF">
        <w:fldChar w:fldCharType="begin"/>
      </w:r>
      <w:r w:rsidR="00B105AF">
        <w:instrText xml:space="preserve"> SEQ Table \* ARABIC </w:instrText>
      </w:r>
      <w:r w:rsidR="00B105AF">
        <w:fldChar w:fldCharType="separate"/>
      </w:r>
      <w:r w:rsidR="00DC5497">
        <w:rPr>
          <w:noProof/>
        </w:rPr>
        <w:t>8</w:t>
      </w:r>
      <w:r w:rsidR="00B105AF">
        <w:rPr>
          <w:noProof/>
        </w:rPr>
        <w:fldChar w:fldCharType="end"/>
      </w:r>
      <w:r>
        <w:t xml:space="preserve"> SWF and Target Countries Characteristics </w:t>
      </w:r>
      <w:r>
        <w:rPr>
          <w:noProof/>
        </w:rPr>
        <w:t>Results</w:t>
      </w:r>
    </w:p>
    <w:tbl>
      <w:tblPr>
        <w:tblW w:w="9634" w:type="dxa"/>
        <w:tblInd w:w="-851" w:type="dxa"/>
        <w:tblLook w:val="0000" w:firstRow="0" w:lastRow="0" w:firstColumn="0" w:lastColumn="0" w:noHBand="0" w:noVBand="0"/>
      </w:tblPr>
      <w:tblGrid>
        <w:gridCol w:w="1176"/>
        <w:gridCol w:w="983"/>
        <w:gridCol w:w="983"/>
        <w:gridCol w:w="983"/>
        <w:gridCol w:w="983"/>
        <w:gridCol w:w="1148"/>
        <w:gridCol w:w="1148"/>
        <w:gridCol w:w="1082"/>
        <w:gridCol w:w="1148"/>
      </w:tblGrid>
      <w:tr w:rsidR="007518F2" w:rsidRPr="007518F2" w:rsidTr="007518F2">
        <w:trPr>
          <w:trHeight w:val="254"/>
        </w:trPr>
        <w:tc>
          <w:tcPr>
            <w:tcW w:w="0" w:type="auto"/>
            <w:vMerge w:val="restart"/>
            <w:tcBorders>
              <w:top w:val="single" w:sz="4" w:space="0" w:color="auto"/>
              <w:left w:val="nil"/>
              <w:right w:val="single" w:sz="4" w:space="0" w:color="auto"/>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gridSpan w:val="4"/>
            <w:tcBorders>
              <w:top w:val="single" w:sz="4" w:space="0" w:color="auto"/>
              <w:left w:val="single" w:sz="4" w:space="0" w:color="auto"/>
              <w:right w:val="single" w:sz="4" w:space="0" w:color="auto"/>
            </w:tcBorders>
            <w:vAlign w:val="center"/>
          </w:tcPr>
          <w:p w:rsidR="007518F2" w:rsidRPr="007518F2" w:rsidRDefault="007518F2" w:rsidP="007518F2">
            <w:pPr>
              <w:autoSpaceDE w:val="0"/>
              <w:autoSpaceDN w:val="0"/>
              <w:adjustRightInd w:val="0"/>
              <w:jc w:val="center"/>
              <w:rPr>
                <w:rFonts w:cs="Times New Roman"/>
                <w:kern w:val="0"/>
                <w:sz w:val="18"/>
                <w:szCs w:val="24"/>
              </w:rPr>
            </w:pPr>
            <w:r w:rsidRPr="007518F2">
              <w:rPr>
                <w:rFonts w:cs="Times New Roman" w:hint="eastAsia"/>
                <w:kern w:val="0"/>
                <w:sz w:val="18"/>
                <w:szCs w:val="24"/>
              </w:rPr>
              <w:t>Panel</w:t>
            </w:r>
            <w:r w:rsidRPr="007518F2">
              <w:rPr>
                <w:rFonts w:cs="Times New Roman"/>
                <w:kern w:val="0"/>
                <w:sz w:val="18"/>
                <w:szCs w:val="24"/>
              </w:rPr>
              <w:t xml:space="preserve"> </w:t>
            </w:r>
            <w:r w:rsidRPr="007518F2">
              <w:rPr>
                <w:rFonts w:cs="Times New Roman" w:hint="eastAsia"/>
                <w:kern w:val="0"/>
                <w:sz w:val="18"/>
                <w:szCs w:val="24"/>
              </w:rPr>
              <w:t>A</w:t>
            </w:r>
            <w:r>
              <w:rPr>
                <w:rFonts w:cs="Times New Roman" w:hint="eastAsia"/>
                <w:kern w:val="0"/>
                <w:sz w:val="18"/>
                <w:szCs w:val="24"/>
              </w:rPr>
              <w:t>:</w:t>
            </w:r>
            <w:r>
              <w:rPr>
                <w:rFonts w:cs="Times New Roman"/>
                <w:kern w:val="0"/>
                <w:sz w:val="18"/>
                <w:szCs w:val="24"/>
              </w:rPr>
              <w:t xml:space="preserve"> SWF Countries</w:t>
            </w:r>
          </w:p>
        </w:tc>
        <w:tc>
          <w:tcPr>
            <w:tcW w:w="0" w:type="auto"/>
            <w:gridSpan w:val="4"/>
            <w:tcBorders>
              <w:top w:val="single" w:sz="4" w:space="0" w:color="auto"/>
              <w:left w:val="single" w:sz="4" w:space="0" w:color="auto"/>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hint="eastAsia"/>
                <w:kern w:val="0"/>
                <w:sz w:val="18"/>
                <w:szCs w:val="24"/>
              </w:rPr>
              <w:t>Panel</w:t>
            </w:r>
            <w:r w:rsidRPr="007518F2">
              <w:rPr>
                <w:rFonts w:cs="Times New Roman"/>
                <w:kern w:val="0"/>
                <w:sz w:val="18"/>
                <w:szCs w:val="24"/>
              </w:rPr>
              <w:t xml:space="preserve"> </w:t>
            </w:r>
            <w:r w:rsidRPr="007518F2">
              <w:rPr>
                <w:rFonts w:cs="Times New Roman" w:hint="eastAsia"/>
                <w:kern w:val="0"/>
                <w:sz w:val="18"/>
                <w:szCs w:val="24"/>
              </w:rPr>
              <w:t>B</w:t>
            </w:r>
            <w:r>
              <w:rPr>
                <w:rFonts w:cs="Times New Roman" w:hint="eastAsia"/>
                <w:kern w:val="0"/>
                <w:sz w:val="18"/>
                <w:szCs w:val="24"/>
              </w:rPr>
              <w:t>:</w:t>
            </w:r>
            <w:r>
              <w:rPr>
                <w:rFonts w:cs="Times New Roman"/>
                <w:kern w:val="0"/>
                <w:sz w:val="18"/>
                <w:szCs w:val="24"/>
              </w:rPr>
              <w:t xml:space="preserve"> Target Countries</w:t>
            </w:r>
          </w:p>
        </w:tc>
      </w:tr>
      <w:tr w:rsidR="007518F2" w:rsidRPr="007518F2" w:rsidTr="007518F2">
        <w:trPr>
          <w:trHeight w:val="254"/>
        </w:trPr>
        <w:tc>
          <w:tcPr>
            <w:tcW w:w="0" w:type="auto"/>
            <w:vMerge/>
            <w:tcBorders>
              <w:left w:val="nil"/>
              <w:bottom w:val="single" w:sz="4" w:space="0" w:color="auto"/>
              <w:right w:val="single" w:sz="4" w:space="0" w:color="auto"/>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left w:val="single" w:sz="4" w:space="0" w:color="auto"/>
              <w:bottom w:val="single" w:sz="4" w:space="0" w:color="auto"/>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(1)</w:t>
            </w:r>
          </w:p>
        </w:tc>
        <w:tc>
          <w:tcPr>
            <w:tcW w:w="0" w:type="auto"/>
            <w:tcBorders>
              <w:left w:val="nil"/>
              <w:bottom w:val="single" w:sz="4" w:space="0" w:color="auto"/>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(2)</w:t>
            </w:r>
          </w:p>
        </w:tc>
        <w:tc>
          <w:tcPr>
            <w:tcW w:w="0" w:type="auto"/>
            <w:tcBorders>
              <w:left w:val="nil"/>
              <w:bottom w:val="single" w:sz="4" w:space="0" w:color="auto"/>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(3)</w:t>
            </w:r>
          </w:p>
        </w:tc>
        <w:tc>
          <w:tcPr>
            <w:tcW w:w="0" w:type="auto"/>
            <w:tcBorders>
              <w:left w:val="nil"/>
              <w:bottom w:val="single" w:sz="4" w:space="0" w:color="auto"/>
              <w:right w:val="single" w:sz="4" w:space="0" w:color="auto"/>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(4)</w:t>
            </w:r>
          </w:p>
        </w:tc>
        <w:tc>
          <w:tcPr>
            <w:tcW w:w="0" w:type="auto"/>
            <w:tcBorders>
              <w:left w:val="single" w:sz="4" w:space="0" w:color="auto"/>
              <w:bottom w:val="single" w:sz="4" w:space="0" w:color="auto"/>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(1)</w:t>
            </w:r>
          </w:p>
        </w:tc>
        <w:tc>
          <w:tcPr>
            <w:tcW w:w="0" w:type="auto"/>
            <w:tcBorders>
              <w:left w:val="nil"/>
              <w:bottom w:val="single" w:sz="4" w:space="0" w:color="auto"/>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(2)</w:t>
            </w:r>
          </w:p>
        </w:tc>
        <w:tc>
          <w:tcPr>
            <w:tcW w:w="0" w:type="auto"/>
            <w:tcBorders>
              <w:left w:val="nil"/>
              <w:bottom w:val="single" w:sz="4" w:space="0" w:color="auto"/>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(3)</w:t>
            </w:r>
          </w:p>
        </w:tc>
        <w:tc>
          <w:tcPr>
            <w:tcW w:w="0" w:type="auto"/>
            <w:tcBorders>
              <w:left w:val="nil"/>
              <w:bottom w:val="single" w:sz="4" w:space="0" w:color="auto"/>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(4)</w:t>
            </w:r>
          </w:p>
        </w:tc>
      </w:tr>
      <w:tr w:rsidR="007518F2" w:rsidRPr="007518F2" w:rsidTr="007518F2">
        <w:trPr>
          <w:trHeight w:val="254"/>
        </w:trPr>
        <w:tc>
          <w:tcPr>
            <w:tcW w:w="0" w:type="auto"/>
            <w:tcBorders>
              <w:top w:val="single" w:sz="4" w:space="0" w:color="auto"/>
              <w:left w:val="nil"/>
              <w:bottom w:val="nil"/>
              <w:right w:val="single" w:sz="4" w:space="0" w:color="auto"/>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PR</w:t>
            </w:r>
          </w:p>
        </w:tc>
        <w:tc>
          <w:tcPr>
            <w:tcW w:w="0" w:type="auto"/>
            <w:tcBorders>
              <w:top w:val="single" w:sz="4" w:space="0" w:color="auto"/>
              <w:left w:val="single" w:sz="4" w:space="0" w:color="auto"/>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-2.949</w:t>
            </w:r>
            <w:r w:rsidRPr="007518F2">
              <w:rPr>
                <w:rFonts w:cs="Times New Roman"/>
                <w:kern w:val="0"/>
                <w:sz w:val="18"/>
                <w:szCs w:val="24"/>
                <w:vertAlign w:val="superscript"/>
              </w:rPr>
              <w:t>***</w:t>
            </w:r>
          </w:p>
        </w:tc>
        <w:tc>
          <w:tcPr>
            <w:tcW w:w="0" w:type="auto"/>
            <w:tcBorders>
              <w:top w:val="single" w:sz="4" w:space="0" w:color="auto"/>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-3.054</w:t>
            </w:r>
            <w:r w:rsidRPr="007518F2">
              <w:rPr>
                <w:rFonts w:cs="Times New Roman"/>
                <w:kern w:val="0"/>
                <w:sz w:val="18"/>
                <w:szCs w:val="24"/>
                <w:vertAlign w:val="superscript"/>
              </w:rPr>
              <w:t>***</w:t>
            </w:r>
          </w:p>
        </w:tc>
        <w:tc>
          <w:tcPr>
            <w:tcW w:w="0" w:type="auto"/>
            <w:tcBorders>
              <w:top w:val="single" w:sz="4" w:space="0" w:color="auto"/>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-3.726</w:t>
            </w:r>
            <w:r w:rsidRPr="007518F2">
              <w:rPr>
                <w:rFonts w:cs="Times New Roman"/>
                <w:kern w:val="0"/>
                <w:sz w:val="18"/>
                <w:szCs w:val="24"/>
                <w:vertAlign w:val="superscript"/>
              </w:rPr>
              <w:t>***</w:t>
            </w:r>
          </w:p>
        </w:tc>
        <w:tc>
          <w:tcPr>
            <w:tcW w:w="0" w:type="auto"/>
            <w:tcBorders>
              <w:top w:val="single" w:sz="4" w:space="0" w:color="auto"/>
              <w:left w:val="nil"/>
              <w:bottom w:val="nil"/>
              <w:right w:val="single" w:sz="4" w:space="0" w:color="auto"/>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-3.638</w:t>
            </w:r>
            <w:r w:rsidRPr="007518F2">
              <w:rPr>
                <w:rFonts w:cs="Times New Roman"/>
                <w:kern w:val="0"/>
                <w:sz w:val="18"/>
                <w:szCs w:val="24"/>
                <w:vertAlign w:val="superscript"/>
              </w:rPr>
              <w:t>***</w:t>
            </w:r>
          </w:p>
        </w:tc>
        <w:tc>
          <w:tcPr>
            <w:tcW w:w="0" w:type="auto"/>
            <w:tcBorders>
              <w:top w:val="single" w:sz="4" w:space="0" w:color="auto"/>
              <w:left w:val="single" w:sz="4" w:space="0" w:color="auto"/>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-2.475***</w:t>
            </w:r>
          </w:p>
        </w:tc>
        <w:tc>
          <w:tcPr>
            <w:tcW w:w="0" w:type="auto"/>
            <w:tcBorders>
              <w:top w:val="single" w:sz="4" w:space="0" w:color="auto"/>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-1.432**</w:t>
            </w:r>
          </w:p>
        </w:tc>
        <w:tc>
          <w:tcPr>
            <w:tcW w:w="0" w:type="auto"/>
            <w:tcBorders>
              <w:top w:val="single" w:sz="4" w:space="0" w:color="auto"/>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-2.909***</w:t>
            </w:r>
          </w:p>
        </w:tc>
        <w:tc>
          <w:tcPr>
            <w:tcW w:w="0" w:type="auto"/>
            <w:tcBorders>
              <w:top w:val="single" w:sz="4" w:space="0" w:color="auto"/>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-1.189*</w:t>
            </w:r>
          </w:p>
        </w:tc>
      </w:tr>
      <w:tr w:rsidR="007518F2" w:rsidRPr="007518F2" w:rsidTr="007518F2">
        <w:trPr>
          <w:trHeight w:val="254"/>
        </w:trPr>
        <w:tc>
          <w:tcPr>
            <w:tcW w:w="0" w:type="auto"/>
            <w:tcBorders>
              <w:top w:val="nil"/>
              <w:left w:val="nil"/>
              <w:bottom w:val="nil"/>
              <w:right w:val="single" w:sz="4" w:space="0" w:color="auto"/>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nil"/>
              <w:left w:val="single" w:sz="4" w:space="0" w:color="auto"/>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(-4.30)</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(-4.44)</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(-5.23)</w:t>
            </w:r>
          </w:p>
        </w:tc>
        <w:tc>
          <w:tcPr>
            <w:tcW w:w="0" w:type="auto"/>
            <w:tcBorders>
              <w:top w:val="nil"/>
              <w:left w:val="nil"/>
              <w:bottom w:val="nil"/>
              <w:right w:val="single" w:sz="4" w:space="0" w:color="auto"/>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(-5.12)</w:t>
            </w:r>
          </w:p>
        </w:tc>
        <w:tc>
          <w:tcPr>
            <w:tcW w:w="0" w:type="auto"/>
            <w:tcBorders>
              <w:top w:val="nil"/>
              <w:left w:val="single" w:sz="4" w:space="0" w:color="auto"/>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(-3.67)</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(-2.12)</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(-4.24)</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(-1.78)</w:t>
            </w:r>
          </w:p>
        </w:tc>
      </w:tr>
      <w:tr w:rsidR="007518F2" w:rsidRPr="007518F2" w:rsidTr="007518F2">
        <w:trPr>
          <w:trHeight w:val="254"/>
        </w:trPr>
        <w:tc>
          <w:tcPr>
            <w:tcW w:w="0" w:type="auto"/>
            <w:tcBorders>
              <w:top w:val="nil"/>
              <w:left w:val="nil"/>
              <w:bottom w:val="nil"/>
              <w:right w:val="single" w:sz="4" w:space="0" w:color="auto"/>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GDPPCD</w:t>
            </w:r>
          </w:p>
        </w:tc>
        <w:tc>
          <w:tcPr>
            <w:tcW w:w="0" w:type="auto"/>
            <w:tcBorders>
              <w:top w:val="nil"/>
              <w:left w:val="single" w:sz="4" w:space="0" w:color="auto"/>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2.363</w:t>
            </w:r>
            <w:r w:rsidRPr="007518F2">
              <w:rPr>
                <w:rFonts w:cs="Times New Roman"/>
                <w:kern w:val="0"/>
                <w:sz w:val="18"/>
                <w:szCs w:val="24"/>
                <w:vertAlign w:val="superscript"/>
              </w:rPr>
              <w:t>***</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3.470</w:t>
            </w:r>
            <w:r w:rsidRPr="007518F2">
              <w:rPr>
                <w:rFonts w:cs="Times New Roman"/>
                <w:kern w:val="0"/>
                <w:sz w:val="18"/>
                <w:szCs w:val="24"/>
                <w:vertAlign w:val="superscript"/>
              </w:rPr>
              <w:t>***</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1.988</w:t>
            </w:r>
            <w:r w:rsidRPr="007518F2">
              <w:rPr>
                <w:rFonts w:cs="Times New Roman"/>
                <w:kern w:val="0"/>
                <w:sz w:val="18"/>
                <w:szCs w:val="24"/>
                <w:vertAlign w:val="superscript"/>
              </w:rPr>
              <w:t>**</w:t>
            </w:r>
          </w:p>
        </w:tc>
        <w:tc>
          <w:tcPr>
            <w:tcW w:w="0" w:type="auto"/>
            <w:tcBorders>
              <w:top w:val="nil"/>
              <w:left w:val="nil"/>
              <w:bottom w:val="nil"/>
              <w:right w:val="single" w:sz="4" w:space="0" w:color="auto"/>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0.896</w:t>
            </w:r>
          </w:p>
        </w:tc>
        <w:tc>
          <w:tcPr>
            <w:tcW w:w="0" w:type="auto"/>
            <w:tcBorders>
              <w:top w:val="nil"/>
              <w:left w:val="single" w:sz="4" w:space="0" w:color="auto"/>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-3.748***</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2.557***</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3.438***</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-3.252***</w:t>
            </w:r>
          </w:p>
        </w:tc>
      </w:tr>
      <w:tr w:rsidR="007518F2" w:rsidRPr="007518F2" w:rsidTr="007518F2">
        <w:trPr>
          <w:trHeight w:val="254"/>
        </w:trPr>
        <w:tc>
          <w:tcPr>
            <w:tcW w:w="0" w:type="auto"/>
            <w:tcBorders>
              <w:top w:val="nil"/>
              <w:left w:val="nil"/>
              <w:bottom w:val="nil"/>
              <w:right w:val="single" w:sz="4" w:space="0" w:color="auto"/>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nil"/>
              <w:left w:val="single" w:sz="4" w:space="0" w:color="auto"/>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(2.75)</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(4.25)</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(2.25)</w:t>
            </w:r>
          </w:p>
        </w:tc>
        <w:tc>
          <w:tcPr>
            <w:tcW w:w="0" w:type="auto"/>
            <w:tcBorders>
              <w:top w:val="nil"/>
              <w:left w:val="nil"/>
              <w:bottom w:val="nil"/>
              <w:right w:val="single" w:sz="4" w:space="0" w:color="auto"/>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(0.97)</w:t>
            </w:r>
          </w:p>
        </w:tc>
        <w:tc>
          <w:tcPr>
            <w:tcW w:w="0" w:type="auto"/>
            <w:tcBorders>
              <w:top w:val="nil"/>
              <w:left w:val="single" w:sz="4" w:space="0" w:color="auto"/>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(-4.21)</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(3.20)</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(4.21)</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(-3.74)</w:t>
            </w:r>
          </w:p>
        </w:tc>
      </w:tr>
      <w:tr w:rsidR="007518F2" w:rsidRPr="007518F2" w:rsidTr="007518F2">
        <w:trPr>
          <w:trHeight w:val="254"/>
        </w:trPr>
        <w:tc>
          <w:tcPr>
            <w:tcW w:w="0" w:type="auto"/>
            <w:tcBorders>
              <w:top w:val="nil"/>
              <w:left w:val="nil"/>
              <w:bottom w:val="nil"/>
              <w:right w:val="single" w:sz="4" w:space="0" w:color="auto"/>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GDPGD</w:t>
            </w:r>
          </w:p>
        </w:tc>
        <w:tc>
          <w:tcPr>
            <w:tcW w:w="0" w:type="auto"/>
            <w:tcBorders>
              <w:top w:val="nil"/>
              <w:left w:val="single" w:sz="4" w:space="0" w:color="auto"/>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-0.045</w:t>
            </w:r>
            <w:r w:rsidRPr="007518F2">
              <w:rPr>
                <w:rFonts w:cs="Times New Roman"/>
                <w:kern w:val="0"/>
                <w:sz w:val="18"/>
                <w:szCs w:val="24"/>
                <w:vertAlign w:val="superscript"/>
              </w:rPr>
              <w:t>*</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-0.045</w:t>
            </w:r>
            <w:r w:rsidRPr="007518F2">
              <w:rPr>
                <w:rFonts w:cs="Times New Roman"/>
                <w:kern w:val="0"/>
                <w:sz w:val="18"/>
                <w:szCs w:val="24"/>
                <w:vertAlign w:val="superscript"/>
              </w:rPr>
              <w:t>*</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-0.033</w:t>
            </w:r>
          </w:p>
        </w:tc>
        <w:tc>
          <w:tcPr>
            <w:tcW w:w="0" w:type="auto"/>
            <w:tcBorders>
              <w:top w:val="nil"/>
              <w:left w:val="nil"/>
              <w:bottom w:val="nil"/>
              <w:right w:val="single" w:sz="4" w:space="0" w:color="auto"/>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-0.038</w:t>
            </w:r>
          </w:p>
        </w:tc>
        <w:tc>
          <w:tcPr>
            <w:tcW w:w="0" w:type="auto"/>
            <w:tcBorders>
              <w:top w:val="nil"/>
              <w:left w:val="single" w:sz="4" w:space="0" w:color="auto"/>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-0.056**</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-0.045*</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-0.036</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-0.052**</w:t>
            </w:r>
          </w:p>
        </w:tc>
      </w:tr>
      <w:tr w:rsidR="007518F2" w:rsidRPr="007518F2" w:rsidTr="007518F2">
        <w:trPr>
          <w:trHeight w:val="254"/>
        </w:trPr>
        <w:tc>
          <w:tcPr>
            <w:tcW w:w="0" w:type="auto"/>
            <w:tcBorders>
              <w:top w:val="nil"/>
              <w:left w:val="nil"/>
              <w:bottom w:val="nil"/>
              <w:right w:val="single" w:sz="4" w:space="0" w:color="auto"/>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nil"/>
              <w:left w:val="single" w:sz="4" w:space="0" w:color="auto"/>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(-1.80)</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(-1.78)</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(-1.30)</w:t>
            </w:r>
          </w:p>
        </w:tc>
        <w:tc>
          <w:tcPr>
            <w:tcW w:w="0" w:type="auto"/>
            <w:tcBorders>
              <w:top w:val="nil"/>
              <w:left w:val="nil"/>
              <w:bottom w:val="nil"/>
              <w:right w:val="single" w:sz="4" w:space="0" w:color="auto"/>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(-1.47)</w:t>
            </w:r>
          </w:p>
        </w:tc>
        <w:tc>
          <w:tcPr>
            <w:tcW w:w="0" w:type="auto"/>
            <w:tcBorders>
              <w:top w:val="nil"/>
              <w:left w:val="single" w:sz="4" w:space="0" w:color="auto"/>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(-2.11)</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(-1.86)</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(-1.43)</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(-2.00)</w:t>
            </w:r>
          </w:p>
        </w:tc>
      </w:tr>
      <w:tr w:rsidR="007518F2" w:rsidRPr="007518F2" w:rsidTr="007518F2">
        <w:trPr>
          <w:trHeight w:val="254"/>
        </w:trPr>
        <w:tc>
          <w:tcPr>
            <w:tcW w:w="0" w:type="auto"/>
            <w:tcBorders>
              <w:top w:val="nil"/>
              <w:left w:val="nil"/>
              <w:bottom w:val="nil"/>
              <w:right w:val="single" w:sz="4" w:space="0" w:color="auto"/>
            </w:tcBorders>
            <w:vAlign w:val="center"/>
          </w:tcPr>
          <w:p w:rsidR="007518F2" w:rsidRPr="007518F2" w:rsidRDefault="007518F2" w:rsidP="002A2606">
            <w:pPr>
              <w:autoSpaceDE w:val="0"/>
              <w:autoSpaceDN w:val="0"/>
              <w:adjustRightInd w:val="0"/>
              <w:jc w:val="center"/>
              <w:rPr>
                <w:rFonts w:cs="Times New Roman"/>
                <w:kern w:val="0"/>
                <w:sz w:val="18"/>
                <w:szCs w:val="24"/>
              </w:rPr>
            </w:pPr>
            <w:proofErr w:type="spellStart"/>
            <w:r w:rsidRPr="007518F2">
              <w:rPr>
                <w:rFonts w:cs="Times New Roman"/>
                <w:kern w:val="0"/>
                <w:sz w:val="18"/>
                <w:szCs w:val="24"/>
              </w:rPr>
              <w:t>ForExD</w:t>
            </w:r>
            <w:proofErr w:type="spellEnd"/>
          </w:p>
        </w:tc>
        <w:tc>
          <w:tcPr>
            <w:tcW w:w="0" w:type="auto"/>
            <w:tcBorders>
              <w:top w:val="nil"/>
              <w:left w:val="single" w:sz="4" w:space="0" w:color="auto"/>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0.004</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0.009</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0.017</w:t>
            </w:r>
          </w:p>
        </w:tc>
        <w:tc>
          <w:tcPr>
            <w:tcW w:w="0" w:type="auto"/>
            <w:tcBorders>
              <w:top w:val="nil"/>
              <w:left w:val="nil"/>
              <w:bottom w:val="nil"/>
              <w:right w:val="single" w:sz="4" w:space="0" w:color="auto"/>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0.011</w:t>
            </w:r>
          </w:p>
        </w:tc>
        <w:tc>
          <w:tcPr>
            <w:tcW w:w="0" w:type="auto"/>
            <w:tcBorders>
              <w:top w:val="nil"/>
              <w:left w:val="single" w:sz="4" w:space="0" w:color="auto"/>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-0.022</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-0.007</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0.011</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-0.031</w:t>
            </w:r>
          </w:p>
        </w:tc>
      </w:tr>
      <w:tr w:rsidR="007518F2" w:rsidRPr="007518F2" w:rsidTr="007518F2">
        <w:trPr>
          <w:trHeight w:val="254"/>
        </w:trPr>
        <w:tc>
          <w:tcPr>
            <w:tcW w:w="0" w:type="auto"/>
            <w:tcBorders>
              <w:top w:val="nil"/>
              <w:left w:val="nil"/>
              <w:bottom w:val="nil"/>
              <w:right w:val="single" w:sz="4" w:space="0" w:color="auto"/>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nil"/>
              <w:left w:val="single" w:sz="4" w:space="0" w:color="auto"/>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(0.11)</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(0.25)</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(0.49)</w:t>
            </w:r>
          </w:p>
        </w:tc>
        <w:tc>
          <w:tcPr>
            <w:tcW w:w="0" w:type="auto"/>
            <w:tcBorders>
              <w:top w:val="nil"/>
              <w:left w:val="nil"/>
              <w:bottom w:val="nil"/>
              <w:right w:val="single" w:sz="4" w:space="0" w:color="auto"/>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(0.34)</w:t>
            </w:r>
          </w:p>
        </w:tc>
        <w:tc>
          <w:tcPr>
            <w:tcW w:w="0" w:type="auto"/>
            <w:tcBorders>
              <w:top w:val="nil"/>
              <w:left w:val="single" w:sz="4" w:space="0" w:color="auto"/>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(-0.65)</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(-0.22)</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(0.33)</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(-0.91)</w:t>
            </w:r>
          </w:p>
        </w:tc>
      </w:tr>
      <w:tr w:rsidR="007518F2" w:rsidRPr="007518F2" w:rsidTr="007518F2">
        <w:trPr>
          <w:trHeight w:val="254"/>
        </w:trPr>
        <w:tc>
          <w:tcPr>
            <w:tcW w:w="0" w:type="auto"/>
            <w:tcBorders>
              <w:top w:val="nil"/>
              <w:left w:val="nil"/>
              <w:bottom w:val="nil"/>
              <w:right w:val="single" w:sz="4" w:space="0" w:color="auto"/>
            </w:tcBorders>
            <w:vAlign w:val="center"/>
          </w:tcPr>
          <w:p w:rsidR="007518F2" w:rsidRPr="007518F2" w:rsidRDefault="007518F2" w:rsidP="002A2606">
            <w:pPr>
              <w:autoSpaceDE w:val="0"/>
              <w:autoSpaceDN w:val="0"/>
              <w:adjustRightInd w:val="0"/>
              <w:jc w:val="center"/>
              <w:rPr>
                <w:rFonts w:cs="Times New Roman"/>
                <w:kern w:val="0"/>
                <w:sz w:val="18"/>
                <w:szCs w:val="24"/>
              </w:rPr>
            </w:pPr>
            <w:proofErr w:type="spellStart"/>
            <w:r w:rsidRPr="007518F2">
              <w:rPr>
                <w:rFonts w:cs="Times New Roman"/>
                <w:kern w:val="0"/>
                <w:sz w:val="18"/>
                <w:szCs w:val="24"/>
              </w:rPr>
              <w:t>ReturnD</w:t>
            </w:r>
            <w:proofErr w:type="spellEnd"/>
          </w:p>
        </w:tc>
        <w:tc>
          <w:tcPr>
            <w:tcW w:w="0" w:type="auto"/>
            <w:tcBorders>
              <w:top w:val="nil"/>
              <w:left w:val="single" w:sz="4" w:space="0" w:color="auto"/>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0.017</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0.014</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0.015</w:t>
            </w:r>
          </w:p>
        </w:tc>
        <w:tc>
          <w:tcPr>
            <w:tcW w:w="0" w:type="auto"/>
            <w:tcBorders>
              <w:top w:val="nil"/>
              <w:left w:val="nil"/>
              <w:bottom w:val="nil"/>
              <w:right w:val="single" w:sz="4" w:space="0" w:color="auto"/>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0.013</w:t>
            </w:r>
          </w:p>
        </w:tc>
        <w:tc>
          <w:tcPr>
            <w:tcW w:w="0" w:type="auto"/>
            <w:tcBorders>
              <w:top w:val="nil"/>
              <w:left w:val="single" w:sz="4" w:space="0" w:color="auto"/>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0.011</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0.005</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-0.010</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-0.018</w:t>
            </w:r>
          </w:p>
        </w:tc>
      </w:tr>
      <w:tr w:rsidR="007518F2" w:rsidRPr="007518F2" w:rsidTr="007518F2">
        <w:trPr>
          <w:trHeight w:val="254"/>
        </w:trPr>
        <w:tc>
          <w:tcPr>
            <w:tcW w:w="0" w:type="auto"/>
            <w:tcBorders>
              <w:top w:val="nil"/>
              <w:left w:val="nil"/>
              <w:bottom w:val="nil"/>
              <w:right w:val="single" w:sz="4" w:space="0" w:color="auto"/>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nil"/>
              <w:left w:val="single" w:sz="4" w:space="0" w:color="auto"/>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(1.39)</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(1.13)</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(1.27)</w:t>
            </w:r>
          </w:p>
        </w:tc>
        <w:tc>
          <w:tcPr>
            <w:tcW w:w="0" w:type="auto"/>
            <w:tcBorders>
              <w:top w:val="nil"/>
              <w:left w:val="nil"/>
              <w:bottom w:val="nil"/>
              <w:right w:val="single" w:sz="4" w:space="0" w:color="auto"/>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(1.04)</w:t>
            </w:r>
          </w:p>
        </w:tc>
        <w:tc>
          <w:tcPr>
            <w:tcW w:w="0" w:type="auto"/>
            <w:tcBorders>
              <w:top w:val="nil"/>
              <w:left w:val="single" w:sz="4" w:space="0" w:color="auto"/>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(0.91)</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(0.42)</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(-0.76)</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(-1.42)</w:t>
            </w:r>
          </w:p>
        </w:tc>
      </w:tr>
      <w:tr w:rsidR="007518F2" w:rsidRPr="007518F2" w:rsidTr="007518F2">
        <w:trPr>
          <w:trHeight w:val="254"/>
        </w:trPr>
        <w:tc>
          <w:tcPr>
            <w:tcW w:w="0" w:type="auto"/>
            <w:tcBorders>
              <w:top w:val="nil"/>
              <w:left w:val="nil"/>
              <w:bottom w:val="nil"/>
              <w:right w:val="single" w:sz="4" w:space="0" w:color="auto"/>
            </w:tcBorders>
            <w:vAlign w:val="center"/>
          </w:tcPr>
          <w:p w:rsidR="007518F2" w:rsidRPr="007518F2" w:rsidRDefault="007518F2" w:rsidP="002A2606">
            <w:pPr>
              <w:autoSpaceDE w:val="0"/>
              <w:autoSpaceDN w:val="0"/>
              <w:adjustRightInd w:val="0"/>
              <w:jc w:val="center"/>
              <w:rPr>
                <w:rFonts w:cs="Times New Roman"/>
                <w:kern w:val="0"/>
                <w:sz w:val="18"/>
                <w:szCs w:val="24"/>
              </w:rPr>
            </w:pPr>
            <w:proofErr w:type="spellStart"/>
            <w:r w:rsidRPr="007518F2">
              <w:rPr>
                <w:rFonts w:cs="Times New Roman"/>
                <w:kern w:val="0"/>
                <w:sz w:val="18"/>
                <w:szCs w:val="24"/>
              </w:rPr>
              <w:t>Corr</w:t>
            </w:r>
            <w:proofErr w:type="spellEnd"/>
          </w:p>
        </w:tc>
        <w:tc>
          <w:tcPr>
            <w:tcW w:w="0" w:type="auto"/>
            <w:tcBorders>
              <w:top w:val="nil"/>
              <w:left w:val="single" w:sz="4" w:space="0" w:color="auto"/>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8.481</w:t>
            </w:r>
            <w:r w:rsidRPr="007518F2">
              <w:rPr>
                <w:rFonts w:cs="Times New Roman"/>
                <w:kern w:val="0"/>
                <w:sz w:val="18"/>
                <w:szCs w:val="24"/>
                <w:vertAlign w:val="superscript"/>
              </w:rPr>
              <w:t>***</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11.630</w:t>
            </w:r>
            <w:r w:rsidRPr="007518F2">
              <w:rPr>
                <w:rFonts w:cs="Times New Roman"/>
                <w:kern w:val="0"/>
                <w:sz w:val="18"/>
                <w:szCs w:val="24"/>
                <w:vertAlign w:val="superscript"/>
              </w:rPr>
              <w:t>***</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12.176</w:t>
            </w:r>
            <w:r w:rsidRPr="007518F2">
              <w:rPr>
                <w:rFonts w:cs="Times New Roman"/>
                <w:kern w:val="0"/>
                <w:sz w:val="18"/>
                <w:szCs w:val="24"/>
                <w:vertAlign w:val="superscript"/>
              </w:rPr>
              <w:t>***</w:t>
            </w:r>
          </w:p>
        </w:tc>
        <w:tc>
          <w:tcPr>
            <w:tcW w:w="0" w:type="auto"/>
            <w:tcBorders>
              <w:top w:val="nil"/>
              <w:left w:val="nil"/>
              <w:bottom w:val="nil"/>
              <w:right w:val="single" w:sz="4" w:space="0" w:color="auto"/>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9.273</w:t>
            </w:r>
            <w:r w:rsidRPr="007518F2">
              <w:rPr>
                <w:rFonts w:cs="Times New Roman"/>
                <w:kern w:val="0"/>
                <w:sz w:val="18"/>
                <w:szCs w:val="24"/>
                <w:vertAlign w:val="superscript"/>
              </w:rPr>
              <w:t>***</w:t>
            </w:r>
          </w:p>
        </w:tc>
        <w:tc>
          <w:tcPr>
            <w:tcW w:w="0" w:type="auto"/>
            <w:tcBorders>
              <w:top w:val="nil"/>
              <w:left w:val="single" w:sz="4" w:space="0" w:color="auto"/>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4.928***</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9.550***</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10.427***</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3.537**</w:t>
            </w:r>
          </w:p>
        </w:tc>
      </w:tr>
      <w:tr w:rsidR="007518F2" w:rsidRPr="007518F2" w:rsidTr="007518F2">
        <w:trPr>
          <w:trHeight w:val="254"/>
        </w:trPr>
        <w:tc>
          <w:tcPr>
            <w:tcW w:w="0" w:type="auto"/>
            <w:tcBorders>
              <w:top w:val="nil"/>
              <w:left w:val="nil"/>
              <w:bottom w:val="nil"/>
              <w:right w:val="single" w:sz="4" w:space="0" w:color="auto"/>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nil"/>
              <w:left w:val="single" w:sz="4" w:space="0" w:color="auto"/>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(4.96)</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(7.42)</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(7.78)</w:t>
            </w:r>
          </w:p>
        </w:tc>
        <w:tc>
          <w:tcPr>
            <w:tcW w:w="0" w:type="auto"/>
            <w:tcBorders>
              <w:top w:val="nil"/>
              <w:left w:val="nil"/>
              <w:bottom w:val="nil"/>
              <w:right w:val="single" w:sz="4" w:space="0" w:color="auto"/>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(5.38)</w:t>
            </w:r>
          </w:p>
        </w:tc>
        <w:tc>
          <w:tcPr>
            <w:tcW w:w="0" w:type="auto"/>
            <w:tcBorders>
              <w:top w:val="nil"/>
              <w:left w:val="single" w:sz="4" w:space="0" w:color="auto"/>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(3.24)</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(6.32)</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(6.72)</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(2.35)</w:t>
            </w:r>
          </w:p>
        </w:tc>
      </w:tr>
      <w:tr w:rsidR="007518F2" w:rsidRPr="007518F2" w:rsidTr="007518F2">
        <w:trPr>
          <w:trHeight w:val="254"/>
        </w:trPr>
        <w:tc>
          <w:tcPr>
            <w:tcW w:w="0" w:type="auto"/>
            <w:tcBorders>
              <w:top w:val="nil"/>
              <w:left w:val="nil"/>
              <w:bottom w:val="nil"/>
              <w:right w:val="single" w:sz="4" w:space="0" w:color="auto"/>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Close</w:t>
            </w:r>
          </w:p>
        </w:tc>
        <w:tc>
          <w:tcPr>
            <w:tcW w:w="0" w:type="auto"/>
            <w:tcBorders>
              <w:top w:val="nil"/>
              <w:left w:val="single" w:sz="4" w:space="0" w:color="auto"/>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-6.899</w:t>
            </w:r>
            <w:r w:rsidRPr="007518F2">
              <w:rPr>
                <w:rFonts w:cs="Times New Roman"/>
                <w:kern w:val="0"/>
                <w:sz w:val="18"/>
                <w:szCs w:val="24"/>
                <w:vertAlign w:val="superscript"/>
              </w:rPr>
              <w:t>***</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-6.223</w:t>
            </w:r>
            <w:r w:rsidRPr="007518F2">
              <w:rPr>
                <w:rFonts w:cs="Times New Roman"/>
                <w:kern w:val="0"/>
                <w:sz w:val="18"/>
                <w:szCs w:val="24"/>
                <w:vertAlign w:val="superscript"/>
              </w:rPr>
              <w:t>***</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-7.014</w:t>
            </w:r>
            <w:r w:rsidRPr="007518F2">
              <w:rPr>
                <w:rFonts w:cs="Times New Roman"/>
                <w:kern w:val="0"/>
                <w:sz w:val="18"/>
                <w:szCs w:val="24"/>
                <w:vertAlign w:val="superscript"/>
              </w:rPr>
              <w:t>***</w:t>
            </w:r>
          </w:p>
        </w:tc>
        <w:tc>
          <w:tcPr>
            <w:tcW w:w="0" w:type="auto"/>
            <w:tcBorders>
              <w:top w:val="nil"/>
              <w:left w:val="nil"/>
              <w:bottom w:val="nil"/>
              <w:right w:val="single" w:sz="4" w:space="0" w:color="auto"/>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-7.636</w:t>
            </w:r>
            <w:r w:rsidRPr="007518F2">
              <w:rPr>
                <w:rFonts w:cs="Times New Roman"/>
                <w:kern w:val="0"/>
                <w:sz w:val="18"/>
                <w:szCs w:val="24"/>
                <w:vertAlign w:val="superscript"/>
              </w:rPr>
              <w:t>***</w:t>
            </w:r>
          </w:p>
        </w:tc>
        <w:tc>
          <w:tcPr>
            <w:tcW w:w="0" w:type="auto"/>
            <w:tcBorders>
              <w:top w:val="nil"/>
              <w:left w:val="single" w:sz="4" w:space="0" w:color="auto"/>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-6.486***</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-3.196***</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-6.389***</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-4.238***</w:t>
            </w:r>
          </w:p>
        </w:tc>
      </w:tr>
      <w:tr w:rsidR="007518F2" w:rsidRPr="007518F2" w:rsidTr="007518F2">
        <w:trPr>
          <w:trHeight w:val="254"/>
        </w:trPr>
        <w:tc>
          <w:tcPr>
            <w:tcW w:w="0" w:type="auto"/>
            <w:tcBorders>
              <w:top w:val="nil"/>
              <w:left w:val="nil"/>
              <w:bottom w:val="nil"/>
              <w:right w:val="single" w:sz="4" w:space="0" w:color="auto"/>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nil"/>
              <w:left w:val="single" w:sz="4" w:space="0" w:color="auto"/>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(-8.12)</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(-7.52)</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(-8.23)</w:t>
            </w:r>
          </w:p>
        </w:tc>
        <w:tc>
          <w:tcPr>
            <w:tcW w:w="0" w:type="auto"/>
            <w:tcBorders>
              <w:top w:val="nil"/>
              <w:left w:val="nil"/>
              <w:bottom w:val="nil"/>
              <w:right w:val="single" w:sz="4" w:space="0" w:color="auto"/>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(-8.70)</w:t>
            </w:r>
          </w:p>
        </w:tc>
        <w:tc>
          <w:tcPr>
            <w:tcW w:w="0" w:type="auto"/>
            <w:tcBorders>
              <w:top w:val="nil"/>
              <w:left w:val="single" w:sz="4" w:space="0" w:color="auto"/>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(-8.07)</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(-3.93)</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(-7.74)</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(-5.30)</w:t>
            </w:r>
          </w:p>
        </w:tc>
      </w:tr>
      <w:tr w:rsidR="007518F2" w:rsidRPr="007518F2" w:rsidTr="007518F2">
        <w:trPr>
          <w:trHeight w:val="254"/>
        </w:trPr>
        <w:tc>
          <w:tcPr>
            <w:tcW w:w="0" w:type="auto"/>
            <w:tcBorders>
              <w:top w:val="nil"/>
              <w:left w:val="nil"/>
              <w:bottom w:val="nil"/>
              <w:right w:val="single" w:sz="4" w:space="0" w:color="auto"/>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Culture</w:t>
            </w:r>
          </w:p>
        </w:tc>
        <w:tc>
          <w:tcPr>
            <w:tcW w:w="0" w:type="auto"/>
            <w:tcBorders>
              <w:top w:val="nil"/>
              <w:left w:val="single" w:sz="4" w:space="0" w:color="auto"/>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1.984</w:t>
            </w:r>
            <w:r w:rsidRPr="007518F2">
              <w:rPr>
                <w:rFonts w:cs="Times New Roman"/>
                <w:kern w:val="0"/>
                <w:sz w:val="18"/>
                <w:szCs w:val="24"/>
                <w:vertAlign w:val="superscript"/>
              </w:rPr>
              <w:t>***</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1.994</w:t>
            </w:r>
            <w:r w:rsidRPr="007518F2">
              <w:rPr>
                <w:rFonts w:cs="Times New Roman"/>
                <w:kern w:val="0"/>
                <w:sz w:val="18"/>
                <w:szCs w:val="24"/>
                <w:vertAlign w:val="superscript"/>
              </w:rPr>
              <w:t>***</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1.548</w:t>
            </w:r>
            <w:r w:rsidRPr="007518F2">
              <w:rPr>
                <w:rFonts w:cs="Times New Roman"/>
                <w:kern w:val="0"/>
                <w:sz w:val="18"/>
                <w:szCs w:val="24"/>
                <w:vertAlign w:val="superscript"/>
              </w:rPr>
              <w:t>**</w:t>
            </w:r>
          </w:p>
        </w:tc>
        <w:tc>
          <w:tcPr>
            <w:tcW w:w="0" w:type="auto"/>
            <w:tcBorders>
              <w:top w:val="nil"/>
              <w:left w:val="nil"/>
              <w:bottom w:val="nil"/>
              <w:right w:val="single" w:sz="4" w:space="0" w:color="auto"/>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1.538</w:t>
            </w:r>
            <w:r w:rsidRPr="007518F2">
              <w:rPr>
                <w:rFonts w:cs="Times New Roman"/>
                <w:kern w:val="0"/>
                <w:sz w:val="18"/>
                <w:szCs w:val="24"/>
                <w:vertAlign w:val="superscript"/>
              </w:rPr>
              <w:t>**</w:t>
            </w:r>
          </w:p>
        </w:tc>
        <w:tc>
          <w:tcPr>
            <w:tcW w:w="0" w:type="auto"/>
            <w:tcBorders>
              <w:top w:val="nil"/>
              <w:left w:val="single" w:sz="4" w:space="0" w:color="auto"/>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0.679</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1.534**</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1.999***</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0.501</w:t>
            </w:r>
          </w:p>
        </w:tc>
      </w:tr>
      <w:tr w:rsidR="007518F2" w:rsidRPr="007518F2" w:rsidTr="007518F2">
        <w:trPr>
          <w:trHeight w:val="254"/>
        </w:trPr>
        <w:tc>
          <w:tcPr>
            <w:tcW w:w="0" w:type="auto"/>
            <w:tcBorders>
              <w:top w:val="nil"/>
              <w:left w:val="nil"/>
              <w:bottom w:val="nil"/>
              <w:right w:val="single" w:sz="4" w:space="0" w:color="auto"/>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nil"/>
              <w:left w:val="single" w:sz="4" w:space="0" w:color="auto"/>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(2.91)</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(2.92)</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(2.24)</w:t>
            </w:r>
          </w:p>
        </w:tc>
        <w:tc>
          <w:tcPr>
            <w:tcW w:w="0" w:type="auto"/>
            <w:tcBorders>
              <w:top w:val="nil"/>
              <w:left w:val="nil"/>
              <w:bottom w:val="nil"/>
              <w:right w:val="single" w:sz="4" w:space="0" w:color="auto"/>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(2.23)</w:t>
            </w:r>
          </w:p>
        </w:tc>
        <w:tc>
          <w:tcPr>
            <w:tcW w:w="0" w:type="auto"/>
            <w:tcBorders>
              <w:top w:val="nil"/>
              <w:left w:val="single" w:sz="4" w:space="0" w:color="auto"/>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(1.03)</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(2.29)</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(2.93)</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(0.77)</w:t>
            </w:r>
          </w:p>
        </w:tc>
      </w:tr>
      <w:tr w:rsidR="007518F2" w:rsidRPr="007518F2" w:rsidTr="007518F2">
        <w:trPr>
          <w:trHeight w:val="254"/>
        </w:trPr>
        <w:tc>
          <w:tcPr>
            <w:tcW w:w="0" w:type="auto"/>
            <w:tcBorders>
              <w:top w:val="nil"/>
              <w:left w:val="nil"/>
              <w:bottom w:val="nil"/>
              <w:right w:val="single" w:sz="4" w:space="0" w:color="auto"/>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WGID</w:t>
            </w:r>
          </w:p>
        </w:tc>
        <w:tc>
          <w:tcPr>
            <w:tcW w:w="0" w:type="auto"/>
            <w:tcBorders>
              <w:top w:val="nil"/>
              <w:left w:val="single" w:sz="4" w:space="0" w:color="auto"/>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-1.392</w:t>
            </w:r>
            <w:r w:rsidRPr="007518F2">
              <w:rPr>
                <w:rFonts w:cs="Times New Roman"/>
                <w:kern w:val="0"/>
                <w:sz w:val="18"/>
                <w:szCs w:val="24"/>
                <w:vertAlign w:val="superscript"/>
              </w:rPr>
              <w:t>***</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-2.426</w:t>
            </w:r>
            <w:r w:rsidRPr="007518F2">
              <w:rPr>
                <w:rFonts w:cs="Times New Roman"/>
                <w:kern w:val="0"/>
                <w:sz w:val="18"/>
                <w:szCs w:val="24"/>
                <w:vertAlign w:val="superscript"/>
              </w:rPr>
              <w:t>***</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-1.717</w:t>
            </w:r>
            <w:r w:rsidRPr="007518F2">
              <w:rPr>
                <w:rFonts w:cs="Times New Roman"/>
                <w:kern w:val="0"/>
                <w:sz w:val="18"/>
                <w:szCs w:val="24"/>
                <w:vertAlign w:val="superscript"/>
              </w:rPr>
              <w:t>***</w:t>
            </w:r>
          </w:p>
        </w:tc>
        <w:tc>
          <w:tcPr>
            <w:tcW w:w="0" w:type="auto"/>
            <w:tcBorders>
              <w:top w:val="nil"/>
              <w:left w:val="nil"/>
              <w:bottom w:val="nil"/>
              <w:right w:val="single" w:sz="4" w:space="0" w:color="auto"/>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-0.728</w:t>
            </w:r>
          </w:p>
        </w:tc>
        <w:tc>
          <w:tcPr>
            <w:tcW w:w="0" w:type="auto"/>
            <w:tcBorders>
              <w:top w:val="nil"/>
              <w:left w:val="single" w:sz="4" w:space="0" w:color="auto"/>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-2.515***</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-1.987***</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-2.484***</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-2.256***</w:t>
            </w:r>
          </w:p>
        </w:tc>
      </w:tr>
      <w:tr w:rsidR="007518F2" w:rsidRPr="007518F2" w:rsidTr="007518F2">
        <w:trPr>
          <w:trHeight w:val="254"/>
        </w:trPr>
        <w:tc>
          <w:tcPr>
            <w:tcW w:w="0" w:type="auto"/>
            <w:tcBorders>
              <w:top w:val="nil"/>
              <w:left w:val="nil"/>
              <w:bottom w:val="single" w:sz="4" w:space="0" w:color="auto"/>
              <w:right w:val="single" w:sz="4" w:space="0" w:color="auto"/>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nil"/>
              <w:left w:val="single" w:sz="4" w:space="0" w:color="auto"/>
              <w:bottom w:val="single" w:sz="4" w:space="0" w:color="auto"/>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(-2.92)</w:t>
            </w:r>
          </w:p>
        </w:tc>
        <w:tc>
          <w:tcPr>
            <w:tcW w:w="0" w:type="auto"/>
            <w:tcBorders>
              <w:top w:val="nil"/>
              <w:left w:val="nil"/>
              <w:bottom w:val="single" w:sz="4" w:space="0" w:color="auto"/>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(-5.98)</w:t>
            </w:r>
          </w:p>
        </w:tc>
        <w:tc>
          <w:tcPr>
            <w:tcW w:w="0" w:type="auto"/>
            <w:tcBorders>
              <w:top w:val="nil"/>
              <w:left w:val="nil"/>
              <w:bottom w:val="single" w:sz="4" w:space="0" w:color="auto"/>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(-3.95)</w:t>
            </w:r>
          </w:p>
        </w:tc>
        <w:tc>
          <w:tcPr>
            <w:tcW w:w="0" w:type="auto"/>
            <w:tcBorders>
              <w:top w:val="nil"/>
              <w:left w:val="nil"/>
              <w:bottom w:val="single" w:sz="4" w:space="0" w:color="auto"/>
              <w:right w:val="single" w:sz="4" w:space="0" w:color="auto"/>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(-1.45)</w:t>
            </w:r>
          </w:p>
        </w:tc>
        <w:tc>
          <w:tcPr>
            <w:tcW w:w="0" w:type="auto"/>
            <w:tcBorders>
              <w:top w:val="nil"/>
              <w:left w:val="single" w:sz="4" w:space="0" w:color="auto"/>
              <w:bottom w:val="single" w:sz="4" w:space="0" w:color="auto"/>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(-6.29)</w:t>
            </w:r>
          </w:p>
        </w:tc>
        <w:tc>
          <w:tcPr>
            <w:tcW w:w="0" w:type="auto"/>
            <w:tcBorders>
              <w:top w:val="nil"/>
              <w:left w:val="nil"/>
              <w:bottom w:val="single" w:sz="4" w:space="0" w:color="auto"/>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(-5.02)</w:t>
            </w:r>
          </w:p>
        </w:tc>
        <w:tc>
          <w:tcPr>
            <w:tcW w:w="0" w:type="auto"/>
            <w:tcBorders>
              <w:top w:val="nil"/>
              <w:left w:val="nil"/>
              <w:bottom w:val="single" w:sz="4" w:space="0" w:color="auto"/>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(-6.14)</w:t>
            </w:r>
          </w:p>
        </w:tc>
        <w:tc>
          <w:tcPr>
            <w:tcW w:w="0" w:type="auto"/>
            <w:tcBorders>
              <w:top w:val="nil"/>
              <w:left w:val="nil"/>
              <w:bottom w:val="single" w:sz="4" w:space="0" w:color="auto"/>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(-5.72)</w:t>
            </w:r>
          </w:p>
        </w:tc>
      </w:tr>
      <w:tr w:rsidR="007518F2" w:rsidRPr="007518F2" w:rsidTr="007518F2">
        <w:trPr>
          <w:trHeight w:val="254"/>
        </w:trPr>
        <w:tc>
          <w:tcPr>
            <w:tcW w:w="0" w:type="auto"/>
            <w:tcBorders>
              <w:top w:val="single" w:sz="4" w:space="0" w:color="auto"/>
              <w:left w:val="nil"/>
              <w:bottom w:val="nil"/>
              <w:right w:val="single" w:sz="4" w:space="0" w:color="auto"/>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LM</w:t>
            </w:r>
          </w:p>
        </w:tc>
        <w:tc>
          <w:tcPr>
            <w:tcW w:w="0" w:type="auto"/>
            <w:tcBorders>
              <w:top w:val="single" w:sz="4" w:space="0" w:color="auto"/>
              <w:left w:val="single" w:sz="4" w:space="0" w:color="auto"/>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3.073</w:t>
            </w:r>
            <w:r w:rsidRPr="007518F2">
              <w:rPr>
                <w:rFonts w:cs="Times New Roman"/>
                <w:kern w:val="0"/>
                <w:sz w:val="18"/>
                <w:szCs w:val="24"/>
                <w:vertAlign w:val="superscript"/>
              </w:rPr>
              <w:t>***</w:t>
            </w:r>
          </w:p>
        </w:tc>
        <w:tc>
          <w:tcPr>
            <w:tcW w:w="0" w:type="auto"/>
            <w:tcBorders>
              <w:top w:val="single" w:sz="4" w:space="0" w:color="auto"/>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single" w:sz="4" w:space="0" w:color="auto"/>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single" w:sz="4" w:space="0" w:color="auto"/>
              <w:left w:val="nil"/>
              <w:bottom w:val="nil"/>
              <w:right w:val="single" w:sz="4" w:space="0" w:color="auto"/>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3.143</w:t>
            </w:r>
            <w:r w:rsidRPr="007518F2">
              <w:rPr>
                <w:rFonts w:cs="Times New Roman"/>
                <w:kern w:val="0"/>
                <w:sz w:val="18"/>
                <w:szCs w:val="24"/>
                <w:vertAlign w:val="superscript"/>
              </w:rPr>
              <w:t>***</w:t>
            </w:r>
          </w:p>
        </w:tc>
        <w:tc>
          <w:tcPr>
            <w:tcW w:w="0" w:type="auto"/>
            <w:tcBorders>
              <w:top w:val="single" w:sz="4" w:space="0" w:color="auto"/>
              <w:left w:val="single" w:sz="4" w:space="0" w:color="auto"/>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single" w:sz="4" w:space="0" w:color="auto"/>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single" w:sz="4" w:space="0" w:color="auto"/>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single" w:sz="4" w:space="0" w:color="auto"/>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p>
        </w:tc>
      </w:tr>
      <w:tr w:rsidR="007518F2" w:rsidRPr="007518F2" w:rsidTr="007518F2">
        <w:trPr>
          <w:trHeight w:val="254"/>
        </w:trPr>
        <w:tc>
          <w:tcPr>
            <w:tcW w:w="0" w:type="auto"/>
            <w:tcBorders>
              <w:top w:val="nil"/>
              <w:left w:val="nil"/>
              <w:bottom w:val="nil"/>
              <w:right w:val="single" w:sz="4" w:space="0" w:color="auto"/>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nil"/>
              <w:left w:val="single" w:sz="4" w:space="0" w:color="auto"/>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(3.91)</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nil"/>
              <w:left w:val="nil"/>
              <w:bottom w:val="nil"/>
              <w:right w:val="single" w:sz="4" w:space="0" w:color="auto"/>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(3.99)</w:t>
            </w:r>
          </w:p>
        </w:tc>
        <w:tc>
          <w:tcPr>
            <w:tcW w:w="0" w:type="auto"/>
            <w:tcBorders>
              <w:top w:val="nil"/>
              <w:left w:val="single" w:sz="4" w:space="0" w:color="auto"/>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p>
        </w:tc>
      </w:tr>
      <w:tr w:rsidR="007518F2" w:rsidRPr="007518F2" w:rsidTr="007518F2">
        <w:trPr>
          <w:trHeight w:val="254"/>
        </w:trPr>
        <w:tc>
          <w:tcPr>
            <w:tcW w:w="0" w:type="auto"/>
            <w:tcBorders>
              <w:top w:val="nil"/>
              <w:left w:val="nil"/>
              <w:bottom w:val="nil"/>
              <w:right w:val="single" w:sz="4" w:space="0" w:color="auto"/>
            </w:tcBorders>
            <w:vAlign w:val="center"/>
          </w:tcPr>
          <w:p w:rsidR="007518F2" w:rsidRPr="007518F2" w:rsidRDefault="007518F2" w:rsidP="002A2606">
            <w:pPr>
              <w:autoSpaceDE w:val="0"/>
              <w:autoSpaceDN w:val="0"/>
              <w:adjustRightInd w:val="0"/>
              <w:jc w:val="center"/>
              <w:rPr>
                <w:rFonts w:cs="Times New Roman"/>
                <w:kern w:val="0"/>
                <w:sz w:val="18"/>
                <w:szCs w:val="24"/>
              </w:rPr>
            </w:pPr>
            <w:proofErr w:type="spellStart"/>
            <w:r w:rsidRPr="007518F2">
              <w:rPr>
                <w:rFonts w:cs="Times New Roman"/>
                <w:kern w:val="0"/>
                <w:sz w:val="18"/>
                <w:szCs w:val="24"/>
              </w:rPr>
              <w:t>SWFDis</w:t>
            </w:r>
            <w:proofErr w:type="spellEnd"/>
          </w:p>
        </w:tc>
        <w:tc>
          <w:tcPr>
            <w:tcW w:w="0" w:type="auto"/>
            <w:tcBorders>
              <w:top w:val="nil"/>
              <w:left w:val="single" w:sz="4" w:space="0" w:color="auto"/>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0.383</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nil"/>
              <w:left w:val="nil"/>
              <w:bottom w:val="nil"/>
              <w:right w:val="single" w:sz="4" w:space="0" w:color="auto"/>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0.668</w:t>
            </w:r>
          </w:p>
        </w:tc>
        <w:tc>
          <w:tcPr>
            <w:tcW w:w="0" w:type="auto"/>
            <w:tcBorders>
              <w:top w:val="nil"/>
              <w:left w:val="single" w:sz="4" w:space="0" w:color="auto"/>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p>
        </w:tc>
      </w:tr>
      <w:tr w:rsidR="007518F2" w:rsidRPr="007518F2" w:rsidTr="007518F2">
        <w:trPr>
          <w:trHeight w:val="254"/>
        </w:trPr>
        <w:tc>
          <w:tcPr>
            <w:tcW w:w="0" w:type="auto"/>
            <w:tcBorders>
              <w:top w:val="nil"/>
              <w:left w:val="nil"/>
              <w:bottom w:val="nil"/>
              <w:right w:val="single" w:sz="4" w:space="0" w:color="auto"/>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nil"/>
              <w:left w:val="single" w:sz="4" w:space="0" w:color="auto"/>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(0.60)</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nil"/>
              <w:left w:val="nil"/>
              <w:bottom w:val="nil"/>
              <w:right w:val="single" w:sz="4" w:space="0" w:color="auto"/>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(1.04)</w:t>
            </w:r>
          </w:p>
        </w:tc>
        <w:tc>
          <w:tcPr>
            <w:tcW w:w="0" w:type="auto"/>
            <w:tcBorders>
              <w:top w:val="nil"/>
              <w:left w:val="single" w:sz="4" w:space="0" w:color="auto"/>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p>
        </w:tc>
      </w:tr>
      <w:tr w:rsidR="007518F2" w:rsidRPr="007518F2" w:rsidTr="007518F2">
        <w:trPr>
          <w:trHeight w:val="254"/>
        </w:trPr>
        <w:tc>
          <w:tcPr>
            <w:tcW w:w="0" w:type="auto"/>
            <w:tcBorders>
              <w:top w:val="nil"/>
              <w:left w:val="nil"/>
              <w:bottom w:val="nil"/>
              <w:right w:val="single" w:sz="4" w:space="0" w:color="auto"/>
            </w:tcBorders>
            <w:vAlign w:val="center"/>
          </w:tcPr>
          <w:p w:rsidR="007518F2" w:rsidRPr="007518F2" w:rsidRDefault="007518F2" w:rsidP="002A2606">
            <w:pPr>
              <w:autoSpaceDE w:val="0"/>
              <w:autoSpaceDN w:val="0"/>
              <w:adjustRightInd w:val="0"/>
              <w:jc w:val="center"/>
              <w:rPr>
                <w:rFonts w:cs="Times New Roman"/>
                <w:kern w:val="0"/>
                <w:sz w:val="18"/>
                <w:szCs w:val="24"/>
              </w:rPr>
            </w:pPr>
            <w:proofErr w:type="spellStart"/>
            <w:r w:rsidRPr="007518F2">
              <w:rPr>
                <w:rFonts w:cs="Times New Roman"/>
                <w:kern w:val="0"/>
                <w:sz w:val="18"/>
                <w:szCs w:val="24"/>
              </w:rPr>
              <w:t>Comm</w:t>
            </w:r>
            <w:proofErr w:type="spellEnd"/>
          </w:p>
        </w:tc>
        <w:tc>
          <w:tcPr>
            <w:tcW w:w="0" w:type="auto"/>
            <w:tcBorders>
              <w:top w:val="nil"/>
              <w:left w:val="single" w:sz="4" w:space="0" w:color="auto"/>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-2.816</w:t>
            </w:r>
            <w:r w:rsidRPr="007518F2">
              <w:rPr>
                <w:rFonts w:cs="Times New Roman"/>
                <w:kern w:val="0"/>
                <w:sz w:val="18"/>
                <w:szCs w:val="24"/>
                <w:vertAlign w:val="superscript"/>
              </w:rPr>
              <w:t>***</w:t>
            </w:r>
          </w:p>
        </w:tc>
        <w:tc>
          <w:tcPr>
            <w:tcW w:w="0" w:type="auto"/>
            <w:tcBorders>
              <w:top w:val="nil"/>
              <w:left w:val="nil"/>
              <w:bottom w:val="nil"/>
              <w:right w:val="single" w:sz="4" w:space="0" w:color="auto"/>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-2.777</w:t>
            </w:r>
            <w:r w:rsidRPr="007518F2">
              <w:rPr>
                <w:rFonts w:cs="Times New Roman"/>
                <w:kern w:val="0"/>
                <w:sz w:val="18"/>
                <w:szCs w:val="24"/>
                <w:vertAlign w:val="superscript"/>
              </w:rPr>
              <w:t>***</w:t>
            </w:r>
          </w:p>
        </w:tc>
        <w:tc>
          <w:tcPr>
            <w:tcW w:w="0" w:type="auto"/>
            <w:tcBorders>
              <w:top w:val="nil"/>
              <w:left w:val="single" w:sz="4" w:space="0" w:color="auto"/>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p>
        </w:tc>
      </w:tr>
      <w:tr w:rsidR="007518F2" w:rsidRPr="007518F2" w:rsidTr="007518F2">
        <w:trPr>
          <w:trHeight w:val="254"/>
        </w:trPr>
        <w:tc>
          <w:tcPr>
            <w:tcW w:w="0" w:type="auto"/>
            <w:tcBorders>
              <w:top w:val="nil"/>
              <w:left w:val="nil"/>
              <w:bottom w:val="single" w:sz="4" w:space="0" w:color="auto"/>
              <w:right w:val="single" w:sz="4" w:space="0" w:color="auto"/>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nil"/>
              <w:left w:val="single" w:sz="4" w:space="0" w:color="auto"/>
              <w:bottom w:val="single" w:sz="4" w:space="0" w:color="auto"/>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nil"/>
              <w:left w:val="nil"/>
              <w:bottom w:val="single" w:sz="4" w:space="0" w:color="auto"/>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nil"/>
              <w:left w:val="nil"/>
              <w:bottom w:val="single" w:sz="4" w:space="0" w:color="auto"/>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(-4.19)</w:t>
            </w:r>
          </w:p>
        </w:tc>
        <w:tc>
          <w:tcPr>
            <w:tcW w:w="0" w:type="auto"/>
            <w:tcBorders>
              <w:top w:val="nil"/>
              <w:left w:val="nil"/>
              <w:bottom w:val="single" w:sz="4" w:space="0" w:color="auto"/>
              <w:right w:val="single" w:sz="4" w:space="0" w:color="auto"/>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(-4.14)</w:t>
            </w:r>
          </w:p>
        </w:tc>
        <w:tc>
          <w:tcPr>
            <w:tcW w:w="0" w:type="auto"/>
            <w:tcBorders>
              <w:top w:val="nil"/>
              <w:left w:val="single" w:sz="4" w:space="0" w:color="auto"/>
              <w:bottom w:val="single" w:sz="4" w:space="0" w:color="auto"/>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nil"/>
              <w:left w:val="nil"/>
              <w:bottom w:val="single" w:sz="4" w:space="0" w:color="auto"/>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nil"/>
              <w:left w:val="nil"/>
              <w:bottom w:val="single" w:sz="4" w:space="0" w:color="auto"/>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nil"/>
              <w:left w:val="nil"/>
              <w:bottom w:val="single" w:sz="4" w:space="0" w:color="auto"/>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p>
        </w:tc>
      </w:tr>
      <w:tr w:rsidR="007518F2" w:rsidRPr="007518F2" w:rsidTr="007518F2">
        <w:trPr>
          <w:trHeight w:val="254"/>
        </w:trPr>
        <w:tc>
          <w:tcPr>
            <w:tcW w:w="0" w:type="auto"/>
            <w:tcBorders>
              <w:top w:val="single" w:sz="4" w:space="0" w:color="auto"/>
              <w:left w:val="nil"/>
              <w:bottom w:val="nil"/>
              <w:right w:val="single" w:sz="4" w:space="0" w:color="auto"/>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Grade</w:t>
            </w:r>
          </w:p>
        </w:tc>
        <w:tc>
          <w:tcPr>
            <w:tcW w:w="0" w:type="auto"/>
            <w:tcBorders>
              <w:top w:val="single" w:sz="4" w:space="0" w:color="auto"/>
              <w:left w:val="single" w:sz="4" w:space="0" w:color="auto"/>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single" w:sz="4" w:space="0" w:color="auto"/>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single" w:sz="4" w:space="0" w:color="auto"/>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single" w:sz="4" w:space="0" w:color="auto"/>
              <w:left w:val="nil"/>
              <w:bottom w:val="nil"/>
              <w:right w:val="single" w:sz="4" w:space="0" w:color="auto"/>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single" w:sz="4" w:space="0" w:color="auto"/>
              <w:left w:val="single" w:sz="4" w:space="0" w:color="auto"/>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4.900***</w:t>
            </w:r>
          </w:p>
        </w:tc>
        <w:tc>
          <w:tcPr>
            <w:tcW w:w="0" w:type="auto"/>
            <w:tcBorders>
              <w:top w:val="single" w:sz="4" w:space="0" w:color="auto"/>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single" w:sz="4" w:space="0" w:color="auto"/>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single" w:sz="4" w:space="0" w:color="auto"/>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4.136***</w:t>
            </w:r>
          </w:p>
        </w:tc>
      </w:tr>
      <w:tr w:rsidR="007518F2" w:rsidRPr="007518F2" w:rsidTr="007518F2">
        <w:trPr>
          <w:trHeight w:val="254"/>
        </w:trPr>
        <w:tc>
          <w:tcPr>
            <w:tcW w:w="0" w:type="auto"/>
            <w:tcBorders>
              <w:top w:val="nil"/>
              <w:left w:val="nil"/>
              <w:bottom w:val="nil"/>
              <w:right w:val="single" w:sz="4" w:space="0" w:color="auto"/>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nil"/>
              <w:left w:val="single" w:sz="4" w:space="0" w:color="auto"/>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nil"/>
              <w:left w:val="nil"/>
              <w:bottom w:val="nil"/>
              <w:right w:val="single" w:sz="4" w:space="0" w:color="auto"/>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nil"/>
              <w:left w:val="single" w:sz="4" w:space="0" w:color="auto"/>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(16.09)</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(14.14)</w:t>
            </w:r>
          </w:p>
        </w:tc>
      </w:tr>
      <w:tr w:rsidR="007518F2" w:rsidRPr="007518F2" w:rsidTr="007518F2">
        <w:trPr>
          <w:trHeight w:val="254"/>
        </w:trPr>
        <w:tc>
          <w:tcPr>
            <w:tcW w:w="0" w:type="auto"/>
            <w:tcBorders>
              <w:top w:val="nil"/>
              <w:left w:val="nil"/>
              <w:bottom w:val="nil"/>
              <w:right w:val="single" w:sz="4" w:space="0" w:color="auto"/>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Partner</w:t>
            </w:r>
          </w:p>
        </w:tc>
        <w:tc>
          <w:tcPr>
            <w:tcW w:w="0" w:type="auto"/>
            <w:tcBorders>
              <w:top w:val="nil"/>
              <w:left w:val="single" w:sz="4" w:space="0" w:color="auto"/>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nil"/>
              <w:left w:val="nil"/>
              <w:bottom w:val="nil"/>
              <w:right w:val="single" w:sz="4" w:space="0" w:color="auto"/>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nil"/>
              <w:left w:val="single" w:sz="4" w:space="0" w:color="auto"/>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11.305***</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8.314***</w:t>
            </w:r>
          </w:p>
        </w:tc>
      </w:tr>
      <w:tr w:rsidR="007518F2" w:rsidRPr="007518F2" w:rsidTr="007518F2">
        <w:trPr>
          <w:trHeight w:val="254"/>
        </w:trPr>
        <w:tc>
          <w:tcPr>
            <w:tcW w:w="0" w:type="auto"/>
            <w:tcBorders>
              <w:top w:val="nil"/>
              <w:left w:val="nil"/>
              <w:bottom w:val="nil"/>
              <w:right w:val="single" w:sz="4" w:space="0" w:color="auto"/>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nil"/>
              <w:left w:val="single" w:sz="4" w:space="0" w:color="auto"/>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nil"/>
              <w:left w:val="nil"/>
              <w:bottom w:val="nil"/>
              <w:right w:val="single" w:sz="4" w:space="0" w:color="auto"/>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nil"/>
              <w:left w:val="single" w:sz="4" w:space="0" w:color="auto"/>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(14.45)</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(11.15)</w:t>
            </w:r>
          </w:p>
        </w:tc>
      </w:tr>
      <w:tr w:rsidR="007518F2" w:rsidRPr="007518F2" w:rsidTr="007518F2">
        <w:trPr>
          <w:trHeight w:val="254"/>
        </w:trPr>
        <w:tc>
          <w:tcPr>
            <w:tcW w:w="0" w:type="auto"/>
            <w:tcBorders>
              <w:top w:val="nil"/>
              <w:left w:val="nil"/>
              <w:bottom w:val="nil"/>
              <w:right w:val="single" w:sz="4" w:space="0" w:color="auto"/>
            </w:tcBorders>
            <w:vAlign w:val="center"/>
          </w:tcPr>
          <w:p w:rsidR="007518F2" w:rsidRPr="007518F2" w:rsidRDefault="007518F2" w:rsidP="002A2606">
            <w:pPr>
              <w:autoSpaceDE w:val="0"/>
              <w:autoSpaceDN w:val="0"/>
              <w:adjustRightInd w:val="0"/>
              <w:jc w:val="center"/>
              <w:rPr>
                <w:rFonts w:cs="Times New Roman"/>
                <w:kern w:val="0"/>
                <w:sz w:val="18"/>
                <w:szCs w:val="24"/>
              </w:rPr>
            </w:pPr>
            <w:proofErr w:type="spellStart"/>
            <w:r w:rsidRPr="007518F2">
              <w:rPr>
                <w:rFonts w:cs="Times New Roman"/>
                <w:kern w:val="0"/>
                <w:sz w:val="18"/>
                <w:szCs w:val="24"/>
              </w:rPr>
              <w:t>TarDis</w:t>
            </w:r>
            <w:proofErr w:type="spellEnd"/>
          </w:p>
        </w:tc>
        <w:tc>
          <w:tcPr>
            <w:tcW w:w="0" w:type="auto"/>
            <w:tcBorders>
              <w:top w:val="nil"/>
              <w:left w:val="single" w:sz="4" w:space="0" w:color="auto"/>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nil"/>
              <w:left w:val="nil"/>
              <w:bottom w:val="nil"/>
              <w:right w:val="single" w:sz="4" w:space="0" w:color="auto"/>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nil"/>
              <w:left w:val="single" w:sz="4" w:space="0" w:color="auto"/>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-3.688***</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-3.078***</w:t>
            </w:r>
          </w:p>
        </w:tc>
      </w:tr>
      <w:tr w:rsidR="007518F2" w:rsidRPr="007518F2" w:rsidTr="007518F2">
        <w:trPr>
          <w:trHeight w:val="254"/>
        </w:trPr>
        <w:tc>
          <w:tcPr>
            <w:tcW w:w="0" w:type="auto"/>
            <w:tcBorders>
              <w:top w:val="nil"/>
              <w:left w:val="nil"/>
              <w:bottom w:val="single" w:sz="4" w:space="0" w:color="auto"/>
              <w:right w:val="single" w:sz="4" w:space="0" w:color="auto"/>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nil"/>
              <w:left w:val="single" w:sz="4" w:space="0" w:color="auto"/>
              <w:bottom w:val="single" w:sz="4" w:space="0" w:color="auto"/>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nil"/>
              <w:left w:val="nil"/>
              <w:bottom w:val="single" w:sz="4" w:space="0" w:color="auto"/>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nil"/>
              <w:left w:val="nil"/>
              <w:bottom w:val="single" w:sz="4" w:space="0" w:color="auto"/>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nil"/>
              <w:left w:val="nil"/>
              <w:bottom w:val="single" w:sz="4" w:space="0" w:color="auto"/>
              <w:right w:val="single" w:sz="4" w:space="0" w:color="auto"/>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nil"/>
              <w:left w:val="single" w:sz="4" w:space="0" w:color="auto"/>
              <w:bottom w:val="single" w:sz="4" w:space="0" w:color="auto"/>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nil"/>
              <w:left w:val="nil"/>
              <w:bottom w:val="single" w:sz="4" w:space="0" w:color="auto"/>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nil"/>
              <w:left w:val="nil"/>
              <w:bottom w:val="single" w:sz="4" w:space="0" w:color="auto"/>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(-5.45)</w:t>
            </w:r>
          </w:p>
        </w:tc>
        <w:tc>
          <w:tcPr>
            <w:tcW w:w="0" w:type="auto"/>
            <w:tcBorders>
              <w:top w:val="nil"/>
              <w:left w:val="nil"/>
              <w:bottom w:val="single" w:sz="4" w:space="0" w:color="auto"/>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(-4.76)</w:t>
            </w:r>
          </w:p>
        </w:tc>
      </w:tr>
      <w:tr w:rsidR="007518F2" w:rsidRPr="007518F2" w:rsidTr="007518F2">
        <w:trPr>
          <w:trHeight w:val="254"/>
        </w:trPr>
        <w:tc>
          <w:tcPr>
            <w:tcW w:w="0" w:type="auto"/>
            <w:tcBorders>
              <w:top w:val="single" w:sz="4" w:space="0" w:color="auto"/>
              <w:left w:val="nil"/>
              <w:bottom w:val="nil"/>
              <w:right w:val="single" w:sz="4" w:space="0" w:color="auto"/>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_cons</w:t>
            </w:r>
          </w:p>
        </w:tc>
        <w:tc>
          <w:tcPr>
            <w:tcW w:w="0" w:type="auto"/>
            <w:tcBorders>
              <w:top w:val="single" w:sz="4" w:space="0" w:color="auto"/>
              <w:left w:val="single" w:sz="4" w:space="0" w:color="auto"/>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-2.489</w:t>
            </w:r>
          </w:p>
        </w:tc>
        <w:tc>
          <w:tcPr>
            <w:tcW w:w="0" w:type="auto"/>
            <w:tcBorders>
              <w:top w:val="single" w:sz="4" w:space="0" w:color="auto"/>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-4.830</w:t>
            </w:r>
          </w:p>
        </w:tc>
        <w:tc>
          <w:tcPr>
            <w:tcW w:w="0" w:type="auto"/>
            <w:tcBorders>
              <w:top w:val="single" w:sz="4" w:space="0" w:color="auto"/>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-0.157</w:t>
            </w:r>
          </w:p>
        </w:tc>
        <w:tc>
          <w:tcPr>
            <w:tcW w:w="0" w:type="auto"/>
            <w:tcBorders>
              <w:top w:val="single" w:sz="4" w:space="0" w:color="auto"/>
              <w:left w:val="nil"/>
              <w:bottom w:val="nil"/>
              <w:right w:val="single" w:sz="4" w:space="0" w:color="auto"/>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1.490</w:t>
            </w:r>
          </w:p>
        </w:tc>
        <w:tc>
          <w:tcPr>
            <w:tcW w:w="0" w:type="auto"/>
            <w:tcBorders>
              <w:top w:val="single" w:sz="4" w:space="0" w:color="auto"/>
              <w:left w:val="single" w:sz="4" w:space="0" w:color="auto"/>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-11.538***</w:t>
            </w:r>
          </w:p>
        </w:tc>
        <w:tc>
          <w:tcPr>
            <w:tcW w:w="0" w:type="auto"/>
            <w:tcBorders>
              <w:top w:val="single" w:sz="4" w:space="0" w:color="auto"/>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-16.385***</w:t>
            </w:r>
          </w:p>
        </w:tc>
        <w:tc>
          <w:tcPr>
            <w:tcW w:w="0" w:type="auto"/>
            <w:tcBorders>
              <w:top w:val="single" w:sz="4" w:space="0" w:color="auto"/>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-2.305</w:t>
            </w:r>
          </w:p>
        </w:tc>
        <w:tc>
          <w:tcPr>
            <w:tcW w:w="0" w:type="auto"/>
            <w:tcBorders>
              <w:top w:val="single" w:sz="4" w:space="0" w:color="auto"/>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-17.435***</w:t>
            </w:r>
          </w:p>
        </w:tc>
      </w:tr>
      <w:tr w:rsidR="007518F2" w:rsidRPr="007518F2" w:rsidTr="007518F2">
        <w:trPr>
          <w:trHeight w:val="254"/>
        </w:trPr>
        <w:tc>
          <w:tcPr>
            <w:tcW w:w="0" w:type="auto"/>
            <w:tcBorders>
              <w:top w:val="nil"/>
              <w:left w:val="nil"/>
              <w:right w:val="single" w:sz="4" w:space="0" w:color="auto"/>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nil"/>
              <w:left w:val="single" w:sz="4" w:space="0" w:color="auto"/>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(-0.74)</w:t>
            </w:r>
          </w:p>
        </w:tc>
        <w:tc>
          <w:tcPr>
            <w:tcW w:w="0" w:type="auto"/>
            <w:tcBorders>
              <w:top w:val="nil"/>
              <w:left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(-1.44)</w:t>
            </w:r>
          </w:p>
        </w:tc>
        <w:tc>
          <w:tcPr>
            <w:tcW w:w="0" w:type="auto"/>
            <w:tcBorders>
              <w:top w:val="nil"/>
              <w:left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(-0.05)</w:t>
            </w:r>
          </w:p>
        </w:tc>
        <w:tc>
          <w:tcPr>
            <w:tcW w:w="0" w:type="auto"/>
            <w:tcBorders>
              <w:top w:val="nil"/>
              <w:left w:val="nil"/>
              <w:right w:val="single" w:sz="4" w:space="0" w:color="auto"/>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(0.42)</w:t>
            </w:r>
          </w:p>
        </w:tc>
        <w:tc>
          <w:tcPr>
            <w:tcW w:w="0" w:type="auto"/>
            <w:tcBorders>
              <w:top w:val="nil"/>
              <w:left w:val="single" w:sz="4" w:space="0" w:color="auto"/>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(-3.52)</w:t>
            </w:r>
          </w:p>
        </w:tc>
        <w:tc>
          <w:tcPr>
            <w:tcW w:w="0" w:type="auto"/>
            <w:tcBorders>
              <w:top w:val="nil"/>
              <w:left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(-4.83)</w:t>
            </w:r>
          </w:p>
        </w:tc>
        <w:tc>
          <w:tcPr>
            <w:tcW w:w="0" w:type="auto"/>
            <w:tcBorders>
              <w:top w:val="nil"/>
              <w:left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(-0.69)</w:t>
            </w:r>
          </w:p>
        </w:tc>
        <w:tc>
          <w:tcPr>
            <w:tcW w:w="0" w:type="auto"/>
            <w:tcBorders>
              <w:top w:val="nil"/>
              <w:left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(-5.20)</w:t>
            </w:r>
          </w:p>
        </w:tc>
      </w:tr>
      <w:tr w:rsidR="007518F2" w:rsidRPr="007518F2" w:rsidTr="007518F2">
        <w:trPr>
          <w:trHeight w:val="254"/>
        </w:trPr>
        <w:tc>
          <w:tcPr>
            <w:tcW w:w="0" w:type="auto"/>
            <w:tcBorders>
              <w:top w:val="nil"/>
              <w:left w:val="nil"/>
              <w:bottom w:val="nil"/>
              <w:right w:val="single" w:sz="4" w:space="0" w:color="auto"/>
            </w:tcBorders>
            <w:vAlign w:val="center"/>
          </w:tcPr>
          <w:p w:rsidR="007518F2" w:rsidRPr="007518F2" w:rsidRDefault="007518F2" w:rsidP="002A2606">
            <w:pPr>
              <w:autoSpaceDE w:val="0"/>
              <w:autoSpaceDN w:val="0"/>
              <w:adjustRightInd w:val="0"/>
              <w:jc w:val="center"/>
              <w:rPr>
                <w:rFonts w:cs="Times New Roman"/>
                <w:kern w:val="0"/>
                <w:sz w:val="18"/>
                <w:szCs w:val="24"/>
              </w:rPr>
            </w:pPr>
            <w:proofErr w:type="spellStart"/>
            <w:r w:rsidRPr="007518F2">
              <w:rPr>
                <w:rFonts w:cs="Times New Roman"/>
                <w:kern w:val="0"/>
                <w:sz w:val="18"/>
                <w:szCs w:val="24"/>
              </w:rPr>
              <w:t>sigma_cons</w:t>
            </w:r>
            <w:proofErr w:type="spellEnd"/>
          </w:p>
        </w:tc>
        <w:tc>
          <w:tcPr>
            <w:tcW w:w="0" w:type="auto"/>
            <w:tcBorders>
              <w:top w:val="nil"/>
              <w:left w:val="single" w:sz="4" w:space="0" w:color="auto"/>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16.117</w:t>
            </w:r>
            <w:r w:rsidRPr="007518F2">
              <w:rPr>
                <w:rFonts w:cs="Times New Roman"/>
                <w:kern w:val="0"/>
                <w:sz w:val="18"/>
                <w:szCs w:val="24"/>
                <w:vertAlign w:val="superscript"/>
              </w:rPr>
              <w:t>***</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16.156</w:t>
            </w:r>
            <w:r w:rsidRPr="007518F2">
              <w:rPr>
                <w:rFonts w:cs="Times New Roman"/>
                <w:kern w:val="0"/>
                <w:sz w:val="18"/>
                <w:szCs w:val="24"/>
                <w:vertAlign w:val="superscript"/>
              </w:rPr>
              <w:t>***</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16.106</w:t>
            </w:r>
            <w:r w:rsidRPr="007518F2">
              <w:rPr>
                <w:rFonts w:cs="Times New Roman"/>
                <w:kern w:val="0"/>
                <w:sz w:val="18"/>
                <w:szCs w:val="24"/>
                <w:vertAlign w:val="superscript"/>
              </w:rPr>
              <w:t>***</w:t>
            </w:r>
          </w:p>
        </w:tc>
        <w:tc>
          <w:tcPr>
            <w:tcW w:w="0" w:type="auto"/>
            <w:tcBorders>
              <w:top w:val="nil"/>
              <w:left w:val="nil"/>
              <w:bottom w:val="nil"/>
              <w:right w:val="single" w:sz="4" w:space="0" w:color="auto"/>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16.062</w:t>
            </w:r>
            <w:r w:rsidRPr="007518F2">
              <w:rPr>
                <w:rFonts w:cs="Times New Roman"/>
                <w:kern w:val="0"/>
                <w:sz w:val="18"/>
                <w:szCs w:val="24"/>
                <w:vertAlign w:val="superscript"/>
              </w:rPr>
              <w:t>***</w:t>
            </w:r>
          </w:p>
        </w:tc>
        <w:tc>
          <w:tcPr>
            <w:tcW w:w="0" w:type="auto"/>
            <w:tcBorders>
              <w:top w:val="nil"/>
              <w:left w:val="single" w:sz="4" w:space="0" w:color="auto"/>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15.265***</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15.518***</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16.081***</w:t>
            </w:r>
          </w:p>
        </w:tc>
        <w:tc>
          <w:tcPr>
            <w:tcW w:w="0" w:type="auto"/>
            <w:tcBorders>
              <w:top w:val="nil"/>
              <w:left w:val="nil"/>
              <w:bottom w:val="nil"/>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14.822***</w:t>
            </w:r>
          </w:p>
        </w:tc>
      </w:tr>
      <w:tr w:rsidR="007518F2" w:rsidRPr="007518F2" w:rsidTr="007518F2">
        <w:trPr>
          <w:trHeight w:val="254"/>
        </w:trPr>
        <w:tc>
          <w:tcPr>
            <w:tcW w:w="0" w:type="auto"/>
            <w:tcBorders>
              <w:top w:val="nil"/>
              <w:left w:val="nil"/>
              <w:bottom w:val="single" w:sz="4" w:space="0" w:color="auto"/>
              <w:right w:val="single" w:sz="4" w:space="0" w:color="auto"/>
            </w:tcBorders>
            <w:vAlign w:val="center"/>
          </w:tcPr>
          <w:p w:rsidR="007518F2" w:rsidRPr="007518F2" w:rsidRDefault="007518F2" w:rsidP="002A2606">
            <w:pPr>
              <w:autoSpaceDE w:val="0"/>
              <w:autoSpaceDN w:val="0"/>
              <w:adjustRightInd w:val="0"/>
              <w:jc w:val="center"/>
              <w:rPr>
                <w:rFonts w:cs="Times New Roman"/>
                <w:kern w:val="0"/>
                <w:sz w:val="18"/>
                <w:szCs w:val="24"/>
              </w:rPr>
            </w:pPr>
          </w:p>
        </w:tc>
        <w:tc>
          <w:tcPr>
            <w:tcW w:w="0" w:type="auto"/>
            <w:tcBorders>
              <w:top w:val="nil"/>
              <w:left w:val="single" w:sz="4" w:space="0" w:color="auto"/>
              <w:bottom w:val="single" w:sz="4" w:space="0" w:color="auto"/>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(31.94)</w:t>
            </w:r>
          </w:p>
        </w:tc>
        <w:tc>
          <w:tcPr>
            <w:tcW w:w="0" w:type="auto"/>
            <w:tcBorders>
              <w:top w:val="nil"/>
              <w:left w:val="nil"/>
              <w:bottom w:val="single" w:sz="4" w:space="0" w:color="auto"/>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(31.93)</w:t>
            </w:r>
          </w:p>
        </w:tc>
        <w:tc>
          <w:tcPr>
            <w:tcW w:w="0" w:type="auto"/>
            <w:tcBorders>
              <w:top w:val="nil"/>
              <w:left w:val="nil"/>
              <w:bottom w:val="single" w:sz="4" w:space="0" w:color="auto"/>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(31.94)</w:t>
            </w:r>
          </w:p>
        </w:tc>
        <w:tc>
          <w:tcPr>
            <w:tcW w:w="0" w:type="auto"/>
            <w:tcBorders>
              <w:top w:val="nil"/>
              <w:left w:val="nil"/>
              <w:bottom w:val="single" w:sz="4" w:space="0" w:color="auto"/>
              <w:right w:val="single" w:sz="4" w:space="0" w:color="auto"/>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(31.95)</w:t>
            </w:r>
          </w:p>
        </w:tc>
        <w:tc>
          <w:tcPr>
            <w:tcW w:w="0" w:type="auto"/>
            <w:tcBorders>
              <w:top w:val="nil"/>
              <w:left w:val="single" w:sz="4" w:space="0" w:color="auto"/>
              <w:bottom w:val="single" w:sz="4" w:space="0" w:color="auto"/>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(32.11)</w:t>
            </w:r>
          </w:p>
        </w:tc>
        <w:tc>
          <w:tcPr>
            <w:tcW w:w="0" w:type="auto"/>
            <w:tcBorders>
              <w:top w:val="nil"/>
              <w:left w:val="nil"/>
              <w:bottom w:val="single" w:sz="4" w:space="0" w:color="auto"/>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(32.05)</w:t>
            </w:r>
          </w:p>
        </w:tc>
        <w:tc>
          <w:tcPr>
            <w:tcW w:w="0" w:type="auto"/>
            <w:tcBorders>
              <w:top w:val="nil"/>
              <w:left w:val="nil"/>
              <w:bottom w:val="single" w:sz="4" w:space="0" w:color="auto"/>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(31.95)</w:t>
            </w:r>
          </w:p>
        </w:tc>
        <w:tc>
          <w:tcPr>
            <w:tcW w:w="0" w:type="auto"/>
            <w:tcBorders>
              <w:top w:val="nil"/>
              <w:left w:val="nil"/>
              <w:bottom w:val="single" w:sz="4" w:space="0" w:color="auto"/>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(32.20)</w:t>
            </w:r>
          </w:p>
        </w:tc>
      </w:tr>
      <w:tr w:rsidR="007518F2" w:rsidRPr="007518F2" w:rsidTr="007518F2">
        <w:trPr>
          <w:trHeight w:val="254"/>
        </w:trPr>
        <w:tc>
          <w:tcPr>
            <w:tcW w:w="0" w:type="auto"/>
            <w:tcBorders>
              <w:top w:val="single" w:sz="4" w:space="0" w:color="auto"/>
              <w:left w:val="nil"/>
              <w:bottom w:val="single" w:sz="4" w:space="0" w:color="auto"/>
              <w:right w:val="single" w:sz="4" w:space="0" w:color="auto"/>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i/>
                <w:iCs/>
                <w:kern w:val="0"/>
                <w:sz w:val="18"/>
                <w:szCs w:val="24"/>
              </w:rPr>
              <w:t>N</w:t>
            </w:r>
          </w:p>
        </w:tc>
        <w:tc>
          <w:tcPr>
            <w:tcW w:w="0" w:type="auto"/>
            <w:tcBorders>
              <w:top w:val="single" w:sz="4" w:space="0" w:color="auto"/>
              <w:left w:val="single" w:sz="4" w:space="0" w:color="auto"/>
              <w:bottom w:val="single" w:sz="4" w:space="0" w:color="auto"/>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11816</w:t>
            </w:r>
          </w:p>
        </w:tc>
        <w:tc>
          <w:tcPr>
            <w:tcW w:w="0" w:type="auto"/>
            <w:tcBorders>
              <w:top w:val="single" w:sz="4" w:space="0" w:color="auto"/>
              <w:left w:val="nil"/>
              <w:bottom w:val="single" w:sz="4" w:space="0" w:color="auto"/>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11816</w:t>
            </w:r>
          </w:p>
        </w:tc>
        <w:tc>
          <w:tcPr>
            <w:tcW w:w="0" w:type="auto"/>
            <w:tcBorders>
              <w:top w:val="single" w:sz="4" w:space="0" w:color="auto"/>
              <w:left w:val="nil"/>
              <w:bottom w:val="single" w:sz="4" w:space="0" w:color="auto"/>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11816</w:t>
            </w:r>
          </w:p>
        </w:tc>
        <w:tc>
          <w:tcPr>
            <w:tcW w:w="0" w:type="auto"/>
            <w:tcBorders>
              <w:top w:val="single" w:sz="4" w:space="0" w:color="auto"/>
              <w:left w:val="nil"/>
              <w:bottom w:val="single" w:sz="4" w:space="0" w:color="auto"/>
              <w:right w:val="single" w:sz="4" w:space="0" w:color="auto"/>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11816</w:t>
            </w:r>
          </w:p>
        </w:tc>
        <w:tc>
          <w:tcPr>
            <w:tcW w:w="0" w:type="auto"/>
            <w:tcBorders>
              <w:top w:val="single" w:sz="4" w:space="0" w:color="auto"/>
              <w:left w:val="single" w:sz="4" w:space="0" w:color="auto"/>
              <w:bottom w:val="single" w:sz="4" w:space="0" w:color="auto"/>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11637</w:t>
            </w:r>
          </w:p>
        </w:tc>
        <w:tc>
          <w:tcPr>
            <w:tcW w:w="0" w:type="auto"/>
            <w:tcBorders>
              <w:top w:val="single" w:sz="4" w:space="0" w:color="auto"/>
              <w:left w:val="nil"/>
              <w:bottom w:val="single" w:sz="4" w:space="0" w:color="auto"/>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11816</w:t>
            </w:r>
          </w:p>
        </w:tc>
        <w:tc>
          <w:tcPr>
            <w:tcW w:w="0" w:type="auto"/>
            <w:tcBorders>
              <w:top w:val="single" w:sz="4" w:space="0" w:color="auto"/>
              <w:left w:val="nil"/>
              <w:bottom w:val="single" w:sz="4" w:space="0" w:color="auto"/>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11816</w:t>
            </w:r>
          </w:p>
        </w:tc>
        <w:tc>
          <w:tcPr>
            <w:tcW w:w="0" w:type="auto"/>
            <w:tcBorders>
              <w:top w:val="single" w:sz="4" w:space="0" w:color="auto"/>
              <w:left w:val="nil"/>
              <w:bottom w:val="single" w:sz="4" w:space="0" w:color="auto"/>
              <w:right w:val="nil"/>
            </w:tcBorders>
            <w:vAlign w:val="center"/>
          </w:tcPr>
          <w:p w:rsidR="007518F2" w:rsidRPr="007518F2" w:rsidRDefault="007518F2" w:rsidP="002A2606">
            <w:pPr>
              <w:autoSpaceDE w:val="0"/>
              <w:autoSpaceDN w:val="0"/>
              <w:adjustRightInd w:val="0"/>
              <w:jc w:val="center"/>
              <w:rPr>
                <w:rFonts w:cs="Times New Roman"/>
                <w:kern w:val="0"/>
                <w:sz w:val="18"/>
                <w:szCs w:val="24"/>
              </w:rPr>
            </w:pPr>
            <w:r w:rsidRPr="007518F2">
              <w:rPr>
                <w:rFonts w:cs="Times New Roman"/>
                <w:kern w:val="0"/>
                <w:sz w:val="18"/>
                <w:szCs w:val="24"/>
              </w:rPr>
              <w:t>11637</w:t>
            </w:r>
          </w:p>
        </w:tc>
      </w:tr>
      <w:tr w:rsidR="007518F2" w:rsidRPr="007518F2" w:rsidTr="007518F2">
        <w:trPr>
          <w:trHeight w:val="254"/>
        </w:trPr>
        <w:tc>
          <w:tcPr>
            <w:tcW w:w="0" w:type="auto"/>
            <w:gridSpan w:val="9"/>
            <w:tcBorders>
              <w:top w:val="single" w:sz="4" w:space="0" w:color="auto"/>
              <w:left w:val="nil"/>
            </w:tcBorders>
            <w:vAlign w:val="center"/>
          </w:tcPr>
          <w:p w:rsidR="007518F2" w:rsidRPr="007518F2" w:rsidRDefault="007518F2" w:rsidP="007518F2">
            <w:pPr>
              <w:autoSpaceDE w:val="0"/>
              <w:autoSpaceDN w:val="0"/>
              <w:adjustRightInd w:val="0"/>
              <w:jc w:val="left"/>
              <w:rPr>
                <w:rFonts w:cs="Times New Roman"/>
                <w:kern w:val="0"/>
                <w:sz w:val="18"/>
                <w:szCs w:val="20"/>
              </w:rPr>
            </w:pPr>
            <w:r w:rsidRPr="007518F2">
              <w:rPr>
                <w:rFonts w:cs="Times New Roman"/>
                <w:i/>
                <w:iCs/>
                <w:kern w:val="0"/>
                <w:sz w:val="18"/>
                <w:szCs w:val="20"/>
              </w:rPr>
              <w:t>t</w:t>
            </w:r>
            <w:r w:rsidRPr="007518F2">
              <w:rPr>
                <w:rFonts w:cs="Times New Roman"/>
                <w:kern w:val="0"/>
                <w:sz w:val="18"/>
                <w:szCs w:val="20"/>
              </w:rPr>
              <w:t xml:space="preserve"> statistics in parentheses</w:t>
            </w:r>
            <w:r w:rsidRPr="007518F2">
              <w:rPr>
                <w:rFonts w:cs="Times New Roman" w:hint="eastAsia"/>
                <w:kern w:val="0"/>
                <w:sz w:val="18"/>
                <w:szCs w:val="20"/>
              </w:rPr>
              <w:t>;</w:t>
            </w:r>
            <w:r w:rsidRPr="007518F2">
              <w:rPr>
                <w:rFonts w:cs="Times New Roman"/>
                <w:kern w:val="0"/>
                <w:sz w:val="18"/>
                <w:szCs w:val="20"/>
              </w:rPr>
              <w:t xml:space="preserve"> </w:t>
            </w:r>
            <w:r w:rsidRPr="007518F2">
              <w:rPr>
                <w:rFonts w:cs="Times New Roman"/>
                <w:kern w:val="0"/>
                <w:sz w:val="18"/>
                <w:szCs w:val="20"/>
                <w:vertAlign w:val="superscript"/>
              </w:rPr>
              <w:t>*</w:t>
            </w:r>
            <w:r w:rsidRPr="007518F2">
              <w:rPr>
                <w:rFonts w:cs="Times New Roman"/>
                <w:kern w:val="0"/>
                <w:sz w:val="18"/>
                <w:szCs w:val="20"/>
              </w:rPr>
              <w:t xml:space="preserve"> </w:t>
            </w:r>
            <w:r w:rsidRPr="007518F2">
              <w:rPr>
                <w:rFonts w:cs="Times New Roman"/>
                <w:i/>
                <w:iCs/>
                <w:kern w:val="0"/>
                <w:sz w:val="18"/>
                <w:szCs w:val="20"/>
              </w:rPr>
              <w:t>p</w:t>
            </w:r>
            <w:r w:rsidRPr="007518F2">
              <w:rPr>
                <w:rFonts w:cs="Times New Roman"/>
                <w:kern w:val="0"/>
                <w:sz w:val="18"/>
                <w:szCs w:val="20"/>
              </w:rPr>
              <w:t xml:space="preserve"> &lt; 0.10, </w:t>
            </w:r>
            <w:r w:rsidRPr="007518F2">
              <w:rPr>
                <w:rFonts w:cs="Times New Roman"/>
                <w:kern w:val="0"/>
                <w:sz w:val="18"/>
                <w:szCs w:val="20"/>
                <w:vertAlign w:val="superscript"/>
              </w:rPr>
              <w:t>**</w:t>
            </w:r>
            <w:r w:rsidRPr="007518F2">
              <w:rPr>
                <w:rFonts w:cs="Times New Roman"/>
                <w:kern w:val="0"/>
                <w:sz w:val="18"/>
                <w:szCs w:val="20"/>
              </w:rPr>
              <w:t xml:space="preserve"> </w:t>
            </w:r>
            <w:r w:rsidRPr="007518F2">
              <w:rPr>
                <w:rFonts w:cs="Times New Roman"/>
                <w:i/>
                <w:iCs/>
                <w:kern w:val="0"/>
                <w:sz w:val="18"/>
                <w:szCs w:val="20"/>
              </w:rPr>
              <w:t>p</w:t>
            </w:r>
            <w:r w:rsidRPr="007518F2">
              <w:rPr>
                <w:rFonts w:cs="Times New Roman"/>
                <w:kern w:val="0"/>
                <w:sz w:val="18"/>
                <w:szCs w:val="20"/>
              </w:rPr>
              <w:t xml:space="preserve"> &lt; 0.05, </w:t>
            </w:r>
            <w:r w:rsidRPr="007518F2">
              <w:rPr>
                <w:rFonts w:cs="Times New Roman"/>
                <w:kern w:val="0"/>
                <w:sz w:val="18"/>
                <w:szCs w:val="20"/>
                <w:vertAlign w:val="superscript"/>
              </w:rPr>
              <w:t>***</w:t>
            </w:r>
            <w:r w:rsidRPr="007518F2">
              <w:rPr>
                <w:rFonts w:cs="Times New Roman"/>
                <w:kern w:val="0"/>
                <w:sz w:val="18"/>
                <w:szCs w:val="20"/>
              </w:rPr>
              <w:t xml:space="preserve"> </w:t>
            </w:r>
            <w:r w:rsidRPr="007518F2">
              <w:rPr>
                <w:rFonts w:cs="Times New Roman"/>
                <w:i/>
                <w:iCs/>
                <w:kern w:val="0"/>
                <w:sz w:val="18"/>
                <w:szCs w:val="20"/>
              </w:rPr>
              <w:t>p</w:t>
            </w:r>
            <w:r w:rsidRPr="007518F2">
              <w:rPr>
                <w:rFonts w:cs="Times New Roman"/>
                <w:kern w:val="0"/>
                <w:sz w:val="18"/>
                <w:szCs w:val="20"/>
              </w:rPr>
              <w:t xml:space="preserve"> &lt; 0.01</w:t>
            </w:r>
          </w:p>
        </w:tc>
      </w:tr>
    </w:tbl>
    <w:p w:rsidR="002D2C73" w:rsidRDefault="005C558E" w:rsidP="004C2E18">
      <w:pPr>
        <w:wordWrap/>
        <w:spacing w:line="400" w:lineRule="exact"/>
        <w:ind w:firstLineChars="200" w:firstLine="480"/>
      </w:pPr>
      <w:r w:rsidRPr="005C558E">
        <w:t xml:space="preserve">Figure 2 reflects the changes of </w:t>
      </w:r>
      <w:r>
        <w:t>PR</w:t>
      </w:r>
      <w:r w:rsidRPr="005C558E">
        <w:t xml:space="preserve"> after SWF</w:t>
      </w:r>
      <w:r>
        <w:t>s’</w:t>
      </w:r>
      <w:r w:rsidRPr="005C558E">
        <w:t xml:space="preserve"> investment</w:t>
      </w:r>
      <w:r>
        <w:t>s</w:t>
      </w:r>
      <w:r w:rsidRPr="005C558E">
        <w:t xml:space="preserve">. In the first year, </w:t>
      </w:r>
      <w:r>
        <w:t>PR</w:t>
      </w:r>
      <w:r w:rsidRPr="005C558E">
        <w:t xml:space="preserve"> improve</w:t>
      </w:r>
      <w:r>
        <w:t>s</w:t>
      </w:r>
      <w:r w:rsidRPr="005C558E">
        <w:t xml:space="preserve"> significantly, but there has been a downward trend since then. This seems to indicate that SWF's outward investment</w:t>
      </w:r>
      <w:r>
        <w:t>s</w:t>
      </w:r>
      <w:r w:rsidRPr="005C558E">
        <w:t xml:space="preserve"> can be used as a means to enhance relations with other countries in the short term, but the long-term effect is not very good.</w:t>
      </w:r>
    </w:p>
    <w:p w:rsidR="008F152C" w:rsidRDefault="008F152C" w:rsidP="008F152C">
      <w:pPr>
        <w:keepNext/>
        <w:jc w:val="center"/>
      </w:pPr>
      <w:r>
        <w:rPr>
          <w:noProof/>
        </w:rPr>
        <w:lastRenderedPageBreak/>
        <w:drawing>
          <wp:inline distT="0" distB="0" distL="0" distR="0" wp14:anchorId="5747119A" wp14:editId="5C7B1E61">
            <wp:extent cx="5256000" cy="3247200"/>
            <wp:effectExtent l="0" t="0" r="1905"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F152C" w:rsidRPr="001334CC" w:rsidRDefault="008F152C" w:rsidP="008F152C">
      <w:pPr>
        <w:pStyle w:val="a7"/>
      </w:pPr>
      <w:r>
        <w:t xml:space="preserve">Figure </w:t>
      </w:r>
      <w:r w:rsidR="00B105AF">
        <w:fldChar w:fldCharType="begin"/>
      </w:r>
      <w:r w:rsidR="00B105AF">
        <w:instrText xml:space="preserve"> SEQ Figure \* ARABIC </w:instrText>
      </w:r>
      <w:r w:rsidR="00B105AF">
        <w:fldChar w:fldCharType="separate"/>
      </w:r>
      <w:r>
        <w:rPr>
          <w:noProof/>
        </w:rPr>
        <w:t>2</w:t>
      </w:r>
      <w:r w:rsidR="00B105AF">
        <w:rPr>
          <w:noProof/>
        </w:rPr>
        <w:fldChar w:fldCharType="end"/>
      </w:r>
      <w:r>
        <w:t xml:space="preserve"> PR’s changes </w:t>
      </w:r>
      <w:r w:rsidRPr="005C558E">
        <w:rPr>
          <w:noProof/>
        </w:rPr>
        <w:t>after SWFs’ investments</w:t>
      </w:r>
    </w:p>
    <w:p w:rsidR="00CE75EE" w:rsidRDefault="008F152C" w:rsidP="00CE75EE">
      <w:pPr>
        <w:tabs>
          <w:tab w:val="left" w:pos="6495"/>
        </w:tabs>
        <w:wordWrap/>
        <w:spacing w:line="400" w:lineRule="exact"/>
        <w:ind w:firstLineChars="200" w:firstLine="480"/>
      </w:pPr>
      <w:r w:rsidRPr="009E7CDB">
        <w:t xml:space="preserve">It can be seen from the </w:t>
      </w:r>
      <w:r>
        <w:t>d</w:t>
      </w:r>
      <w:r w:rsidRPr="007E40C0">
        <w:t xml:space="preserve">escriptive </w:t>
      </w:r>
      <w:r>
        <w:t>statistic</w:t>
      </w:r>
      <w:r w:rsidRPr="009E7CDB">
        <w:t xml:space="preserve"> that both Norway and Singapore </w:t>
      </w:r>
      <w:r>
        <w:t>occupy</w:t>
      </w:r>
      <w:r w:rsidRPr="009E7CDB">
        <w:t xml:space="preserve"> a large proportion of </w:t>
      </w:r>
      <w:r>
        <w:t xml:space="preserve">SWFs </w:t>
      </w:r>
      <w:r w:rsidRPr="009E7CDB">
        <w:t xml:space="preserve">in terms of both investment quantity and amount. </w:t>
      </w:r>
      <w:r>
        <w:t>The result is robust when we drop them</w:t>
      </w:r>
      <w:r>
        <w:rPr>
          <w:rStyle w:val="a5"/>
        </w:rPr>
        <w:footnoteReference w:id="5"/>
      </w:r>
      <w:r>
        <w:t xml:space="preserve">. </w:t>
      </w:r>
    </w:p>
    <w:p w:rsidR="0082555E" w:rsidRDefault="004F36FA" w:rsidP="004F36FA">
      <w:pPr>
        <w:pStyle w:val="3"/>
      </w:pPr>
      <w:r>
        <w:t>4</w:t>
      </w:r>
      <w:r w:rsidR="0082555E">
        <w:t>.</w:t>
      </w:r>
      <w:r w:rsidR="004A3597">
        <w:t>2</w:t>
      </w:r>
      <w:r w:rsidR="0082555E">
        <w:t xml:space="preserve"> </w:t>
      </w:r>
      <w:proofErr w:type="spellStart"/>
      <w:r w:rsidR="0082555E">
        <w:t>Cragg</w:t>
      </w:r>
      <w:proofErr w:type="spellEnd"/>
      <w:r w:rsidR="0082555E">
        <w:t xml:space="preserve"> Model</w:t>
      </w:r>
    </w:p>
    <w:p w:rsidR="00937C73" w:rsidRDefault="00937C73" w:rsidP="00937C73">
      <w:pPr>
        <w:wordWrap/>
        <w:spacing w:line="400" w:lineRule="exact"/>
        <w:ind w:firstLineChars="200" w:firstLine="480"/>
      </w:pPr>
      <w:r>
        <w:t>In this part, SWFs’ decision process is divided into two stages: first, to decide whether to invest; then, to determine the amount of investment.</w:t>
      </w:r>
    </w:p>
    <w:p w:rsidR="00937C73" w:rsidRDefault="00937C73" w:rsidP="00937C73">
      <w:pPr>
        <w:wordWrap/>
        <w:spacing w:line="400" w:lineRule="exact"/>
        <w:ind w:firstLineChars="200" w:firstLine="480"/>
      </w:pPr>
      <w:r>
        <w:t>The empirical results of the first stage (Panel A) show that the coefficient of PR is still significantly negative, and keep significant negative after adding control variables. This is consistent with the results of Tobit model, which shows that bilateral international relations are important factors in SWFs’ investment decision-making, and they prefer to invest in countries with distant bilateral international relations. From equation (5), we can get the coefficient of PR is -0.185</w:t>
      </w:r>
      <w:r w:rsidR="00584319">
        <w:t xml:space="preserve"> and the </w:t>
      </w:r>
      <w:r>
        <w:t>marginal effect of PR is -2.45%</w:t>
      </w:r>
      <w:r w:rsidR="00584319">
        <w:t xml:space="preserve"> by simple calculation. Considering that only 5.9% of </w:t>
      </w:r>
      <w:r>
        <w:t>the whole sample</w:t>
      </w:r>
      <w:r w:rsidR="00584319">
        <w:t>s are non-zero</w:t>
      </w:r>
      <w:r>
        <w:t>, bilateral political relations play an important role in SWF</w:t>
      </w:r>
      <w:r w:rsidR="002A2606">
        <w:t>s’</w:t>
      </w:r>
      <w:r>
        <w:t xml:space="preserve"> invest</w:t>
      </w:r>
      <w:r w:rsidR="00584319">
        <w:t>ment</w:t>
      </w:r>
      <w:r w:rsidR="002A2606">
        <w:t>s</w:t>
      </w:r>
      <w:r w:rsidR="00584319">
        <w:t xml:space="preserve"> decision indeed</w:t>
      </w:r>
      <w:r>
        <w:t>.</w:t>
      </w:r>
    </w:p>
    <w:p w:rsidR="00937C73" w:rsidRDefault="00937C73" w:rsidP="00937C73">
      <w:pPr>
        <w:wordWrap/>
        <w:spacing w:line="400" w:lineRule="exact"/>
        <w:ind w:firstLineChars="200" w:firstLine="480"/>
      </w:pPr>
      <w:r>
        <w:t>In the s</w:t>
      </w:r>
      <w:r w:rsidR="002A2606">
        <w:t>econd stage</w:t>
      </w:r>
      <w:r>
        <w:t xml:space="preserve">, the coefficient of PR is still significantly negative, and the significance remains </w:t>
      </w:r>
      <w:r w:rsidR="002A2606">
        <w:t xml:space="preserve">robust </w:t>
      </w:r>
      <w:r>
        <w:t xml:space="preserve">after adding control variables. This shows that bilateral </w:t>
      </w:r>
      <w:r>
        <w:lastRenderedPageBreak/>
        <w:t xml:space="preserve">international relations play a certain role </w:t>
      </w:r>
      <w:r w:rsidR="002A2606">
        <w:t>both in where to invest and</w:t>
      </w:r>
      <w:r>
        <w:t xml:space="preserve"> how much to invest.</w:t>
      </w:r>
    </w:p>
    <w:p w:rsidR="00DC5497" w:rsidRDefault="00DC5497" w:rsidP="00DC5497">
      <w:pPr>
        <w:pStyle w:val="a7"/>
        <w:keepNext/>
      </w:pPr>
      <w:bookmarkStart w:id="2" w:name="_Toc3842403"/>
      <w:r>
        <w:t xml:space="preserve">Table </w:t>
      </w:r>
      <w:r w:rsidR="00B105AF">
        <w:fldChar w:fldCharType="begin"/>
      </w:r>
      <w:r w:rsidR="00B105AF">
        <w:instrText xml:space="preserve"> SEQ Table \* ARABIC </w:instrText>
      </w:r>
      <w:r w:rsidR="00B105AF">
        <w:fldChar w:fldCharType="separate"/>
      </w:r>
      <w:r>
        <w:rPr>
          <w:noProof/>
        </w:rPr>
        <w:t>9</w:t>
      </w:r>
      <w:r w:rsidR="00B105AF">
        <w:rPr>
          <w:noProof/>
        </w:rPr>
        <w:fldChar w:fldCharType="end"/>
      </w:r>
      <w:r>
        <w:rPr>
          <w:noProof/>
        </w:rPr>
        <w:t xml:space="preserve"> Cragg Model Results</w:t>
      </w:r>
    </w:p>
    <w:tbl>
      <w:tblPr>
        <w:tblW w:w="10659" w:type="dxa"/>
        <w:tblInd w:w="-1134" w:type="dxa"/>
        <w:tblLook w:val="0000" w:firstRow="0" w:lastRow="0" w:firstColumn="0" w:lastColumn="0" w:noHBand="0" w:noVBand="0"/>
      </w:tblPr>
      <w:tblGrid>
        <w:gridCol w:w="1041"/>
        <w:gridCol w:w="961"/>
        <w:gridCol w:w="961"/>
        <w:gridCol w:w="962"/>
        <w:gridCol w:w="962"/>
        <w:gridCol w:w="962"/>
        <w:gridCol w:w="962"/>
        <w:gridCol w:w="962"/>
        <w:gridCol w:w="962"/>
        <w:gridCol w:w="962"/>
        <w:gridCol w:w="962"/>
      </w:tblGrid>
      <w:tr w:rsidR="00DC5497" w:rsidRPr="00AE3647" w:rsidTr="002A2606">
        <w:trPr>
          <w:trHeight w:val="18"/>
        </w:trPr>
        <w:tc>
          <w:tcPr>
            <w:tcW w:w="0" w:type="auto"/>
            <w:vMerge w:val="restart"/>
            <w:tcBorders>
              <w:top w:val="single" w:sz="4" w:space="0" w:color="auto"/>
              <w:left w:val="nil"/>
              <w:right w:val="single" w:sz="4" w:space="0" w:color="auto"/>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gridSpan w:val="5"/>
            <w:tcBorders>
              <w:top w:val="single" w:sz="4" w:space="0" w:color="auto"/>
              <w:left w:val="single" w:sz="4" w:space="0" w:color="auto"/>
              <w:right w:val="single" w:sz="4" w:space="0" w:color="auto"/>
            </w:tcBorders>
            <w:vAlign w:val="center"/>
          </w:tcPr>
          <w:p w:rsidR="00DC5497" w:rsidRPr="00AE3647" w:rsidRDefault="00DC5497" w:rsidP="002A2606">
            <w:pPr>
              <w:autoSpaceDE w:val="0"/>
              <w:autoSpaceDN w:val="0"/>
              <w:adjustRightInd w:val="0"/>
              <w:jc w:val="center"/>
              <w:rPr>
                <w:sz w:val="20"/>
              </w:rPr>
            </w:pPr>
            <w:r w:rsidRPr="00AE3647">
              <w:rPr>
                <w:rFonts w:hint="eastAsia"/>
                <w:sz w:val="20"/>
              </w:rPr>
              <w:t>P</w:t>
            </w:r>
            <w:r w:rsidRPr="00AE3647">
              <w:rPr>
                <w:sz w:val="20"/>
              </w:rPr>
              <w:t>anel A: First Stage</w:t>
            </w:r>
          </w:p>
        </w:tc>
        <w:tc>
          <w:tcPr>
            <w:tcW w:w="0" w:type="auto"/>
            <w:gridSpan w:val="5"/>
            <w:tcBorders>
              <w:top w:val="single" w:sz="4" w:space="0" w:color="auto"/>
              <w:left w:val="single" w:sz="4" w:space="0" w:color="auto"/>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hint="eastAsia"/>
                <w:kern w:val="0"/>
                <w:sz w:val="20"/>
                <w:szCs w:val="24"/>
              </w:rPr>
              <w:t>P</w:t>
            </w:r>
            <w:r w:rsidRPr="00AE3647">
              <w:rPr>
                <w:rFonts w:cs="Times New Roman"/>
                <w:kern w:val="0"/>
                <w:sz w:val="20"/>
                <w:szCs w:val="24"/>
              </w:rPr>
              <w:t>anel B: Second Stage</w:t>
            </w:r>
          </w:p>
        </w:tc>
      </w:tr>
      <w:tr w:rsidR="00DC5497" w:rsidRPr="00AE3647" w:rsidTr="002A2606">
        <w:trPr>
          <w:trHeight w:val="18"/>
        </w:trPr>
        <w:tc>
          <w:tcPr>
            <w:tcW w:w="0" w:type="auto"/>
            <w:vMerge/>
            <w:tcBorders>
              <w:left w:val="nil"/>
              <w:bottom w:val="single" w:sz="4" w:space="0" w:color="auto"/>
              <w:right w:val="single" w:sz="4" w:space="0" w:color="auto"/>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left w:val="single" w:sz="4" w:space="0" w:color="auto"/>
              <w:bottom w:val="single" w:sz="4" w:space="0" w:color="auto"/>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(1)</w:t>
            </w:r>
          </w:p>
        </w:tc>
        <w:tc>
          <w:tcPr>
            <w:tcW w:w="0" w:type="auto"/>
            <w:tcBorders>
              <w:left w:val="nil"/>
              <w:bottom w:val="single" w:sz="4" w:space="0" w:color="auto"/>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(2)</w:t>
            </w:r>
          </w:p>
        </w:tc>
        <w:tc>
          <w:tcPr>
            <w:tcW w:w="0" w:type="auto"/>
            <w:tcBorders>
              <w:left w:val="nil"/>
              <w:bottom w:val="single" w:sz="4" w:space="0" w:color="auto"/>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(3)</w:t>
            </w:r>
          </w:p>
        </w:tc>
        <w:tc>
          <w:tcPr>
            <w:tcW w:w="0" w:type="auto"/>
            <w:tcBorders>
              <w:left w:val="nil"/>
              <w:bottom w:val="single" w:sz="4" w:space="0" w:color="auto"/>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(4)</w:t>
            </w:r>
          </w:p>
        </w:tc>
        <w:tc>
          <w:tcPr>
            <w:tcW w:w="0" w:type="auto"/>
            <w:tcBorders>
              <w:left w:val="nil"/>
              <w:bottom w:val="single" w:sz="4" w:space="0" w:color="auto"/>
              <w:right w:val="single" w:sz="4" w:space="0" w:color="auto"/>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(5)</w:t>
            </w:r>
          </w:p>
        </w:tc>
        <w:tc>
          <w:tcPr>
            <w:tcW w:w="0" w:type="auto"/>
            <w:tcBorders>
              <w:left w:val="single" w:sz="4" w:space="0" w:color="auto"/>
              <w:bottom w:val="single" w:sz="4" w:space="0" w:color="auto"/>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(1)</w:t>
            </w:r>
          </w:p>
        </w:tc>
        <w:tc>
          <w:tcPr>
            <w:tcW w:w="0" w:type="auto"/>
            <w:tcBorders>
              <w:left w:val="nil"/>
              <w:bottom w:val="single" w:sz="4" w:space="0" w:color="auto"/>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(2)</w:t>
            </w:r>
          </w:p>
        </w:tc>
        <w:tc>
          <w:tcPr>
            <w:tcW w:w="0" w:type="auto"/>
            <w:tcBorders>
              <w:left w:val="nil"/>
              <w:bottom w:val="single" w:sz="4" w:space="0" w:color="auto"/>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(3)</w:t>
            </w:r>
          </w:p>
        </w:tc>
        <w:tc>
          <w:tcPr>
            <w:tcW w:w="0" w:type="auto"/>
            <w:tcBorders>
              <w:left w:val="nil"/>
              <w:bottom w:val="single" w:sz="4" w:space="0" w:color="auto"/>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(4)</w:t>
            </w:r>
          </w:p>
        </w:tc>
        <w:tc>
          <w:tcPr>
            <w:tcW w:w="0" w:type="auto"/>
            <w:tcBorders>
              <w:left w:val="nil"/>
              <w:bottom w:val="single" w:sz="4" w:space="0" w:color="auto"/>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(5)</w:t>
            </w:r>
          </w:p>
        </w:tc>
      </w:tr>
      <w:tr w:rsidR="00DC5497" w:rsidRPr="00AE3647" w:rsidTr="002A2606">
        <w:trPr>
          <w:trHeight w:val="18"/>
        </w:trPr>
        <w:tc>
          <w:tcPr>
            <w:tcW w:w="0" w:type="auto"/>
            <w:tcBorders>
              <w:top w:val="single" w:sz="4" w:space="0" w:color="auto"/>
              <w:left w:val="nil"/>
              <w:bottom w:val="nil"/>
              <w:right w:val="single" w:sz="4" w:space="0" w:color="auto"/>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PR</w:t>
            </w:r>
          </w:p>
        </w:tc>
        <w:tc>
          <w:tcPr>
            <w:tcW w:w="0" w:type="auto"/>
            <w:tcBorders>
              <w:top w:val="single" w:sz="4" w:space="0" w:color="auto"/>
              <w:left w:val="single" w:sz="4" w:space="0" w:color="auto"/>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-0.097</w:t>
            </w:r>
            <w:r w:rsidRPr="00AE3647">
              <w:rPr>
                <w:rFonts w:cs="Times New Roman"/>
                <w:kern w:val="0"/>
                <w:sz w:val="20"/>
                <w:szCs w:val="24"/>
                <w:vertAlign w:val="superscript"/>
              </w:rPr>
              <w:t>**</w:t>
            </w:r>
          </w:p>
        </w:tc>
        <w:tc>
          <w:tcPr>
            <w:tcW w:w="0" w:type="auto"/>
            <w:tcBorders>
              <w:top w:val="single" w:sz="4" w:space="0" w:color="auto"/>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-0.074</w:t>
            </w:r>
            <w:r w:rsidRPr="00AE3647">
              <w:rPr>
                <w:rFonts w:cs="Times New Roman"/>
                <w:kern w:val="0"/>
                <w:sz w:val="20"/>
                <w:szCs w:val="24"/>
                <w:vertAlign w:val="superscript"/>
              </w:rPr>
              <w:t>*</w:t>
            </w:r>
          </w:p>
        </w:tc>
        <w:tc>
          <w:tcPr>
            <w:tcW w:w="0" w:type="auto"/>
            <w:tcBorders>
              <w:top w:val="single" w:sz="4" w:space="0" w:color="auto"/>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-0.078</w:t>
            </w:r>
            <w:r w:rsidRPr="00AE3647">
              <w:rPr>
                <w:rFonts w:cs="Times New Roman"/>
                <w:kern w:val="0"/>
                <w:sz w:val="20"/>
                <w:szCs w:val="24"/>
                <w:vertAlign w:val="superscript"/>
              </w:rPr>
              <w:t>*</w:t>
            </w:r>
          </w:p>
        </w:tc>
        <w:tc>
          <w:tcPr>
            <w:tcW w:w="0" w:type="auto"/>
            <w:tcBorders>
              <w:top w:val="single" w:sz="4" w:space="0" w:color="auto"/>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-0.182</w:t>
            </w:r>
            <w:r w:rsidRPr="00AE3647">
              <w:rPr>
                <w:rFonts w:cs="Times New Roman"/>
                <w:kern w:val="0"/>
                <w:sz w:val="20"/>
                <w:szCs w:val="24"/>
                <w:vertAlign w:val="superscript"/>
              </w:rPr>
              <w:t>***</w:t>
            </w:r>
          </w:p>
        </w:tc>
        <w:tc>
          <w:tcPr>
            <w:tcW w:w="0" w:type="auto"/>
            <w:tcBorders>
              <w:top w:val="single" w:sz="4" w:space="0" w:color="auto"/>
              <w:left w:val="nil"/>
              <w:bottom w:val="nil"/>
              <w:right w:val="single" w:sz="4" w:space="0" w:color="auto"/>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-0.185</w:t>
            </w:r>
            <w:r w:rsidRPr="00AE3647">
              <w:rPr>
                <w:rFonts w:cs="Times New Roman"/>
                <w:kern w:val="0"/>
                <w:sz w:val="20"/>
                <w:szCs w:val="24"/>
                <w:vertAlign w:val="superscript"/>
              </w:rPr>
              <w:t>***</w:t>
            </w:r>
          </w:p>
        </w:tc>
        <w:tc>
          <w:tcPr>
            <w:tcW w:w="0" w:type="auto"/>
            <w:tcBorders>
              <w:top w:val="single" w:sz="4" w:space="0" w:color="auto"/>
              <w:left w:val="single" w:sz="4" w:space="0" w:color="auto"/>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-0.203</w:t>
            </w:r>
            <w:r w:rsidRPr="00AE3647">
              <w:rPr>
                <w:rFonts w:cs="Times New Roman"/>
                <w:kern w:val="0"/>
                <w:sz w:val="20"/>
                <w:szCs w:val="24"/>
                <w:vertAlign w:val="superscript"/>
              </w:rPr>
              <w:t>***</w:t>
            </w:r>
          </w:p>
        </w:tc>
        <w:tc>
          <w:tcPr>
            <w:tcW w:w="0" w:type="auto"/>
            <w:tcBorders>
              <w:top w:val="single" w:sz="4" w:space="0" w:color="auto"/>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-0.123</w:t>
            </w:r>
            <w:r w:rsidRPr="00AE3647">
              <w:rPr>
                <w:rFonts w:cs="Times New Roman"/>
                <w:kern w:val="0"/>
                <w:sz w:val="20"/>
                <w:szCs w:val="24"/>
                <w:vertAlign w:val="superscript"/>
              </w:rPr>
              <w:t>**</w:t>
            </w:r>
          </w:p>
        </w:tc>
        <w:tc>
          <w:tcPr>
            <w:tcW w:w="0" w:type="auto"/>
            <w:tcBorders>
              <w:top w:val="single" w:sz="4" w:space="0" w:color="auto"/>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-0.200</w:t>
            </w:r>
            <w:r w:rsidRPr="00AE3647">
              <w:rPr>
                <w:rFonts w:cs="Times New Roman"/>
                <w:kern w:val="0"/>
                <w:sz w:val="20"/>
                <w:szCs w:val="24"/>
                <w:vertAlign w:val="superscript"/>
              </w:rPr>
              <w:t>***</w:t>
            </w:r>
          </w:p>
        </w:tc>
        <w:tc>
          <w:tcPr>
            <w:tcW w:w="0" w:type="auto"/>
            <w:tcBorders>
              <w:top w:val="single" w:sz="4" w:space="0" w:color="auto"/>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-0.210</w:t>
            </w:r>
            <w:r w:rsidRPr="00AE3647">
              <w:rPr>
                <w:rFonts w:cs="Times New Roman"/>
                <w:kern w:val="0"/>
                <w:sz w:val="20"/>
                <w:szCs w:val="24"/>
                <w:vertAlign w:val="superscript"/>
              </w:rPr>
              <w:t>***</w:t>
            </w:r>
          </w:p>
        </w:tc>
        <w:tc>
          <w:tcPr>
            <w:tcW w:w="0" w:type="auto"/>
            <w:tcBorders>
              <w:top w:val="single" w:sz="4" w:space="0" w:color="auto"/>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-0.219</w:t>
            </w:r>
            <w:r w:rsidRPr="00AE3647">
              <w:rPr>
                <w:rFonts w:cs="Times New Roman"/>
                <w:kern w:val="0"/>
                <w:sz w:val="20"/>
                <w:szCs w:val="24"/>
                <w:vertAlign w:val="superscript"/>
              </w:rPr>
              <w:t>***</w:t>
            </w:r>
          </w:p>
        </w:tc>
      </w:tr>
      <w:tr w:rsidR="00DC5497" w:rsidRPr="00AE3647" w:rsidTr="002A2606">
        <w:trPr>
          <w:trHeight w:val="18"/>
        </w:trPr>
        <w:tc>
          <w:tcPr>
            <w:tcW w:w="0" w:type="auto"/>
            <w:tcBorders>
              <w:top w:val="nil"/>
              <w:left w:val="nil"/>
              <w:bottom w:val="nil"/>
              <w:right w:val="single" w:sz="4" w:space="0" w:color="auto"/>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single" w:sz="4" w:space="0" w:color="auto"/>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(-2.56)</w:t>
            </w: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(-1.91)</w:t>
            </w: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(-1.92)</w:t>
            </w: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(-4.53)</w:t>
            </w:r>
          </w:p>
        </w:tc>
        <w:tc>
          <w:tcPr>
            <w:tcW w:w="0" w:type="auto"/>
            <w:tcBorders>
              <w:top w:val="nil"/>
              <w:left w:val="nil"/>
              <w:bottom w:val="nil"/>
              <w:right w:val="single" w:sz="4" w:space="0" w:color="auto"/>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(-4.27)</w:t>
            </w:r>
          </w:p>
        </w:tc>
        <w:tc>
          <w:tcPr>
            <w:tcW w:w="0" w:type="auto"/>
            <w:tcBorders>
              <w:top w:val="nil"/>
              <w:left w:val="single" w:sz="4" w:space="0" w:color="auto"/>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(-3.70)</w:t>
            </w: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(-2.02)</w:t>
            </w: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(-3.56)</w:t>
            </w: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(-2.87)</w:t>
            </w: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(-3.03)</w:t>
            </w:r>
          </w:p>
        </w:tc>
      </w:tr>
      <w:tr w:rsidR="00DC5497" w:rsidRPr="00AE3647" w:rsidTr="002A2606">
        <w:trPr>
          <w:trHeight w:val="18"/>
        </w:trPr>
        <w:tc>
          <w:tcPr>
            <w:tcW w:w="0" w:type="auto"/>
            <w:tcBorders>
              <w:top w:val="nil"/>
              <w:left w:val="nil"/>
              <w:bottom w:val="nil"/>
              <w:right w:val="single" w:sz="4" w:space="0" w:color="auto"/>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GDPPCD</w:t>
            </w:r>
          </w:p>
        </w:tc>
        <w:tc>
          <w:tcPr>
            <w:tcW w:w="0" w:type="auto"/>
            <w:tcBorders>
              <w:top w:val="nil"/>
              <w:left w:val="single" w:sz="4" w:space="0" w:color="auto"/>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0.154</w:t>
            </w:r>
            <w:r w:rsidRPr="00AE3647">
              <w:rPr>
                <w:rFonts w:cs="Times New Roman"/>
                <w:kern w:val="0"/>
                <w:sz w:val="20"/>
                <w:szCs w:val="24"/>
                <w:vertAlign w:val="superscript"/>
              </w:rPr>
              <w:t>***</w:t>
            </w: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single" w:sz="4" w:space="0" w:color="auto"/>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0.217</w:t>
            </w:r>
            <w:r w:rsidRPr="00AE3647">
              <w:rPr>
                <w:rFonts w:cs="Times New Roman"/>
                <w:kern w:val="0"/>
                <w:sz w:val="20"/>
                <w:szCs w:val="24"/>
                <w:vertAlign w:val="superscript"/>
              </w:rPr>
              <w:t>***</w:t>
            </w:r>
          </w:p>
        </w:tc>
        <w:tc>
          <w:tcPr>
            <w:tcW w:w="0" w:type="auto"/>
            <w:tcBorders>
              <w:top w:val="nil"/>
              <w:left w:val="single" w:sz="4" w:space="0" w:color="auto"/>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0.080</w:t>
            </w:r>
            <w:r w:rsidRPr="00AE3647">
              <w:rPr>
                <w:rFonts w:cs="Times New Roman"/>
                <w:kern w:val="0"/>
                <w:sz w:val="20"/>
                <w:szCs w:val="24"/>
                <w:vertAlign w:val="superscript"/>
              </w:rPr>
              <w:t>*</w:t>
            </w: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-0.101</w:t>
            </w:r>
          </w:p>
        </w:tc>
      </w:tr>
      <w:tr w:rsidR="00DC5497" w:rsidRPr="00AE3647" w:rsidTr="002A2606">
        <w:trPr>
          <w:trHeight w:val="18"/>
        </w:trPr>
        <w:tc>
          <w:tcPr>
            <w:tcW w:w="0" w:type="auto"/>
            <w:tcBorders>
              <w:top w:val="nil"/>
              <w:left w:val="nil"/>
              <w:bottom w:val="nil"/>
              <w:right w:val="single" w:sz="4" w:space="0" w:color="auto"/>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single" w:sz="4" w:space="0" w:color="auto"/>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(6.37)</w:t>
            </w: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single" w:sz="4" w:space="0" w:color="auto"/>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(4.23)</w:t>
            </w:r>
          </w:p>
        </w:tc>
        <w:tc>
          <w:tcPr>
            <w:tcW w:w="0" w:type="auto"/>
            <w:tcBorders>
              <w:top w:val="nil"/>
              <w:left w:val="single" w:sz="4" w:space="0" w:color="auto"/>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(1.80)</w:t>
            </w: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(-1.23)</w:t>
            </w:r>
          </w:p>
        </w:tc>
      </w:tr>
      <w:tr w:rsidR="00DC5497" w:rsidRPr="00AE3647" w:rsidTr="002A2606">
        <w:trPr>
          <w:trHeight w:val="18"/>
        </w:trPr>
        <w:tc>
          <w:tcPr>
            <w:tcW w:w="0" w:type="auto"/>
            <w:tcBorders>
              <w:top w:val="nil"/>
              <w:left w:val="nil"/>
              <w:bottom w:val="nil"/>
              <w:right w:val="single" w:sz="4" w:space="0" w:color="auto"/>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GDPGD</w:t>
            </w:r>
          </w:p>
        </w:tc>
        <w:tc>
          <w:tcPr>
            <w:tcW w:w="0" w:type="auto"/>
            <w:tcBorders>
              <w:top w:val="nil"/>
              <w:left w:val="single" w:sz="4" w:space="0" w:color="auto"/>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-0.002</w:t>
            </w: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single" w:sz="4" w:space="0" w:color="auto"/>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-0.003</w:t>
            </w:r>
            <w:r w:rsidRPr="00AE3647">
              <w:rPr>
                <w:rFonts w:cs="Times New Roman"/>
                <w:kern w:val="0"/>
                <w:sz w:val="20"/>
                <w:szCs w:val="24"/>
                <w:vertAlign w:val="superscript"/>
              </w:rPr>
              <w:t>*</w:t>
            </w:r>
          </w:p>
        </w:tc>
        <w:tc>
          <w:tcPr>
            <w:tcW w:w="0" w:type="auto"/>
            <w:tcBorders>
              <w:top w:val="nil"/>
              <w:left w:val="single" w:sz="4" w:space="0" w:color="auto"/>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-0.019</w:t>
            </w:r>
            <w:r w:rsidRPr="00AE3647">
              <w:rPr>
                <w:rFonts w:cs="Times New Roman"/>
                <w:kern w:val="0"/>
                <w:sz w:val="20"/>
                <w:szCs w:val="24"/>
                <w:vertAlign w:val="superscript"/>
              </w:rPr>
              <w:t>***</w:t>
            </w: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-0.023</w:t>
            </w:r>
            <w:r w:rsidRPr="00AE3647">
              <w:rPr>
                <w:rFonts w:cs="Times New Roman"/>
                <w:kern w:val="0"/>
                <w:sz w:val="20"/>
                <w:szCs w:val="24"/>
                <w:vertAlign w:val="superscript"/>
              </w:rPr>
              <w:t>***</w:t>
            </w:r>
          </w:p>
        </w:tc>
      </w:tr>
      <w:tr w:rsidR="00DC5497" w:rsidRPr="00AE3647" w:rsidTr="002A2606">
        <w:trPr>
          <w:trHeight w:val="18"/>
        </w:trPr>
        <w:tc>
          <w:tcPr>
            <w:tcW w:w="0" w:type="auto"/>
            <w:tcBorders>
              <w:top w:val="nil"/>
              <w:left w:val="nil"/>
              <w:bottom w:val="nil"/>
              <w:right w:val="single" w:sz="4" w:space="0" w:color="auto"/>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single" w:sz="4" w:space="0" w:color="auto"/>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(-1.64)</w:t>
            </w: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single" w:sz="4" w:space="0" w:color="auto"/>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(-1.68)</w:t>
            </w:r>
          </w:p>
        </w:tc>
        <w:tc>
          <w:tcPr>
            <w:tcW w:w="0" w:type="auto"/>
            <w:tcBorders>
              <w:top w:val="nil"/>
              <w:left w:val="single" w:sz="4" w:space="0" w:color="auto"/>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(-3.73)</w:t>
            </w: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(-4.17)</w:t>
            </w:r>
          </w:p>
        </w:tc>
      </w:tr>
      <w:tr w:rsidR="00DC5497" w:rsidRPr="00AE3647" w:rsidTr="002A2606">
        <w:trPr>
          <w:trHeight w:val="18"/>
        </w:trPr>
        <w:tc>
          <w:tcPr>
            <w:tcW w:w="0" w:type="auto"/>
            <w:tcBorders>
              <w:top w:val="nil"/>
              <w:left w:val="nil"/>
              <w:bottom w:val="nil"/>
              <w:right w:val="single" w:sz="4" w:space="0" w:color="auto"/>
            </w:tcBorders>
            <w:vAlign w:val="center"/>
          </w:tcPr>
          <w:p w:rsidR="00DC5497" w:rsidRPr="00AE3647" w:rsidRDefault="00DC5497" w:rsidP="002A2606">
            <w:pPr>
              <w:autoSpaceDE w:val="0"/>
              <w:autoSpaceDN w:val="0"/>
              <w:adjustRightInd w:val="0"/>
              <w:jc w:val="center"/>
              <w:rPr>
                <w:rFonts w:cs="Times New Roman"/>
                <w:kern w:val="0"/>
                <w:sz w:val="20"/>
                <w:szCs w:val="24"/>
              </w:rPr>
            </w:pPr>
            <w:proofErr w:type="spellStart"/>
            <w:r w:rsidRPr="00AE3647">
              <w:rPr>
                <w:rFonts w:cs="Times New Roman"/>
                <w:kern w:val="0"/>
                <w:sz w:val="20"/>
                <w:szCs w:val="24"/>
              </w:rPr>
              <w:t>ForExD</w:t>
            </w:r>
            <w:proofErr w:type="spellEnd"/>
          </w:p>
        </w:tc>
        <w:tc>
          <w:tcPr>
            <w:tcW w:w="0" w:type="auto"/>
            <w:tcBorders>
              <w:top w:val="nil"/>
              <w:left w:val="single" w:sz="4" w:space="0" w:color="auto"/>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0.001</w:t>
            </w: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single" w:sz="4" w:space="0" w:color="auto"/>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0.001</w:t>
            </w:r>
          </w:p>
        </w:tc>
        <w:tc>
          <w:tcPr>
            <w:tcW w:w="0" w:type="auto"/>
            <w:tcBorders>
              <w:top w:val="nil"/>
              <w:left w:val="single" w:sz="4" w:space="0" w:color="auto"/>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-0.000</w:t>
            </w: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0.000</w:t>
            </w:r>
          </w:p>
        </w:tc>
      </w:tr>
      <w:tr w:rsidR="00DC5497" w:rsidRPr="00AE3647" w:rsidTr="002A2606">
        <w:trPr>
          <w:trHeight w:val="18"/>
        </w:trPr>
        <w:tc>
          <w:tcPr>
            <w:tcW w:w="0" w:type="auto"/>
            <w:tcBorders>
              <w:top w:val="nil"/>
              <w:left w:val="nil"/>
              <w:bottom w:val="nil"/>
              <w:right w:val="single" w:sz="4" w:space="0" w:color="auto"/>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single" w:sz="4" w:space="0" w:color="auto"/>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(0.50)</w:t>
            </w: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single" w:sz="4" w:space="0" w:color="auto"/>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(0.32)</w:t>
            </w:r>
          </w:p>
        </w:tc>
        <w:tc>
          <w:tcPr>
            <w:tcW w:w="0" w:type="auto"/>
            <w:tcBorders>
              <w:top w:val="nil"/>
              <w:left w:val="single" w:sz="4" w:space="0" w:color="auto"/>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(-0.15)</w:t>
            </w: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(0.06)</w:t>
            </w:r>
          </w:p>
        </w:tc>
      </w:tr>
      <w:tr w:rsidR="00DC5497" w:rsidRPr="00AE3647" w:rsidTr="002A2606">
        <w:trPr>
          <w:trHeight w:val="18"/>
        </w:trPr>
        <w:tc>
          <w:tcPr>
            <w:tcW w:w="0" w:type="auto"/>
            <w:tcBorders>
              <w:top w:val="nil"/>
              <w:left w:val="nil"/>
              <w:bottom w:val="nil"/>
              <w:right w:val="single" w:sz="4" w:space="0" w:color="auto"/>
            </w:tcBorders>
            <w:vAlign w:val="center"/>
          </w:tcPr>
          <w:p w:rsidR="00DC5497" w:rsidRPr="00AE3647" w:rsidRDefault="00DC5497" w:rsidP="002A2606">
            <w:pPr>
              <w:autoSpaceDE w:val="0"/>
              <w:autoSpaceDN w:val="0"/>
              <w:adjustRightInd w:val="0"/>
              <w:jc w:val="center"/>
              <w:rPr>
                <w:rFonts w:cs="Times New Roman"/>
                <w:kern w:val="0"/>
                <w:sz w:val="20"/>
                <w:szCs w:val="24"/>
              </w:rPr>
            </w:pPr>
            <w:proofErr w:type="spellStart"/>
            <w:r w:rsidRPr="00AE3647">
              <w:rPr>
                <w:rFonts w:cs="Times New Roman"/>
                <w:kern w:val="0"/>
                <w:sz w:val="20"/>
                <w:szCs w:val="24"/>
              </w:rPr>
              <w:t>ReturnD</w:t>
            </w:r>
            <w:proofErr w:type="spellEnd"/>
          </w:p>
        </w:tc>
        <w:tc>
          <w:tcPr>
            <w:tcW w:w="0" w:type="auto"/>
            <w:tcBorders>
              <w:top w:val="nil"/>
              <w:left w:val="single" w:sz="4" w:space="0" w:color="auto"/>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0.001</w:t>
            </w: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single" w:sz="4" w:space="0" w:color="auto"/>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0.001</w:t>
            </w:r>
          </w:p>
        </w:tc>
        <w:tc>
          <w:tcPr>
            <w:tcW w:w="0" w:type="auto"/>
            <w:tcBorders>
              <w:top w:val="nil"/>
              <w:left w:val="single" w:sz="4" w:space="0" w:color="auto"/>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0.002</w:t>
            </w: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0.002</w:t>
            </w:r>
          </w:p>
        </w:tc>
      </w:tr>
      <w:tr w:rsidR="00DC5497" w:rsidRPr="00AE3647" w:rsidTr="002A2606">
        <w:trPr>
          <w:trHeight w:val="18"/>
        </w:trPr>
        <w:tc>
          <w:tcPr>
            <w:tcW w:w="0" w:type="auto"/>
            <w:tcBorders>
              <w:top w:val="nil"/>
              <w:left w:val="nil"/>
              <w:bottom w:val="nil"/>
              <w:right w:val="single" w:sz="4" w:space="0" w:color="auto"/>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single" w:sz="4" w:space="0" w:color="auto"/>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(0.71)</w:t>
            </w: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single" w:sz="4" w:space="0" w:color="auto"/>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(1.27)</w:t>
            </w:r>
          </w:p>
        </w:tc>
        <w:tc>
          <w:tcPr>
            <w:tcW w:w="0" w:type="auto"/>
            <w:tcBorders>
              <w:top w:val="nil"/>
              <w:left w:val="single" w:sz="4" w:space="0" w:color="auto"/>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(1.28)</w:t>
            </w: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(1.55)</w:t>
            </w:r>
          </w:p>
        </w:tc>
      </w:tr>
      <w:tr w:rsidR="00DC5497" w:rsidRPr="00AE3647" w:rsidTr="002A2606">
        <w:trPr>
          <w:trHeight w:val="18"/>
        </w:trPr>
        <w:tc>
          <w:tcPr>
            <w:tcW w:w="0" w:type="auto"/>
            <w:tcBorders>
              <w:top w:val="nil"/>
              <w:left w:val="nil"/>
              <w:bottom w:val="nil"/>
              <w:right w:val="single" w:sz="4" w:space="0" w:color="auto"/>
            </w:tcBorders>
            <w:vAlign w:val="center"/>
          </w:tcPr>
          <w:p w:rsidR="00DC5497" w:rsidRPr="00AE3647" w:rsidRDefault="00DC5497" w:rsidP="002A2606">
            <w:pPr>
              <w:autoSpaceDE w:val="0"/>
              <w:autoSpaceDN w:val="0"/>
              <w:adjustRightInd w:val="0"/>
              <w:jc w:val="center"/>
              <w:rPr>
                <w:rFonts w:cs="Times New Roman"/>
                <w:kern w:val="0"/>
                <w:sz w:val="20"/>
                <w:szCs w:val="24"/>
              </w:rPr>
            </w:pPr>
            <w:proofErr w:type="spellStart"/>
            <w:r w:rsidRPr="00AE3647">
              <w:rPr>
                <w:rFonts w:cs="Times New Roman"/>
                <w:kern w:val="0"/>
                <w:sz w:val="20"/>
                <w:szCs w:val="24"/>
              </w:rPr>
              <w:t>Corr</w:t>
            </w:r>
            <w:proofErr w:type="spellEnd"/>
          </w:p>
        </w:tc>
        <w:tc>
          <w:tcPr>
            <w:tcW w:w="0" w:type="auto"/>
            <w:tcBorders>
              <w:top w:val="nil"/>
              <w:left w:val="single" w:sz="4" w:space="0" w:color="auto"/>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0.878</w:t>
            </w:r>
            <w:r w:rsidRPr="00AE3647">
              <w:rPr>
                <w:rFonts w:cs="Times New Roman"/>
                <w:kern w:val="0"/>
                <w:sz w:val="20"/>
                <w:szCs w:val="24"/>
                <w:vertAlign w:val="superscript"/>
              </w:rPr>
              <w:t>***</w:t>
            </w: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single" w:sz="4" w:space="0" w:color="auto"/>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0.748</w:t>
            </w:r>
            <w:r w:rsidRPr="00AE3647">
              <w:rPr>
                <w:rFonts w:cs="Times New Roman"/>
                <w:kern w:val="0"/>
                <w:sz w:val="20"/>
                <w:szCs w:val="24"/>
                <w:vertAlign w:val="superscript"/>
              </w:rPr>
              <w:t>***</w:t>
            </w:r>
          </w:p>
        </w:tc>
        <w:tc>
          <w:tcPr>
            <w:tcW w:w="0" w:type="auto"/>
            <w:tcBorders>
              <w:top w:val="nil"/>
              <w:left w:val="single" w:sz="4" w:space="0" w:color="auto"/>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0.014</w:t>
            </w: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0.011</w:t>
            </w:r>
          </w:p>
        </w:tc>
      </w:tr>
      <w:tr w:rsidR="00DC5497" w:rsidRPr="00AE3647" w:rsidTr="002A2606">
        <w:trPr>
          <w:trHeight w:val="18"/>
        </w:trPr>
        <w:tc>
          <w:tcPr>
            <w:tcW w:w="0" w:type="auto"/>
            <w:tcBorders>
              <w:top w:val="nil"/>
              <w:left w:val="nil"/>
              <w:bottom w:val="nil"/>
              <w:right w:val="single" w:sz="4" w:space="0" w:color="auto"/>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single" w:sz="4" w:space="0" w:color="auto"/>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(9.68)</w:t>
            </w: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single" w:sz="4" w:space="0" w:color="auto"/>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(7.70)</w:t>
            </w:r>
          </w:p>
        </w:tc>
        <w:tc>
          <w:tcPr>
            <w:tcW w:w="0" w:type="auto"/>
            <w:tcBorders>
              <w:top w:val="nil"/>
              <w:left w:val="single" w:sz="4" w:space="0" w:color="auto"/>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(0.11)</w:t>
            </w: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(0.08)</w:t>
            </w:r>
          </w:p>
        </w:tc>
      </w:tr>
      <w:tr w:rsidR="00DC5497" w:rsidRPr="00AE3647" w:rsidTr="002A2606">
        <w:trPr>
          <w:trHeight w:val="18"/>
        </w:trPr>
        <w:tc>
          <w:tcPr>
            <w:tcW w:w="0" w:type="auto"/>
            <w:tcBorders>
              <w:top w:val="nil"/>
              <w:left w:val="nil"/>
              <w:bottom w:val="nil"/>
              <w:right w:val="single" w:sz="4" w:space="0" w:color="auto"/>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Close</w:t>
            </w:r>
          </w:p>
        </w:tc>
        <w:tc>
          <w:tcPr>
            <w:tcW w:w="0" w:type="auto"/>
            <w:tcBorders>
              <w:top w:val="nil"/>
              <w:left w:val="single" w:sz="4" w:space="0" w:color="auto"/>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-0.396</w:t>
            </w:r>
            <w:r w:rsidRPr="00AE3647">
              <w:rPr>
                <w:rFonts w:cs="Times New Roman"/>
                <w:kern w:val="0"/>
                <w:sz w:val="20"/>
                <w:szCs w:val="24"/>
                <w:vertAlign w:val="superscript"/>
              </w:rPr>
              <w:t>***</w:t>
            </w:r>
          </w:p>
        </w:tc>
        <w:tc>
          <w:tcPr>
            <w:tcW w:w="0" w:type="auto"/>
            <w:tcBorders>
              <w:top w:val="nil"/>
              <w:left w:val="nil"/>
              <w:bottom w:val="nil"/>
              <w:right w:val="single" w:sz="4" w:space="0" w:color="auto"/>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-0.398</w:t>
            </w:r>
            <w:r w:rsidRPr="00AE3647">
              <w:rPr>
                <w:rFonts w:cs="Times New Roman"/>
                <w:kern w:val="0"/>
                <w:sz w:val="20"/>
                <w:szCs w:val="24"/>
                <w:vertAlign w:val="superscript"/>
              </w:rPr>
              <w:t>***</w:t>
            </w:r>
          </w:p>
        </w:tc>
        <w:tc>
          <w:tcPr>
            <w:tcW w:w="0" w:type="auto"/>
            <w:tcBorders>
              <w:top w:val="nil"/>
              <w:left w:val="single" w:sz="4" w:space="0" w:color="auto"/>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-0.219</w:t>
            </w:r>
            <w:r w:rsidRPr="00AE3647">
              <w:rPr>
                <w:rFonts w:cs="Times New Roman"/>
                <w:kern w:val="0"/>
                <w:sz w:val="20"/>
                <w:szCs w:val="24"/>
                <w:vertAlign w:val="superscript"/>
              </w:rPr>
              <w:t>***</w:t>
            </w: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-0.228</w:t>
            </w:r>
            <w:r w:rsidRPr="00AE3647">
              <w:rPr>
                <w:rFonts w:cs="Times New Roman"/>
                <w:kern w:val="0"/>
                <w:sz w:val="20"/>
                <w:szCs w:val="24"/>
                <w:vertAlign w:val="superscript"/>
              </w:rPr>
              <w:t>***</w:t>
            </w:r>
          </w:p>
        </w:tc>
      </w:tr>
      <w:tr w:rsidR="00DC5497" w:rsidRPr="00AE3647" w:rsidTr="002A2606">
        <w:trPr>
          <w:trHeight w:val="18"/>
        </w:trPr>
        <w:tc>
          <w:tcPr>
            <w:tcW w:w="0" w:type="auto"/>
            <w:tcBorders>
              <w:top w:val="nil"/>
              <w:left w:val="nil"/>
              <w:bottom w:val="nil"/>
              <w:right w:val="single" w:sz="4" w:space="0" w:color="auto"/>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single" w:sz="4" w:space="0" w:color="auto"/>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(-8.03)</w:t>
            </w:r>
          </w:p>
        </w:tc>
        <w:tc>
          <w:tcPr>
            <w:tcW w:w="0" w:type="auto"/>
            <w:tcBorders>
              <w:top w:val="nil"/>
              <w:left w:val="nil"/>
              <w:bottom w:val="nil"/>
              <w:right w:val="single" w:sz="4" w:space="0" w:color="auto"/>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(-7.73)</w:t>
            </w:r>
          </w:p>
        </w:tc>
        <w:tc>
          <w:tcPr>
            <w:tcW w:w="0" w:type="auto"/>
            <w:tcBorders>
              <w:top w:val="nil"/>
              <w:left w:val="single" w:sz="4" w:space="0" w:color="auto"/>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(-2.90)</w:t>
            </w: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(-2.93)</w:t>
            </w:r>
          </w:p>
        </w:tc>
      </w:tr>
      <w:tr w:rsidR="00DC5497" w:rsidRPr="00AE3647" w:rsidTr="002A2606">
        <w:trPr>
          <w:trHeight w:val="18"/>
        </w:trPr>
        <w:tc>
          <w:tcPr>
            <w:tcW w:w="0" w:type="auto"/>
            <w:tcBorders>
              <w:top w:val="nil"/>
              <w:left w:val="nil"/>
              <w:bottom w:val="nil"/>
              <w:right w:val="single" w:sz="4" w:space="0" w:color="auto"/>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Culture</w:t>
            </w:r>
          </w:p>
        </w:tc>
        <w:tc>
          <w:tcPr>
            <w:tcW w:w="0" w:type="auto"/>
            <w:tcBorders>
              <w:top w:val="nil"/>
              <w:left w:val="single" w:sz="4" w:space="0" w:color="auto"/>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0.160</w:t>
            </w:r>
            <w:r w:rsidRPr="00AE3647">
              <w:rPr>
                <w:rFonts w:cs="Times New Roman"/>
                <w:kern w:val="0"/>
                <w:sz w:val="20"/>
                <w:szCs w:val="24"/>
                <w:vertAlign w:val="superscript"/>
              </w:rPr>
              <w:t>***</w:t>
            </w:r>
          </w:p>
        </w:tc>
        <w:tc>
          <w:tcPr>
            <w:tcW w:w="0" w:type="auto"/>
            <w:tcBorders>
              <w:top w:val="nil"/>
              <w:left w:val="nil"/>
              <w:bottom w:val="nil"/>
              <w:right w:val="single" w:sz="4" w:space="0" w:color="auto"/>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0.127</w:t>
            </w:r>
            <w:r w:rsidRPr="00AE3647">
              <w:rPr>
                <w:rFonts w:cs="Times New Roman"/>
                <w:kern w:val="0"/>
                <w:sz w:val="20"/>
                <w:szCs w:val="24"/>
                <w:vertAlign w:val="superscript"/>
              </w:rPr>
              <w:t>***</w:t>
            </w:r>
          </w:p>
        </w:tc>
        <w:tc>
          <w:tcPr>
            <w:tcW w:w="0" w:type="auto"/>
            <w:tcBorders>
              <w:top w:val="nil"/>
              <w:left w:val="single" w:sz="4" w:space="0" w:color="auto"/>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0.051</w:t>
            </w: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0.051</w:t>
            </w:r>
          </w:p>
        </w:tc>
      </w:tr>
      <w:tr w:rsidR="00DC5497" w:rsidRPr="00AE3647" w:rsidTr="002A2606">
        <w:trPr>
          <w:trHeight w:val="18"/>
        </w:trPr>
        <w:tc>
          <w:tcPr>
            <w:tcW w:w="0" w:type="auto"/>
            <w:tcBorders>
              <w:top w:val="nil"/>
              <w:left w:val="nil"/>
              <w:bottom w:val="nil"/>
              <w:right w:val="single" w:sz="4" w:space="0" w:color="auto"/>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single" w:sz="4" w:space="0" w:color="auto"/>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(3.93)</w:t>
            </w:r>
          </w:p>
        </w:tc>
        <w:tc>
          <w:tcPr>
            <w:tcW w:w="0" w:type="auto"/>
            <w:tcBorders>
              <w:top w:val="nil"/>
              <w:left w:val="nil"/>
              <w:bottom w:val="nil"/>
              <w:right w:val="single" w:sz="4" w:space="0" w:color="auto"/>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(2.93)</w:t>
            </w:r>
          </w:p>
        </w:tc>
        <w:tc>
          <w:tcPr>
            <w:tcW w:w="0" w:type="auto"/>
            <w:tcBorders>
              <w:top w:val="nil"/>
              <w:left w:val="single" w:sz="4" w:space="0" w:color="auto"/>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(0.88)</w:t>
            </w: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(0.83)</w:t>
            </w:r>
          </w:p>
        </w:tc>
      </w:tr>
      <w:tr w:rsidR="00DC5497" w:rsidRPr="00AE3647" w:rsidTr="002A2606">
        <w:trPr>
          <w:trHeight w:val="18"/>
        </w:trPr>
        <w:tc>
          <w:tcPr>
            <w:tcW w:w="0" w:type="auto"/>
            <w:tcBorders>
              <w:top w:val="nil"/>
              <w:left w:val="nil"/>
              <w:bottom w:val="nil"/>
              <w:right w:val="single" w:sz="4" w:space="0" w:color="auto"/>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WGID</w:t>
            </w:r>
          </w:p>
        </w:tc>
        <w:tc>
          <w:tcPr>
            <w:tcW w:w="0" w:type="auto"/>
            <w:tcBorders>
              <w:top w:val="nil"/>
              <w:left w:val="single" w:sz="4" w:space="0" w:color="auto"/>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0.009</w:t>
            </w:r>
          </w:p>
        </w:tc>
        <w:tc>
          <w:tcPr>
            <w:tcW w:w="0" w:type="auto"/>
            <w:tcBorders>
              <w:top w:val="nil"/>
              <w:left w:val="nil"/>
              <w:bottom w:val="nil"/>
              <w:right w:val="single" w:sz="4" w:space="0" w:color="auto"/>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-0.154</w:t>
            </w:r>
            <w:r w:rsidRPr="00AE3647">
              <w:rPr>
                <w:rFonts w:cs="Times New Roman"/>
                <w:kern w:val="0"/>
                <w:sz w:val="20"/>
                <w:szCs w:val="24"/>
                <w:vertAlign w:val="superscript"/>
              </w:rPr>
              <w:t>***</w:t>
            </w:r>
          </w:p>
        </w:tc>
        <w:tc>
          <w:tcPr>
            <w:tcW w:w="0" w:type="auto"/>
            <w:tcBorders>
              <w:top w:val="nil"/>
              <w:left w:val="single" w:sz="4" w:space="0" w:color="auto"/>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0.095</w:t>
            </w:r>
            <w:r w:rsidRPr="00AE3647">
              <w:rPr>
                <w:rFonts w:cs="Times New Roman"/>
                <w:kern w:val="0"/>
                <w:sz w:val="20"/>
                <w:szCs w:val="24"/>
                <w:vertAlign w:val="superscript"/>
              </w:rPr>
              <w:t>***</w:t>
            </w: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0.095</w:t>
            </w:r>
            <w:r w:rsidRPr="00AE3647">
              <w:rPr>
                <w:rFonts w:cs="Times New Roman"/>
                <w:kern w:val="0"/>
                <w:sz w:val="20"/>
                <w:szCs w:val="24"/>
                <w:vertAlign w:val="superscript"/>
              </w:rPr>
              <w:t>**</w:t>
            </w:r>
          </w:p>
        </w:tc>
      </w:tr>
      <w:tr w:rsidR="00DC5497" w:rsidRPr="00AE3647" w:rsidTr="002A2606">
        <w:trPr>
          <w:trHeight w:val="18"/>
        </w:trPr>
        <w:tc>
          <w:tcPr>
            <w:tcW w:w="0" w:type="auto"/>
            <w:tcBorders>
              <w:top w:val="nil"/>
              <w:left w:val="nil"/>
              <w:bottom w:val="nil"/>
              <w:right w:val="single" w:sz="4" w:space="0" w:color="auto"/>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single" w:sz="4" w:space="0" w:color="auto"/>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(0.71)</w:t>
            </w:r>
          </w:p>
        </w:tc>
        <w:tc>
          <w:tcPr>
            <w:tcW w:w="0" w:type="auto"/>
            <w:tcBorders>
              <w:top w:val="nil"/>
              <w:left w:val="nil"/>
              <w:bottom w:val="nil"/>
              <w:right w:val="single" w:sz="4" w:space="0" w:color="auto"/>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(-6.11)</w:t>
            </w:r>
          </w:p>
        </w:tc>
        <w:tc>
          <w:tcPr>
            <w:tcW w:w="0" w:type="auto"/>
            <w:tcBorders>
              <w:top w:val="nil"/>
              <w:left w:val="single" w:sz="4" w:space="0" w:color="auto"/>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(3.87)</w:t>
            </w: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(2.02)</w:t>
            </w:r>
          </w:p>
        </w:tc>
      </w:tr>
      <w:tr w:rsidR="00DC5497" w:rsidRPr="00AE3647" w:rsidTr="002A2606">
        <w:trPr>
          <w:trHeight w:val="18"/>
        </w:trPr>
        <w:tc>
          <w:tcPr>
            <w:tcW w:w="0" w:type="auto"/>
            <w:tcBorders>
              <w:top w:val="nil"/>
              <w:left w:val="nil"/>
              <w:bottom w:val="nil"/>
              <w:right w:val="single" w:sz="4" w:space="0" w:color="auto"/>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_cons</w:t>
            </w:r>
          </w:p>
        </w:tc>
        <w:tc>
          <w:tcPr>
            <w:tcW w:w="0" w:type="auto"/>
            <w:tcBorders>
              <w:top w:val="nil"/>
              <w:left w:val="single" w:sz="4" w:space="0" w:color="auto"/>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-1.534</w:t>
            </w:r>
            <w:r w:rsidRPr="00AE3647">
              <w:rPr>
                <w:rFonts w:cs="Times New Roman"/>
                <w:kern w:val="0"/>
                <w:sz w:val="20"/>
                <w:szCs w:val="24"/>
                <w:vertAlign w:val="superscript"/>
              </w:rPr>
              <w:t>***</w:t>
            </w: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-1.490</w:t>
            </w:r>
            <w:r w:rsidRPr="00AE3647">
              <w:rPr>
                <w:rFonts w:cs="Times New Roman"/>
                <w:kern w:val="0"/>
                <w:sz w:val="20"/>
                <w:szCs w:val="24"/>
                <w:vertAlign w:val="superscript"/>
              </w:rPr>
              <w:t>***</w:t>
            </w: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-1.874</w:t>
            </w:r>
            <w:r w:rsidRPr="00AE3647">
              <w:rPr>
                <w:rFonts w:cs="Times New Roman"/>
                <w:kern w:val="0"/>
                <w:sz w:val="20"/>
                <w:szCs w:val="24"/>
                <w:vertAlign w:val="superscript"/>
              </w:rPr>
              <w:t>***</w:t>
            </w: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-0.060</w:t>
            </w:r>
          </w:p>
        </w:tc>
        <w:tc>
          <w:tcPr>
            <w:tcW w:w="0" w:type="auto"/>
            <w:tcBorders>
              <w:top w:val="nil"/>
              <w:left w:val="nil"/>
              <w:bottom w:val="nil"/>
              <w:right w:val="single" w:sz="4" w:space="0" w:color="auto"/>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-0.277</w:t>
            </w:r>
          </w:p>
        </w:tc>
        <w:tc>
          <w:tcPr>
            <w:tcW w:w="0" w:type="auto"/>
            <w:tcBorders>
              <w:top w:val="nil"/>
              <w:left w:val="single" w:sz="4" w:space="0" w:color="auto"/>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8.530</w:t>
            </w:r>
            <w:r w:rsidRPr="00AE3647">
              <w:rPr>
                <w:rFonts w:cs="Times New Roman"/>
                <w:kern w:val="0"/>
                <w:sz w:val="20"/>
                <w:szCs w:val="24"/>
                <w:vertAlign w:val="superscript"/>
              </w:rPr>
              <w:t>***</w:t>
            </w: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8.508</w:t>
            </w:r>
            <w:r w:rsidRPr="00AE3647">
              <w:rPr>
                <w:rFonts w:cs="Times New Roman"/>
                <w:kern w:val="0"/>
                <w:sz w:val="20"/>
                <w:szCs w:val="24"/>
                <w:vertAlign w:val="superscript"/>
              </w:rPr>
              <w:t>***</w:t>
            </w: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8.531</w:t>
            </w:r>
            <w:r w:rsidRPr="00AE3647">
              <w:rPr>
                <w:rFonts w:cs="Times New Roman"/>
                <w:kern w:val="0"/>
                <w:sz w:val="20"/>
                <w:szCs w:val="24"/>
                <w:vertAlign w:val="superscript"/>
              </w:rPr>
              <w:t>***</w:t>
            </w: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9.341</w:t>
            </w:r>
            <w:r w:rsidRPr="00AE3647">
              <w:rPr>
                <w:rFonts w:cs="Times New Roman"/>
                <w:kern w:val="0"/>
                <w:sz w:val="20"/>
                <w:szCs w:val="24"/>
                <w:vertAlign w:val="superscript"/>
              </w:rPr>
              <w:t>***</w:t>
            </w:r>
          </w:p>
        </w:tc>
        <w:tc>
          <w:tcPr>
            <w:tcW w:w="0" w:type="auto"/>
            <w:tcBorders>
              <w:top w:val="nil"/>
              <w:left w:val="nil"/>
              <w:bottom w:val="nil"/>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9.330</w:t>
            </w:r>
            <w:r w:rsidRPr="00AE3647">
              <w:rPr>
                <w:rFonts w:cs="Times New Roman"/>
                <w:kern w:val="0"/>
                <w:sz w:val="20"/>
                <w:szCs w:val="24"/>
                <w:vertAlign w:val="superscript"/>
              </w:rPr>
              <w:t>***</w:t>
            </w:r>
          </w:p>
        </w:tc>
      </w:tr>
      <w:tr w:rsidR="00DC5497" w:rsidRPr="00AE3647" w:rsidTr="002A2606">
        <w:trPr>
          <w:trHeight w:val="18"/>
        </w:trPr>
        <w:tc>
          <w:tcPr>
            <w:tcW w:w="0" w:type="auto"/>
            <w:tcBorders>
              <w:top w:val="nil"/>
              <w:left w:val="nil"/>
              <w:bottom w:val="single" w:sz="4" w:space="0" w:color="auto"/>
              <w:right w:val="single" w:sz="4" w:space="0" w:color="auto"/>
            </w:tcBorders>
            <w:vAlign w:val="center"/>
          </w:tcPr>
          <w:p w:rsidR="00DC5497" w:rsidRPr="00AE3647" w:rsidRDefault="00DC5497" w:rsidP="002A2606">
            <w:pPr>
              <w:autoSpaceDE w:val="0"/>
              <w:autoSpaceDN w:val="0"/>
              <w:adjustRightInd w:val="0"/>
              <w:jc w:val="center"/>
              <w:rPr>
                <w:rFonts w:cs="Times New Roman"/>
                <w:kern w:val="0"/>
                <w:sz w:val="20"/>
                <w:szCs w:val="24"/>
              </w:rPr>
            </w:pPr>
          </w:p>
        </w:tc>
        <w:tc>
          <w:tcPr>
            <w:tcW w:w="0" w:type="auto"/>
            <w:tcBorders>
              <w:top w:val="nil"/>
              <w:left w:val="single" w:sz="4" w:space="0" w:color="auto"/>
              <w:bottom w:val="single" w:sz="4" w:space="0" w:color="auto"/>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(-79.19)</w:t>
            </w:r>
          </w:p>
        </w:tc>
        <w:tc>
          <w:tcPr>
            <w:tcW w:w="0" w:type="auto"/>
            <w:tcBorders>
              <w:top w:val="nil"/>
              <w:left w:val="nil"/>
              <w:bottom w:val="single" w:sz="4" w:space="0" w:color="auto"/>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(-72.48)</w:t>
            </w:r>
          </w:p>
        </w:tc>
        <w:tc>
          <w:tcPr>
            <w:tcW w:w="0" w:type="auto"/>
            <w:tcBorders>
              <w:top w:val="nil"/>
              <w:left w:val="nil"/>
              <w:bottom w:val="single" w:sz="4" w:space="0" w:color="auto"/>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(-36.76)</w:t>
            </w:r>
          </w:p>
        </w:tc>
        <w:tc>
          <w:tcPr>
            <w:tcW w:w="0" w:type="auto"/>
            <w:tcBorders>
              <w:top w:val="nil"/>
              <w:left w:val="nil"/>
              <w:bottom w:val="single" w:sz="4" w:space="0" w:color="auto"/>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(-0.32)</w:t>
            </w:r>
          </w:p>
        </w:tc>
        <w:tc>
          <w:tcPr>
            <w:tcW w:w="0" w:type="auto"/>
            <w:tcBorders>
              <w:top w:val="nil"/>
              <w:left w:val="nil"/>
              <w:bottom w:val="single" w:sz="4" w:space="0" w:color="auto"/>
              <w:right w:val="single" w:sz="4" w:space="0" w:color="auto"/>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(-1.31)</w:t>
            </w:r>
          </w:p>
        </w:tc>
        <w:tc>
          <w:tcPr>
            <w:tcW w:w="0" w:type="auto"/>
            <w:tcBorders>
              <w:top w:val="nil"/>
              <w:left w:val="single" w:sz="4" w:space="0" w:color="auto"/>
              <w:bottom w:val="single" w:sz="4" w:space="0" w:color="auto"/>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(289.91)</w:t>
            </w:r>
          </w:p>
        </w:tc>
        <w:tc>
          <w:tcPr>
            <w:tcW w:w="0" w:type="auto"/>
            <w:tcBorders>
              <w:top w:val="nil"/>
              <w:left w:val="nil"/>
              <w:bottom w:val="single" w:sz="4" w:space="0" w:color="auto"/>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(277.75)</w:t>
            </w:r>
          </w:p>
        </w:tc>
        <w:tc>
          <w:tcPr>
            <w:tcW w:w="0" w:type="auto"/>
            <w:tcBorders>
              <w:top w:val="nil"/>
              <w:left w:val="nil"/>
              <w:bottom w:val="single" w:sz="4" w:space="0" w:color="auto"/>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(120.94)</w:t>
            </w:r>
          </w:p>
        </w:tc>
        <w:tc>
          <w:tcPr>
            <w:tcW w:w="0" w:type="auto"/>
            <w:tcBorders>
              <w:top w:val="nil"/>
              <w:left w:val="nil"/>
              <w:bottom w:val="single" w:sz="4" w:space="0" w:color="auto"/>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(32.02)</w:t>
            </w:r>
          </w:p>
        </w:tc>
        <w:tc>
          <w:tcPr>
            <w:tcW w:w="0" w:type="auto"/>
            <w:tcBorders>
              <w:top w:val="nil"/>
              <w:left w:val="nil"/>
              <w:bottom w:val="single" w:sz="4" w:space="0" w:color="auto"/>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(29.34)</w:t>
            </w:r>
          </w:p>
        </w:tc>
      </w:tr>
      <w:tr w:rsidR="00DC5497" w:rsidRPr="00AE3647" w:rsidTr="002A2606">
        <w:trPr>
          <w:trHeight w:val="18"/>
        </w:trPr>
        <w:tc>
          <w:tcPr>
            <w:tcW w:w="0" w:type="auto"/>
            <w:tcBorders>
              <w:top w:val="single" w:sz="4" w:space="0" w:color="auto"/>
              <w:left w:val="nil"/>
              <w:bottom w:val="single" w:sz="4" w:space="0" w:color="auto"/>
              <w:right w:val="single" w:sz="4" w:space="0" w:color="auto"/>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i/>
                <w:iCs/>
                <w:kern w:val="0"/>
                <w:sz w:val="20"/>
                <w:szCs w:val="24"/>
              </w:rPr>
              <w:t>N</w:t>
            </w:r>
          </w:p>
        </w:tc>
        <w:tc>
          <w:tcPr>
            <w:tcW w:w="0" w:type="auto"/>
            <w:tcBorders>
              <w:top w:val="single" w:sz="4" w:space="0" w:color="auto"/>
              <w:left w:val="single" w:sz="4" w:space="0" w:color="auto"/>
              <w:bottom w:val="single" w:sz="4" w:space="0" w:color="auto"/>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14685</w:t>
            </w:r>
          </w:p>
        </w:tc>
        <w:tc>
          <w:tcPr>
            <w:tcW w:w="0" w:type="auto"/>
            <w:tcBorders>
              <w:top w:val="single" w:sz="4" w:space="0" w:color="auto"/>
              <w:left w:val="nil"/>
              <w:bottom w:val="single" w:sz="4" w:space="0" w:color="auto"/>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14685</w:t>
            </w:r>
          </w:p>
        </w:tc>
        <w:tc>
          <w:tcPr>
            <w:tcW w:w="0" w:type="auto"/>
            <w:tcBorders>
              <w:top w:val="single" w:sz="4" w:space="0" w:color="auto"/>
              <w:left w:val="nil"/>
              <w:bottom w:val="single" w:sz="4" w:space="0" w:color="auto"/>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11816</w:t>
            </w:r>
          </w:p>
        </w:tc>
        <w:tc>
          <w:tcPr>
            <w:tcW w:w="0" w:type="auto"/>
            <w:tcBorders>
              <w:top w:val="single" w:sz="4" w:space="0" w:color="auto"/>
              <w:left w:val="nil"/>
              <w:bottom w:val="single" w:sz="4" w:space="0" w:color="auto"/>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14685</w:t>
            </w:r>
          </w:p>
        </w:tc>
        <w:tc>
          <w:tcPr>
            <w:tcW w:w="0" w:type="auto"/>
            <w:tcBorders>
              <w:top w:val="single" w:sz="4" w:space="0" w:color="auto"/>
              <w:left w:val="nil"/>
              <w:bottom w:val="single" w:sz="4" w:space="0" w:color="auto"/>
              <w:right w:val="single" w:sz="4" w:space="0" w:color="auto"/>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11816</w:t>
            </w:r>
          </w:p>
        </w:tc>
        <w:tc>
          <w:tcPr>
            <w:tcW w:w="0" w:type="auto"/>
            <w:tcBorders>
              <w:top w:val="single" w:sz="4" w:space="0" w:color="auto"/>
              <w:left w:val="single" w:sz="4" w:space="0" w:color="auto"/>
              <w:bottom w:val="single" w:sz="4" w:space="0" w:color="auto"/>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871</w:t>
            </w:r>
          </w:p>
        </w:tc>
        <w:tc>
          <w:tcPr>
            <w:tcW w:w="0" w:type="auto"/>
            <w:tcBorders>
              <w:top w:val="single" w:sz="4" w:space="0" w:color="auto"/>
              <w:left w:val="nil"/>
              <w:bottom w:val="single" w:sz="4" w:space="0" w:color="auto"/>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871</w:t>
            </w:r>
          </w:p>
        </w:tc>
        <w:tc>
          <w:tcPr>
            <w:tcW w:w="0" w:type="auto"/>
            <w:tcBorders>
              <w:top w:val="single" w:sz="4" w:space="0" w:color="auto"/>
              <w:left w:val="nil"/>
              <w:bottom w:val="single" w:sz="4" w:space="0" w:color="auto"/>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845</w:t>
            </w:r>
          </w:p>
        </w:tc>
        <w:tc>
          <w:tcPr>
            <w:tcW w:w="0" w:type="auto"/>
            <w:tcBorders>
              <w:top w:val="single" w:sz="4" w:space="0" w:color="auto"/>
              <w:left w:val="nil"/>
              <w:bottom w:val="single" w:sz="4" w:space="0" w:color="auto"/>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871</w:t>
            </w:r>
          </w:p>
        </w:tc>
        <w:tc>
          <w:tcPr>
            <w:tcW w:w="0" w:type="auto"/>
            <w:tcBorders>
              <w:top w:val="single" w:sz="4" w:space="0" w:color="auto"/>
              <w:left w:val="nil"/>
              <w:bottom w:val="single" w:sz="4" w:space="0" w:color="auto"/>
              <w:right w:val="nil"/>
            </w:tcBorders>
            <w:vAlign w:val="center"/>
          </w:tcPr>
          <w:p w:rsidR="00DC5497" w:rsidRPr="00AE3647" w:rsidRDefault="00DC5497" w:rsidP="002A2606">
            <w:pPr>
              <w:autoSpaceDE w:val="0"/>
              <w:autoSpaceDN w:val="0"/>
              <w:adjustRightInd w:val="0"/>
              <w:jc w:val="center"/>
              <w:rPr>
                <w:rFonts w:cs="Times New Roman"/>
                <w:kern w:val="0"/>
                <w:sz w:val="20"/>
                <w:szCs w:val="24"/>
              </w:rPr>
            </w:pPr>
            <w:r w:rsidRPr="00AE3647">
              <w:rPr>
                <w:rFonts w:cs="Times New Roman"/>
                <w:kern w:val="0"/>
                <w:sz w:val="20"/>
                <w:szCs w:val="24"/>
              </w:rPr>
              <w:t>845</w:t>
            </w:r>
          </w:p>
        </w:tc>
      </w:tr>
      <w:tr w:rsidR="00DC5497" w:rsidRPr="00AE3647" w:rsidTr="002A2606">
        <w:trPr>
          <w:trHeight w:val="18"/>
        </w:trPr>
        <w:tc>
          <w:tcPr>
            <w:tcW w:w="0" w:type="auto"/>
            <w:gridSpan w:val="11"/>
            <w:tcBorders>
              <w:top w:val="single" w:sz="4" w:space="0" w:color="auto"/>
              <w:left w:val="nil"/>
            </w:tcBorders>
            <w:vAlign w:val="center"/>
          </w:tcPr>
          <w:p w:rsidR="00DC5497" w:rsidRPr="00AE3647" w:rsidRDefault="00DC5497" w:rsidP="002A2606">
            <w:pPr>
              <w:autoSpaceDE w:val="0"/>
              <w:autoSpaceDN w:val="0"/>
              <w:adjustRightInd w:val="0"/>
              <w:jc w:val="left"/>
              <w:rPr>
                <w:rFonts w:cs="Times New Roman"/>
                <w:kern w:val="0"/>
                <w:sz w:val="20"/>
                <w:szCs w:val="24"/>
              </w:rPr>
            </w:pPr>
            <w:r w:rsidRPr="00731DF0">
              <w:rPr>
                <w:rFonts w:cs="Times New Roman"/>
                <w:kern w:val="0"/>
                <w:sz w:val="20"/>
                <w:szCs w:val="24"/>
              </w:rPr>
              <w:t>t statistics in parentheses; * p &lt; 0.10, ** p &lt; 0.05, *** p &lt; 0.01</w:t>
            </w:r>
          </w:p>
        </w:tc>
      </w:tr>
    </w:tbl>
    <w:p w:rsidR="00DC5497" w:rsidRPr="00DC5497" w:rsidRDefault="00DC5497" w:rsidP="009838D1">
      <w:pPr>
        <w:wordWrap/>
        <w:spacing w:line="400" w:lineRule="exact"/>
        <w:ind w:firstLineChars="200" w:firstLine="480"/>
      </w:pPr>
    </w:p>
    <w:p w:rsidR="004C2E18" w:rsidRDefault="00110A00" w:rsidP="009838D1">
      <w:pPr>
        <w:pStyle w:val="2"/>
        <w:numPr>
          <w:ilvl w:val="0"/>
          <w:numId w:val="46"/>
        </w:numPr>
      </w:pPr>
      <w:r>
        <w:rPr>
          <w:rFonts w:hint="eastAsia"/>
        </w:rPr>
        <w:t>Conclusion</w:t>
      </w:r>
      <w:bookmarkEnd w:id="2"/>
    </w:p>
    <w:p w:rsidR="002A2606" w:rsidRPr="00853127" w:rsidRDefault="009E7CDB" w:rsidP="00853127">
      <w:pPr>
        <w:wordWrap/>
        <w:spacing w:line="400" w:lineRule="exact"/>
        <w:ind w:firstLineChars="200" w:firstLine="480"/>
      </w:pPr>
      <w:r w:rsidRPr="009E7CDB">
        <w:t>By directly examining the relationship between bilateral political relations and SWF's outbound investment decisions, this paper confirms that there are indeed political considerations in SWF's outbound investment decisions</w:t>
      </w:r>
      <w:r w:rsidR="001D14C4">
        <w:t>: bilateral political relations are an important factor in why SWFs invest and they matter much in determining how much to invest</w:t>
      </w:r>
      <w:r w:rsidRPr="009E7CDB">
        <w:t xml:space="preserve">. This paper believes that </w:t>
      </w:r>
      <w:r w:rsidR="007E40C0">
        <w:t>SWF</w:t>
      </w:r>
      <w:r w:rsidR="002D2C73">
        <w:t>s</w:t>
      </w:r>
      <w:r w:rsidR="007E40C0">
        <w:t xml:space="preserve"> </w:t>
      </w:r>
      <w:r w:rsidRPr="009E7CDB">
        <w:t>will invest more in countries with far-reaching political relations and SWF's outbound investment</w:t>
      </w:r>
      <w:r w:rsidR="001D14C4">
        <w:t xml:space="preserve">s may </w:t>
      </w:r>
      <w:r w:rsidR="00984DD7">
        <w:t xml:space="preserve">be </w:t>
      </w:r>
      <w:r w:rsidR="00984DD7" w:rsidRPr="009E7CDB">
        <w:t>used</w:t>
      </w:r>
      <w:r w:rsidRPr="009E7CDB">
        <w:t xml:space="preserve"> as a tool to promote bilateral political relations.</w:t>
      </w:r>
      <w:r w:rsidR="008C340C">
        <w:t xml:space="preserve"> </w:t>
      </w:r>
      <w:r w:rsidR="002A2606">
        <w:t>The conclusion provides valuable reference for the analysis of SWFs’ investments from the perspective of international relations.</w:t>
      </w:r>
      <w:r w:rsidR="00853127" w:rsidRPr="00853127">
        <w:t xml:space="preserve"> </w:t>
      </w:r>
      <w:r w:rsidR="00853127">
        <w:t>And t</w:t>
      </w:r>
      <w:r w:rsidR="00853127" w:rsidRPr="00853127">
        <w:t xml:space="preserve">he results of this paper </w:t>
      </w:r>
      <w:bookmarkStart w:id="3" w:name="_GoBack"/>
      <w:r w:rsidR="00853127" w:rsidRPr="00853127">
        <w:t xml:space="preserve">may attract the interest of policymakers </w:t>
      </w:r>
      <w:r w:rsidR="00853127" w:rsidRPr="00853127">
        <w:lastRenderedPageBreak/>
        <w:t>considering whether or not to limit SWFs’ investments.</w:t>
      </w:r>
      <w:bookmarkEnd w:id="3"/>
    </w:p>
    <w:p w:rsidR="004C2E18" w:rsidRDefault="00853127" w:rsidP="002A2606">
      <w:pPr>
        <w:wordWrap/>
        <w:spacing w:line="400" w:lineRule="exact"/>
        <w:ind w:firstLineChars="200" w:firstLine="480"/>
      </w:pPr>
      <w:r>
        <w:t>A</w:t>
      </w:r>
      <w:r w:rsidR="002A2606">
        <w:t>lthough this paper confirms that the international relations between the two countries have a real impact on SWF's decision-making on foreign investment</w:t>
      </w:r>
      <w:r w:rsidR="00984DD7">
        <w:t>s</w:t>
      </w:r>
      <w:r w:rsidR="002A2606">
        <w:t>, it does not further characterize the dynamic impact between the two countries, which the future research</w:t>
      </w:r>
      <w:r>
        <w:t xml:space="preserve"> will focus on</w:t>
      </w:r>
      <w:r w:rsidR="002A2606">
        <w:t>. In addition, although this study is based on unique micro-data, it still takes an</w:t>
      </w:r>
      <w:r w:rsidR="002A2606" w:rsidRPr="002A2606">
        <w:t xml:space="preserve"> aggregation</w:t>
      </w:r>
      <w:r w:rsidR="002A2606">
        <w:t xml:space="preserve"> in the study. In the future research, SWF</w:t>
      </w:r>
      <w:r>
        <w:t>s</w:t>
      </w:r>
      <w:r w:rsidR="002A2606">
        <w:t xml:space="preserve"> can be further analyzed in the field of foreign investment. Further, in the future research, we can analyze the dat</w:t>
      </w:r>
      <w:r w:rsidR="004F36FA">
        <w:t>a in micro-level to deep analyze the behavior of SWFs.</w:t>
      </w:r>
    </w:p>
    <w:p w:rsidR="004C2E18" w:rsidRDefault="004C2E18" w:rsidP="004C2E18">
      <w:pPr>
        <w:wordWrap/>
        <w:spacing w:line="400" w:lineRule="exact"/>
        <w:ind w:firstLineChars="200" w:firstLine="480"/>
      </w:pPr>
    </w:p>
    <w:p w:rsidR="00AD7040" w:rsidRPr="008C340C" w:rsidRDefault="00AD7040" w:rsidP="004C2E18">
      <w:pPr>
        <w:sectPr w:rsidR="00AD7040" w:rsidRPr="008C340C" w:rsidSect="005C0B23">
          <w:footerReference w:type="default" r:id="rId21"/>
          <w:pgSz w:w="11906" w:h="16838"/>
          <w:pgMar w:top="1440" w:right="1797" w:bottom="1440" w:left="1797" w:header="851" w:footer="992" w:gutter="0"/>
          <w:cols w:space="425"/>
          <w:docGrid w:type="linesAndChars" w:linePitch="312"/>
        </w:sectPr>
      </w:pPr>
    </w:p>
    <w:p w:rsidR="00AD7040" w:rsidRDefault="00110A00" w:rsidP="000E54A1">
      <w:pPr>
        <w:pStyle w:val="2"/>
        <w:jc w:val="center"/>
      </w:pPr>
      <w:r>
        <w:rPr>
          <w:rFonts w:hint="eastAsia"/>
        </w:rPr>
        <w:lastRenderedPageBreak/>
        <w:t>References</w:t>
      </w:r>
    </w:p>
    <w:p w:rsidR="00100CE3" w:rsidRPr="00100CE3" w:rsidRDefault="00AD7040" w:rsidP="00100CE3">
      <w:pPr>
        <w:pStyle w:val="EndNoteBibliography"/>
        <w:ind w:left="720" w:hanging="720"/>
      </w:pPr>
      <w:r>
        <w:fldChar w:fldCharType="begin"/>
      </w:r>
      <w:r>
        <w:instrText xml:space="preserve"> ADDIN EN.REFLIST </w:instrText>
      </w:r>
      <w:r>
        <w:fldChar w:fldCharType="separate"/>
      </w:r>
      <w:r w:rsidR="00100CE3" w:rsidRPr="00100CE3">
        <w:t xml:space="preserve">Addison, T., &amp; Heshmati, A. (2003). </w:t>
      </w:r>
      <w:r w:rsidR="00100CE3" w:rsidRPr="00100CE3">
        <w:rPr>
          <w:i/>
        </w:rPr>
        <w:t>The new global determinants of FDI flows to developing countries: The importance of ICT and democratization</w:t>
      </w:r>
      <w:r w:rsidR="00100CE3" w:rsidRPr="00100CE3">
        <w:t>: WIDER Discussion Papers//World Institute for Development Economics (UNU-WIDER).</w:t>
      </w:r>
    </w:p>
    <w:p w:rsidR="00100CE3" w:rsidRPr="00100CE3" w:rsidRDefault="00100CE3" w:rsidP="00100CE3">
      <w:pPr>
        <w:pStyle w:val="EndNoteBibliography"/>
        <w:ind w:left="720" w:hanging="720"/>
      </w:pPr>
      <w:r w:rsidRPr="00100CE3">
        <w:t xml:space="preserve">Alhashel, B. (2015). Sovereign Wealth Funds: A literature review. </w:t>
      </w:r>
      <w:r w:rsidRPr="00100CE3">
        <w:rPr>
          <w:i/>
        </w:rPr>
        <w:t>Journal of Economics and Business, 78</w:t>
      </w:r>
      <w:r w:rsidRPr="00100CE3">
        <w:t>, 1-13. doi:10.1016/j.jeconbus.2014.10.001</w:t>
      </w:r>
    </w:p>
    <w:p w:rsidR="00100CE3" w:rsidRPr="00100CE3" w:rsidRDefault="00100CE3" w:rsidP="00100CE3">
      <w:pPr>
        <w:pStyle w:val="EndNoteBibliography"/>
        <w:ind w:left="720" w:hanging="720"/>
      </w:pPr>
      <w:r w:rsidRPr="00100CE3">
        <w:t xml:space="preserve">Avendano, R. (2010). Sovereign wealth fund investments: From firm-level preferences to natural endowments. </w:t>
      </w:r>
      <w:r w:rsidRPr="00100CE3">
        <w:rPr>
          <w:i/>
        </w:rPr>
        <w:t>Paris School of Economics Working Paper, 7</w:t>
      </w:r>
      <w:r w:rsidRPr="00100CE3">
        <w:t xml:space="preserve">. </w:t>
      </w:r>
    </w:p>
    <w:p w:rsidR="00100CE3" w:rsidRPr="00100CE3" w:rsidRDefault="00100CE3" w:rsidP="00100CE3">
      <w:pPr>
        <w:pStyle w:val="EndNoteBibliography"/>
        <w:ind w:left="720" w:hanging="720"/>
      </w:pPr>
      <w:r w:rsidRPr="00100CE3">
        <w:t xml:space="preserve">Biglaiser, G., &amp; Staats, J. L. (2010). Do political institutions affect foreign direct investment? A survey of US corporations in Latin America. </w:t>
      </w:r>
      <w:r w:rsidRPr="00100CE3">
        <w:rPr>
          <w:i/>
        </w:rPr>
        <w:t>Political Research Quarterly, 63</w:t>
      </w:r>
      <w:r w:rsidRPr="00100CE3">
        <w:t xml:space="preserve">(3), 508-522. </w:t>
      </w:r>
    </w:p>
    <w:p w:rsidR="00100CE3" w:rsidRPr="00100CE3" w:rsidRDefault="00100CE3" w:rsidP="00100CE3">
      <w:pPr>
        <w:pStyle w:val="EndNoteBibliography"/>
        <w:ind w:left="720" w:hanging="720"/>
      </w:pPr>
      <w:r w:rsidRPr="00100CE3">
        <w:t xml:space="preserve">Boubakri, N., Cosset, J.-C., &amp; Grira, J. (2016). Sovereign wealth funds targets selection: A comparison with pension funds. </w:t>
      </w:r>
      <w:r w:rsidRPr="00100CE3">
        <w:rPr>
          <w:i/>
        </w:rPr>
        <w:t>Journal of International Financial Markets, Institutions and Money, 42</w:t>
      </w:r>
      <w:r w:rsidRPr="00100CE3">
        <w:t xml:space="preserve">, 60-76. </w:t>
      </w:r>
    </w:p>
    <w:p w:rsidR="00100CE3" w:rsidRPr="00100CE3" w:rsidRDefault="00100CE3" w:rsidP="00100CE3">
      <w:pPr>
        <w:pStyle w:val="EndNoteBibliography"/>
        <w:ind w:left="720" w:hanging="720"/>
      </w:pPr>
      <w:r w:rsidRPr="00100CE3">
        <w:t xml:space="preserve">Candelon, B., Kerkour, M., &amp; Lecourt, C. (2011). </w:t>
      </w:r>
      <w:r w:rsidRPr="00100CE3">
        <w:rPr>
          <w:i/>
        </w:rPr>
        <w:t>Are sovereign wealth funds’ investments determined by macroeconomic factors</w:t>
      </w:r>
      <w:r w:rsidRPr="00100CE3">
        <w:t xml:space="preserve">. Retrieved from </w:t>
      </w:r>
    </w:p>
    <w:p w:rsidR="00100CE3" w:rsidRPr="00100CE3" w:rsidRDefault="00100CE3" w:rsidP="00100CE3">
      <w:pPr>
        <w:pStyle w:val="EndNoteBibliography"/>
        <w:ind w:left="720" w:hanging="720"/>
      </w:pPr>
      <w:r w:rsidRPr="00100CE3">
        <w:t xml:space="preserve">Capapé, J., &amp; Guerrero Blanco, T. (2013). More Layers than an Onion: Looking for a Definition of Sovereign Wealth Funds. </w:t>
      </w:r>
    </w:p>
    <w:p w:rsidR="00100CE3" w:rsidRPr="00100CE3" w:rsidRDefault="00100CE3" w:rsidP="00100CE3">
      <w:pPr>
        <w:pStyle w:val="EndNoteBibliography"/>
        <w:ind w:left="720" w:hanging="720"/>
      </w:pPr>
      <w:r w:rsidRPr="00100CE3">
        <w:t xml:space="preserve">Chhaochharia, V., &amp; Laeven, L. (2009). The investment allocation of sovereign wealth funds. </w:t>
      </w:r>
    </w:p>
    <w:p w:rsidR="00100CE3" w:rsidRPr="00100CE3" w:rsidRDefault="00100CE3" w:rsidP="00100CE3">
      <w:pPr>
        <w:pStyle w:val="EndNoteBibliography"/>
        <w:ind w:left="720" w:hanging="720"/>
      </w:pPr>
      <w:r w:rsidRPr="00100CE3">
        <w:t xml:space="preserve">Ciarlone, A., &amp; Miceli, V. (2014). Are Sovereign Wealth Funds contrarian investors? </w:t>
      </w:r>
      <w:r w:rsidRPr="00100CE3">
        <w:rPr>
          <w:i/>
        </w:rPr>
        <w:t>Bank of Italy Temi di Discussione (Working Paper) No, 972</w:t>
      </w:r>
      <w:r w:rsidRPr="00100CE3">
        <w:t xml:space="preserve">. </w:t>
      </w:r>
    </w:p>
    <w:p w:rsidR="00100CE3" w:rsidRPr="00100CE3" w:rsidRDefault="00100CE3" w:rsidP="00100CE3">
      <w:pPr>
        <w:pStyle w:val="EndNoteBibliography"/>
        <w:ind w:left="720" w:hanging="720"/>
      </w:pPr>
      <w:r w:rsidRPr="00100CE3">
        <w:t xml:space="preserve">Debarsy, N., Gnabo, J. Y., &amp; Kerkour, M. (2017). Sovereign wealth funds' cross-border investments: Assessing the role of country-level drivers and spatial competition. </w:t>
      </w:r>
      <w:r w:rsidRPr="00100CE3">
        <w:rPr>
          <w:i/>
        </w:rPr>
        <w:t>Journal of International Money and Finance, 76</w:t>
      </w:r>
      <w:r w:rsidRPr="00100CE3">
        <w:t>, 68-87. doi:10.1016/j.jimonfin.2017.05.007</w:t>
      </w:r>
    </w:p>
    <w:p w:rsidR="00100CE3" w:rsidRPr="00100CE3" w:rsidRDefault="00100CE3" w:rsidP="00100CE3">
      <w:pPr>
        <w:pStyle w:val="EndNoteBibliography"/>
        <w:ind w:left="720" w:hanging="720"/>
      </w:pPr>
      <w:r w:rsidRPr="00100CE3">
        <w:t xml:space="preserve">Dewenter, K. L., Han, X., &amp; Malatesta, P. H. (2010). Firm values and sovereign wealth fund investments. </w:t>
      </w:r>
      <w:r w:rsidRPr="00100CE3">
        <w:rPr>
          <w:i/>
        </w:rPr>
        <w:t>Journal of Financial Economics, 98</w:t>
      </w:r>
      <w:r w:rsidRPr="00100CE3">
        <w:t>(2), 256-278. doi:10.1016/j.jfineco.2010.05.006</w:t>
      </w:r>
    </w:p>
    <w:p w:rsidR="00100CE3" w:rsidRPr="00100CE3" w:rsidRDefault="00100CE3" w:rsidP="00100CE3">
      <w:pPr>
        <w:pStyle w:val="EndNoteBibliography"/>
        <w:ind w:left="720" w:hanging="720"/>
      </w:pPr>
      <w:r w:rsidRPr="00100CE3">
        <w:t xml:space="preserve">Dyck, I., &amp; Morse, A. (2011). Sovereign wealth fund portfolios. </w:t>
      </w:r>
    </w:p>
    <w:p w:rsidR="00100CE3" w:rsidRPr="00100CE3" w:rsidRDefault="00100CE3" w:rsidP="00100CE3">
      <w:pPr>
        <w:pStyle w:val="EndNoteBibliography"/>
        <w:ind w:left="720" w:hanging="720"/>
      </w:pPr>
      <w:r w:rsidRPr="00100CE3">
        <w:t xml:space="preserve">Farrell, D., &amp; Lund, S. (2008). The New Power Brokers. </w:t>
      </w:r>
      <w:r w:rsidRPr="00100CE3">
        <w:rPr>
          <w:i/>
        </w:rPr>
        <w:t>The International Economy, 22</w:t>
      </w:r>
      <w:r w:rsidRPr="00100CE3">
        <w:t xml:space="preserve">(1), 38. </w:t>
      </w:r>
    </w:p>
    <w:p w:rsidR="00100CE3" w:rsidRPr="00100CE3" w:rsidRDefault="00100CE3" w:rsidP="00100CE3">
      <w:pPr>
        <w:pStyle w:val="EndNoteBibliography"/>
        <w:ind w:left="720" w:hanging="720"/>
      </w:pPr>
      <w:r w:rsidRPr="00100CE3">
        <w:t xml:space="preserve">Fotak, V., Gao, X., &amp; Megginson, W. L. (2017). A Financial Force to be Reckoned With? An Overview of Sovereign Wealth Funds. </w:t>
      </w:r>
    </w:p>
    <w:p w:rsidR="00100CE3" w:rsidRPr="00100CE3" w:rsidRDefault="00100CE3" w:rsidP="00100CE3">
      <w:pPr>
        <w:pStyle w:val="EndNoteBibliography"/>
        <w:ind w:left="720" w:hanging="720"/>
      </w:pPr>
      <w:r w:rsidRPr="00100CE3">
        <w:t xml:space="preserve">Gupta, N., &amp; Yu, X. (2007). Does money follow the flag? </w:t>
      </w:r>
    </w:p>
    <w:p w:rsidR="00100CE3" w:rsidRPr="00100CE3" w:rsidRDefault="00100CE3" w:rsidP="00100CE3">
      <w:pPr>
        <w:pStyle w:val="EndNoteBibliography"/>
        <w:ind w:left="720" w:hanging="720"/>
      </w:pPr>
      <w:r w:rsidRPr="00100CE3">
        <w:t xml:space="preserve">Hildebrand, P. M. (2007). </w:t>
      </w:r>
      <w:r w:rsidRPr="00100CE3">
        <w:rPr>
          <w:i/>
        </w:rPr>
        <w:t>The challenge of sovereign wealth funds</w:t>
      </w:r>
      <w:r w:rsidRPr="00100CE3">
        <w:t>: SNB.</w:t>
      </w:r>
    </w:p>
    <w:p w:rsidR="00100CE3" w:rsidRPr="00100CE3" w:rsidRDefault="00100CE3" w:rsidP="00100CE3">
      <w:pPr>
        <w:pStyle w:val="EndNoteBibliography"/>
        <w:ind w:left="720" w:hanging="720"/>
      </w:pPr>
      <w:r w:rsidRPr="00100CE3">
        <w:t xml:space="preserve">Kotter, J., &amp; Lel, U. (2011). Friends or foes? Target selection decisions of sovereign wealth funds and their consequences. </w:t>
      </w:r>
      <w:r w:rsidRPr="00100CE3">
        <w:rPr>
          <w:i/>
        </w:rPr>
        <w:t>Journal of Financial Economics, 101</w:t>
      </w:r>
      <w:r w:rsidRPr="00100CE3">
        <w:t xml:space="preserve">(2), 360-381. </w:t>
      </w:r>
    </w:p>
    <w:p w:rsidR="00100CE3" w:rsidRPr="00100CE3" w:rsidRDefault="00100CE3" w:rsidP="00100CE3">
      <w:pPr>
        <w:pStyle w:val="EndNoteBibliography"/>
        <w:ind w:left="720" w:hanging="720"/>
      </w:pPr>
      <w:r w:rsidRPr="00100CE3">
        <w:t>Li, Q., &amp; Vashchilko, T. (2010). Dyadic military conflict, security alliances, an</w:t>
      </w:r>
      <w:r w:rsidRPr="00100CE3">
        <w:lastRenderedPageBreak/>
        <w:t xml:space="preserve">d bilateral FDI flows. </w:t>
      </w:r>
      <w:r w:rsidRPr="00100CE3">
        <w:rPr>
          <w:i/>
        </w:rPr>
        <w:t>Journal of International Business Studies, 41</w:t>
      </w:r>
      <w:r w:rsidRPr="00100CE3">
        <w:t xml:space="preserve">(5), 765-782. </w:t>
      </w:r>
    </w:p>
    <w:p w:rsidR="00100CE3" w:rsidRPr="00100CE3" w:rsidRDefault="00100CE3" w:rsidP="00100CE3">
      <w:pPr>
        <w:pStyle w:val="EndNoteBibliography"/>
        <w:ind w:left="720" w:hanging="720"/>
      </w:pPr>
      <w:r w:rsidRPr="00100CE3">
        <w:t xml:space="preserve">Mattoo, A., &amp; Subramanian, A. (2009). Currency undervaluation and sovereign wealth funds: a new role for the World Trade Organization. </w:t>
      </w:r>
      <w:r w:rsidRPr="00100CE3">
        <w:rPr>
          <w:i/>
        </w:rPr>
        <w:t>The World Economy, 32</w:t>
      </w:r>
      <w:r w:rsidRPr="00100CE3">
        <w:t xml:space="preserve">(8), 1135-1164. </w:t>
      </w:r>
    </w:p>
    <w:p w:rsidR="00100CE3" w:rsidRPr="00100CE3" w:rsidRDefault="00100CE3" w:rsidP="00100CE3">
      <w:pPr>
        <w:pStyle w:val="EndNoteBibliography"/>
        <w:ind w:left="720" w:hanging="720"/>
      </w:pPr>
      <w:r w:rsidRPr="00100CE3">
        <w:t xml:space="preserve">Megginson, W. L., &amp; Fotak, V. (2015). Rise of the Fiduciary State: A Survey of Sovereign Wealth Fund Research. </w:t>
      </w:r>
      <w:r w:rsidRPr="00100CE3">
        <w:rPr>
          <w:i/>
        </w:rPr>
        <w:t>Journal of Economic Surveys, 29</w:t>
      </w:r>
      <w:r w:rsidRPr="00100CE3">
        <w:t>(4), 733-778. doi:10.1111/joes.12125</w:t>
      </w:r>
    </w:p>
    <w:p w:rsidR="00100CE3" w:rsidRPr="00100CE3" w:rsidRDefault="00100CE3" w:rsidP="00100CE3">
      <w:pPr>
        <w:pStyle w:val="EndNoteBibliography"/>
        <w:ind w:left="720" w:hanging="720"/>
      </w:pPr>
      <w:r w:rsidRPr="00100CE3">
        <w:t xml:space="preserve">Miracky, W., &amp; Bortolotti, B. (2009). Weathering the storm: Sovereign wealth funds in the global economic crisis of 2008. </w:t>
      </w:r>
      <w:r w:rsidRPr="00100CE3">
        <w:rPr>
          <w:i/>
        </w:rPr>
        <w:t>SWF Annual Report 2008</w:t>
      </w:r>
      <w:r w:rsidRPr="00100CE3">
        <w:t xml:space="preserve">. </w:t>
      </w:r>
    </w:p>
    <w:p w:rsidR="00100CE3" w:rsidRPr="00100CE3" w:rsidRDefault="00100CE3" w:rsidP="00100CE3">
      <w:pPr>
        <w:pStyle w:val="EndNoteBibliography"/>
        <w:ind w:left="720" w:hanging="720"/>
      </w:pPr>
      <w:r w:rsidRPr="00100CE3">
        <w:t xml:space="preserve">Murtinu, S., &amp; Scalera, V. G. (2016). Sovereign wealth funds' internationalization strategies: the use of investment vehicles. </w:t>
      </w:r>
      <w:r w:rsidRPr="00100CE3">
        <w:rPr>
          <w:i/>
        </w:rPr>
        <w:t>Journal of International Management, 22</w:t>
      </w:r>
      <w:r w:rsidRPr="00100CE3">
        <w:t xml:space="preserve">(3), 249-264. </w:t>
      </w:r>
    </w:p>
    <w:p w:rsidR="00100CE3" w:rsidRPr="00100CE3" w:rsidRDefault="00100CE3" w:rsidP="00100CE3">
      <w:pPr>
        <w:pStyle w:val="EndNoteBibliography"/>
        <w:ind w:left="720" w:hanging="720"/>
      </w:pPr>
      <w:r w:rsidRPr="00100CE3">
        <w:t xml:space="preserve">Nunes, L. C., Oscátegui Arteta, J. A., &amp; Peschiera, J. (2006). Determinants of FDI in Latin America. </w:t>
      </w:r>
    </w:p>
    <w:p w:rsidR="00100CE3" w:rsidRPr="00100CE3" w:rsidRDefault="00100CE3" w:rsidP="00100CE3">
      <w:pPr>
        <w:pStyle w:val="EndNoteBibliography"/>
        <w:ind w:left="720" w:hanging="720"/>
      </w:pPr>
      <w:r w:rsidRPr="00100CE3">
        <w:t xml:space="preserve">Rozanov, A. (2005). Who holds the wealth of nations. </w:t>
      </w:r>
      <w:r w:rsidRPr="00100CE3">
        <w:rPr>
          <w:i/>
        </w:rPr>
        <w:t>Central Banking Journal, 15</w:t>
      </w:r>
      <w:r w:rsidRPr="00100CE3">
        <w:t xml:space="preserve">(4), 52-57. </w:t>
      </w:r>
    </w:p>
    <w:p w:rsidR="00100CE3" w:rsidRPr="00100CE3" w:rsidRDefault="00100CE3" w:rsidP="00100CE3">
      <w:pPr>
        <w:pStyle w:val="EndNoteBibliography"/>
        <w:ind w:left="720" w:hanging="720"/>
      </w:pPr>
      <w:r w:rsidRPr="00100CE3">
        <w:t xml:space="preserve">Vijayakumar, N., Sridharan, P., &amp; Rao, K. C. S. (2010). Determinants of FDI in BRICS Countries: A panel analysis. </w:t>
      </w:r>
      <w:r w:rsidRPr="00100CE3">
        <w:rPr>
          <w:i/>
        </w:rPr>
        <w:t>International Journal of Business Science &amp; Applied Management (IJBSAM), 5</w:t>
      </w:r>
      <w:r w:rsidRPr="00100CE3">
        <w:t xml:space="preserve">(3), 1-13. </w:t>
      </w:r>
    </w:p>
    <w:p w:rsidR="009F2AF6" w:rsidRPr="004C2E18" w:rsidRDefault="00AD7040" w:rsidP="00D13E3F">
      <w:pPr>
        <w:wordWrap/>
        <w:ind w:left="480" w:hangingChars="200" w:hanging="480"/>
      </w:pPr>
      <w:r>
        <w:fldChar w:fldCharType="end"/>
      </w:r>
    </w:p>
    <w:sectPr w:rsidR="009F2AF6" w:rsidRPr="004C2E18" w:rsidSect="005C0B23">
      <w:pgSz w:w="11906" w:h="16838"/>
      <w:pgMar w:top="1440" w:right="1800" w:bottom="1440" w:left="180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5AF" w:rsidRDefault="00B105AF" w:rsidP="004C2E18">
      <w:r>
        <w:separator/>
      </w:r>
    </w:p>
  </w:endnote>
  <w:endnote w:type="continuationSeparator" w:id="0">
    <w:p w:rsidR="00B105AF" w:rsidRDefault="00B105AF" w:rsidP="004C2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18212"/>
      <w:docPartObj>
        <w:docPartGallery w:val="Page Numbers (Bottom of Page)"/>
        <w:docPartUnique/>
      </w:docPartObj>
    </w:sdtPr>
    <w:sdtEndPr/>
    <w:sdtContent>
      <w:p w:rsidR="008E1994" w:rsidRDefault="008E1994">
        <w:pPr>
          <w:pStyle w:val="aa"/>
          <w:jc w:val="center"/>
        </w:pPr>
        <w:r>
          <w:fldChar w:fldCharType="begin"/>
        </w:r>
        <w:r>
          <w:instrText>PAGE   \* MERGEFORMAT</w:instrText>
        </w:r>
        <w:r>
          <w:fldChar w:fldCharType="separate"/>
        </w:r>
        <w:r w:rsidR="00B84EE7" w:rsidRPr="00B84EE7">
          <w:rPr>
            <w:noProof/>
            <w:lang w:val="zh-CN"/>
          </w:rPr>
          <w:t>16</w:t>
        </w:r>
        <w:r>
          <w:fldChar w:fldCharType="end"/>
        </w:r>
      </w:p>
    </w:sdtContent>
  </w:sdt>
  <w:p w:rsidR="008E1994" w:rsidRDefault="008E1994">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5AF" w:rsidRDefault="00B105AF" w:rsidP="004C2E18">
      <w:r>
        <w:separator/>
      </w:r>
    </w:p>
  </w:footnote>
  <w:footnote w:type="continuationSeparator" w:id="0">
    <w:p w:rsidR="00B105AF" w:rsidRDefault="00B105AF" w:rsidP="004C2E18">
      <w:r>
        <w:continuationSeparator/>
      </w:r>
    </w:p>
  </w:footnote>
  <w:footnote w:id="1">
    <w:p w:rsidR="008E1994" w:rsidRDefault="008E1994" w:rsidP="00D62A32">
      <w:pPr>
        <w:pStyle w:val="a3"/>
        <w:wordWrap/>
      </w:pPr>
      <w:r w:rsidRPr="00D62A32">
        <w:rPr>
          <w:rStyle w:val="a5"/>
          <w:sz w:val="20"/>
        </w:rPr>
        <w:footnoteRef/>
      </w:r>
      <w:r w:rsidRPr="00D62A32">
        <w:rPr>
          <w:sz w:val="20"/>
        </w:rPr>
        <w:t xml:space="preserve"> Corresponding author, Email: </w:t>
      </w:r>
      <w:hyperlink r:id="rId1" w:history="1">
        <w:r w:rsidRPr="00D62A32">
          <w:rPr>
            <w:rStyle w:val="a6"/>
            <w:sz w:val="20"/>
          </w:rPr>
          <w:t>changhd.15@pbcsf.tsinghua.edu.cn</w:t>
        </w:r>
      </w:hyperlink>
      <w:r w:rsidRPr="00D62A32">
        <w:rPr>
          <w:sz w:val="20"/>
        </w:rPr>
        <w:t xml:space="preserve">; Address: No.43 </w:t>
      </w:r>
      <w:proofErr w:type="spellStart"/>
      <w:r w:rsidRPr="00D62A32">
        <w:rPr>
          <w:sz w:val="20"/>
        </w:rPr>
        <w:t>Chengfu</w:t>
      </w:r>
      <w:proofErr w:type="spellEnd"/>
      <w:r w:rsidRPr="00D62A32">
        <w:rPr>
          <w:sz w:val="20"/>
        </w:rPr>
        <w:t xml:space="preserve"> Road, </w:t>
      </w:r>
      <w:proofErr w:type="spellStart"/>
      <w:r w:rsidRPr="00D62A32">
        <w:rPr>
          <w:sz w:val="20"/>
        </w:rPr>
        <w:t>Haidian</w:t>
      </w:r>
      <w:proofErr w:type="spellEnd"/>
      <w:r w:rsidRPr="00D62A32">
        <w:rPr>
          <w:sz w:val="20"/>
        </w:rPr>
        <w:t xml:space="preserve"> District, Beijing China</w:t>
      </w:r>
    </w:p>
  </w:footnote>
  <w:footnote w:id="2">
    <w:p w:rsidR="008E1994" w:rsidRPr="00176FCB" w:rsidRDefault="008E1994">
      <w:pPr>
        <w:pStyle w:val="a3"/>
      </w:pPr>
      <w:r>
        <w:rPr>
          <w:rStyle w:val="a5"/>
        </w:rPr>
        <w:footnoteRef/>
      </w:r>
      <w:r>
        <w:t xml:space="preserve"> data source: SWF Institute</w:t>
      </w:r>
    </w:p>
  </w:footnote>
  <w:footnote w:id="3">
    <w:p w:rsidR="008E1994" w:rsidRPr="00610F62" w:rsidRDefault="008E1994">
      <w:pPr>
        <w:pStyle w:val="a3"/>
      </w:pPr>
      <w:r>
        <w:rPr>
          <w:rStyle w:val="a5"/>
        </w:rPr>
        <w:footnoteRef/>
      </w:r>
      <w:r>
        <w:t xml:space="preserve"> Detailed data sheets are not displayed because of the limited characters and are </w:t>
      </w:r>
      <w:r w:rsidRPr="00610F62">
        <w:t>available upon request</w:t>
      </w:r>
    </w:p>
  </w:footnote>
  <w:footnote w:id="4">
    <w:p w:rsidR="008E1994" w:rsidRPr="0097360A" w:rsidRDefault="008E1994">
      <w:pPr>
        <w:pStyle w:val="a3"/>
      </w:pPr>
      <w:r>
        <w:rPr>
          <w:rStyle w:val="a5"/>
        </w:rPr>
        <w:footnoteRef/>
      </w:r>
      <w:r>
        <w:t xml:space="preserve"> </w:t>
      </w:r>
      <w:r>
        <w:rPr>
          <w:rFonts w:hint="eastAsia"/>
        </w:rPr>
        <w:t>T</w:t>
      </w:r>
      <w:r w:rsidRPr="0097360A">
        <w:t xml:space="preserve">he authors </w:t>
      </w:r>
      <w:r>
        <w:t xml:space="preserve">have tried to </w:t>
      </w:r>
      <w:r w:rsidRPr="0097360A">
        <w:t>add random effects and use clustering standard errors. The results are similar.</w:t>
      </w:r>
    </w:p>
  </w:footnote>
  <w:footnote w:id="5">
    <w:p w:rsidR="008E1994" w:rsidRDefault="008E1994" w:rsidP="008F152C">
      <w:pPr>
        <w:pStyle w:val="a3"/>
      </w:pPr>
      <w:r>
        <w:rPr>
          <w:rStyle w:val="a5"/>
        </w:rPr>
        <w:footnoteRef/>
      </w:r>
      <w:r>
        <w:t xml:space="preserve"> Results are not reported but are available upon request.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97B"/>
    <w:multiLevelType w:val="multilevel"/>
    <w:tmpl w:val="F64A170C"/>
    <w:lvl w:ilvl="0">
      <w:start w:val="1"/>
      <w:numFmt w:val="decimal"/>
      <w:lvlText w:val="第%1章"/>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1B12212"/>
    <w:multiLevelType w:val="multilevel"/>
    <w:tmpl w:val="F64A170C"/>
    <w:lvl w:ilvl="0">
      <w:start w:val="1"/>
      <w:numFmt w:val="decimal"/>
      <w:lvlText w:val="第%1章"/>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5276BEA"/>
    <w:multiLevelType w:val="hybridMultilevel"/>
    <w:tmpl w:val="7EEA7B4E"/>
    <w:lvl w:ilvl="0" w:tplc="4EAEBD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5DE5456"/>
    <w:multiLevelType w:val="hybridMultilevel"/>
    <w:tmpl w:val="F63E2E84"/>
    <w:lvl w:ilvl="0" w:tplc="F9B2B4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CFB23A0"/>
    <w:multiLevelType w:val="hybridMultilevel"/>
    <w:tmpl w:val="415CF2F2"/>
    <w:lvl w:ilvl="0" w:tplc="BEA2E1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D2A4899"/>
    <w:multiLevelType w:val="multilevel"/>
    <w:tmpl w:val="F64A170C"/>
    <w:lvl w:ilvl="0">
      <w:start w:val="1"/>
      <w:numFmt w:val="decimal"/>
      <w:lvlText w:val="第%1章"/>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0FB96F9E"/>
    <w:multiLevelType w:val="multilevel"/>
    <w:tmpl w:val="F64A170C"/>
    <w:lvl w:ilvl="0">
      <w:start w:val="1"/>
      <w:numFmt w:val="decimal"/>
      <w:lvlText w:val="第%1章"/>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165B64B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1C1160BF"/>
    <w:multiLevelType w:val="hybridMultilevel"/>
    <w:tmpl w:val="85E4145A"/>
    <w:lvl w:ilvl="0" w:tplc="CEE01456">
      <w:start w:val="1"/>
      <w:numFmt w:val="decimal"/>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9" w15:restartNumberingAfterBreak="0">
    <w:nsid w:val="1CB61629"/>
    <w:multiLevelType w:val="hybridMultilevel"/>
    <w:tmpl w:val="78640130"/>
    <w:lvl w:ilvl="0" w:tplc="ECCC1106">
      <w:start w:val="1"/>
      <w:numFmt w:val="decimal"/>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10" w15:restartNumberingAfterBreak="0">
    <w:nsid w:val="1FE70C0E"/>
    <w:multiLevelType w:val="hybridMultilevel"/>
    <w:tmpl w:val="EEE21E3A"/>
    <w:lvl w:ilvl="0" w:tplc="1BB2BB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25A0F68"/>
    <w:multiLevelType w:val="multilevel"/>
    <w:tmpl w:val="F64A170C"/>
    <w:lvl w:ilvl="0">
      <w:start w:val="1"/>
      <w:numFmt w:val="decimal"/>
      <w:lvlText w:val="第%1章"/>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235070C1"/>
    <w:multiLevelType w:val="multilevel"/>
    <w:tmpl w:val="F64A170C"/>
    <w:lvl w:ilvl="0">
      <w:start w:val="1"/>
      <w:numFmt w:val="decimal"/>
      <w:lvlText w:val="第%1章"/>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2D833A78"/>
    <w:multiLevelType w:val="multilevel"/>
    <w:tmpl w:val="F64A170C"/>
    <w:lvl w:ilvl="0">
      <w:start w:val="1"/>
      <w:numFmt w:val="decimal"/>
      <w:lvlText w:val="第%1章"/>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30380746"/>
    <w:multiLevelType w:val="multilevel"/>
    <w:tmpl w:val="F64A170C"/>
    <w:lvl w:ilvl="0">
      <w:start w:val="1"/>
      <w:numFmt w:val="decimal"/>
      <w:lvlText w:val="第%1章"/>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31FC4595"/>
    <w:multiLevelType w:val="multilevel"/>
    <w:tmpl w:val="F64A170C"/>
    <w:lvl w:ilvl="0">
      <w:start w:val="1"/>
      <w:numFmt w:val="decimal"/>
      <w:lvlText w:val="第%1章"/>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3F4324E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15:restartNumberingAfterBreak="0">
    <w:nsid w:val="404F6921"/>
    <w:multiLevelType w:val="multilevel"/>
    <w:tmpl w:val="F64A170C"/>
    <w:lvl w:ilvl="0">
      <w:start w:val="1"/>
      <w:numFmt w:val="decimal"/>
      <w:lvlText w:val="第%1章"/>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469504A0"/>
    <w:multiLevelType w:val="hybridMultilevel"/>
    <w:tmpl w:val="6846C1C8"/>
    <w:lvl w:ilvl="0" w:tplc="F15E4A3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15:restartNumberingAfterBreak="0">
    <w:nsid w:val="46AB5968"/>
    <w:multiLevelType w:val="multilevel"/>
    <w:tmpl w:val="F64A170C"/>
    <w:lvl w:ilvl="0">
      <w:start w:val="1"/>
      <w:numFmt w:val="decimal"/>
      <w:lvlText w:val="第%1章"/>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48B21C60"/>
    <w:multiLevelType w:val="multilevel"/>
    <w:tmpl w:val="F64A170C"/>
    <w:lvl w:ilvl="0">
      <w:start w:val="1"/>
      <w:numFmt w:val="decimal"/>
      <w:lvlText w:val="第%1章"/>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495C0B0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2" w15:restartNumberingAfterBreak="0">
    <w:nsid w:val="496F594D"/>
    <w:multiLevelType w:val="multilevel"/>
    <w:tmpl w:val="F64A170C"/>
    <w:lvl w:ilvl="0">
      <w:start w:val="1"/>
      <w:numFmt w:val="decimal"/>
      <w:lvlText w:val="第%1章"/>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49B5789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4" w15:restartNumberingAfterBreak="0">
    <w:nsid w:val="4C6D4360"/>
    <w:multiLevelType w:val="multilevel"/>
    <w:tmpl w:val="F64A170C"/>
    <w:lvl w:ilvl="0">
      <w:start w:val="1"/>
      <w:numFmt w:val="decimal"/>
      <w:lvlText w:val="第%1章"/>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50AC1283"/>
    <w:multiLevelType w:val="multilevel"/>
    <w:tmpl w:val="F64A170C"/>
    <w:lvl w:ilvl="0">
      <w:start w:val="1"/>
      <w:numFmt w:val="decimal"/>
      <w:lvlText w:val="第%1章"/>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51200BF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7" w15:restartNumberingAfterBreak="0">
    <w:nsid w:val="52A07F2E"/>
    <w:multiLevelType w:val="multilevel"/>
    <w:tmpl w:val="F64A170C"/>
    <w:lvl w:ilvl="0">
      <w:start w:val="1"/>
      <w:numFmt w:val="decimal"/>
      <w:lvlText w:val="第%1章"/>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541B5998"/>
    <w:multiLevelType w:val="multilevel"/>
    <w:tmpl w:val="F64A170C"/>
    <w:lvl w:ilvl="0">
      <w:start w:val="1"/>
      <w:numFmt w:val="decimal"/>
      <w:lvlText w:val="第%1章"/>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54E52E01"/>
    <w:multiLevelType w:val="hybridMultilevel"/>
    <w:tmpl w:val="BBD8EF08"/>
    <w:lvl w:ilvl="0" w:tplc="ECCC1106">
      <w:start w:val="1"/>
      <w:numFmt w:val="decimal"/>
      <w:lvlText w:val="%1."/>
      <w:lvlJc w:val="left"/>
      <w:pPr>
        <w:ind w:left="502"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30" w15:restartNumberingAfterBreak="0">
    <w:nsid w:val="5CF84D5C"/>
    <w:multiLevelType w:val="multilevel"/>
    <w:tmpl w:val="F64A170C"/>
    <w:lvl w:ilvl="0">
      <w:start w:val="1"/>
      <w:numFmt w:val="decimal"/>
      <w:lvlText w:val="第%1章"/>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15:restartNumberingAfterBreak="0">
    <w:nsid w:val="64B70E00"/>
    <w:multiLevelType w:val="multilevel"/>
    <w:tmpl w:val="F64A170C"/>
    <w:lvl w:ilvl="0">
      <w:start w:val="1"/>
      <w:numFmt w:val="decimal"/>
      <w:lvlText w:val="第%1章"/>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695C2B55"/>
    <w:multiLevelType w:val="multilevel"/>
    <w:tmpl w:val="F64A170C"/>
    <w:lvl w:ilvl="0">
      <w:start w:val="1"/>
      <w:numFmt w:val="decimal"/>
      <w:lvlText w:val="第%1章"/>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3" w15:restartNumberingAfterBreak="0">
    <w:nsid w:val="6B0D1510"/>
    <w:multiLevelType w:val="multilevel"/>
    <w:tmpl w:val="F64A170C"/>
    <w:lvl w:ilvl="0">
      <w:start w:val="1"/>
      <w:numFmt w:val="decimal"/>
      <w:lvlText w:val="第%1章"/>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4" w15:restartNumberingAfterBreak="0">
    <w:nsid w:val="6DA47650"/>
    <w:multiLevelType w:val="multilevel"/>
    <w:tmpl w:val="F64A170C"/>
    <w:lvl w:ilvl="0">
      <w:start w:val="1"/>
      <w:numFmt w:val="decimal"/>
      <w:lvlText w:val="第%1章"/>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5" w15:restartNumberingAfterBreak="0">
    <w:nsid w:val="6F380A05"/>
    <w:multiLevelType w:val="multilevel"/>
    <w:tmpl w:val="F64A170C"/>
    <w:lvl w:ilvl="0">
      <w:start w:val="1"/>
      <w:numFmt w:val="decimal"/>
      <w:lvlText w:val="第%1章"/>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 w15:restartNumberingAfterBreak="0">
    <w:nsid w:val="703D2565"/>
    <w:multiLevelType w:val="hybridMultilevel"/>
    <w:tmpl w:val="A280B86A"/>
    <w:lvl w:ilvl="0" w:tplc="BEA2E1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4194537"/>
    <w:multiLevelType w:val="multilevel"/>
    <w:tmpl w:val="F64A170C"/>
    <w:lvl w:ilvl="0">
      <w:start w:val="1"/>
      <w:numFmt w:val="decimal"/>
      <w:lvlText w:val="第%1章"/>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8" w15:restartNumberingAfterBreak="0">
    <w:nsid w:val="751904DC"/>
    <w:multiLevelType w:val="hybridMultilevel"/>
    <w:tmpl w:val="78640130"/>
    <w:lvl w:ilvl="0" w:tplc="ECCC1106">
      <w:start w:val="1"/>
      <w:numFmt w:val="decimal"/>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39" w15:restartNumberingAfterBreak="0">
    <w:nsid w:val="757F5984"/>
    <w:multiLevelType w:val="hybridMultilevel"/>
    <w:tmpl w:val="85E4145A"/>
    <w:lvl w:ilvl="0" w:tplc="CEE01456">
      <w:start w:val="1"/>
      <w:numFmt w:val="decimal"/>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40" w15:restartNumberingAfterBreak="0">
    <w:nsid w:val="75807136"/>
    <w:multiLevelType w:val="multilevel"/>
    <w:tmpl w:val="F64A170C"/>
    <w:lvl w:ilvl="0">
      <w:start w:val="1"/>
      <w:numFmt w:val="decimal"/>
      <w:lvlText w:val="第%1章"/>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1" w15:restartNumberingAfterBreak="0">
    <w:nsid w:val="799A4D22"/>
    <w:multiLevelType w:val="multilevel"/>
    <w:tmpl w:val="F64A170C"/>
    <w:lvl w:ilvl="0">
      <w:start w:val="1"/>
      <w:numFmt w:val="decimal"/>
      <w:lvlText w:val="第%1章"/>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2" w15:restartNumberingAfterBreak="0">
    <w:nsid w:val="79F61DF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3" w15:restartNumberingAfterBreak="0">
    <w:nsid w:val="7A625DDF"/>
    <w:multiLevelType w:val="hybridMultilevel"/>
    <w:tmpl w:val="E04C56EC"/>
    <w:lvl w:ilvl="0" w:tplc="4874F5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AB959E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5" w15:restartNumberingAfterBreak="0">
    <w:nsid w:val="7BE60B6A"/>
    <w:multiLevelType w:val="multilevel"/>
    <w:tmpl w:val="F64A170C"/>
    <w:lvl w:ilvl="0">
      <w:start w:val="1"/>
      <w:numFmt w:val="decimal"/>
      <w:lvlText w:val="第%1章"/>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42"/>
  </w:num>
  <w:num w:numId="2">
    <w:abstractNumId w:val="16"/>
  </w:num>
  <w:num w:numId="3">
    <w:abstractNumId w:val="18"/>
  </w:num>
  <w:num w:numId="4">
    <w:abstractNumId w:val="21"/>
  </w:num>
  <w:num w:numId="5">
    <w:abstractNumId w:val="26"/>
  </w:num>
  <w:num w:numId="6">
    <w:abstractNumId w:val="14"/>
  </w:num>
  <w:num w:numId="7">
    <w:abstractNumId w:val="44"/>
  </w:num>
  <w:num w:numId="8">
    <w:abstractNumId w:val="7"/>
  </w:num>
  <w:num w:numId="9">
    <w:abstractNumId w:val="23"/>
  </w:num>
  <w:num w:numId="10">
    <w:abstractNumId w:val="20"/>
  </w:num>
  <w:num w:numId="11">
    <w:abstractNumId w:val="11"/>
  </w:num>
  <w:num w:numId="12">
    <w:abstractNumId w:val="6"/>
  </w:num>
  <w:num w:numId="13">
    <w:abstractNumId w:val="33"/>
  </w:num>
  <w:num w:numId="14">
    <w:abstractNumId w:val="24"/>
  </w:num>
  <w:num w:numId="15">
    <w:abstractNumId w:val="28"/>
  </w:num>
  <w:num w:numId="16">
    <w:abstractNumId w:val="39"/>
  </w:num>
  <w:num w:numId="17">
    <w:abstractNumId w:val="0"/>
  </w:num>
  <w:num w:numId="18">
    <w:abstractNumId w:val="27"/>
  </w:num>
  <w:num w:numId="19">
    <w:abstractNumId w:val="22"/>
  </w:num>
  <w:num w:numId="20">
    <w:abstractNumId w:val="8"/>
  </w:num>
  <w:num w:numId="21">
    <w:abstractNumId w:val="31"/>
  </w:num>
  <w:num w:numId="22">
    <w:abstractNumId w:val="17"/>
  </w:num>
  <w:num w:numId="23">
    <w:abstractNumId w:val="35"/>
  </w:num>
  <w:num w:numId="24">
    <w:abstractNumId w:val="13"/>
  </w:num>
  <w:num w:numId="25">
    <w:abstractNumId w:val="41"/>
  </w:num>
  <w:num w:numId="26">
    <w:abstractNumId w:val="19"/>
  </w:num>
  <w:num w:numId="27">
    <w:abstractNumId w:val="37"/>
  </w:num>
  <w:num w:numId="28">
    <w:abstractNumId w:val="25"/>
  </w:num>
  <w:num w:numId="29">
    <w:abstractNumId w:val="43"/>
  </w:num>
  <w:num w:numId="30">
    <w:abstractNumId w:val="3"/>
  </w:num>
  <w:num w:numId="31">
    <w:abstractNumId w:val="32"/>
  </w:num>
  <w:num w:numId="32">
    <w:abstractNumId w:val="30"/>
  </w:num>
  <w:num w:numId="33">
    <w:abstractNumId w:val="15"/>
  </w:num>
  <w:num w:numId="34">
    <w:abstractNumId w:val="12"/>
  </w:num>
  <w:num w:numId="35">
    <w:abstractNumId w:val="5"/>
  </w:num>
  <w:num w:numId="36">
    <w:abstractNumId w:val="45"/>
  </w:num>
  <w:num w:numId="37">
    <w:abstractNumId w:val="1"/>
  </w:num>
  <w:num w:numId="38">
    <w:abstractNumId w:val="2"/>
  </w:num>
  <w:num w:numId="39">
    <w:abstractNumId w:val="10"/>
  </w:num>
  <w:num w:numId="40">
    <w:abstractNumId w:val="29"/>
  </w:num>
  <w:num w:numId="41">
    <w:abstractNumId w:val="38"/>
  </w:num>
  <w:num w:numId="42">
    <w:abstractNumId w:val="9"/>
  </w:num>
  <w:num w:numId="43">
    <w:abstractNumId w:val="34"/>
  </w:num>
  <w:num w:numId="44">
    <w:abstractNumId w:val="40"/>
  </w:num>
  <w:num w:numId="45">
    <w:abstractNumId w:val="4"/>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9p992av6fr0zjepzxpxrf2h9vve0w099a5w&quot;&gt;My EndNote Library&lt;record-ids&gt;&lt;item&gt;25&lt;/item&gt;&lt;item&gt;35&lt;/item&gt;&lt;item&gt;62&lt;/item&gt;&lt;item&gt;66&lt;/item&gt;&lt;item&gt;70&lt;/item&gt;&lt;item&gt;72&lt;/item&gt;&lt;item&gt;77&lt;/item&gt;&lt;item&gt;704&lt;/item&gt;&lt;item&gt;709&lt;/item&gt;&lt;item&gt;742&lt;/item&gt;&lt;item&gt;755&lt;/item&gt;&lt;item&gt;765&lt;/item&gt;&lt;item&gt;793&lt;/item&gt;&lt;item&gt;880&lt;/item&gt;&lt;item&gt;882&lt;/item&gt;&lt;item&gt;883&lt;/item&gt;&lt;item&gt;898&lt;/item&gt;&lt;item&gt;899&lt;/item&gt;&lt;item&gt;900&lt;/item&gt;&lt;item&gt;901&lt;/item&gt;&lt;item&gt;909&lt;/item&gt;&lt;item&gt;910&lt;/item&gt;&lt;item&gt;911&lt;/item&gt;&lt;item&gt;912&lt;/item&gt;&lt;item&gt;915&lt;/item&gt;&lt;/record-ids&gt;&lt;/item&gt;&lt;/Libraries&gt;"/>
  </w:docVars>
  <w:rsids>
    <w:rsidRoot w:val="004C2E18"/>
    <w:rsid w:val="00012E45"/>
    <w:rsid w:val="000552AC"/>
    <w:rsid w:val="00071E25"/>
    <w:rsid w:val="00091EE1"/>
    <w:rsid w:val="000A61A4"/>
    <w:rsid w:val="000B6352"/>
    <w:rsid w:val="000D4E3C"/>
    <w:rsid w:val="000E54A1"/>
    <w:rsid w:val="000E659C"/>
    <w:rsid w:val="000F09A6"/>
    <w:rsid w:val="000F20CB"/>
    <w:rsid w:val="000F2DC0"/>
    <w:rsid w:val="000F7859"/>
    <w:rsid w:val="00100CE3"/>
    <w:rsid w:val="001104EC"/>
    <w:rsid w:val="00110A00"/>
    <w:rsid w:val="001334CC"/>
    <w:rsid w:val="00141858"/>
    <w:rsid w:val="001431BD"/>
    <w:rsid w:val="00151820"/>
    <w:rsid w:val="0015238C"/>
    <w:rsid w:val="001614A3"/>
    <w:rsid w:val="00176FCB"/>
    <w:rsid w:val="00182981"/>
    <w:rsid w:val="0018445B"/>
    <w:rsid w:val="0019178D"/>
    <w:rsid w:val="00196F58"/>
    <w:rsid w:val="001C26F4"/>
    <w:rsid w:val="001D04AB"/>
    <w:rsid w:val="001D0B69"/>
    <w:rsid w:val="001D14C4"/>
    <w:rsid w:val="001D4EF6"/>
    <w:rsid w:val="001D6602"/>
    <w:rsid w:val="001E46FD"/>
    <w:rsid w:val="001F186B"/>
    <w:rsid w:val="002168C9"/>
    <w:rsid w:val="00217F98"/>
    <w:rsid w:val="00252DE0"/>
    <w:rsid w:val="00257C02"/>
    <w:rsid w:val="002928C5"/>
    <w:rsid w:val="002A2606"/>
    <w:rsid w:val="002C7A19"/>
    <w:rsid w:val="002D10BE"/>
    <w:rsid w:val="002D13AF"/>
    <w:rsid w:val="002D2C73"/>
    <w:rsid w:val="002D342C"/>
    <w:rsid w:val="002D34C6"/>
    <w:rsid w:val="002D441D"/>
    <w:rsid w:val="002E6149"/>
    <w:rsid w:val="002F0711"/>
    <w:rsid w:val="002F2DA2"/>
    <w:rsid w:val="00300A1B"/>
    <w:rsid w:val="00325ADE"/>
    <w:rsid w:val="00326044"/>
    <w:rsid w:val="00333F25"/>
    <w:rsid w:val="00347E9F"/>
    <w:rsid w:val="003543A2"/>
    <w:rsid w:val="003549B7"/>
    <w:rsid w:val="00356635"/>
    <w:rsid w:val="00357D94"/>
    <w:rsid w:val="00357EB1"/>
    <w:rsid w:val="00360156"/>
    <w:rsid w:val="00376FAC"/>
    <w:rsid w:val="00383AD6"/>
    <w:rsid w:val="00386BDE"/>
    <w:rsid w:val="003A3A25"/>
    <w:rsid w:val="003B78B9"/>
    <w:rsid w:val="003D000D"/>
    <w:rsid w:val="003D114B"/>
    <w:rsid w:val="003E1299"/>
    <w:rsid w:val="003E1F3A"/>
    <w:rsid w:val="003E46BC"/>
    <w:rsid w:val="003E7A01"/>
    <w:rsid w:val="003F038D"/>
    <w:rsid w:val="003F7296"/>
    <w:rsid w:val="00412A62"/>
    <w:rsid w:val="0041393C"/>
    <w:rsid w:val="00420833"/>
    <w:rsid w:val="00436920"/>
    <w:rsid w:val="00446875"/>
    <w:rsid w:val="00454982"/>
    <w:rsid w:val="004659A9"/>
    <w:rsid w:val="0047219C"/>
    <w:rsid w:val="004769DE"/>
    <w:rsid w:val="004902F6"/>
    <w:rsid w:val="004A048D"/>
    <w:rsid w:val="004A3597"/>
    <w:rsid w:val="004A49B8"/>
    <w:rsid w:val="004B3C95"/>
    <w:rsid w:val="004C2E18"/>
    <w:rsid w:val="004D25D0"/>
    <w:rsid w:val="004E7B16"/>
    <w:rsid w:val="004F36FA"/>
    <w:rsid w:val="004F7FC1"/>
    <w:rsid w:val="00504B09"/>
    <w:rsid w:val="005137C9"/>
    <w:rsid w:val="00522514"/>
    <w:rsid w:val="005411A7"/>
    <w:rsid w:val="00543559"/>
    <w:rsid w:val="00543C3B"/>
    <w:rsid w:val="00546D48"/>
    <w:rsid w:val="0055431B"/>
    <w:rsid w:val="00562D3F"/>
    <w:rsid w:val="005713ED"/>
    <w:rsid w:val="00574590"/>
    <w:rsid w:val="00581FE7"/>
    <w:rsid w:val="005828BA"/>
    <w:rsid w:val="00584319"/>
    <w:rsid w:val="00587615"/>
    <w:rsid w:val="005903E5"/>
    <w:rsid w:val="0059409B"/>
    <w:rsid w:val="005A6037"/>
    <w:rsid w:val="005C0B23"/>
    <w:rsid w:val="005C5133"/>
    <w:rsid w:val="005C558E"/>
    <w:rsid w:val="005D7EF1"/>
    <w:rsid w:val="005E04EA"/>
    <w:rsid w:val="0060692A"/>
    <w:rsid w:val="00610F62"/>
    <w:rsid w:val="00611122"/>
    <w:rsid w:val="00613BC4"/>
    <w:rsid w:val="0064203E"/>
    <w:rsid w:val="00662212"/>
    <w:rsid w:val="00663A7A"/>
    <w:rsid w:val="00674CAB"/>
    <w:rsid w:val="00675A02"/>
    <w:rsid w:val="00680EE5"/>
    <w:rsid w:val="00683D77"/>
    <w:rsid w:val="006C5ADB"/>
    <w:rsid w:val="006D3FE4"/>
    <w:rsid w:val="006E255B"/>
    <w:rsid w:val="006E73D4"/>
    <w:rsid w:val="006F39B4"/>
    <w:rsid w:val="0071150A"/>
    <w:rsid w:val="00735162"/>
    <w:rsid w:val="00742032"/>
    <w:rsid w:val="00743173"/>
    <w:rsid w:val="007456BF"/>
    <w:rsid w:val="00750613"/>
    <w:rsid w:val="007518F2"/>
    <w:rsid w:val="0076225E"/>
    <w:rsid w:val="00764FE8"/>
    <w:rsid w:val="00772C49"/>
    <w:rsid w:val="007740D6"/>
    <w:rsid w:val="0078506C"/>
    <w:rsid w:val="007861D4"/>
    <w:rsid w:val="007A4E80"/>
    <w:rsid w:val="007A6E9C"/>
    <w:rsid w:val="007A72DE"/>
    <w:rsid w:val="007C0E3C"/>
    <w:rsid w:val="007D5872"/>
    <w:rsid w:val="007D5F12"/>
    <w:rsid w:val="007E3D8D"/>
    <w:rsid w:val="007E40C0"/>
    <w:rsid w:val="007F3A96"/>
    <w:rsid w:val="00812504"/>
    <w:rsid w:val="00814C6C"/>
    <w:rsid w:val="00821FEA"/>
    <w:rsid w:val="0082555E"/>
    <w:rsid w:val="00825B91"/>
    <w:rsid w:val="00826F42"/>
    <w:rsid w:val="00853127"/>
    <w:rsid w:val="00853598"/>
    <w:rsid w:val="00856569"/>
    <w:rsid w:val="00872EE7"/>
    <w:rsid w:val="008752F9"/>
    <w:rsid w:val="00883E8E"/>
    <w:rsid w:val="00895108"/>
    <w:rsid w:val="008B264F"/>
    <w:rsid w:val="008B388B"/>
    <w:rsid w:val="008C340C"/>
    <w:rsid w:val="008D2460"/>
    <w:rsid w:val="008E1994"/>
    <w:rsid w:val="008E2DA8"/>
    <w:rsid w:val="008F152C"/>
    <w:rsid w:val="008F56F6"/>
    <w:rsid w:val="00901CA7"/>
    <w:rsid w:val="00915AED"/>
    <w:rsid w:val="00916C71"/>
    <w:rsid w:val="0092076C"/>
    <w:rsid w:val="0092470A"/>
    <w:rsid w:val="00932B8B"/>
    <w:rsid w:val="00937C73"/>
    <w:rsid w:val="009422A6"/>
    <w:rsid w:val="009442A1"/>
    <w:rsid w:val="00947B67"/>
    <w:rsid w:val="0096041E"/>
    <w:rsid w:val="0097360A"/>
    <w:rsid w:val="009838D1"/>
    <w:rsid w:val="00984DD7"/>
    <w:rsid w:val="009C61D2"/>
    <w:rsid w:val="009E7CDB"/>
    <w:rsid w:val="009F0689"/>
    <w:rsid w:val="009F2AF6"/>
    <w:rsid w:val="00A15489"/>
    <w:rsid w:val="00A20226"/>
    <w:rsid w:val="00A212E7"/>
    <w:rsid w:val="00A224AB"/>
    <w:rsid w:val="00A27181"/>
    <w:rsid w:val="00A27D80"/>
    <w:rsid w:val="00A3003E"/>
    <w:rsid w:val="00A436C2"/>
    <w:rsid w:val="00A6503E"/>
    <w:rsid w:val="00A83528"/>
    <w:rsid w:val="00A87822"/>
    <w:rsid w:val="00A9135B"/>
    <w:rsid w:val="00AA050A"/>
    <w:rsid w:val="00AA12A3"/>
    <w:rsid w:val="00AA1390"/>
    <w:rsid w:val="00AA4FC8"/>
    <w:rsid w:val="00AB06BA"/>
    <w:rsid w:val="00AC27BC"/>
    <w:rsid w:val="00AD5522"/>
    <w:rsid w:val="00AD7040"/>
    <w:rsid w:val="00AE50D7"/>
    <w:rsid w:val="00AE5810"/>
    <w:rsid w:val="00B001B7"/>
    <w:rsid w:val="00B01458"/>
    <w:rsid w:val="00B105AF"/>
    <w:rsid w:val="00B10810"/>
    <w:rsid w:val="00B36CCF"/>
    <w:rsid w:val="00B43D08"/>
    <w:rsid w:val="00B467CB"/>
    <w:rsid w:val="00B63DF2"/>
    <w:rsid w:val="00B84EE7"/>
    <w:rsid w:val="00B90376"/>
    <w:rsid w:val="00B90F6D"/>
    <w:rsid w:val="00B92E25"/>
    <w:rsid w:val="00B9442A"/>
    <w:rsid w:val="00BA381C"/>
    <w:rsid w:val="00BA44AB"/>
    <w:rsid w:val="00BA5B29"/>
    <w:rsid w:val="00BC47C1"/>
    <w:rsid w:val="00BC6658"/>
    <w:rsid w:val="00BC79EB"/>
    <w:rsid w:val="00BE31BE"/>
    <w:rsid w:val="00BF0379"/>
    <w:rsid w:val="00BF0448"/>
    <w:rsid w:val="00C07AAE"/>
    <w:rsid w:val="00C11CAB"/>
    <w:rsid w:val="00C1475E"/>
    <w:rsid w:val="00C1781F"/>
    <w:rsid w:val="00C24583"/>
    <w:rsid w:val="00C3189A"/>
    <w:rsid w:val="00C37AD3"/>
    <w:rsid w:val="00C40436"/>
    <w:rsid w:val="00C42E41"/>
    <w:rsid w:val="00C5071C"/>
    <w:rsid w:val="00C52909"/>
    <w:rsid w:val="00C53327"/>
    <w:rsid w:val="00C71E84"/>
    <w:rsid w:val="00C72B7B"/>
    <w:rsid w:val="00C72F63"/>
    <w:rsid w:val="00C84860"/>
    <w:rsid w:val="00C86345"/>
    <w:rsid w:val="00C92A49"/>
    <w:rsid w:val="00C965FB"/>
    <w:rsid w:val="00C97669"/>
    <w:rsid w:val="00CA05A0"/>
    <w:rsid w:val="00CA06A5"/>
    <w:rsid w:val="00CA1CA8"/>
    <w:rsid w:val="00CB6D6F"/>
    <w:rsid w:val="00CC5A81"/>
    <w:rsid w:val="00CD7407"/>
    <w:rsid w:val="00CE75EE"/>
    <w:rsid w:val="00CE7957"/>
    <w:rsid w:val="00D0395C"/>
    <w:rsid w:val="00D12B74"/>
    <w:rsid w:val="00D13E3F"/>
    <w:rsid w:val="00D273C5"/>
    <w:rsid w:val="00D2789B"/>
    <w:rsid w:val="00D3663A"/>
    <w:rsid w:val="00D37811"/>
    <w:rsid w:val="00D43CE6"/>
    <w:rsid w:val="00D53A24"/>
    <w:rsid w:val="00D54B7A"/>
    <w:rsid w:val="00D62A32"/>
    <w:rsid w:val="00D65BE0"/>
    <w:rsid w:val="00D67FCB"/>
    <w:rsid w:val="00D76671"/>
    <w:rsid w:val="00D848F9"/>
    <w:rsid w:val="00DA0E7F"/>
    <w:rsid w:val="00DB4DD6"/>
    <w:rsid w:val="00DC01ED"/>
    <w:rsid w:val="00DC0DDB"/>
    <w:rsid w:val="00DC5497"/>
    <w:rsid w:val="00DE3CEA"/>
    <w:rsid w:val="00DE6B2F"/>
    <w:rsid w:val="00E142AB"/>
    <w:rsid w:val="00E32277"/>
    <w:rsid w:val="00E34185"/>
    <w:rsid w:val="00E37A62"/>
    <w:rsid w:val="00E72732"/>
    <w:rsid w:val="00E76C2B"/>
    <w:rsid w:val="00E80C0E"/>
    <w:rsid w:val="00E83BF0"/>
    <w:rsid w:val="00E9613F"/>
    <w:rsid w:val="00EB5394"/>
    <w:rsid w:val="00EC64AD"/>
    <w:rsid w:val="00ED7340"/>
    <w:rsid w:val="00ED7616"/>
    <w:rsid w:val="00F03B68"/>
    <w:rsid w:val="00F255D7"/>
    <w:rsid w:val="00F259D3"/>
    <w:rsid w:val="00F62DC2"/>
    <w:rsid w:val="00F63BAD"/>
    <w:rsid w:val="00F654C1"/>
    <w:rsid w:val="00F669E7"/>
    <w:rsid w:val="00F679CF"/>
    <w:rsid w:val="00F73119"/>
    <w:rsid w:val="00F80BBC"/>
    <w:rsid w:val="00F90362"/>
    <w:rsid w:val="00F92646"/>
    <w:rsid w:val="00F932E7"/>
    <w:rsid w:val="00FA25A9"/>
    <w:rsid w:val="00FA3BD7"/>
    <w:rsid w:val="00FC493F"/>
    <w:rsid w:val="00FC6625"/>
    <w:rsid w:val="00FD4A0C"/>
    <w:rsid w:val="00FE3D68"/>
    <w:rsid w:val="00FF242C"/>
    <w:rsid w:val="00FF7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1440E0-6F8A-4D8A-B03C-6E240BE2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E18"/>
    <w:pPr>
      <w:widowControl w:val="0"/>
      <w:wordWrap w:val="0"/>
      <w:jc w:val="both"/>
    </w:pPr>
    <w:rPr>
      <w:rFonts w:ascii="Times New Roman" w:eastAsia="宋体" w:hAnsi="Times New Roman"/>
      <w:sz w:val="24"/>
    </w:rPr>
  </w:style>
  <w:style w:type="paragraph" w:styleId="1">
    <w:name w:val="heading 1"/>
    <w:basedOn w:val="a"/>
    <w:next w:val="a"/>
    <w:link w:val="10"/>
    <w:uiPriority w:val="9"/>
    <w:qFormat/>
    <w:rsid w:val="004C2E18"/>
    <w:pPr>
      <w:keepNext/>
      <w:keepLines/>
      <w:spacing w:before="480" w:after="360"/>
      <w:jc w:val="center"/>
      <w:outlineLvl w:val="0"/>
    </w:pPr>
    <w:rPr>
      <w:rFonts w:eastAsia="黑体"/>
      <w:bCs/>
      <w:kern w:val="44"/>
      <w:sz w:val="32"/>
      <w:szCs w:val="44"/>
    </w:rPr>
  </w:style>
  <w:style w:type="paragraph" w:styleId="2">
    <w:name w:val="heading 2"/>
    <w:basedOn w:val="a"/>
    <w:next w:val="a"/>
    <w:link w:val="20"/>
    <w:uiPriority w:val="9"/>
    <w:unhideWhenUsed/>
    <w:qFormat/>
    <w:rsid w:val="004C2E18"/>
    <w:pPr>
      <w:keepNext/>
      <w:keepLines/>
      <w:spacing w:before="480" w:after="120" w:line="400" w:lineRule="exact"/>
      <w:jc w:val="left"/>
      <w:outlineLvl w:val="1"/>
    </w:pPr>
    <w:rPr>
      <w:rFonts w:eastAsia="黑体" w:cstheme="majorBidi"/>
      <w:bCs/>
      <w:sz w:val="28"/>
      <w:szCs w:val="32"/>
    </w:rPr>
  </w:style>
  <w:style w:type="paragraph" w:styleId="3">
    <w:name w:val="heading 3"/>
    <w:basedOn w:val="a"/>
    <w:next w:val="a"/>
    <w:link w:val="30"/>
    <w:uiPriority w:val="9"/>
    <w:unhideWhenUsed/>
    <w:qFormat/>
    <w:rsid w:val="004C2E18"/>
    <w:pPr>
      <w:keepNext/>
      <w:keepLines/>
      <w:spacing w:before="240" w:after="120" w:line="400" w:lineRule="exact"/>
      <w:jc w:val="left"/>
      <w:outlineLvl w:val="2"/>
    </w:pPr>
    <w:rPr>
      <w:rFonts w:eastAsia="黑体"/>
      <w:bCs/>
      <w:sz w:val="26"/>
      <w:szCs w:val="32"/>
    </w:rPr>
  </w:style>
  <w:style w:type="paragraph" w:styleId="4">
    <w:name w:val="heading 4"/>
    <w:basedOn w:val="a"/>
    <w:next w:val="a"/>
    <w:link w:val="40"/>
    <w:uiPriority w:val="9"/>
    <w:unhideWhenUsed/>
    <w:qFormat/>
    <w:rsid w:val="004C2E18"/>
    <w:pPr>
      <w:keepNext/>
      <w:keepLines/>
      <w:spacing w:before="240" w:after="120" w:line="400" w:lineRule="exact"/>
      <w:jc w:val="left"/>
      <w:outlineLvl w:val="3"/>
    </w:pPr>
    <w:rPr>
      <w:rFonts w:eastAsia="黑体" w:cstheme="majorBidi"/>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C2E18"/>
    <w:rPr>
      <w:rFonts w:ascii="Times New Roman" w:eastAsia="黑体" w:hAnsi="Times New Roman"/>
      <w:bCs/>
      <w:kern w:val="44"/>
      <w:sz w:val="32"/>
      <w:szCs w:val="44"/>
    </w:rPr>
  </w:style>
  <w:style w:type="character" w:customStyle="1" w:styleId="20">
    <w:name w:val="标题 2 字符"/>
    <w:basedOn w:val="a0"/>
    <w:link w:val="2"/>
    <w:uiPriority w:val="9"/>
    <w:rsid w:val="004C2E18"/>
    <w:rPr>
      <w:rFonts w:ascii="Times New Roman" w:eastAsia="黑体" w:hAnsi="Times New Roman" w:cstheme="majorBidi"/>
      <w:bCs/>
      <w:sz w:val="28"/>
      <w:szCs w:val="32"/>
    </w:rPr>
  </w:style>
  <w:style w:type="character" w:customStyle="1" w:styleId="30">
    <w:name w:val="标题 3 字符"/>
    <w:basedOn w:val="a0"/>
    <w:link w:val="3"/>
    <w:uiPriority w:val="9"/>
    <w:rsid w:val="004C2E18"/>
    <w:rPr>
      <w:rFonts w:ascii="Times New Roman" w:eastAsia="黑体" w:hAnsi="Times New Roman"/>
      <w:bCs/>
      <w:sz w:val="26"/>
      <w:szCs w:val="32"/>
    </w:rPr>
  </w:style>
  <w:style w:type="character" w:customStyle="1" w:styleId="40">
    <w:name w:val="标题 4 字符"/>
    <w:basedOn w:val="a0"/>
    <w:link w:val="4"/>
    <w:uiPriority w:val="9"/>
    <w:rsid w:val="004C2E18"/>
    <w:rPr>
      <w:rFonts w:ascii="Times New Roman" w:eastAsia="黑体" w:hAnsi="Times New Roman" w:cstheme="majorBidi"/>
      <w:bCs/>
      <w:sz w:val="24"/>
      <w:szCs w:val="28"/>
    </w:rPr>
  </w:style>
  <w:style w:type="paragraph" w:styleId="a3">
    <w:name w:val="footnote text"/>
    <w:basedOn w:val="a"/>
    <w:link w:val="a4"/>
    <w:uiPriority w:val="99"/>
    <w:unhideWhenUsed/>
    <w:rsid w:val="004C2E18"/>
    <w:pPr>
      <w:snapToGrid w:val="0"/>
      <w:jc w:val="left"/>
    </w:pPr>
    <w:rPr>
      <w:sz w:val="18"/>
      <w:szCs w:val="18"/>
    </w:rPr>
  </w:style>
  <w:style w:type="character" w:customStyle="1" w:styleId="a4">
    <w:name w:val="脚注文本 字符"/>
    <w:basedOn w:val="a0"/>
    <w:link w:val="a3"/>
    <w:uiPriority w:val="99"/>
    <w:rsid w:val="004C2E18"/>
    <w:rPr>
      <w:rFonts w:ascii="Times New Roman" w:eastAsia="宋体" w:hAnsi="Times New Roman"/>
      <w:sz w:val="18"/>
      <w:szCs w:val="18"/>
    </w:rPr>
  </w:style>
  <w:style w:type="character" w:styleId="a5">
    <w:name w:val="footnote reference"/>
    <w:basedOn w:val="a0"/>
    <w:uiPriority w:val="99"/>
    <w:semiHidden/>
    <w:unhideWhenUsed/>
    <w:rsid w:val="004C2E18"/>
    <w:rPr>
      <w:vertAlign w:val="superscript"/>
    </w:rPr>
  </w:style>
  <w:style w:type="paragraph" w:customStyle="1" w:styleId="EndNoteBibliographyTitle">
    <w:name w:val="EndNote Bibliography Title"/>
    <w:basedOn w:val="a"/>
    <w:link w:val="EndNoteBibliographyTitle0"/>
    <w:rsid w:val="004C2E18"/>
    <w:pPr>
      <w:jc w:val="center"/>
    </w:pPr>
    <w:rPr>
      <w:rFonts w:cs="Times New Roman"/>
      <w:noProof/>
    </w:rPr>
  </w:style>
  <w:style w:type="character" w:customStyle="1" w:styleId="EndNoteBibliographyTitle0">
    <w:name w:val="EndNote Bibliography Title 字符"/>
    <w:basedOn w:val="a0"/>
    <w:link w:val="EndNoteBibliographyTitle"/>
    <w:rsid w:val="004C2E18"/>
    <w:rPr>
      <w:rFonts w:ascii="Times New Roman" w:eastAsia="宋体" w:hAnsi="Times New Roman" w:cs="Times New Roman"/>
      <w:noProof/>
      <w:sz w:val="24"/>
    </w:rPr>
  </w:style>
  <w:style w:type="paragraph" w:customStyle="1" w:styleId="EndNoteBibliography">
    <w:name w:val="EndNote Bibliography"/>
    <w:basedOn w:val="a"/>
    <w:link w:val="EndNoteBibliography0"/>
    <w:rsid w:val="004C2E18"/>
    <w:rPr>
      <w:rFonts w:cs="Times New Roman"/>
      <w:noProof/>
    </w:rPr>
  </w:style>
  <w:style w:type="character" w:customStyle="1" w:styleId="EndNoteBibliography0">
    <w:name w:val="EndNote Bibliography 字符"/>
    <w:basedOn w:val="a0"/>
    <w:link w:val="EndNoteBibliography"/>
    <w:rsid w:val="004C2E18"/>
    <w:rPr>
      <w:rFonts w:ascii="Times New Roman" w:eastAsia="宋体" w:hAnsi="Times New Roman" w:cs="Times New Roman"/>
      <w:noProof/>
      <w:sz w:val="24"/>
    </w:rPr>
  </w:style>
  <w:style w:type="character" w:styleId="a6">
    <w:name w:val="Hyperlink"/>
    <w:basedOn w:val="a0"/>
    <w:uiPriority w:val="99"/>
    <w:unhideWhenUsed/>
    <w:rsid w:val="004C2E18"/>
    <w:rPr>
      <w:color w:val="0563C1" w:themeColor="hyperlink"/>
      <w:u w:val="single"/>
    </w:rPr>
  </w:style>
  <w:style w:type="paragraph" w:styleId="a7">
    <w:name w:val="caption"/>
    <w:aliases w:val="图名"/>
    <w:basedOn w:val="a"/>
    <w:next w:val="a"/>
    <w:uiPriority w:val="35"/>
    <w:unhideWhenUsed/>
    <w:qFormat/>
    <w:rsid w:val="004C2E18"/>
    <w:pPr>
      <w:spacing w:before="120" w:after="240"/>
      <w:jc w:val="center"/>
    </w:pPr>
    <w:rPr>
      <w:rFonts w:cstheme="majorBidi"/>
      <w:sz w:val="22"/>
      <w:szCs w:val="20"/>
    </w:rPr>
  </w:style>
  <w:style w:type="paragraph" w:styleId="a8">
    <w:name w:val="header"/>
    <w:basedOn w:val="a"/>
    <w:link w:val="a9"/>
    <w:uiPriority w:val="99"/>
    <w:unhideWhenUsed/>
    <w:rsid w:val="004C2E18"/>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4C2E18"/>
    <w:rPr>
      <w:rFonts w:ascii="Times New Roman" w:eastAsia="宋体" w:hAnsi="Times New Roman"/>
      <w:sz w:val="18"/>
      <w:szCs w:val="18"/>
    </w:rPr>
  </w:style>
  <w:style w:type="paragraph" w:styleId="aa">
    <w:name w:val="footer"/>
    <w:basedOn w:val="a"/>
    <w:link w:val="ab"/>
    <w:uiPriority w:val="99"/>
    <w:unhideWhenUsed/>
    <w:rsid w:val="004C2E18"/>
    <w:pPr>
      <w:tabs>
        <w:tab w:val="center" w:pos="4153"/>
        <w:tab w:val="right" w:pos="8306"/>
      </w:tabs>
      <w:snapToGrid w:val="0"/>
      <w:jc w:val="left"/>
    </w:pPr>
    <w:rPr>
      <w:sz w:val="18"/>
      <w:szCs w:val="18"/>
    </w:rPr>
  </w:style>
  <w:style w:type="character" w:customStyle="1" w:styleId="ab">
    <w:name w:val="页脚 字符"/>
    <w:basedOn w:val="a0"/>
    <w:link w:val="aa"/>
    <w:uiPriority w:val="99"/>
    <w:rsid w:val="004C2E18"/>
    <w:rPr>
      <w:rFonts w:ascii="Times New Roman" w:eastAsia="宋体" w:hAnsi="Times New Roman"/>
      <w:sz w:val="18"/>
      <w:szCs w:val="18"/>
    </w:rPr>
  </w:style>
  <w:style w:type="paragraph" w:styleId="ac">
    <w:name w:val="List Paragraph"/>
    <w:basedOn w:val="a"/>
    <w:uiPriority w:val="34"/>
    <w:qFormat/>
    <w:rsid w:val="004C2E18"/>
    <w:pPr>
      <w:ind w:firstLineChars="200" w:firstLine="420"/>
    </w:pPr>
  </w:style>
  <w:style w:type="paragraph" w:styleId="TOC">
    <w:name w:val="TOC Heading"/>
    <w:basedOn w:val="1"/>
    <w:next w:val="a"/>
    <w:uiPriority w:val="39"/>
    <w:unhideWhenUsed/>
    <w:rsid w:val="004C2E18"/>
    <w:pPr>
      <w:widowControl/>
      <w:wordWrap/>
      <w:spacing w:before="240" w:after="0" w:line="259" w:lineRule="auto"/>
      <w:jc w:val="left"/>
      <w:outlineLvl w:val="9"/>
    </w:pPr>
    <w:rPr>
      <w:rFonts w:asciiTheme="majorHAnsi" w:eastAsiaTheme="majorEastAsia" w:hAnsiTheme="majorHAnsi" w:cstheme="majorBidi"/>
      <w:b/>
      <w:bCs w:val="0"/>
      <w:color w:val="2E74B5" w:themeColor="accent1" w:themeShade="BF"/>
      <w:kern w:val="0"/>
      <w:szCs w:val="32"/>
    </w:rPr>
  </w:style>
  <w:style w:type="paragraph" w:styleId="21">
    <w:name w:val="toc 2"/>
    <w:basedOn w:val="a"/>
    <w:next w:val="a"/>
    <w:autoRedefine/>
    <w:uiPriority w:val="39"/>
    <w:unhideWhenUsed/>
    <w:rsid w:val="004C2E18"/>
    <w:pPr>
      <w:tabs>
        <w:tab w:val="left" w:pos="851"/>
        <w:tab w:val="right" w:leader="dot" w:pos="8296"/>
      </w:tabs>
      <w:spacing w:line="400" w:lineRule="exact"/>
      <w:ind w:leftChars="100" w:left="240"/>
    </w:pPr>
  </w:style>
  <w:style w:type="paragraph" w:styleId="31">
    <w:name w:val="toc 3"/>
    <w:basedOn w:val="a"/>
    <w:next w:val="a"/>
    <w:autoRedefine/>
    <w:uiPriority w:val="39"/>
    <w:unhideWhenUsed/>
    <w:rsid w:val="004C2E18"/>
    <w:pPr>
      <w:spacing w:line="400" w:lineRule="exact"/>
      <w:ind w:leftChars="200" w:left="200"/>
    </w:pPr>
  </w:style>
  <w:style w:type="paragraph" w:styleId="11">
    <w:name w:val="toc 1"/>
    <w:basedOn w:val="a"/>
    <w:next w:val="a"/>
    <w:autoRedefine/>
    <w:uiPriority w:val="39"/>
    <w:unhideWhenUsed/>
    <w:rsid w:val="004C2E18"/>
    <w:pPr>
      <w:tabs>
        <w:tab w:val="left" w:pos="851"/>
        <w:tab w:val="right" w:leader="dot" w:pos="8296"/>
      </w:tabs>
      <w:spacing w:before="120" w:line="400" w:lineRule="exact"/>
    </w:pPr>
    <w:rPr>
      <w:rFonts w:eastAsia="黑体"/>
    </w:rPr>
  </w:style>
  <w:style w:type="character" w:styleId="ad">
    <w:name w:val="FollowedHyperlink"/>
    <w:basedOn w:val="a0"/>
    <w:uiPriority w:val="99"/>
    <w:semiHidden/>
    <w:unhideWhenUsed/>
    <w:rsid w:val="004C2E18"/>
    <w:rPr>
      <w:color w:val="954F72" w:themeColor="followedHyperlink"/>
      <w:u w:val="single"/>
    </w:rPr>
  </w:style>
  <w:style w:type="paragraph" w:customStyle="1" w:styleId="ae">
    <w:name w:val="脚注"/>
    <w:basedOn w:val="a3"/>
    <w:link w:val="af"/>
    <w:qFormat/>
    <w:rsid w:val="004C2E18"/>
    <w:pPr>
      <w:jc w:val="both"/>
    </w:pPr>
  </w:style>
  <w:style w:type="character" w:customStyle="1" w:styleId="af">
    <w:name w:val="脚注 字符"/>
    <w:basedOn w:val="a4"/>
    <w:link w:val="ae"/>
    <w:rsid w:val="004C2E18"/>
    <w:rPr>
      <w:rFonts w:ascii="Times New Roman" w:eastAsia="宋体" w:hAnsi="Times New Roman"/>
      <w:sz w:val="18"/>
      <w:szCs w:val="18"/>
    </w:rPr>
  </w:style>
  <w:style w:type="paragraph" w:customStyle="1" w:styleId="af0">
    <w:name w:val="参考文献"/>
    <w:basedOn w:val="EndNoteBibliography"/>
    <w:link w:val="af1"/>
    <w:qFormat/>
    <w:rsid w:val="004C2E18"/>
    <w:pPr>
      <w:wordWrap/>
      <w:spacing w:before="60" w:line="320" w:lineRule="exact"/>
      <w:ind w:left="200" w:hangingChars="200" w:hanging="200"/>
    </w:pPr>
  </w:style>
  <w:style w:type="character" w:customStyle="1" w:styleId="af1">
    <w:name w:val="参考文献 字符"/>
    <w:basedOn w:val="EndNoteBibliography0"/>
    <w:link w:val="af0"/>
    <w:rsid w:val="004C2E18"/>
    <w:rPr>
      <w:rFonts w:ascii="Times New Roman" w:eastAsia="宋体" w:hAnsi="Times New Roman" w:cs="Times New Roman"/>
      <w:noProof/>
      <w:sz w:val="24"/>
    </w:rPr>
  </w:style>
  <w:style w:type="paragraph" w:styleId="af2">
    <w:name w:val="No Spacing"/>
    <w:aliases w:val="表名"/>
    <w:uiPriority w:val="1"/>
    <w:qFormat/>
    <w:rsid w:val="004C2E18"/>
    <w:pPr>
      <w:widowControl w:val="0"/>
      <w:wordWrap w:val="0"/>
      <w:spacing w:before="240" w:after="120"/>
      <w:jc w:val="center"/>
    </w:pPr>
    <w:rPr>
      <w:rFonts w:ascii="Times New Roman" w:eastAsia="宋体" w:hAnsi="Times New Roman"/>
      <w:sz w:val="22"/>
    </w:rPr>
  </w:style>
  <w:style w:type="table" w:styleId="af3">
    <w:name w:val="Table Grid"/>
    <w:basedOn w:val="a1"/>
    <w:uiPriority w:val="39"/>
    <w:rsid w:val="004C2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DisplayEquation">
    <w:name w:val="AMDisplayEquation"/>
    <w:basedOn w:val="a"/>
    <w:next w:val="a"/>
    <w:link w:val="AMDisplayEquation0"/>
    <w:rsid w:val="004C2E18"/>
    <w:pPr>
      <w:tabs>
        <w:tab w:val="center" w:pos="4160"/>
        <w:tab w:val="right" w:pos="8300"/>
      </w:tabs>
      <w:wordWrap/>
      <w:spacing w:line="400" w:lineRule="exact"/>
      <w:ind w:firstLineChars="200" w:firstLine="480"/>
    </w:pPr>
  </w:style>
  <w:style w:type="character" w:customStyle="1" w:styleId="AMDisplayEquation0">
    <w:name w:val="AMDisplayEquation 字符"/>
    <w:basedOn w:val="a0"/>
    <w:link w:val="AMDisplayEquation"/>
    <w:rsid w:val="004C2E18"/>
    <w:rPr>
      <w:rFonts w:ascii="Times New Roman" w:eastAsia="宋体" w:hAnsi="Times New Roman"/>
      <w:sz w:val="24"/>
    </w:rPr>
  </w:style>
  <w:style w:type="paragraph" w:styleId="af4">
    <w:name w:val="Plain Text"/>
    <w:basedOn w:val="a"/>
    <w:link w:val="af5"/>
    <w:uiPriority w:val="99"/>
    <w:unhideWhenUsed/>
    <w:rsid w:val="004C2E18"/>
    <w:pPr>
      <w:wordWrap/>
    </w:pPr>
    <w:rPr>
      <w:rFonts w:asciiTheme="minorEastAsia" w:eastAsiaTheme="minorEastAsia" w:hAnsi="Courier New" w:cs="Courier New"/>
      <w:sz w:val="21"/>
    </w:rPr>
  </w:style>
  <w:style w:type="character" w:customStyle="1" w:styleId="af5">
    <w:name w:val="纯文本 字符"/>
    <w:basedOn w:val="a0"/>
    <w:link w:val="af4"/>
    <w:uiPriority w:val="99"/>
    <w:rsid w:val="004C2E18"/>
    <w:rPr>
      <w:rFonts w:asciiTheme="minorEastAsia" w:hAnsi="Courier New" w:cs="Courier New"/>
    </w:rPr>
  </w:style>
  <w:style w:type="paragraph" w:styleId="af6">
    <w:name w:val="endnote text"/>
    <w:basedOn w:val="a"/>
    <w:link w:val="af7"/>
    <w:uiPriority w:val="99"/>
    <w:semiHidden/>
    <w:unhideWhenUsed/>
    <w:rsid w:val="004C2E18"/>
    <w:pPr>
      <w:snapToGrid w:val="0"/>
      <w:jc w:val="left"/>
    </w:pPr>
  </w:style>
  <w:style w:type="character" w:customStyle="1" w:styleId="af7">
    <w:name w:val="尾注文本 字符"/>
    <w:basedOn w:val="a0"/>
    <w:link w:val="af6"/>
    <w:uiPriority w:val="99"/>
    <w:semiHidden/>
    <w:rsid w:val="004C2E18"/>
    <w:rPr>
      <w:rFonts w:ascii="Times New Roman" w:eastAsia="宋体" w:hAnsi="Times New Roman"/>
      <w:sz w:val="24"/>
    </w:rPr>
  </w:style>
  <w:style w:type="character" w:styleId="af8">
    <w:name w:val="endnote reference"/>
    <w:basedOn w:val="a0"/>
    <w:uiPriority w:val="99"/>
    <w:semiHidden/>
    <w:unhideWhenUsed/>
    <w:rsid w:val="004C2E18"/>
    <w:rPr>
      <w:vertAlign w:val="superscript"/>
    </w:rPr>
  </w:style>
  <w:style w:type="paragraph" w:styleId="41">
    <w:name w:val="toc 4"/>
    <w:basedOn w:val="a"/>
    <w:next w:val="a"/>
    <w:autoRedefine/>
    <w:uiPriority w:val="39"/>
    <w:unhideWhenUsed/>
    <w:rsid w:val="004C2E18"/>
    <w:pPr>
      <w:wordWrap/>
      <w:ind w:leftChars="600" w:left="1260"/>
    </w:pPr>
    <w:rPr>
      <w:rFonts w:asciiTheme="minorHAnsi" w:eastAsiaTheme="minorEastAsia" w:hAnsiTheme="minorHAnsi"/>
      <w:sz w:val="21"/>
    </w:rPr>
  </w:style>
  <w:style w:type="paragraph" w:styleId="5">
    <w:name w:val="toc 5"/>
    <w:basedOn w:val="a"/>
    <w:next w:val="a"/>
    <w:autoRedefine/>
    <w:uiPriority w:val="39"/>
    <w:unhideWhenUsed/>
    <w:rsid w:val="004C2E18"/>
    <w:pPr>
      <w:wordWrap/>
      <w:ind w:leftChars="800" w:left="1680"/>
    </w:pPr>
    <w:rPr>
      <w:rFonts w:asciiTheme="minorHAnsi" w:eastAsiaTheme="minorEastAsia" w:hAnsiTheme="minorHAnsi"/>
      <w:sz w:val="21"/>
    </w:rPr>
  </w:style>
  <w:style w:type="paragraph" w:styleId="6">
    <w:name w:val="toc 6"/>
    <w:basedOn w:val="a"/>
    <w:next w:val="a"/>
    <w:autoRedefine/>
    <w:uiPriority w:val="39"/>
    <w:unhideWhenUsed/>
    <w:rsid w:val="004C2E18"/>
    <w:pPr>
      <w:wordWrap/>
      <w:ind w:leftChars="1000" w:left="2100"/>
    </w:pPr>
    <w:rPr>
      <w:rFonts w:asciiTheme="minorHAnsi" w:eastAsiaTheme="minorEastAsia" w:hAnsiTheme="minorHAnsi"/>
      <w:sz w:val="21"/>
    </w:rPr>
  </w:style>
  <w:style w:type="paragraph" w:styleId="7">
    <w:name w:val="toc 7"/>
    <w:basedOn w:val="a"/>
    <w:next w:val="a"/>
    <w:autoRedefine/>
    <w:uiPriority w:val="39"/>
    <w:unhideWhenUsed/>
    <w:rsid w:val="004C2E18"/>
    <w:pPr>
      <w:wordWrap/>
      <w:ind w:leftChars="1200" w:left="2520"/>
    </w:pPr>
    <w:rPr>
      <w:rFonts w:asciiTheme="minorHAnsi" w:eastAsiaTheme="minorEastAsia" w:hAnsiTheme="minorHAnsi"/>
      <w:sz w:val="21"/>
    </w:rPr>
  </w:style>
  <w:style w:type="paragraph" w:styleId="8">
    <w:name w:val="toc 8"/>
    <w:basedOn w:val="a"/>
    <w:next w:val="a"/>
    <w:autoRedefine/>
    <w:uiPriority w:val="39"/>
    <w:unhideWhenUsed/>
    <w:rsid w:val="004C2E18"/>
    <w:pPr>
      <w:wordWrap/>
      <w:ind w:leftChars="1400" w:left="2940"/>
    </w:pPr>
    <w:rPr>
      <w:rFonts w:asciiTheme="minorHAnsi" w:eastAsiaTheme="minorEastAsia" w:hAnsiTheme="minorHAnsi"/>
      <w:sz w:val="21"/>
    </w:rPr>
  </w:style>
  <w:style w:type="paragraph" w:styleId="9">
    <w:name w:val="toc 9"/>
    <w:basedOn w:val="a"/>
    <w:next w:val="a"/>
    <w:autoRedefine/>
    <w:uiPriority w:val="39"/>
    <w:unhideWhenUsed/>
    <w:rsid w:val="004C2E18"/>
    <w:pPr>
      <w:wordWrap/>
      <w:ind w:leftChars="1600" w:left="3360"/>
    </w:pPr>
    <w:rPr>
      <w:rFonts w:asciiTheme="minorHAnsi" w:eastAsiaTheme="minorEastAsia" w:hAnsiTheme="minorHAns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changhd.15@pbcsf.tsinghua.edu.cn"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Lenovocloud\02-SWF&#20889;&#20316;\&#20915;&#31574;&#36923;&#36753;\decision&#23545;&#27604;.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cat>
            <c:strRef>
              <c:f>Sheet1!$K$14686:$N$14686</c:f>
              <c:strCache>
                <c:ptCount val="4"/>
                <c:pt idx="0">
                  <c:v>Y</c:v>
                </c:pt>
                <c:pt idx="1">
                  <c:v>Y+1</c:v>
                </c:pt>
                <c:pt idx="2">
                  <c:v>Y+2</c:v>
                </c:pt>
                <c:pt idx="3">
                  <c:v>Y+3</c:v>
                </c:pt>
              </c:strCache>
            </c:strRef>
          </c:cat>
          <c:val>
            <c:numRef>
              <c:f>Sheet1!$K$14687:$N$14687</c:f>
              <c:numCache>
                <c:formatCode>0.00000_ </c:formatCode>
                <c:ptCount val="4"/>
                <c:pt idx="0">
                  <c:v>0</c:v>
                </c:pt>
                <c:pt idx="1">
                  <c:v>1.4951665499748188E-2</c:v>
                </c:pt>
                <c:pt idx="2">
                  <c:v>-2.872076579794576E-2</c:v>
                </c:pt>
                <c:pt idx="3">
                  <c:v>-3.7085519610863538E-2</c:v>
                </c:pt>
              </c:numCache>
            </c:numRef>
          </c:val>
          <c:smooth val="0"/>
          <c:extLst>
            <c:ext xmlns:c16="http://schemas.microsoft.com/office/drawing/2014/chart" uri="{C3380CC4-5D6E-409C-BE32-E72D297353CC}">
              <c16:uniqueId val="{00000000-C8AB-4A1C-B4E8-411605097208}"/>
            </c:ext>
          </c:extLst>
        </c:ser>
        <c:dLbls>
          <c:showLegendKey val="0"/>
          <c:showVal val="0"/>
          <c:showCatName val="0"/>
          <c:showSerName val="0"/>
          <c:showPercent val="0"/>
          <c:showBubbleSize val="0"/>
        </c:dLbls>
        <c:smooth val="0"/>
        <c:axId val="253449552"/>
        <c:axId val="1143693456"/>
      </c:lineChart>
      <c:catAx>
        <c:axId val="253449552"/>
        <c:scaling>
          <c:orientation val="minMax"/>
        </c:scaling>
        <c:delete val="0"/>
        <c:axPos val="b"/>
        <c:majorGridlines>
          <c:spPr>
            <a:ln w="15875" cap="flat" cmpd="sng" algn="ctr">
              <a:solidFill>
                <a:srgbClr val="FFFFFF"/>
              </a:solidFill>
              <a:prstDash val="solid"/>
              <a:round/>
            </a:ln>
            <a:effectLst/>
          </c:spPr>
        </c:majorGridlines>
        <c:minorGridlines>
          <c:spPr>
            <a:ln w="3175" cap="flat" cmpd="sng" algn="ctr">
              <a:solidFill>
                <a:srgbClr val="F2F2F2"/>
              </a:solidFill>
              <a:prstDash val="solid"/>
              <a:round/>
            </a:ln>
            <a:effectLst/>
          </c:spPr>
        </c:minorGridlines>
        <c:numFmt formatCode="General" sourceLinked="1"/>
        <c:majorTickMark val="none"/>
        <c:minorTickMark val="none"/>
        <c:tickLblPos val="low"/>
        <c:spPr>
          <a:noFill/>
          <a:ln w="9525" cap="flat" cmpd="sng" algn="ctr">
            <a:noFill/>
            <a:round/>
          </a:ln>
          <a:effectLst/>
          <a:extLst>
            <a:ext uri="{91240B29-F687-4F45-9708-019B960494DF}">
              <a14:hiddenLine xmlns:a14="http://schemas.microsoft.com/office/drawing/2010/main" w="9525" cap="flat" cmpd="sng" algn="ctr">
                <a:solidFill>
                  <a:srgbClr val="000000">
                    <a:lumMod val="15000"/>
                    <a:lumOff val="85000"/>
                  </a:srgbClr>
                </a:solidFill>
                <a:round/>
              </a14:hiddenLine>
            </a:ext>
          </a:extLst>
        </c:spPr>
        <c:txPr>
          <a:bodyPr rot="-60000000" spcFirstLastPara="1" vertOverflow="ellipsis" vert="horz" wrap="square" anchor="ctr" anchorCtr="1"/>
          <a:lstStyle/>
          <a:p>
            <a:pPr>
              <a:defRPr sz="1000" b="0" i="0" u="none" strike="noStrike" kern="1200" baseline="0">
                <a:solidFill>
                  <a:srgbClr val="000000"/>
                </a:solidFill>
                <a:latin typeface="Times New Roman"/>
                <a:ea typeface="Times New Roman"/>
                <a:cs typeface="Times New Roman"/>
              </a:defRPr>
            </a:pPr>
            <a:endParaRPr lang="zh-CN"/>
          </a:p>
        </c:txPr>
        <c:crossAx val="1143693456"/>
        <c:crosses val="autoZero"/>
        <c:auto val="1"/>
        <c:lblAlgn val="ctr"/>
        <c:lblOffset val="100"/>
        <c:tickMarkSkip val="3"/>
        <c:noMultiLvlLbl val="0"/>
      </c:catAx>
      <c:valAx>
        <c:axId val="1143693456"/>
        <c:scaling>
          <c:orientation val="minMax"/>
        </c:scaling>
        <c:delete val="0"/>
        <c:axPos val="l"/>
        <c:majorGridlines>
          <c:spPr>
            <a:ln w="15875" cap="flat" cmpd="sng" algn="ctr">
              <a:solidFill>
                <a:srgbClr val="FFFFFF"/>
              </a:solidFill>
              <a:prstDash val="solid"/>
              <a:round/>
            </a:ln>
            <a:effectLst/>
          </c:spPr>
        </c:majorGridlines>
        <c:minorGridlines>
          <c:spPr>
            <a:ln w="3175" cap="flat" cmpd="sng" algn="ctr">
              <a:solidFill>
                <a:srgbClr val="F2F2F2"/>
              </a:solidFill>
              <a:prstDash val="solid"/>
              <a:round/>
            </a:ln>
            <a:effectLst/>
          </c:spPr>
        </c:minorGridlines>
        <c:numFmt formatCode="0.00000_ " sourceLinked="1"/>
        <c:majorTickMark val="none"/>
        <c:minorTickMark val="none"/>
        <c:tickLblPos val="low"/>
        <c:spPr>
          <a:noFill/>
          <a:ln>
            <a:noFill/>
          </a:ln>
          <a:effectLst/>
          <a:extLst>
            <a:ext uri="{91240B29-F687-4F45-9708-019B960494DF}">
              <a14:hiddenLine xmlns:a14="http://schemas.microsoft.com/office/drawing/2010/main">
                <a:noFill/>
              </a14:hiddenLine>
            </a:ext>
          </a:extLst>
        </c:spPr>
        <c:txPr>
          <a:bodyPr rot="-60000000" spcFirstLastPara="1" vertOverflow="ellipsis" vert="horz" wrap="square" anchor="ctr" anchorCtr="1"/>
          <a:lstStyle/>
          <a:p>
            <a:pPr>
              <a:defRPr sz="1000" b="0" i="0" u="none" strike="noStrike" kern="1200" baseline="0">
                <a:solidFill>
                  <a:srgbClr val="000000"/>
                </a:solidFill>
                <a:latin typeface="Times New Roman"/>
                <a:ea typeface="Times New Roman"/>
                <a:cs typeface="Times New Roman"/>
              </a:defRPr>
            </a:pPr>
            <a:endParaRPr lang="zh-CN"/>
          </a:p>
        </c:txPr>
        <c:crossAx val="253449552"/>
        <c:crosses val="autoZero"/>
        <c:crossBetween val="between"/>
        <c:minorUnit val="5.0000000000000001E-3"/>
      </c:valAx>
      <c:spPr>
        <a:solidFill>
          <a:srgbClr val="E5E5E5"/>
        </a:solidFill>
        <a:ln>
          <a:noFill/>
        </a:ln>
        <a:effectLst/>
        <a:extLst>
          <a:ext uri="{91240B29-F687-4F45-9708-019B960494DF}">
            <a14:hiddenLine xmlns:a14="http://schemas.microsoft.com/office/drawing/2010/main">
              <a:noFill/>
            </a14:hiddenLine>
          </a:ext>
        </a:extLst>
      </c:spPr>
    </c:plotArea>
    <c:plotVisOnly val="1"/>
    <c:dispBlanksAs val="gap"/>
    <c:showDLblsOverMax val="0"/>
  </c:chart>
  <c:spPr>
    <a:solidFill>
      <a:srgbClr val="FFFFFF"/>
    </a:solidFill>
    <a:ln w="9525" cap="flat" cmpd="sng" algn="ctr">
      <a:noFill/>
      <a:round/>
    </a:ln>
    <a:effectLst/>
    <a:extLst>
      <a:ext uri="{91240B29-F687-4F45-9708-019B960494DF}">
        <a14:hiddenLine xmlns:a14="http://schemas.microsoft.com/office/drawing/2010/main" w="9525" cap="flat" cmpd="sng" algn="ctr">
          <a:solidFill>
            <a:srgbClr val="000000">
              <a:lumMod val="15000"/>
              <a:lumOff val="85000"/>
            </a:srgbClr>
          </a:solidFill>
          <a:round/>
        </a14:hiddenLine>
      </a:ext>
    </a:ex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9B4AF-5D28-4751-B628-DCFAC6DEB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2055</TotalTime>
  <Pages>1</Pages>
  <Words>8819</Words>
  <Characters>50272</Characters>
  <Application>Microsoft Office Word</Application>
  <DocSecurity>0</DocSecurity>
  <Lines>418</Lines>
  <Paragraphs>117</Paragraphs>
  <ScaleCrop>false</ScaleCrop>
  <Company>tsinghua</Company>
  <LinksUpToDate>false</LinksUpToDate>
  <CharactersWithSpaces>58974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Harry</dc:creator>
  <cp:keywords/>
  <dc:description/>
  <cp:lastModifiedBy>Chang Harry</cp:lastModifiedBy>
  <cp:revision>121</cp:revision>
  <cp:lastPrinted>2019-03-23T08:20:00Z</cp:lastPrinted>
  <dcterms:created xsi:type="dcterms:W3CDTF">2019-03-18T16:00:00Z</dcterms:created>
  <dcterms:modified xsi:type="dcterms:W3CDTF">2019-04-07T08:40:00Z</dcterms:modified>
</cp:coreProperties>
</file>