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644" w:rsidRDefault="003B6644" w:rsidP="003B6644">
      <w:pPr>
        <w:pStyle w:val="Heading1"/>
        <w:spacing w:line="240" w:lineRule="auto"/>
        <w:ind w:firstLine="0"/>
        <w:jc w:val="center"/>
      </w:pPr>
      <w:bookmarkStart w:id="0" w:name="_Toc305492850"/>
      <w:r>
        <w:t>GPR Q* determination from CMP data as a means of measuring frequency dependent attenuation</w:t>
      </w:r>
    </w:p>
    <w:p w:rsidR="003B6644" w:rsidRPr="00412A08" w:rsidRDefault="003B6644" w:rsidP="003B6644"/>
    <w:p w:rsidR="003B6644" w:rsidRDefault="003B6644" w:rsidP="003B6644">
      <w:pPr>
        <w:spacing w:line="240" w:lineRule="auto"/>
      </w:pPr>
      <w:r>
        <w:t>Aisha A. Kana</w:t>
      </w:r>
    </w:p>
    <w:p w:rsidR="003B6644" w:rsidRDefault="003B6644" w:rsidP="003B6644">
      <w:pPr>
        <w:spacing w:line="240" w:lineRule="auto"/>
      </w:pPr>
      <w:r>
        <w:t>Department of Geology and Mining, Nasarawa State University, Keffi, Nigeria</w:t>
      </w:r>
    </w:p>
    <w:p w:rsidR="003B6644" w:rsidRDefault="003B6644" w:rsidP="003B6644">
      <w:pPr>
        <w:pStyle w:val="Heading2"/>
      </w:pPr>
    </w:p>
    <w:p w:rsidR="003B6644" w:rsidRDefault="003B6644" w:rsidP="003B6644">
      <w:pPr>
        <w:pStyle w:val="Heading2"/>
      </w:pPr>
      <w:r>
        <w:t xml:space="preserve">Abstract </w:t>
      </w:r>
    </w:p>
    <w:p w:rsidR="003B6644" w:rsidRDefault="003B6644" w:rsidP="003B6644">
      <w:r>
        <w:rPr>
          <w:lang w:eastAsia="en-GB"/>
        </w:rPr>
        <w:t xml:space="preserve">Attenuation and velocity in the ground are the major controls on the propagation of GPR signals in the ground and depend on electrical conductivity and dielectric permeability. In addition to these, attenuation of radar signals is frequency dependent; it increases with increase in frequency.  </w:t>
      </w:r>
      <w:r>
        <w:rPr>
          <w:rFonts w:eastAsiaTheme="minorEastAsia"/>
        </w:rPr>
        <w:t xml:space="preserve">The attraction of the GPR method lies in its short wavelength and hence good resolution, i.e. because of the high frequency used; but unfortunately, this makes it prone to attenuation thus limiting depth of penetration of the radar waves. It is therefore necessary that this dependence on frequency be understood, better still, site specific characterization is important.  The </w:t>
      </w:r>
      <w:r>
        <w:t>a</w:t>
      </w:r>
      <w:r w:rsidRPr="006A2D73">
        <w:t>ttenuation coefficient</w:t>
      </w:r>
      <w:r>
        <w:t xml:space="preserve"> (</w:t>
      </w:r>
      <w:r w:rsidRPr="006A2D73">
        <w:rPr>
          <w:i/>
        </w:rPr>
        <w:t>α</w:t>
      </w:r>
      <w:r>
        <w:t>, m</w:t>
      </w:r>
      <w:r w:rsidRPr="006440A2">
        <w:rPr>
          <w:vertAlign w:val="superscript"/>
        </w:rPr>
        <w:t>-1</w:t>
      </w:r>
      <w:r>
        <w:t>)</w:t>
      </w:r>
      <w:r>
        <w:rPr>
          <w:i/>
        </w:rPr>
        <w:t>,</w:t>
      </w:r>
      <w:r w:rsidRPr="006A2D73">
        <w:t xml:space="preserve"> </w:t>
      </w:r>
      <w:r>
        <w:t>can</w:t>
      </w:r>
      <w:r w:rsidRPr="006A2D73">
        <w:t xml:space="preserve"> be estimated using site specific laboratory or field estimates of electrical conductivity</w:t>
      </w:r>
      <w:r>
        <w:t>; this may not always be practicable, and hence further means of characterizing attenuation is required.</w:t>
      </w:r>
    </w:p>
    <w:p w:rsidR="003B6644" w:rsidRDefault="003B6644" w:rsidP="003B6644">
      <w:r>
        <w:t>This paper reports on frequency dependent attenuation characterization using the spectral ratios method. The method involves comparing spectra of reflection from successive intervals generated from a CMP section to estimate the GPR quality factor Q* and from there, attenuation. The analysis was applied to two CMP data sets acquired in a limestone quarry, along the quarry floor using 500MHz antennas. The analysis showed that attenuation increases with increase in frequency from 0.2m</w:t>
      </w:r>
      <w:r w:rsidRPr="00412A08">
        <w:rPr>
          <w:vertAlign w:val="superscript"/>
        </w:rPr>
        <w:t>-1</w:t>
      </w:r>
      <w:r>
        <w:t xml:space="preserve"> at 200MHz up to 1.2 m</w:t>
      </w:r>
      <w:r w:rsidRPr="00412A08">
        <w:rPr>
          <w:vertAlign w:val="superscript"/>
        </w:rPr>
        <w:t>-1</w:t>
      </w:r>
      <w:r>
        <w:t xml:space="preserve"> at 800MHz. The analysis serves to improve </w:t>
      </w:r>
      <w:r>
        <w:rPr>
          <w:i/>
        </w:rPr>
        <w:t xml:space="preserve">in – situ </w:t>
      </w:r>
      <w:r>
        <w:t>characterization of attenuation especially where it is required for further analysis e.g. amplitude variation with offset analysis of GPR data.</w:t>
      </w:r>
    </w:p>
    <w:p w:rsidR="004A3F95" w:rsidRPr="004A3F95" w:rsidRDefault="004A3F95" w:rsidP="004A3F95">
      <w:pPr>
        <w:pStyle w:val="Heading2"/>
        <w:numPr>
          <w:ilvl w:val="0"/>
          <w:numId w:val="3"/>
        </w:numPr>
      </w:pPr>
      <w:r>
        <w:t xml:space="preserve">Introduction </w:t>
      </w:r>
    </w:p>
    <w:p w:rsidR="00576510" w:rsidRPr="004A3F95" w:rsidRDefault="0096680D" w:rsidP="004A3F95">
      <w:pPr>
        <w:rPr>
          <w:szCs w:val="24"/>
        </w:rPr>
      </w:pPr>
      <w:r>
        <w:rPr>
          <w:rFonts w:eastAsiaTheme="minorEastAsia"/>
        </w:rPr>
        <w:t xml:space="preserve">Attenuation and velocity in the ground are the major controls on the propagation of radar waves; these in turn depend on the electrical properties, mainly electrical conductivity and dielectric permittivity. Attenuation of radar waves is frequency dependent, owing to water relaxation mechanisms and ionic conductivity of pore solution if present, which creates frequency dependence </w:t>
      </w:r>
      <w:r>
        <w:rPr>
          <w:rFonts w:eastAsiaTheme="minorEastAsia"/>
        </w:rPr>
        <w:lastRenderedPageBreak/>
        <w:t xml:space="preserve">at low frequencies. The attraction of the GPR method lies in its short wavelength and hence good resolution, i.e. because of the high frequency used; but unfortunately, this makes it prone to attenuation thus limiting depth of penetration of the radar waves. The </w:t>
      </w:r>
      <w:r>
        <w:t>a</w:t>
      </w:r>
      <w:r w:rsidRPr="006A2D73">
        <w:t>ttenuation coefficient</w:t>
      </w:r>
      <w:r>
        <w:t xml:space="preserve"> (</w:t>
      </w:r>
      <w:r w:rsidRPr="006A2D73">
        <w:rPr>
          <w:i/>
        </w:rPr>
        <w:t>α</w:t>
      </w:r>
      <w:r>
        <w:t>, m</w:t>
      </w:r>
      <w:r w:rsidRPr="006440A2">
        <w:rPr>
          <w:vertAlign w:val="superscript"/>
        </w:rPr>
        <w:t>-1</w:t>
      </w:r>
      <w:r>
        <w:t>)</w:t>
      </w:r>
      <w:r>
        <w:rPr>
          <w:i/>
        </w:rPr>
        <w:t>,</w:t>
      </w:r>
      <w:r w:rsidRPr="006A2D73">
        <w:t xml:space="preserve"> </w:t>
      </w:r>
      <w:r w:rsidR="00044452">
        <w:t>can</w:t>
      </w:r>
      <w:r w:rsidRPr="006A2D73">
        <w:t xml:space="preserve"> be estimated using site specific laboratory or field estimates of electrical conductivity</w:t>
      </w:r>
      <w:r>
        <w:t xml:space="preserve"> (e.g. Turner and </w:t>
      </w:r>
      <w:proofErr w:type="spellStart"/>
      <w:r>
        <w:t>Siggins</w:t>
      </w:r>
      <w:proofErr w:type="spellEnd"/>
      <w:r>
        <w:t>, 1994 and Powers, 1997)</w:t>
      </w:r>
      <w:r w:rsidRPr="006A2D73">
        <w:t>.</w:t>
      </w:r>
      <w:r>
        <w:t xml:space="preserve"> This may not always be practicable, and hence further means of characterizing attenuation has been proposed, especially in geological media, which involves synthetic data analysis and comparison with field data (e.g. </w:t>
      </w:r>
      <w:proofErr w:type="spellStart"/>
      <w:r>
        <w:t>Hollender</w:t>
      </w:r>
      <w:proofErr w:type="spellEnd"/>
      <w:r>
        <w:t xml:space="preserve"> and </w:t>
      </w:r>
      <w:proofErr w:type="spellStart"/>
      <w:r>
        <w:t>Tillard</w:t>
      </w:r>
      <w:proofErr w:type="spellEnd"/>
      <w:r>
        <w:t xml:space="preserve">, 1998). </w:t>
      </w:r>
    </w:p>
    <w:p w:rsidR="0096680D" w:rsidRDefault="00576510" w:rsidP="0096680D">
      <w:pPr>
        <w:spacing w:after="240"/>
      </w:pPr>
      <w:r>
        <w:t xml:space="preserve">In the following analysis, </w:t>
      </w:r>
      <w:r w:rsidR="0096680D" w:rsidRPr="006A2D73">
        <w:rPr>
          <w:i/>
        </w:rPr>
        <w:t>α</w:t>
      </w:r>
      <w:r w:rsidR="0096680D">
        <w:t xml:space="preserve"> was</w:t>
      </w:r>
      <w:r>
        <w:t xml:space="preserve"> characterised in</w:t>
      </w:r>
      <w:r w:rsidR="00720B1A">
        <w:t xml:space="preserve"> a quarry, Threshfield quarry in Yorkshire United Kingdom, extracting Carboniferous Limestone. </w:t>
      </w:r>
      <w:r w:rsidR="00044452">
        <w:t>Frequency dependence of attenuation was measured from GPR Q*, determined through spectral ratios analysis on CMP data acquired on the quarry floor</w:t>
      </w:r>
      <w:r w:rsidR="00120FDC">
        <w:t xml:space="preserve">. </w:t>
      </w:r>
      <w:r w:rsidR="0096680D">
        <w:t xml:space="preserve"> </w:t>
      </w:r>
    </w:p>
    <w:bookmarkEnd w:id="0"/>
    <w:p w:rsidR="006C0121" w:rsidRDefault="006C0121" w:rsidP="004A3F95">
      <w:pPr>
        <w:pStyle w:val="Heading2"/>
        <w:numPr>
          <w:ilvl w:val="0"/>
          <w:numId w:val="3"/>
        </w:numPr>
      </w:pPr>
      <w:r>
        <w:t>Spectral ratios analysis</w:t>
      </w:r>
      <w:r w:rsidR="002D4FC6">
        <w:t xml:space="preserve"> - theory</w:t>
      </w:r>
    </w:p>
    <w:p w:rsidR="0096680D" w:rsidRDefault="0096680D" w:rsidP="0096680D">
      <w:r>
        <w:t xml:space="preserve">In GPR applications, a common assumption is that attenuation, within the signal bandwidth (an octave either side of the centre frequency) is linear with frequency. The general form of a propagating GPR wave is given by equation </w:t>
      </w:r>
      <w:r w:rsidR="002D4FC6">
        <w:t>1</w:t>
      </w:r>
      <w:r>
        <w:t xml:space="preserve">. </w:t>
      </w:r>
    </w:p>
    <w:p w:rsidR="0096680D" w:rsidRDefault="0096680D" w:rsidP="0096680D">
      <w:pPr>
        <w:ind w:firstLine="0"/>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exp</m:t>
            </m:r>
          </m:e>
          <m:sup>
            <m:d>
              <m:dPr>
                <m:ctrlPr>
                  <w:rPr>
                    <w:rFonts w:ascii="Cambria Math" w:hAnsi="Cambria Math"/>
                    <w:i/>
                  </w:rPr>
                </m:ctrlPr>
              </m:dPr>
              <m:e>
                <m:r>
                  <w:rPr>
                    <w:rFonts w:ascii="Cambria Math" w:hAnsi="Cambria Math"/>
                  </w:rPr>
                  <m:t>-αr</m:t>
                </m:r>
              </m:e>
            </m:d>
          </m:sup>
        </m:sSup>
        <m:sSup>
          <m:sSupPr>
            <m:ctrlPr>
              <w:rPr>
                <w:rFonts w:ascii="Cambria Math" w:hAnsi="Cambria Math"/>
                <w:i/>
              </w:rPr>
            </m:ctrlPr>
          </m:sSupPr>
          <m:e>
            <m:r>
              <w:rPr>
                <w:rFonts w:ascii="Cambria Math" w:hAnsi="Cambria Math"/>
              </w:rPr>
              <m:t>exp</m:t>
            </m:r>
          </m:e>
          <m:sup>
            <m:d>
              <m:dPr>
                <m:ctrlPr>
                  <w:rPr>
                    <w:rFonts w:ascii="Cambria Math" w:hAnsi="Cambria Math"/>
                    <w:i/>
                  </w:rPr>
                </m:ctrlPr>
              </m:dPr>
              <m:e>
                <m:r>
                  <w:rPr>
                    <w:rFonts w:ascii="Cambria Math" w:hAnsi="Cambria Math"/>
                  </w:rPr>
                  <m:t>iw</m:t>
                </m:r>
                <m:d>
                  <m:dPr>
                    <m:ctrlPr>
                      <w:rPr>
                        <w:rFonts w:ascii="Cambria Math" w:hAnsi="Cambria Math"/>
                        <w:i/>
                      </w:rPr>
                    </m:ctrlPr>
                  </m:dPr>
                  <m:e>
                    <m:r>
                      <w:rPr>
                        <w:rFonts w:ascii="Cambria Math" w:hAnsi="Cambria Math"/>
                      </w:rPr>
                      <m:t>t-r/c</m:t>
                    </m:r>
                  </m:e>
                </m:d>
              </m:e>
            </m:d>
          </m:sup>
        </m:sSup>
      </m:oMath>
      <w:r>
        <w:rPr>
          <w:rFonts w:eastAsiaTheme="minorEastAsia"/>
        </w:rPr>
        <w:t xml:space="preserve">                                                                                    </w:t>
      </w:r>
      <w:r w:rsidR="006C0121">
        <w:rPr>
          <w:rFonts w:eastAsiaTheme="minorEastAsia"/>
        </w:rPr>
        <w:t xml:space="preserve">                       </w:t>
      </w:r>
      <w:r>
        <w:rPr>
          <w:rFonts w:eastAsiaTheme="minorEastAsia"/>
        </w:rPr>
        <w:t>(</w:t>
      </w:r>
      <w:r w:rsidR="002D4FC6">
        <w:rPr>
          <w:rFonts w:eastAsiaTheme="minorEastAsia"/>
        </w:rPr>
        <w:t>1</w:t>
      </w:r>
      <w:r>
        <w:rPr>
          <w:rFonts w:eastAsiaTheme="minorEastAsia"/>
        </w:rPr>
        <w:t>)</w:t>
      </w:r>
    </w:p>
    <w:p w:rsidR="0096680D" w:rsidRDefault="0096680D" w:rsidP="0096680D">
      <w:pPr>
        <w:ind w:firstLine="0"/>
      </w:pPr>
      <w:r>
        <w:t xml:space="preserve">Where </w:t>
      </w:r>
      <w:r w:rsidRPr="00E95EBD">
        <w:rPr>
          <w:i/>
        </w:rPr>
        <w:t>A</w:t>
      </w:r>
      <w:r>
        <w:t xml:space="preserve"> is amplitude;</w:t>
      </w:r>
      <w:r w:rsidRPr="00E95EBD">
        <w:rPr>
          <w:i/>
        </w:rPr>
        <w:t xml:space="preserve"> t</w:t>
      </w:r>
      <w:r>
        <w:t xml:space="preserve"> is time; </w:t>
      </w:r>
      <w:r w:rsidRPr="00E95EBD">
        <w:rPr>
          <w:i/>
        </w:rPr>
        <w:t>r</w:t>
      </w:r>
      <w:r>
        <w:t xml:space="preserve"> is distance or ray path; </w:t>
      </w:r>
      <w:r w:rsidRPr="00E95EBD">
        <w:rPr>
          <w:i/>
        </w:rPr>
        <w:t>c</w:t>
      </w:r>
      <w:r>
        <w:t xml:space="preserve"> is phase velocity; </w:t>
      </w:r>
      <w:r w:rsidRPr="00E95EBD">
        <w:rPr>
          <w:i/>
        </w:rPr>
        <w:t>A</w:t>
      </w:r>
      <w:r w:rsidRPr="00E95EBD">
        <w:rPr>
          <w:i/>
          <w:vertAlign w:val="subscript"/>
        </w:rPr>
        <w:t>0</w:t>
      </w:r>
      <w:r w:rsidRPr="00E95EBD">
        <w:t xml:space="preserve"> i</w:t>
      </w:r>
      <w:r>
        <w:t xml:space="preserve">s amplitude at </w:t>
      </w:r>
      <w:r w:rsidRPr="00E95EBD">
        <w:rPr>
          <w:i/>
        </w:rPr>
        <w:t xml:space="preserve">r </w:t>
      </w:r>
      <w:r>
        <w:t xml:space="preserve">= 0, </w:t>
      </w:r>
      <w:r w:rsidRPr="00E95EBD">
        <w:rPr>
          <w:i/>
        </w:rPr>
        <w:t>t</w:t>
      </w:r>
      <w:r>
        <w:t xml:space="preserve"> = 0; </w:t>
      </w:r>
      <m:oMath>
        <m:r>
          <w:rPr>
            <w:rFonts w:ascii="Cambria Math" w:hAnsi="Cambria Math"/>
          </w:rPr>
          <m:t>α</m:t>
        </m:r>
      </m:oMath>
      <w:r>
        <w:t xml:space="preserve"> is attenuation coefficient; </w:t>
      </w:r>
      <m:oMath>
        <m:r>
          <w:rPr>
            <w:rFonts w:ascii="Cambria Math" w:hAnsi="Cambria Math"/>
          </w:rPr>
          <m:t>ω</m:t>
        </m:r>
      </m:oMath>
      <w:r>
        <w:t xml:space="preserve"> is angular frequency and</w:t>
      </w:r>
      <w:r w:rsidRPr="00E95EBD">
        <w:rPr>
          <w:i/>
        </w:rPr>
        <w:t xml:space="preserve"> </w:t>
      </w:r>
      <w:proofErr w:type="spellStart"/>
      <w:r w:rsidRPr="00E95EBD">
        <w:rPr>
          <w:i/>
        </w:rPr>
        <w:t>i</w:t>
      </w:r>
      <w:proofErr w:type="spellEnd"/>
      <w:r>
        <w:t xml:space="preserve"> =</w:t>
      </w:r>
      <m:oMath>
        <m:rad>
          <m:radPr>
            <m:degHide m:val="on"/>
            <m:ctrlPr>
              <w:rPr>
                <w:rFonts w:ascii="Cambria Math" w:hAnsi="Cambria Math"/>
                <w:i/>
                <w:sz w:val="20"/>
                <w:szCs w:val="20"/>
              </w:rPr>
            </m:ctrlPr>
          </m:radPr>
          <m:deg/>
          <m:e>
            <m:r>
              <w:rPr>
                <w:rFonts w:ascii="Cambria Math" w:hAnsi="Cambria Math"/>
                <w:sz w:val="20"/>
                <w:szCs w:val="20"/>
              </w:rPr>
              <m:t>-1</m:t>
            </m:r>
          </m:e>
        </m:rad>
      </m:oMath>
      <w:r>
        <w:t xml:space="preserve">. </w:t>
      </w:r>
    </w:p>
    <w:p w:rsidR="0096680D" w:rsidRPr="006824DA" w:rsidRDefault="0096680D" w:rsidP="0096680D">
      <w:pPr>
        <w:rPr>
          <w:rFonts w:cs="Times New Roman"/>
          <w:sz w:val="18"/>
          <w:szCs w:val="18"/>
          <w:vertAlign w:val="superscript"/>
        </w:rPr>
      </w:pPr>
      <w:r>
        <w:t xml:space="preserve">The properties </w:t>
      </w:r>
      <w:r>
        <w:rPr>
          <w:i/>
        </w:rPr>
        <w:t>c,</w:t>
      </w:r>
      <w:r>
        <w:t xml:space="preserve"> </w:t>
      </w:r>
      <m:oMath>
        <m:r>
          <w:rPr>
            <w:rFonts w:ascii="Cambria Math" w:hAnsi="Cambria Math"/>
          </w:rPr>
          <m:t>α</m:t>
        </m:r>
      </m:oMath>
      <w:r>
        <w:t xml:space="preserve"> and therefore </w:t>
      </w:r>
      <w:r>
        <w:rPr>
          <w:i/>
        </w:rPr>
        <w:t xml:space="preserve">A </w:t>
      </w:r>
      <w:r>
        <w:t xml:space="preserve">are frequency dependent. In seismic analysis, this frequency dependent wave propagation has been described by </w:t>
      </w:r>
      <w:r w:rsidRPr="00120FDC">
        <w:rPr>
          <w:i/>
        </w:rPr>
        <w:t>Q</w:t>
      </w:r>
      <w:r>
        <w:t xml:space="preserve">, the seismic quality factor and the phase velocity (Aki and Richards, 1980). Seismic </w:t>
      </w:r>
      <w:r w:rsidRPr="00120FDC">
        <w:rPr>
          <w:i/>
        </w:rPr>
        <w:t>Q</w:t>
      </w:r>
      <w:r w:rsidR="009D733D">
        <w:t xml:space="preserve"> is defined in Sherriff, (2002</w:t>
      </w:r>
      <w:r>
        <w:t>) as the ratio of 2π times the peak energy to the energy dissi</w:t>
      </w:r>
      <w:r w:rsidR="006C0121">
        <w:t xml:space="preserve">pated in one cycle (equation </w:t>
      </w:r>
      <w:r w:rsidR="002D4FC6">
        <w:t>2</w:t>
      </w:r>
      <w:r>
        <w:t xml:space="preserve">). Closely related to the seismic </w:t>
      </w:r>
      <w:r w:rsidRPr="00120FDC">
        <w:rPr>
          <w:i/>
        </w:rPr>
        <w:t>Q</w:t>
      </w:r>
      <w:r>
        <w:t xml:space="preserve"> is Turner and </w:t>
      </w:r>
      <w:proofErr w:type="spellStart"/>
      <w:r>
        <w:t>Siggins</w:t>
      </w:r>
      <w:proofErr w:type="spellEnd"/>
      <w:r>
        <w:t xml:space="preserve">’ (1994) </w:t>
      </w:r>
      <w:r w:rsidRPr="00120FDC">
        <w:rPr>
          <w:i/>
        </w:rPr>
        <w:t>Q*,</w:t>
      </w:r>
      <w:r>
        <w:t xml:space="preserve"> the GPR attenuation quality factor. In their paper, they showed that GPR attenuation can be approximated by a linear function of frequency over the frequency bandwidth of GPR instruments. </w:t>
      </w:r>
      <w:r w:rsidRPr="00120FDC">
        <w:rPr>
          <w:i/>
        </w:rPr>
        <w:t>Q*</w:t>
      </w:r>
      <w:r>
        <w:t xml:space="preserve"> in their paper is defined as the slope of the straight line portion of an attenuation versus frequency graph within th</w:t>
      </w:r>
      <w:r w:rsidR="006C0121">
        <w:t xml:space="preserve">e signal bandwidth (equation </w:t>
      </w:r>
      <w:r w:rsidR="002D4FC6">
        <w:t>3</w:t>
      </w:r>
      <w:r>
        <w:t xml:space="preserve">). </w:t>
      </w:r>
      <w:r>
        <w:rPr>
          <w:rFonts w:cs="Times New Roman"/>
        </w:rPr>
        <w:t xml:space="preserve">They assumed that </w:t>
      </w:r>
      <w:r w:rsidRPr="00120FDC">
        <w:rPr>
          <w:rFonts w:cs="Times New Roman"/>
          <w:i/>
        </w:rPr>
        <w:t>Q*</w:t>
      </w:r>
      <w:r>
        <w:rPr>
          <w:rFonts w:cs="Times New Roman"/>
        </w:rPr>
        <w:t xml:space="preserve"> within the signal bandwidth is constant and therefore </w:t>
      </w:r>
      <w:r w:rsidRPr="007C0F81">
        <w:rPr>
          <w:rFonts w:cs="Times New Roman"/>
        </w:rPr>
        <w:t>α</w:t>
      </w:r>
      <w:r>
        <w:rPr>
          <w:rFonts w:cs="Times New Roman"/>
        </w:rPr>
        <w:t xml:space="preserve"> is, within this bandwidth, linear with frequency. </w:t>
      </w:r>
      <w:r w:rsidRPr="00EA3FC5">
        <w:rPr>
          <w:rFonts w:cs="Times New Roman"/>
        </w:rPr>
        <w:t xml:space="preserve">They introduced equation </w:t>
      </w:r>
      <w:r w:rsidR="002D4FC6">
        <w:rPr>
          <w:rFonts w:cs="Times New Roman"/>
        </w:rPr>
        <w:t>4 so that</w:t>
      </w:r>
      <w:r w:rsidRPr="00EA3FC5">
        <w:rPr>
          <w:rFonts w:cs="Times New Roman"/>
        </w:rPr>
        <w:t xml:space="preserve"> </w:t>
      </w:r>
      <w:r w:rsidRPr="00120FDC">
        <w:rPr>
          <w:rFonts w:cs="Times New Roman"/>
          <w:i/>
        </w:rPr>
        <w:t>α</w:t>
      </w:r>
      <w:r w:rsidRPr="00120FDC">
        <w:rPr>
          <w:rFonts w:cs="Times New Roman"/>
          <w:i/>
          <w:vertAlign w:val="subscript"/>
        </w:rPr>
        <w:t>0</w:t>
      </w:r>
      <w:r w:rsidRPr="00EA3FC5">
        <w:rPr>
          <w:rFonts w:cs="Times New Roman"/>
        </w:rPr>
        <w:t xml:space="preserve"> represents all effects outside the f</w:t>
      </w:r>
      <w:r>
        <w:rPr>
          <w:rFonts w:cs="Times New Roman"/>
        </w:rPr>
        <w:t>requency bandwidth of the signal.</w:t>
      </w:r>
    </w:p>
    <w:p w:rsidR="0096680D" w:rsidRDefault="0096680D" w:rsidP="0096680D">
      <w:pPr>
        <w:ind w:firstLine="0"/>
      </w:pPr>
      <m:oMath>
        <m:r>
          <w:rPr>
            <w:rFonts w:ascii="Cambria Math" w:hAnsi="Cambria Math"/>
          </w:rPr>
          <m:t>Q=</m:t>
        </m:r>
        <m:f>
          <m:fPr>
            <m:ctrlPr>
              <w:rPr>
                <w:rFonts w:ascii="Cambria Math" w:hAnsi="Cambria Math"/>
                <w:i/>
              </w:rPr>
            </m:ctrlPr>
          </m:fPr>
          <m:num>
            <m:r>
              <w:rPr>
                <w:rFonts w:ascii="Cambria Math" w:hAnsi="Cambria Math"/>
              </w:rPr>
              <m:t>ω</m:t>
            </m:r>
          </m:num>
          <m:den>
            <m:r>
              <w:rPr>
                <w:rFonts w:ascii="Cambria Math" w:hAnsi="Cambria Math"/>
              </w:rPr>
              <m:t>2cα</m:t>
            </m:r>
          </m:den>
        </m:f>
      </m:oMath>
      <w:r>
        <w:rPr>
          <w:rFonts w:eastAsiaTheme="minorEastAsia"/>
        </w:rPr>
        <w:t xml:space="preserve">                                                                                         </w:t>
      </w:r>
      <w:r w:rsidR="006C0121">
        <w:rPr>
          <w:rFonts w:eastAsiaTheme="minorEastAsia"/>
        </w:rPr>
        <w:t xml:space="preserve">                                                     (</w:t>
      </w:r>
      <w:r w:rsidR="002D4FC6">
        <w:rPr>
          <w:rFonts w:eastAsiaTheme="minorEastAsia"/>
        </w:rPr>
        <w:t>2</w:t>
      </w:r>
      <w:r>
        <w:rPr>
          <w:rFonts w:eastAsiaTheme="minorEastAsia"/>
        </w:rPr>
        <w:t>)</w:t>
      </w:r>
    </w:p>
    <w:p w:rsidR="0096680D" w:rsidRDefault="006411AF" w:rsidP="0096680D">
      <w:pPr>
        <w:ind w:firstLine="0"/>
        <w:rPr>
          <w:rFonts w:eastAsiaTheme="minorEastAsia" w:cs="Times New Roman"/>
        </w:rPr>
      </w:pPr>
      <m:oMath>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2c</m:t>
            </m:r>
          </m:den>
        </m:f>
        <m:f>
          <m:fPr>
            <m:ctrlPr>
              <w:rPr>
                <w:rFonts w:ascii="Cambria Math" w:hAnsi="Cambria Math" w:cs="Times New Roman"/>
                <w:i/>
              </w:rPr>
            </m:ctrlPr>
          </m:fPr>
          <m:num>
            <m:r>
              <w:rPr>
                <w:rFonts w:ascii="Cambria Math" w:hAnsi="Cambria Math" w:cs="Times New Roman"/>
              </w:rPr>
              <m:t>∆ω</m:t>
            </m:r>
          </m:num>
          <m:den>
            <m:r>
              <w:rPr>
                <w:rFonts w:ascii="Cambria Math" w:hAnsi="Cambria Math" w:cs="Times New Roman"/>
              </w:rPr>
              <m:t>∆α</m:t>
            </m:r>
          </m:den>
        </m:f>
      </m:oMath>
      <w:r w:rsidR="0096680D">
        <w:rPr>
          <w:rFonts w:eastAsiaTheme="minorEastAsia" w:cs="Times New Roman"/>
        </w:rPr>
        <w:t xml:space="preserve">                                                                                       </w:t>
      </w:r>
      <w:r w:rsidR="006C0121">
        <w:rPr>
          <w:rFonts w:eastAsiaTheme="minorEastAsia" w:cs="Times New Roman"/>
        </w:rPr>
        <w:t xml:space="preserve">                                                   (</w:t>
      </w:r>
      <w:r w:rsidR="002D4FC6">
        <w:rPr>
          <w:rFonts w:eastAsiaTheme="minorEastAsia" w:cs="Times New Roman"/>
        </w:rPr>
        <w:t>3</w:t>
      </w:r>
      <w:r w:rsidR="0096680D">
        <w:rPr>
          <w:rFonts w:eastAsiaTheme="minorEastAsia" w:cs="Times New Roman"/>
        </w:rPr>
        <w:t>)</w:t>
      </w:r>
    </w:p>
    <w:p w:rsidR="0096680D" w:rsidRDefault="0096680D" w:rsidP="0096680D">
      <w:pPr>
        <w:ind w:firstLine="0"/>
        <w:rPr>
          <w:rFonts w:cs="Times New Roman"/>
        </w:rPr>
      </w:pPr>
      <m:oMath>
        <m:r>
          <w:rPr>
            <w:rFonts w:ascii="Cambria Math" w:hAnsi="Cambria Math" w:cs="Times New Roman"/>
          </w:rPr>
          <m:t>α</m:t>
        </m:r>
        <m:r>
          <w:rPr>
            <w:rFonts w:asci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cs="Times New Roman"/>
              </w:rPr>
              <m:t>0</m:t>
            </m:r>
          </m:sub>
        </m:sSub>
        <m:r>
          <w:rPr>
            <w:rFonts w:ascii="Cambria Math" w:cs="Times New Roman"/>
          </w:rPr>
          <m:t>+</m:t>
        </m:r>
        <m:f>
          <m:fPr>
            <m:ctrlPr>
              <w:rPr>
                <w:rFonts w:ascii="Cambria Math" w:hAnsi="Cambria Math" w:cs="Times New Roman"/>
                <w:i/>
              </w:rPr>
            </m:ctrlPr>
          </m:fPr>
          <m:num>
            <m:r>
              <w:rPr>
                <w:rFonts w:ascii="Cambria Math" w:hAnsi="Cambria Math" w:cs="Times New Roman"/>
              </w:rPr>
              <m:t>ω</m:t>
            </m:r>
          </m:num>
          <m:den>
            <m:r>
              <w:rPr>
                <w:rFonts w:ascii="Cambria Math" w:cs="Times New Roman"/>
              </w:rPr>
              <m:t>2</m:t>
            </m:r>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Q</m:t>
                </m:r>
              </m:e>
              <m:sup>
                <m:r>
                  <w:rPr>
                    <w:rFonts w:hAnsi="Cambria Math" w:cs="Times New Roman"/>
                  </w:rPr>
                  <m:t>*</m:t>
                </m:r>
              </m:sup>
            </m:sSup>
          </m:den>
        </m:f>
      </m:oMath>
      <w:r>
        <w:rPr>
          <w:rFonts w:eastAsiaTheme="minorEastAsia" w:cs="Times New Roman"/>
        </w:rPr>
        <w:t xml:space="preserve">                                                                                    </w:t>
      </w:r>
      <w:r w:rsidR="006C0121">
        <w:rPr>
          <w:rFonts w:eastAsiaTheme="minorEastAsia" w:cs="Times New Roman"/>
        </w:rPr>
        <w:t xml:space="preserve">                                                 (</w:t>
      </w:r>
      <w:r w:rsidR="002D4FC6">
        <w:rPr>
          <w:rFonts w:eastAsiaTheme="minorEastAsia" w:cs="Times New Roman"/>
        </w:rPr>
        <w:t>4</w:t>
      </w:r>
      <w:r>
        <w:rPr>
          <w:rFonts w:eastAsiaTheme="minorEastAsia" w:cs="Times New Roman"/>
        </w:rPr>
        <w:t>)</w:t>
      </w:r>
    </w:p>
    <w:p w:rsidR="0096680D" w:rsidRDefault="0096680D" w:rsidP="0096680D">
      <w:r w:rsidRPr="00120FDC">
        <w:rPr>
          <w:i/>
        </w:rPr>
        <w:t>Q*</w:t>
      </w:r>
      <w:r>
        <w:t xml:space="preserve"> value calculated within the signal bandwidth describes adequately attenuation in most rocks (Irving and Knight, 2003), thus it is necessary to find a means of extracting it from GPR data. The spectral ratios method described below is an approach for doing this. </w:t>
      </w:r>
    </w:p>
    <w:p w:rsidR="0096680D" w:rsidRDefault="0096680D" w:rsidP="0096680D">
      <w:r>
        <w:t>Spectral ratio analysis involves</w:t>
      </w:r>
      <w:r w:rsidRPr="008918ED">
        <w:t xml:space="preserve"> </w:t>
      </w:r>
      <w:r>
        <w:t>calculating the spectra of a pair of wavelets e.g. reflections from the two surfaces bounding an interval, to obtain amplitude decay versus frequency plot and, from there the slope of the straight line portion within the signal b</w:t>
      </w:r>
      <w:r w:rsidR="002D4FC6">
        <w:t>andwidth. Combining equations 2 and 4</w:t>
      </w:r>
      <w:r>
        <w:t xml:space="preserve"> gives:</w:t>
      </w:r>
    </w:p>
    <w:p w:rsidR="0096680D" w:rsidRDefault="006411AF" w:rsidP="0096680D">
      <w:pPr>
        <w:ind w:firstLine="0"/>
        <w:jc w:val="left"/>
        <w:rPr>
          <w:rFonts w:eastAsiaTheme="minorEastAsia"/>
        </w:rPr>
      </w:pPr>
      <m:oMath>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=R.G.</m:t>
        </m:r>
        <m:sSup>
          <m:sSupPr>
            <m:ctrlPr>
              <w:rPr>
                <w:rFonts w:ascii="Cambria Math" w:hAnsi="Cambria Math"/>
                <w:i/>
              </w:rPr>
            </m:ctrlPr>
          </m:sSupPr>
          <m:e>
            <m:r>
              <w:rPr>
                <w:rFonts w:ascii="Cambria Math" w:hAnsi="Cambria Math"/>
              </w:rPr>
              <m:t>exp</m:t>
            </m:r>
          </m:e>
          <m:sup>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r -</m:t>
                </m:r>
                <m:f>
                  <m:fPr>
                    <m:ctrlPr>
                      <w:rPr>
                        <w:rFonts w:ascii="Cambria Math" w:hAnsi="Cambria Math"/>
                        <w:i/>
                      </w:rPr>
                    </m:ctrlPr>
                  </m:fPr>
                  <m:num>
                    <m:r>
                      <w:rPr>
                        <w:rFonts w:ascii="Cambria Math" w:hAnsi="Cambria Math"/>
                      </w:rPr>
                      <m:t>ωr</m:t>
                    </m:r>
                  </m:num>
                  <m:den>
                    <m:r>
                      <w:rPr>
                        <w:rFonts w:ascii="Cambria Math" w:hAnsi="Cambria Math"/>
                      </w:rPr>
                      <m:t>2cQ*</m:t>
                    </m:r>
                  </m:den>
                </m:f>
              </m:e>
            </m:d>
          </m:sup>
        </m:sSup>
        <m:r>
          <w:rPr>
            <w:rFonts w:ascii="Cambria Math" w:hAnsi="Cambria Math"/>
          </w:rPr>
          <m:t xml:space="preserve"> </m:t>
        </m:r>
      </m:oMath>
      <w:r w:rsidR="0096680D">
        <w:rPr>
          <w:rFonts w:eastAsiaTheme="minorEastAsia"/>
        </w:rPr>
        <w:t xml:space="preserve">                                                               </w:t>
      </w:r>
      <w:r w:rsidR="006C0121">
        <w:rPr>
          <w:rFonts w:eastAsiaTheme="minorEastAsia"/>
        </w:rPr>
        <w:t xml:space="preserve">                                                  (</w:t>
      </w:r>
      <w:r w:rsidR="002D4FC6">
        <w:rPr>
          <w:rFonts w:eastAsiaTheme="minorEastAsia"/>
        </w:rPr>
        <w:t>5</w:t>
      </w:r>
      <w:r w:rsidR="0096680D">
        <w:rPr>
          <w:rFonts w:eastAsiaTheme="minorEastAsia"/>
        </w:rPr>
        <w:t>)</w:t>
      </w:r>
    </w:p>
    <w:p w:rsidR="0096680D" w:rsidRDefault="0096680D" w:rsidP="0096680D">
      <w:pPr>
        <w:ind w:firstLine="0"/>
        <w:rPr>
          <w:rFonts w:eastAsiaTheme="minorEastAsia"/>
        </w:rPr>
      </w:pPr>
      <w:r>
        <w:rPr>
          <w:rFonts w:eastAsiaTheme="minorEastAsia"/>
        </w:rPr>
        <w:t xml:space="preserve">That is, considering only the wave amplitude; </w:t>
      </w:r>
      <w:r w:rsidRPr="00CB6EE2">
        <w:rPr>
          <w:rFonts w:eastAsiaTheme="minorEastAsia"/>
          <w:i/>
        </w:rPr>
        <w:t>R</w:t>
      </w:r>
      <w:r>
        <w:rPr>
          <w:rFonts w:eastAsiaTheme="minorEastAsia"/>
        </w:rPr>
        <w:t xml:space="preserve"> and </w:t>
      </w:r>
      <w:r w:rsidRPr="00CB6EE2">
        <w:rPr>
          <w:rFonts w:eastAsiaTheme="minorEastAsia"/>
          <w:i/>
        </w:rPr>
        <w:t>G</w:t>
      </w:r>
      <w:r>
        <w:rPr>
          <w:rFonts w:eastAsiaTheme="minorEastAsia"/>
        </w:rPr>
        <w:t xml:space="preserve"> are frequency independent reflection/transmission and geometric spreading respectively. Replacing </w:t>
      </w:r>
      <w:r w:rsidRPr="00CB6EE2">
        <w:rPr>
          <w:rFonts w:eastAsiaTheme="minorEastAsia"/>
          <w:i/>
        </w:rPr>
        <w:t>c</w:t>
      </w:r>
      <w:r>
        <w:rPr>
          <w:rFonts w:eastAsiaTheme="minorEastAsia"/>
        </w:rPr>
        <w:t xml:space="preserve"> in equation </w:t>
      </w:r>
      <w:r w:rsidR="002D4FC6">
        <w:rPr>
          <w:rFonts w:eastAsiaTheme="minorEastAsia"/>
        </w:rPr>
        <w:t>5</w:t>
      </w:r>
      <w:r w:rsidR="006C0121">
        <w:rPr>
          <w:rFonts w:eastAsiaTheme="minorEastAsia"/>
        </w:rPr>
        <w:t xml:space="preserve"> </w:t>
      </w:r>
      <w:r>
        <w:rPr>
          <w:rFonts w:eastAsiaTheme="minorEastAsia"/>
        </w:rPr>
        <w:t>by</w:t>
      </w:r>
      <m:oMath>
        <m:r>
          <w:rPr>
            <w:rFonts w:ascii="Cambria Math" w:eastAsiaTheme="minorEastAsia" w:hAnsi="Cambria Math"/>
          </w:rPr>
          <m:t xml:space="preserve">  r/t</m:t>
        </m:r>
      </m:oMath>
      <w:r>
        <w:rPr>
          <w:rFonts w:eastAsiaTheme="minorEastAsia"/>
        </w:rPr>
        <w:t xml:space="preserve">, and </w:t>
      </w:r>
      <m:oMath>
        <m:r>
          <w:rPr>
            <w:rFonts w:ascii="Cambria Math" w:eastAsiaTheme="minorEastAsia" w:hAnsi="Cambria Math"/>
          </w:rPr>
          <m:t>ω</m:t>
        </m:r>
      </m:oMath>
      <w:r>
        <w:rPr>
          <w:rFonts w:eastAsiaTheme="minorEastAsia"/>
        </w:rPr>
        <w:t xml:space="preserve"> by </w:t>
      </w:r>
      <m:oMath>
        <m:r>
          <w:rPr>
            <w:rFonts w:ascii="Cambria Math" w:eastAsiaTheme="minorEastAsia" w:hAnsi="Cambria Math"/>
          </w:rPr>
          <m:t>2πf</m:t>
        </m:r>
      </m:oMath>
      <w:r>
        <w:rPr>
          <w:rFonts w:eastAsiaTheme="minorEastAsia"/>
        </w:rPr>
        <w:t xml:space="preserve"> gives:</w:t>
      </w:r>
    </w:p>
    <w:p w:rsidR="0096680D" w:rsidRDefault="006411AF" w:rsidP="0096680D">
      <w:pPr>
        <w:ind w:firstLine="0"/>
        <w:rPr>
          <w:rFonts w:eastAsiaTheme="minorEastAsia"/>
        </w:rPr>
      </w:pPr>
      <m:oMath>
        <m:f>
          <m:fPr>
            <m:ctrlPr>
              <w:rPr>
                <w:rFonts w:ascii="Cambria Math" w:eastAsiaTheme="minorEastAsia" w:hAnsi="Cambria Math"/>
                <w:i/>
              </w:rPr>
            </m:ctrlPr>
          </m:fPr>
          <m:num>
            <m:r>
              <w:rPr>
                <w:rFonts w:ascii="Cambria Math" w:eastAsiaTheme="minorEastAsia" w:hAnsi="Cambria Math"/>
              </w:rPr>
              <m:t>A</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R.G.</m:t>
            </m:r>
            <m:sSup>
              <m:sSupPr>
                <m:ctrlPr>
                  <w:rPr>
                    <w:rFonts w:ascii="Cambria Math" w:eastAsiaTheme="minorEastAsia" w:hAnsi="Cambria Math"/>
                    <w:i/>
                  </w:rPr>
                </m:ctrlPr>
              </m:sSupPr>
              <m:e>
                <m:r>
                  <w:rPr>
                    <w:rFonts w:ascii="Cambria Math" w:eastAsiaTheme="minorEastAsia" w:hAnsi="Cambria Math"/>
                  </w:rPr>
                  <m:t>exp</m:t>
                </m:r>
              </m:e>
              <m:sup>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0</m:t>
                        </m:r>
                      </m:sub>
                    </m:sSub>
                    <m:r>
                      <w:rPr>
                        <w:rFonts w:ascii="Cambria Math" w:eastAsiaTheme="minorEastAsia" w:hAnsi="Cambria Math"/>
                      </w:rPr>
                      <m:t>r</m:t>
                    </m:r>
                  </m:e>
                </m:d>
              </m:sup>
            </m:sSup>
          </m:e>
        </m:d>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exp</m:t>
                </m:r>
              </m:e>
              <m:sup>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πft</m:t>
                        </m:r>
                      </m:num>
                      <m:den>
                        <m:r>
                          <w:rPr>
                            <w:rFonts w:ascii="Cambria Math" w:eastAsiaTheme="minorEastAsia" w:hAnsi="Cambria Math"/>
                          </w:rPr>
                          <m:t>Q*</m:t>
                        </m:r>
                      </m:den>
                    </m:f>
                  </m:e>
                </m:d>
              </m:sup>
            </m:sSup>
          </m:e>
        </m:d>
      </m:oMath>
      <w:r w:rsidR="0096680D">
        <w:rPr>
          <w:rFonts w:eastAsiaTheme="minorEastAsia"/>
        </w:rPr>
        <w:t xml:space="preserve">                                                 </w:t>
      </w:r>
      <w:r w:rsidR="006C0121">
        <w:rPr>
          <w:rFonts w:eastAsiaTheme="minorEastAsia"/>
        </w:rPr>
        <w:t xml:space="preserve">                                                    (</w:t>
      </w:r>
      <w:r w:rsidR="002D4FC6">
        <w:rPr>
          <w:rFonts w:eastAsiaTheme="minorEastAsia"/>
        </w:rPr>
        <w:t>6</w:t>
      </w:r>
      <w:r w:rsidR="0096680D">
        <w:rPr>
          <w:rFonts w:eastAsiaTheme="minorEastAsia"/>
        </w:rPr>
        <w:t>)</w:t>
      </w:r>
    </w:p>
    <w:p w:rsidR="0096680D" w:rsidRDefault="0096680D" w:rsidP="0096680D">
      <w:pPr>
        <w:ind w:firstLine="0"/>
        <w:rPr>
          <w:rFonts w:eastAsiaTheme="minorEastAsia"/>
        </w:rPr>
      </w:pPr>
      <w:r>
        <w:rPr>
          <w:rFonts w:eastAsiaTheme="minorEastAsia"/>
        </w:rPr>
        <w:t>Taking the natural lo</w:t>
      </w:r>
      <w:r w:rsidR="006C0121">
        <w:rPr>
          <w:rFonts w:eastAsiaTheme="minorEastAsia"/>
        </w:rPr>
        <w:t>g of both sides of equation 8</w:t>
      </w:r>
      <w:r>
        <w:rPr>
          <w:rFonts w:eastAsiaTheme="minorEastAsia"/>
        </w:rPr>
        <w:t xml:space="preserve"> gives:</w:t>
      </w:r>
    </w:p>
    <w:p w:rsidR="0096680D" w:rsidRDefault="0096680D" w:rsidP="0096680D">
      <w:pPr>
        <w:ind w:firstLine="0"/>
        <w:rPr>
          <w:rFonts w:eastAsiaTheme="minorEastAsia"/>
        </w:rPr>
      </w:pPr>
      <m:oMath>
        <m:r>
          <w:rPr>
            <w:rFonts w:ascii="Cambria Math" w:eastAsiaTheme="minorEastAsia" w:hAnsi="Cambria Math"/>
          </w:rPr>
          <m:t>ln</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R.G</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r</m:t>
                </m:r>
              </m:sub>
            </m:sSub>
            <m:r>
              <w:rPr>
                <w:rFonts w:ascii="Cambria Math" w:eastAsiaTheme="minorEastAsia" w:hAnsi="Cambria Math"/>
              </w:rPr>
              <m:t>r</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πt</m:t>
            </m:r>
          </m:num>
          <m:den>
            <m:r>
              <w:rPr>
                <w:rFonts w:ascii="Cambria Math" w:eastAsiaTheme="minorEastAsia" w:hAnsi="Cambria Math"/>
              </w:rPr>
              <m:t>Q*</m:t>
            </m:r>
          </m:den>
        </m:f>
        <m:r>
          <w:rPr>
            <w:rFonts w:ascii="Cambria Math" w:eastAsiaTheme="minorEastAsia" w:hAnsi="Cambria Math"/>
          </w:rPr>
          <m:t>.f</m:t>
        </m:r>
      </m:oMath>
      <w:r>
        <w:rPr>
          <w:rFonts w:eastAsiaTheme="minorEastAsia"/>
        </w:rPr>
        <w:t xml:space="preserve">             </w:t>
      </w:r>
      <w:r w:rsidR="00120FDC">
        <w:rPr>
          <w:rFonts w:eastAsiaTheme="minorEastAsia"/>
        </w:rPr>
        <w:t xml:space="preserve">                               </w:t>
      </w:r>
      <w:r>
        <w:rPr>
          <w:rFonts w:eastAsiaTheme="minorEastAsia"/>
        </w:rPr>
        <w:t xml:space="preserve">       </w:t>
      </w:r>
      <w:r w:rsidR="006C0121">
        <w:rPr>
          <w:rFonts w:eastAsiaTheme="minorEastAsia"/>
        </w:rPr>
        <w:t xml:space="preserve">                            </w:t>
      </w:r>
      <w:r w:rsidR="002D4FC6">
        <w:rPr>
          <w:rFonts w:eastAsiaTheme="minorEastAsia"/>
        </w:rPr>
        <w:t xml:space="preserve">  </w:t>
      </w:r>
      <w:r w:rsidR="006C0121">
        <w:rPr>
          <w:rFonts w:eastAsiaTheme="minorEastAsia"/>
        </w:rPr>
        <w:t xml:space="preserve">                    (</w:t>
      </w:r>
      <w:r w:rsidR="002D4FC6">
        <w:rPr>
          <w:rFonts w:eastAsiaTheme="minorEastAsia"/>
        </w:rPr>
        <w:t>7</w:t>
      </w:r>
      <w:r>
        <w:rPr>
          <w:rFonts w:eastAsiaTheme="minorEastAsia"/>
        </w:rPr>
        <w:t>)</w:t>
      </w:r>
    </w:p>
    <w:p w:rsidR="0096680D" w:rsidRPr="00D36C59" w:rsidRDefault="0096680D" w:rsidP="0096680D">
      <w:pPr>
        <w:ind w:firstLine="0"/>
        <w:rPr>
          <w:rFonts w:eastAsiaTheme="minorEastAsia"/>
        </w:rPr>
      </w:pPr>
      <w:r>
        <w:rPr>
          <w:rFonts w:eastAsiaTheme="minorEastAsia"/>
        </w:rPr>
        <w:t xml:space="preserve">Plotting </w:t>
      </w:r>
      <m:oMath>
        <m:r>
          <w:rPr>
            <w:rFonts w:ascii="Cambria Math" w:eastAsiaTheme="minorEastAsia" w:hAnsi="Cambria Math"/>
          </w:rPr>
          <m:t>ln</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e>
        </m:d>
        <m:r>
          <w:rPr>
            <w:rFonts w:ascii="Cambria Math" w:eastAsiaTheme="minorEastAsia" w:hAnsi="Cambria Math"/>
          </w:rPr>
          <m:t xml:space="preserve"> </m:t>
        </m:r>
      </m:oMath>
      <w:r>
        <w:rPr>
          <w:rFonts w:eastAsiaTheme="minorEastAsia"/>
        </w:rPr>
        <w:t xml:space="preserve">versus </w:t>
      </w:r>
      <m:oMath>
        <m:r>
          <w:rPr>
            <w:rFonts w:ascii="Cambria Math" w:eastAsiaTheme="minorEastAsia" w:hAnsi="Cambria Math"/>
          </w:rPr>
          <m:t>f</m:t>
        </m:r>
      </m:oMath>
      <w:r>
        <w:rPr>
          <w:rFonts w:eastAsiaTheme="minorEastAsia"/>
        </w:rPr>
        <w:t xml:space="preserve"> gives a linear trend with slope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πt</m:t>
            </m:r>
          </m:num>
          <m:den>
            <m:r>
              <w:rPr>
                <w:rFonts w:ascii="Cambria Math" w:eastAsiaTheme="minorEastAsia" w:hAnsi="Cambria Math"/>
              </w:rPr>
              <m:t>Q*</m:t>
            </m:r>
          </m:den>
        </m:f>
      </m:oMath>
      <w:r>
        <w:rPr>
          <w:rFonts w:eastAsiaTheme="minorEastAsia"/>
        </w:rPr>
        <w:t xml:space="preserve">, where </w:t>
      </w:r>
      <w:r w:rsidRPr="004A3F95">
        <w:rPr>
          <w:rFonts w:eastAsiaTheme="minorEastAsia"/>
          <w:i/>
        </w:rPr>
        <w:t>t</w:t>
      </w:r>
      <w:r>
        <w:rPr>
          <w:rFonts w:eastAsiaTheme="minorEastAsia"/>
        </w:rPr>
        <w:t xml:space="preserve"> is the travel time difference between the two wavelets; </w:t>
      </w:r>
      <w:r w:rsidRPr="009A4539">
        <w:rPr>
          <w:rFonts w:eastAsiaTheme="minorEastAsia"/>
          <w:i/>
        </w:rPr>
        <w:t>R</w:t>
      </w:r>
      <w:r>
        <w:rPr>
          <w:rFonts w:eastAsiaTheme="minorEastAsia"/>
        </w:rPr>
        <w:t xml:space="preserve">, </w:t>
      </w:r>
      <w:r w:rsidRPr="009A4539">
        <w:rPr>
          <w:rFonts w:eastAsiaTheme="minorEastAsia"/>
          <w:i/>
        </w:rPr>
        <w:t>G</w:t>
      </w:r>
      <w:r>
        <w:rPr>
          <w:rFonts w:eastAsiaTheme="minorEastAsia"/>
        </w:rPr>
        <w:t xml:space="preserve">, and </w:t>
      </w:r>
      <w:r w:rsidRPr="000852EC">
        <w:rPr>
          <w:rFonts w:eastAsiaTheme="minorEastAsia" w:cs="Times New Roman"/>
          <w:i/>
        </w:rPr>
        <w:t>α</w:t>
      </w:r>
      <w:r w:rsidRPr="000852EC">
        <w:rPr>
          <w:rFonts w:eastAsiaTheme="minorEastAsia"/>
          <w:i/>
          <w:vertAlign w:val="subscript"/>
        </w:rPr>
        <w:t>0</w:t>
      </w:r>
      <w:r>
        <w:rPr>
          <w:rFonts w:eastAsiaTheme="minorEastAsia"/>
          <w:vertAlign w:val="subscript"/>
        </w:rPr>
        <w:t xml:space="preserve"> </w:t>
      </w:r>
      <w:r>
        <w:rPr>
          <w:rFonts w:eastAsiaTheme="minorEastAsia"/>
        </w:rPr>
        <w:t xml:space="preserve">are discarded in the intercept term that isn’t used in estimating </w:t>
      </w:r>
      <w:r w:rsidRPr="000852EC">
        <w:rPr>
          <w:rFonts w:eastAsiaTheme="minorEastAsia"/>
          <w:i/>
        </w:rPr>
        <w:t>Q*</w:t>
      </w:r>
      <w:r>
        <w:rPr>
          <w:rFonts w:eastAsiaTheme="minorEastAsia"/>
        </w:rPr>
        <w:t xml:space="preserve">.  </w:t>
      </w:r>
      <w:r>
        <w:t xml:space="preserve">The slope obtained in this manner is used to calculate </w:t>
      </w:r>
      <w:r w:rsidRPr="000852EC">
        <w:rPr>
          <w:i/>
        </w:rPr>
        <w:t>Q*</w:t>
      </w:r>
      <w:r>
        <w:t xml:space="preserve"> and subsequently attenuation in the interval of interest using equation </w:t>
      </w:r>
      <w:r w:rsidR="00616855">
        <w:t>3</w:t>
      </w:r>
      <w:r>
        <w:t xml:space="preserve">. The theoretical basis and the method itself is explained in detail in: </w:t>
      </w:r>
      <w:r w:rsidRPr="006A2D73">
        <w:t>Sears and Bonner</w:t>
      </w:r>
      <w:r>
        <w:t>,</w:t>
      </w:r>
      <w:r w:rsidRPr="006A2D73">
        <w:t xml:space="preserve"> (1981), </w:t>
      </w:r>
      <w:proofErr w:type="spellStart"/>
      <w:r>
        <w:t>Tonn</w:t>
      </w:r>
      <w:proofErr w:type="spellEnd"/>
      <w:r>
        <w:t xml:space="preserve">, (1991) and </w:t>
      </w:r>
      <w:proofErr w:type="spellStart"/>
      <w:r>
        <w:t>Dasgupta</w:t>
      </w:r>
      <w:proofErr w:type="spellEnd"/>
      <w:r>
        <w:t xml:space="preserve"> and Clark, (1998);</w:t>
      </w:r>
      <w:r w:rsidRPr="006A2D73">
        <w:t xml:space="preserve"> all applied to seismic data.</w:t>
      </w:r>
      <w:r>
        <w:t xml:space="preserve"> Extracting </w:t>
      </w:r>
      <w:r w:rsidRPr="004A3F95">
        <w:rPr>
          <w:i/>
        </w:rPr>
        <w:t>Q</w:t>
      </w:r>
      <w:r>
        <w:t xml:space="preserve"> from CMP data was discussed in </w:t>
      </w:r>
      <w:proofErr w:type="spellStart"/>
      <w:r>
        <w:t>Dasgupta</w:t>
      </w:r>
      <w:proofErr w:type="spellEnd"/>
      <w:r>
        <w:t xml:space="preserve"> and Clark, (1998) where a plot of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πt</m:t>
            </m:r>
          </m:num>
          <m:den>
            <m:r>
              <w:rPr>
                <w:rFonts w:ascii="Cambria Math" w:eastAsiaTheme="minorEastAsia" w:hAnsi="Cambria Math"/>
              </w:rPr>
              <m:t>Q*</m:t>
            </m:r>
          </m:den>
        </m:f>
      </m:oMath>
      <w:r>
        <w:t xml:space="preserve"> versus </w:t>
      </w:r>
      <w:r w:rsidRPr="009D1643">
        <w:t>derived offset – by offset for a single reflection relative to a reference source wavelet</w:t>
      </w:r>
      <w:r>
        <w:t>, was extrapolated to give a zero offset spectral ratio slope and hence a source to reflector Q value pairs</w:t>
      </w:r>
      <w:r w:rsidRPr="009D1643">
        <w:t xml:space="preserve"> which are</w:t>
      </w:r>
      <w:r>
        <w:t xml:space="preserve"> subsequently used to characterize attenuation in a layer. More recently, in</w:t>
      </w:r>
      <w:r w:rsidRPr="00004C12">
        <w:rPr>
          <w:szCs w:val="24"/>
        </w:rPr>
        <w:t xml:space="preserve"> </w:t>
      </w:r>
      <w:r>
        <w:rPr>
          <w:szCs w:val="24"/>
        </w:rPr>
        <w:t xml:space="preserve">Axtell </w:t>
      </w:r>
      <w:r>
        <w:rPr>
          <w:i/>
          <w:szCs w:val="24"/>
        </w:rPr>
        <w:t>et al.,</w:t>
      </w:r>
      <w:r>
        <w:rPr>
          <w:szCs w:val="24"/>
        </w:rPr>
        <w:t xml:space="preserve"> (2011), a refinement of this after </w:t>
      </w:r>
      <w:proofErr w:type="spellStart"/>
      <w:r>
        <w:rPr>
          <w:szCs w:val="24"/>
        </w:rPr>
        <w:t>Reine</w:t>
      </w:r>
      <w:proofErr w:type="spellEnd"/>
      <w:r>
        <w:rPr>
          <w:szCs w:val="24"/>
        </w:rPr>
        <w:t xml:space="preserve"> </w:t>
      </w:r>
      <w:r>
        <w:rPr>
          <w:i/>
          <w:szCs w:val="24"/>
        </w:rPr>
        <w:t>et al</w:t>
      </w:r>
      <w:r>
        <w:rPr>
          <w:szCs w:val="24"/>
        </w:rPr>
        <w:t xml:space="preserve">., (2009) was applied to GPR </w:t>
      </w:r>
      <w:r>
        <w:rPr>
          <w:szCs w:val="24"/>
        </w:rPr>
        <w:lastRenderedPageBreak/>
        <w:t xml:space="preserve">data, and the spectral ratios of common emergence angle pairs are compared to eliminate the need for antennae pattern corrections. </w:t>
      </w:r>
    </w:p>
    <w:p w:rsidR="0096680D" w:rsidRDefault="004A3F95" w:rsidP="0096680D">
      <w:r>
        <w:t>In this analysis</w:t>
      </w:r>
      <w:r w:rsidR="0096680D">
        <w:t xml:space="preserve">, I use the same approach outlined in Axtell </w:t>
      </w:r>
      <w:r w:rsidR="0096680D">
        <w:rPr>
          <w:i/>
        </w:rPr>
        <w:t xml:space="preserve">et al., </w:t>
      </w:r>
      <w:r w:rsidR="0096680D">
        <w:t>(2011), to characterize attenuation in the field site.</w:t>
      </w:r>
      <w:r w:rsidR="0096680D" w:rsidRPr="006A2D73">
        <w:t xml:space="preserve"> </w:t>
      </w:r>
      <w:r w:rsidR="0096680D">
        <w:t xml:space="preserve">To extract a </w:t>
      </w:r>
      <w:r w:rsidR="0096680D" w:rsidRPr="004A3F95">
        <w:rPr>
          <w:i/>
        </w:rPr>
        <w:t>Q*</w:t>
      </w:r>
      <w:r w:rsidR="0096680D">
        <w:t xml:space="preserve"> value for an interval in a CMP section, two wavelets travelling with the same ray path geometry in the overburden but one reflected from the top and one from the bottom surfaces of the interval of interest i.e. from sequential reflections need to </w:t>
      </w:r>
      <w:r w:rsidR="00120FDC">
        <w:t>be compared</w:t>
      </w:r>
      <w:r w:rsidR="0096680D">
        <w:t>. This is done by simple 1D ray tracing after the basic processing steps have been applied to the data and a velocity – depth model is available.</w:t>
      </w:r>
      <w:r w:rsidR="0096680D" w:rsidRPr="00D178DA">
        <w:t xml:space="preserve"> </w:t>
      </w:r>
      <w:r w:rsidR="0096680D">
        <w:t>After selecting pairs of wavelets with the same emergence angles, a segment of data containing the wavelet needs to be selected, a process which depends on the centre frequency and hence period of the GPR pulse.</w:t>
      </w:r>
    </w:p>
    <w:p w:rsidR="0096680D" w:rsidRDefault="0096680D" w:rsidP="0096680D">
      <w:pPr>
        <w:spacing w:line="240" w:lineRule="auto"/>
        <w:ind w:firstLine="0"/>
      </w:pPr>
      <w:r w:rsidRPr="00440EFC">
        <w:rPr>
          <w:noProof/>
          <w:lang w:eastAsia="en-GB"/>
        </w:rPr>
        <w:drawing>
          <wp:inline distT="0" distB="0" distL="0" distR="0">
            <wp:extent cx="3744784" cy="1980000"/>
            <wp:effectExtent l="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b="4282"/>
                    <a:stretch>
                      <a:fillRect/>
                    </a:stretch>
                  </pic:blipFill>
                  <pic:spPr bwMode="auto">
                    <a:xfrm>
                      <a:off x="0" y="0"/>
                      <a:ext cx="3744784" cy="1980000"/>
                    </a:xfrm>
                    <a:prstGeom prst="rect">
                      <a:avLst/>
                    </a:prstGeom>
                    <a:noFill/>
                    <a:ln w="9525">
                      <a:noFill/>
                      <a:miter lim="800000"/>
                      <a:headEnd/>
                      <a:tailEnd/>
                    </a:ln>
                  </pic:spPr>
                </pic:pic>
              </a:graphicData>
            </a:graphic>
          </wp:inline>
        </w:drawing>
      </w:r>
    </w:p>
    <w:p w:rsidR="0096680D" w:rsidRDefault="0096680D" w:rsidP="0096680D">
      <w:pPr>
        <w:spacing w:line="240" w:lineRule="auto"/>
        <w:ind w:firstLine="0"/>
      </w:pPr>
      <w:proofErr w:type="gramStart"/>
      <w:r>
        <w:t xml:space="preserve">Figure </w:t>
      </w:r>
      <w:r w:rsidR="004C6E63">
        <w:t>1</w:t>
      </w:r>
      <w:r w:rsidR="00120FDC">
        <w:t>.</w:t>
      </w:r>
      <w:proofErr w:type="gramEnd"/>
      <w:r w:rsidR="00120FDC">
        <w:t xml:space="preserve"> </w:t>
      </w:r>
      <w:r>
        <w:t xml:space="preserve">Wavelet analysis: a plot of raw and processed (after de – trending and applying a </w:t>
      </w:r>
      <w:proofErr w:type="spellStart"/>
      <w:r>
        <w:t>Hann</w:t>
      </w:r>
      <w:proofErr w:type="spellEnd"/>
      <w:r>
        <w:t xml:space="preserve"> taper) </w:t>
      </w:r>
      <w:r w:rsidRPr="00440EFC">
        <w:rPr>
          <w:i/>
        </w:rPr>
        <w:t>w</w:t>
      </w:r>
      <w:r w:rsidRPr="00440EFC">
        <w:rPr>
          <w:i/>
          <w:vertAlign w:val="subscript"/>
        </w:rPr>
        <w:t>1</w:t>
      </w:r>
      <w:r>
        <w:t xml:space="preserve"> wavelet.</w:t>
      </w:r>
    </w:p>
    <w:p w:rsidR="0096680D" w:rsidRDefault="0096680D" w:rsidP="0096680D">
      <w:pPr>
        <w:spacing w:after="0" w:line="240" w:lineRule="auto"/>
        <w:ind w:firstLine="0"/>
      </w:pPr>
    </w:p>
    <w:p w:rsidR="0096680D" w:rsidRPr="00DF13D1" w:rsidRDefault="0096680D" w:rsidP="004C6E63">
      <w:r>
        <w:t>This was achieved through visual examination of the traces, bearing in mind the dominant period of the GPR signal (2n</w:t>
      </w:r>
      <w:r w:rsidR="004C6E63">
        <w:t>s for the wavelet in figure 1</w:t>
      </w:r>
      <w:r>
        <w:t xml:space="preserve">), thus selecting a window long enough to enclose the wavelet, but short enough to avoid including other events. The wavelets are tapered with a </w:t>
      </w:r>
      <w:proofErr w:type="spellStart"/>
      <w:r>
        <w:t>Hann</w:t>
      </w:r>
      <w:proofErr w:type="spellEnd"/>
      <w:r>
        <w:t xml:space="preserve"> window function which tapers either side of the wavelet to reduce spectral leakage during the fast Fourier transform (</w:t>
      </w:r>
      <w:proofErr w:type="spellStart"/>
      <w:r>
        <w:t>fft</w:t>
      </w:r>
      <w:proofErr w:type="spellEnd"/>
      <w:r>
        <w:t xml:space="preserve">) of the wavelet; they are then de - trended to centre the wavelet about zero amplitude, and remove </w:t>
      </w:r>
      <w:r w:rsidRPr="00DF13D1">
        <w:rPr>
          <w:color w:val="000000" w:themeColor="text1"/>
        </w:rPr>
        <w:t>frequencies below the lowest harmonic</w:t>
      </w:r>
      <w:r>
        <w:t>.</w:t>
      </w:r>
      <w:r w:rsidRPr="005560D9">
        <w:t xml:space="preserve"> </w:t>
      </w:r>
      <w:r w:rsidR="004C6E63">
        <w:t>Figure 1</w:t>
      </w:r>
      <w:r>
        <w:t xml:space="preserve"> shows a wavelet before and after tapering and de - trending. </w:t>
      </w:r>
    </w:p>
    <w:p w:rsidR="0096680D" w:rsidRDefault="0096680D" w:rsidP="0096680D">
      <w:pPr>
        <w:spacing w:after="0" w:line="240" w:lineRule="auto"/>
        <w:ind w:firstLine="0"/>
        <w:rPr>
          <w:rFonts w:cs="Times New Roman"/>
        </w:rPr>
      </w:pPr>
      <w:r>
        <w:rPr>
          <w:rFonts w:cs="Times New Roman"/>
        </w:rPr>
        <w:t>(a)</w:t>
      </w:r>
    </w:p>
    <w:p w:rsidR="0096680D" w:rsidRDefault="0096680D" w:rsidP="0096680D">
      <w:pPr>
        <w:spacing w:after="0" w:line="240" w:lineRule="auto"/>
        <w:ind w:firstLine="0"/>
        <w:rPr>
          <w:rFonts w:cs="Times New Roman"/>
        </w:rPr>
      </w:pPr>
      <w:r>
        <w:rPr>
          <w:rFonts w:cs="Times New Roman"/>
          <w:noProof/>
          <w:lang w:eastAsia="en-GB"/>
        </w:rPr>
        <w:lastRenderedPageBreak/>
        <w:drawing>
          <wp:inline distT="0" distB="0" distL="0" distR="0">
            <wp:extent cx="3458907" cy="2232000"/>
            <wp:effectExtent l="0" t="0" r="0" b="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4301" r="7124"/>
                    <a:stretch>
                      <a:fillRect/>
                    </a:stretch>
                  </pic:blipFill>
                  <pic:spPr bwMode="auto">
                    <a:xfrm>
                      <a:off x="0" y="0"/>
                      <a:ext cx="3458907" cy="2232000"/>
                    </a:xfrm>
                    <a:prstGeom prst="rect">
                      <a:avLst/>
                    </a:prstGeom>
                    <a:noFill/>
                    <a:ln w="9525">
                      <a:noFill/>
                      <a:miter lim="800000"/>
                      <a:headEnd/>
                      <a:tailEnd/>
                    </a:ln>
                  </pic:spPr>
                </pic:pic>
              </a:graphicData>
            </a:graphic>
          </wp:inline>
        </w:drawing>
      </w:r>
    </w:p>
    <w:p w:rsidR="0096680D" w:rsidRDefault="0096680D" w:rsidP="0096680D">
      <w:pPr>
        <w:spacing w:after="0" w:line="240" w:lineRule="auto"/>
        <w:ind w:firstLine="0"/>
        <w:rPr>
          <w:rFonts w:cs="Times New Roman"/>
        </w:rPr>
      </w:pPr>
      <w:r>
        <w:rPr>
          <w:rFonts w:cs="Times New Roman"/>
        </w:rPr>
        <w:t>(b)</w:t>
      </w:r>
    </w:p>
    <w:p w:rsidR="0096680D" w:rsidRDefault="0096680D" w:rsidP="0096680D">
      <w:pPr>
        <w:spacing w:line="240" w:lineRule="auto"/>
        <w:ind w:firstLine="0"/>
        <w:rPr>
          <w:rFonts w:cs="Times New Roman"/>
        </w:rPr>
      </w:pPr>
      <w:r w:rsidRPr="00DF13D1">
        <w:rPr>
          <w:noProof/>
          <w:lang w:eastAsia="en-GB"/>
        </w:rPr>
        <w:drawing>
          <wp:inline distT="0" distB="0" distL="0" distR="0">
            <wp:extent cx="3507475" cy="2135875"/>
            <wp:effectExtent l="19050" t="0" r="0" b="0"/>
            <wp:docPr id="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1517" r="33502"/>
                    <a:stretch>
                      <a:fillRect/>
                    </a:stretch>
                  </pic:blipFill>
                  <pic:spPr bwMode="auto">
                    <a:xfrm>
                      <a:off x="0" y="0"/>
                      <a:ext cx="3507475" cy="2135875"/>
                    </a:xfrm>
                    <a:prstGeom prst="rect">
                      <a:avLst/>
                    </a:prstGeom>
                    <a:noFill/>
                    <a:ln w="9525">
                      <a:noFill/>
                      <a:miter lim="800000"/>
                      <a:headEnd/>
                      <a:tailEnd/>
                    </a:ln>
                  </pic:spPr>
                </pic:pic>
              </a:graphicData>
            </a:graphic>
          </wp:inline>
        </w:drawing>
      </w:r>
    </w:p>
    <w:p w:rsidR="0096680D" w:rsidRDefault="0096680D" w:rsidP="0096680D">
      <w:pPr>
        <w:spacing w:line="240" w:lineRule="auto"/>
        <w:ind w:firstLine="0"/>
      </w:pPr>
      <w:r>
        <w:t xml:space="preserve">Figure </w:t>
      </w:r>
      <w:r w:rsidR="0067107A">
        <w:t>2</w:t>
      </w:r>
      <w:r>
        <w:t xml:space="preserve"> Spectral ratios analysis fo</w:t>
      </w:r>
      <w:r w:rsidR="002E09A5">
        <w:t>r the wavelet in figure 3</w:t>
      </w:r>
      <w:r>
        <w:t>; (a) plots the spectra for the wavelet and a scaled version of the wavelet, (b) plots the spectral ratios between the wavelet and its scaled (by 0.7) version.</w:t>
      </w:r>
    </w:p>
    <w:p w:rsidR="004C6E63" w:rsidRDefault="004C6E63" w:rsidP="004C6E63">
      <w:r>
        <w:t xml:space="preserve">The spectra of the wavelets are then taken using the </w:t>
      </w:r>
      <w:proofErr w:type="spellStart"/>
      <w:r>
        <w:t>fft</w:t>
      </w:r>
      <w:proofErr w:type="spellEnd"/>
      <w:r>
        <w:t xml:space="preserve">; and the ratio: </w:t>
      </w:r>
      <m:oMath>
        <m:r>
          <w:rPr>
            <w:rFonts w:ascii="Cambria Math" w:eastAsiaTheme="minorEastAsia" w:hAnsi="Cambria Math"/>
          </w:rPr>
          <m:t>ln</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e>
        </m:d>
      </m:oMath>
      <w:r>
        <w:rPr>
          <w:rFonts w:eastAsiaTheme="minorEastAsia"/>
        </w:rPr>
        <w:t xml:space="preserve"> </w:t>
      </w:r>
      <w:r>
        <w:t>is then plotted against frequency (</w:t>
      </w:r>
      <m:oMath>
        <m:r>
          <w:rPr>
            <w:rFonts w:ascii="Cambria Math" w:eastAsiaTheme="minorEastAsia" w:hAnsi="Cambria Math"/>
          </w:rPr>
          <m:t>f</m:t>
        </m:r>
      </m:oMath>
      <w:r>
        <w:rPr>
          <w:rFonts w:eastAsiaTheme="minorEastAsia"/>
        </w:rPr>
        <w:t>)</w:t>
      </w:r>
      <w:r>
        <w:rPr>
          <w:rFonts w:ascii="Cambria Math" w:hAnsi="Cambria Math"/>
        </w:rPr>
        <w:t>.</w:t>
      </w:r>
      <w:r>
        <w:t xml:space="preserve"> The slope of the linear portion within the signal bandwidth is then taken which is proportional to 1/Q* (equation 7), and then, </w:t>
      </w:r>
      <w:r>
        <w:rPr>
          <w:rFonts w:cs="Times New Roman"/>
        </w:rPr>
        <w:t>α</w:t>
      </w:r>
      <w:r>
        <w:t xml:space="preserve"> is obtained using equation 8 below (equation 17 in Turner and </w:t>
      </w:r>
      <w:proofErr w:type="spellStart"/>
      <w:r>
        <w:t>Siggins</w:t>
      </w:r>
      <w:proofErr w:type="spellEnd"/>
      <w:r>
        <w:t>, 1994).</w:t>
      </w:r>
      <w:bookmarkStart w:id="1" w:name="_GoBack"/>
      <w:bookmarkEnd w:id="1"/>
    </w:p>
    <w:p w:rsidR="004C6E63" w:rsidRDefault="004C6E63" w:rsidP="004C6E63">
      <w:pPr>
        <w:ind w:firstLine="0"/>
      </w:pPr>
      <m:oMath>
        <m:r>
          <w:rPr>
            <w:rFonts w:ascii="Cambria Math" w:hAnsi="Cambria Math"/>
          </w:rPr>
          <m:t xml:space="preserve">α= </m:t>
        </m:r>
        <m:f>
          <m:fPr>
            <m:ctrlPr>
              <w:rPr>
                <w:rFonts w:ascii="Cambria Math" w:hAnsi="Cambria Math"/>
                <w:i/>
              </w:rPr>
            </m:ctrlPr>
          </m:fPr>
          <m:num>
            <m:r>
              <w:rPr>
                <w:rFonts w:ascii="Cambria Math" w:hAnsi="Cambria Math"/>
              </w:rPr>
              <m:t>ω</m:t>
            </m:r>
          </m:num>
          <m:den>
            <m:r>
              <w:rPr>
                <w:rFonts w:ascii="Cambria Math" w:hAnsi="Cambria Math"/>
              </w:rPr>
              <m:t>2vQ*</m:t>
            </m:r>
          </m:den>
        </m:f>
      </m:oMath>
      <w:r>
        <w:rPr>
          <w:rFonts w:eastAsiaTheme="minorEastAsia"/>
        </w:rPr>
        <w:t>.                                                                                                                                          (8)</w:t>
      </w:r>
    </w:p>
    <w:p w:rsidR="004C6E63" w:rsidRPr="00DF13D1" w:rsidRDefault="004C6E63" w:rsidP="004C6E63">
      <w:pPr>
        <w:ind w:firstLine="0"/>
      </w:pPr>
      <w:proofErr w:type="gramStart"/>
      <w:r>
        <w:t xml:space="preserve">Where </w:t>
      </w:r>
      <m:oMath>
        <w:proofErr w:type="gramEnd"/>
        <m:r>
          <w:rPr>
            <w:rFonts w:ascii="Cambria Math" w:hAnsi="Cambria Math"/>
          </w:rPr>
          <m:t>ω=2πf</m:t>
        </m:r>
      </m:oMath>
      <w:r>
        <w:rPr>
          <w:rFonts w:eastAsiaTheme="minorEastAsia"/>
        </w:rPr>
        <w:t xml:space="preserve">, </w:t>
      </w:r>
      <w:r w:rsidRPr="00851CF8">
        <w:rPr>
          <w:rFonts w:eastAsiaTheme="minorEastAsia"/>
          <w:i/>
        </w:rPr>
        <w:t>v</w:t>
      </w:r>
      <w:r>
        <w:rPr>
          <w:rFonts w:eastAsiaTheme="minorEastAsia"/>
        </w:rPr>
        <w:t xml:space="preserve"> is velocity in the interval being analysed.</w:t>
      </w:r>
      <w:r>
        <w:t xml:space="preserve"> </w:t>
      </w:r>
    </w:p>
    <w:p w:rsidR="0096680D" w:rsidRDefault="0096680D" w:rsidP="0096680D">
      <w:pPr>
        <w:spacing w:after="0"/>
      </w:pPr>
      <w:r w:rsidRPr="001B012C">
        <w:t>This processing flow was coded in MATLAB</w:t>
      </w:r>
      <w:r>
        <w:rPr>
          <w:rFonts w:cs="Times New Roman"/>
          <w:vertAlign w:val="superscript"/>
        </w:rPr>
        <w:t>®</w:t>
      </w:r>
      <w:r w:rsidRPr="001B012C">
        <w:t>; to test</w:t>
      </w:r>
      <w:r>
        <w:t xml:space="preserve"> and validate the code, I calculated the spectral ratios between </w:t>
      </w:r>
      <w:r w:rsidR="002E09A5">
        <w:t>a</w:t>
      </w:r>
      <w:r>
        <w:t xml:space="preserve"> </w:t>
      </w:r>
      <w:r w:rsidRPr="000F22C7">
        <w:t>wavelet</w:t>
      </w:r>
      <w:r>
        <w:t xml:space="preserve"> recorded with </w:t>
      </w:r>
      <w:r w:rsidR="002E09A5">
        <w:t xml:space="preserve">500MHz GPR antennae facing each other, </w:t>
      </w:r>
      <w:r>
        <w:t xml:space="preserve">and its </w:t>
      </w:r>
      <w:r w:rsidRPr="000F22C7">
        <w:t>scaled version</w:t>
      </w:r>
      <w:r>
        <w:t xml:space="preserve">. For convenience, I will call the </w:t>
      </w:r>
      <w:r w:rsidRPr="003A63A7">
        <w:t xml:space="preserve">wavelet </w:t>
      </w:r>
      <w:r w:rsidRPr="00A551D2">
        <w:rPr>
          <w:i/>
        </w:rPr>
        <w:t>w</w:t>
      </w:r>
      <w:r w:rsidRPr="000F22C7">
        <w:rPr>
          <w:i/>
          <w:vertAlign w:val="subscript"/>
        </w:rPr>
        <w:t>1</w:t>
      </w:r>
      <w:r>
        <w:rPr>
          <w:i/>
          <w:vertAlign w:val="subscript"/>
        </w:rPr>
        <w:t xml:space="preserve"> </w:t>
      </w:r>
      <w:r w:rsidRPr="00851CF8">
        <w:t>and</w:t>
      </w:r>
      <w:r>
        <w:rPr>
          <w:i/>
          <w:vertAlign w:val="subscript"/>
        </w:rPr>
        <w:t xml:space="preserve"> </w:t>
      </w:r>
      <w:r>
        <w:t xml:space="preserve">the </w:t>
      </w:r>
      <w:r w:rsidRPr="003A63A7">
        <w:t>scaled wavelet</w:t>
      </w:r>
      <w:r>
        <w:t xml:space="preserve"> </w:t>
      </w:r>
      <w:r w:rsidRPr="00A551D2">
        <w:rPr>
          <w:i/>
        </w:rPr>
        <w:t>w</w:t>
      </w:r>
      <w:r>
        <w:rPr>
          <w:i/>
          <w:vertAlign w:val="subscript"/>
        </w:rPr>
        <w:t>2</w:t>
      </w:r>
      <w:r>
        <w:t xml:space="preserve">. This simulates a layer with infinite </w:t>
      </w:r>
      <w:r w:rsidRPr="002E09A5">
        <w:rPr>
          <w:i/>
        </w:rPr>
        <w:t>Q</w:t>
      </w:r>
      <w:r>
        <w:t xml:space="preserve">; </w:t>
      </w:r>
      <w:r w:rsidRPr="00A551D2">
        <w:rPr>
          <w:i/>
        </w:rPr>
        <w:t>w</w:t>
      </w:r>
      <w:r w:rsidRPr="00A551D2">
        <w:rPr>
          <w:i/>
          <w:vertAlign w:val="subscript"/>
        </w:rPr>
        <w:t>1</w:t>
      </w:r>
      <w:r>
        <w:t xml:space="preserve"> and </w:t>
      </w:r>
      <w:r w:rsidRPr="00A551D2">
        <w:rPr>
          <w:i/>
        </w:rPr>
        <w:t>w</w:t>
      </w:r>
      <w:r w:rsidRPr="00A551D2">
        <w:rPr>
          <w:i/>
          <w:vertAlign w:val="subscript"/>
        </w:rPr>
        <w:t>2</w:t>
      </w:r>
      <w:r>
        <w:t xml:space="preserve"> will be identical except in their absolute amplitudes due to more geometric spreading affecting </w:t>
      </w:r>
      <w:r w:rsidRPr="00A551D2">
        <w:rPr>
          <w:i/>
        </w:rPr>
        <w:t>w</w:t>
      </w:r>
      <w:r w:rsidRPr="00A551D2">
        <w:rPr>
          <w:i/>
          <w:vertAlign w:val="subscript"/>
        </w:rPr>
        <w:t>2</w:t>
      </w:r>
      <w:r>
        <w:t xml:space="preserve"> relative to </w:t>
      </w:r>
      <w:r w:rsidRPr="00A551D2">
        <w:rPr>
          <w:i/>
        </w:rPr>
        <w:t>w</w:t>
      </w:r>
      <w:r w:rsidRPr="00A551D2">
        <w:rPr>
          <w:i/>
          <w:vertAlign w:val="subscript"/>
        </w:rPr>
        <w:t>1</w:t>
      </w:r>
      <w:r>
        <w:t xml:space="preserve"> and therefore, the spectral ratio plot for these two </w:t>
      </w:r>
      <w:r>
        <w:lastRenderedPageBreak/>
        <w:t xml:space="preserve">wavelets will be flat. I scaled </w:t>
      </w:r>
      <w:r w:rsidRPr="00A551D2">
        <w:rPr>
          <w:i/>
        </w:rPr>
        <w:t>w</w:t>
      </w:r>
      <w:r w:rsidRPr="00A551D2">
        <w:rPr>
          <w:i/>
          <w:vertAlign w:val="subscript"/>
        </w:rPr>
        <w:t>2</w:t>
      </w:r>
      <w:r>
        <w:t xml:space="preserve"> by a factor of 0.7; their spectra and corresponding spectral ratios are shown in figures </w:t>
      </w:r>
      <w:r w:rsidR="004C6E63">
        <w:t>2a and 2b respectively. In figure 2</w:t>
      </w:r>
      <w:r>
        <w:t>b, the spectral ratio graph is flat meaning the code is working as it should.</w:t>
      </w:r>
    </w:p>
    <w:p w:rsidR="0096680D" w:rsidRPr="001B012C" w:rsidRDefault="0096680D" w:rsidP="0096680D">
      <w:pPr>
        <w:spacing w:after="0" w:line="240" w:lineRule="auto"/>
        <w:ind w:firstLine="0"/>
      </w:pPr>
    </w:p>
    <w:p w:rsidR="0096680D" w:rsidRDefault="0096680D" w:rsidP="0096680D">
      <w:r w:rsidRPr="00254B2E">
        <w:rPr>
          <w:rFonts w:cs="Times New Roman"/>
          <w:u w:val="single"/>
        </w:rPr>
        <w:t>CMP data:</w:t>
      </w:r>
      <w:r>
        <w:rPr>
          <w:rFonts w:cs="Times New Roman"/>
        </w:rPr>
        <w:t xml:space="preserve"> </w:t>
      </w:r>
    </w:p>
    <w:p w:rsidR="0096680D" w:rsidRDefault="0096680D" w:rsidP="0096680D">
      <w:r>
        <w:t xml:space="preserve">In applying the spectral ratios approach to CMP data, GPR traces containing reflections from the top and bottom surfaces defining an interval, and recorded at a single particular offset, </w:t>
      </w:r>
      <w:r w:rsidRPr="00161495">
        <w:rPr>
          <w:i/>
        </w:rPr>
        <w:t>cannot</w:t>
      </w:r>
      <w:r>
        <w:t xml:space="preserve"> be used to measure the GPR </w:t>
      </w:r>
      <w:r w:rsidRPr="002E09A5">
        <w:rPr>
          <w:i/>
        </w:rPr>
        <w:t>Q*</w:t>
      </w:r>
      <w:r>
        <w:t xml:space="preserve">. It therefore becomes mandatory to extract, from the CMP data, wavelet pairs defining an interval of interest, which have the same take off and emergence angles; hence (except at zero – offset) not recorded at the same offset. </w:t>
      </w:r>
      <w:r w:rsidR="00E56BB7">
        <w:t>F</w:t>
      </w:r>
      <w:r w:rsidR="004C6E63">
        <w:t xml:space="preserve">or a single trace recorded at a non – zero offset using the CMP survey geometry, </w:t>
      </w:r>
      <w:r w:rsidR="004C6E63" w:rsidRPr="006A2D73">
        <w:rPr>
          <w:szCs w:val="24"/>
          <w:lang w:eastAsia="en-GB"/>
        </w:rPr>
        <w:t xml:space="preserve">each </w:t>
      </w:r>
      <w:r w:rsidR="004C6E63">
        <w:rPr>
          <w:szCs w:val="24"/>
          <w:lang w:eastAsia="en-GB"/>
        </w:rPr>
        <w:t xml:space="preserve">successive </w:t>
      </w:r>
      <w:r w:rsidR="004C6E63" w:rsidRPr="006A2D73">
        <w:rPr>
          <w:szCs w:val="24"/>
          <w:lang w:eastAsia="en-GB"/>
        </w:rPr>
        <w:t xml:space="preserve">wavelet </w:t>
      </w:r>
      <w:r w:rsidR="004C6E63">
        <w:rPr>
          <w:szCs w:val="24"/>
          <w:lang w:eastAsia="en-GB"/>
        </w:rPr>
        <w:t>reflected has a different ray path</w:t>
      </w:r>
      <w:r w:rsidR="004C6E63" w:rsidRPr="006A2D73">
        <w:rPr>
          <w:szCs w:val="24"/>
          <w:lang w:eastAsia="en-GB"/>
        </w:rPr>
        <w:t xml:space="preserve"> and therefore a dif</w:t>
      </w:r>
      <w:r w:rsidR="004C6E63">
        <w:rPr>
          <w:szCs w:val="24"/>
          <w:lang w:eastAsia="en-GB"/>
        </w:rPr>
        <w:t>ferent radiation angle</w:t>
      </w:r>
      <w:r w:rsidR="004C6E63">
        <w:t xml:space="preserve"> i.e. emergence angle for each refl</w:t>
      </w:r>
      <w:r w:rsidR="00E56BB7">
        <w:t>ection is different (figure 3</w:t>
      </w:r>
      <w:r w:rsidR="004C6E63">
        <w:t>). The emergence angle for a ray incident on a horizontal and planar surface is the angle measured from the nor</w:t>
      </w:r>
      <w:r w:rsidR="00E56BB7">
        <w:t>mal to the surface. The emergence angle can be</w:t>
      </w:r>
      <w:r w:rsidR="004C6E63">
        <w:t xml:space="preserve"> computed iteratively by 1D ray tracing according to Snell’s law assuming horizontal layers with constant thicknesses, and taking account of 1D velocity variations.  </w:t>
      </w:r>
    </w:p>
    <w:p w:rsidR="001D2C2C" w:rsidRDefault="001D2C2C" w:rsidP="00E56BB7">
      <w:pPr>
        <w:spacing w:line="240" w:lineRule="auto"/>
        <w:ind w:firstLine="0"/>
      </w:pPr>
      <w:r w:rsidRPr="001D2C2C">
        <w:rPr>
          <w:noProof/>
          <w:lang w:eastAsia="en-GB"/>
        </w:rPr>
        <w:drawing>
          <wp:inline distT="0" distB="0" distL="0" distR="0">
            <wp:extent cx="5727700" cy="3476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27700" cy="3476625"/>
                    </a:xfrm>
                    <a:prstGeom prst="rect">
                      <a:avLst/>
                    </a:prstGeom>
                    <a:noFill/>
                    <a:ln w="9525">
                      <a:noFill/>
                      <a:miter lim="800000"/>
                      <a:headEnd/>
                      <a:tailEnd/>
                    </a:ln>
                  </pic:spPr>
                </pic:pic>
              </a:graphicData>
            </a:graphic>
          </wp:inline>
        </w:drawing>
      </w:r>
    </w:p>
    <w:p w:rsidR="00E56BB7" w:rsidRDefault="001D2C2C" w:rsidP="00E56BB7">
      <w:pPr>
        <w:spacing w:line="240" w:lineRule="auto"/>
        <w:ind w:firstLine="0"/>
      </w:pPr>
      <w:r>
        <w:t xml:space="preserve">Figure </w:t>
      </w:r>
      <w:r w:rsidR="00C15EFE">
        <w:t>3</w:t>
      </w:r>
      <w:r w:rsidR="00E56BB7">
        <w:t xml:space="preserve"> A schematic </w:t>
      </w:r>
      <w:proofErr w:type="gramStart"/>
      <w:r w:rsidR="00E56BB7">
        <w:t>representation</w:t>
      </w:r>
      <w:proofErr w:type="gramEnd"/>
      <w:r w:rsidR="00E56BB7">
        <w:t xml:space="preserve"> of a CMP geometry showing emergence and incidence angles (i.e. </w:t>
      </w:r>
      <w:proofErr w:type="spellStart"/>
      <w:r w:rsidR="00E56BB7">
        <w:rPr>
          <w:rFonts w:cs="Times New Roman"/>
        </w:rPr>
        <w:t>θ</w:t>
      </w:r>
      <w:r w:rsidR="00E56BB7">
        <w:rPr>
          <w:rFonts w:cs="Times New Roman"/>
          <w:vertAlign w:val="subscript"/>
        </w:rPr>
        <w:t>e</w:t>
      </w:r>
      <w:proofErr w:type="spellEnd"/>
      <w:r w:rsidR="00E56BB7">
        <w:rPr>
          <w:rFonts w:cs="Times New Roman"/>
        </w:rPr>
        <w:t xml:space="preserve"> and </w:t>
      </w:r>
      <w:proofErr w:type="spellStart"/>
      <w:r w:rsidR="00E56BB7">
        <w:rPr>
          <w:rFonts w:cs="Times New Roman"/>
        </w:rPr>
        <w:t>θ</w:t>
      </w:r>
      <w:r w:rsidR="00E56BB7">
        <w:rPr>
          <w:rFonts w:cs="Times New Roman"/>
          <w:vertAlign w:val="subscript"/>
        </w:rPr>
        <w:t>i</w:t>
      </w:r>
      <w:proofErr w:type="spellEnd"/>
      <w:r w:rsidR="00E56BB7">
        <w:rPr>
          <w:rFonts w:cs="Times New Roman"/>
        </w:rPr>
        <w:t xml:space="preserve"> respectively</w:t>
      </w:r>
      <w:r w:rsidR="00E56BB7">
        <w:t xml:space="preserve">) for successive reflections. </w:t>
      </w:r>
    </w:p>
    <w:p w:rsidR="003B6644" w:rsidRDefault="003B6644" w:rsidP="00E56BB7">
      <w:pPr>
        <w:spacing w:line="240" w:lineRule="auto"/>
        <w:ind w:firstLine="0"/>
        <w:rPr>
          <w:u w:val="single"/>
        </w:rPr>
      </w:pPr>
    </w:p>
    <w:p w:rsidR="00F87F81" w:rsidRDefault="00F87F81" w:rsidP="00E56BB7">
      <w:pPr>
        <w:spacing w:line="240" w:lineRule="auto"/>
        <w:ind w:firstLine="0"/>
        <w:rPr>
          <w:u w:val="single"/>
        </w:rPr>
      </w:pPr>
      <w:r w:rsidRPr="00F87F81">
        <w:rPr>
          <w:u w:val="single"/>
        </w:rPr>
        <w:lastRenderedPageBreak/>
        <w:t>CMP data acquisition and processing</w:t>
      </w:r>
    </w:p>
    <w:p w:rsidR="00F87F81" w:rsidRDefault="00C54CDD" w:rsidP="00C54CDD">
      <w:r>
        <w:t xml:space="preserve">Two transverse electric TE mode CMP data sets (i.e. CMP2a and CMP2b) were collected on the horizontal quarry floor using a 500 MHz Pulse </w:t>
      </w:r>
      <w:proofErr w:type="spellStart"/>
      <w:r>
        <w:t>Ekko</w:t>
      </w:r>
      <w:proofErr w:type="spellEnd"/>
      <w:r>
        <w:t xml:space="preserve"> Pro GPR system by Sensors and Software. The data were processed using the Reflex - Win version 3.5.1 (Sandmeier 1997 - 2004). In order to preserve the amplitude characteristics which the analysis requires, the </w:t>
      </w:r>
      <w:r w:rsidR="00BC36F5">
        <w:t>following processing was done: d</w:t>
      </w:r>
      <w:r>
        <w:t>e-wow, time-zero corrections, band - pass filtering, gain, migration and Hilbert transform. Table 1 summarizes data acquisition parameters.</w:t>
      </w:r>
      <w:r w:rsidR="00F87F81">
        <w:t xml:space="preserve"> </w:t>
      </w:r>
    </w:p>
    <w:p w:rsidR="00C54CDD" w:rsidRDefault="00C54CDD" w:rsidP="00C54CDD">
      <w:pPr>
        <w:spacing w:after="0" w:line="240" w:lineRule="auto"/>
        <w:ind w:firstLine="0"/>
      </w:pPr>
      <w:proofErr w:type="gramStart"/>
      <w:r>
        <w:t>Table 1.</w:t>
      </w:r>
      <w:proofErr w:type="gramEnd"/>
      <w:r>
        <w:t xml:space="preserve"> CMP data acquisition parameters</w:t>
      </w:r>
    </w:p>
    <w:tbl>
      <w:tblPr>
        <w:tblStyle w:val="TableGrid"/>
        <w:tblW w:w="664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4928"/>
        <w:gridCol w:w="1719"/>
      </w:tblGrid>
      <w:tr w:rsidR="00C54CDD" w:rsidRPr="007657F2" w:rsidTr="0067107A">
        <w:trPr>
          <w:trHeight w:val="393"/>
        </w:trPr>
        <w:tc>
          <w:tcPr>
            <w:tcW w:w="4928" w:type="dxa"/>
            <w:tcBorders>
              <w:top w:val="single" w:sz="18" w:space="0" w:color="auto"/>
              <w:bottom w:val="single" w:sz="2" w:space="0" w:color="auto"/>
            </w:tcBorders>
          </w:tcPr>
          <w:p w:rsidR="00C54CDD" w:rsidRPr="007657F2" w:rsidRDefault="00C54CDD" w:rsidP="00C54CDD">
            <w:pPr>
              <w:pStyle w:val="NormalWeb"/>
              <w:widowControl w:val="0"/>
              <w:spacing w:before="0" w:beforeAutospacing="0" w:after="0" w:afterAutospacing="0"/>
              <w:rPr>
                <w:shadow/>
                <w:sz w:val="24"/>
              </w:rPr>
            </w:pPr>
            <w:r w:rsidRPr="007657F2">
              <w:rPr>
                <w:shadow/>
                <w:color w:val="000000"/>
                <w:kern w:val="24"/>
                <w:sz w:val="24"/>
              </w:rPr>
              <w:t xml:space="preserve">Parameter </w:t>
            </w:r>
          </w:p>
        </w:tc>
        <w:tc>
          <w:tcPr>
            <w:tcW w:w="1719" w:type="dxa"/>
            <w:tcBorders>
              <w:top w:val="single" w:sz="18" w:space="0" w:color="auto"/>
              <w:bottom w:val="single" w:sz="2" w:space="0" w:color="auto"/>
            </w:tcBorders>
          </w:tcPr>
          <w:p w:rsidR="00C54CDD" w:rsidRPr="007657F2" w:rsidRDefault="00C54CDD" w:rsidP="00C54CDD">
            <w:pPr>
              <w:pStyle w:val="NormalWeb"/>
              <w:widowControl w:val="0"/>
              <w:spacing w:before="0" w:beforeAutospacing="0" w:after="0" w:afterAutospacing="0"/>
              <w:rPr>
                <w:shadow/>
                <w:sz w:val="24"/>
              </w:rPr>
            </w:pPr>
            <w:r w:rsidRPr="007657F2">
              <w:rPr>
                <w:shadow/>
                <w:color w:val="000000"/>
                <w:kern w:val="24"/>
                <w:sz w:val="24"/>
              </w:rPr>
              <w:t xml:space="preserve">Value </w:t>
            </w:r>
          </w:p>
        </w:tc>
      </w:tr>
      <w:tr w:rsidR="00C54CDD" w:rsidRPr="003E2459" w:rsidTr="0067107A">
        <w:trPr>
          <w:trHeight w:val="393"/>
        </w:trPr>
        <w:tc>
          <w:tcPr>
            <w:tcW w:w="4928" w:type="dxa"/>
            <w:tcBorders>
              <w:top w:val="single" w:sz="2" w:space="0" w:color="auto"/>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Antenna polari</w:t>
            </w:r>
            <w:r>
              <w:rPr>
                <w:color w:val="000000"/>
                <w:kern w:val="24"/>
                <w:sz w:val="24"/>
              </w:rPr>
              <w:t>ty</w:t>
            </w:r>
          </w:p>
        </w:tc>
        <w:tc>
          <w:tcPr>
            <w:tcW w:w="1719" w:type="dxa"/>
            <w:tcBorders>
              <w:top w:val="single" w:sz="2" w:space="0" w:color="auto"/>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TE</w:t>
            </w:r>
            <w:r>
              <w:rPr>
                <w:color w:val="000000"/>
                <w:kern w:val="24"/>
                <w:sz w:val="24"/>
              </w:rPr>
              <w:t xml:space="preserve"> </w:t>
            </w:r>
          </w:p>
        </w:tc>
      </w:tr>
      <w:tr w:rsidR="00C54CDD" w:rsidRPr="003E2459" w:rsidTr="0067107A">
        <w:trPr>
          <w:trHeight w:val="393"/>
        </w:trPr>
        <w:tc>
          <w:tcPr>
            <w:tcW w:w="4928" w:type="dxa"/>
            <w:tcBorders>
              <w:bottom w:val="nil"/>
            </w:tcBorders>
          </w:tcPr>
          <w:p w:rsidR="00C54CDD" w:rsidRPr="00E96A49" w:rsidRDefault="00C54CDD" w:rsidP="00C54CDD">
            <w:pPr>
              <w:pStyle w:val="NormalWeb"/>
              <w:widowControl w:val="0"/>
              <w:spacing w:before="0" w:beforeAutospacing="0" w:after="0" w:afterAutospacing="0"/>
              <w:rPr>
                <w:color w:val="000000"/>
                <w:kern w:val="24"/>
                <w:sz w:val="24"/>
              </w:rPr>
            </w:pPr>
            <w:r>
              <w:rPr>
                <w:color w:val="000000"/>
                <w:kern w:val="24"/>
                <w:sz w:val="24"/>
              </w:rPr>
              <w:t xml:space="preserve">Maximum/minimum </w:t>
            </w:r>
            <w:r w:rsidRPr="003E2459">
              <w:rPr>
                <w:color w:val="000000"/>
                <w:kern w:val="24"/>
                <w:sz w:val="24"/>
              </w:rPr>
              <w:t xml:space="preserve">offset (m) </w:t>
            </w:r>
          </w:p>
        </w:tc>
        <w:tc>
          <w:tcPr>
            <w:tcW w:w="1719" w:type="dxa"/>
            <w:tcBorders>
              <w:bottom w:val="nil"/>
            </w:tcBorders>
          </w:tcPr>
          <w:p w:rsidR="00C54CDD" w:rsidRPr="003E2459" w:rsidRDefault="00C54CDD" w:rsidP="00C54CDD">
            <w:pPr>
              <w:pStyle w:val="NormalWeb"/>
              <w:widowControl w:val="0"/>
              <w:spacing w:before="0" w:beforeAutospacing="0" w:after="0" w:afterAutospacing="0"/>
              <w:ind w:firstLine="0"/>
              <w:rPr>
                <w:sz w:val="24"/>
              </w:rPr>
            </w:pPr>
            <w:r>
              <w:rPr>
                <w:color w:val="000000"/>
                <w:kern w:val="24"/>
                <w:sz w:val="24"/>
              </w:rPr>
              <w:t xml:space="preserve">      </w:t>
            </w:r>
            <w:r w:rsidRPr="003E2459">
              <w:rPr>
                <w:color w:val="000000"/>
                <w:kern w:val="24"/>
                <w:sz w:val="24"/>
              </w:rPr>
              <w:t>0.2</w:t>
            </w:r>
            <w:r>
              <w:rPr>
                <w:color w:val="000000"/>
                <w:kern w:val="24"/>
                <w:sz w:val="24"/>
              </w:rPr>
              <w:t>4</w:t>
            </w:r>
            <w:r w:rsidRPr="003E2459">
              <w:rPr>
                <w:color w:val="000000"/>
                <w:kern w:val="24"/>
                <w:sz w:val="24"/>
              </w:rPr>
              <w:t>/19</w:t>
            </w:r>
            <w:r>
              <w:rPr>
                <w:color w:val="000000"/>
                <w:kern w:val="24"/>
                <w:sz w:val="24"/>
              </w:rPr>
              <w:t>.00</w:t>
            </w:r>
            <w:r w:rsidRPr="003E2459">
              <w:rPr>
                <w:color w:val="000000"/>
                <w:kern w:val="24"/>
                <w:sz w:val="24"/>
              </w:rPr>
              <w:t xml:space="preserve"> </w:t>
            </w:r>
          </w:p>
        </w:tc>
      </w:tr>
      <w:tr w:rsidR="00C54CDD" w:rsidRPr="003E2459" w:rsidTr="0067107A">
        <w:trPr>
          <w:trHeight w:val="393"/>
        </w:trPr>
        <w:tc>
          <w:tcPr>
            <w:tcW w:w="4928"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Sampling interval (ns)</w:t>
            </w:r>
          </w:p>
        </w:tc>
        <w:tc>
          <w:tcPr>
            <w:tcW w:w="1719"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 xml:space="preserve">0.2 </w:t>
            </w:r>
          </w:p>
        </w:tc>
      </w:tr>
      <w:tr w:rsidR="00C54CDD" w:rsidRPr="003E2459" w:rsidTr="0067107A">
        <w:trPr>
          <w:trHeight w:val="393"/>
        </w:trPr>
        <w:tc>
          <w:tcPr>
            <w:tcW w:w="4928"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 xml:space="preserve">Trace increment (m) </w:t>
            </w:r>
          </w:p>
        </w:tc>
        <w:tc>
          <w:tcPr>
            <w:tcW w:w="1719"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 xml:space="preserve">0.04 </w:t>
            </w:r>
          </w:p>
        </w:tc>
      </w:tr>
      <w:tr w:rsidR="00C54CDD" w:rsidRPr="003E2459" w:rsidTr="0067107A">
        <w:trPr>
          <w:trHeight w:val="393"/>
        </w:trPr>
        <w:tc>
          <w:tcPr>
            <w:tcW w:w="4928" w:type="dxa"/>
            <w:tcBorders>
              <w:bottom w:val="nil"/>
            </w:tcBorders>
          </w:tcPr>
          <w:p w:rsidR="00C54CDD" w:rsidRPr="003E2459" w:rsidRDefault="00C54CDD" w:rsidP="00C54CDD">
            <w:pPr>
              <w:pStyle w:val="NormalWeb"/>
              <w:widowControl w:val="0"/>
              <w:spacing w:before="0" w:beforeAutospacing="0" w:after="0" w:afterAutospacing="0"/>
              <w:rPr>
                <w:sz w:val="24"/>
              </w:rPr>
            </w:pPr>
            <w:r>
              <w:rPr>
                <w:color w:val="000000"/>
                <w:kern w:val="24"/>
                <w:sz w:val="24"/>
              </w:rPr>
              <w:t>Record length</w:t>
            </w:r>
            <w:r w:rsidRPr="003E2459">
              <w:rPr>
                <w:color w:val="000000"/>
                <w:kern w:val="24"/>
                <w:sz w:val="24"/>
              </w:rPr>
              <w:t xml:space="preserve"> (ns) </w:t>
            </w:r>
          </w:p>
        </w:tc>
        <w:tc>
          <w:tcPr>
            <w:tcW w:w="1719"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 xml:space="preserve">400 </w:t>
            </w:r>
          </w:p>
        </w:tc>
      </w:tr>
      <w:tr w:rsidR="00C54CDD" w:rsidRPr="003E2459" w:rsidTr="0067107A">
        <w:trPr>
          <w:trHeight w:val="393"/>
        </w:trPr>
        <w:tc>
          <w:tcPr>
            <w:tcW w:w="4928"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 xml:space="preserve">Stack </w:t>
            </w:r>
          </w:p>
        </w:tc>
        <w:tc>
          <w:tcPr>
            <w:tcW w:w="1719" w:type="dxa"/>
            <w:tcBorders>
              <w:bottom w:val="nil"/>
            </w:tcBorders>
          </w:tcPr>
          <w:p w:rsidR="00C54CDD" w:rsidRPr="003E2459" w:rsidRDefault="00C54CDD" w:rsidP="00C54CDD">
            <w:pPr>
              <w:pStyle w:val="NormalWeb"/>
              <w:widowControl w:val="0"/>
              <w:spacing w:before="0" w:beforeAutospacing="0" w:after="0" w:afterAutospacing="0"/>
              <w:rPr>
                <w:sz w:val="24"/>
              </w:rPr>
            </w:pPr>
            <w:r w:rsidRPr="003E2459">
              <w:rPr>
                <w:color w:val="000000"/>
                <w:kern w:val="24"/>
                <w:sz w:val="24"/>
              </w:rPr>
              <w:t xml:space="preserve">64 </w:t>
            </w:r>
          </w:p>
        </w:tc>
      </w:tr>
      <w:tr w:rsidR="00C54CDD" w:rsidRPr="003E2459" w:rsidTr="00C54CDD">
        <w:trPr>
          <w:trHeight w:val="76"/>
        </w:trPr>
        <w:tc>
          <w:tcPr>
            <w:tcW w:w="4928" w:type="dxa"/>
            <w:tcBorders>
              <w:bottom w:val="double" w:sz="4" w:space="0" w:color="auto"/>
            </w:tcBorders>
          </w:tcPr>
          <w:p w:rsidR="00C54CDD" w:rsidRPr="003E2459" w:rsidRDefault="00C54CDD" w:rsidP="00C54CDD">
            <w:pPr>
              <w:pStyle w:val="NormalWeb"/>
              <w:widowControl w:val="0"/>
              <w:spacing w:before="0" w:beforeAutospacing="0" w:after="0" w:afterAutospacing="0"/>
              <w:rPr>
                <w:sz w:val="24"/>
              </w:rPr>
            </w:pPr>
            <w:r>
              <w:rPr>
                <w:color w:val="000000"/>
                <w:kern w:val="24"/>
                <w:sz w:val="24"/>
              </w:rPr>
              <w:t>Centre f</w:t>
            </w:r>
            <w:r w:rsidRPr="003E2459">
              <w:rPr>
                <w:color w:val="000000"/>
                <w:kern w:val="24"/>
                <w:sz w:val="24"/>
              </w:rPr>
              <w:t xml:space="preserve">requency (MHz) </w:t>
            </w:r>
          </w:p>
        </w:tc>
        <w:tc>
          <w:tcPr>
            <w:tcW w:w="1719" w:type="dxa"/>
            <w:tcBorders>
              <w:bottom w:val="double" w:sz="4" w:space="0" w:color="auto"/>
            </w:tcBorders>
          </w:tcPr>
          <w:p w:rsidR="00C54CDD" w:rsidRPr="00177831" w:rsidRDefault="00C54CDD" w:rsidP="00C54CDD">
            <w:pPr>
              <w:pStyle w:val="NormalWeb"/>
              <w:widowControl w:val="0"/>
              <w:spacing w:before="0" w:beforeAutospacing="0" w:after="0" w:afterAutospacing="0"/>
              <w:rPr>
                <w:color w:val="000000"/>
                <w:kern w:val="24"/>
                <w:sz w:val="24"/>
              </w:rPr>
            </w:pPr>
            <w:r w:rsidRPr="003E2459">
              <w:rPr>
                <w:color w:val="000000"/>
                <w:kern w:val="24"/>
                <w:sz w:val="24"/>
              </w:rPr>
              <w:t>500</w:t>
            </w:r>
          </w:p>
        </w:tc>
      </w:tr>
    </w:tbl>
    <w:p w:rsidR="00C54CDD" w:rsidRDefault="00C54CDD" w:rsidP="00C54CDD">
      <w:pPr>
        <w:widowControl w:val="0"/>
        <w:spacing w:after="0"/>
        <w:ind w:firstLine="0"/>
      </w:pPr>
    </w:p>
    <w:p w:rsidR="00C54CDD" w:rsidRDefault="0067107A" w:rsidP="0067107A">
      <w:r>
        <w:t xml:space="preserve">Semblance analysis was done to estimate velocity distribution with depth; </w:t>
      </w:r>
      <w:r>
        <w:rPr>
          <w:szCs w:val="24"/>
        </w:rPr>
        <w:t xml:space="preserve">interval velocity ranges between 0.087 </w:t>
      </w:r>
      <w:r>
        <w:rPr>
          <w:rFonts w:eastAsia="Times New Roman" w:cs="Times New Roman"/>
          <w:color w:val="000000"/>
          <w:szCs w:val="24"/>
          <w:lang w:eastAsia="en-GB"/>
        </w:rPr>
        <w:t xml:space="preserve">m/ns and 0.122 </w:t>
      </w:r>
      <w:r w:rsidRPr="00E73BD4">
        <w:rPr>
          <w:rFonts w:eastAsia="Times New Roman" w:cs="Times New Roman"/>
          <w:color w:val="000000"/>
          <w:szCs w:val="24"/>
          <w:lang w:eastAsia="en-GB"/>
        </w:rPr>
        <w:t>m/ns</w:t>
      </w:r>
      <w:r>
        <w:rPr>
          <w:rFonts w:eastAsia="Times New Roman" w:cs="Times New Roman"/>
          <w:color w:val="000000"/>
          <w:szCs w:val="24"/>
          <w:lang w:eastAsia="en-GB"/>
        </w:rPr>
        <w:t>,</w:t>
      </w:r>
      <w:r>
        <w:rPr>
          <w:lang w:eastAsia="en-GB"/>
        </w:rPr>
        <w:t xml:space="preserve"> relative permittivity in these intervals is between </w:t>
      </w:r>
      <w:r>
        <w:t xml:space="preserve">6 ± 0.6 and </w:t>
      </w:r>
      <w:r w:rsidRPr="00DA2304">
        <w:t>11.9 ± 0.1</w:t>
      </w:r>
      <w:r>
        <w:t>. Figure 3</w:t>
      </w:r>
      <w:r w:rsidR="00BC36F5">
        <w:t xml:space="preserve"> shows the CMP data sets and</w:t>
      </w:r>
      <w:r>
        <w:t xml:space="preserve"> semblance windows.</w:t>
      </w:r>
    </w:p>
    <w:p w:rsidR="00336F39" w:rsidRDefault="00336F39" w:rsidP="0067107A">
      <w:pPr>
        <w:ind w:firstLine="0"/>
      </w:pPr>
      <w:r w:rsidRPr="00336F39">
        <w:rPr>
          <w:noProof/>
          <w:lang w:eastAsia="en-GB"/>
        </w:rPr>
        <w:drawing>
          <wp:inline distT="0" distB="0" distL="0" distR="0">
            <wp:extent cx="4441969" cy="3209026"/>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3346" t="10714" r="25749" b="6250"/>
                    <a:stretch>
                      <a:fillRect/>
                    </a:stretch>
                  </pic:blipFill>
                  <pic:spPr bwMode="auto">
                    <a:xfrm>
                      <a:off x="0" y="0"/>
                      <a:ext cx="4441969" cy="3209026"/>
                    </a:xfrm>
                    <a:prstGeom prst="rect">
                      <a:avLst/>
                    </a:prstGeom>
                    <a:noFill/>
                    <a:ln w="9525">
                      <a:noFill/>
                      <a:miter lim="800000"/>
                      <a:headEnd/>
                      <a:tailEnd/>
                    </a:ln>
                  </pic:spPr>
                </pic:pic>
              </a:graphicData>
            </a:graphic>
          </wp:inline>
        </w:drawing>
      </w:r>
    </w:p>
    <w:p w:rsidR="00C54CDD" w:rsidRDefault="00336F39" w:rsidP="00C54CDD">
      <w:r w:rsidRPr="00336F39">
        <w:rPr>
          <w:noProof/>
          <w:lang w:eastAsia="en-GB"/>
        </w:rPr>
        <w:lastRenderedPageBreak/>
        <w:drawing>
          <wp:inline distT="0" distB="0" distL="0" distR="0">
            <wp:extent cx="3949101" cy="350402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614" t="8861" r="27409" b="5444"/>
                    <a:stretch>
                      <a:fillRect/>
                    </a:stretch>
                  </pic:blipFill>
                  <pic:spPr bwMode="auto">
                    <a:xfrm>
                      <a:off x="0" y="0"/>
                      <a:ext cx="3949101" cy="3504020"/>
                    </a:xfrm>
                    <a:prstGeom prst="rect">
                      <a:avLst/>
                    </a:prstGeom>
                    <a:noFill/>
                    <a:ln w="9525">
                      <a:noFill/>
                      <a:miter lim="800000"/>
                      <a:headEnd/>
                      <a:tailEnd/>
                    </a:ln>
                  </pic:spPr>
                </pic:pic>
              </a:graphicData>
            </a:graphic>
          </wp:inline>
        </w:drawing>
      </w:r>
    </w:p>
    <w:p w:rsidR="0067107A" w:rsidRPr="00C15EFE" w:rsidRDefault="00C15EFE" w:rsidP="0067107A">
      <w:pPr>
        <w:spacing w:line="240" w:lineRule="auto"/>
        <w:ind w:firstLine="0"/>
      </w:pPr>
      <w:r>
        <w:t xml:space="preserve">Figure 4 CMP2a and CMP2b data sets along with semblance analysis windows. CMP data show coherent reflections interpreted as bedding plane fractures separating limestone layers. The first layer in each case is a gravel layer </w:t>
      </w:r>
    </w:p>
    <w:p w:rsidR="00C54CDD" w:rsidRPr="0067107A" w:rsidRDefault="0067107A" w:rsidP="0067107A">
      <w:pPr>
        <w:spacing w:line="240" w:lineRule="auto"/>
        <w:ind w:firstLine="0"/>
        <w:rPr>
          <w:u w:val="single"/>
        </w:rPr>
      </w:pPr>
      <w:r>
        <w:rPr>
          <w:u w:val="single"/>
        </w:rPr>
        <w:t xml:space="preserve">Spectral ratios analysis on the </w:t>
      </w:r>
      <w:r w:rsidRPr="00F87F81">
        <w:rPr>
          <w:u w:val="single"/>
        </w:rPr>
        <w:t>CMP</w:t>
      </w:r>
      <w:r>
        <w:rPr>
          <w:u w:val="single"/>
        </w:rPr>
        <w:t xml:space="preserve"> data</w:t>
      </w:r>
      <w:r w:rsidRPr="00F87F81">
        <w:rPr>
          <w:u w:val="single"/>
        </w:rPr>
        <w:t xml:space="preserve"> </w:t>
      </w:r>
    </w:p>
    <w:p w:rsidR="0096680D" w:rsidRDefault="0096680D" w:rsidP="0096680D">
      <w:r>
        <w:t xml:space="preserve">In fitting a straight line to the spectral ratios, a bandwidth needs to be selected; to do this, interference - free regions of the amplitude spectra need to be considered. CMP2a and CMP2b sections </w:t>
      </w:r>
      <w:r w:rsidR="0067107A">
        <w:t>are</w:t>
      </w:r>
      <w:r>
        <w:t xml:space="preserve"> interpreted as comprising </w:t>
      </w:r>
      <w:r w:rsidR="0067107A">
        <w:t>gravel</w:t>
      </w:r>
      <w:r>
        <w:t xml:space="preserve"> layer (layer 1) which overlies solid limestone – l</w:t>
      </w:r>
      <w:r w:rsidR="00C15EFE">
        <w:t>ayers 2, 3 and 4. Layer 1 in these</w:t>
      </w:r>
      <w:r>
        <w:t xml:space="preserve"> CMP sections cannot be characterized using the spectral ratio method because the method requires comparing two wavelets from the top and bottom surfaces of a layer. It is however expected that attenuation will be relatively high (relative to other layers) due to the presence of fissures which may contain water. Q* was extracted for the underlying solid limestone i.e. layers 2, 3 and 4 in</w:t>
      </w:r>
      <w:r w:rsidR="00C15EFE">
        <w:t xml:space="preserve"> the</w:t>
      </w:r>
      <w:r>
        <w:t xml:space="preserve"> CMP sections.</w:t>
      </w:r>
    </w:p>
    <w:p w:rsidR="0096680D" w:rsidRDefault="0096680D" w:rsidP="0096680D">
      <w:r>
        <w:t xml:space="preserve">The process of extracting Q* (and hence, </w:t>
      </w:r>
      <w:r>
        <w:rPr>
          <w:rFonts w:cs="Times New Roman"/>
        </w:rPr>
        <w:t>α</w:t>
      </w:r>
      <w:r>
        <w:t>) for all layers in all CMP sections is similar: the only difference is in the choice of analysis bandwidth, i.e. range of frequencies to fit a straight line to.</w:t>
      </w:r>
      <w:r w:rsidRPr="00B24B62">
        <w:t xml:space="preserve"> </w:t>
      </w:r>
      <w:r>
        <w:t xml:space="preserve">As examples, amplitude spectra and corresponding spectral ratios plot for </w:t>
      </w:r>
      <w:r w:rsidR="00C15EFE">
        <w:t xml:space="preserve">only </w:t>
      </w:r>
      <w:r>
        <w:t xml:space="preserve">layer 4 in each CMP section will be shown. </w:t>
      </w:r>
    </w:p>
    <w:p w:rsidR="00C15EFE" w:rsidRDefault="00C15EFE" w:rsidP="00C15EFE">
      <w:r>
        <w:t xml:space="preserve">In all cases, I chose a bandwidth to include all relevant frequency content i.e. excluding regions of interference; for example, in layer 4 of CMP2a (figure 5), the bandwidth containing relevant data </w:t>
      </w:r>
      <w:r>
        <w:lastRenderedPageBreak/>
        <w:t>is between 250 MHz and 900 MHz, I used data between 430 MHz and 860 MHz to avoid interference between 250 MHz and 430 MHz in f</w:t>
      </w:r>
      <w:r w:rsidRPr="00B24B62">
        <w:rPr>
          <w:vertAlign w:val="subscript"/>
        </w:rPr>
        <w:t>2</w:t>
      </w:r>
      <w:r>
        <w:t xml:space="preserve"> spectra (figure 5a). </w:t>
      </w:r>
    </w:p>
    <w:p w:rsidR="00C15EFE" w:rsidRDefault="00C15EFE" w:rsidP="00C15EFE">
      <w:pPr>
        <w:rPr>
          <w:rFonts w:cs="Times New Roman"/>
        </w:rPr>
      </w:pPr>
      <w:r>
        <w:t xml:space="preserve">Figures 6 </w:t>
      </w:r>
      <w:r w:rsidRPr="009F50DB">
        <w:rPr>
          <w:i/>
        </w:rPr>
        <w:t>a</w:t>
      </w:r>
      <w:r>
        <w:t xml:space="preserve"> - </w:t>
      </w:r>
      <w:proofErr w:type="gramStart"/>
      <w:r w:rsidRPr="009F50DB">
        <w:rPr>
          <w:i/>
        </w:rPr>
        <w:t>c</w:t>
      </w:r>
      <w:r>
        <w:t>,</w:t>
      </w:r>
      <w:proofErr w:type="gramEnd"/>
      <w:r>
        <w:t xml:space="preserve"> and 8 </w:t>
      </w:r>
      <w:r w:rsidRPr="009F50DB">
        <w:rPr>
          <w:i/>
        </w:rPr>
        <w:t>a</w:t>
      </w:r>
      <w:r>
        <w:t xml:space="preserve"> - </w:t>
      </w:r>
      <w:r w:rsidRPr="009F50DB">
        <w:rPr>
          <w:i/>
        </w:rPr>
        <w:t>c</w:t>
      </w:r>
      <w:r>
        <w:t xml:space="preserve"> show attenuation versus (analysis) frequency for CMP2a and CMP2b layers respectively. For each frequency, </w:t>
      </w:r>
      <w:r>
        <w:rPr>
          <w:rFonts w:cs="Times New Roman"/>
        </w:rPr>
        <w:t xml:space="preserve">α is calculated for all emergence angles, then the average of the resulting values is shown as a function of frequency in these plots. Attenuation generally increases with frequency which is not surprising since high frequency components are attenuated faster than lower frequencies; the variation in α with emergence angles also increases with frequency. </w:t>
      </w:r>
    </w:p>
    <w:p w:rsidR="00C15EFE" w:rsidRDefault="00C15EFE" w:rsidP="00C15EFE">
      <w:r>
        <w:t xml:space="preserve">Figures </w:t>
      </w:r>
      <w:r w:rsidR="00FB1A87">
        <w:t>6</w:t>
      </w:r>
      <w:r>
        <w:t xml:space="preserve"> </w:t>
      </w:r>
      <w:r>
        <w:rPr>
          <w:i/>
        </w:rPr>
        <w:t>d</w:t>
      </w:r>
      <w:r>
        <w:t xml:space="preserve"> </w:t>
      </w:r>
      <w:r w:rsidR="00FB1A87">
        <w:t>–</w:t>
      </w:r>
      <w:r>
        <w:t xml:space="preserve"> </w:t>
      </w:r>
      <w:r>
        <w:rPr>
          <w:i/>
        </w:rPr>
        <w:t>f</w:t>
      </w:r>
      <w:r w:rsidR="00FB1A87">
        <w:t xml:space="preserve"> </w:t>
      </w:r>
      <w:r>
        <w:t xml:space="preserve">and </w:t>
      </w:r>
      <w:r w:rsidR="00FB1A87">
        <w:t>7</w:t>
      </w:r>
      <w:r>
        <w:rPr>
          <w:i/>
        </w:rPr>
        <w:t>d</w:t>
      </w:r>
      <w:r>
        <w:t xml:space="preserve"> - </w:t>
      </w:r>
      <w:r>
        <w:rPr>
          <w:i/>
        </w:rPr>
        <w:t>f</w:t>
      </w:r>
      <w:r>
        <w:t xml:space="preserve"> show attenuation values at 500 MHz frequency ver</w:t>
      </w:r>
      <w:r w:rsidR="00FB1A87">
        <w:t>sus emergence angles, for CMP2a and</w:t>
      </w:r>
      <w:r>
        <w:t xml:space="preserve"> CMP2b layers respectively. In CMP2a, </w:t>
      </w:r>
      <w:r>
        <w:rPr>
          <w:rFonts w:cs="Times New Roman"/>
        </w:rPr>
        <w:t>α</w:t>
      </w:r>
      <w:r>
        <w:t xml:space="preserve"> (m</w:t>
      </w:r>
      <w:r w:rsidRPr="002961B8">
        <w:rPr>
          <w:vertAlign w:val="superscript"/>
        </w:rPr>
        <w:t>-1</w:t>
      </w:r>
      <w:r>
        <w:t>) is highest at an emergence angle of 20</w:t>
      </w:r>
      <w:r>
        <w:rPr>
          <w:rFonts w:cs="Times New Roman"/>
        </w:rPr>
        <w:t>°</w:t>
      </w:r>
      <w:r>
        <w:t xml:space="preserve"> in all layers (figures </w:t>
      </w:r>
      <w:r w:rsidR="00FB1A87">
        <w:t>6</w:t>
      </w:r>
      <w:r>
        <w:t xml:space="preserve"> </w:t>
      </w:r>
      <w:r w:rsidRPr="007C0CAF">
        <w:rPr>
          <w:i/>
        </w:rPr>
        <w:t>d – f</w:t>
      </w:r>
      <w:r>
        <w:t>) which is in the region of the critical angle (17</w:t>
      </w:r>
      <w:r>
        <w:rPr>
          <w:rFonts w:cs="Times New Roman"/>
        </w:rPr>
        <w:t>°</w:t>
      </w:r>
      <w:r>
        <w:t>) where the maximum radiation into</w:t>
      </w:r>
      <w:r w:rsidR="00FB1A87">
        <w:t xml:space="preserve"> the ground occurs</w:t>
      </w:r>
      <w:r>
        <w:t>. In CMP2b, the emergence angles analysed are less than the critical angle (18</w:t>
      </w:r>
      <w:r>
        <w:rPr>
          <w:rFonts w:cs="Times New Roman"/>
        </w:rPr>
        <w:t>°</w:t>
      </w:r>
      <w:r>
        <w:t xml:space="preserve">) in all layers (figures </w:t>
      </w:r>
      <w:r w:rsidR="00FB1A87">
        <w:t>8</w:t>
      </w:r>
      <w:r>
        <w:t xml:space="preserve"> </w:t>
      </w:r>
      <w:r w:rsidRPr="002D3510">
        <w:rPr>
          <w:i/>
        </w:rPr>
        <w:t>d</w:t>
      </w:r>
      <w:r>
        <w:t xml:space="preserve"> - </w:t>
      </w:r>
      <w:r>
        <w:rPr>
          <w:i/>
        </w:rPr>
        <w:t>f</w:t>
      </w:r>
      <w:r>
        <w:t xml:space="preserve">); attenuation still varies with emergence angle..  The variations in </w:t>
      </w:r>
      <w:r>
        <w:rPr>
          <w:rFonts w:cs="Times New Roman"/>
        </w:rPr>
        <w:t>α</w:t>
      </w:r>
      <w:r w:rsidRPr="00D106C5">
        <w:t xml:space="preserve"> </w:t>
      </w:r>
      <w:r>
        <w:t>(m</w:t>
      </w:r>
      <w:r w:rsidRPr="002961B8">
        <w:rPr>
          <w:vertAlign w:val="superscript"/>
        </w:rPr>
        <w:t>-1</w:t>
      </w:r>
      <w:r>
        <w:t xml:space="preserve">) with emergence angle point to the heterogeneous nature of the limestone. This heterogeneity is expected in natural rocks which are not perfectly homogeneous.  </w:t>
      </w:r>
    </w:p>
    <w:p w:rsidR="00C15EFE" w:rsidRDefault="00C15EFE" w:rsidP="0096680D">
      <w:pPr>
        <w:spacing w:line="240" w:lineRule="auto"/>
        <w:ind w:firstLine="0"/>
      </w:pPr>
    </w:p>
    <w:p w:rsidR="0096680D" w:rsidRDefault="0096680D" w:rsidP="0096680D">
      <w:pPr>
        <w:spacing w:line="240" w:lineRule="auto"/>
        <w:ind w:firstLine="0"/>
      </w:pPr>
      <w:r w:rsidRPr="00D76100">
        <w:t>(a)</w:t>
      </w:r>
    </w:p>
    <w:p w:rsidR="0096680D" w:rsidRDefault="0096680D" w:rsidP="0096680D">
      <w:pPr>
        <w:spacing w:after="0" w:line="240" w:lineRule="auto"/>
        <w:ind w:firstLine="0"/>
      </w:pPr>
      <w:r>
        <w:rPr>
          <w:noProof/>
          <w:lang w:eastAsia="en-GB"/>
        </w:rPr>
        <w:drawing>
          <wp:inline distT="0" distB="0" distL="0" distR="0">
            <wp:extent cx="3252044" cy="1800000"/>
            <wp:effectExtent l="19050" t="0" r="5506"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5157" r="15123" b="6086"/>
                    <a:stretch>
                      <a:fillRect/>
                    </a:stretch>
                  </pic:blipFill>
                  <pic:spPr bwMode="auto">
                    <a:xfrm>
                      <a:off x="0" y="0"/>
                      <a:ext cx="3252044" cy="1800000"/>
                    </a:xfrm>
                    <a:prstGeom prst="rect">
                      <a:avLst/>
                    </a:prstGeom>
                    <a:noFill/>
                    <a:ln w="9525">
                      <a:noFill/>
                      <a:miter lim="800000"/>
                      <a:headEnd/>
                      <a:tailEnd/>
                    </a:ln>
                  </pic:spPr>
                </pic:pic>
              </a:graphicData>
            </a:graphic>
          </wp:inline>
        </w:drawing>
      </w:r>
    </w:p>
    <w:p w:rsidR="0096680D" w:rsidRDefault="0096680D" w:rsidP="0096680D">
      <w:pPr>
        <w:spacing w:after="0" w:line="240" w:lineRule="auto"/>
        <w:ind w:firstLine="0"/>
      </w:pPr>
      <w:r>
        <w:t>(b)</w:t>
      </w:r>
    </w:p>
    <w:p w:rsidR="0096680D" w:rsidRDefault="0096680D" w:rsidP="0096680D">
      <w:pPr>
        <w:spacing w:after="0" w:line="240" w:lineRule="auto"/>
        <w:ind w:firstLine="0"/>
      </w:pPr>
      <w:r>
        <w:rPr>
          <w:noProof/>
          <w:lang w:eastAsia="en-GB"/>
        </w:rPr>
        <w:drawing>
          <wp:inline distT="0" distB="0" distL="0" distR="0">
            <wp:extent cx="3253415" cy="1800000"/>
            <wp:effectExtent l="0" t="0" r="4135" b="0"/>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4441" r="14599" b="4852"/>
                    <a:stretch>
                      <a:fillRect/>
                    </a:stretch>
                  </pic:blipFill>
                  <pic:spPr bwMode="auto">
                    <a:xfrm>
                      <a:off x="0" y="0"/>
                      <a:ext cx="3253415" cy="1800000"/>
                    </a:xfrm>
                    <a:prstGeom prst="rect">
                      <a:avLst/>
                    </a:prstGeom>
                    <a:noFill/>
                    <a:ln w="9525">
                      <a:noFill/>
                      <a:miter lim="800000"/>
                      <a:headEnd/>
                      <a:tailEnd/>
                    </a:ln>
                  </pic:spPr>
                </pic:pic>
              </a:graphicData>
            </a:graphic>
          </wp:inline>
        </w:drawing>
      </w:r>
    </w:p>
    <w:p w:rsidR="0096680D" w:rsidRDefault="0096680D" w:rsidP="0096680D">
      <w:pPr>
        <w:spacing w:after="0" w:line="240" w:lineRule="auto"/>
        <w:ind w:firstLine="0"/>
      </w:pPr>
      <w:r>
        <w:lastRenderedPageBreak/>
        <w:t>(c)</w:t>
      </w:r>
    </w:p>
    <w:p w:rsidR="0096680D" w:rsidRDefault="0096680D" w:rsidP="0096680D">
      <w:pPr>
        <w:spacing w:line="240" w:lineRule="auto"/>
        <w:ind w:firstLine="0"/>
      </w:pPr>
      <w:r>
        <w:rPr>
          <w:noProof/>
          <w:lang w:eastAsia="en-GB"/>
        </w:rPr>
        <w:drawing>
          <wp:inline distT="0" distB="0" distL="0" distR="0">
            <wp:extent cx="3509148" cy="1800000"/>
            <wp:effectExtent l="0" t="0" r="0" b="0"/>
            <wp:docPr id="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4526" t="3089" r="9489" b="3617"/>
                    <a:stretch>
                      <a:fillRect/>
                    </a:stretch>
                  </pic:blipFill>
                  <pic:spPr bwMode="auto">
                    <a:xfrm>
                      <a:off x="0" y="0"/>
                      <a:ext cx="3509148" cy="1800000"/>
                    </a:xfrm>
                    <a:prstGeom prst="rect">
                      <a:avLst/>
                    </a:prstGeom>
                    <a:noFill/>
                    <a:ln w="9525">
                      <a:noFill/>
                      <a:miter lim="800000"/>
                      <a:headEnd/>
                      <a:tailEnd/>
                    </a:ln>
                  </pic:spPr>
                </pic:pic>
              </a:graphicData>
            </a:graphic>
          </wp:inline>
        </w:drawing>
      </w:r>
    </w:p>
    <w:p w:rsidR="0096680D" w:rsidRDefault="0096680D" w:rsidP="0096680D">
      <w:pPr>
        <w:spacing w:after="0" w:line="240" w:lineRule="auto"/>
        <w:ind w:firstLine="0"/>
      </w:pPr>
      <w:r>
        <w:t xml:space="preserve">Figure </w:t>
      </w:r>
      <w:r w:rsidR="00C15EFE">
        <w:t>5</w:t>
      </w:r>
      <w:r>
        <w:t xml:space="preserve"> CMP2a (a) </w:t>
      </w:r>
      <w:r w:rsidRPr="00CA5C5B">
        <w:t>f</w:t>
      </w:r>
      <w:r>
        <w:rPr>
          <w:vertAlign w:val="subscript"/>
        </w:rPr>
        <w:t>2</w:t>
      </w:r>
      <w:r w:rsidRPr="00CA5C5B">
        <w:rPr>
          <w:i/>
        </w:rPr>
        <w:t xml:space="preserve"> </w:t>
      </w:r>
      <w:r>
        <w:t>amplitude spectra, (b) f</w:t>
      </w:r>
      <w:r w:rsidRPr="00CA5C5B">
        <w:rPr>
          <w:vertAlign w:val="subscript"/>
        </w:rPr>
        <w:t>3</w:t>
      </w:r>
      <w:r>
        <w:t xml:space="preserve"> amplitude spectra and (c) spectral ratios between f</w:t>
      </w:r>
      <w:r w:rsidRPr="00CA5C5B">
        <w:rPr>
          <w:vertAlign w:val="subscript"/>
        </w:rPr>
        <w:t>3</w:t>
      </w:r>
      <w:r>
        <w:t xml:space="preserve"> and f</w:t>
      </w:r>
      <w:r w:rsidRPr="00CA5C5B">
        <w:rPr>
          <w:vertAlign w:val="subscript"/>
        </w:rPr>
        <w:t>2</w:t>
      </w:r>
      <w:r>
        <w:t xml:space="preserve"> i.e. layer 4. The analysis bandwidth was chosen to include relevant frequency content (0.25 GHz to 0.86 GHz); but because of the interference between 0.25 GHz and 0.43 GHz affecting f</w:t>
      </w:r>
      <w:r w:rsidRPr="00CA5C5B">
        <w:rPr>
          <w:vertAlign w:val="subscript"/>
        </w:rPr>
        <w:t>2</w:t>
      </w:r>
      <w:r>
        <w:t xml:space="preserve"> spectra, the analysis bandwidth was limited to between 0.43 GHz and 0.86 GHz. The different curves correspond to f</w:t>
      </w:r>
      <w:r w:rsidRPr="004B2587">
        <w:rPr>
          <w:vertAlign w:val="subscript"/>
        </w:rPr>
        <w:t>2</w:t>
      </w:r>
      <w:r>
        <w:t xml:space="preserve"> and f</w:t>
      </w:r>
      <w:r w:rsidRPr="004B2587">
        <w:rPr>
          <w:vertAlign w:val="subscript"/>
        </w:rPr>
        <w:t>3</w:t>
      </w:r>
      <w:r>
        <w:t xml:space="preserve"> emergence angles.</w:t>
      </w:r>
    </w:p>
    <w:p w:rsidR="0096680D" w:rsidRDefault="0096680D" w:rsidP="0096680D">
      <w:pPr>
        <w:spacing w:after="0" w:line="240" w:lineRule="auto"/>
        <w:ind w:firstLine="0"/>
        <w:sectPr w:rsidR="0096680D" w:rsidSect="00576510">
          <w:pgSz w:w="11906" w:h="16838"/>
          <w:pgMar w:top="1440" w:right="1080" w:bottom="1440" w:left="1080" w:header="709" w:footer="709" w:gutter="0"/>
          <w:cols w:space="708"/>
          <w:docGrid w:linePitch="360"/>
        </w:sectPr>
      </w:pPr>
    </w:p>
    <w:p w:rsidR="0096680D" w:rsidRDefault="006411AF" w:rsidP="0096680D">
      <w:pPr>
        <w:spacing w:line="240" w:lineRule="auto"/>
        <w:ind w:firstLine="0"/>
      </w:pPr>
      <w:r>
        <w:rPr>
          <w:noProof/>
          <w:lang w:eastAsia="en-GB"/>
        </w:rPr>
        <w:lastRenderedPageBreak/>
        <w:pict>
          <v:shapetype id="_x0000_t202" coordsize="21600,21600" o:spt="202" path="m,l,21600r21600,l21600,xe">
            <v:stroke joinstyle="miter"/>
            <v:path gradientshapeok="t" o:connecttype="rect"/>
          </v:shapetype>
          <v:shape id="_x0000_s1030" type="#_x0000_t202" style="position:absolute;left:0;text-align:left;margin-left:498pt;margin-top:0;width:30pt;height:27pt;z-index:251664384" filled="f" stroked="f">
            <v:textbox style="mso-next-textbox:#_x0000_s1030">
              <w:txbxContent>
                <w:p w:rsidR="0067107A" w:rsidRDefault="0067107A" w:rsidP="0096680D">
                  <w:pPr>
                    <w:ind w:firstLine="0"/>
                  </w:pPr>
                  <w:r>
                    <w:t>(c)</w:t>
                  </w:r>
                </w:p>
              </w:txbxContent>
            </v:textbox>
          </v:shape>
        </w:pict>
      </w:r>
      <w:r>
        <w:rPr>
          <w:noProof/>
          <w:lang w:eastAsia="en-GB"/>
        </w:rPr>
        <w:pict>
          <v:shape id="_x0000_s1028" type="#_x0000_t202" style="position:absolute;left:0;text-align:left;margin-left:240pt;margin-top:0;width:30pt;height:27pt;z-index:251662336" filled="f" stroked="f">
            <v:textbox style="mso-next-textbox:#_x0000_s1028">
              <w:txbxContent>
                <w:p w:rsidR="0067107A" w:rsidRDefault="0067107A" w:rsidP="0096680D">
                  <w:pPr>
                    <w:ind w:firstLine="0"/>
                  </w:pPr>
                  <w:r>
                    <w:t>(b)</w:t>
                  </w:r>
                </w:p>
              </w:txbxContent>
            </v:textbox>
          </v:shape>
        </w:pict>
      </w:r>
      <w:r>
        <w:rPr>
          <w:noProof/>
          <w:lang w:eastAsia="en-GB"/>
        </w:rPr>
        <w:pict>
          <v:shape id="_x0000_s1026" type="#_x0000_t202" style="position:absolute;left:0;text-align:left;margin-left:-6pt;margin-top:0;width:30pt;height:27pt;z-index:251660288" filled="f" stroked="f">
            <v:textbox style="mso-next-textbox:#_x0000_s1026">
              <w:txbxContent>
                <w:p w:rsidR="0067107A" w:rsidRDefault="0067107A" w:rsidP="0096680D">
                  <w:pPr>
                    <w:ind w:firstLine="0"/>
                  </w:pPr>
                  <w:r>
                    <w:t>(a)</w:t>
                  </w:r>
                </w:p>
              </w:txbxContent>
            </v:textbox>
          </v:shape>
        </w:pict>
      </w:r>
    </w:p>
    <w:p w:rsidR="0096680D" w:rsidRDefault="006411AF" w:rsidP="0096680D">
      <w:pPr>
        <w:spacing w:line="240" w:lineRule="auto"/>
        <w:ind w:firstLine="0"/>
      </w:pPr>
      <w:r>
        <w:rPr>
          <w:noProof/>
          <w:lang w:eastAsia="en-GB"/>
        </w:rPr>
        <w:pict>
          <v:shape id="_x0000_s1055" type="#_x0000_t202" style="position:absolute;left:0;text-align:left;margin-left:416.4pt;margin-top:91.95pt;width:69.1pt;height:17.55pt;z-index:251689984" filled="f" stroked="f">
            <v:textbox>
              <w:txbxContent>
                <w:p w:rsidR="0067107A" w:rsidRPr="005C2495" w:rsidRDefault="0067107A" w:rsidP="0096680D">
                  <w:pPr>
                    <w:ind w:firstLine="0"/>
                    <w:jc w:val="left"/>
                    <w:rPr>
                      <w:sz w:val="20"/>
                      <w:szCs w:val="20"/>
                    </w:rPr>
                  </w:pPr>
                  <w:r w:rsidRPr="005C2495">
                    <w:rPr>
                      <w:sz w:val="20"/>
                      <w:szCs w:val="20"/>
                    </w:rPr>
                    <w:t xml:space="preserve">29.4 </w:t>
                  </w:r>
                  <w:r w:rsidRPr="005C2495">
                    <w:rPr>
                      <w:rFonts w:cs="Times New Roman"/>
                      <w:sz w:val="20"/>
                      <w:szCs w:val="20"/>
                    </w:rPr>
                    <w:t xml:space="preserve">± </w:t>
                  </w:r>
                  <w:r w:rsidRPr="005C2495">
                    <w:rPr>
                      <w:sz w:val="20"/>
                      <w:szCs w:val="20"/>
                    </w:rPr>
                    <w:t>8.0</w:t>
                  </w:r>
                </w:p>
              </w:txbxContent>
            </v:textbox>
          </v:shape>
        </w:pict>
      </w:r>
      <w:r>
        <w:rPr>
          <w:noProof/>
          <w:lang w:eastAsia="en-GB"/>
        </w:rPr>
        <w:pict>
          <v:rect id="_x0000_s1054" style="position:absolute;left:0;text-align:left;margin-left:422.9pt;margin-top:91.95pt;width:45.7pt;height:14.4pt;z-index:251688960" stroked="f"/>
        </w:pict>
      </w:r>
      <w:r>
        <w:rPr>
          <w:noProof/>
          <w:lang w:eastAsia="en-GB"/>
        </w:rPr>
        <w:pict>
          <v:shape id="_x0000_s1044" type="#_x0000_t202" style="position:absolute;left:0;text-align:left;margin-left:592.45pt;margin-top:96.95pt;width:126.15pt;height:24.8pt;z-index:251678720" filled="f" stroked="f">
            <v:textbox style="mso-next-textbox:#_x0000_s1044">
              <w:txbxContent>
                <w:p w:rsidR="0067107A" w:rsidRPr="004B2587" w:rsidRDefault="0067107A" w:rsidP="0096680D">
                  <w:pPr>
                    <w:spacing w:after="0" w:line="240" w:lineRule="auto"/>
                    <w:ind w:firstLine="0"/>
                    <w:rPr>
                      <w:sz w:val="22"/>
                    </w:rPr>
                  </w:pPr>
                  <w:r w:rsidRPr="004B2587">
                    <w:rPr>
                      <w:sz w:val="22"/>
                    </w:rPr>
                    <w:t>Average Q* =</w:t>
                  </w:r>
                  <w:r>
                    <w:rPr>
                      <w:sz w:val="22"/>
                    </w:rPr>
                    <w:t xml:space="preserve"> 9.5 </w:t>
                  </w:r>
                  <w:r>
                    <w:rPr>
                      <w:rFonts w:cs="Times New Roman"/>
                      <w:sz w:val="22"/>
                    </w:rPr>
                    <w:t xml:space="preserve">± </w:t>
                  </w:r>
                  <w:r>
                    <w:rPr>
                      <w:sz w:val="22"/>
                    </w:rPr>
                    <w:t>3.2</w:t>
                  </w:r>
                  <w:r w:rsidRPr="004B2587">
                    <w:rPr>
                      <w:sz w:val="22"/>
                    </w:rPr>
                    <w:t xml:space="preserve"> </w:t>
                  </w:r>
                </w:p>
              </w:txbxContent>
            </v:textbox>
          </v:shape>
        </w:pict>
      </w:r>
      <w:r w:rsidR="0096680D">
        <w:rPr>
          <w:noProof/>
          <w:lang w:eastAsia="en-GB"/>
        </w:rPr>
        <w:drawing>
          <wp:inline distT="0" distB="0" distL="0" distR="0">
            <wp:extent cx="2933700" cy="1876425"/>
            <wp:effectExtent l="19050" t="0" r="0" b="0"/>
            <wp:docPr id="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3981" t="3469" r="42268" b="24072"/>
                    <a:stretch>
                      <a:fillRect/>
                    </a:stretch>
                  </pic:blipFill>
                  <pic:spPr bwMode="auto">
                    <a:xfrm>
                      <a:off x="0" y="0"/>
                      <a:ext cx="2933700" cy="1876425"/>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3024000" cy="1869919"/>
            <wp:effectExtent l="0" t="0" r="4950" b="0"/>
            <wp:docPr id="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3233" t="4329" r="41262" b="24026"/>
                    <a:stretch>
                      <a:fillRect/>
                    </a:stretch>
                  </pic:blipFill>
                  <pic:spPr bwMode="auto">
                    <a:xfrm>
                      <a:off x="0" y="0"/>
                      <a:ext cx="3024000" cy="1869919"/>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844000" cy="1841369"/>
            <wp:effectExtent l="0" t="0" r="0" b="0"/>
            <wp:docPr id="3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l="3997" t="4327" r="38278" b="28946"/>
                    <a:stretch>
                      <a:fillRect/>
                    </a:stretch>
                  </pic:blipFill>
                  <pic:spPr bwMode="auto">
                    <a:xfrm>
                      <a:off x="0" y="0"/>
                      <a:ext cx="2844000" cy="1841369"/>
                    </a:xfrm>
                    <a:prstGeom prst="rect">
                      <a:avLst/>
                    </a:prstGeom>
                    <a:noFill/>
                    <a:ln w="9525">
                      <a:noFill/>
                      <a:miter lim="800000"/>
                      <a:headEnd/>
                      <a:tailEnd/>
                    </a:ln>
                  </pic:spPr>
                </pic:pic>
              </a:graphicData>
            </a:graphic>
          </wp:inline>
        </w:drawing>
      </w:r>
    </w:p>
    <w:p w:rsidR="0096680D" w:rsidRDefault="006411AF" w:rsidP="0096680D">
      <w:pPr>
        <w:spacing w:line="240" w:lineRule="auto"/>
        <w:ind w:firstLine="0"/>
      </w:pPr>
      <w:r>
        <w:rPr>
          <w:noProof/>
          <w:lang w:eastAsia="en-GB"/>
        </w:rPr>
        <w:pict>
          <v:shape id="_x0000_s1031" type="#_x0000_t202" style="position:absolute;left:0;text-align:left;margin-left:492pt;margin-top:7.45pt;width:30pt;height:27pt;z-index:251665408" filled="f" stroked="f">
            <v:textbox style="mso-next-textbox:#_x0000_s1031">
              <w:txbxContent>
                <w:p w:rsidR="0067107A" w:rsidRDefault="0067107A" w:rsidP="0096680D">
                  <w:pPr>
                    <w:ind w:firstLine="0"/>
                  </w:pPr>
                  <w:r>
                    <w:t>(f)</w:t>
                  </w:r>
                </w:p>
              </w:txbxContent>
            </v:textbox>
          </v:shape>
        </w:pict>
      </w:r>
      <w:r>
        <w:rPr>
          <w:noProof/>
          <w:lang w:eastAsia="en-GB"/>
        </w:rPr>
        <w:pict>
          <v:shape id="_x0000_s1029" type="#_x0000_t202" style="position:absolute;left:0;text-align:left;margin-left:246pt;margin-top:7.45pt;width:30pt;height:27pt;z-index:251663360" filled="f" stroked="f">
            <v:textbox style="mso-next-textbox:#_x0000_s1029">
              <w:txbxContent>
                <w:p w:rsidR="0067107A" w:rsidRDefault="0067107A" w:rsidP="0096680D">
                  <w:pPr>
                    <w:ind w:firstLine="0"/>
                  </w:pPr>
                  <w:r>
                    <w:t>(e)</w:t>
                  </w:r>
                </w:p>
              </w:txbxContent>
            </v:textbox>
          </v:shape>
        </w:pict>
      </w:r>
      <w:r>
        <w:rPr>
          <w:noProof/>
          <w:lang w:eastAsia="en-GB"/>
        </w:rPr>
        <w:pict>
          <v:shape id="_x0000_s1027" type="#_x0000_t202" style="position:absolute;left:0;text-align:left;margin-left:-6pt;margin-top:7.45pt;width:30pt;height:27pt;z-index:251661312" filled="f" stroked="f">
            <v:textbox style="mso-next-textbox:#_x0000_s1027">
              <w:txbxContent>
                <w:p w:rsidR="0067107A" w:rsidRDefault="0067107A" w:rsidP="0096680D">
                  <w:pPr>
                    <w:ind w:firstLine="0"/>
                  </w:pPr>
                  <w:r>
                    <w:t>(d)</w:t>
                  </w:r>
                </w:p>
              </w:txbxContent>
            </v:textbox>
          </v:shape>
        </w:pict>
      </w:r>
    </w:p>
    <w:p w:rsidR="0096680D" w:rsidRDefault="006411AF" w:rsidP="0096680D">
      <w:pPr>
        <w:ind w:firstLine="0"/>
      </w:pPr>
      <w:r>
        <w:rPr>
          <w:noProof/>
          <w:lang w:eastAsia="en-GB"/>
        </w:rPr>
        <w:pict>
          <v:shape id="_x0000_s1047" type="#_x0000_t202" style="position:absolute;left:0;text-align:left;margin-left:472pt;margin-top:2.65pt;width:34.05pt;height:113.95pt;z-index:251681792" fillcolor="white [3212]" stroked="f">
            <v:textbox style="layout-flow:vertical;mso-layout-flow-alt:bottom-to-top;mso-next-textbox:#_x0000_s1047">
              <w:txbxContent>
                <w:p w:rsidR="0067107A" w:rsidRPr="00911938" w:rsidRDefault="0067107A" w:rsidP="0096680D">
                  <w:pPr>
                    <w:ind w:firstLine="0"/>
                    <w:rPr>
                      <w:sz w:val="28"/>
                      <w:szCs w:val="28"/>
                    </w:rPr>
                  </w:pPr>
                  <w:proofErr w:type="gramStart"/>
                  <w:r w:rsidRPr="00911938">
                    <w:rPr>
                      <w:rFonts w:cs="Times New Roman"/>
                      <w:sz w:val="28"/>
                      <w:szCs w:val="28"/>
                    </w:rPr>
                    <w:t>α</w:t>
                  </w:r>
                  <w:proofErr w:type="gramEnd"/>
                  <w:r w:rsidRPr="00911938">
                    <w:rPr>
                      <w:rFonts w:cs="Times New Roman"/>
                      <w:sz w:val="28"/>
                      <w:szCs w:val="28"/>
                    </w:rPr>
                    <w:t xml:space="preserve"> at 0.5 GHz (m</w:t>
                  </w:r>
                  <w:r w:rsidRPr="00911938">
                    <w:rPr>
                      <w:rFonts w:cs="Times New Roman"/>
                      <w:sz w:val="28"/>
                      <w:szCs w:val="28"/>
                      <w:vertAlign w:val="superscript"/>
                    </w:rPr>
                    <w:t>-1</w:t>
                  </w:r>
                  <w:r w:rsidRPr="00911938">
                    <w:rPr>
                      <w:rFonts w:cs="Times New Roman"/>
                      <w:sz w:val="28"/>
                      <w:szCs w:val="28"/>
                    </w:rPr>
                    <w:t>)</w:t>
                  </w:r>
                </w:p>
              </w:txbxContent>
            </v:textbox>
          </v:shape>
        </w:pict>
      </w:r>
      <w:r>
        <w:rPr>
          <w:noProof/>
          <w:lang w:eastAsia="en-GB"/>
        </w:rPr>
        <w:pict>
          <v:shape id="_x0000_s1046" type="#_x0000_t202" style="position:absolute;left:0;text-align:left;margin-left:223.05pt;margin-top:6.2pt;width:34.05pt;height:113.95pt;z-index:251680768" fillcolor="white [3212]" stroked="f">
            <v:textbox style="layout-flow:vertical;mso-layout-flow-alt:bottom-to-top;mso-next-textbox:#_x0000_s1046">
              <w:txbxContent>
                <w:p w:rsidR="0067107A" w:rsidRPr="00911938" w:rsidRDefault="0067107A" w:rsidP="0096680D">
                  <w:pPr>
                    <w:ind w:firstLine="0"/>
                    <w:rPr>
                      <w:sz w:val="28"/>
                      <w:szCs w:val="28"/>
                    </w:rPr>
                  </w:pPr>
                  <w:proofErr w:type="gramStart"/>
                  <w:r w:rsidRPr="00911938">
                    <w:rPr>
                      <w:rFonts w:cs="Times New Roman"/>
                      <w:sz w:val="28"/>
                      <w:szCs w:val="28"/>
                    </w:rPr>
                    <w:t>α</w:t>
                  </w:r>
                  <w:proofErr w:type="gramEnd"/>
                  <w:r w:rsidRPr="00911938">
                    <w:rPr>
                      <w:rFonts w:cs="Times New Roman"/>
                      <w:sz w:val="28"/>
                      <w:szCs w:val="28"/>
                    </w:rPr>
                    <w:t xml:space="preserve"> at 0.5 GHz (m</w:t>
                  </w:r>
                  <w:r w:rsidRPr="00911938">
                    <w:rPr>
                      <w:rFonts w:cs="Times New Roman"/>
                      <w:sz w:val="28"/>
                      <w:szCs w:val="28"/>
                      <w:vertAlign w:val="superscript"/>
                    </w:rPr>
                    <w:t>-1</w:t>
                  </w:r>
                  <w:r w:rsidRPr="00911938">
                    <w:rPr>
                      <w:rFonts w:cs="Times New Roman"/>
                      <w:sz w:val="28"/>
                      <w:szCs w:val="28"/>
                    </w:rPr>
                    <w:t>)</w:t>
                  </w:r>
                </w:p>
              </w:txbxContent>
            </v:textbox>
          </v:shape>
        </w:pict>
      </w:r>
      <w:r>
        <w:rPr>
          <w:noProof/>
          <w:lang w:eastAsia="en-GB"/>
        </w:rPr>
        <w:pict>
          <v:shape id="_x0000_s1045" type="#_x0000_t202" style="position:absolute;left:0;text-align:left;margin-left:-15.3pt;margin-top:6.2pt;width:34.05pt;height:113.95pt;z-index:251679744" filled="f" stroked="f">
            <v:textbox style="layout-flow:vertical;mso-layout-flow-alt:bottom-to-top;mso-next-textbox:#_x0000_s1045">
              <w:txbxContent>
                <w:p w:rsidR="0067107A" w:rsidRPr="00911938" w:rsidRDefault="0067107A" w:rsidP="0096680D">
                  <w:pPr>
                    <w:ind w:firstLine="0"/>
                    <w:rPr>
                      <w:sz w:val="28"/>
                      <w:szCs w:val="28"/>
                    </w:rPr>
                  </w:pPr>
                  <w:proofErr w:type="gramStart"/>
                  <w:r w:rsidRPr="00911938">
                    <w:rPr>
                      <w:rFonts w:cs="Times New Roman"/>
                      <w:sz w:val="28"/>
                      <w:szCs w:val="28"/>
                    </w:rPr>
                    <w:t>α</w:t>
                  </w:r>
                  <w:proofErr w:type="gramEnd"/>
                  <w:r w:rsidRPr="00911938">
                    <w:rPr>
                      <w:rFonts w:cs="Times New Roman"/>
                      <w:sz w:val="28"/>
                      <w:szCs w:val="28"/>
                    </w:rPr>
                    <w:t xml:space="preserve"> at 0.5 GHz (m</w:t>
                  </w:r>
                  <w:r w:rsidRPr="00911938">
                    <w:rPr>
                      <w:rFonts w:cs="Times New Roman"/>
                      <w:sz w:val="28"/>
                      <w:szCs w:val="28"/>
                      <w:vertAlign w:val="superscript"/>
                    </w:rPr>
                    <w:t>-1</w:t>
                  </w:r>
                  <w:r w:rsidRPr="00911938">
                    <w:rPr>
                      <w:rFonts w:cs="Times New Roman"/>
                      <w:sz w:val="28"/>
                      <w:szCs w:val="28"/>
                    </w:rPr>
                    <w:t>)</w:t>
                  </w:r>
                </w:p>
              </w:txbxContent>
            </v:textbox>
          </v:shape>
        </w:pict>
      </w:r>
      <w:r w:rsidR="0096680D">
        <w:t xml:space="preserve">  </w:t>
      </w:r>
      <w:r w:rsidR="0096680D">
        <w:rPr>
          <w:noProof/>
          <w:lang w:eastAsia="en-GB"/>
        </w:rPr>
        <w:drawing>
          <wp:inline distT="0" distB="0" distL="0" distR="0">
            <wp:extent cx="2655417" cy="1872691"/>
            <wp:effectExtent l="19050" t="0" r="0" b="0"/>
            <wp:docPr id="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8726" t="4762" r="42916" b="23810"/>
                    <a:stretch>
                      <a:fillRect/>
                    </a:stretch>
                  </pic:blipFill>
                  <pic:spPr bwMode="auto">
                    <a:xfrm>
                      <a:off x="0" y="0"/>
                      <a:ext cx="2655417" cy="1872691"/>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952000" cy="1832941"/>
            <wp:effectExtent l="0" t="0" r="750" b="0"/>
            <wp:docPr id="3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2866" t="4545" r="43020" b="24892"/>
                    <a:stretch>
                      <a:fillRect/>
                    </a:stretch>
                  </pic:blipFill>
                  <pic:spPr bwMode="auto">
                    <a:xfrm>
                      <a:off x="0" y="0"/>
                      <a:ext cx="2952000" cy="1832941"/>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916000" cy="1911815"/>
            <wp:effectExtent l="0" t="0" r="0" b="0"/>
            <wp:docPr id="3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5209" t="5195" r="42813" b="23810"/>
                    <a:stretch>
                      <a:fillRect/>
                    </a:stretch>
                  </pic:blipFill>
                  <pic:spPr bwMode="auto">
                    <a:xfrm>
                      <a:off x="0" y="0"/>
                      <a:ext cx="2916000" cy="1911815"/>
                    </a:xfrm>
                    <a:prstGeom prst="rect">
                      <a:avLst/>
                    </a:prstGeom>
                    <a:noFill/>
                    <a:ln w="9525">
                      <a:noFill/>
                      <a:miter lim="800000"/>
                      <a:headEnd/>
                      <a:tailEnd/>
                    </a:ln>
                  </pic:spPr>
                </pic:pic>
              </a:graphicData>
            </a:graphic>
          </wp:inline>
        </w:drawing>
      </w:r>
    </w:p>
    <w:p w:rsidR="0096680D" w:rsidRDefault="0096680D" w:rsidP="0096680D">
      <w:pPr>
        <w:spacing w:line="240" w:lineRule="auto"/>
        <w:ind w:firstLine="0"/>
      </w:pPr>
      <w:r>
        <w:t xml:space="preserve">Figure </w:t>
      </w:r>
      <w:r w:rsidR="00C15EFE">
        <w:t xml:space="preserve">6 </w:t>
      </w:r>
      <w:r>
        <w:t xml:space="preserve">CMP2a Spectral ratios analysis, (a), (b) and (c) </w:t>
      </w:r>
      <w:r>
        <w:rPr>
          <w:rFonts w:cs="Times New Roman"/>
        </w:rPr>
        <w:t xml:space="preserve">average </w:t>
      </w:r>
      <w:r w:rsidRPr="00E35072">
        <w:rPr>
          <w:rFonts w:cs="Times New Roman"/>
        </w:rPr>
        <w:t xml:space="preserve">α </w:t>
      </w:r>
      <w:r>
        <w:rPr>
          <w:rFonts w:cs="Times New Roman"/>
        </w:rPr>
        <w:t>values (with respect to emergence angles) versus analysis frequency for layers 1 to 3; error bars correspond to 1 standard deviation. (d), (e) and (f)</w:t>
      </w:r>
      <w:r w:rsidRPr="006B1E8C">
        <w:t xml:space="preserve"> </w:t>
      </w:r>
      <w:r>
        <w:t xml:space="preserve">layers 2, 3 and 4 </w:t>
      </w:r>
      <w:r w:rsidRPr="00E35072">
        <w:rPr>
          <w:rFonts w:cs="Times New Roman"/>
        </w:rPr>
        <w:t xml:space="preserve">α </w:t>
      </w:r>
      <w:r>
        <w:rPr>
          <w:rFonts w:cs="Times New Roman"/>
        </w:rPr>
        <w:t xml:space="preserve">values at 500 MHz versus (common) emergence angles for compared reflections; error bars are regression derived standard errors propagated  using formulas from </w:t>
      </w:r>
      <w:r w:rsidRPr="00C45571">
        <w:rPr>
          <w:rFonts w:cs="Times New Roman"/>
          <w:color w:val="000000" w:themeColor="text1"/>
        </w:rPr>
        <w:t>Topping (1972).</w:t>
      </w:r>
      <w:r>
        <w:rPr>
          <w:rFonts w:cs="Times New Roman"/>
        </w:rPr>
        <w:t xml:space="preserve"> </w:t>
      </w:r>
    </w:p>
    <w:p w:rsidR="0096680D" w:rsidRDefault="0096680D" w:rsidP="0096680D">
      <w:pPr>
        <w:ind w:firstLine="0"/>
        <w:sectPr w:rsidR="0096680D" w:rsidSect="00576510">
          <w:pgSz w:w="16838" w:h="11906" w:orient="landscape"/>
          <w:pgMar w:top="1440" w:right="1080" w:bottom="1440" w:left="1080" w:header="709" w:footer="709" w:gutter="0"/>
          <w:cols w:space="708"/>
          <w:docGrid w:linePitch="360"/>
        </w:sectPr>
      </w:pPr>
    </w:p>
    <w:p w:rsidR="0096680D" w:rsidRDefault="0096680D" w:rsidP="0096680D">
      <w:pPr>
        <w:tabs>
          <w:tab w:val="left" w:pos="3848"/>
        </w:tabs>
        <w:spacing w:after="0"/>
        <w:ind w:firstLine="0"/>
      </w:pPr>
      <w:r>
        <w:lastRenderedPageBreak/>
        <w:t xml:space="preserve"> (a)</w:t>
      </w:r>
    </w:p>
    <w:p w:rsidR="003B6644" w:rsidRDefault="0096680D" w:rsidP="0096680D">
      <w:pPr>
        <w:tabs>
          <w:tab w:val="left" w:pos="3848"/>
        </w:tabs>
        <w:spacing w:after="0"/>
        <w:ind w:firstLine="0"/>
      </w:pPr>
      <w:r w:rsidRPr="00BC04DB">
        <w:rPr>
          <w:noProof/>
          <w:lang w:eastAsia="en-GB"/>
        </w:rPr>
        <w:drawing>
          <wp:inline distT="0" distB="0" distL="0" distR="0">
            <wp:extent cx="5400040" cy="2259383"/>
            <wp:effectExtent l="0" t="0" r="0" b="0"/>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00040" cy="2259383"/>
                    </a:xfrm>
                    <a:prstGeom prst="rect">
                      <a:avLst/>
                    </a:prstGeom>
                    <a:noFill/>
                    <a:ln w="9525">
                      <a:noFill/>
                      <a:miter lim="800000"/>
                      <a:headEnd/>
                      <a:tailEnd/>
                    </a:ln>
                  </pic:spPr>
                </pic:pic>
              </a:graphicData>
            </a:graphic>
          </wp:inline>
        </w:drawing>
      </w:r>
    </w:p>
    <w:p w:rsidR="0096680D" w:rsidRDefault="0096680D" w:rsidP="0096680D">
      <w:pPr>
        <w:tabs>
          <w:tab w:val="left" w:pos="3848"/>
        </w:tabs>
        <w:spacing w:after="0"/>
        <w:ind w:firstLine="0"/>
      </w:pPr>
      <w:r>
        <w:t xml:space="preserve"> (b)</w:t>
      </w:r>
    </w:p>
    <w:p w:rsidR="00BC36F5" w:rsidRDefault="0096680D" w:rsidP="0096680D">
      <w:pPr>
        <w:tabs>
          <w:tab w:val="left" w:pos="3848"/>
        </w:tabs>
        <w:spacing w:after="0"/>
        <w:ind w:firstLine="0"/>
      </w:pPr>
      <w:r w:rsidRPr="00BC04DB">
        <w:rPr>
          <w:noProof/>
          <w:lang w:eastAsia="en-GB"/>
        </w:rPr>
        <w:drawing>
          <wp:inline distT="0" distB="0" distL="0" distR="0">
            <wp:extent cx="5400040" cy="2210955"/>
            <wp:effectExtent l="0" t="0" r="0" b="0"/>
            <wp:docPr id="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400040" cy="2210955"/>
                    </a:xfrm>
                    <a:prstGeom prst="rect">
                      <a:avLst/>
                    </a:prstGeom>
                    <a:noFill/>
                    <a:ln w="9525">
                      <a:noFill/>
                      <a:miter lim="800000"/>
                      <a:headEnd/>
                      <a:tailEnd/>
                    </a:ln>
                  </pic:spPr>
                </pic:pic>
              </a:graphicData>
            </a:graphic>
          </wp:inline>
        </w:drawing>
      </w:r>
      <w:r>
        <w:t xml:space="preserve"> </w:t>
      </w:r>
    </w:p>
    <w:p w:rsidR="0096680D" w:rsidRDefault="0096680D" w:rsidP="0096680D">
      <w:pPr>
        <w:tabs>
          <w:tab w:val="left" w:pos="3848"/>
        </w:tabs>
        <w:spacing w:after="0"/>
        <w:ind w:firstLine="0"/>
      </w:pPr>
      <w:r>
        <w:t>(c)</w:t>
      </w:r>
    </w:p>
    <w:p w:rsidR="0096680D" w:rsidRDefault="0096680D" w:rsidP="0096680D">
      <w:pPr>
        <w:tabs>
          <w:tab w:val="left" w:pos="3848"/>
        </w:tabs>
        <w:spacing w:after="0"/>
        <w:ind w:firstLine="0"/>
      </w:pPr>
      <w:r>
        <w:rPr>
          <w:noProof/>
          <w:lang w:eastAsia="en-GB"/>
        </w:rPr>
        <w:drawing>
          <wp:inline distT="0" distB="0" distL="0" distR="0">
            <wp:extent cx="4673841" cy="2388476"/>
            <wp:effectExtent l="0" t="0" r="0" b="0"/>
            <wp:docPr id="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l="4088" t="3707" r="9343" b="2691"/>
                    <a:stretch>
                      <a:fillRect/>
                    </a:stretch>
                  </pic:blipFill>
                  <pic:spPr bwMode="auto">
                    <a:xfrm>
                      <a:off x="0" y="0"/>
                      <a:ext cx="4673841" cy="2388476"/>
                    </a:xfrm>
                    <a:prstGeom prst="rect">
                      <a:avLst/>
                    </a:prstGeom>
                    <a:noFill/>
                    <a:ln w="9525">
                      <a:noFill/>
                      <a:miter lim="800000"/>
                      <a:headEnd/>
                      <a:tailEnd/>
                    </a:ln>
                  </pic:spPr>
                </pic:pic>
              </a:graphicData>
            </a:graphic>
          </wp:inline>
        </w:drawing>
      </w:r>
    </w:p>
    <w:p w:rsidR="0096680D" w:rsidRDefault="0096680D" w:rsidP="0096680D">
      <w:pPr>
        <w:spacing w:after="0" w:line="240" w:lineRule="auto"/>
        <w:ind w:firstLine="0"/>
      </w:pPr>
      <w:r>
        <w:t xml:space="preserve">Figure </w:t>
      </w:r>
      <w:proofErr w:type="gramStart"/>
      <w:r w:rsidR="00C15EFE">
        <w:t xml:space="preserve">7 </w:t>
      </w:r>
      <w:r>
        <w:t xml:space="preserve"> CMP2b</w:t>
      </w:r>
      <w:proofErr w:type="gramEnd"/>
      <w:r>
        <w:t xml:space="preserve"> (a) </w:t>
      </w:r>
      <w:r w:rsidRPr="00CA5C5B">
        <w:t>f</w:t>
      </w:r>
      <w:r>
        <w:rPr>
          <w:vertAlign w:val="subscript"/>
        </w:rPr>
        <w:t>2</w:t>
      </w:r>
      <w:r w:rsidRPr="00CA5C5B">
        <w:rPr>
          <w:i/>
        </w:rPr>
        <w:t xml:space="preserve"> </w:t>
      </w:r>
      <w:r>
        <w:t>amplitude spectra, (b) f</w:t>
      </w:r>
      <w:r w:rsidRPr="00CA5C5B">
        <w:rPr>
          <w:vertAlign w:val="subscript"/>
        </w:rPr>
        <w:t>3</w:t>
      </w:r>
      <w:r>
        <w:t xml:space="preserve"> amplitude spectra and (c) spectral ratios between f</w:t>
      </w:r>
      <w:r w:rsidRPr="00CA5C5B">
        <w:rPr>
          <w:vertAlign w:val="subscript"/>
        </w:rPr>
        <w:t>3</w:t>
      </w:r>
      <w:r>
        <w:t xml:space="preserve"> and f</w:t>
      </w:r>
      <w:r w:rsidRPr="00CA5C5B">
        <w:rPr>
          <w:vertAlign w:val="subscript"/>
        </w:rPr>
        <w:t>2</w:t>
      </w:r>
      <w:r>
        <w:t xml:space="preserve"> i.e. layer 4. The analysis bandwidth was chosen to include relevant frequency content (0.2 GHz to 0.94 GHz). </w:t>
      </w:r>
    </w:p>
    <w:p w:rsidR="0096680D" w:rsidRPr="009A64CB" w:rsidRDefault="0096680D" w:rsidP="0096680D">
      <w:pPr>
        <w:tabs>
          <w:tab w:val="left" w:pos="3848"/>
        </w:tabs>
        <w:spacing w:after="0"/>
        <w:ind w:firstLine="0"/>
      </w:pPr>
    </w:p>
    <w:p w:rsidR="0096680D" w:rsidRDefault="0096680D" w:rsidP="0096680D">
      <w:pPr>
        <w:spacing w:after="0"/>
        <w:ind w:firstLine="0"/>
        <w:sectPr w:rsidR="0096680D" w:rsidSect="00576510">
          <w:pgSz w:w="11906" w:h="16838"/>
          <w:pgMar w:top="1440" w:right="1080" w:bottom="1440" w:left="1080" w:header="709" w:footer="709" w:gutter="0"/>
          <w:cols w:space="708"/>
          <w:docGrid w:linePitch="360"/>
        </w:sectPr>
      </w:pPr>
    </w:p>
    <w:p w:rsidR="0096680D" w:rsidRDefault="006411AF" w:rsidP="0096680D">
      <w:pPr>
        <w:spacing w:line="240" w:lineRule="auto"/>
        <w:ind w:firstLine="0"/>
      </w:pPr>
      <w:r>
        <w:rPr>
          <w:noProof/>
          <w:lang w:eastAsia="en-GB"/>
        </w:rPr>
        <w:lastRenderedPageBreak/>
        <w:pict>
          <v:shape id="_x0000_s1040" type="#_x0000_t202" style="position:absolute;left:0;text-align:left;margin-left:500.7pt;margin-top:0;width:33.3pt;height:27pt;z-index:251674624" filled="f" stroked="f">
            <v:textbox style="mso-next-textbox:#_x0000_s1040">
              <w:txbxContent>
                <w:p w:rsidR="0067107A" w:rsidRDefault="0067107A" w:rsidP="0096680D">
                  <w:pPr>
                    <w:ind w:firstLine="0"/>
                  </w:pPr>
                  <w:r>
                    <w:t>(c)</w:t>
                  </w:r>
                </w:p>
              </w:txbxContent>
            </v:textbox>
          </v:shape>
        </w:pict>
      </w:r>
      <w:r>
        <w:rPr>
          <w:noProof/>
          <w:lang w:eastAsia="en-GB"/>
        </w:rPr>
        <w:pict>
          <v:shape id="_x0000_s1038" type="#_x0000_t202" style="position:absolute;left:0;text-align:left;margin-left:-3.3pt;margin-top:0;width:33.3pt;height:27pt;z-index:251672576" filled="f" stroked="f">
            <v:textbox style="mso-next-textbox:#_x0000_s1038">
              <w:txbxContent>
                <w:p w:rsidR="0067107A" w:rsidRDefault="0067107A" w:rsidP="0096680D">
                  <w:pPr>
                    <w:ind w:firstLine="0"/>
                  </w:pPr>
                  <w:r>
                    <w:t>(a)</w:t>
                  </w:r>
                </w:p>
              </w:txbxContent>
            </v:textbox>
          </v:shape>
        </w:pict>
      </w:r>
      <w:r>
        <w:rPr>
          <w:noProof/>
          <w:lang w:eastAsia="en-GB"/>
        </w:rPr>
        <w:pict>
          <v:shape id="_x0000_s1039" type="#_x0000_t202" style="position:absolute;left:0;text-align:left;margin-left:242.7pt;margin-top:0;width:33.3pt;height:27pt;z-index:251673600" filled="f" stroked="f">
            <v:textbox style="mso-next-textbox:#_x0000_s1039">
              <w:txbxContent>
                <w:p w:rsidR="0067107A" w:rsidRDefault="0067107A" w:rsidP="0096680D">
                  <w:pPr>
                    <w:ind w:firstLine="0"/>
                  </w:pPr>
                  <w:r>
                    <w:t>(b)</w:t>
                  </w:r>
                </w:p>
              </w:txbxContent>
            </v:textbox>
          </v:shape>
        </w:pict>
      </w:r>
    </w:p>
    <w:p w:rsidR="0096680D" w:rsidRDefault="006411AF" w:rsidP="0096680D">
      <w:pPr>
        <w:spacing w:line="240" w:lineRule="auto"/>
        <w:ind w:firstLine="0"/>
      </w:pPr>
      <w:r>
        <w:rPr>
          <w:noProof/>
          <w:lang w:eastAsia="en-GB"/>
        </w:rPr>
        <w:pict>
          <v:shape id="_x0000_s1061" type="#_x0000_t202" style="position:absolute;left:0;text-align:left;margin-left:668.7pt;margin-top:94.5pt;width:69.1pt;height:17.55pt;z-index:251696128" filled="f" stroked="f">
            <v:textbox>
              <w:txbxContent>
                <w:p w:rsidR="0067107A" w:rsidRPr="005C2495" w:rsidRDefault="0067107A" w:rsidP="0096680D">
                  <w:pPr>
                    <w:ind w:firstLine="0"/>
                    <w:jc w:val="left"/>
                    <w:rPr>
                      <w:sz w:val="20"/>
                      <w:szCs w:val="20"/>
                    </w:rPr>
                  </w:pPr>
                  <w:r w:rsidRPr="005C2495">
                    <w:rPr>
                      <w:sz w:val="20"/>
                      <w:szCs w:val="20"/>
                    </w:rPr>
                    <w:t>2</w:t>
                  </w:r>
                  <w:r>
                    <w:rPr>
                      <w:sz w:val="20"/>
                      <w:szCs w:val="20"/>
                    </w:rPr>
                    <w:t>5.6</w:t>
                  </w:r>
                  <w:r w:rsidRPr="005C2495">
                    <w:rPr>
                      <w:sz w:val="20"/>
                      <w:szCs w:val="20"/>
                    </w:rPr>
                    <w:t xml:space="preserve"> </w:t>
                  </w:r>
                  <w:r w:rsidRPr="005C2495">
                    <w:rPr>
                      <w:rFonts w:cs="Times New Roman"/>
                      <w:sz w:val="20"/>
                      <w:szCs w:val="20"/>
                    </w:rPr>
                    <w:t xml:space="preserve">± </w:t>
                  </w:r>
                  <w:r>
                    <w:rPr>
                      <w:sz w:val="20"/>
                      <w:szCs w:val="20"/>
                    </w:rPr>
                    <w:t>3.1</w:t>
                  </w:r>
                </w:p>
              </w:txbxContent>
            </v:textbox>
          </v:shape>
        </w:pict>
      </w:r>
      <w:r>
        <w:rPr>
          <w:noProof/>
          <w:lang w:eastAsia="en-GB"/>
        </w:rPr>
        <w:pict>
          <v:shape id="_x0000_s1060" type="#_x0000_t202" style="position:absolute;left:0;text-align:left;margin-left:412.35pt;margin-top:91.3pt;width:69.1pt;height:17.55pt;z-index:251695104" filled="f" stroked="f">
            <v:textbox>
              <w:txbxContent>
                <w:p w:rsidR="0067107A" w:rsidRPr="005C2495" w:rsidRDefault="0067107A" w:rsidP="0096680D">
                  <w:pPr>
                    <w:ind w:firstLine="0"/>
                    <w:jc w:val="left"/>
                    <w:rPr>
                      <w:sz w:val="20"/>
                      <w:szCs w:val="20"/>
                    </w:rPr>
                  </w:pPr>
                  <w:r w:rsidRPr="005C2495">
                    <w:rPr>
                      <w:sz w:val="20"/>
                      <w:szCs w:val="20"/>
                    </w:rPr>
                    <w:t>2</w:t>
                  </w:r>
                  <w:r>
                    <w:rPr>
                      <w:sz w:val="20"/>
                      <w:szCs w:val="20"/>
                    </w:rPr>
                    <w:t>4.2</w:t>
                  </w:r>
                  <w:r w:rsidRPr="005C2495">
                    <w:rPr>
                      <w:sz w:val="20"/>
                      <w:szCs w:val="20"/>
                    </w:rPr>
                    <w:t xml:space="preserve"> </w:t>
                  </w:r>
                  <w:r w:rsidRPr="005C2495">
                    <w:rPr>
                      <w:rFonts w:cs="Times New Roman"/>
                      <w:sz w:val="20"/>
                      <w:szCs w:val="20"/>
                    </w:rPr>
                    <w:t xml:space="preserve">± </w:t>
                  </w:r>
                  <w:r>
                    <w:rPr>
                      <w:sz w:val="20"/>
                      <w:szCs w:val="20"/>
                    </w:rPr>
                    <w:t>1.5</w:t>
                  </w:r>
                </w:p>
              </w:txbxContent>
            </v:textbox>
          </v:shape>
        </w:pict>
      </w:r>
      <w:r>
        <w:rPr>
          <w:noProof/>
          <w:lang w:eastAsia="en-GB"/>
        </w:rPr>
        <w:pict>
          <v:shape id="_x0000_s1059" type="#_x0000_t202" style="position:absolute;left:0;text-align:left;margin-left:164.8pt;margin-top:95.15pt;width:69.1pt;height:17.55pt;z-index:251694080" filled="f" stroked="f">
            <v:textbox>
              <w:txbxContent>
                <w:p w:rsidR="0067107A" w:rsidRPr="005C2495" w:rsidRDefault="0067107A" w:rsidP="0096680D">
                  <w:pPr>
                    <w:ind w:firstLine="0"/>
                    <w:jc w:val="left"/>
                    <w:rPr>
                      <w:sz w:val="20"/>
                      <w:szCs w:val="20"/>
                    </w:rPr>
                  </w:pPr>
                  <w:r w:rsidRPr="005C2495">
                    <w:rPr>
                      <w:sz w:val="20"/>
                      <w:szCs w:val="20"/>
                    </w:rPr>
                    <w:t>2</w:t>
                  </w:r>
                  <w:r>
                    <w:rPr>
                      <w:sz w:val="20"/>
                      <w:szCs w:val="20"/>
                    </w:rPr>
                    <w:t>0.4</w:t>
                  </w:r>
                  <w:r w:rsidRPr="005C2495">
                    <w:rPr>
                      <w:sz w:val="20"/>
                      <w:szCs w:val="20"/>
                    </w:rPr>
                    <w:t xml:space="preserve"> </w:t>
                  </w:r>
                  <w:r w:rsidRPr="005C2495">
                    <w:rPr>
                      <w:rFonts w:cs="Times New Roman"/>
                      <w:sz w:val="20"/>
                      <w:szCs w:val="20"/>
                    </w:rPr>
                    <w:t xml:space="preserve">± </w:t>
                  </w:r>
                  <w:r>
                    <w:rPr>
                      <w:sz w:val="20"/>
                      <w:szCs w:val="20"/>
                    </w:rPr>
                    <w:t>4.9</w:t>
                  </w:r>
                </w:p>
              </w:txbxContent>
            </v:textbox>
          </v:shape>
        </w:pict>
      </w:r>
      <w:r>
        <w:rPr>
          <w:noProof/>
          <w:lang w:eastAsia="en-GB"/>
        </w:rPr>
        <w:pict>
          <v:rect id="_x0000_s1058" style="position:absolute;left:0;text-align:left;margin-left:672.55pt;margin-top:90.7pt;width:44.45pt;height:18.8pt;z-index:251693056" stroked="f"/>
        </w:pict>
      </w:r>
      <w:r>
        <w:rPr>
          <w:noProof/>
          <w:lang w:eastAsia="en-GB"/>
        </w:rPr>
        <w:pict>
          <v:rect id="_x0000_s1057" style="position:absolute;left:0;text-align:left;margin-left:417.95pt;margin-top:86.95pt;width:44.45pt;height:18.8pt;z-index:251692032" stroked="f"/>
        </w:pict>
      </w:r>
      <w:r>
        <w:rPr>
          <w:noProof/>
          <w:lang w:eastAsia="en-GB"/>
        </w:rPr>
        <w:pict>
          <v:rect id="_x0000_s1056" style="position:absolute;left:0;text-align:left;margin-left:171.8pt;margin-top:99.45pt;width:44.45pt;height:10.65pt;z-index:251691008" stroked="f"/>
        </w:pict>
      </w:r>
      <w:r>
        <w:rPr>
          <w:noProof/>
          <w:lang w:eastAsia="en-GB"/>
        </w:rPr>
        <w:pict>
          <v:shape id="_x0000_s1041" type="#_x0000_t202" style="position:absolute;left:0;text-align:left;margin-left:248.7pt;margin-top:156.2pt;width:33.3pt;height:27pt;z-index:251675648" filled="f" stroked="f">
            <v:textbox style="mso-next-textbox:#_x0000_s1041">
              <w:txbxContent>
                <w:p w:rsidR="0067107A" w:rsidRDefault="0067107A" w:rsidP="0096680D">
                  <w:pPr>
                    <w:ind w:firstLine="0"/>
                  </w:pPr>
                  <w:r>
                    <w:t>(e)</w:t>
                  </w:r>
                </w:p>
              </w:txbxContent>
            </v:textbox>
          </v:shape>
        </w:pict>
      </w:r>
      <w:r>
        <w:rPr>
          <w:noProof/>
          <w:lang w:eastAsia="en-GB"/>
        </w:rPr>
        <w:pict>
          <v:shape id="_x0000_s1043" type="#_x0000_t202" style="position:absolute;left:0;text-align:left;margin-left:498pt;margin-top:156.2pt;width:33.3pt;height:27pt;z-index:251677696" filled="f" stroked="f">
            <v:textbox style="mso-next-textbox:#_x0000_s1043">
              <w:txbxContent>
                <w:p w:rsidR="0067107A" w:rsidRDefault="0067107A" w:rsidP="0096680D">
                  <w:pPr>
                    <w:ind w:firstLine="0"/>
                  </w:pPr>
                  <w:r>
                    <w:t>(f)</w:t>
                  </w:r>
                </w:p>
              </w:txbxContent>
            </v:textbox>
          </v:shape>
        </w:pict>
      </w:r>
      <w:r>
        <w:rPr>
          <w:noProof/>
          <w:lang w:eastAsia="en-GB"/>
        </w:rPr>
        <w:pict>
          <v:shape id="_x0000_s1042" type="#_x0000_t202" style="position:absolute;left:0;text-align:left;margin-left:-3.3pt;margin-top:156.2pt;width:33.3pt;height:27pt;z-index:251676672" filled="f" stroked="f">
            <v:textbox style="mso-next-textbox:#_x0000_s1042">
              <w:txbxContent>
                <w:p w:rsidR="0067107A" w:rsidRDefault="0067107A" w:rsidP="0096680D">
                  <w:pPr>
                    <w:ind w:firstLine="0"/>
                  </w:pPr>
                  <w:r>
                    <w:t>(d)</w:t>
                  </w:r>
                </w:p>
              </w:txbxContent>
            </v:textbox>
          </v:shape>
        </w:pict>
      </w:r>
      <w:r w:rsidR="0096680D">
        <w:rPr>
          <w:noProof/>
          <w:lang w:eastAsia="en-GB"/>
        </w:rPr>
        <w:drawing>
          <wp:inline distT="0" distB="0" distL="0" distR="0">
            <wp:extent cx="2844000" cy="1887302"/>
            <wp:effectExtent l="0" t="0" r="0" b="0"/>
            <wp:docPr id="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4475" t="4490" r="38755" b="28571"/>
                    <a:stretch>
                      <a:fillRect/>
                    </a:stretch>
                  </pic:blipFill>
                  <pic:spPr bwMode="auto">
                    <a:xfrm>
                      <a:off x="0" y="0"/>
                      <a:ext cx="2844000" cy="1887302"/>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967487" cy="1846053"/>
            <wp:effectExtent l="0" t="0" r="0" b="0"/>
            <wp:docPr id="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1835" t="6222" r="38641" b="28163"/>
                    <a:stretch>
                      <a:fillRect/>
                    </a:stretch>
                  </pic:blipFill>
                  <pic:spPr bwMode="auto">
                    <a:xfrm>
                      <a:off x="0" y="0"/>
                      <a:ext cx="2967487" cy="1846053"/>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916000" cy="1771608"/>
            <wp:effectExtent l="0" t="0" r="0" b="0"/>
            <wp:docPr id="3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1032" t="5918" r="38182" b="28367"/>
                    <a:stretch>
                      <a:fillRect/>
                    </a:stretch>
                  </pic:blipFill>
                  <pic:spPr bwMode="auto">
                    <a:xfrm>
                      <a:off x="0" y="0"/>
                      <a:ext cx="2916000" cy="1771608"/>
                    </a:xfrm>
                    <a:prstGeom prst="rect">
                      <a:avLst/>
                    </a:prstGeom>
                    <a:noFill/>
                    <a:ln w="9525">
                      <a:noFill/>
                      <a:miter lim="800000"/>
                      <a:headEnd/>
                      <a:tailEnd/>
                    </a:ln>
                  </pic:spPr>
                </pic:pic>
              </a:graphicData>
            </a:graphic>
          </wp:inline>
        </w:drawing>
      </w:r>
    </w:p>
    <w:p w:rsidR="0096680D" w:rsidRDefault="0096680D" w:rsidP="0096680D">
      <w:pPr>
        <w:spacing w:after="0"/>
        <w:ind w:firstLine="0"/>
      </w:pPr>
    </w:p>
    <w:p w:rsidR="0096680D" w:rsidRDefault="006411AF" w:rsidP="0096680D">
      <w:pPr>
        <w:spacing w:after="0"/>
        <w:ind w:firstLine="0"/>
      </w:pPr>
      <w:r>
        <w:rPr>
          <w:noProof/>
          <w:lang w:eastAsia="en-GB"/>
        </w:rPr>
        <w:pict>
          <v:shape id="_x0000_s1048" type="#_x0000_t202" style="position:absolute;left:0;text-align:left;margin-left:449.35pt;margin-top:2pt;width:34.05pt;height:113.95pt;z-index:251682816" filled="f" fillcolor="white [3212]" stroked="f">
            <v:textbox style="layout-flow:vertical;mso-layout-flow-alt:bottom-to-top;mso-next-textbox:#_x0000_s1048">
              <w:txbxContent>
                <w:p w:rsidR="0067107A" w:rsidRPr="00911938" w:rsidRDefault="0067107A" w:rsidP="0096680D">
                  <w:pPr>
                    <w:ind w:firstLine="0"/>
                    <w:rPr>
                      <w:sz w:val="28"/>
                      <w:szCs w:val="28"/>
                    </w:rPr>
                  </w:pPr>
                  <w:proofErr w:type="gramStart"/>
                  <w:r w:rsidRPr="00911938">
                    <w:rPr>
                      <w:rFonts w:cs="Times New Roman"/>
                      <w:sz w:val="28"/>
                      <w:szCs w:val="28"/>
                    </w:rPr>
                    <w:t>α</w:t>
                  </w:r>
                  <w:proofErr w:type="gramEnd"/>
                  <w:r w:rsidRPr="00911938">
                    <w:rPr>
                      <w:rFonts w:cs="Times New Roman"/>
                      <w:sz w:val="28"/>
                      <w:szCs w:val="28"/>
                    </w:rPr>
                    <w:t xml:space="preserve"> at 0.5 GHz (m</w:t>
                  </w:r>
                  <w:r w:rsidRPr="00911938">
                    <w:rPr>
                      <w:rFonts w:cs="Times New Roman"/>
                      <w:sz w:val="28"/>
                      <w:szCs w:val="28"/>
                      <w:vertAlign w:val="superscript"/>
                    </w:rPr>
                    <w:t>-1</w:t>
                  </w:r>
                  <w:r w:rsidRPr="00911938">
                    <w:rPr>
                      <w:rFonts w:cs="Times New Roman"/>
                      <w:sz w:val="28"/>
                      <w:szCs w:val="28"/>
                    </w:rPr>
                    <w:t>)</w:t>
                  </w:r>
                </w:p>
              </w:txbxContent>
            </v:textbox>
          </v:shape>
        </w:pict>
      </w:r>
      <w:r>
        <w:rPr>
          <w:noProof/>
          <w:lang w:eastAsia="en-GB"/>
        </w:rPr>
        <w:pict>
          <v:shape id="_x0000_s1050" type="#_x0000_t202" style="position:absolute;left:0;text-align:left;margin-left:212.85pt;margin-top:3.9pt;width:34.05pt;height:113.95pt;z-index:251684864" filled="f" fillcolor="white [3212]" stroked="f">
            <v:textbox style="layout-flow:vertical;mso-layout-flow-alt:bottom-to-top;mso-next-textbox:#_x0000_s1050">
              <w:txbxContent>
                <w:p w:rsidR="0067107A" w:rsidRPr="00911938" w:rsidRDefault="0067107A" w:rsidP="0096680D">
                  <w:pPr>
                    <w:ind w:firstLine="0"/>
                    <w:rPr>
                      <w:sz w:val="28"/>
                      <w:szCs w:val="28"/>
                    </w:rPr>
                  </w:pPr>
                  <w:proofErr w:type="gramStart"/>
                  <w:r w:rsidRPr="00911938">
                    <w:rPr>
                      <w:rFonts w:cs="Times New Roman"/>
                      <w:sz w:val="28"/>
                      <w:szCs w:val="28"/>
                    </w:rPr>
                    <w:t>α</w:t>
                  </w:r>
                  <w:proofErr w:type="gramEnd"/>
                  <w:r w:rsidRPr="00911938">
                    <w:rPr>
                      <w:rFonts w:cs="Times New Roman"/>
                      <w:sz w:val="28"/>
                      <w:szCs w:val="28"/>
                    </w:rPr>
                    <w:t xml:space="preserve"> at 0.5 GHz (m</w:t>
                  </w:r>
                  <w:r w:rsidRPr="00911938">
                    <w:rPr>
                      <w:rFonts w:cs="Times New Roman"/>
                      <w:sz w:val="28"/>
                      <w:szCs w:val="28"/>
                      <w:vertAlign w:val="superscript"/>
                    </w:rPr>
                    <w:t>-1</w:t>
                  </w:r>
                  <w:r w:rsidRPr="00911938">
                    <w:rPr>
                      <w:rFonts w:cs="Times New Roman"/>
                      <w:sz w:val="28"/>
                      <w:szCs w:val="28"/>
                    </w:rPr>
                    <w:t>)</w:t>
                  </w:r>
                </w:p>
              </w:txbxContent>
            </v:textbox>
          </v:shape>
        </w:pict>
      </w:r>
      <w:r>
        <w:rPr>
          <w:noProof/>
          <w:lang w:eastAsia="en-GB"/>
        </w:rPr>
        <w:pict>
          <v:shape id="_x0000_s1049" type="#_x0000_t202" style="position:absolute;left:0;text-align:left;margin-left:-30.05pt;margin-top:9.35pt;width:31.55pt;height:113.95pt;z-index:251683840" fillcolor="white [3212]" stroked="f">
            <v:textbox style="layout-flow:vertical;mso-layout-flow-alt:bottom-to-top;mso-next-textbox:#_x0000_s1049">
              <w:txbxContent>
                <w:p w:rsidR="0067107A" w:rsidRPr="00911938" w:rsidRDefault="0067107A" w:rsidP="0096680D">
                  <w:pPr>
                    <w:spacing w:line="240" w:lineRule="auto"/>
                    <w:ind w:firstLine="0"/>
                    <w:rPr>
                      <w:sz w:val="28"/>
                      <w:szCs w:val="28"/>
                    </w:rPr>
                  </w:pPr>
                  <w:proofErr w:type="gramStart"/>
                  <w:r w:rsidRPr="00911938">
                    <w:rPr>
                      <w:rFonts w:cs="Times New Roman"/>
                      <w:sz w:val="28"/>
                      <w:szCs w:val="28"/>
                    </w:rPr>
                    <w:t>α</w:t>
                  </w:r>
                  <w:proofErr w:type="gramEnd"/>
                  <w:r w:rsidRPr="00911938">
                    <w:rPr>
                      <w:rFonts w:cs="Times New Roman"/>
                      <w:sz w:val="28"/>
                      <w:szCs w:val="28"/>
                    </w:rPr>
                    <w:t xml:space="preserve"> at 0.5 GHz (m</w:t>
                  </w:r>
                  <w:r w:rsidRPr="00911938">
                    <w:rPr>
                      <w:rFonts w:cs="Times New Roman"/>
                      <w:sz w:val="28"/>
                      <w:szCs w:val="28"/>
                      <w:vertAlign w:val="superscript"/>
                    </w:rPr>
                    <w:t>-1</w:t>
                  </w:r>
                  <w:r w:rsidRPr="00911938">
                    <w:rPr>
                      <w:rFonts w:cs="Times New Roman"/>
                      <w:sz w:val="28"/>
                      <w:szCs w:val="28"/>
                    </w:rPr>
                    <w:t>)</w:t>
                  </w:r>
                </w:p>
              </w:txbxContent>
            </v:textbox>
          </v:shape>
        </w:pict>
      </w:r>
      <w:r w:rsidR="0096680D">
        <w:rPr>
          <w:noProof/>
          <w:lang w:eastAsia="en-GB"/>
        </w:rPr>
        <w:drawing>
          <wp:inline distT="0" distB="0" distL="0" distR="0">
            <wp:extent cx="2717445" cy="1880006"/>
            <wp:effectExtent l="19050" t="0" r="670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7531" t="3878" r="37838" b="28776"/>
                    <a:stretch>
                      <a:fillRect/>
                    </a:stretch>
                  </pic:blipFill>
                  <pic:spPr bwMode="auto">
                    <a:xfrm>
                      <a:off x="0" y="0"/>
                      <a:ext cx="2717445" cy="1880006"/>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667508" cy="1872691"/>
            <wp:effectExtent l="19050" t="0" r="0" b="0"/>
            <wp:docPr id="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l="7277" t="5510" r="38155" b="26327"/>
                    <a:stretch>
                      <a:fillRect/>
                    </a:stretch>
                  </pic:blipFill>
                  <pic:spPr bwMode="auto">
                    <a:xfrm>
                      <a:off x="0" y="0"/>
                      <a:ext cx="2667508" cy="1872691"/>
                    </a:xfrm>
                    <a:prstGeom prst="rect">
                      <a:avLst/>
                    </a:prstGeom>
                    <a:noFill/>
                    <a:ln w="9525">
                      <a:noFill/>
                      <a:miter lim="800000"/>
                      <a:headEnd/>
                      <a:tailEnd/>
                    </a:ln>
                  </pic:spPr>
                </pic:pic>
              </a:graphicData>
            </a:graphic>
          </wp:inline>
        </w:drawing>
      </w:r>
      <w:r w:rsidR="0096680D">
        <w:t xml:space="preserve">         </w:t>
      </w:r>
      <w:r w:rsidR="0096680D">
        <w:rPr>
          <w:noProof/>
          <w:lang w:eastAsia="en-GB"/>
        </w:rPr>
        <w:drawing>
          <wp:inline distT="0" distB="0" distL="0" distR="0">
            <wp:extent cx="2867558" cy="1799539"/>
            <wp:effectExtent l="19050" t="0" r="0" b="0"/>
            <wp:docPr id="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5677" t="9303" r="42573" b="22755"/>
                    <a:stretch>
                      <a:fillRect/>
                    </a:stretch>
                  </pic:blipFill>
                  <pic:spPr bwMode="auto">
                    <a:xfrm>
                      <a:off x="0" y="0"/>
                      <a:ext cx="2867558" cy="1799539"/>
                    </a:xfrm>
                    <a:prstGeom prst="rect">
                      <a:avLst/>
                    </a:prstGeom>
                    <a:noFill/>
                    <a:ln w="9525">
                      <a:noFill/>
                      <a:miter lim="800000"/>
                      <a:headEnd/>
                      <a:tailEnd/>
                    </a:ln>
                  </pic:spPr>
                </pic:pic>
              </a:graphicData>
            </a:graphic>
          </wp:inline>
        </w:drawing>
      </w:r>
    </w:p>
    <w:p w:rsidR="0096680D" w:rsidRDefault="0096680D" w:rsidP="0096680D">
      <w:pPr>
        <w:spacing w:line="240" w:lineRule="auto"/>
        <w:ind w:firstLine="0"/>
      </w:pPr>
      <w:r>
        <w:t xml:space="preserve">Figure </w:t>
      </w:r>
      <w:r w:rsidR="00C15EFE">
        <w:t>8</w:t>
      </w:r>
      <w:r>
        <w:t xml:space="preserve"> CMP2b Spectral ratios analysis, (a), (b) and (c)</w:t>
      </w:r>
      <w:r w:rsidRPr="006B1E8C">
        <w:rPr>
          <w:rFonts w:cs="Times New Roman"/>
        </w:rPr>
        <w:t xml:space="preserve"> </w:t>
      </w:r>
      <w:r>
        <w:rPr>
          <w:rFonts w:cs="Times New Roman"/>
        </w:rPr>
        <w:t xml:space="preserve">average </w:t>
      </w:r>
      <w:r w:rsidRPr="00E35072">
        <w:rPr>
          <w:rFonts w:cs="Times New Roman"/>
        </w:rPr>
        <w:t xml:space="preserve">α </w:t>
      </w:r>
      <w:proofErr w:type="gramStart"/>
      <w:r>
        <w:rPr>
          <w:rFonts w:cs="Times New Roman"/>
        </w:rPr>
        <w:t>values</w:t>
      </w:r>
      <w:proofErr w:type="gramEnd"/>
      <w:r>
        <w:rPr>
          <w:rFonts w:cs="Times New Roman"/>
        </w:rPr>
        <w:t xml:space="preserve"> (with respect to emergence angles) versus analysis frequency for layers 1 to 3; error bars correspond to 1 standard deviation. (d), (e) and (f)</w:t>
      </w:r>
      <w:r>
        <w:t xml:space="preserve"> layers 2, 3 and 4 </w:t>
      </w:r>
      <w:r w:rsidRPr="00E35072">
        <w:rPr>
          <w:rFonts w:cs="Times New Roman"/>
        </w:rPr>
        <w:t xml:space="preserve">α </w:t>
      </w:r>
      <w:r>
        <w:rPr>
          <w:rFonts w:cs="Times New Roman"/>
        </w:rPr>
        <w:t xml:space="preserve">values at 500 MHz versus (common) emergence angles for compared reflections; error bars are regression derived standard errors propagated  using formulas from </w:t>
      </w:r>
      <w:r w:rsidRPr="00C45571">
        <w:rPr>
          <w:rFonts w:cs="Times New Roman"/>
          <w:color w:val="000000" w:themeColor="text1"/>
        </w:rPr>
        <w:t>Topping (1972).</w:t>
      </w:r>
      <w:r>
        <w:rPr>
          <w:rFonts w:cs="Times New Roman"/>
        </w:rPr>
        <w:t xml:space="preserve"> </w:t>
      </w:r>
    </w:p>
    <w:p w:rsidR="00C15EFE" w:rsidRDefault="00C15EFE" w:rsidP="0096680D">
      <w:pPr>
        <w:spacing w:line="240" w:lineRule="auto"/>
        <w:ind w:firstLine="0"/>
        <w:sectPr w:rsidR="00C15EFE" w:rsidSect="00576510">
          <w:pgSz w:w="16838" w:h="11906" w:orient="landscape"/>
          <w:pgMar w:top="1440" w:right="1080" w:bottom="1440" w:left="1080" w:header="709" w:footer="709" w:gutter="0"/>
          <w:cols w:space="708"/>
          <w:docGrid w:linePitch="360"/>
        </w:sectPr>
      </w:pPr>
    </w:p>
    <w:p w:rsidR="0096680D" w:rsidRDefault="0096680D" w:rsidP="0096680D">
      <w:pPr>
        <w:ind w:firstLine="0"/>
      </w:pPr>
      <w:r w:rsidRPr="00380450">
        <w:rPr>
          <w:noProof/>
          <w:lang w:eastAsia="en-GB"/>
        </w:rPr>
        <w:lastRenderedPageBreak/>
        <w:drawing>
          <wp:inline distT="0" distB="0" distL="0" distR="0">
            <wp:extent cx="5040000" cy="3507866"/>
            <wp:effectExtent l="19050" t="0" r="8250" b="0"/>
            <wp:docPr id="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737" r="2188"/>
                    <a:stretch>
                      <a:fillRect/>
                    </a:stretch>
                  </pic:blipFill>
                  <pic:spPr bwMode="auto">
                    <a:xfrm>
                      <a:off x="0" y="0"/>
                      <a:ext cx="5040000" cy="3507866"/>
                    </a:xfrm>
                    <a:prstGeom prst="rect">
                      <a:avLst/>
                    </a:prstGeom>
                    <a:noFill/>
                    <a:ln w="9525">
                      <a:noFill/>
                      <a:miter lim="800000"/>
                      <a:headEnd/>
                      <a:tailEnd/>
                    </a:ln>
                  </pic:spPr>
                </pic:pic>
              </a:graphicData>
            </a:graphic>
          </wp:inline>
        </w:drawing>
      </w:r>
    </w:p>
    <w:p w:rsidR="0096680D" w:rsidRPr="00943EF9" w:rsidRDefault="00FB1A87" w:rsidP="0096680D">
      <w:pPr>
        <w:spacing w:line="240" w:lineRule="auto"/>
        <w:ind w:firstLine="0"/>
      </w:pPr>
      <w:r>
        <w:t>Figure 9</w:t>
      </w:r>
      <w:r w:rsidR="0096680D">
        <w:t xml:space="preserve"> CMP2a section and corresponding attenuation coefficient, </w:t>
      </w:r>
      <w:r w:rsidR="0096680D">
        <w:rPr>
          <w:rFonts w:cs="Times New Roman"/>
        </w:rPr>
        <w:t>α</w:t>
      </w:r>
      <w:r w:rsidR="0096680D">
        <w:t xml:space="preserve"> (at 500 MHz), for layers 2, 3 and 4. Attenuation coefficient is expressed in m</w:t>
      </w:r>
      <w:r w:rsidR="0096680D" w:rsidRPr="00943EF9">
        <w:rPr>
          <w:vertAlign w:val="superscript"/>
        </w:rPr>
        <w:t>-1</w:t>
      </w:r>
      <w:r w:rsidR="0096680D">
        <w:t xml:space="preserve"> = 20log</w:t>
      </w:r>
      <w:r w:rsidR="0096680D">
        <w:rPr>
          <w:vertAlign w:val="subscript"/>
        </w:rPr>
        <w:t>10</w:t>
      </w:r>
      <w:r w:rsidR="0096680D">
        <w:t xml:space="preserve"> (exp </w:t>
      </w:r>
      <w:r w:rsidR="0096680D" w:rsidRPr="00E73F83">
        <w:rPr>
          <w:vertAlign w:val="superscript"/>
        </w:rPr>
        <w:t>(</w:t>
      </w:r>
      <w:r w:rsidR="0096680D" w:rsidRPr="00E73F83">
        <w:rPr>
          <w:rFonts w:cs="Times New Roman"/>
          <w:vertAlign w:val="superscript"/>
        </w:rPr>
        <w:t>α</w:t>
      </w:r>
      <w:r w:rsidR="0096680D" w:rsidRPr="00E73F83">
        <w:rPr>
          <w:vertAlign w:val="superscript"/>
        </w:rPr>
        <w:t>m-1)</w:t>
      </w:r>
      <w:r w:rsidR="0096680D">
        <w:t>) dBm</w:t>
      </w:r>
      <w:r w:rsidR="0096680D" w:rsidRPr="00943EF9">
        <w:rPr>
          <w:vertAlign w:val="superscript"/>
        </w:rPr>
        <w:t>-1</w:t>
      </w:r>
      <w:r w:rsidR="0096680D">
        <w:t>.</w:t>
      </w:r>
    </w:p>
    <w:p w:rsidR="0096680D" w:rsidRDefault="0096680D" w:rsidP="0096680D">
      <w:pPr>
        <w:spacing w:line="240" w:lineRule="auto"/>
        <w:ind w:firstLine="0"/>
      </w:pPr>
      <w:r w:rsidRPr="004D6827">
        <w:rPr>
          <w:noProof/>
          <w:lang w:eastAsia="en-GB"/>
        </w:rPr>
        <w:drawing>
          <wp:inline distT="0" distB="0" distL="0" distR="0">
            <wp:extent cx="5040000" cy="3748034"/>
            <wp:effectExtent l="0" t="0" r="8250" b="0"/>
            <wp:docPr id="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t="1507" b="3390"/>
                    <a:stretch>
                      <a:fillRect/>
                    </a:stretch>
                  </pic:blipFill>
                  <pic:spPr bwMode="auto">
                    <a:xfrm>
                      <a:off x="0" y="0"/>
                      <a:ext cx="5040000" cy="3748034"/>
                    </a:xfrm>
                    <a:prstGeom prst="rect">
                      <a:avLst/>
                    </a:prstGeom>
                    <a:noFill/>
                    <a:ln w="9525">
                      <a:noFill/>
                      <a:miter lim="800000"/>
                      <a:headEnd/>
                      <a:tailEnd/>
                    </a:ln>
                  </pic:spPr>
                </pic:pic>
              </a:graphicData>
            </a:graphic>
          </wp:inline>
        </w:drawing>
      </w:r>
    </w:p>
    <w:p w:rsidR="0096680D" w:rsidRPr="00C42CE7" w:rsidRDefault="00FB1A87" w:rsidP="0096680D">
      <w:pPr>
        <w:spacing w:line="240" w:lineRule="auto"/>
        <w:ind w:firstLine="0"/>
      </w:pPr>
      <w:proofErr w:type="gramStart"/>
      <w:r>
        <w:t>Figure 10</w:t>
      </w:r>
      <w:r w:rsidR="0096680D">
        <w:t xml:space="preserve"> CMP2b section and attenuation coefficients </w:t>
      </w:r>
      <w:r w:rsidR="0096680D">
        <w:rPr>
          <w:rFonts w:cs="Times New Roman"/>
        </w:rPr>
        <w:t>α</w:t>
      </w:r>
      <w:r w:rsidR="0096680D">
        <w:t xml:space="preserve"> (at 500 MHz), for layers 2, 3 and 4.</w:t>
      </w:r>
      <w:proofErr w:type="gramEnd"/>
      <w:r w:rsidR="0096680D">
        <w:t xml:space="preserve"> Attenuation coefficient is expressed in m</w:t>
      </w:r>
      <w:r w:rsidR="0096680D" w:rsidRPr="00943EF9">
        <w:rPr>
          <w:vertAlign w:val="superscript"/>
        </w:rPr>
        <w:t>-1</w:t>
      </w:r>
      <w:r w:rsidR="0096680D">
        <w:t xml:space="preserve"> = 20log</w:t>
      </w:r>
      <w:r w:rsidR="0096680D">
        <w:rPr>
          <w:vertAlign w:val="subscript"/>
        </w:rPr>
        <w:t>10</w:t>
      </w:r>
      <w:r w:rsidR="0096680D">
        <w:t xml:space="preserve"> (exp </w:t>
      </w:r>
      <w:r w:rsidR="0096680D" w:rsidRPr="00E73F83">
        <w:rPr>
          <w:vertAlign w:val="superscript"/>
        </w:rPr>
        <w:t>(</w:t>
      </w:r>
      <w:r w:rsidR="0096680D" w:rsidRPr="00E73F83">
        <w:rPr>
          <w:rFonts w:cs="Times New Roman"/>
          <w:vertAlign w:val="superscript"/>
        </w:rPr>
        <w:t>α</w:t>
      </w:r>
      <w:r w:rsidR="0096680D" w:rsidRPr="00E73F83">
        <w:rPr>
          <w:vertAlign w:val="superscript"/>
        </w:rPr>
        <w:t>m-1)</w:t>
      </w:r>
      <w:r w:rsidR="0096680D">
        <w:t>) dBm</w:t>
      </w:r>
      <w:r w:rsidR="0096680D" w:rsidRPr="00943EF9">
        <w:rPr>
          <w:vertAlign w:val="superscript"/>
        </w:rPr>
        <w:t>-1</w:t>
      </w:r>
      <w:r w:rsidR="0096680D">
        <w:t>.</w:t>
      </w:r>
    </w:p>
    <w:p w:rsidR="0096680D" w:rsidRDefault="0096680D" w:rsidP="0096680D">
      <w:pPr>
        <w:spacing w:before="240"/>
        <w:rPr>
          <w:rFonts w:cs="Times New Roman"/>
          <w:szCs w:val="24"/>
        </w:rPr>
      </w:pPr>
    </w:p>
    <w:p w:rsidR="0096680D" w:rsidRPr="00FB1A87" w:rsidRDefault="0096680D" w:rsidP="00FB1A87">
      <w:pPr>
        <w:spacing w:before="240"/>
        <w:rPr>
          <w:rFonts w:cs="Times New Roman"/>
        </w:rPr>
      </w:pPr>
      <w:r>
        <w:lastRenderedPageBreak/>
        <w:t xml:space="preserve"> Figures </w:t>
      </w:r>
      <w:r w:rsidR="00FB1A87">
        <w:t>9</w:t>
      </w:r>
      <w:r>
        <w:t xml:space="preserve"> </w:t>
      </w:r>
      <w:r w:rsidR="00FB1A87">
        <w:t>and 10</w:t>
      </w:r>
      <w:r>
        <w:t xml:space="preserve"> show average Q*, attenuation (α) and equivalent electrical conductivity (σ) calculated for a frequency of 500 MHz for all layers in the CMP sections; error bars correspond to 1 standard deviation (of attenuation values with emergence angles).  Attenuation generally decreases with depth except in CMP2a layer 4 where α is poorly constrained i.e. 2 ± 0.8 m</w:t>
      </w:r>
      <w:r w:rsidRPr="00943EF9">
        <w:rPr>
          <w:vertAlign w:val="superscript"/>
        </w:rPr>
        <w:t>-1</w:t>
      </w:r>
      <w:r w:rsidR="00FB1A87">
        <w:t xml:space="preserve"> (figure 9</w:t>
      </w:r>
      <w:r>
        <w:t xml:space="preserve">); </w:t>
      </w:r>
      <w:r>
        <w:rPr>
          <w:rFonts w:cs="Times New Roman"/>
          <w:szCs w:val="24"/>
        </w:rPr>
        <w:t>layer 4 may contain a significant amount of clay leading to the high attenuation value obtained.</w:t>
      </w:r>
      <w:r>
        <w:rPr>
          <w:rFonts w:cs="Times New Roman"/>
        </w:rPr>
        <w:t xml:space="preserve"> </w:t>
      </w:r>
      <w:r>
        <w:rPr>
          <w:szCs w:val="24"/>
        </w:rPr>
        <w:t xml:space="preserve">The general decrease is due to the limestone being less fractured with depth and therefore decreasing water content. </w:t>
      </w:r>
      <w:r w:rsidR="00FB1A87">
        <w:t xml:space="preserve">Table </w:t>
      </w:r>
      <w:r>
        <w:t xml:space="preserve">2 compares the attenuation coefficient values obtained here and published values for limestone, it is seen that the values obtained here overlap the range of published values. </w:t>
      </w:r>
    </w:p>
    <w:p w:rsidR="0096680D" w:rsidRDefault="00FB1A87" w:rsidP="0096680D">
      <w:pPr>
        <w:spacing w:after="0" w:line="240" w:lineRule="auto"/>
        <w:ind w:firstLine="0"/>
      </w:pPr>
      <w:r>
        <w:t xml:space="preserve">Table </w:t>
      </w:r>
      <w:r w:rsidR="0096680D">
        <w:t xml:space="preserve">2 A </w:t>
      </w:r>
      <w:proofErr w:type="gramStart"/>
      <w:r w:rsidR="0096680D">
        <w:t>comparison</w:t>
      </w:r>
      <w:proofErr w:type="gramEnd"/>
      <w:r w:rsidR="0096680D">
        <w:t xml:space="preserve"> between attenuation coefficients obtained here and published values. </w:t>
      </w:r>
    </w:p>
    <w:tbl>
      <w:tblPr>
        <w:tblStyle w:val="TableGrid"/>
        <w:tblW w:w="0" w:type="auto"/>
        <w:tblLook w:val="04A0"/>
      </w:tblPr>
      <w:tblGrid>
        <w:gridCol w:w="3510"/>
        <w:gridCol w:w="2552"/>
        <w:gridCol w:w="2658"/>
      </w:tblGrid>
      <w:tr w:rsidR="0096680D" w:rsidRPr="00444507" w:rsidTr="00576510">
        <w:tc>
          <w:tcPr>
            <w:tcW w:w="3510" w:type="dxa"/>
            <w:shd w:val="clear" w:color="auto" w:fill="BFBFBF" w:themeFill="background1" w:themeFillShade="BF"/>
          </w:tcPr>
          <w:p w:rsidR="0096680D" w:rsidRPr="00444507" w:rsidRDefault="0096680D" w:rsidP="00576510">
            <w:pPr>
              <w:ind w:firstLine="0"/>
              <w:rPr>
                <w:rFonts w:cs="Times New Roman"/>
              </w:rPr>
            </w:pPr>
            <w:r>
              <w:rPr>
                <w:rFonts w:cs="Times New Roman"/>
              </w:rPr>
              <w:t>Source of attenuation values</w:t>
            </w:r>
          </w:p>
        </w:tc>
        <w:tc>
          <w:tcPr>
            <w:tcW w:w="2552" w:type="dxa"/>
            <w:shd w:val="clear" w:color="auto" w:fill="D9D9D9" w:themeFill="background1" w:themeFillShade="D9"/>
          </w:tcPr>
          <w:p w:rsidR="0096680D" w:rsidRPr="00444507" w:rsidRDefault="0096680D" w:rsidP="00576510">
            <w:pPr>
              <w:ind w:firstLine="0"/>
              <w:rPr>
                <w:rFonts w:cs="Times New Roman"/>
              </w:rPr>
            </w:pPr>
            <w:r w:rsidRPr="00444507">
              <w:rPr>
                <w:rFonts w:cs="Times New Roman"/>
              </w:rPr>
              <w:t>α (m</w:t>
            </w:r>
            <w:r w:rsidRPr="00444507">
              <w:rPr>
                <w:rFonts w:cs="Times New Roman"/>
                <w:vertAlign w:val="superscript"/>
              </w:rPr>
              <w:t>-1</w:t>
            </w:r>
            <w:r w:rsidRPr="00444507">
              <w:rPr>
                <w:rFonts w:cs="Times New Roman"/>
              </w:rPr>
              <w:t>)</w:t>
            </w:r>
          </w:p>
        </w:tc>
        <w:tc>
          <w:tcPr>
            <w:tcW w:w="2658" w:type="dxa"/>
            <w:shd w:val="clear" w:color="auto" w:fill="D9D9D9" w:themeFill="background1" w:themeFillShade="D9"/>
          </w:tcPr>
          <w:p w:rsidR="0096680D" w:rsidRPr="00444507" w:rsidRDefault="0096680D" w:rsidP="00576510">
            <w:pPr>
              <w:ind w:firstLine="0"/>
              <w:rPr>
                <w:rFonts w:cs="Times New Roman"/>
              </w:rPr>
            </w:pPr>
            <w:r w:rsidRPr="00444507">
              <w:rPr>
                <w:rFonts w:cs="Times New Roman"/>
              </w:rPr>
              <w:t>α (dBm</w:t>
            </w:r>
            <w:r w:rsidRPr="00444507">
              <w:rPr>
                <w:rFonts w:cs="Times New Roman"/>
                <w:vertAlign w:val="superscript"/>
              </w:rPr>
              <w:t>-1</w:t>
            </w:r>
            <w:r w:rsidRPr="00444507">
              <w:rPr>
                <w:rFonts w:cs="Times New Roman"/>
              </w:rPr>
              <w:t>)</w:t>
            </w:r>
          </w:p>
        </w:tc>
      </w:tr>
      <w:tr w:rsidR="0096680D" w:rsidRPr="00444507" w:rsidTr="00576510">
        <w:tc>
          <w:tcPr>
            <w:tcW w:w="3510" w:type="dxa"/>
            <w:shd w:val="clear" w:color="auto" w:fill="BFBFBF" w:themeFill="background1" w:themeFillShade="BF"/>
          </w:tcPr>
          <w:p w:rsidR="0096680D" w:rsidRPr="00444507" w:rsidRDefault="0096680D" w:rsidP="00FB1A87">
            <w:pPr>
              <w:ind w:firstLine="0"/>
              <w:rPr>
                <w:rFonts w:cs="Times New Roman"/>
              </w:rPr>
            </w:pPr>
            <w:r w:rsidRPr="00444507">
              <w:rPr>
                <w:rFonts w:cs="Times New Roman"/>
              </w:rPr>
              <w:t xml:space="preserve">This </w:t>
            </w:r>
            <w:r w:rsidR="00FB1A87">
              <w:rPr>
                <w:rFonts w:cs="Times New Roman"/>
              </w:rPr>
              <w:t>paper</w:t>
            </w:r>
            <w:r w:rsidRPr="00444507">
              <w:rPr>
                <w:rFonts w:cs="Times New Roman"/>
              </w:rPr>
              <w:t xml:space="preserve"> 100 MHz</w:t>
            </w:r>
          </w:p>
        </w:tc>
        <w:tc>
          <w:tcPr>
            <w:tcW w:w="2552" w:type="dxa"/>
          </w:tcPr>
          <w:p w:rsidR="0096680D" w:rsidRPr="00444507" w:rsidRDefault="0096680D" w:rsidP="00576510">
            <w:pPr>
              <w:ind w:firstLine="0"/>
              <w:rPr>
                <w:rFonts w:cs="Times New Roman"/>
              </w:rPr>
            </w:pPr>
            <w:r w:rsidRPr="00444507">
              <w:rPr>
                <w:rFonts w:cs="Times New Roman"/>
              </w:rPr>
              <w:t xml:space="preserve">0.08 ± 0.01 </w:t>
            </w:r>
            <w:r>
              <w:rPr>
                <w:rFonts w:cs="Times New Roman"/>
              </w:rPr>
              <w:t xml:space="preserve">- </w:t>
            </w:r>
            <w:r w:rsidRPr="00444507">
              <w:rPr>
                <w:rFonts w:cs="Times New Roman"/>
              </w:rPr>
              <w:t xml:space="preserve"> 0.</w:t>
            </w:r>
            <w:r>
              <w:rPr>
                <w:rFonts w:cs="Times New Roman"/>
              </w:rPr>
              <w:t>19</w:t>
            </w:r>
            <w:r w:rsidRPr="00444507">
              <w:rPr>
                <w:rFonts w:cs="Times New Roman"/>
              </w:rPr>
              <w:t xml:space="preserve"> ± 0.</w:t>
            </w:r>
            <w:r>
              <w:rPr>
                <w:rFonts w:cs="Times New Roman"/>
              </w:rPr>
              <w:t>04</w:t>
            </w:r>
          </w:p>
        </w:tc>
        <w:tc>
          <w:tcPr>
            <w:tcW w:w="2658" w:type="dxa"/>
          </w:tcPr>
          <w:p w:rsidR="0096680D" w:rsidRPr="00444507" w:rsidRDefault="0096680D" w:rsidP="00576510">
            <w:pPr>
              <w:ind w:firstLine="0"/>
              <w:rPr>
                <w:rFonts w:cs="Times New Roman"/>
              </w:rPr>
            </w:pPr>
            <w:r w:rsidRPr="00444507">
              <w:rPr>
                <w:rFonts w:cs="Times New Roman"/>
              </w:rPr>
              <w:t xml:space="preserve">0.69 ± 0.09 </w:t>
            </w:r>
            <w:r>
              <w:rPr>
                <w:rFonts w:cs="Times New Roman"/>
              </w:rPr>
              <w:t>-</w:t>
            </w:r>
            <w:r w:rsidRPr="00444507">
              <w:rPr>
                <w:rFonts w:cs="Times New Roman"/>
              </w:rPr>
              <w:t xml:space="preserve"> 1.</w:t>
            </w:r>
            <w:r>
              <w:rPr>
                <w:rFonts w:cs="Times New Roman"/>
              </w:rPr>
              <w:t>7</w:t>
            </w:r>
            <w:r w:rsidRPr="00444507">
              <w:rPr>
                <w:rFonts w:cs="Times New Roman"/>
              </w:rPr>
              <w:t xml:space="preserve"> ± 0.</w:t>
            </w:r>
            <w:r>
              <w:rPr>
                <w:rFonts w:cs="Times New Roman"/>
              </w:rPr>
              <w:t>4</w:t>
            </w:r>
            <w:r w:rsidRPr="00444507">
              <w:rPr>
                <w:rFonts w:cs="Times New Roman"/>
              </w:rPr>
              <w:t xml:space="preserve"> </w:t>
            </w:r>
          </w:p>
        </w:tc>
      </w:tr>
      <w:tr w:rsidR="0096680D" w:rsidRPr="00444507" w:rsidTr="00576510">
        <w:tc>
          <w:tcPr>
            <w:tcW w:w="3510" w:type="dxa"/>
            <w:shd w:val="clear" w:color="auto" w:fill="BFBFBF" w:themeFill="background1" w:themeFillShade="BF"/>
          </w:tcPr>
          <w:p w:rsidR="0096680D" w:rsidRPr="00444507" w:rsidRDefault="0096680D" w:rsidP="00576510">
            <w:pPr>
              <w:ind w:firstLine="0"/>
              <w:rPr>
                <w:rFonts w:cs="Times New Roman"/>
              </w:rPr>
            </w:pPr>
            <w:r w:rsidRPr="00444507">
              <w:rPr>
                <w:rFonts w:cs="Times New Roman"/>
              </w:rPr>
              <w:t xml:space="preserve">Davis and Annan (1989) 100 MHz </w:t>
            </w:r>
          </w:p>
        </w:tc>
        <w:tc>
          <w:tcPr>
            <w:tcW w:w="2552" w:type="dxa"/>
          </w:tcPr>
          <w:p w:rsidR="0096680D" w:rsidRPr="00444507" w:rsidRDefault="0096680D" w:rsidP="00576510">
            <w:pPr>
              <w:ind w:firstLine="0"/>
              <w:rPr>
                <w:rFonts w:cs="Times New Roman"/>
              </w:rPr>
            </w:pPr>
            <w:r w:rsidRPr="00444507">
              <w:rPr>
                <w:rFonts w:cs="Times New Roman"/>
              </w:rPr>
              <w:t>0.</w:t>
            </w:r>
            <w:r>
              <w:rPr>
                <w:rFonts w:cs="Times New Roman"/>
              </w:rPr>
              <w:t>05 -</w:t>
            </w:r>
            <w:r w:rsidRPr="00444507">
              <w:rPr>
                <w:rFonts w:cs="Times New Roman"/>
              </w:rPr>
              <w:t xml:space="preserve"> 0.</w:t>
            </w:r>
            <w:r>
              <w:rPr>
                <w:rFonts w:cs="Times New Roman"/>
              </w:rPr>
              <w:t>12</w:t>
            </w:r>
          </w:p>
        </w:tc>
        <w:tc>
          <w:tcPr>
            <w:tcW w:w="2658" w:type="dxa"/>
          </w:tcPr>
          <w:p w:rsidR="0096680D" w:rsidRPr="00444507" w:rsidRDefault="0096680D" w:rsidP="00576510">
            <w:pPr>
              <w:ind w:firstLine="0"/>
              <w:rPr>
                <w:rFonts w:cs="Times New Roman"/>
              </w:rPr>
            </w:pPr>
            <w:r w:rsidRPr="00444507">
              <w:rPr>
                <w:rFonts w:cs="Times New Roman"/>
              </w:rPr>
              <w:t xml:space="preserve">0.4 </w:t>
            </w:r>
            <w:r>
              <w:rPr>
                <w:rFonts w:cs="Times New Roman"/>
              </w:rPr>
              <w:t>-</w:t>
            </w:r>
            <w:r w:rsidRPr="00444507">
              <w:rPr>
                <w:rFonts w:cs="Times New Roman"/>
              </w:rPr>
              <w:t xml:space="preserve"> 1</w:t>
            </w:r>
          </w:p>
        </w:tc>
      </w:tr>
      <w:tr w:rsidR="0096680D" w:rsidRPr="00444507" w:rsidTr="00576510">
        <w:tc>
          <w:tcPr>
            <w:tcW w:w="3510" w:type="dxa"/>
            <w:shd w:val="clear" w:color="auto" w:fill="BFBFBF" w:themeFill="background1" w:themeFillShade="BF"/>
          </w:tcPr>
          <w:p w:rsidR="0096680D" w:rsidRPr="00444507" w:rsidRDefault="0096680D" w:rsidP="00FB1A87">
            <w:pPr>
              <w:ind w:firstLine="0"/>
              <w:rPr>
                <w:rFonts w:cs="Times New Roman"/>
              </w:rPr>
            </w:pPr>
            <w:r w:rsidRPr="00444507">
              <w:rPr>
                <w:rFonts w:cs="Times New Roman"/>
              </w:rPr>
              <w:t xml:space="preserve">This </w:t>
            </w:r>
            <w:r w:rsidR="00FB1A87">
              <w:rPr>
                <w:rFonts w:cs="Times New Roman"/>
              </w:rPr>
              <w:t>paper</w:t>
            </w:r>
            <w:r w:rsidRPr="00444507">
              <w:rPr>
                <w:rFonts w:cs="Times New Roman"/>
              </w:rPr>
              <w:t xml:space="preserve"> 500 MHz</w:t>
            </w:r>
          </w:p>
        </w:tc>
        <w:tc>
          <w:tcPr>
            <w:tcW w:w="2552" w:type="dxa"/>
          </w:tcPr>
          <w:p w:rsidR="0096680D" w:rsidRPr="00444507" w:rsidRDefault="0096680D" w:rsidP="00576510">
            <w:pPr>
              <w:ind w:firstLine="0"/>
              <w:rPr>
                <w:rFonts w:cs="Times New Roman"/>
              </w:rPr>
            </w:pPr>
            <w:r w:rsidRPr="00444507">
              <w:rPr>
                <w:rFonts w:cs="Times New Roman"/>
              </w:rPr>
              <w:t xml:space="preserve">0.4 ± 0.06 </w:t>
            </w:r>
            <w:r>
              <w:rPr>
                <w:rFonts w:cs="Times New Roman"/>
              </w:rPr>
              <w:t xml:space="preserve"> - 1.0</w:t>
            </w:r>
            <w:r w:rsidRPr="00444507">
              <w:rPr>
                <w:rFonts w:cs="Times New Roman"/>
              </w:rPr>
              <w:t xml:space="preserve"> ± 0.</w:t>
            </w:r>
            <w:r>
              <w:rPr>
                <w:rFonts w:cs="Times New Roman"/>
              </w:rPr>
              <w:t>2</w:t>
            </w:r>
          </w:p>
        </w:tc>
        <w:tc>
          <w:tcPr>
            <w:tcW w:w="2658" w:type="dxa"/>
          </w:tcPr>
          <w:p w:rsidR="0096680D" w:rsidRPr="00444507" w:rsidRDefault="0096680D" w:rsidP="00576510">
            <w:pPr>
              <w:ind w:firstLine="0"/>
              <w:rPr>
                <w:rFonts w:cs="Times New Roman"/>
              </w:rPr>
            </w:pPr>
            <w:r w:rsidRPr="00444507">
              <w:rPr>
                <w:rFonts w:cs="Times New Roman"/>
              </w:rPr>
              <w:t xml:space="preserve">3.5  ± 0.5 </w:t>
            </w:r>
            <w:r>
              <w:rPr>
                <w:rFonts w:cs="Times New Roman"/>
              </w:rPr>
              <w:t>–</w:t>
            </w:r>
            <w:r w:rsidRPr="00444507">
              <w:rPr>
                <w:rFonts w:cs="Times New Roman"/>
              </w:rPr>
              <w:t xml:space="preserve"> </w:t>
            </w:r>
            <w:r>
              <w:rPr>
                <w:rFonts w:cs="Times New Roman"/>
              </w:rPr>
              <w:t xml:space="preserve">8.6 </w:t>
            </w:r>
            <w:r w:rsidRPr="00444507">
              <w:rPr>
                <w:rFonts w:cs="Times New Roman"/>
              </w:rPr>
              <w:t xml:space="preserve">± </w:t>
            </w:r>
            <w:r>
              <w:rPr>
                <w:rFonts w:cs="Times New Roman"/>
              </w:rPr>
              <w:t>3.4</w:t>
            </w:r>
          </w:p>
        </w:tc>
      </w:tr>
      <w:tr w:rsidR="0096680D" w:rsidRPr="00444507" w:rsidTr="00576510">
        <w:tc>
          <w:tcPr>
            <w:tcW w:w="3510" w:type="dxa"/>
            <w:shd w:val="clear" w:color="auto" w:fill="BFBFBF" w:themeFill="background1" w:themeFillShade="BF"/>
          </w:tcPr>
          <w:p w:rsidR="0096680D" w:rsidRPr="00444507" w:rsidRDefault="0096680D" w:rsidP="00576510">
            <w:pPr>
              <w:ind w:firstLine="0"/>
              <w:rPr>
                <w:rFonts w:cs="Times New Roman"/>
              </w:rPr>
            </w:pPr>
            <w:r w:rsidRPr="00444507">
              <w:rPr>
                <w:rFonts w:cs="Times New Roman"/>
              </w:rPr>
              <w:t xml:space="preserve">Turner and </w:t>
            </w:r>
            <w:proofErr w:type="spellStart"/>
            <w:r w:rsidRPr="00444507">
              <w:rPr>
                <w:rFonts w:cs="Times New Roman"/>
              </w:rPr>
              <w:t>Siggins</w:t>
            </w:r>
            <w:proofErr w:type="spellEnd"/>
            <w:r w:rsidRPr="00444507">
              <w:rPr>
                <w:rFonts w:cs="Times New Roman"/>
              </w:rPr>
              <w:t xml:space="preserve"> (1994) 500 MHz</w:t>
            </w:r>
          </w:p>
        </w:tc>
        <w:tc>
          <w:tcPr>
            <w:tcW w:w="2552" w:type="dxa"/>
          </w:tcPr>
          <w:p w:rsidR="0096680D" w:rsidRPr="00444507" w:rsidRDefault="0096680D" w:rsidP="00576510">
            <w:pPr>
              <w:ind w:firstLine="0"/>
              <w:rPr>
                <w:rFonts w:cs="Times New Roman"/>
              </w:rPr>
            </w:pPr>
            <w:r>
              <w:rPr>
                <w:rFonts w:cs="Times New Roman"/>
              </w:rPr>
              <w:t>~</w:t>
            </w:r>
            <w:r w:rsidRPr="00444507">
              <w:rPr>
                <w:rFonts w:cs="Times New Roman"/>
              </w:rPr>
              <w:t>0.8</w:t>
            </w:r>
          </w:p>
        </w:tc>
        <w:tc>
          <w:tcPr>
            <w:tcW w:w="2658" w:type="dxa"/>
          </w:tcPr>
          <w:p w:rsidR="0096680D" w:rsidRPr="00444507" w:rsidRDefault="0096680D" w:rsidP="00576510">
            <w:pPr>
              <w:ind w:firstLine="0"/>
              <w:rPr>
                <w:rFonts w:cs="Times New Roman"/>
              </w:rPr>
            </w:pPr>
            <w:r>
              <w:rPr>
                <w:rFonts w:cs="Times New Roman"/>
              </w:rPr>
              <w:t>~</w:t>
            </w:r>
            <w:r w:rsidRPr="00444507">
              <w:rPr>
                <w:rFonts w:cs="Times New Roman"/>
              </w:rPr>
              <w:t>7</w:t>
            </w:r>
          </w:p>
        </w:tc>
      </w:tr>
    </w:tbl>
    <w:p w:rsidR="0096680D" w:rsidRDefault="0096680D" w:rsidP="0096680D">
      <w:pPr>
        <w:ind w:firstLine="0"/>
      </w:pPr>
    </w:p>
    <w:p w:rsidR="0096680D" w:rsidRDefault="0096680D" w:rsidP="0096680D">
      <w:pPr>
        <w:pStyle w:val="Heading2"/>
      </w:pPr>
      <w:bookmarkStart w:id="2" w:name="_Toc348456741"/>
      <w:r>
        <w:t xml:space="preserve">6.3 </w:t>
      </w:r>
      <w:bookmarkEnd w:id="2"/>
      <w:r w:rsidR="00FB1A87">
        <w:t>Conclusions</w:t>
      </w:r>
      <w:r>
        <w:t xml:space="preserve"> </w:t>
      </w:r>
    </w:p>
    <w:p w:rsidR="0096680D" w:rsidRDefault="00FB1A87" w:rsidP="00FB1A87">
      <w:r>
        <w:t>C</w:t>
      </w:r>
      <w:r w:rsidR="0096680D">
        <w:t>onductive attenuation</w:t>
      </w:r>
      <w:r>
        <w:t xml:space="preserve"> is of great significance in all analysis of GPR data, it </w:t>
      </w:r>
      <w:proofErr w:type="gramStart"/>
      <w:r>
        <w:t xml:space="preserve">is </w:t>
      </w:r>
      <w:r w:rsidR="0096680D">
        <w:t xml:space="preserve"> described</w:t>
      </w:r>
      <w:proofErr w:type="gramEnd"/>
      <w:r w:rsidR="0096680D">
        <w:t xml:space="preserve"> by the attenuation coefficient, </w:t>
      </w:r>
      <w:r w:rsidR="0096680D">
        <w:rPr>
          <w:rFonts w:cs="Times New Roman"/>
        </w:rPr>
        <w:t>α</w:t>
      </w:r>
      <w:r w:rsidR="0096680D">
        <w:t xml:space="preserve"> which is fractional loss per unit distance (per </w:t>
      </w:r>
      <w:r w:rsidR="0096680D" w:rsidRPr="008C548B">
        <w:rPr>
          <w:i/>
        </w:rPr>
        <w:t>m</w:t>
      </w:r>
      <w:r w:rsidR="0096680D">
        <w:t xml:space="preserve"> in this case) of propagation; this was measured using the spectral ratio method</w:t>
      </w:r>
      <w:r>
        <w:t xml:space="preserve">, which </w:t>
      </w:r>
      <w:r w:rsidR="0096680D">
        <w:t>yiel</w:t>
      </w:r>
      <w:r>
        <w:t>ds attenuation versus frequency; using</w:t>
      </w:r>
      <w:r w:rsidR="0096680D">
        <w:t xml:space="preserve"> this method has the advantage of </w:t>
      </w:r>
      <w:r w:rsidR="0096680D">
        <w:rPr>
          <w:i/>
        </w:rPr>
        <w:t>in – situ</w:t>
      </w:r>
      <w:r w:rsidR="0096680D">
        <w:t xml:space="preserve"> characterization, because it is done on the CMP data itself which is then further analysed</w:t>
      </w:r>
      <w:r>
        <w:t xml:space="preserve"> with the AVA method</w:t>
      </w:r>
      <w:r w:rsidR="0096680D">
        <w:t>.</w:t>
      </w:r>
    </w:p>
    <w:p w:rsidR="00FB1A87" w:rsidRDefault="00FB1A87" w:rsidP="00FB1A87"/>
    <w:p w:rsidR="00FB1A87" w:rsidRDefault="00FB1A87" w:rsidP="00FB1A87"/>
    <w:p w:rsidR="00FB1A87" w:rsidRDefault="00FB1A87" w:rsidP="00FB1A87"/>
    <w:p w:rsidR="00FB1A87" w:rsidRDefault="00FB1A87" w:rsidP="00FB1A87"/>
    <w:p w:rsidR="00FB1A87" w:rsidRDefault="00FB1A87" w:rsidP="00FB1A87"/>
    <w:p w:rsidR="00FB1A87" w:rsidRDefault="00FB1A87" w:rsidP="00FB1A87"/>
    <w:p w:rsidR="00FB1A87" w:rsidRDefault="00FB1A87" w:rsidP="00FB1A87">
      <w:pPr>
        <w:pStyle w:val="Heading2"/>
      </w:pPr>
      <w:r>
        <w:lastRenderedPageBreak/>
        <w:t xml:space="preserve">References </w:t>
      </w:r>
    </w:p>
    <w:p w:rsidR="00576510" w:rsidRPr="00DF2F5B" w:rsidRDefault="00576510" w:rsidP="00576510">
      <w:pPr>
        <w:pStyle w:val="Bibliography"/>
        <w:spacing w:before="240" w:line="240" w:lineRule="auto"/>
        <w:rPr>
          <w:rFonts w:cs="Times New Roman"/>
          <w:szCs w:val="24"/>
        </w:rPr>
      </w:pPr>
      <w:r w:rsidRPr="00DF2F5B">
        <w:rPr>
          <w:rFonts w:cs="Times New Roman"/>
          <w:szCs w:val="24"/>
        </w:rPr>
        <w:t xml:space="preserve">Aki </w:t>
      </w:r>
      <w:proofErr w:type="gramStart"/>
      <w:r w:rsidRPr="00DF2F5B">
        <w:rPr>
          <w:rFonts w:cs="Times New Roman"/>
          <w:szCs w:val="24"/>
        </w:rPr>
        <w:t>K.,</w:t>
      </w:r>
      <w:proofErr w:type="gramEnd"/>
      <w:r w:rsidRPr="00DF2F5B">
        <w:rPr>
          <w:rFonts w:cs="Times New Roman"/>
          <w:szCs w:val="24"/>
        </w:rPr>
        <w:t xml:space="preserve"> and Richards P. G. 1980. Quantitative Seismology: Theory and Methods. Freeman, San Francisco. </w:t>
      </w:r>
    </w:p>
    <w:p w:rsidR="00576510" w:rsidRPr="00DF2F5B" w:rsidRDefault="006411AF" w:rsidP="009D733D">
      <w:pPr>
        <w:pStyle w:val="Bibliography"/>
        <w:spacing w:before="240" w:line="240" w:lineRule="auto"/>
        <w:rPr>
          <w:rFonts w:cs="Times New Roman"/>
          <w:noProof/>
          <w:szCs w:val="24"/>
        </w:rPr>
      </w:pPr>
      <w:r w:rsidRPr="00DF2F5B">
        <w:rPr>
          <w:rFonts w:cs="Times New Roman"/>
          <w:szCs w:val="24"/>
        </w:rPr>
        <w:fldChar w:fldCharType="begin"/>
      </w:r>
      <w:r w:rsidR="00576510" w:rsidRPr="00DF2F5B">
        <w:rPr>
          <w:rFonts w:cs="Times New Roman"/>
          <w:szCs w:val="24"/>
        </w:rPr>
        <w:instrText xml:space="preserve"> BIBLIOGRAPHY  \l 2057 </w:instrText>
      </w:r>
      <w:r w:rsidRPr="00DF2F5B">
        <w:rPr>
          <w:rFonts w:cs="Times New Roman"/>
          <w:szCs w:val="24"/>
        </w:rPr>
        <w:fldChar w:fldCharType="separate"/>
      </w:r>
      <w:r w:rsidR="00576510" w:rsidRPr="00DF2F5B">
        <w:rPr>
          <w:rFonts w:cs="Times New Roman"/>
          <w:szCs w:val="24"/>
        </w:rPr>
        <w:t>Axtell C., Whittaker J., Clark R. A., Booth A., &amp; Murray T. 2011.  Measuring GPR attenuation from CMP gathers using common angle and common slowness methods. 17th European Meeting of Environmental and Engineering Geophysics of the Near</w:t>
      </w:r>
      <w:r w:rsidR="00576510" w:rsidRPr="00DF2F5B">
        <w:rPr>
          <w:rFonts w:cs="Times New Roman"/>
          <w:color w:val="000000"/>
          <w:szCs w:val="24"/>
          <w:shd w:val="clear" w:color="auto" w:fill="FFFFFF"/>
        </w:rPr>
        <w:t xml:space="preserve"> </w:t>
      </w:r>
      <w:r w:rsidR="00576510" w:rsidRPr="00DF2F5B">
        <w:rPr>
          <w:rFonts w:cs="Times New Roman"/>
          <w:szCs w:val="24"/>
        </w:rPr>
        <w:t>Surface Geoscience Division of EAGE. Leicester, UK, 12 to 14 September 2011.</w:t>
      </w:r>
    </w:p>
    <w:p w:rsidR="00576510" w:rsidRPr="00DF2F5B" w:rsidRDefault="00576510" w:rsidP="00576510">
      <w:pPr>
        <w:pStyle w:val="Bibliography"/>
        <w:spacing w:before="240" w:line="240" w:lineRule="auto"/>
        <w:rPr>
          <w:rFonts w:cs="Times New Roman"/>
          <w:noProof/>
          <w:szCs w:val="24"/>
        </w:rPr>
      </w:pPr>
      <w:r w:rsidRPr="00DF2F5B">
        <w:rPr>
          <w:rFonts w:cs="Times New Roman"/>
          <w:noProof/>
          <w:szCs w:val="24"/>
        </w:rPr>
        <w:t xml:space="preserve">Dasgupta R., and Clark R. A. 1998.  Estimation of Q from surface seismic reflection data. </w:t>
      </w:r>
      <w:r w:rsidRPr="00DF2F5B">
        <w:rPr>
          <w:rFonts w:cs="Times New Roman"/>
          <w:i/>
          <w:noProof/>
          <w:szCs w:val="24"/>
        </w:rPr>
        <w:t>Geophysics</w:t>
      </w:r>
      <w:r w:rsidRPr="00DF2F5B">
        <w:rPr>
          <w:rFonts w:cs="Times New Roman"/>
          <w:noProof/>
          <w:szCs w:val="24"/>
        </w:rPr>
        <w:t xml:space="preserve">, 63, pp 2120 - 2128.  </w:t>
      </w:r>
    </w:p>
    <w:p w:rsidR="00576510" w:rsidRPr="00DF2F5B" w:rsidRDefault="00576510" w:rsidP="00576510">
      <w:pPr>
        <w:autoSpaceDE w:val="0"/>
        <w:autoSpaceDN w:val="0"/>
        <w:adjustRightInd w:val="0"/>
        <w:spacing w:before="240" w:after="0" w:line="240" w:lineRule="auto"/>
        <w:rPr>
          <w:rFonts w:cs="Times New Roman"/>
          <w:szCs w:val="24"/>
        </w:rPr>
      </w:pPr>
      <w:r w:rsidRPr="00DF2F5B">
        <w:rPr>
          <w:rFonts w:cs="Times New Roman"/>
          <w:szCs w:val="24"/>
        </w:rPr>
        <w:t xml:space="preserve">Irving J. D., and Knight R., 2003. Removal of wavelet dispersion from ground penetrating radar. </w:t>
      </w:r>
      <w:r w:rsidRPr="00DF2F5B">
        <w:rPr>
          <w:rFonts w:cs="Times New Roman"/>
          <w:i/>
          <w:iCs/>
          <w:szCs w:val="24"/>
        </w:rPr>
        <w:t xml:space="preserve">Geophysics, </w:t>
      </w:r>
      <w:r w:rsidRPr="00DF2F5B">
        <w:rPr>
          <w:rFonts w:cs="Times New Roman"/>
          <w:szCs w:val="24"/>
        </w:rPr>
        <w:t>68, pp 960 - 970.</w:t>
      </w:r>
    </w:p>
    <w:p w:rsidR="00576510" w:rsidRPr="00DF2F5B" w:rsidRDefault="00576510" w:rsidP="00576510">
      <w:pPr>
        <w:pStyle w:val="Bibliography"/>
        <w:spacing w:before="240" w:line="240" w:lineRule="auto"/>
        <w:rPr>
          <w:rFonts w:cs="Times New Roman"/>
          <w:noProof/>
          <w:szCs w:val="24"/>
        </w:rPr>
      </w:pPr>
      <w:r w:rsidRPr="00DF2F5B">
        <w:rPr>
          <w:rFonts w:cs="Times New Roman"/>
          <w:noProof/>
          <w:szCs w:val="24"/>
        </w:rPr>
        <w:t xml:space="preserve">Powers M. H. 1997. </w:t>
      </w:r>
      <w:r w:rsidRPr="00DF2F5B">
        <w:rPr>
          <w:rFonts w:cs="Times New Roman"/>
          <w:iCs/>
          <w:noProof/>
          <w:szCs w:val="24"/>
        </w:rPr>
        <w:t>Modelling frequency-dependent GPR</w:t>
      </w:r>
      <w:r w:rsidRPr="00DF2F5B">
        <w:rPr>
          <w:rFonts w:cs="Times New Roman"/>
          <w:noProof/>
          <w:szCs w:val="24"/>
        </w:rPr>
        <w:t xml:space="preserve">. </w:t>
      </w:r>
      <w:r w:rsidRPr="00DF2F5B">
        <w:rPr>
          <w:rFonts w:cs="Times New Roman"/>
          <w:i/>
          <w:noProof/>
          <w:szCs w:val="24"/>
        </w:rPr>
        <w:t>The Leading Edge</w:t>
      </w:r>
      <w:r w:rsidRPr="00DF2F5B">
        <w:rPr>
          <w:rFonts w:cs="Times New Roman"/>
          <w:noProof/>
          <w:szCs w:val="24"/>
        </w:rPr>
        <w:t>, 16, pp 15657 - 1662.</w:t>
      </w:r>
    </w:p>
    <w:p w:rsidR="00576510" w:rsidRDefault="00576510" w:rsidP="00576510">
      <w:pPr>
        <w:spacing w:line="240" w:lineRule="auto"/>
        <w:rPr>
          <w:rFonts w:cs="Times New Roman"/>
        </w:rPr>
      </w:pPr>
      <w:r w:rsidRPr="00245FBA">
        <w:rPr>
          <w:rFonts w:cs="Times New Roman"/>
        </w:rPr>
        <w:t xml:space="preserve">Reine C. M., van der Bann., and R. A. Clark. 2009. The robustness of seismic attenuation measurements using fixed- and variable-window time frequency </w:t>
      </w:r>
      <w:r w:rsidRPr="00245FBA">
        <w:rPr>
          <w:rFonts w:cs="Times New Roman"/>
          <w:szCs w:val="24"/>
        </w:rPr>
        <w:t>t</w:t>
      </w:r>
      <w:r w:rsidRPr="00245FBA">
        <w:rPr>
          <w:rFonts w:cs="Times New Roman"/>
        </w:rPr>
        <w:t>ransforms</w:t>
      </w:r>
      <w:r w:rsidRPr="00245FBA">
        <w:rPr>
          <w:rFonts w:cs="Times New Roman"/>
          <w:szCs w:val="24"/>
        </w:rPr>
        <w:t xml:space="preserve">. </w:t>
      </w:r>
      <w:r w:rsidRPr="00245FBA">
        <w:rPr>
          <w:rFonts w:cs="Times New Roman"/>
          <w:i/>
        </w:rPr>
        <w:t>Geophysics</w:t>
      </w:r>
      <w:r w:rsidRPr="00245FBA">
        <w:rPr>
          <w:rFonts w:cs="Times New Roman"/>
        </w:rPr>
        <w:t>, 74, no.2, pp WA123-WA135.</w:t>
      </w:r>
    </w:p>
    <w:p w:rsidR="00EA69E0" w:rsidRDefault="00EA69E0" w:rsidP="00576510">
      <w:pPr>
        <w:spacing w:line="240" w:lineRule="auto"/>
        <w:rPr>
          <w:rFonts w:cs="Times New Roman"/>
        </w:rPr>
      </w:pPr>
      <w:r w:rsidRPr="00DF2F5B">
        <w:rPr>
          <w:rFonts w:cs="Times New Roman"/>
          <w:szCs w:val="24"/>
        </w:rPr>
        <w:t xml:space="preserve">Sears F. M., and Bonner B. P. 1981. Ultrasonic attenuation measurements by spectral ratios utilising signal processing techniques. </w:t>
      </w:r>
      <w:r w:rsidRPr="00DF2F5B">
        <w:rPr>
          <w:rFonts w:cs="Times New Roman"/>
          <w:i/>
          <w:szCs w:val="24"/>
        </w:rPr>
        <w:t>IEE</w:t>
      </w:r>
      <w:r w:rsidR="00227B4B">
        <w:rPr>
          <w:rFonts w:cs="Times New Roman"/>
          <w:i/>
          <w:szCs w:val="24"/>
        </w:rPr>
        <w:t>E</w:t>
      </w:r>
      <w:r w:rsidRPr="00DF2F5B">
        <w:rPr>
          <w:rFonts w:cs="Times New Roman"/>
          <w:i/>
          <w:szCs w:val="24"/>
        </w:rPr>
        <w:t xml:space="preserve"> transactions on Geoscience and Remote Sensing</w:t>
      </w:r>
      <w:r w:rsidRPr="00DF2F5B">
        <w:rPr>
          <w:rFonts w:cs="Times New Roman"/>
          <w:szCs w:val="24"/>
        </w:rPr>
        <w:t>, GE 19, pp 95 - 99.</w:t>
      </w:r>
    </w:p>
    <w:p w:rsidR="00EA69E0" w:rsidRPr="00245FBA" w:rsidRDefault="00EA69E0" w:rsidP="00EA69E0">
      <w:pPr>
        <w:pStyle w:val="Bibliography"/>
        <w:spacing w:before="240" w:line="240" w:lineRule="auto"/>
        <w:rPr>
          <w:rFonts w:cs="Times New Roman"/>
          <w:noProof/>
          <w:szCs w:val="24"/>
        </w:rPr>
      </w:pPr>
      <w:r w:rsidRPr="00DF2F5B">
        <w:rPr>
          <w:rFonts w:cs="Times New Roman"/>
          <w:noProof/>
          <w:szCs w:val="24"/>
        </w:rPr>
        <w:t xml:space="preserve">Sheriff, R. E. 2002. </w:t>
      </w:r>
      <w:r w:rsidRPr="00DF2F5B">
        <w:rPr>
          <w:rFonts w:cs="Times New Roman"/>
          <w:iCs/>
          <w:noProof/>
          <w:szCs w:val="24"/>
        </w:rPr>
        <w:t>Encyclopedic dictionary of Geophysics</w:t>
      </w:r>
      <w:r w:rsidRPr="00DF2F5B">
        <w:rPr>
          <w:rFonts w:cs="Times New Roman"/>
          <w:i/>
          <w:iCs/>
          <w:noProof/>
          <w:szCs w:val="24"/>
        </w:rPr>
        <w:t>.</w:t>
      </w:r>
      <w:r w:rsidRPr="00DF2F5B">
        <w:rPr>
          <w:rFonts w:cs="Times New Roman"/>
          <w:noProof/>
          <w:szCs w:val="24"/>
        </w:rPr>
        <w:t xml:space="preserve"> Society of Exploration Geophysicists SEG.</w:t>
      </w:r>
    </w:p>
    <w:p w:rsidR="00EA69E0" w:rsidRPr="00DF2F5B" w:rsidRDefault="00EA69E0" w:rsidP="00EA69E0">
      <w:pPr>
        <w:spacing w:before="240" w:line="240" w:lineRule="auto"/>
        <w:rPr>
          <w:rFonts w:cs="Times New Roman"/>
          <w:szCs w:val="24"/>
        </w:rPr>
      </w:pPr>
      <w:r w:rsidRPr="00DF2F5B">
        <w:rPr>
          <w:rFonts w:cs="Times New Roman"/>
          <w:szCs w:val="24"/>
        </w:rPr>
        <w:t xml:space="preserve">Tonn  R. 1991. The determination of the seismic quality factor Q from VSP data: a comparison of different computational methods: </w:t>
      </w:r>
      <w:r w:rsidRPr="00DF2F5B">
        <w:rPr>
          <w:rFonts w:cs="Times New Roman"/>
          <w:i/>
          <w:szCs w:val="24"/>
        </w:rPr>
        <w:t>Geophysical Prospecting</w:t>
      </w:r>
      <w:r w:rsidRPr="00DF2F5B">
        <w:rPr>
          <w:rFonts w:cs="Times New Roman"/>
          <w:szCs w:val="24"/>
        </w:rPr>
        <w:t xml:space="preserve"> , 39, pp 1 - 27. </w:t>
      </w:r>
    </w:p>
    <w:p w:rsidR="009D733D" w:rsidRPr="00DF2F5B" w:rsidRDefault="009D733D" w:rsidP="009D733D">
      <w:pPr>
        <w:spacing w:before="240" w:line="240" w:lineRule="auto"/>
        <w:rPr>
          <w:rFonts w:cs="Times New Roman"/>
          <w:szCs w:val="24"/>
        </w:rPr>
      </w:pPr>
      <w:r w:rsidRPr="00DF2F5B">
        <w:rPr>
          <w:rFonts w:cs="Times New Roman"/>
          <w:szCs w:val="24"/>
        </w:rPr>
        <w:t>Topping J. 1972. Errors of observation and their measurements. Chapman and Hall Science Paperbacks.</w:t>
      </w:r>
    </w:p>
    <w:p w:rsidR="00576510" w:rsidRPr="00DF2F5B" w:rsidRDefault="009D733D" w:rsidP="00576510">
      <w:pPr>
        <w:pStyle w:val="Bibliography"/>
        <w:spacing w:before="240" w:line="240" w:lineRule="auto"/>
        <w:rPr>
          <w:rFonts w:cs="Times New Roman"/>
          <w:noProof/>
          <w:szCs w:val="24"/>
        </w:rPr>
      </w:pPr>
      <w:r w:rsidRPr="00DF2F5B">
        <w:rPr>
          <w:rFonts w:cs="Times New Roman"/>
          <w:noProof/>
          <w:szCs w:val="24"/>
        </w:rPr>
        <w:t xml:space="preserve">Turner G., and Siggins A. F. 1994. </w:t>
      </w:r>
      <w:r w:rsidRPr="00DF2F5B">
        <w:rPr>
          <w:rFonts w:cs="Times New Roman"/>
          <w:iCs/>
          <w:noProof/>
          <w:szCs w:val="24"/>
        </w:rPr>
        <w:t>Constant Q attenuation of subsurface radar pulses.</w:t>
      </w:r>
      <w:r w:rsidRPr="00DF2F5B">
        <w:rPr>
          <w:rFonts w:cs="Times New Roman"/>
          <w:noProof/>
          <w:szCs w:val="24"/>
        </w:rPr>
        <w:t xml:space="preserve"> </w:t>
      </w:r>
      <w:r w:rsidRPr="00DF2F5B">
        <w:rPr>
          <w:rFonts w:cs="Times New Roman"/>
          <w:i/>
          <w:noProof/>
          <w:szCs w:val="24"/>
        </w:rPr>
        <w:t>Geophysics</w:t>
      </w:r>
      <w:r w:rsidRPr="00DF2F5B">
        <w:rPr>
          <w:rFonts w:cs="Times New Roman"/>
          <w:noProof/>
          <w:szCs w:val="24"/>
        </w:rPr>
        <w:t>, 59, pp 1192 - 1200.</w:t>
      </w:r>
      <w:r w:rsidR="00576510" w:rsidRPr="00DF2F5B">
        <w:rPr>
          <w:rFonts w:cs="Times New Roman"/>
          <w:noProof/>
          <w:szCs w:val="24"/>
        </w:rPr>
        <w:t xml:space="preserve"> </w:t>
      </w:r>
    </w:p>
    <w:p w:rsidR="00576510" w:rsidRPr="00DF2F5B" w:rsidRDefault="006411AF" w:rsidP="009D733D">
      <w:pPr>
        <w:spacing w:before="240" w:line="240" w:lineRule="auto"/>
        <w:rPr>
          <w:rFonts w:cs="Times New Roman"/>
          <w:szCs w:val="24"/>
        </w:rPr>
      </w:pPr>
      <w:r w:rsidRPr="00DF2F5B">
        <w:rPr>
          <w:rFonts w:cs="Times New Roman"/>
          <w:szCs w:val="24"/>
        </w:rPr>
        <w:fldChar w:fldCharType="end"/>
      </w:r>
    </w:p>
    <w:sectPr w:rsidR="00576510" w:rsidRPr="00DF2F5B" w:rsidSect="003B6644">
      <w:pgSz w:w="11906" w:h="16838"/>
      <w:pgMar w:top="1440" w:right="1080" w:bottom="1440"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7658F"/>
    <w:multiLevelType w:val="hybridMultilevel"/>
    <w:tmpl w:val="1BDAD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00A02AD"/>
    <w:multiLevelType w:val="hybridMultilevel"/>
    <w:tmpl w:val="5596F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8C16214"/>
    <w:multiLevelType w:val="multilevel"/>
    <w:tmpl w:val="B3F6704C"/>
    <w:lvl w:ilvl="0">
      <w:start w:val="6"/>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compat/>
  <w:rsids>
    <w:rsidRoot w:val="00B9623E"/>
    <w:rsid w:val="00026A41"/>
    <w:rsid w:val="00044452"/>
    <w:rsid w:val="000852EC"/>
    <w:rsid w:val="000F2B82"/>
    <w:rsid w:val="00120FDC"/>
    <w:rsid w:val="001D2C2C"/>
    <w:rsid w:val="00227B4B"/>
    <w:rsid w:val="002B72D4"/>
    <w:rsid w:val="002D4FC6"/>
    <w:rsid w:val="002E09A5"/>
    <w:rsid w:val="002E3A14"/>
    <w:rsid w:val="002F6877"/>
    <w:rsid w:val="00336F39"/>
    <w:rsid w:val="003B6644"/>
    <w:rsid w:val="004A3F95"/>
    <w:rsid w:val="004C6E63"/>
    <w:rsid w:val="00576510"/>
    <w:rsid w:val="00616855"/>
    <w:rsid w:val="006411AF"/>
    <w:rsid w:val="00641CE7"/>
    <w:rsid w:val="0067107A"/>
    <w:rsid w:val="00673D0C"/>
    <w:rsid w:val="006C0121"/>
    <w:rsid w:val="006D0ED7"/>
    <w:rsid w:val="006D7327"/>
    <w:rsid w:val="00720B1A"/>
    <w:rsid w:val="007400B8"/>
    <w:rsid w:val="00764E61"/>
    <w:rsid w:val="0096680D"/>
    <w:rsid w:val="009D733D"/>
    <w:rsid w:val="00A235A1"/>
    <w:rsid w:val="00A6055F"/>
    <w:rsid w:val="00AB595A"/>
    <w:rsid w:val="00B9623E"/>
    <w:rsid w:val="00BC36F5"/>
    <w:rsid w:val="00C15EFE"/>
    <w:rsid w:val="00C51116"/>
    <w:rsid w:val="00C54CDD"/>
    <w:rsid w:val="00E075FD"/>
    <w:rsid w:val="00E56BB7"/>
    <w:rsid w:val="00EA69E0"/>
    <w:rsid w:val="00F2120E"/>
    <w:rsid w:val="00F75885"/>
    <w:rsid w:val="00F87F81"/>
    <w:rsid w:val="00F973F6"/>
    <w:rsid w:val="00FB1A8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80D"/>
    <w:pPr>
      <w:spacing w:after="200" w:line="360" w:lineRule="auto"/>
      <w:ind w:firstLine="567"/>
      <w:jc w:val="both"/>
    </w:pPr>
    <w:rPr>
      <w:rFonts w:ascii="Times New Roman" w:hAnsi="Times New Roman"/>
      <w:sz w:val="24"/>
    </w:rPr>
  </w:style>
  <w:style w:type="paragraph" w:styleId="Heading1">
    <w:name w:val="heading 1"/>
    <w:basedOn w:val="Normal"/>
    <w:next w:val="Normal"/>
    <w:link w:val="Heading1Char"/>
    <w:uiPriority w:val="9"/>
    <w:qFormat/>
    <w:rsid w:val="00641CE7"/>
    <w:pPr>
      <w:keepNext/>
      <w:keepLines/>
      <w:spacing w:before="480" w:after="0"/>
      <w:outlineLvl w:val="0"/>
    </w:pPr>
    <w:rPr>
      <w:rFonts w:ascii="Cambria Math" w:eastAsiaTheme="majorEastAsia" w:hAnsi="Cambria Math" w:cstheme="majorBidi"/>
      <w:bCs/>
      <w:sz w:val="32"/>
      <w:szCs w:val="28"/>
    </w:rPr>
  </w:style>
  <w:style w:type="paragraph" w:styleId="Heading2">
    <w:name w:val="heading 2"/>
    <w:next w:val="Normal"/>
    <w:link w:val="Heading2Char"/>
    <w:autoRedefine/>
    <w:uiPriority w:val="9"/>
    <w:unhideWhenUsed/>
    <w:qFormat/>
    <w:rsid w:val="00576510"/>
    <w:pPr>
      <w:keepNext/>
      <w:keepLines/>
      <w:shd w:val="clear" w:color="auto" w:fill="FFFFFF"/>
      <w:spacing w:after="240" w:line="225" w:lineRule="atLeast"/>
      <w:outlineLvl w:val="1"/>
    </w:pPr>
    <w:rPr>
      <w:rFonts w:ascii="Times New Roman" w:eastAsiaTheme="majorEastAsia" w:hAnsi="Times New Roman" w:cs="Times New Roman"/>
      <w:bCs/>
      <w:noProof/>
      <w:sz w:val="32"/>
      <w:szCs w:val="24"/>
      <w:lang w:eastAsia="en-GB"/>
    </w:rPr>
  </w:style>
  <w:style w:type="paragraph" w:styleId="Heading3">
    <w:name w:val="heading 3"/>
    <w:basedOn w:val="Normal"/>
    <w:next w:val="Normal"/>
    <w:link w:val="Heading3Char"/>
    <w:uiPriority w:val="9"/>
    <w:unhideWhenUsed/>
    <w:qFormat/>
    <w:rsid w:val="0096680D"/>
    <w:pPr>
      <w:keepNext/>
      <w:keepLines/>
      <w:spacing w:before="200" w:after="0"/>
      <w:outlineLvl w:val="2"/>
    </w:pPr>
    <w:rPr>
      <w:rFonts w:eastAsiaTheme="majorEastAsia" w:cstheme="majorBidi"/>
      <w:bCs/>
      <w:i/>
      <w:shado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510"/>
    <w:rPr>
      <w:rFonts w:ascii="Times New Roman" w:eastAsiaTheme="majorEastAsia" w:hAnsi="Times New Roman" w:cs="Times New Roman"/>
      <w:bCs/>
      <w:noProof/>
      <w:sz w:val="32"/>
      <w:szCs w:val="24"/>
      <w:shd w:val="clear" w:color="auto" w:fill="FFFFFF"/>
      <w:lang w:eastAsia="en-GB"/>
    </w:rPr>
  </w:style>
  <w:style w:type="character" w:customStyle="1" w:styleId="Heading3Char">
    <w:name w:val="Heading 3 Char"/>
    <w:basedOn w:val="DefaultParagraphFont"/>
    <w:link w:val="Heading3"/>
    <w:uiPriority w:val="9"/>
    <w:rsid w:val="0096680D"/>
    <w:rPr>
      <w:rFonts w:ascii="Times New Roman" w:eastAsiaTheme="majorEastAsia" w:hAnsi="Times New Roman" w:cstheme="majorBidi"/>
      <w:bCs/>
      <w:i/>
      <w:shadow/>
      <w:sz w:val="28"/>
    </w:rPr>
  </w:style>
  <w:style w:type="table" w:styleId="TableGrid">
    <w:name w:val="Table Grid"/>
    <w:basedOn w:val="TableNormal"/>
    <w:uiPriority w:val="59"/>
    <w:rsid w:val="009668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6680D"/>
    <w:pPr>
      <w:spacing w:before="120" w:after="120" w:line="240" w:lineRule="auto"/>
      <w:ind w:firstLine="454"/>
    </w:pPr>
    <w:rPr>
      <w:rFonts w:cs="Arial"/>
      <w:b/>
      <w:bCs/>
      <w:sz w:val="22"/>
      <w:szCs w:val="18"/>
    </w:rPr>
  </w:style>
  <w:style w:type="paragraph" w:styleId="BalloonText">
    <w:name w:val="Balloon Text"/>
    <w:basedOn w:val="Normal"/>
    <w:link w:val="BalloonTextChar"/>
    <w:uiPriority w:val="99"/>
    <w:semiHidden/>
    <w:unhideWhenUsed/>
    <w:rsid w:val="00966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80D"/>
    <w:rPr>
      <w:rFonts w:ascii="Tahoma" w:hAnsi="Tahoma" w:cs="Tahoma"/>
      <w:sz w:val="16"/>
      <w:szCs w:val="16"/>
    </w:rPr>
  </w:style>
  <w:style w:type="character" w:styleId="Hyperlink">
    <w:name w:val="Hyperlink"/>
    <w:basedOn w:val="DefaultParagraphFont"/>
    <w:uiPriority w:val="99"/>
    <w:unhideWhenUsed/>
    <w:rsid w:val="00576510"/>
    <w:rPr>
      <w:color w:val="0563C1" w:themeColor="hyperlink"/>
      <w:u w:val="single"/>
    </w:rPr>
  </w:style>
  <w:style w:type="character" w:customStyle="1" w:styleId="apple-converted-space">
    <w:name w:val="apple-converted-space"/>
    <w:basedOn w:val="DefaultParagraphFont"/>
    <w:rsid w:val="00576510"/>
  </w:style>
  <w:style w:type="paragraph" w:styleId="Bibliography">
    <w:name w:val="Bibliography"/>
    <w:basedOn w:val="Normal"/>
    <w:next w:val="Normal"/>
    <w:uiPriority w:val="37"/>
    <w:unhideWhenUsed/>
    <w:rsid w:val="00576510"/>
  </w:style>
  <w:style w:type="character" w:customStyle="1" w:styleId="Heading1Char">
    <w:name w:val="Heading 1 Char"/>
    <w:basedOn w:val="DefaultParagraphFont"/>
    <w:link w:val="Heading1"/>
    <w:uiPriority w:val="9"/>
    <w:rsid w:val="00641CE7"/>
    <w:rPr>
      <w:rFonts w:ascii="Cambria Math" w:eastAsiaTheme="majorEastAsia" w:hAnsi="Cambria Math" w:cstheme="majorBidi"/>
      <w:bCs/>
      <w:sz w:val="32"/>
      <w:szCs w:val="28"/>
    </w:rPr>
  </w:style>
  <w:style w:type="paragraph" w:styleId="DocumentMap">
    <w:name w:val="Document Map"/>
    <w:basedOn w:val="Normal"/>
    <w:link w:val="DocumentMapChar"/>
    <w:uiPriority w:val="99"/>
    <w:semiHidden/>
    <w:unhideWhenUsed/>
    <w:rsid w:val="006D732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7327"/>
    <w:rPr>
      <w:rFonts w:ascii="Tahoma" w:hAnsi="Tahoma" w:cs="Tahoma"/>
      <w:sz w:val="16"/>
      <w:szCs w:val="16"/>
    </w:rPr>
  </w:style>
  <w:style w:type="paragraph" w:styleId="NormalWeb">
    <w:name w:val="Normal (Web)"/>
    <w:basedOn w:val="Normal"/>
    <w:uiPriority w:val="99"/>
    <w:unhideWhenUsed/>
    <w:rsid w:val="00C54CDD"/>
    <w:pPr>
      <w:spacing w:before="100" w:beforeAutospacing="1" w:after="100" w:afterAutospacing="1" w:line="240" w:lineRule="auto"/>
    </w:pPr>
    <w:rPr>
      <w:rFonts w:eastAsia="Times New Roman" w:cs="Times New Roman"/>
      <w:szCs w:val="24"/>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Bra06</b:Tag>
    <b:SourceType>JournalArticle</b:SourceType>
    <b:Guid>{C256E77F-84B1-4C26-8DAF-E36A49BBC1AF}</b:Guid>
    <b:Author>
      <b:Author>
        <b:Corporate>Bradford J H and Deeds J D</b:Corporate>
      </b:Author>
    </b:Author>
    <b:Title>Ground-penetrating radar theory and application of thin-bed offset dependent reflectivity</b:Title>
    <b:Year>2006</b:Year>
    <b:Publisher>Geophysics</b:Publisher>
    <b:Volume>71</b:Volume>
    <b:Issue>K147 - K157</b:Issue>
    <b:RefOrder>1</b:RefOrder>
  </b:Source>
  <b:Source>
    <b:Tag>Row07</b:Tag>
    <b:SourceType>Book</b:SourceType>
    <b:Guid>{9E8AF494-0B97-4D5E-B291-3F60674D0830}</b:Guid>
    <b:Author>
      <b:Author>
        <b:Corporate>Rowland S M, Duebendorfe E M, Scheifelbein I M</b:Corporate>
      </b:Author>
    </b:Author>
    <b:Title>Structural Analysis and Synthesis, A Laboratory Course in Structural Geology</b:Title>
    <b:Year>2007</b:Year>
    <b:Publisher>Blackwell Publishing</b:Publisher>
    <b:RefOrder>2</b:RefOrder>
  </b:Source>
  <b:Source>
    <b:Tag>Cas09</b:Tag>
    <b:SourceType>BookSection</b:SourceType>
    <b:Guid>{BB207BC5-E5F3-43E5-8991-02DDE9FEB94C}</b:Guid>
    <b:Author>
      <b:Author>
        <b:Corporate>Cassidy, N. J</b:Corporate>
      </b:Author>
      <b:BookAuthor>
        <b:NameList>
          <b:Person>
            <b:Last>Jol</b:Last>
            <b:First>H</b:First>
            <b:Middle>M</b:Middle>
          </b:Person>
        </b:NameList>
      </b:BookAuthor>
    </b:Author>
    <b:Title>Ground Penentrating Radar Data Processing, Modelling and Analysis</b:Title>
    <b:Year>2009</b:Year>
    <b:Publisher>Elsevier</b:Publisher>
    <b:BookTitle>Ground Penetrating Radar Theory and Applications</b:BookTitle>
    <b:RefOrder>3</b:RefOrder>
  </b:Source>
  <b:Source>
    <b:Tag>Fis94</b:Tag>
    <b:SourceType>ConferenceProceedings</b:SourceType>
    <b:Guid>{DA58E3CE-A5E3-4C7F-A759-208937FB42B5}</b:Guid>
    <b:Author>
      <b:Author>
        <b:Corporate>Fisher C. S, Stewart R. R, and Jol H. M</b:Corporate>
      </b:Author>
    </b:Author>
    <b:Title>Processing groung penetrating radar data</b:Title>
    <b:Year>1994</b:Year>
    <b:City>Canada</b:City>
    <b:ConferenceName>Proceedings of the  5th Internation Conference on Ground Penetrating Radar (GPR' 94)</b:ConferenceName>
    <b:RefOrder>4</b:RefOrder>
  </b:Source>
  <b:Source>
    <b:Tag>Ger93</b:Tag>
    <b:SourceType>ConferenceProceedings</b:SourceType>
    <b:Guid>{7643D9DC-7C21-4520-8CE6-9B2A62093403}</b:Guid>
    <b:Author>
      <b:Author>
        <b:Corporate>Gerlitz K, Knoll M D, Cross, G. M., Lutziano R. D, and Knight R</b:Corporate>
      </b:Author>
    </b:Author>
    <b:Title>Processing ground penetrating radar data to improve resolution of near surface targets</b:Title>
    <b:Year>1993</b:Year>
    <b:ConferenceName>Proceedings of the Symposium on the Application of Geophysics to Engineering and Environmental Pronlems (SAGEEP)</b:ConferenceName>
    <b:City>San Diego</b:City>
    <b:RefOrder>5</b:RefOrder>
  </b:Source>
  <b:Source>
    <b:Tag>Leh</b:Tag>
    <b:SourceType>ConferenceProceedings</b:SourceType>
    <b:Guid>{42E181F4-9F9E-41DA-86ED-5FA941BCD39E}</b:Guid>
    <b:Author>
      <b:Author>
        <b:Corporate>Lehmann, F, Horstmeyer, H, Green A, Sexon J, and coulybaly, M.</b:Corporate>
      </b:Author>
    </b:Author>
    <b:Title>Georadar data from the northern Sahara Desert: Problems and processing strategies </b:Title>
    <b:ConferenceName>Proceedings of the 6th International Conference on Ground  Penetrating Radar (GPR' 96)</b:ConferenceName>
    <b:City>Japan</b:City>
    <b:Volume>pp. 51 - 56</b:Volume>
    <b:RefOrder>6</b:RefOrder>
  </b:Source>
  <b:Source>
    <b:Tag>Ann93</b:Tag>
    <b:SourceType>ConferenceProceedings</b:SourceType>
    <b:Guid>{8694B668-54FD-40BB-91BB-9F0305B75FA7}</b:Guid>
    <b:Author>
      <b:Author>
        <b:Corporate>Annan A. P</b:Corporate>
      </b:Author>
    </b:Author>
    <b:Title>Practical Processing of GPR data.</b:Title>
    <b:Year>1993</b:Year>
    <b:ConferenceName>Proceedings of the Second Government Workshop on Ground - Penetrating Radar</b:ConferenceName>
    <b:City>Columbos</b:City>
    <b:RefOrder>7</b:RefOrder>
  </b:Source>
  <b:Source>
    <b:Tag>Bas00</b:Tag>
    <b:SourceType>JournalArticle</b:SourceType>
    <b:Guid>{8ED3536A-DCF3-478F-9BC0-53605E18EB6B}</b:Guid>
    <b:Author>
      <b:Author>
        <b:Corporate>Basile V, Carrozzo, M T, Negri, S, Nuzzo, L., Quarta, T., and VIillani A. V.</b:Corporate>
      </b:Author>
    </b:Author>
    <b:Title>A ground - -penetrating radar survey for archaeological investigations in and urban area (Lecce, Italy)</b:Title>
    <b:Year>2000</b:Year>
    <b:Publisher>Journal of Applied Geophysics</b:Publisher>
    <b:Volume>44</b:Volume>
    <b:RefOrder>8</b:RefOrder>
  </b:Source>
  <b:Source>
    <b:Tag>Mal96</b:Tag>
    <b:SourceType>ConferenceProceedings</b:SourceType>
    <b:Guid>{9E5FFF1F-83A5-4FDA-8CB4-C5F20CAD2638}</b:Guid>
    <b:Author>
      <b:Author>
        <b:Corporate>Malagodi, S., Orlando, L., and Piro, S</b:Corporate>
      </b:Author>
    </b:Author>
    <b:Title>Approaches to increase resolution of radar signal</b:Title>
    <b:City>Japan</b:City>
    <b:Year>1996</b:Year>
    <b:ConferenceName>Proceedings of the 6th international Conference in  Ground Penetrating Radar (GPR '96)</b:ConferenceName>
    <b:RefOrder>9</b:RefOrder>
  </b:Source>
  <b:Source>
    <b:Tag>Mor98</b:Tag>
    <b:SourceType>ConferenceProceedings</b:SourceType>
    <b:Guid>{BA960373-A9B3-46A9-A05E-7AF8B4CE0BEB}</b:Guid>
    <b:Author>
      <b:Author>
        <b:Corporate>Moran M, Arcone, S.A, Delany, A. J., and Greenfield R.</b:Corporate>
      </b:Author>
    </b:Author>
    <b:Title>3-D migration/ray processing using GPR dtaa.</b:Title>
    <b:Year>1998</b:Year>
    <b:ConferenceName>Proceedings of the 7th International Conference on Ground Penetrating Radar (GPR '98) </b:ConferenceName>
    <b:City>USA</b:City>
    <b:RefOrder>10</b:RefOrder>
  </b:Source>
  <b:Source>
    <b:Tag>Van00</b:Tag>
    <b:SourceType>ConferenceProceedings</b:SourceType>
    <b:Guid>{CA97A4E6-3B4D-43D2-83A8-C2DADE26DA22}</b:Guid>
    <b:Author>
      <b:Author>
        <b:Corporate>Van Gestel J and Stoffa P.L</b:Corporate>
      </b:Author>
    </b:Author>
    <b:Title>Migration using multi - configuratoin data </b:Title>
    <b:Year>2000</b:Year>
    <b:ConferenceName>Proceedings of the 8th International Conference on Ground Penetrating Radar (GPR '2000)</b:ConferenceName>
    <b:City>USA</b:City>
    <b:RefOrder>11</b:RefOrder>
  </b:Source>
  <b:Source>
    <b:Tag>Lue00</b:Tag>
    <b:SourceType>JournalArticle</b:SourceType>
    <b:Guid>{B0E7715F-C885-417A-9AF3-F60BB8966908}</b:Guid>
    <b:Author>
      <b:Author>
        <b:Corporate>Lueschen C., and Plumb R.</b:Corporate>
      </b:Author>
    </b:Author>
    <b:Title>A matched- filter approach to wave migration</b:Title>
    <b:Year>2000</b:Year>
    <b:Publisher>Journal of Applied Geophysics</b:Publisher>
    <b:Volume>43 pp. 271- 280</b:Volume>
    <b:RefOrder>12</b:RefOrder>
  </b:Source>
  <b:Source>
    <b:Tag>Leh00</b:Tag>
    <b:SourceType>JournalArticle</b:SourceType>
    <b:Guid>{A366AE7B-C761-4800-80B0-D8B3FE1101A1}</b:Guid>
    <b:Author>
      <b:Author>
        <b:Corporate>Lehman F and Green A. G. </b:Corporate>
      </b:Author>
    </b:Author>
    <b:Title>Topographic migration of georadar data: Implications for acquisition and processing </b:Title>
    <b:Year>2000</b:Year>
    <b:Publisher>Geophysics</b:Publisher>
    <b:Volume>65</b:Volume>
    <b:Issue>3 pp. 836 - 848</b:Issue>
    <b:RefOrder>13</b:RefOrder>
  </b:Source>
  <b:Source>
    <b:Tag>Ann961</b:Tag>
    <b:SourceType>JournalArticle</b:SourceType>
    <b:Guid>{5C6A1446-5511-4788-AA9E-99D6C5D87692}</b:Guid>
    <b:Author>
      <b:Author>
        <b:NameList>
          <b:Person>
            <b:Last>Annan</b:Last>
            <b:First>A.</b:First>
            <b:Middle>P.</b:Middle>
          </b:Person>
        </b:NameList>
      </b:Author>
    </b:Author>
    <b:Title>Transmission Dispersion and GPR</b:Title>
    <b:Year>1996</b:Year>
    <b:Publisher>Journal of Environmental and Engineering Geophysics</b:Publisher>
    <b:Volume>0, 125-136</b:Volume>
    <b:RefOrder>14</b:RefOrder>
  </b:Source>
  <b:Source>
    <b:Tag>She02</b:Tag>
    <b:SourceType>Book</b:SourceType>
    <b:Guid>{51C0E49B-E08E-4044-B05A-7D3567659474}</b:Guid>
    <b:Author>
      <b:Author>
        <b:NameList>
          <b:Person>
            <b:Last>Sheriff</b:Last>
            <b:First>R.</b:First>
            <b:Middle>E</b:Middle>
          </b:Person>
        </b:NameList>
      </b:Author>
    </b:Author>
    <b:Title>Encyclopedic dictionary of Geophysics</b:Title>
    <b:Year>2002</b:Year>
    <b:Publisher>Society of Exploration Geophysicists SEG</b:Publisher>
    <b:RefOrder>15</b:RefOrder>
  </b:Source>
  <b:Source>
    <b:Tag>Bra98</b:Tag>
    <b:SourceType>Misc</b:SourceType>
    <b:Guid>{A87C2110-938F-46A9-8C2E-1CFF95E0C204}</b:Guid>
    <b:Author>
      <b:Author>
        <b:NameList>
          <b:Person>
            <b:Last>Bradford</b:Last>
            <b:First>J.</b:First>
            <b:Middle>H</b:Middle>
          </b:Person>
        </b:NameList>
      </b:Author>
    </b:Author>
    <b:Title>Characterizing shallow aquifers with wave- propagation based geophysical techniques: Imaging and attribute analysis</b:Title>
    <b:Year>1998</b:Year>
    <b:City>Rice</b:City>
    <b:PublicationTitle>PhD Thesis</b:PublicationTitle>
    <b:RefOrder>16</b:RefOrder>
  </b:Source>
  <b:Source>
    <b:Tag>Dis55</b:Tag>
    <b:SourceType>JournalArticle</b:SourceType>
    <b:Guid>{1EFA09F5-584C-4370-A471-31A8469F3F63}</b:Guid>
    <b:Author>
      <b:Author>
        <b:Corporate>Dix C. H</b:Corporate>
      </b:Author>
    </b:Author>
    <b:Title>Seismic velocities from surface measurements</b:Title>
    <b:Year>1955</b:Year>
    <b:Publisher>Geophysics</b:Publisher>
    <b:Volume>20</b:Volume>
    <b:RefOrder>17</b:RefOrder>
  </b:Source>
  <b:Source>
    <b:Tag>Bar07</b:Tag>
    <b:SourceType>JournalArticle</b:SourceType>
    <b:Guid>{B457EB4A-E96D-4911-AE4E-DE274FBF4AF0}</b:Guid>
    <b:Author>
      <b:Author>
        <b:Corporate>Barrett B E, Murray, T and Clark R A</b:Corporate>
      </b:Author>
    </b:Author>
    <b:Title>Errors in radar CMP velocity estimates due to survey geometry, and their implications for ice water content estimation</b:Title>
    <b:Year>2007</b:Year>
    <b:Publisher>Journal of Environmental and Engineering Geophysics</b:Publisher>
    <b:Volume>12</b:Volume>
    <b:RefOrder>18</b:RefOrder>
  </b:Source>
  <b:Source>
    <b:Tag>She99</b:Tag>
    <b:SourceType>Book</b:SourceType>
    <b:Guid>{C6EC0127-9C14-4771-92BE-A311EE091B8E}</b:Guid>
    <b:Author>
      <b:Author>
        <b:Corporate>Sheriff, R. E, and Geldart L. P.</b:Corporate>
      </b:Author>
    </b:Author>
    <b:Title>Exploration Seismology </b:Title>
    <b:Year>1999</b:Year>
    <b:Publisher>Cambridge University Press</b:Publisher>
    <b:Volume>2nd edition</b:Volume>
    <b:RefOrder>19</b:RefOrder>
  </b:Source>
  <b:Source>
    <b:Tag>Alk96</b:Tag>
    <b:SourceType>JournalArticle</b:SourceType>
    <b:Guid>{84D2C7A8-17FB-4FCF-ACFD-CA2F5B898F82}</b:Guid>
    <b:Author>
      <b:Author>
        <b:Corporate>AlkhalifahT</b:Corporate>
      </b:Author>
    </b:Author>
    <b:Title>Transformation to zero offset in transversely isotropic media</b:Title>
    <b:Year>1996</b:Year>
    <b:Publisher>Geophysics</b:Publisher>
    <b:Volume>61</b:Volume>
    <b:Issue>947-936</b:Issue>
    <b:RefOrder>20</b:RefOrder>
  </b:Source>
  <b:Source>
    <b:Tag>Yan08</b:Tag>
    <b:SourceType>JournalArticle</b:SourceType>
    <b:Guid>{2049DD79-8938-4F5A-A509-735ABAD0DEB9}</b:Guid>
    <b:Author>
      <b:Author>
        <b:Corporate>Yan, J and Tsvankin I</b:Corporate>
      </b:Author>
    </b:Author>
    <b:Title>AVO - sensitive semblance analysis for wide azimuth data</b:Title>
    <b:Year>2008</b:Year>
    <b:Publisher>Geophysics</b:Publisher>
    <b:Volume>73</b:Volume>
    <b:Issue>P.U1 - PO.U11</b:Issue>
    <b:RefOrder>21</b:RefOrder>
  </b:Source>
  <b:Source>
    <b:Tag>Alk95</b:Tag>
    <b:SourceType>JournalArticle</b:SourceType>
    <b:Guid>{31D174CF-39EF-4659-9759-10351EBAF7CA}</b:Guid>
    <b:Author>
      <b:Author>
        <b:Corporate>Alkhalifah, T and Tsvankin I</b:Corporate>
      </b:Author>
    </b:Author>
    <b:Title>Velocity analysis for travsversely isotropic media</b:Title>
    <b:Year>1995</b:Year>
    <b:Publisher>Geophysics</b:Publisher>
    <b:Volume>60</b:Volume>
    <b:Issue>5</b:Issue>
    <b:RefOrder>22</b:RefOrder>
  </b:Source>
  <b:Source>
    <b:Tag>McC88</b:Tag>
    <b:SourceType>JournalArticle</b:SourceType>
    <b:Guid>{8708CEAC-A834-4842-89D4-BAF1714810E9}</b:Guid>
    <b:Author>
      <b:Author>
        <b:Corporate>McCann D. M., Jackson P. D., and Fenning P. J. </b:Corporate>
      </b:Author>
    </b:Author>
    <b:Title>Comparison of the Seismic and ground - probing radar methods in geological surveying</b:Title>
    <b:Year>1988</b:Year>
    <b:Publisher>IEE proceedings</b:Publisher>
    <b:Volume>135</b:Volume>
    <b:Issue>F,4</b:Issue>
    <b:RefOrder>23</b:RefOrder>
  </b:Source>
  <b:Source>
    <b:Tag>Joh79</b:Tag>
    <b:SourceType>JournalArticle</b:SourceType>
    <b:Guid>{B7129456-3535-444D-B0D4-528CFE64850A}</b:Guid>
    <b:Author>
      <b:Author>
        <b:Corporate>Johnson R. W., Glaccum R. and Wojtasinski R</b:Corporate>
      </b:Author>
    </b:Author>
    <b:Title>Application of ground penetrating radar to soil survey</b:Title>
    <b:Year>1979</b:Year>
    <b:Publisher>Soil and Crop Science Society of Florida Proceedings</b:Publisher>
    <b:Volume>39</b:Volume>
    <b:Issue>2-4</b:Issue>
    <b:RefOrder>24</b:RefOrder>
  </b:Source>
  <b:Source>
    <b:Tag>Dav891</b:Tag>
    <b:SourceType>JournalArticle</b:SourceType>
    <b:Guid>{EDD3B0EE-3FF1-47E6-A96C-EDFA9A151777}</b:Guid>
    <b:Author>
      <b:Author>
        <b:Corporate>Davis, J.L, and Annan A. P</b:Corporate>
      </b:Author>
    </b:Author>
    <b:Title>Ground-oenetrating radar for hihg resolution mapping of soil and rock stratigraphy</b:Title>
    <b:Year>1989</b:Year>
    <b:Publisher>Geophysical prospecting</b:Publisher>
    <b:Volume>37</b:Volume>
    <b:Issue>5</b:Issue>
    <b:RefOrder>25</b:RefOrder>
  </b:Source>
  <b:Source>
    <b:Tag>Dan96</b:Tag>
    <b:SourceType>Report</b:SourceType>
    <b:Guid>{4E90FB92-0B19-4981-99F8-7A5AC432F103}</b:Guid>
    <b:Author>
      <b:Author>
        <b:Corporate>Daniels D. J</b:Corporate>
      </b:Author>
    </b:Author>
    <b:Title>Surface-penetrating radar--IEE Radar, Sonar, Navigation and Avionics,</b:Title>
    <b:City>London</b:City>
    <b:Year>1996</b:Year>
    <b:Publisher>Institute of Electrical Engineers series 6, pp320</b:Publisher>
    <b:RefOrder>26</b:RefOrder>
  </b:Source>
  <b:Source>
    <b:Tag>Ann75</b:Tag>
    <b:SourceType>JournalArticle</b:SourceType>
    <b:Guid>{6EF7CD1C-B293-446F-812F-3901B91AA1AE}</b:Guid>
    <b:Author>
      <b:Author>
        <b:Corporate>Annan A P,Waller W M, Strangeway D W, Rossiter J R, Redman J D, Watts R D</b:Corporate>
      </b:Author>
    </b:Author>
    <b:Title>The Electromagnetic response of a low - loss 2 - layer dielectric earth for a horizontal dipole excitation</b:Title>
    <b:Year>1975</b:Year>
    <b:Publisher>Geophysics</b:Publisher>
    <b:Volume>40 </b:Volume>
    <b:Issue>285 - 298</b:Issue>
    <b:RefOrder>27</b:RefOrder>
  </b:Source>
  <b:Source>
    <b:Tag>Eng82</b:Tag>
    <b:SourceType>JournalArticle</b:SourceType>
    <b:Guid>{003D70A6-64DC-4F93-A9E0-7D3E4B28A96E}</b:Guid>
    <b:Author>
      <b:Author>
        <b:Corporate>Engheta N., Papas C., and Elachi C.</b:Corporate>
      </b:Author>
    </b:Author>
    <b:Title>RAdiation patterns of interfacial dipole antennas</b:Title>
    <b:Year>1982</b:Year>
    <b:Publisher>RAdio Science</b:Publisher>
    <b:Volume>17</b:Volume>
    <b:Issue>1157 - 1566</b:Issue>
    <b:RefOrder>28</b:RefOrder>
  </b:Source>
  <b:Source>
    <b:Tag>Jia00</b:Tag>
    <b:SourceType>JournalArticle</b:SourceType>
    <b:Guid>{A644C2E1-44C5-428C-AA4F-7CD106A361E0}</b:Guid>
    <b:Author>
      <b:Author>
        <b:Corporate>Jiao Y, McMechan G A, Pattinelli E</b:Corporate>
      </b:Author>
    </b:Author>
    <b:Title>In situ 2 - D and 3 - D measuremnts of radiation patterns of half - wave dipole GPR antennas</b:Title>
    <b:Year>2000</b:Year>
    <b:Publisher>Journal of Applied  Geophysics</b:Publisher>
    <b:Volume>43</b:Volume>
    <b:Issue>69 - 89</b:Issue>
    <b:RefOrder>29</b:RefOrder>
  </b:Source>
  <b:Source>
    <b:Tag>Käh83</b:Tag>
    <b:SourceType>JournalArticle</b:SourceType>
    <b:Guid>{85EDE77C-C163-48D2-8E42-10492EB17F9E}</b:Guid>
    <b:Author>
      <b:Author>
        <b:Corporate>Kähler S  Meissner R</b:Corporate>
      </b:Author>
    </b:Author>
    <b:Title>RAdiation and receiver patterns of mshear and compressional waves as a function of Poisson's ratio</b:Title>
    <b:Year>1983</b:Year>
    <b:Publisher>Geophysical Prospecting</b:Publisher>
    <b:Volume>31</b:Volume>
    <b:Issue>421 - 435</b:Issue>
    <b:RefOrder>30</b:RefOrder>
  </b:Source>
  <b:Source>
    <b:Tag>Whi65</b:Tag>
    <b:SourceType>Book</b:SourceType>
    <b:Guid>{6258F30A-FA6E-4802-9495-9663727E3E32}</b:Guid>
    <b:Author>
      <b:Author>
        <b:Corporate>White J E</b:Corporate>
      </b:Author>
    </b:Author>
    <b:Title>Seismic waves: Radiation, Transmission and Attenuation</b:Title>
    <b:City>New Yoek</b:City>
    <b:Year>1965</b:Year>
    <b:Publisher>McGraw - Hill</b:Publisher>
    <b:Volume>1</b:Volume>
    <b:RefOrder>31</b:RefOrder>
  </b:Source>
  <b:Source>
    <b:Tag>Tur94</b:Tag>
    <b:SourceType>Book</b:SourceType>
    <b:Guid>{0C0328B4-A4EB-4D6A-AA58-6891FF9E88DF}</b:Guid>
    <b:Author>
      <b:Author>
        <b:Corporate>Turner, G and Aiggins, A. F.</b:Corporate>
      </b:Author>
    </b:Author>
    <b:Title>Constant Q attenuation of subsurface radar pulses</b:Title>
    <b:Year>1994</b:Year>
    <b:Publisher>Geophysics</b:Publisher>
    <b:Volume>59</b:Volume>
    <b:RefOrder>32</b:RefOrder>
  </b:Source>
  <b:Source>
    <b:Tag>Pow97</b:Tag>
    <b:SourceType>Book</b:SourceType>
    <b:Guid>{D56F0861-D000-41F3-88DB-10A771E3FFD0}</b:Guid>
    <b:Author>
      <b:Author>
        <b:Corporate>Powers M. H.</b:Corporate>
      </b:Author>
    </b:Author>
    <b:Title>Measuring frequency-dependent GPR </b:Title>
    <b:Year>1997</b:Year>
    <b:Publisher>The Leading Edge</b:Publisher>
    <b:Volume>15657 - 1662</b:Volume>
    <b:RefOrder>33</b:RefOrder>
  </b:Source>
  <b:Source>
    <b:Tag>Bra97</b:Tag>
    <b:SourceType>ConferenceProceedings</b:SourceType>
    <b:Guid>{81D65026-1C39-439D-831B-85C3811263FC}</b:Guid>
    <b:Author>
      <b:Author>
        <b:Corporate>Bradford, J.H., and Wu, Y.,</b:Corporate>
      </b:Author>
    </b:Author>
    <b:Title>Time-frequency representation of seismic signals via matching pursuit decomposition with complex Ricker wavelets</b:Title>
    <b:Year>1997</b:Year>
    <b:City>San Francisco</b:City>
    <b:Publisher>American Geophysical Union</b:Publisher>
    <b:Volume>78</b:Volume>
    <b:ConferenceName>AGU Fall meeting</b:ConferenceName>
    <b:RefOrder>34</b:RefOrder>
  </b:Source>
  <b:Source>
    <b:Tag>Wil</b:Tag>
    <b:SourceType>JournalArticle</b:SourceType>
    <b:Guid>{8BF2C3D1-8F74-41A5-B7C8-77F8192464DF}</b:Guid>
    <b:LCID>0</b:LCID>
    <b:Author>
      <b:Author>
        <b:Corporate>Williams J H and Johnson J D</b:Corporate>
      </b:Author>
    </b:Author>
    <b:Title>Acoustic and optical borehole-wall imaging for fractured-rock </b:Title>
    <b:Publisher>Journal of Applied Geophysics</b:Publisher>
    <b:Volume>55</b:Volume>
    <b:Issue>1-2</b:Issue>
    <b:RefOrder>35</b:RefOrder>
  </b:Source>
  <b:Source>
    <b:Tag>Phi07</b:Tag>
    <b:SourceType>JournalArticle</b:SourceType>
    <b:Guid>{43058F0D-2912-4E91-9EC9-E07C5B0FA69F}</b:Guid>
    <b:LCID>0</b:LCID>
    <b:Author>
      <b:Author>
        <b:Corporate>Philippe G, Tim B, Philippe P, and En-Chao Y</b:Corporate>
      </b:Author>
    </b:Author>
    <b:Title>Borehole Drilling Tools: Principles and Applications</b:Title>
    <b:Year>2007</b:Year>
    <b:Publisher>Scientific Drilling</b:Publisher>
    <b:Volume>5</b:Volume>
    <b:RefOrder>36</b:RefOrder>
  </b:Source>
  <b:Source>
    <b:Tag>Gad05</b:Tag>
    <b:SourceType>JournalArticle</b:SourceType>
    <b:Guid>{8DF3827F-FCFE-41DE-98F4-3412368453D0}</b:Guid>
    <b:LCID>0</b:LCID>
    <b:Author>
      <b:Author>
        <b:Corporate>Gadallah M R</b:Corporate>
      </b:Author>
    </b:Author>
    <b:Title>Applied seismology [electronic resource] : a comprehensive guide to seismic theory and application </b:Title>
    <b:City>Tusla, Oklahoma</b:City>
    <b:Year>2005</b:Year>
    <b:Publisher>PennWell</b:Publisher>
    <b:RefOrder>37</b:RefOrder>
  </b:Source>
  <b:Source>
    <b:Tag>SHe82</b:Tag>
    <b:SourceType>JournalArticle</b:SourceType>
    <b:Guid>{4F719860-DDC3-4B04-893E-DD8A5349D373}</b:Guid>
    <b:LCID>0</b:LCID>
    <b:Author>
      <b:Author>
        <b:Corporate>SHeriff R E and Geldart L P</b:Corporate>
      </b:Author>
    </b:Author>
    <b:Title>Exploration Seismology: History, theory &amp; data acquisition</b:Title>
    <b:City>Cambridge</b:City>
    <b:Year>1982 </b:Year>
    <b:Publisher>Cambridge University Press</b:Publisher>
    <b:Volume>I </b:Volume>
    <b:RefOrder>38</b:RefOrder>
  </b:Source>
  <b:Source>
    <b:Tag>She83</b:Tag>
    <b:SourceType>JournalArticle</b:SourceType>
    <b:Guid>{1F8FB249-2CD7-4EE9-BB58-9F74424A636F}</b:Guid>
    <b:LCID>0</b:LCID>
    <b:Author>
      <b:Author>
        <b:Corporate>Sheriff R E and Geldart L P</b:Corporate>
      </b:Author>
    </b:Author>
    <b:Title>Exploration Seismology: Data processing and interpretation</b:Title>
    <b:City>Cambridge</b:City>
    <b:Year>1983</b:Year>
    <b:Publisher>Cambridge University Press</b:Publisher>
    <b:Volume>II</b:Volume>
    <b:RefOrder>39</b:RefOrder>
  </b:Source>
  <b:Source>
    <b:Tag>Her01</b:Tag>
    <b:SourceType>JournalArticle</b:SourceType>
    <b:Guid>{9A880CF1-B671-49E8-8754-E5D6650BEC16}</b:Guid>
    <b:LCID>0</b:LCID>
    <b:Author>
      <b:Author>
        <b:Corporate>Herman R</b:Corporate>
      </b:Author>
    </b:Author>
    <b:Title>An introduction to electrical resistivity in geophysics</b:Title>
    <b:Year>2001</b:Year>
    <b:Publisher>American Journal of Physics</b:Publisher>
    <b:Volume>69</b:Volume>
    <b:Issue>9</b:Issue>
    <b:RefOrder>40</b:RefOrder>
  </b:Source>
  <b:Source>
    <b:Tag>Ame99</b:Tag>
    <b:SourceType>Report</b:SourceType>
    <b:Guid>{B4784AD4-A792-4CA3-B3E3-F54C6FB1F4BE}</b:Guid>
    <b:LCID>0</b:LCID>
    <b:Author>
      <b:Author>
        <b:Corporate>American Society for Testing and Materials</b:Corporate>
      </b:Author>
    </b:Author>
    <b:Title>Standard Guide for Selecting Surface Geophysical Methods, ASTM D6429-99</b:Title>
    <b:City>West Conshohocken, Pennsylvania</b:City>
    <b:Year>1999</b:Year>
    <b:Publisher>American Society for Testing and Materials</b:Publisher>
    <b:RefOrder>41</b:RefOrder>
  </b:Source>
  <b:Source>
    <b:Tag>Tec04</b:Tag>
    <b:SourceType>DocumentFromInternetSite</b:SourceType>
    <b:Guid>{3F94E4B9-4825-4E13-AD69-C29AB7BA733F}</b:Guid>
    <b:LCID>0</b:LCID>
    <b:Author>
      <b:Author>
        <b:Corporate>Technos</b:Corporate>
      </b:Author>
    </b:Author>
    <b:Title>Surface Geophysical methods</b:Title>
    <b:Year>2004</b:Year>
    <b:InternetSiteTitle>Technos INC</b:InternetSiteTitle>
    <b:ProductionCompany>Technos INC</b:ProductionCompany>
    <b:YearAccessed>2012</b:YearAccessed>
    <b:MonthAccessed>11</b:MonthAccessed>
    <b:DayAccessed>7</b:DayAccessed>
    <b:URL>http://www.technos-inc.com/pdf/SurfaceTechnotes.pdf</b:URL>
    <b:Version>1</b:Version>
    <b:RefOrder>42</b:RefOrder>
  </b:Source>
  <b:Source>
    <b:Tag>Bey85</b:Tag>
    <b:SourceType>JournalArticle</b:SourceType>
    <b:Guid>{5CD5432D-68FD-476F-8637-2F746F2372D6}</b:Guid>
    <b:LCID>0</b:LCID>
    <b:Author>
      <b:Author>
        <b:Corporate>Beydoun W B  Cheng  C H and Tokoz  M N</b:Corporate>
      </b:Author>
    </b:Author>
    <b:Title>Detection of open fractures with Vertical Seismic Profiling</b:Title>
    <b:Year>1985</b:Year>
    <b:Publisher>Journal of Geophysical Research</b:Publisher>
    <b:Volume>90</b:Volume>
    <b:RefOrder>43</b:RefOrder>
  </b:Source>
  <b:Source>
    <b:Tag>Rob95</b:Tag>
    <b:SourceType>JournalArticle</b:SourceType>
    <b:Guid>{C6E74D7B-86AA-4963-8241-FF8F933F2A3B}</b:Guid>
    <b:LCID>0</b:LCID>
    <b:Author>
      <b:Author>
        <b:Corporate>Robert D. Cicerone and M. Nail ToksSz</b:Corporate>
      </b:Author>
    </b:Author>
    <b:Title>Fracture Characterization from Vertical Seismic Profiling data</b:Title>
    <b:Year>1995</b:Year>
    <b:Publisher>Journal of Geophysical Research</b:Publisher>
    <b:Volume>100</b:Volume>
    <b:RefOrder>44</b:RefOrder>
  </b:Source>
  <b:Source>
    <b:Tag>Lao11</b:Tag>
    <b:SourceType>JournalArticle</b:SourceType>
    <b:Guid>{3FB59DB1-927A-4397-B4B5-F3A56C5AE39A}</b:Guid>
    <b:LCID>0</b:LCID>
    <b:Author>
      <b:Author>
        <b:Corporate>Laongsakul P and Dürrast H </b:Corporate>
      </b:Author>
    </b:Author>
    <b:Title>Characterization of reservoir fractures using conventional geophysical logging</b:Title>
    <b:Year>2011</b:Year>
    <b:Publisher>Songklanakarin Journal of  Science and Technology</b:Publisher>
    <b:Volume>3</b:Volume>
    <b:Issue>2</b:Issue>
    <b:RefOrder>45</b:RefOrder>
  </b:Source>
  <b:Source>
    <b:Tag>Gre12</b:Tag>
    <b:SourceType>InternetSite</b:SourceType>
    <b:Guid>{A8649D68-511F-49A4-8922-EBC4A1A47B13}</b:Guid>
    <b:LCID>0</b:LCID>
    <b:Author>
      <b:Author>
        <b:Corporate>Grevillea</b:Corporate>
      </b:Author>
    </b:Author>
    <b:Title>Columnar Jointing</b:Title>
    <b:Year>2012</b:Year>
    <b:InternetSiteTitle>Grevillea</b:InternetSiteTitle>
    <b:Month>October</b:Month>
    <b:Day>24</b:Day>
    <b:YearAccessed>2012</b:YearAccessed>
    <b:MonthAccessed>October</b:MonthAccessed>
    <b:DayAccessed>24</b:DayAccessed>
    <b:URL>http://grevillea.wordpress.com/2006/10/19/columnar-joints/</b:URL>
    <b:RefOrder>1</b:RefOrder>
  </b:Source>
  <b:Source>
    <b:Tag>Pol12</b:Tag>
    <b:SourceType>InternetSite</b:SourceType>
    <b:Guid>{84470E4B-540F-47A7-970D-0FFAC409E7CD}</b:Guid>
    <b:LCID>0</b:LCID>
    <b:Title>Polarization</b:Title>
    <b:Year>2012</b:Year>
    <b:Month>July</b:Month>
    <b:Day>16</b:Day>
    <b:YearAccessed>2012</b:YearAccessed>
    <b:MonthAccessed>July</b:MonthAccessed>
    <b:DayAccessed>16</b:DayAccessed>
    <b:URL>http://en.wikipedia.org/wiki/Polarization</b:URL>
    <b:Author>
      <b:Author>
        <b:Corporate>Wikipedia</b:Corporate>
      </b:Author>
    </b:Author>
    <b:RefOrder>2</b:RefOrder>
  </b:Source>
  <b:Source>
    <b:Tag>Hol98</b:Tag>
    <b:SourceType>JournalArticle</b:SourceType>
    <b:Guid>{9217B1F2-55D2-48BC-B137-D2DE3D5AB3F0}</b:Guid>
    <b:LCID>0</b:LCID>
    <b:Author>
      <b:Author>
        <b:Corporate>Holliger K and Bergman T</b:Corporate>
      </b:Author>
    </b:Author>
    <b:Title>Accurate and efficient FDTD modelling of ground - penetrating radar anttena radiation pattern</b:Title>
    <b:JournalName>Geophysical Research Letters</b:JournalName>
    <b:Year>1998</b:Year>
    <b:Pages>25 3883 - 3886</b:Pages>
    <b:RefOrder>46</b:RefOrder>
  </b:Source>
</b:Sources>
</file>

<file path=customXml/itemProps1.xml><?xml version="1.0" encoding="utf-8"?>
<ds:datastoreItem xmlns:ds="http://schemas.openxmlformats.org/officeDocument/2006/customXml" ds:itemID="{95B3CBCF-9E24-43B0-AD53-A669FF5CA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3167</Words>
  <Characters>18053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kana</dc:creator>
  <cp:lastModifiedBy>Aisha kana</cp:lastModifiedBy>
  <cp:revision>2</cp:revision>
  <cp:lastPrinted>2015-10-16T09:57:00Z</cp:lastPrinted>
  <dcterms:created xsi:type="dcterms:W3CDTF">2015-11-13T21:05:00Z</dcterms:created>
  <dcterms:modified xsi:type="dcterms:W3CDTF">2015-11-13T21:05:00Z</dcterms:modified>
</cp:coreProperties>
</file>