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62A" w:rsidRPr="008C6029" w:rsidRDefault="003032EE" w:rsidP="002A462A">
      <w:pPr>
        <w:spacing w:line="240" w:lineRule="auto"/>
        <w:contextualSpacing/>
        <w:jc w:val="center"/>
        <w:rPr>
          <w:rFonts w:ascii="Times New Roman" w:hAnsi="Times New Roman"/>
          <w:b/>
          <w:bCs/>
          <w:sz w:val="36"/>
          <w:szCs w:val="36"/>
        </w:rPr>
      </w:pPr>
      <w:r>
        <w:rPr>
          <w:rFonts w:ascii="Times New Roman" w:hAnsi="Times New Roman"/>
          <w:b/>
          <w:bCs/>
          <w:sz w:val="36"/>
          <w:szCs w:val="36"/>
        </w:rPr>
        <w:t>A Holistic Model Validation Framework for</w:t>
      </w:r>
      <w:r w:rsidR="00952FD2">
        <w:rPr>
          <w:rFonts w:ascii="Times New Roman" w:hAnsi="Times New Roman"/>
          <w:b/>
          <w:bCs/>
          <w:sz w:val="36"/>
          <w:szCs w:val="36"/>
        </w:rPr>
        <w:t xml:space="preserve"> </w:t>
      </w:r>
      <w:r w:rsidR="00952FD2" w:rsidRPr="00952FD2">
        <w:rPr>
          <w:rFonts w:ascii="Times New Roman" w:hAnsi="Times New Roman"/>
          <w:b/>
          <w:bCs/>
          <w:sz w:val="36"/>
          <w:szCs w:val="36"/>
        </w:rPr>
        <w:t>Current E</w:t>
      </w:r>
      <w:r w:rsidR="00952FD2" w:rsidRPr="00952FD2">
        <w:rPr>
          <w:rFonts w:ascii="Times New Roman" w:hAnsi="Times New Roman"/>
          <w:b/>
          <w:bCs/>
          <w:sz w:val="36"/>
          <w:szCs w:val="36"/>
        </w:rPr>
        <w:t>x</w:t>
      </w:r>
      <w:r w:rsidR="00952FD2" w:rsidRPr="00952FD2">
        <w:rPr>
          <w:rFonts w:ascii="Times New Roman" w:hAnsi="Times New Roman"/>
          <w:b/>
          <w:bCs/>
          <w:sz w:val="36"/>
          <w:szCs w:val="36"/>
        </w:rPr>
        <w:t xml:space="preserve">pected Credit Loss (CECL) </w:t>
      </w:r>
      <w:r>
        <w:rPr>
          <w:rFonts w:ascii="Times New Roman" w:hAnsi="Times New Roman"/>
          <w:b/>
          <w:bCs/>
          <w:sz w:val="36"/>
          <w:szCs w:val="36"/>
        </w:rPr>
        <w:t>Model Development and Impl</w:t>
      </w:r>
      <w:r>
        <w:rPr>
          <w:rFonts w:ascii="Times New Roman" w:hAnsi="Times New Roman"/>
          <w:b/>
          <w:bCs/>
          <w:sz w:val="36"/>
          <w:szCs w:val="36"/>
        </w:rPr>
        <w:t>e</w:t>
      </w:r>
      <w:r>
        <w:rPr>
          <w:rFonts w:ascii="Times New Roman" w:hAnsi="Times New Roman"/>
          <w:b/>
          <w:bCs/>
          <w:sz w:val="36"/>
          <w:szCs w:val="36"/>
        </w:rPr>
        <w:t>mentation</w:t>
      </w:r>
      <w:r w:rsidR="00952FD2">
        <w:rPr>
          <w:rFonts w:ascii="Times New Roman" w:hAnsi="Times New Roman"/>
          <w:b/>
          <w:bCs/>
          <w:sz w:val="36"/>
          <w:szCs w:val="36"/>
        </w:rPr>
        <w:t xml:space="preserve">  </w:t>
      </w:r>
    </w:p>
    <w:p w:rsidR="00FB6462" w:rsidRDefault="00FB6462" w:rsidP="00E16189">
      <w:pPr>
        <w:pStyle w:val="NoSpacing"/>
        <w:jc w:val="center"/>
        <w:rPr>
          <w:rFonts w:ascii="Times New Roman" w:hAnsi="Times New Roman"/>
          <w:bCs/>
          <w:sz w:val="24"/>
          <w:szCs w:val="24"/>
        </w:rPr>
      </w:pPr>
    </w:p>
    <w:p w:rsidR="00E16189" w:rsidRPr="00E16189" w:rsidRDefault="00E16189" w:rsidP="00E16189">
      <w:pPr>
        <w:pStyle w:val="NoSpacing"/>
        <w:jc w:val="center"/>
        <w:rPr>
          <w:rFonts w:ascii="Times New Roman" w:hAnsi="Times New Roman"/>
          <w:bCs/>
          <w:sz w:val="24"/>
          <w:szCs w:val="24"/>
        </w:rPr>
      </w:pPr>
      <w:r w:rsidRPr="00E16189">
        <w:rPr>
          <w:rFonts w:ascii="Times New Roman" w:hAnsi="Times New Roman"/>
          <w:bCs/>
          <w:sz w:val="24"/>
          <w:szCs w:val="24"/>
        </w:rPr>
        <w:t>Michael Jacobs, Jr.</w:t>
      </w:r>
      <w:r w:rsidRPr="00BB3240">
        <w:rPr>
          <w:rFonts w:ascii="Times New Roman" w:hAnsi="Times New Roman"/>
          <w:bCs/>
          <w:sz w:val="24"/>
          <w:szCs w:val="24"/>
          <w:vertAlign w:val="superscript"/>
        </w:rPr>
        <w:footnoteReference w:id="1"/>
      </w:r>
    </w:p>
    <w:p w:rsidR="00147120" w:rsidRDefault="009D1387" w:rsidP="00FB6462">
      <w:pPr>
        <w:pStyle w:val="NoSpacing"/>
        <w:tabs>
          <w:tab w:val="center" w:pos="4680"/>
          <w:tab w:val="left" w:pos="7515"/>
        </w:tabs>
        <w:rPr>
          <w:rFonts w:ascii="Times New Roman" w:hAnsi="Times New Roman"/>
          <w:bCs/>
          <w:sz w:val="24"/>
          <w:szCs w:val="24"/>
        </w:rPr>
      </w:pPr>
      <w:r>
        <w:rPr>
          <w:rFonts w:ascii="Times New Roman" w:hAnsi="Times New Roman"/>
          <w:bCs/>
          <w:sz w:val="24"/>
          <w:szCs w:val="24"/>
        </w:rPr>
        <w:tab/>
      </w:r>
    </w:p>
    <w:p w:rsidR="009244B5" w:rsidRDefault="009244B5" w:rsidP="00016796">
      <w:pPr>
        <w:spacing w:before="100" w:beforeAutospacing="1" w:after="100" w:afterAutospacing="1" w:line="240" w:lineRule="auto"/>
        <w:jc w:val="center"/>
        <w:rPr>
          <w:rFonts w:ascii="Times New Roman" w:hAnsi="Times New Roman"/>
          <w:bCs/>
          <w:sz w:val="24"/>
          <w:szCs w:val="24"/>
        </w:rPr>
      </w:pPr>
      <w:r w:rsidRPr="009244B5">
        <w:rPr>
          <w:rFonts w:ascii="Times New Roman" w:hAnsi="Times New Roman"/>
          <w:bCs/>
          <w:sz w:val="24"/>
          <w:szCs w:val="24"/>
        </w:rPr>
        <w:t xml:space="preserve">Draft: </w:t>
      </w:r>
      <w:r w:rsidR="00512806">
        <w:rPr>
          <w:rFonts w:ascii="Times New Roman" w:hAnsi="Times New Roman"/>
          <w:bCs/>
          <w:sz w:val="24"/>
          <w:szCs w:val="24"/>
        </w:rPr>
        <w:t>Dec</w:t>
      </w:r>
      <w:r w:rsidR="00894FDA">
        <w:rPr>
          <w:rFonts w:ascii="Times New Roman" w:hAnsi="Times New Roman"/>
          <w:bCs/>
          <w:sz w:val="24"/>
          <w:szCs w:val="24"/>
        </w:rPr>
        <w:t>em</w:t>
      </w:r>
      <w:r w:rsidR="00AA74D5">
        <w:rPr>
          <w:rFonts w:ascii="Times New Roman" w:hAnsi="Times New Roman"/>
          <w:bCs/>
          <w:sz w:val="24"/>
          <w:szCs w:val="24"/>
        </w:rPr>
        <w:t>ber</w:t>
      </w:r>
      <w:r w:rsidR="00386B2B">
        <w:rPr>
          <w:rFonts w:ascii="Times New Roman" w:hAnsi="Times New Roman"/>
          <w:bCs/>
          <w:sz w:val="24"/>
          <w:szCs w:val="24"/>
        </w:rPr>
        <w:t xml:space="preserve"> </w:t>
      </w:r>
      <w:r w:rsidR="008D6411">
        <w:rPr>
          <w:rFonts w:ascii="Times New Roman" w:hAnsi="Times New Roman"/>
          <w:bCs/>
          <w:sz w:val="24"/>
          <w:szCs w:val="24"/>
        </w:rPr>
        <w:t>15</w:t>
      </w:r>
      <w:r w:rsidR="0016004E" w:rsidRPr="0016004E">
        <w:rPr>
          <w:rFonts w:ascii="Times New Roman" w:hAnsi="Times New Roman"/>
          <w:bCs/>
          <w:sz w:val="24"/>
          <w:szCs w:val="24"/>
          <w:vertAlign w:val="superscript"/>
        </w:rPr>
        <w:t>th</w:t>
      </w:r>
      <w:r w:rsidR="005F6284">
        <w:rPr>
          <w:rFonts w:ascii="Times New Roman" w:hAnsi="Times New Roman"/>
          <w:bCs/>
          <w:sz w:val="24"/>
          <w:szCs w:val="24"/>
        </w:rPr>
        <w:t xml:space="preserve">, </w:t>
      </w:r>
      <w:r w:rsidRPr="009244B5">
        <w:rPr>
          <w:rFonts w:ascii="Times New Roman" w:hAnsi="Times New Roman"/>
          <w:bCs/>
          <w:sz w:val="24"/>
          <w:szCs w:val="24"/>
        </w:rPr>
        <w:t>201</w:t>
      </w:r>
      <w:r w:rsidR="00DA1280">
        <w:rPr>
          <w:rFonts w:ascii="Times New Roman" w:hAnsi="Times New Roman"/>
          <w:bCs/>
          <w:sz w:val="24"/>
          <w:szCs w:val="24"/>
        </w:rPr>
        <w:t>9</w:t>
      </w:r>
    </w:p>
    <w:p w:rsidR="00966FA1" w:rsidRDefault="00966FA1" w:rsidP="005C0F61">
      <w:pPr>
        <w:spacing w:line="240" w:lineRule="auto"/>
        <w:jc w:val="center"/>
        <w:rPr>
          <w:rFonts w:ascii="Times New Roman" w:hAnsi="Times New Roman"/>
          <w:b/>
          <w:bCs/>
          <w:color w:val="000000"/>
          <w:sz w:val="24"/>
          <w:szCs w:val="24"/>
        </w:rPr>
      </w:pPr>
    </w:p>
    <w:p w:rsidR="00AA74D5" w:rsidRDefault="00AA74D5" w:rsidP="005C0F61">
      <w:pPr>
        <w:spacing w:line="240" w:lineRule="auto"/>
        <w:jc w:val="center"/>
        <w:rPr>
          <w:rFonts w:ascii="Times New Roman" w:hAnsi="Times New Roman"/>
          <w:b/>
          <w:bCs/>
          <w:color w:val="000000"/>
          <w:sz w:val="24"/>
          <w:szCs w:val="24"/>
        </w:rPr>
      </w:pPr>
    </w:p>
    <w:p w:rsidR="00966FA1" w:rsidRDefault="00966FA1" w:rsidP="005C0F61">
      <w:pPr>
        <w:spacing w:line="240" w:lineRule="auto"/>
        <w:jc w:val="center"/>
        <w:rPr>
          <w:rFonts w:ascii="Times New Roman" w:hAnsi="Times New Roman"/>
          <w:b/>
          <w:bCs/>
          <w:color w:val="000000"/>
          <w:sz w:val="24"/>
          <w:szCs w:val="24"/>
        </w:rPr>
      </w:pPr>
    </w:p>
    <w:p w:rsidR="00C64B33" w:rsidRDefault="00C64B33" w:rsidP="005C0F61">
      <w:pPr>
        <w:spacing w:line="240" w:lineRule="auto"/>
        <w:jc w:val="center"/>
        <w:rPr>
          <w:rFonts w:ascii="Times New Roman" w:hAnsi="Times New Roman"/>
          <w:b/>
          <w:bCs/>
          <w:color w:val="000000"/>
          <w:sz w:val="24"/>
          <w:szCs w:val="24"/>
        </w:rPr>
      </w:pPr>
      <w:r w:rsidRPr="00A33E8E">
        <w:rPr>
          <w:rFonts w:ascii="Times New Roman" w:hAnsi="Times New Roman"/>
          <w:b/>
          <w:bCs/>
          <w:color w:val="000000"/>
          <w:sz w:val="24"/>
          <w:szCs w:val="24"/>
        </w:rPr>
        <w:t>Abstract</w:t>
      </w:r>
    </w:p>
    <w:p w:rsidR="00C64B33" w:rsidRDefault="00952FD2" w:rsidP="003F41B8">
      <w:pPr>
        <w:spacing w:line="240" w:lineRule="auto"/>
        <w:jc w:val="both"/>
        <w:rPr>
          <w:rFonts w:ascii="Times New Roman" w:hAnsi="Times New Roman"/>
          <w:bCs/>
          <w:sz w:val="24"/>
          <w:szCs w:val="24"/>
        </w:rPr>
      </w:pPr>
      <w:r w:rsidRPr="005C0F61">
        <w:rPr>
          <w:rFonts w:ascii="Times New Roman" w:hAnsi="Times New Roman"/>
          <w:color w:val="000000"/>
          <w:sz w:val="20"/>
          <w:szCs w:val="20"/>
        </w:rPr>
        <w:t>The CECL revised accounting standard for credit loss provisioning</w:t>
      </w:r>
      <w:r w:rsidR="00AA74D5">
        <w:rPr>
          <w:rFonts w:ascii="Times New Roman" w:hAnsi="Times New Roman"/>
          <w:color w:val="000000"/>
          <w:sz w:val="20"/>
          <w:szCs w:val="20"/>
        </w:rPr>
        <w:t xml:space="preserve"> is </w:t>
      </w:r>
      <w:r w:rsidR="007C2A68">
        <w:rPr>
          <w:rFonts w:ascii="Times New Roman" w:hAnsi="Times New Roman"/>
          <w:color w:val="000000"/>
          <w:sz w:val="20"/>
          <w:szCs w:val="20"/>
        </w:rPr>
        <w:t>the most important changes to U.S. accounting standard in recent history.</w:t>
      </w:r>
      <w:r w:rsidRPr="005C0F61">
        <w:rPr>
          <w:rFonts w:ascii="Times New Roman" w:hAnsi="Times New Roman"/>
          <w:color w:val="000000"/>
          <w:sz w:val="20"/>
          <w:szCs w:val="20"/>
        </w:rPr>
        <w:t xml:space="preserve">  </w:t>
      </w:r>
      <w:r w:rsidR="007757D3" w:rsidRPr="005C0F61">
        <w:rPr>
          <w:rFonts w:ascii="Times New Roman" w:hAnsi="Times New Roman"/>
          <w:color w:val="000000"/>
          <w:sz w:val="20"/>
          <w:szCs w:val="20"/>
        </w:rPr>
        <w:t>In this</w:t>
      </w:r>
      <w:r w:rsidRPr="005C0F61">
        <w:rPr>
          <w:rFonts w:ascii="Times New Roman" w:hAnsi="Times New Roman"/>
          <w:color w:val="000000"/>
          <w:sz w:val="20"/>
          <w:szCs w:val="20"/>
        </w:rPr>
        <w:t xml:space="preserve"> study </w:t>
      </w:r>
      <w:r w:rsidR="007757D3" w:rsidRPr="005C0F61">
        <w:rPr>
          <w:rFonts w:ascii="Times New Roman" w:hAnsi="Times New Roman"/>
          <w:color w:val="000000"/>
          <w:sz w:val="20"/>
          <w:szCs w:val="20"/>
        </w:rPr>
        <w:t>we</w:t>
      </w:r>
      <w:r w:rsidR="00C75849">
        <w:rPr>
          <w:rFonts w:ascii="Times New Roman" w:hAnsi="Times New Roman"/>
          <w:color w:val="000000"/>
          <w:sz w:val="20"/>
          <w:szCs w:val="20"/>
        </w:rPr>
        <w:t xml:space="preserve"> survey and assess practices in the validation of models that support CECL, across dimensions of </w:t>
      </w:r>
      <w:r w:rsidR="00EE5C5E">
        <w:rPr>
          <w:rFonts w:ascii="Times New Roman" w:hAnsi="Times New Roman"/>
          <w:color w:val="000000"/>
          <w:sz w:val="20"/>
          <w:szCs w:val="20"/>
        </w:rPr>
        <w:t xml:space="preserve">both </w:t>
      </w:r>
      <w:r w:rsidR="00C75849">
        <w:rPr>
          <w:rFonts w:ascii="Times New Roman" w:hAnsi="Times New Roman"/>
          <w:color w:val="000000"/>
          <w:sz w:val="20"/>
          <w:szCs w:val="20"/>
        </w:rPr>
        <w:t xml:space="preserve">model development and </w:t>
      </w:r>
      <w:r w:rsidR="00EE5C5E">
        <w:rPr>
          <w:rFonts w:ascii="Times New Roman" w:hAnsi="Times New Roman"/>
          <w:color w:val="000000"/>
          <w:sz w:val="20"/>
          <w:szCs w:val="20"/>
        </w:rPr>
        <w:t xml:space="preserve">model </w:t>
      </w:r>
      <w:r w:rsidR="00C75849">
        <w:rPr>
          <w:rFonts w:ascii="Times New Roman" w:hAnsi="Times New Roman"/>
          <w:color w:val="000000"/>
          <w:sz w:val="20"/>
          <w:szCs w:val="20"/>
        </w:rPr>
        <w:t xml:space="preserve">implementation.  On the development side, this entails the usual SR 11-7 aspects of model validation, but highlighted in the CECL context are the </w:t>
      </w:r>
      <w:r w:rsidR="007757D3" w:rsidRPr="005C0F61">
        <w:rPr>
          <w:rFonts w:ascii="Times New Roman" w:hAnsi="Times New Roman"/>
          <w:color w:val="000000"/>
          <w:sz w:val="20"/>
          <w:szCs w:val="20"/>
        </w:rPr>
        <w:t xml:space="preserve">impact of several </w:t>
      </w:r>
      <w:r w:rsidR="00AA74D5">
        <w:rPr>
          <w:rFonts w:ascii="Times New Roman" w:hAnsi="Times New Roman"/>
          <w:color w:val="000000"/>
          <w:sz w:val="20"/>
          <w:szCs w:val="20"/>
        </w:rPr>
        <w:t xml:space="preserve">key </w:t>
      </w:r>
      <w:r w:rsidR="007757D3" w:rsidRPr="005C0F61">
        <w:rPr>
          <w:rFonts w:ascii="Times New Roman" w:hAnsi="Times New Roman"/>
          <w:color w:val="000000"/>
          <w:sz w:val="20"/>
          <w:szCs w:val="20"/>
        </w:rPr>
        <w:t>mo</w:t>
      </w:r>
      <w:r w:rsidR="007757D3" w:rsidRPr="005C0F61">
        <w:rPr>
          <w:rFonts w:ascii="Times New Roman" w:hAnsi="Times New Roman"/>
          <w:color w:val="000000"/>
          <w:sz w:val="20"/>
          <w:szCs w:val="20"/>
        </w:rPr>
        <w:t>d</w:t>
      </w:r>
      <w:r w:rsidR="007757D3" w:rsidRPr="005C0F61">
        <w:rPr>
          <w:rFonts w:ascii="Times New Roman" w:hAnsi="Times New Roman"/>
          <w:color w:val="000000"/>
          <w:sz w:val="20"/>
          <w:szCs w:val="20"/>
        </w:rPr>
        <w:t xml:space="preserve">eling assumptions </w:t>
      </w:r>
      <w:r w:rsidR="004231CF" w:rsidRPr="005C0F61">
        <w:rPr>
          <w:rFonts w:ascii="Times New Roman" w:hAnsi="Times New Roman"/>
          <w:color w:val="000000"/>
          <w:sz w:val="20"/>
          <w:szCs w:val="20"/>
        </w:rPr>
        <w:t>upon</w:t>
      </w:r>
      <w:r w:rsidR="007757D3" w:rsidRPr="005C0F61">
        <w:rPr>
          <w:rFonts w:ascii="Times New Roman" w:hAnsi="Times New Roman"/>
          <w:color w:val="000000"/>
          <w:sz w:val="20"/>
          <w:szCs w:val="20"/>
        </w:rPr>
        <w:t xml:space="preserve"> loan loss </w:t>
      </w:r>
      <w:r w:rsidRPr="005C0F61">
        <w:rPr>
          <w:rFonts w:ascii="Times New Roman" w:hAnsi="Times New Roman"/>
          <w:color w:val="000000"/>
          <w:sz w:val="20"/>
          <w:szCs w:val="20"/>
        </w:rPr>
        <w:t>provisions.</w:t>
      </w:r>
      <w:r w:rsidR="00C75849">
        <w:rPr>
          <w:rFonts w:ascii="Times New Roman" w:hAnsi="Times New Roman"/>
          <w:color w:val="000000"/>
          <w:sz w:val="20"/>
          <w:szCs w:val="20"/>
        </w:rPr>
        <w:t xml:space="preserve">  We also consider the </w:t>
      </w:r>
      <w:r w:rsidR="00AA74D5">
        <w:rPr>
          <w:rFonts w:ascii="Times New Roman" w:hAnsi="Times New Roman"/>
          <w:color w:val="000000"/>
          <w:sz w:val="20"/>
          <w:szCs w:val="20"/>
        </w:rPr>
        <w:t xml:space="preserve">validation of CECL </w:t>
      </w:r>
      <w:r w:rsidR="00C75849">
        <w:rPr>
          <w:rFonts w:ascii="Times New Roman" w:hAnsi="Times New Roman"/>
          <w:color w:val="000000"/>
          <w:sz w:val="20"/>
          <w:szCs w:val="20"/>
        </w:rPr>
        <w:t xml:space="preserve">model implementation or execution elements, </w:t>
      </w:r>
      <w:r w:rsidR="00AA74D5">
        <w:rPr>
          <w:rFonts w:ascii="Times New Roman" w:hAnsi="Times New Roman"/>
          <w:color w:val="000000"/>
          <w:sz w:val="20"/>
          <w:szCs w:val="20"/>
        </w:rPr>
        <w:t xml:space="preserve">which </w:t>
      </w:r>
      <w:r w:rsidR="00C75849">
        <w:rPr>
          <w:rFonts w:ascii="Times New Roman" w:hAnsi="Times New Roman"/>
          <w:color w:val="000000"/>
          <w:sz w:val="20"/>
          <w:szCs w:val="20"/>
        </w:rPr>
        <w:t>assumes heightened fo</w:t>
      </w:r>
      <w:r w:rsidR="003F41B8">
        <w:rPr>
          <w:rFonts w:ascii="Times New Roman" w:hAnsi="Times New Roman"/>
          <w:color w:val="000000"/>
          <w:sz w:val="20"/>
          <w:szCs w:val="20"/>
        </w:rPr>
        <w:t>c</w:t>
      </w:r>
      <w:r w:rsidR="00C75849">
        <w:rPr>
          <w:rFonts w:ascii="Times New Roman" w:hAnsi="Times New Roman"/>
          <w:color w:val="000000"/>
          <w:sz w:val="20"/>
          <w:szCs w:val="20"/>
        </w:rPr>
        <w:t>u</w:t>
      </w:r>
      <w:r w:rsidR="003F41B8">
        <w:rPr>
          <w:rFonts w:ascii="Times New Roman" w:hAnsi="Times New Roman"/>
          <w:color w:val="000000"/>
          <w:sz w:val="20"/>
          <w:szCs w:val="20"/>
        </w:rPr>
        <w:t>s</w:t>
      </w:r>
      <w:r w:rsidR="00C75849">
        <w:rPr>
          <w:rFonts w:ascii="Times New Roman" w:hAnsi="Times New Roman"/>
          <w:color w:val="000000"/>
          <w:sz w:val="20"/>
          <w:szCs w:val="20"/>
        </w:rPr>
        <w:t xml:space="preserve"> in CECL given the financial reporting imp</w:t>
      </w:r>
      <w:r w:rsidR="003F41B8">
        <w:rPr>
          <w:rFonts w:ascii="Times New Roman" w:hAnsi="Times New Roman"/>
          <w:color w:val="000000"/>
          <w:sz w:val="20"/>
          <w:szCs w:val="20"/>
        </w:rPr>
        <w:t>l</w:t>
      </w:r>
      <w:r w:rsidR="00C75849">
        <w:rPr>
          <w:rFonts w:ascii="Times New Roman" w:hAnsi="Times New Roman"/>
          <w:color w:val="000000"/>
          <w:sz w:val="20"/>
          <w:szCs w:val="20"/>
        </w:rPr>
        <w:t>ications.</w:t>
      </w:r>
      <w:r w:rsidR="003F41B8">
        <w:rPr>
          <w:rFonts w:ascii="Times New Roman" w:hAnsi="Times New Roman"/>
          <w:color w:val="000000"/>
          <w:sz w:val="20"/>
          <w:szCs w:val="20"/>
        </w:rPr>
        <w:t xml:space="preserve">  As an example o</w:t>
      </w:r>
      <w:r w:rsidR="00EE5C5E">
        <w:rPr>
          <w:rFonts w:ascii="Times New Roman" w:hAnsi="Times New Roman"/>
          <w:color w:val="000000"/>
          <w:sz w:val="20"/>
          <w:szCs w:val="20"/>
        </w:rPr>
        <w:t>f</w:t>
      </w:r>
      <w:r w:rsidR="003F41B8">
        <w:rPr>
          <w:rFonts w:ascii="Times New Roman" w:hAnsi="Times New Roman"/>
          <w:color w:val="000000"/>
          <w:sz w:val="20"/>
          <w:szCs w:val="20"/>
        </w:rPr>
        <w:t xml:space="preserve"> </w:t>
      </w:r>
      <w:r w:rsidR="00EE5C5E">
        <w:rPr>
          <w:rFonts w:ascii="Times New Roman" w:hAnsi="Times New Roman"/>
          <w:color w:val="000000"/>
          <w:sz w:val="20"/>
          <w:szCs w:val="20"/>
        </w:rPr>
        <w:t>CECL</w:t>
      </w:r>
      <w:r w:rsidR="003F41B8">
        <w:rPr>
          <w:rFonts w:ascii="Times New Roman" w:hAnsi="Times New Roman"/>
          <w:color w:val="000000"/>
          <w:sz w:val="20"/>
          <w:szCs w:val="20"/>
        </w:rPr>
        <w:t xml:space="preserve"> model development </w:t>
      </w:r>
      <w:r w:rsidR="00EE5C5E">
        <w:rPr>
          <w:rFonts w:ascii="Times New Roman" w:hAnsi="Times New Roman"/>
          <w:color w:val="000000"/>
          <w:sz w:val="20"/>
          <w:szCs w:val="20"/>
        </w:rPr>
        <w:t>validation</w:t>
      </w:r>
      <w:r w:rsidR="003F41B8">
        <w:rPr>
          <w:rFonts w:ascii="Times New Roman" w:hAnsi="Times New Roman"/>
          <w:color w:val="000000"/>
          <w:sz w:val="20"/>
          <w:szCs w:val="20"/>
        </w:rPr>
        <w:t>, w</w:t>
      </w:r>
      <w:r w:rsidR="00D37A0A" w:rsidRPr="005C0F61">
        <w:rPr>
          <w:rFonts w:ascii="Times New Roman" w:hAnsi="Times New Roman"/>
          <w:color w:val="000000"/>
          <w:sz w:val="20"/>
          <w:szCs w:val="20"/>
        </w:rPr>
        <w:t xml:space="preserve">e investigate </w:t>
      </w:r>
      <w:r w:rsidR="00314B49" w:rsidRPr="005C0F61">
        <w:rPr>
          <w:rFonts w:ascii="Times New Roman" w:hAnsi="Times New Roman"/>
          <w:color w:val="000000"/>
          <w:sz w:val="20"/>
          <w:szCs w:val="20"/>
        </w:rPr>
        <w:t xml:space="preserve">a </w:t>
      </w:r>
      <w:r w:rsidR="00D37A0A" w:rsidRPr="005C0F61">
        <w:rPr>
          <w:rFonts w:ascii="Times New Roman" w:hAnsi="Times New Roman"/>
          <w:color w:val="000000"/>
          <w:sz w:val="20"/>
          <w:szCs w:val="20"/>
        </w:rPr>
        <w:t xml:space="preserve">modeling framework that we believe to be very close to those being contemplated by institutions, which projects </w:t>
      </w:r>
      <w:r w:rsidR="00367F5E">
        <w:rPr>
          <w:rFonts w:ascii="Times New Roman" w:hAnsi="Times New Roman"/>
          <w:color w:val="000000"/>
          <w:sz w:val="20"/>
          <w:szCs w:val="20"/>
        </w:rPr>
        <w:t>loan losses using time series econometric models</w:t>
      </w:r>
      <w:r w:rsidR="00D37A0A" w:rsidRPr="005C0F61">
        <w:rPr>
          <w:rFonts w:ascii="Times New Roman" w:hAnsi="Times New Roman"/>
          <w:color w:val="000000"/>
          <w:sz w:val="20"/>
          <w:szCs w:val="20"/>
        </w:rPr>
        <w:t xml:space="preserve">, for an aggregated “average” bank using FDIC Call Report data.  </w:t>
      </w:r>
      <w:r w:rsidR="003F41B8">
        <w:rPr>
          <w:rFonts w:ascii="Times New Roman" w:hAnsi="Times New Roman"/>
          <w:color w:val="000000"/>
          <w:sz w:val="20"/>
          <w:szCs w:val="20"/>
        </w:rPr>
        <w:t>In this example w</w:t>
      </w:r>
      <w:r w:rsidR="00D37A0A" w:rsidRPr="005C0F61">
        <w:rPr>
          <w:rFonts w:ascii="Times New Roman" w:hAnsi="Times New Roman"/>
          <w:color w:val="000000"/>
          <w:sz w:val="20"/>
          <w:szCs w:val="20"/>
        </w:rPr>
        <w:t xml:space="preserve">e assess the accuracy of </w:t>
      </w:r>
      <w:r w:rsidR="00FB6462" w:rsidRPr="005C0F61">
        <w:rPr>
          <w:rFonts w:ascii="Times New Roman" w:hAnsi="Times New Roman"/>
          <w:color w:val="000000"/>
          <w:sz w:val="20"/>
          <w:szCs w:val="20"/>
        </w:rPr>
        <w:t xml:space="preserve">14 </w:t>
      </w:r>
      <w:r w:rsidR="00D37A0A" w:rsidRPr="005C0F61">
        <w:rPr>
          <w:rFonts w:ascii="Times New Roman" w:hAnsi="Times New Roman"/>
          <w:color w:val="000000"/>
          <w:sz w:val="20"/>
          <w:szCs w:val="20"/>
        </w:rPr>
        <w:t>alternative CECL modeling approache</w:t>
      </w:r>
      <w:r w:rsidR="003F41B8">
        <w:rPr>
          <w:rFonts w:ascii="Times New Roman" w:hAnsi="Times New Roman"/>
          <w:color w:val="000000"/>
          <w:sz w:val="20"/>
          <w:szCs w:val="20"/>
        </w:rPr>
        <w:t xml:space="preserve">s, and further </w:t>
      </w:r>
      <w:r w:rsidR="008C70EC" w:rsidRPr="005C0F61">
        <w:rPr>
          <w:rFonts w:ascii="Times New Roman" w:hAnsi="Times New Roman"/>
          <w:color w:val="000000"/>
          <w:sz w:val="20"/>
          <w:szCs w:val="20"/>
        </w:rPr>
        <w:t xml:space="preserve">quantify the level of model risk using </w:t>
      </w:r>
      <w:r w:rsidR="009D6781" w:rsidRPr="005C0F61">
        <w:rPr>
          <w:rFonts w:ascii="Times New Roman" w:hAnsi="Times New Roman"/>
          <w:color w:val="000000"/>
          <w:sz w:val="20"/>
          <w:szCs w:val="20"/>
        </w:rPr>
        <w:t xml:space="preserve">the principle of </w:t>
      </w:r>
      <w:r w:rsidR="009D6781" w:rsidRPr="005C0F61">
        <w:rPr>
          <w:rFonts w:ascii="Times New Roman" w:hAnsi="Times New Roman"/>
          <w:i/>
          <w:color w:val="000000"/>
          <w:sz w:val="20"/>
          <w:szCs w:val="20"/>
        </w:rPr>
        <w:t>relative entropy</w:t>
      </w:r>
      <w:r w:rsidR="003F41B8">
        <w:rPr>
          <w:rFonts w:ascii="Times New Roman" w:hAnsi="Times New Roman"/>
          <w:color w:val="000000"/>
          <w:sz w:val="20"/>
          <w:szCs w:val="20"/>
        </w:rPr>
        <w:t>.</w:t>
      </w:r>
      <w:r w:rsidR="00EE5C5E">
        <w:rPr>
          <w:rFonts w:ascii="Times New Roman" w:hAnsi="Times New Roman"/>
          <w:color w:val="000000"/>
          <w:sz w:val="20"/>
          <w:szCs w:val="20"/>
        </w:rPr>
        <w:t xml:space="preserve">  Apart from the illustration of several model validation issues and practices that are of particular relevance to CECL, the empirical analysis has some potentially profound </w:t>
      </w:r>
      <w:r w:rsidR="00367F5E">
        <w:rPr>
          <w:rFonts w:ascii="Times New Roman" w:hAnsi="Times New Roman"/>
          <w:color w:val="000000"/>
          <w:sz w:val="20"/>
          <w:szCs w:val="20"/>
        </w:rPr>
        <w:t xml:space="preserve">policy and model risk management </w:t>
      </w:r>
      <w:r w:rsidR="00EE5C5E">
        <w:rPr>
          <w:rFonts w:ascii="Times New Roman" w:hAnsi="Times New Roman"/>
          <w:color w:val="000000"/>
          <w:sz w:val="20"/>
          <w:szCs w:val="20"/>
        </w:rPr>
        <w:t>implications.  Namely, implementation of the CECL standard may lead to under-prediction of credit losses and that the goal of mitigating the pro-cyclicality in the provisioning process that motivated CECL may fail to materialize.</w:t>
      </w:r>
      <w:r w:rsidR="003F41B8">
        <w:rPr>
          <w:rFonts w:ascii="Times New Roman" w:hAnsi="Times New Roman"/>
          <w:color w:val="000000"/>
          <w:sz w:val="20"/>
          <w:szCs w:val="20"/>
        </w:rPr>
        <w:t xml:space="preserve">   </w:t>
      </w:r>
      <w:r w:rsidR="007B64B7">
        <w:rPr>
          <w:rFonts w:ascii="Times New Roman" w:hAnsi="Times New Roman"/>
          <w:sz w:val="24"/>
          <w:szCs w:val="24"/>
        </w:rPr>
        <w:t xml:space="preserve"> </w:t>
      </w:r>
    </w:p>
    <w:p w:rsidR="0061511B" w:rsidRDefault="0061511B" w:rsidP="006828E6">
      <w:pPr>
        <w:spacing w:line="240" w:lineRule="auto"/>
        <w:jc w:val="both"/>
        <w:rPr>
          <w:rFonts w:ascii="Times New Roman" w:hAnsi="Times New Roman"/>
          <w:bCs/>
          <w:sz w:val="24"/>
          <w:szCs w:val="24"/>
        </w:rPr>
      </w:pPr>
    </w:p>
    <w:p w:rsidR="007D2D16" w:rsidRDefault="007D2D16" w:rsidP="006828E6">
      <w:pPr>
        <w:spacing w:line="240" w:lineRule="auto"/>
        <w:jc w:val="both"/>
        <w:rPr>
          <w:rFonts w:ascii="Times New Roman" w:hAnsi="Times New Roman"/>
          <w:bCs/>
          <w:sz w:val="24"/>
          <w:szCs w:val="24"/>
        </w:rPr>
      </w:pPr>
    </w:p>
    <w:p w:rsidR="00AA74D5" w:rsidRDefault="00AA74D5" w:rsidP="006828E6">
      <w:pPr>
        <w:spacing w:line="240" w:lineRule="auto"/>
        <w:jc w:val="both"/>
        <w:rPr>
          <w:rFonts w:ascii="Times New Roman" w:hAnsi="Times New Roman"/>
          <w:bCs/>
          <w:sz w:val="24"/>
          <w:szCs w:val="24"/>
        </w:rPr>
      </w:pPr>
    </w:p>
    <w:p w:rsidR="00AA74D5" w:rsidRDefault="00AA74D5" w:rsidP="006828E6">
      <w:pPr>
        <w:spacing w:line="240" w:lineRule="auto"/>
        <w:jc w:val="both"/>
        <w:rPr>
          <w:rFonts w:ascii="Times New Roman" w:hAnsi="Times New Roman"/>
          <w:bCs/>
          <w:sz w:val="24"/>
          <w:szCs w:val="24"/>
        </w:rPr>
      </w:pPr>
    </w:p>
    <w:p w:rsidR="00FC74FE" w:rsidRPr="006828E6" w:rsidRDefault="009244B5" w:rsidP="006828E6">
      <w:pPr>
        <w:spacing w:line="240" w:lineRule="auto"/>
        <w:jc w:val="both"/>
        <w:rPr>
          <w:rFonts w:ascii="Times New Roman" w:hAnsi="Times New Roman"/>
          <w:color w:val="000000"/>
          <w:sz w:val="20"/>
          <w:szCs w:val="20"/>
        </w:rPr>
      </w:pPr>
      <w:r w:rsidRPr="009244B5">
        <w:rPr>
          <w:rFonts w:ascii="Times New Roman" w:hAnsi="Times New Roman"/>
          <w:bCs/>
          <w:sz w:val="24"/>
          <w:szCs w:val="24"/>
        </w:rPr>
        <w:t xml:space="preserve">Keywords: </w:t>
      </w:r>
      <w:r w:rsidR="00952FD2">
        <w:rPr>
          <w:rFonts w:ascii="Times New Roman" w:hAnsi="Times New Roman"/>
          <w:bCs/>
          <w:sz w:val="24"/>
          <w:szCs w:val="24"/>
        </w:rPr>
        <w:t xml:space="preserve">Accounting Rule Change, </w:t>
      </w:r>
      <w:r w:rsidR="0086456E">
        <w:rPr>
          <w:rFonts w:ascii="Times New Roman" w:hAnsi="Times New Roman"/>
          <w:bCs/>
          <w:sz w:val="24"/>
          <w:szCs w:val="24"/>
        </w:rPr>
        <w:t xml:space="preserve">Current Expected Credit Loss, Allowance for Loan and </w:t>
      </w:r>
      <w:r w:rsidR="0086456E" w:rsidRPr="006828E6">
        <w:rPr>
          <w:rFonts w:ascii="Times New Roman" w:hAnsi="Times New Roman"/>
          <w:color w:val="000000"/>
          <w:sz w:val="24"/>
          <w:szCs w:val="24"/>
        </w:rPr>
        <w:t xml:space="preserve">Lease Losses, Credit Provisions, </w:t>
      </w:r>
      <w:r w:rsidRPr="006828E6">
        <w:rPr>
          <w:rFonts w:ascii="Times New Roman" w:hAnsi="Times New Roman"/>
          <w:color w:val="000000"/>
          <w:sz w:val="24"/>
          <w:szCs w:val="24"/>
        </w:rPr>
        <w:t xml:space="preserve">Credit Risk, Financial Crisis, </w:t>
      </w:r>
      <w:r w:rsidR="00A50F17" w:rsidRPr="006828E6">
        <w:rPr>
          <w:rFonts w:ascii="Times New Roman" w:hAnsi="Times New Roman"/>
          <w:color w:val="000000"/>
          <w:sz w:val="24"/>
          <w:szCs w:val="24"/>
        </w:rPr>
        <w:t>Model Risk</w:t>
      </w:r>
      <w:r w:rsidR="0086456E" w:rsidRPr="006828E6">
        <w:rPr>
          <w:rFonts w:ascii="Times New Roman" w:hAnsi="Times New Roman"/>
          <w:color w:val="000000"/>
          <w:sz w:val="24"/>
          <w:szCs w:val="24"/>
        </w:rPr>
        <w:t>.</w:t>
      </w:r>
      <w:r w:rsidR="00A50F17" w:rsidRPr="006828E6">
        <w:rPr>
          <w:rFonts w:ascii="Times New Roman" w:hAnsi="Times New Roman"/>
          <w:color w:val="000000"/>
          <w:sz w:val="24"/>
          <w:szCs w:val="24"/>
        </w:rPr>
        <w:t xml:space="preserve"> </w:t>
      </w:r>
    </w:p>
    <w:p w:rsidR="007D4031" w:rsidRDefault="006828E6" w:rsidP="00815489">
      <w:pPr>
        <w:spacing w:line="240" w:lineRule="auto"/>
        <w:jc w:val="both"/>
        <w:rPr>
          <w:rFonts w:ascii="Times New Roman" w:hAnsi="Times New Roman" w:cs="Calibri"/>
          <w:color w:val="000000"/>
          <w:sz w:val="24"/>
          <w:szCs w:val="24"/>
        </w:rPr>
      </w:pPr>
      <w:r w:rsidRPr="006828E6">
        <w:rPr>
          <w:rFonts w:ascii="Times New Roman" w:hAnsi="Times New Roman"/>
          <w:color w:val="000000"/>
          <w:sz w:val="24"/>
          <w:szCs w:val="24"/>
        </w:rPr>
        <w:t>J</w:t>
      </w:r>
      <w:r w:rsidR="009244B5" w:rsidRPr="006828E6">
        <w:rPr>
          <w:rFonts w:ascii="Times New Roman" w:hAnsi="Times New Roman"/>
          <w:color w:val="000000"/>
          <w:sz w:val="24"/>
          <w:szCs w:val="24"/>
        </w:rPr>
        <w:t xml:space="preserve">EL Classification: </w:t>
      </w:r>
      <w:r w:rsidR="00952FD2" w:rsidRPr="006828E6">
        <w:rPr>
          <w:rFonts w:ascii="Times New Roman" w:hAnsi="Times New Roman"/>
          <w:color w:val="000000"/>
          <w:sz w:val="24"/>
          <w:szCs w:val="24"/>
        </w:rPr>
        <w:t>G21, G28, M40, M48</w:t>
      </w:r>
      <w:r w:rsidR="009244B5" w:rsidRPr="006828E6">
        <w:rPr>
          <w:rFonts w:ascii="Times New Roman" w:hAnsi="Times New Roman"/>
          <w:color w:val="000000"/>
          <w:sz w:val="24"/>
          <w:szCs w:val="24"/>
        </w:rPr>
        <w:t>.</w:t>
      </w:r>
      <w:r w:rsidR="005C0F61">
        <w:rPr>
          <w:rFonts w:ascii="Times New Roman" w:hAnsi="Times New Roman"/>
          <w:bCs/>
          <w:sz w:val="24"/>
          <w:szCs w:val="24"/>
        </w:rPr>
        <w:br w:type="page"/>
      </w:r>
      <w:r w:rsidR="00067EE0" w:rsidRPr="00014971">
        <w:rPr>
          <w:rFonts w:ascii="Times New Roman" w:hAnsi="Times New Roman"/>
          <w:b/>
          <w:sz w:val="28"/>
          <w:szCs w:val="28"/>
        </w:rPr>
        <w:lastRenderedPageBreak/>
        <w:t>1</w:t>
      </w:r>
      <w:r w:rsidR="00014971" w:rsidRPr="00014971">
        <w:rPr>
          <w:rFonts w:ascii="Times New Roman" w:hAnsi="Times New Roman"/>
          <w:b/>
          <w:sz w:val="28"/>
          <w:szCs w:val="28"/>
        </w:rPr>
        <w:tab/>
      </w:r>
      <w:r w:rsidR="002E39E9" w:rsidRPr="00014971">
        <w:rPr>
          <w:rFonts w:ascii="Times New Roman" w:hAnsi="Times New Roman"/>
          <w:b/>
          <w:sz w:val="28"/>
          <w:szCs w:val="28"/>
        </w:rPr>
        <w:t>I</w:t>
      </w:r>
      <w:r w:rsidR="00E62565">
        <w:rPr>
          <w:rFonts w:ascii="Times New Roman" w:hAnsi="Times New Roman"/>
          <w:b/>
          <w:sz w:val="28"/>
          <w:szCs w:val="28"/>
        </w:rPr>
        <w:t>ntroduction</w:t>
      </w:r>
      <w:r w:rsidR="00095175">
        <w:rPr>
          <w:rFonts w:ascii="Times New Roman" w:hAnsi="Times New Roman"/>
          <w:b/>
          <w:sz w:val="28"/>
          <w:szCs w:val="28"/>
        </w:rPr>
        <w:t xml:space="preserve"> and Discussion</w:t>
      </w:r>
    </w:p>
    <w:p w:rsidR="00983020" w:rsidRDefault="00072827" w:rsidP="00983020">
      <w:pPr>
        <w:jc w:val="both"/>
        <w:rPr>
          <w:rFonts w:ascii="Times New Roman" w:hAnsi="Times New Roman"/>
          <w:sz w:val="24"/>
          <w:szCs w:val="24"/>
        </w:rPr>
      </w:pPr>
      <w:r>
        <w:rPr>
          <w:rFonts w:ascii="Times New Roman" w:hAnsi="Times New Roman" w:cs="Calibri"/>
          <w:color w:val="000000"/>
          <w:sz w:val="24"/>
          <w:szCs w:val="24"/>
        </w:rPr>
        <w:t>In the U.S. t</w:t>
      </w:r>
      <w:r w:rsidR="005A5492" w:rsidRPr="00530876">
        <w:rPr>
          <w:rFonts w:ascii="Times New Roman" w:hAnsi="Times New Roman" w:cs="Calibri"/>
          <w:color w:val="000000"/>
          <w:sz w:val="24"/>
          <w:szCs w:val="24"/>
        </w:rPr>
        <w:t xml:space="preserve">he </w:t>
      </w:r>
      <w:r w:rsidR="005A5492" w:rsidRPr="005A5492">
        <w:rPr>
          <w:rFonts w:ascii="Times New Roman" w:hAnsi="Times New Roman" w:cs="Calibri"/>
          <w:i/>
          <w:color w:val="000000"/>
          <w:sz w:val="24"/>
          <w:szCs w:val="24"/>
        </w:rPr>
        <w:t>Financial Accounting Standards Board</w:t>
      </w:r>
      <w:r w:rsidR="005A5492" w:rsidRPr="00530876">
        <w:rPr>
          <w:rFonts w:ascii="Times New Roman" w:hAnsi="Times New Roman" w:cs="Calibri"/>
          <w:color w:val="000000"/>
          <w:sz w:val="24"/>
          <w:szCs w:val="24"/>
        </w:rPr>
        <w:t xml:space="preserve"> (</w:t>
      </w:r>
      <w:r w:rsidR="005A5492">
        <w:rPr>
          <w:rFonts w:ascii="Times New Roman" w:hAnsi="Times New Roman" w:cs="Calibri"/>
          <w:color w:val="000000"/>
          <w:sz w:val="24"/>
          <w:szCs w:val="24"/>
        </w:rPr>
        <w:t>“</w:t>
      </w:r>
      <w:r w:rsidR="005A5492" w:rsidRPr="00530876">
        <w:rPr>
          <w:rFonts w:ascii="Times New Roman" w:hAnsi="Times New Roman" w:cs="Calibri"/>
          <w:color w:val="000000"/>
          <w:sz w:val="24"/>
          <w:szCs w:val="24"/>
        </w:rPr>
        <w:t>FASB</w:t>
      </w:r>
      <w:r w:rsidR="005A5492">
        <w:rPr>
          <w:rFonts w:ascii="Times New Roman" w:hAnsi="Times New Roman" w:cs="Calibri"/>
          <w:color w:val="000000"/>
          <w:sz w:val="24"/>
          <w:szCs w:val="24"/>
        </w:rPr>
        <w:t>”</w:t>
      </w:r>
      <w:r w:rsidR="005A5492" w:rsidRPr="00530876">
        <w:rPr>
          <w:rFonts w:ascii="Times New Roman" w:hAnsi="Times New Roman" w:cs="Calibri"/>
          <w:color w:val="000000"/>
          <w:sz w:val="24"/>
          <w:szCs w:val="24"/>
        </w:rPr>
        <w:t xml:space="preserve">) </w:t>
      </w:r>
      <w:r w:rsidR="005A5492">
        <w:rPr>
          <w:rFonts w:ascii="Times New Roman" w:hAnsi="Times New Roman" w:cs="Calibri"/>
          <w:color w:val="000000"/>
          <w:sz w:val="24"/>
          <w:szCs w:val="24"/>
        </w:rPr>
        <w:t>iss</w:t>
      </w:r>
      <w:r w:rsidR="00413528">
        <w:rPr>
          <w:rFonts w:ascii="Times New Roman" w:hAnsi="Times New Roman" w:cs="Calibri"/>
          <w:color w:val="000000"/>
          <w:sz w:val="24"/>
          <w:szCs w:val="24"/>
        </w:rPr>
        <w:t>ues</w:t>
      </w:r>
      <w:r w:rsidR="005A5492" w:rsidRPr="00530876">
        <w:rPr>
          <w:rFonts w:ascii="Times New Roman" w:hAnsi="Times New Roman" w:cs="Calibri"/>
          <w:color w:val="000000"/>
          <w:sz w:val="24"/>
          <w:szCs w:val="24"/>
        </w:rPr>
        <w:t xml:space="preserve"> </w:t>
      </w:r>
      <w:r w:rsidR="005A5492">
        <w:rPr>
          <w:rFonts w:ascii="Times New Roman" w:hAnsi="Times New Roman" w:cs="Calibri"/>
          <w:color w:val="000000"/>
          <w:sz w:val="24"/>
          <w:szCs w:val="24"/>
        </w:rPr>
        <w:t xml:space="preserve">of the </w:t>
      </w:r>
      <w:r w:rsidR="00530876" w:rsidRPr="005A5492">
        <w:rPr>
          <w:rFonts w:ascii="Times New Roman" w:hAnsi="Times New Roman" w:cs="Calibri"/>
          <w:i/>
          <w:color w:val="000000"/>
          <w:sz w:val="24"/>
          <w:szCs w:val="24"/>
        </w:rPr>
        <w:t>Generally Accepted Accounting Principles</w:t>
      </w:r>
      <w:r w:rsidR="00530876" w:rsidRPr="00530876">
        <w:rPr>
          <w:rFonts w:ascii="Times New Roman" w:hAnsi="Times New Roman" w:cs="Calibri"/>
          <w:color w:val="000000"/>
          <w:sz w:val="24"/>
          <w:szCs w:val="24"/>
        </w:rPr>
        <w:t xml:space="preserve"> (</w:t>
      </w:r>
      <w:r w:rsidR="005A5492">
        <w:rPr>
          <w:rFonts w:ascii="Times New Roman" w:hAnsi="Times New Roman" w:cs="Calibri"/>
          <w:color w:val="000000"/>
          <w:sz w:val="24"/>
          <w:szCs w:val="24"/>
        </w:rPr>
        <w:t>“</w:t>
      </w:r>
      <w:r w:rsidR="00530876" w:rsidRPr="00530876">
        <w:rPr>
          <w:rFonts w:ascii="Times New Roman" w:hAnsi="Times New Roman" w:cs="Calibri"/>
          <w:color w:val="000000"/>
          <w:sz w:val="24"/>
          <w:szCs w:val="24"/>
        </w:rPr>
        <w:t>U.S. GAAP</w:t>
      </w:r>
      <w:r w:rsidR="005A5492">
        <w:rPr>
          <w:rFonts w:ascii="Times New Roman" w:hAnsi="Times New Roman" w:cs="Calibri"/>
          <w:color w:val="000000"/>
          <w:sz w:val="24"/>
          <w:szCs w:val="24"/>
        </w:rPr>
        <w:t>”</w:t>
      </w:r>
      <w:r w:rsidR="00530876" w:rsidRPr="00530876">
        <w:rPr>
          <w:rFonts w:ascii="Times New Roman" w:hAnsi="Times New Roman" w:cs="Calibri"/>
          <w:color w:val="000000"/>
          <w:sz w:val="24"/>
          <w:szCs w:val="24"/>
        </w:rPr>
        <w:t>)</w:t>
      </w:r>
      <w:r w:rsidR="00413528">
        <w:rPr>
          <w:rFonts w:ascii="Times New Roman" w:hAnsi="Times New Roman" w:cs="Calibri"/>
          <w:color w:val="000000"/>
          <w:sz w:val="24"/>
          <w:szCs w:val="24"/>
        </w:rPr>
        <w:t>,</w:t>
      </w:r>
      <w:r w:rsidR="005A5492">
        <w:rPr>
          <w:rFonts w:ascii="Times New Roman" w:hAnsi="Times New Roman" w:cs="Calibri"/>
          <w:color w:val="000000"/>
          <w:sz w:val="24"/>
          <w:szCs w:val="24"/>
        </w:rPr>
        <w:t xml:space="preserve"> </w:t>
      </w:r>
      <w:r>
        <w:rPr>
          <w:rFonts w:ascii="Times New Roman" w:hAnsi="Times New Roman" w:cs="Calibri"/>
          <w:color w:val="000000"/>
          <w:sz w:val="24"/>
          <w:szCs w:val="24"/>
        </w:rPr>
        <w:t xml:space="preserve">financial accounting </w:t>
      </w:r>
      <w:r w:rsidR="00413528">
        <w:rPr>
          <w:rFonts w:ascii="Times New Roman" w:hAnsi="Times New Roman" w:cs="Calibri"/>
          <w:color w:val="000000"/>
          <w:sz w:val="24"/>
          <w:szCs w:val="24"/>
        </w:rPr>
        <w:t>standards</w:t>
      </w:r>
      <w:r w:rsidR="005A5492">
        <w:rPr>
          <w:rFonts w:ascii="Times New Roman" w:hAnsi="Times New Roman" w:cs="Calibri"/>
          <w:color w:val="000000"/>
          <w:sz w:val="24"/>
          <w:szCs w:val="24"/>
        </w:rPr>
        <w:t xml:space="preserve"> inten</w:t>
      </w:r>
      <w:r w:rsidR="00413528">
        <w:rPr>
          <w:rFonts w:ascii="Times New Roman" w:hAnsi="Times New Roman" w:cs="Calibri"/>
          <w:color w:val="000000"/>
          <w:sz w:val="24"/>
          <w:szCs w:val="24"/>
        </w:rPr>
        <w:t>ded</w:t>
      </w:r>
      <w:r w:rsidR="005A5492">
        <w:rPr>
          <w:rFonts w:ascii="Times New Roman" w:hAnsi="Times New Roman" w:cs="Calibri"/>
          <w:color w:val="000000"/>
          <w:sz w:val="24"/>
          <w:szCs w:val="24"/>
        </w:rPr>
        <w:t xml:space="preserve"> </w:t>
      </w:r>
      <w:r w:rsidR="00530876" w:rsidRPr="00530876">
        <w:rPr>
          <w:rFonts w:ascii="Times New Roman" w:hAnsi="Times New Roman" w:cs="Calibri"/>
          <w:color w:val="000000"/>
          <w:sz w:val="24"/>
          <w:szCs w:val="24"/>
        </w:rPr>
        <w:t xml:space="preserve">to </w:t>
      </w:r>
      <w:r w:rsidR="00413528">
        <w:rPr>
          <w:rFonts w:ascii="Times New Roman" w:hAnsi="Times New Roman" w:cs="Calibri"/>
          <w:color w:val="000000"/>
          <w:sz w:val="24"/>
          <w:szCs w:val="24"/>
        </w:rPr>
        <w:t>e</w:t>
      </w:r>
      <w:r w:rsidR="005944CF">
        <w:rPr>
          <w:rFonts w:ascii="Times New Roman" w:hAnsi="Times New Roman" w:cs="Calibri"/>
          <w:color w:val="000000"/>
          <w:sz w:val="24"/>
          <w:szCs w:val="24"/>
        </w:rPr>
        <w:t>nsure</w:t>
      </w:r>
      <w:r w:rsidR="00530876" w:rsidRPr="00530876">
        <w:rPr>
          <w:rFonts w:ascii="Times New Roman" w:hAnsi="Times New Roman" w:cs="Calibri"/>
          <w:color w:val="000000"/>
          <w:sz w:val="24"/>
          <w:szCs w:val="24"/>
        </w:rPr>
        <w:t xml:space="preserve"> </w:t>
      </w:r>
      <w:r w:rsidR="00413528">
        <w:rPr>
          <w:rFonts w:ascii="Times New Roman" w:hAnsi="Times New Roman" w:cs="Calibri"/>
          <w:color w:val="000000"/>
          <w:sz w:val="24"/>
          <w:szCs w:val="24"/>
        </w:rPr>
        <w:t xml:space="preserve">the </w:t>
      </w:r>
      <w:r w:rsidR="00530876" w:rsidRPr="00530876">
        <w:rPr>
          <w:rFonts w:ascii="Times New Roman" w:hAnsi="Times New Roman" w:cs="Calibri"/>
          <w:color w:val="000000"/>
          <w:sz w:val="24"/>
          <w:szCs w:val="24"/>
        </w:rPr>
        <w:t>provi</w:t>
      </w:r>
      <w:r w:rsidR="005A5492">
        <w:rPr>
          <w:rFonts w:ascii="Times New Roman" w:hAnsi="Times New Roman" w:cs="Calibri"/>
          <w:color w:val="000000"/>
          <w:sz w:val="24"/>
          <w:szCs w:val="24"/>
        </w:rPr>
        <w:t>sion</w:t>
      </w:r>
      <w:r w:rsidR="00530876" w:rsidRPr="00530876">
        <w:rPr>
          <w:rFonts w:ascii="Times New Roman" w:hAnsi="Times New Roman" w:cs="Calibri"/>
          <w:color w:val="000000"/>
          <w:sz w:val="24"/>
          <w:szCs w:val="24"/>
        </w:rPr>
        <w:t xml:space="preserve"> </w:t>
      </w:r>
      <w:r>
        <w:rPr>
          <w:rFonts w:ascii="Times New Roman" w:hAnsi="Times New Roman" w:cs="Calibri"/>
          <w:color w:val="000000"/>
          <w:sz w:val="24"/>
          <w:szCs w:val="24"/>
        </w:rPr>
        <w:t xml:space="preserve">of useful </w:t>
      </w:r>
      <w:r w:rsidR="00530876" w:rsidRPr="00530876">
        <w:rPr>
          <w:rFonts w:ascii="Times New Roman" w:hAnsi="Times New Roman" w:cs="Calibri"/>
          <w:color w:val="000000"/>
          <w:sz w:val="24"/>
          <w:szCs w:val="24"/>
        </w:rPr>
        <w:t xml:space="preserve">information </w:t>
      </w:r>
      <w:r>
        <w:rPr>
          <w:rFonts w:ascii="Times New Roman" w:hAnsi="Times New Roman" w:cs="Calibri"/>
          <w:color w:val="000000"/>
          <w:sz w:val="24"/>
          <w:szCs w:val="24"/>
        </w:rPr>
        <w:t>for</w:t>
      </w:r>
      <w:r w:rsidR="00530876" w:rsidRPr="00530876">
        <w:rPr>
          <w:rFonts w:ascii="Times New Roman" w:hAnsi="Times New Roman" w:cs="Calibri"/>
          <w:color w:val="000000"/>
          <w:sz w:val="24"/>
          <w:szCs w:val="24"/>
        </w:rPr>
        <w:t xml:space="preserve"> </w:t>
      </w:r>
      <w:r>
        <w:rPr>
          <w:rFonts w:ascii="Times New Roman" w:hAnsi="Times New Roman" w:cs="Calibri"/>
          <w:color w:val="000000"/>
          <w:sz w:val="24"/>
          <w:szCs w:val="24"/>
        </w:rPr>
        <w:t xml:space="preserve">corporate </w:t>
      </w:r>
      <w:r w:rsidR="005A5492">
        <w:rPr>
          <w:rFonts w:ascii="Times New Roman" w:hAnsi="Times New Roman" w:cs="Calibri"/>
          <w:color w:val="000000"/>
          <w:sz w:val="24"/>
          <w:szCs w:val="24"/>
        </w:rPr>
        <w:t xml:space="preserve">stakeholders.  In this study we focus on the </w:t>
      </w:r>
      <w:r w:rsidR="005A5492" w:rsidRPr="005A5492">
        <w:rPr>
          <w:rFonts w:ascii="Times New Roman" w:hAnsi="Times New Roman" w:cs="Calibri"/>
          <w:i/>
          <w:color w:val="000000"/>
          <w:sz w:val="24"/>
          <w:szCs w:val="24"/>
        </w:rPr>
        <w:t>A</w:t>
      </w:r>
      <w:r w:rsidR="00530876" w:rsidRPr="005A5492">
        <w:rPr>
          <w:rFonts w:ascii="Times New Roman" w:hAnsi="Times New Roman" w:cs="Calibri"/>
          <w:i/>
          <w:color w:val="000000"/>
          <w:sz w:val="24"/>
          <w:szCs w:val="24"/>
        </w:rPr>
        <w:t>l</w:t>
      </w:r>
      <w:r w:rsidR="00530876" w:rsidRPr="005A5492">
        <w:rPr>
          <w:rFonts w:ascii="Times New Roman" w:hAnsi="Times New Roman" w:cs="Calibri"/>
          <w:i/>
          <w:color w:val="000000"/>
          <w:sz w:val="24"/>
          <w:szCs w:val="24"/>
        </w:rPr>
        <w:t xml:space="preserve">lowance for </w:t>
      </w:r>
      <w:r w:rsidR="005A5492" w:rsidRPr="005A5492">
        <w:rPr>
          <w:rFonts w:ascii="Times New Roman" w:hAnsi="Times New Roman" w:cs="Calibri"/>
          <w:i/>
          <w:color w:val="000000"/>
          <w:sz w:val="24"/>
          <w:szCs w:val="24"/>
        </w:rPr>
        <w:t>L</w:t>
      </w:r>
      <w:r w:rsidR="00530876" w:rsidRPr="005A5492">
        <w:rPr>
          <w:rFonts w:ascii="Times New Roman" w:hAnsi="Times New Roman" w:cs="Calibri"/>
          <w:i/>
          <w:color w:val="000000"/>
          <w:sz w:val="24"/>
          <w:szCs w:val="24"/>
        </w:rPr>
        <w:t xml:space="preserve">oan and </w:t>
      </w:r>
      <w:r w:rsidR="005A5492" w:rsidRPr="005A5492">
        <w:rPr>
          <w:rFonts w:ascii="Times New Roman" w:hAnsi="Times New Roman" w:cs="Calibri"/>
          <w:i/>
          <w:color w:val="000000"/>
          <w:sz w:val="24"/>
          <w:szCs w:val="24"/>
        </w:rPr>
        <w:t>L</w:t>
      </w:r>
      <w:r w:rsidR="00530876" w:rsidRPr="005A5492">
        <w:rPr>
          <w:rFonts w:ascii="Times New Roman" w:hAnsi="Times New Roman" w:cs="Calibri"/>
          <w:i/>
          <w:color w:val="000000"/>
          <w:sz w:val="24"/>
          <w:szCs w:val="24"/>
        </w:rPr>
        <w:t xml:space="preserve">ease </w:t>
      </w:r>
      <w:r w:rsidR="005A5492" w:rsidRPr="005A5492">
        <w:rPr>
          <w:rFonts w:ascii="Times New Roman" w:hAnsi="Times New Roman" w:cs="Calibri"/>
          <w:i/>
          <w:color w:val="000000"/>
          <w:sz w:val="24"/>
          <w:szCs w:val="24"/>
        </w:rPr>
        <w:t>L</w:t>
      </w:r>
      <w:r w:rsidR="00530876" w:rsidRPr="005A5492">
        <w:rPr>
          <w:rFonts w:ascii="Times New Roman" w:hAnsi="Times New Roman" w:cs="Calibri"/>
          <w:i/>
          <w:color w:val="000000"/>
          <w:sz w:val="24"/>
          <w:szCs w:val="24"/>
        </w:rPr>
        <w:t>osses</w:t>
      </w:r>
      <w:r w:rsidR="00530876" w:rsidRPr="00530876">
        <w:rPr>
          <w:rFonts w:ascii="Times New Roman" w:hAnsi="Times New Roman" w:cs="Calibri"/>
          <w:color w:val="000000"/>
          <w:sz w:val="24"/>
          <w:szCs w:val="24"/>
        </w:rPr>
        <w:t xml:space="preserve"> (</w:t>
      </w:r>
      <w:r w:rsidR="005A5492">
        <w:rPr>
          <w:rFonts w:ascii="Times New Roman" w:hAnsi="Times New Roman" w:cs="Calibri"/>
          <w:color w:val="000000"/>
          <w:sz w:val="24"/>
          <w:szCs w:val="24"/>
        </w:rPr>
        <w:t>“</w:t>
      </w:r>
      <w:r w:rsidR="00530876" w:rsidRPr="00530876">
        <w:rPr>
          <w:rFonts w:ascii="Times New Roman" w:hAnsi="Times New Roman" w:cs="Calibri"/>
          <w:color w:val="000000"/>
          <w:sz w:val="24"/>
          <w:szCs w:val="24"/>
        </w:rPr>
        <w:t>ALLL</w:t>
      </w:r>
      <w:r w:rsidR="005A5492">
        <w:rPr>
          <w:rFonts w:ascii="Times New Roman" w:hAnsi="Times New Roman" w:cs="Calibri"/>
          <w:color w:val="000000"/>
          <w:sz w:val="24"/>
          <w:szCs w:val="24"/>
        </w:rPr>
        <w:t>”</w:t>
      </w:r>
      <w:r w:rsidR="00530876" w:rsidRPr="00530876">
        <w:rPr>
          <w:rFonts w:ascii="Times New Roman" w:hAnsi="Times New Roman" w:cs="Calibri"/>
          <w:color w:val="000000"/>
          <w:sz w:val="24"/>
          <w:szCs w:val="24"/>
        </w:rPr>
        <w:t>)</w:t>
      </w:r>
      <w:r w:rsidR="005A5492">
        <w:rPr>
          <w:rFonts w:ascii="Times New Roman" w:hAnsi="Times New Roman" w:cs="Calibri"/>
          <w:color w:val="000000"/>
          <w:sz w:val="24"/>
          <w:szCs w:val="24"/>
        </w:rPr>
        <w:t>, the financial reserves that firms expose</w:t>
      </w:r>
      <w:r w:rsidR="00C967CD">
        <w:rPr>
          <w:rFonts w:ascii="Times New Roman" w:hAnsi="Times New Roman" w:cs="Calibri"/>
          <w:color w:val="000000"/>
          <w:sz w:val="24"/>
          <w:szCs w:val="24"/>
        </w:rPr>
        <w:t>d</w:t>
      </w:r>
      <w:r w:rsidR="005A5492">
        <w:rPr>
          <w:rFonts w:ascii="Times New Roman" w:hAnsi="Times New Roman" w:cs="Calibri"/>
          <w:color w:val="000000"/>
          <w:sz w:val="24"/>
          <w:szCs w:val="24"/>
        </w:rPr>
        <w:t xml:space="preserve"> to credit risk set asid</w:t>
      </w:r>
      <w:r w:rsidR="00413528">
        <w:rPr>
          <w:rFonts w:ascii="Times New Roman" w:hAnsi="Times New Roman" w:cs="Calibri"/>
          <w:color w:val="000000"/>
          <w:sz w:val="24"/>
          <w:szCs w:val="24"/>
        </w:rPr>
        <w:t>e</w:t>
      </w:r>
      <w:r w:rsidR="00530876" w:rsidRPr="00530876">
        <w:rPr>
          <w:rFonts w:ascii="Times New Roman" w:hAnsi="Times New Roman" w:cs="Calibri"/>
          <w:color w:val="000000"/>
          <w:sz w:val="24"/>
          <w:szCs w:val="24"/>
        </w:rPr>
        <w:t xml:space="preserve">. </w:t>
      </w:r>
      <w:r w:rsidR="005A5492">
        <w:rPr>
          <w:rFonts w:ascii="Times New Roman" w:hAnsi="Times New Roman" w:cs="Calibri"/>
          <w:color w:val="000000"/>
          <w:sz w:val="24"/>
          <w:szCs w:val="24"/>
        </w:rPr>
        <w:t xml:space="preserve"> </w:t>
      </w:r>
      <w:r w:rsidR="00E269E1">
        <w:rPr>
          <w:rFonts w:ascii="Times New Roman" w:hAnsi="Times New Roman" w:cs="Calibri"/>
          <w:color w:val="000000"/>
          <w:sz w:val="24"/>
          <w:szCs w:val="24"/>
        </w:rPr>
        <w:t>The r</w:t>
      </w:r>
      <w:r w:rsidR="00530876" w:rsidRPr="00530876">
        <w:rPr>
          <w:rFonts w:ascii="Times New Roman" w:hAnsi="Times New Roman" w:cs="Calibri"/>
          <w:color w:val="000000"/>
          <w:sz w:val="24"/>
          <w:szCs w:val="24"/>
        </w:rPr>
        <w:t>ecent</w:t>
      </w:r>
      <w:r w:rsidR="00E269E1">
        <w:rPr>
          <w:rFonts w:ascii="Times New Roman" w:hAnsi="Times New Roman" w:cs="Calibri"/>
          <w:color w:val="000000"/>
          <w:sz w:val="24"/>
          <w:szCs w:val="24"/>
        </w:rPr>
        <w:t xml:space="preserve"> revision to these standards, the </w:t>
      </w:r>
      <w:r w:rsidR="0095350D">
        <w:rPr>
          <w:rFonts w:ascii="Times New Roman" w:hAnsi="Times New Roman" w:cs="Calibri"/>
          <w:i/>
          <w:color w:val="000000"/>
          <w:sz w:val="24"/>
          <w:szCs w:val="24"/>
        </w:rPr>
        <w:t>C</w:t>
      </w:r>
      <w:r w:rsidR="00BA41E2" w:rsidRPr="00BA41E2">
        <w:rPr>
          <w:rFonts w:ascii="Times New Roman" w:hAnsi="Times New Roman" w:cs="Calibri"/>
          <w:i/>
          <w:color w:val="000000"/>
          <w:sz w:val="24"/>
          <w:szCs w:val="24"/>
        </w:rPr>
        <w:t xml:space="preserve">urrent </w:t>
      </w:r>
      <w:r w:rsidR="0028266E">
        <w:rPr>
          <w:rFonts w:ascii="Times New Roman" w:hAnsi="Times New Roman" w:cs="Calibri"/>
          <w:i/>
          <w:color w:val="000000"/>
          <w:sz w:val="24"/>
          <w:szCs w:val="24"/>
        </w:rPr>
        <w:t>E</w:t>
      </w:r>
      <w:r w:rsidR="00E269E1" w:rsidRPr="00E269E1">
        <w:rPr>
          <w:rFonts w:ascii="Times New Roman" w:hAnsi="Times New Roman" w:cs="Calibri"/>
          <w:i/>
          <w:color w:val="000000"/>
          <w:sz w:val="24"/>
          <w:szCs w:val="24"/>
        </w:rPr>
        <w:t xml:space="preserve">xpected </w:t>
      </w:r>
      <w:r w:rsidR="0028266E">
        <w:rPr>
          <w:rFonts w:ascii="Times New Roman" w:hAnsi="Times New Roman" w:cs="Calibri"/>
          <w:i/>
          <w:color w:val="000000"/>
          <w:sz w:val="24"/>
          <w:szCs w:val="24"/>
        </w:rPr>
        <w:t>C</w:t>
      </w:r>
      <w:r w:rsidR="00E269E1" w:rsidRPr="00E269E1">
        <w:rPr>
          <w:rFonts w:ascii="Times New Roman" w:hAnsi="Times New Roman" w:cs="Calibri"/>
          <w:i/>
          <w:color w:val="000000"/>
          <w:sz w:val="24"/>
          <w:szCs w:val="24"/>
        </w:rPr>
        <w:t xml:space="preserve">redit </w:t>
      </w:r>
      <w:r w:rsidR="0028266E">
        <w:rPr>
          <w:rFonts w:ascii="Times New Roman" w:hAnsi="Times New Roman" w:cs="Calibri"/>
          <w:i/>
          <w:color w:val="000000"/>
          <w:sz w:val="24"/>
          <w:szCs w:val="24"/>
        </w:rPr>
        <w:t>L</w:t>
      </w:r>
      <w:r w:rsidR="00E269E1" w:rsidRPr="00E269E1">
        <w:rPr>
          <w:rFonts w:ascii="Times New Roman" w:hAnsi="Times New Roman" w:cs="Calibri"/>
          <w:i/>
          <w:color w:val="000000"/>
          <w:sz w:val="24"/>
          <w:szCs w:val="24"/>
        </w:rPr>
        <w:t>oss</w:t>
      </w:r>
      <w:r w:rsidR="00E269E1" w:rsidRPr="00530876">
        <w:rPr>
          <w:rFonts w:ascii="Times New Roman" w:hAnsi="Times New Roman" w:cs="Calibri"/>
          <w:color w:val="000000"/>
          <w:sz w:val="24"/>
          <w:szCs w:val="24"/>
        </w:rPr>
        <w:t xml:space="preserve"> (</w:t>
      </w:r>
      <w:r w:rsidR="00E269E1">
        <w:rPr>
          <w:rFonts w:ascii="Times New Roman" w:hAnsi="Times New Roman" w:cs="Calibri"/>
          <w:color w:val="000000"/>
          <w:sz w:val="24"/>
          <w:szCs w:val="24"/>
        </w:rPr>
        <w:t>“</w:t>
      </w:r>
      <w:r w:rsidR="00E269E1" w:rsidRPr="00530876">
        <w:rPr>
          <w:rFonts w:ascii="Times New Roman" w:hAnsi="Times New Roman" w:cs="Calibri"/>
          <w:color w:val="000000"/>
          <w:sz w:val="24"/>
          <w:szCs w:val="24"/>
        </w:rPr>
        <w:t>CECL</w:t>
      </w:r>
      <w:r w:rsidR="00E269E1">
        <w:rPr>
          <w:rFonts w:ascii="Times New Roman" w:hAnsi="Times New Roman" w:cs="Calibri"/>
          <w:color w:val="000000"/>
          <w:sz w:val="24"/>
          <w:szCs w:val="24"/>
        </w:rPr>
        <w:t>”; FASB, 2016</w:t>
      </w:r>
      <w:r w:rsidR="00E269E1" w:rsidRPr="00530876">
        <w:rPr>
          <w:rFonts w:ascii="Times New Roman" w:hAnsi="Times New Roman" w:cs="Calibri"/>
          <w:color w:val="000000"/>
          <w:sz w:val="24"/>
          <w:szCs w:val="24"/>
        </w:rPr>
        <w:t>) standard</w:t>
      </w:r>
      <w:r w:rsidR="00530876" w:rsidRPr="00530876">
        <w:rPr>
          <w:rFonts w:ascii="Times New Roman" w:hAnsi="Times New Roman" w:cs="Calibri"/>
          <w:color w:val="000000"/>
          <w:sz w:val="24"/>
          <w:szCs w:val="24"/>
        </w:rPr>
        <w:t>,</w:t>
      </w:r>
      <w:r w:rsidR="00E269E1">
        <w:rPr>
          <w:rFonts w:ascii="Times New Roman" w:hAnsi="Times New Roman" w:cs="Calibri"/>
          <w:color w:val="000000"/>
          <w:sz w:val="24"/>
          <w:szCs w:val="24"/>
        </w:rPr>
        <w:t xml:space="preserve"> is expected to substantially alter the management, measurement </w:t>
      </w:r>
      <w:r w:rsidR="00E269E1" w:rsidRPr="00983020">
        <w:rPr>
          <w:rFonts w:ascii="Times New Roman" w:hAnsi="Times New Roman"/>
          <w:sz w:val="24"/>
          <w:szCs w:val="24"/>
        </w:rPr>
        <w:t>and r</w:t>
      </w:r>
      <w:r w:rsidR="00E269E1" w:rsidRPr="00983020">
        <w:rPr>
          <w:rFonts w:ascii="Times New Roman" w:hAnsi="Times New Roman"/>
          <w:sz w:val="24"/>
          <w:szCs w:val="24"/>
        </w:rPr>
        <w:t>e</w:t>
      </w:r>
      <w:r w:rsidR="00E269E1" w:rsidRPr="00983020">
        <w:rPr>
          <w:rFonts w:ascii="Times New Roman" w:hAnsi="Times New Roman"/>
          <w:sz w:val="24"/>
          <w:szCs w:val="24"/>
        </w:rPr>
        <w:t xml:space="preserve">porting </w:t>
      </w:r>
      <w:r w:rsidR="003115C4">
        <w:rPr>
          <w:rFonts w:ascii="Times New Roman" w:hAnsi="Times New Roman"/>
          <w:sz w:val="24"/>
          <w:szCs w:val="24"/>
        </w:rPr>
        <w:t xml:space="preserve">of </w:t>
      </w:r>
      <w:r w:rsidR="00E269E1" w:rsidRPr="00983020">
        <w:rPr>
          <w:rFonts w:ascii="Times New Roman" w:hAnsi="Times New Roman"/>
          <w:sz w:val="24"/>
          <w:szCs w:val="24"/>
        </w:rPr>
        <w:t>loan loss provisions</w:t>
      </w:r>
      <w:r w:rsidR="00413528">
        <w:rPr>
          <w:rFonts w:ascii="Times New Roman" w:hAnsi="Times New Roman"/>
          <w:sz w:val="24"/>
          <w:szCs w:val="24"/>
        </w:rPr>
        <w:t xml:space="preserve"> by</w:t>
      </w:r>
      <w:r w:rsidR="00E269E1" w:rsidRPr="00983020">
        <w:rPr>
          <w:rFonts w:ascii="Times New Roman" w:hAnsi="Times New Roman"/>
          <w:sz w:val="24"/>
          <w:szCs w:val="24"/>
        </w:rPr>
        <w:t xml:space="preserve"> financial institutions and </w:t>
      </w:r>
      <w:r w:rsidR="00413528">
        <w:rPr>
          <w:rFonts w:ascii="Times New Roman" w:hAnsi="Times New Roman"/>
          <w:sz w:val="24"/>
          <w:szCs w:val="24"/>
        </w:rPr>
        <w:t>other firms</w:t>
      </w:r>
      <w:r w:rsidR="00E269E1" w:rsidRPr="00983020">
        <w:rPr>
          <w:rFonts w:ascii="Times New Roman" w:hAnsi="Times New Roman"/>
          <w:sz w:val="24"/>
          <w:szCs w:val="24"/>
        </w:rPr>
        <w:t xml:space="preserve"> exposed to credit risk</w:t>
      </w:r>
      <w:r w:rsidR="00154887">
        <w:rPr>
          <w:rStyle w:val="FootnoteReference"/>
          <w:rFonts w:ascii="Times New Roman" w:hAnsi="Times New Roman"/>
          <w:sz w:val="24"/>
          <w:szCs w:val="24"/>
        </w:rPr>
        <w:footnoteReference w:id="2"/>
      </w:r>
      <w:r w:rsidR="00E269E1" w:rsidRPr="00983020">
        <w:rPr>
          <w:rFonts w:ascii="Times New Roman" w:hAnsi="Times New Roman"/>
          <w:sz w:val="24"/>
          <w:szCs w:val="24"/>
        </w:rPr>
        <w:t xml:space="preserve">. </w:t>
      </w:r>
    </w:p>
    <w:p w:rsidR="007441AD" w:rsidRDefault="0075517B" w:rsidP="00983020">
      <w:pPr>
        <w:jc w:val="both"/>
        <w:rPr>
          <w:rFonts w:ascii="Times New Roman" w:hAnsi="Times New Roman"/>
          <w:sz w:val="24"/>
          <w:szCs w:val="24"/>
        </w:rPr>
      </w:pPr>
      <w:r w:rsidRPr="00983020">
        <w:rPr>
          <w:rFonts w:ascii="Times New Roman" w:hAnsi="Times New Roman"/>
          <w:sz w:val="24"/>
          <w:szCs w:val="24"/>
        </w:rPr>
        <w:t xml:space="preserve">The prevailing </w:t>
      </w:r>
      <w:r w:rsidR="00072827">
        <w:rPr>
          <w:rFonts w:ascii="Times New Roman" w:hAnsi="Times New Roman"/>
          <w:sz w:val="24"/>
          <w:szCs w:val="24"/>
        </w:rPr>
        <w:t>principle</w:t>
      </w:r>
      <w:r w:rsidRPr="00983020">
        <w:rPr>
          <w:rFonts w:ascii="Times New Roman" w:hAnsi="Times New Roman"/>
          <w:sz w:val="24"/>
          <w:szCs w:val="24"/>
        </w:rPr>
        <w:t xml:space="preserve"> </w:t>
      </w:r>
      <w:r w:rsidR="00072827">
        <w:rPr>
          <w:rFonts w:ascii="Times New Roman" w:hAnsi="Times New Roman"/>
          <w:sz w:val="24"/>
          <w:szCs w:val="24"/>
        </w:rPr>
        <w:t>governing</w:t>
      </w:r>
      <w:r w:rsidR="00154887">
        <w:rPr>
          <w:rFonts w:ascii="Times New Roman" w:hAnsi="Times New Roman"/>
          <w:sz w:val="24"/>
          <w:szCs w:val="24"/>
        </w:rPr>
        <w:t xml:space="preserve"> </w:t>
      </w:r>
      <w:r w:rsidR="00072827">
        <w:rPr>
          <w:rFonts w:ascii="Times New Roman" w:hAnsi="Times New Roman"/>
          <w:sz w:val="24"/>
          <w:szCs w:val="24"/>
        </w:rPr>
        <w:t xml:space="preserve">the </w:t>
      </w:r>
      <w:r w:rsidR="00154887" w:rsidRPr="00983020">
        <w:rPr>
          <w:rFonts w:ascii="Times New Roman" w:hAnsi="Times New Roman"/>
          <w:sz w:val="24"/>
          <w:szCs w:val="24"/>
        </w:rPr>
        <w:t xml:space="preserve">ALLL </w:t>
      </w:r>
      <w:r w:rsidR="00530876" w:rsidRPr="00983020">
        <w:rPr>
          <w:rFonts w:ascii="Times New Roman" w:hAnsi="Times New Roman"/>
          <w:sz w:val="24"/>
          <w:szCs w:val="24"/>
        </w:rPr>
        <w:t>ha</w:t>
      </w:r>
      <w:r w:rsidRPr="00983020">
        <w:rPr>
          <w:rFonts w:ascii="Times New Roman" w:hAnsi="Times New Roman"/>
          <w:sz w:val="24"/>
          <w:szCs w:val="24"/>
        </w:rPr>
        <w:t>s</w:t>
      </w:r>
      <w:r w:rsidR="00530876" w:rsidRPr="00983020">
        <w:rPr>
          <w:rFonts w:ascii="Times New Roman" w:hAnsi="Times New Roman"/>
          <w:sz w:val="24"/>
          <w:szCs w:val="24"/>
        </w:rPr>
        <w:t xml:space="preserve"> </w:t>
      </w:r>
      <w:r w:rsidRPr="00983020">
        <w:rPr>
          <w:rFonts w:ascii="Times New Roman" w:hAnsi="Times New Roman"/>
          <w:sz w:val="24"/>
          <w:szCs w:val="24"/>
        </w:rPr>
        <w:t xml:space="preserve">been </w:t>
      </w:r>
      <w:r w:rsidR="00072827">
        <w:rPr>
          <w:rFonts w:ascii="Times New Roman" w:hAnsi="Times New Roman"/>
          <w:sz w:val="24"/>
          <w:szCs w:val="24"/>
        </w:rPr>
        <w:t>that</w:t>
      </w:r>
      <w:r w:rsidRPr="00983020">
        <w:rPr>
          <w:rFonts w:ascii="Times New Roman" w:hAnsi="Times New Roman"/>
          <w:sz w:val="24"/>
          <w:szCs w:val="24"/>
        </w:rPr>
        <w:t xml:space="preserve"> of </w:t>
      </w:r>
      <w:r w:rsidR="00530876" w:rsidRPr="00815489">
        <w:rPr>
          <w:rFonts w:ascii="Times New Roman" w:hAnsi="Times New Roman"/>
          <w:i/>
          <w:sz w:val="24"/>
          <w:szCs w:val="24"/>
        </w:rPr>
        <w:t xml:space="preserve">incurred </w:t>
      </w:r>
      <w:r w:rsidRPr="00815489">
        <w:rPr>
          <w:rFonts w:ascii="Times New Roman" w:hAnsi="Times New Roman"/>
          <w:i/>
          <w:sz w:val="24"/>
          <w:szCs w:val="24"/>
        </w:rPr>
        <w:t>loss</w:t>
      </w:r>
      <w:r w:rsidR="00784BCC">
        <w:rPr>
          <w:rStyle w:val="FootnoteReference"/>
          <w:rFonts w:ascii="Times New Roman" w:hAnsi="Times New Roman"/>
          <w:i/>
          <w:sz w:val="24"/>
          <w:szCs w:val="24"/>
        </w:rPr>
        <w:footnoteReference w:id="3"/>
      </w:r>
      <w:r w:rsidR="00530876" w:rsidRPr="00983020">
        <w:rPr>
          <w:rFonts w:ascii="Times New Roman" w:hAnsi="Times New Roman"/>
          <w:sz w:val="24"/>
          <w:szCs w:val="24"/>
        </w:rPr>
        <w:t xml:space="preserve">, </w:t>
      </w:r>
      <w:r w:rsidRPr="00983020">
        <w:rPr>
          <w:rFonts w:ascii="Times New Roman" w:hAnsi="Times New Roman"/>
          <w:sz w:val="24"/>
          <w:szCs w:val="24"/>
        </w:rPr>
        <w:t xml:space="preserve">wherein </w:t>
      </w:r>
      <w:r w:rsidR="00530876" w:rsidRPr="00983020">
        <w:rPr>
          <w:rFonts w:ascii="Times New Roman" w:hAnsi="Times New Roman"/>
          <w:sz w:val="24"/>
          <w:szCs w:val="24"/>
        </w:rPr>
        <w:t xml:space="preserve">credit losses </w:t>
      </w:r>
      <w:r w:rsidRPr="00983020">
        <w:rPr>
          <w:rFonts w:ascii="Times New Roman" w:hAnsi="Times New Roman"/>
          <w:sz w:val="24"/>
          <w:szCs w:val="24"/>
        </w:rPr>
        <w:t>are</w:t>
      </w:r>
      <w:r w:rsidR="00530876" w:rsidRPr="00983020">
        <w:rPr>
          <w:rFonts w:ascii="Times New Roman" w:hAnsi="Times New Roman"/>
          <w:sz w:val="24"/>
          <w:szCs w:val="24"/>
        </w:rPr>
        <w:t xml:space="preserve"> </w:t>
      </w:r>
      <w:r w:rsidR="00C46D8B">
        <w:rPr>
          <w:rFonts w:ascii="Times New Roman" w:hAnsi="Times New Roman"/>
          <w:sz w:val="24"/>
          <w:szCs w:val="24"/>
        </w:rPr>
        <w:t xml:space="preserve">either </w:t>
      </w:r>
      <w:r w:rsidR="00530876" w:rsidRPr="00983020">
        <w:rPr>
          <w:rFonts w:ascii="Times New Roman" w:hAnsi="Times New Roman"/>
          <w:sz w:val="24"/>
          <w:szCs w:val="24"/>
        </w:rPr>
        <w:t xml:space="preserve">recognized </w:t>
      </w:r>
      <w:r w:rsidRPr="00983020">
        <w:rPr>
          <w:rFonts w:ascii="Times New Roman" w:hAnsi="Times New Roman"/>
          <w:sz w:val="24"/>
          <w:szCs w:val="24"/>
        </w:rPr>
        <w:t xml:space="preserve">only </w:t>
      </w:r>
      <w:r w:rsidR="0038320F" w:rsidRPr="00983020">
        <w:rPr>
          <w:rFonts w:ascii="Times New Roman" w:hAnsi="Times New Roman"/>
          <w:sz w:val="24"/>
          <w:szCs w:val="24"/>
        </w:rPr>
        <w:t>when materialized,</w:t>
      </w:r>
      <w:r w:rsidR="00C46D8B">
        <w:rPr>
          <w:rFonts w:ascii="Times New Roman" w:hAnsi="Times New Roman"/>
          <w:sz w:val="24"/>
          <w:szCs w:val="24"/>
        </w:rPr>
        <w:t xml:space="preserve"> else for performing loans the credit risk is assessed at the point of financial reporting.  </w:t>
      </w:r>
      <w:r w:rsidR="001531BC" w:rsidRPr="00983020">
        <w:rPr>
          <w:rFonts w:ascii="Times New Roman" w:hAnsi="Times New Roman"/>
          <w:sz w:val="24"/>
          <w:szCs w:val="24"/>
        </w:rPr>
        <w:t xml:space="preserve">The </w:t>
      </w:r>
      <w:r w:rsidR="00FC45C2">
        <w:rPr>
          <w:rFonts w:ascii="Times New Roman" w:hAnsi="Times New Roman"/>
          <w:sz w:val="24"/>
          <w:szCs w:val="24"/>
        </w:rPr>
        <w:t xml:space="preserve">key </w:t>
      </w:r>
      <w:r w:rsidR="00C46D8B">
        <w:rPr>
          <w:rFonts w:ascii="Times New Roman" w:hAnsi="Times New Roman"/>
          <w:sz w:val="24"/>
          <w:szCs w:val="24"/>
        </w:rPr>
        <w:t>feature of this construct is that</w:t>
      </w:r>
      <w:r w:rsidR="00530876" w:rsidRPr="00530876">
        <w:rPr>
          <w:rFonts w:ascii="Times New Roman" w:hAnsi="Times New Roman" w:cs="Calibri"/>
          <w:color w:val="000000"/>
          <w:sz w:val="24"/>
          <w:szCs w:val="24"/>
        </w:rPr>
        <w:t xml:space="preserve"> </w:t>
      </w:r>
      <w:r w:rsidR="001531BC">
        <w:rPr>
          <w:rFonts w:ascii="Times New Roman" w:hAnsi="Times New Roman" w:cs="Calibri"/>
          <w:color w:val="000000"/>
          <w:sz w:val="24"/>
          <w:szCs w:val="24"/>
        </w:rPr>
        <w:t>future events are not considered, which impairs</w:t>
      </w:r>
      <w:r w:rsidR="00530876" w:rsidRPr="00530876">
        <w:rPr>
          <w:rFonts w:ascii="Times New Roman" w:hAnsi="Times New Roman" w:cs="Calibri"/>
          <w:color w:val="000000"/>
          <w:sz w:val="24"/>
          <w:szCs w:val="24"/>
        </w:rPr>
        <w:t xml:space="preserve"> </w:t>
      </w:r>
      <w:r w:rsidR="001531BC">
        <w:rPr>
          <w:rFonts w:ascii="Times New Roman" w:hAnsi="Times New Roman" w:cs="Calibri"/>
          <w:color w:val="000000"/>
          <w:sz w:val="24"/>
          <w:szCs w:val="24"/>
        </w:rPr>
        <w:t xml:space="preserve">the capability of </w:t>
      </w:r>
      <w:r w:rsidR="00530876" w:rsidRPr="00530876">
        <w:rPr>
          <w:rFonts w:ascii="Times New Roman" w:hAnsi="Times New Roman" w:cs="Calibri"/>
          <w:color w:val="000000"/>
          <w:sz w:val="24"/>
          <w:szCs w:val="24"/>
        </w:rPr>
        <w:t>manag</w:t>
      </w:r>
      <w:r w:rsidR="001531BC">
        <w:rPr>
          <w:rFonts w:ascii="Times New Roman" w:hAnsi="Times New Roman" w:cs="Calibri"/>
          <w:color w:val="000000"/>
          <w:sz w:val="24"/>
          <w:szCs w:val="24"/>
        </w:rPr>
        <w:t>ing</w:t>
      </w:r>
      <w:r w:rsidR="00530876" w:rsidRPr="00530876">
        <w:rPr>
          <w:rFonts w:ascii="Times New Roman" w:hAnsi="Times New Roman" w:cs="Calibri"/>
          <w:color w:val="000000"/>
          <w:sz w:val="24"/>
          <w:szCs w:val="24"/>
        </w:rPr>
        <w:t xml:space="preserve"> </w:t>
      </w:r>
      <w:r w:rsidR="001531BC">
        <w:rPr>
          <w:rFonts w:ascii="Times New Roman" w:hAnsi="Times New Roman" w:cs="Calibri"/>
          <w:color w:val="000000"/>
          <w:sz w:val="24"/>
          <w:szCs w:val="24"/>
        </w:rPr>
        <w:t xml:space="preserve">reserves </w:t>
      </w:r>
      <w:r w:rsidR="00C46D8B">
        <w:rPr>
          <w:rFonts w:ascii="Times New Roman" w:hAnsi="Times New Roman" w:cs="Calibri"/>
          <w:color w:val="000000"/>
          <w:sz w:val="24"/>
          <w:szCs w:val="24"/>
        </w:rPr>
        <w:t>proactively based upon the e</w:t>
      </w:r>
      <w:r w:rsidR="00C46D8B">
        <w:rPr>
          <w:rFonts w:ascii="Times New Roman" w:hAnsi="Times New Roman" w:cs="Calibri"/>
          <w:color w:val="000000"/>
          <w:sz w:val="24"/>
          <w:szCs w:val="24"/>
        </w:rPr>
        <w:t>x</w:t>
      </w:r>
      <w:r w:rsidR="00C46D8B">
        <w:rPr>
          <w:rFonts w:ascii="Times New Roman" w:hAnsi="Times New Roman" w:cs="Calibri"/>
          <w:color w:val="000000"/>
          <w:sz w:val="24"/>
          <w:szCs w:val="24"/>
        </w:rPr>
        <w:t>pected economic outlook</w:t>
      </w:r>
      <w:r w:rsidR="007F6769">
        <w:rPr>
          <w:rFonts w:ascii="Times New Roman" w:hAnsi="Times New Roman" w:cs="Calibri"/>
          <w:color w:val="000000"/>
          <w:sz w:val="24"/>
          <w:szCs w:val="24"/>
        </w:rPr>
        <w:t>.</w:t>
      </w:r>
      <w:r w:rsidR="00530876" w:rsidRPr="00530876">
        <w:rPr>
          <w:rFonts w:ascii="Times New Roman" w:hAnsi="Times New Roman" w:cs="Calibri"/>
          <w:color w:val="000000"/>
          <w:sz w:val="24"/>
          <w:szCs w:val="24"/>
        </w:rPr>
        <w:t xml:space="preserve"> </w:t>
      </w:r>
      <w:r w:rsidR="002318FB">
        <w:rPr>
          <w:rFonts w:ascii="Times New Roman" w:hAnsi="Times New Roman" w:cs="Calibri"/>
          <w:color w:val="000000"/>
          <w:sz w:val="24"/>
          <w:szCs w:val="24"/>
        </w:rPr>
        <w:t xml:space="preserve"> </w:t>
      </w:r>
      <w:r w:rsidR="00C46D8B">
        <w:rPr>
          <w:rFonts w:ascii="Times New Roman" w:hAnsi="Times New Roman" w:cs="Calibri"/>
          <w:color w:val="000000"/>
          <w:sz w:val="24"/>
          <w:szCs w:val="24"/>
        </w:rPr>
        <w:t>T</w:t>
      </w:r>
      <w:r w:rsidR="002318FB">
        <w:rPr>
          <w:rFonts w:ascii="Times New Roman" w:hAnsi="Times New Roman" w:cs="Calibri"/>
          <w:color w:val="000000"/>
          <w:sz w:val="24"/>
          <w:szCs w:val="24"/>
        </w:rPr>
        <w:t>h</w:t>
      </w:r>
      <w:r w:rsidR="00C46D8B">
        <w:rPr>
          <w:rFonts w:ascii="Times New Roman" w:hAnsi="Times New Roman" w:cs="Calibri"/>
          <w:color w:val="000000"/>
          <w:sz w:val="24"/>
          <w:szCs w:val="24"/>
        </w:rPr>
        <w:t>e static nature of this framework</w:t>
      </w:r>
      <w:r w:rsidR="002318FB">
        <w:rPr>
          <w:rFonts w:ascii="Times New Roman" w:hAnsi="Times New Roman" w:cs="Calibri"/>
          <w:color w:val="000000"/>
          <w:sz w:val="24"/>
          <w:szCs w:val="24"/>
        </w:rPr>
        <w:t xml:space="preserve"> implies that provisions are likely to </w:t>
      </w:r>
      <w:r w:rsidR="00FC45C2">
        <w:rPr>
          <w:rFonts w:ascii="Times New Roman" w:hAnsi="Times New Roman" w:cs="Calibri"/>
          <w:color w:val="000000"/>
          <w:sz w:val="24"/>
          <w:szCs w:val="24"/>
        </w:rPr>
        <w:t>exhibit</w:t>
      </w:r>
      <w:r w:rsidR="002318FB">
        <w:rPr>
          <w:rFonts w:ascii="Times New Roman" w:hAnsi="Times New Roman" w:cs="Calibri"/>
          <w:color w:val="000000"/>
          <w:sz w:val="24"/>
          <w:szCs w:val="24"/>
        </w:rPr>
        <w:t xml:space="preserve"> </w:t>
      </w:r>
      <w:r w:rsidR="002318FB" w:rsidRPr="002318FB">
        <w:rPr>
          <w:rFonts w:ascii="Times New Roman" w:hAnsi="Times New Roman" w:cs="Calibri"/>
          <w:i/>
          <w:color w:val="000000"/>
          <w:sz w:val="24"/>
          <w:szCs w:val="24"/>
        </w:rPr>
        <w:t>procyclicality</w:t>
      </w:r>
      <w:r w:rsidR="002318FB">
        <w:rPr>
          <w:rFonts w:ascii="Times New Roman" w:hAnsi="Times New Roman" w:cs="Calibri"/>
          <w:color w:val="000000"/>
          <w:sz w:val="24"/>
          <w:szCs w:val="24"/>
        </w:rPr>
        <w:t xml:space="preserve">, which means that provisions rise and regulatory capital ratios decrease </w:t>
      </w:r>
      <w:r w:rsidR="007F6769">
        <w:rPr>
          <w:rFonts w:ascii="Times New Roman" w:hAnsi="Times New Roman" w:cs="Calibri"/>
          <w:color w:val="000000"/>
          <w:sz w:val="24"/>
          <w:szCs w:val="24"/>
        </w:rPr>
        <w:t>prior to economic downturns</w:t>
      </w:r>
      <w:r w:rsidR="002318FB">
        <w:rPr>
          <w:rFonts w:ascii="Times New Roman" w:hAnsi="Times New Roman" w:cs="Calibri"/>
          <w:color w:val="000000"/>
          <w:sz w:val="24"/>
          <w:szCs w:val="24"/>
        </w:rPr>
        <w:t xml:space="preserve">.  </w:t>
      </w:r>
      <w:r w:rsidR="007F6769">
        <w:rPr>
          <w:rFonts w:ascii="Times New Roman" w:hAnsi="Times New Roman" w:cs="Calibri"/>
          <w:color w:val="000000"/>
          <w:sz w:val="24"/>
          <w:szCs w:val="24"/>
        </w:rPr>
        <w:t xml:space="preserve">This </w:t>
      </w:r>
      <w:r w:rsidR="002318FB">
        <w:rPr>
          <w:rFonts w:ascii="Times New Roman" w:hAnsi="Times New Roman" w:cs="Calibri"/>
          <w:color w:val="000000"/>
          <w:sz w:val="24"/>
          <w:szCs w:val="24"/>
        </w:rPr>
        <w:t xml:space="preserve">inflation in </w:t>
      </w:r>
      <w:r w:rsidR="007F6769">
        <w:rPr>
          <w:rFonts w:ascii="Times New Roman" w:hAnsi="Times New Roman" w:cs="Calibri"/>
          <w:color w:val="000000"/>
          <w:sz w:val="24"/>
          <w:szCs w:val="24"/>
        </w:rPr>
        <w:t xml:space="preserve">the </w:t>
      </w:r>
      <w:r w:rsidR="002318FB">
        <w:rPr>
          <w:rFonts w:ascii="Times New Roman" w:hAnsi="Times New Roman" w:cs="Calibri"/>
          <w:color w:val="000000"/>
          <w:sz w:val="24"/>
          <w:szCs w:val="24"/>
        </w:rPr>
        <w:t>ALLL at the trough of an economic cycle</w:t>
      </w:r>
      <w:r w:rsidR="007F6769">
        <w:rPr>
          <w:rFonts w:ascii="Times New Roman" w:hAnsi="Times New Roman" w:cs="Calibri"/>
          <w:color w:val="000000"/>
          <w:sz w:val="24"/>
          <w:szCs w:val="24"/>
        </w:rPr>
        <w:t xml:space="preserve"> </w:t>
      </w:r>
      <w:r w:rsidR="00A6495E">
        <w:rPr>
          <w:rFonts w:ascii="Times New Roman" w:hAnsi="Times New Roman" w:cs="Calibri"/>
          <w:color w:val="000000"/>
          <w:sz w:val="24"/>
          <w:szCs w:val="24"/>
        </w:rPr>
        <w:t>that the</w:t>
      </w:r>
      <w:r w:rsidR="007F6769">
        <w:rPr>
          <w:rFonts w:ascii="Times New Roman" w:hAnsi="Times New Roman" w:cs="Calibri"/>
          <w:color w:val="000000"/>
          <w:sz w:val="24"/>
          <w:szCs w:val="24"/>
        </w:rPr>
        <w:t xml:space="preserve"> incurred loss standard </w:t>
      </w:r>
      <w:r w:rsidR="00A6495E">
        <w:rPr>
          <w:rFonts w:ascii="Times New Roman" w:hAnsi="Times New Roman" w:cs="Calibri"/>
          <w:color w:val="000000"/>
          <w:sz w:val="24"/>
          <w:szCs w:val="24"/>
        </w:rPr>
        <w:t>engender</w:t>
      </w:r>
      <w:r w:rsidR="00894FDA">
        <w:rPr>
          <w:rFonts w:ascii="Times New Roman" w:hAnsi="Times New Roman" w:cs="Calibri"/>
          <w:color w:val="000000"/>
          <w:sz w:val="24"/>
          <w:szCs w:val="24"/>
        </w:rPr>
        <w:t>s</w:t>
      </w:r>
      <w:r w:rsidR="00A6495E">
        <w:rPr>
          <w:rFonts w:ascii="Times New Roman" w:hAnsi="Times New Roman" w:cs="Calibri"/>
          <w:color w:val="000000"/>
          <w:sz w:val="24"/>
          <w:szCs w:val="24"/>
        </w:rPr>
        <w:t xml:space="preserve"> </w:t>
      </w:r>
      <w:r w:rsidR="002318FB">
        <w:rPr>
          <w:rFonts w:ascii="Times New Roman" w:hAnsi="Times New Roman" w:cs="Calibri"/>
          <w:color w:val="000000"/>
          <w:sz w:val="24"/>
          <w:szCs w:val="24"/>
        </w:rPr>
        <w:t xml:space="preserve">is </w:t>
      </w:r>
      <w:r w:rsidR="00FC45C2">
        <w:rPr>
          <w:rFonts w:ascii="Times New Roman" w:hAnsi="Times New Roman" w:cs="Calibri"/>
          <w:color w:val="000000"/>
          <w:sz w:val="24"/>
          <w:szCs w:val="24"/>
        </w:rPr>
        <w:t xml:space="preserve">considered </w:t>
      </w:r>
      <w:r w:rsidR="002318FB">
        <w:rPr>
          <w:rFonts w:ascii="Times New Roman" w:hAnsi="Times New Roman" w:cs="Calibri"/>
          <w:color w:val="000000"/>
          <w:sz w:val="24"/>
          <w:szCs w:val="24"/>
        </w:rPr>
        <w:t>detrimental to a bank from a safety and soundness perspective</w:t>
      </w:r>
      <w:r w:rsidR="00A6495E">
        <w:rPr>
          <w:rFonts w:ascii="Times New Roman" w:hAnsi="Times New Roman" w:cs="Calibri"/>
          <w:color w:val="000000"/>
          <w:sz w:val="24"/>
          <w:szCs w:val="24"/>
        </w:rPr>
        <w:t xml:space="preserve">.  Furthermore, from a systemic risk perspective this phenomenon represents a risk to the banking system and economy, </w:t>
      </w:r>
      <w:r w:rsidR="002318FB">
        <w:rPr>
          <w:rFonts w:ascii="Times New Roman" w:hAnsi="Times New Roman" w:cs="Calibri"/>
          <w:color w:val="000000"/>
          <w:sz w:val="24"/>
          <w:szCs w:val="24"/>
        </w:rPr>
        <w:t xml:space="preserve">as </w:t>
      </w:r>
      <w:r w:rsidR="00A6495E">
        <w:rPr>
          <w:rFonts w:ascii="Times New Roman" w:hAnsi="Times New Roman" w:cs="Calibri"/>
          <w:color w:val="000000"/>
          <w:sz w:val="24"/>
          <w:szCs w:val="24"/>
        </w:rPr>
        <w:t xml:space="preserve">this could result in a contraction of </w:t>
      </w:r>
      <w:r w:rsidR="00FC45C2">
        <w:rPr>
          <w:rFonts w:ascii="Times New Roman" w:hAnsi="Times New Roman" w:cs="Calibri"/>
          <w:color w:val="000000"/>
          <w:sz w:val="24"/>
          <w:szCs w:val="24"/>
        </w:rPr>
        <w:t xml:space="preserve">credit </w:t>
      </w:r>
      <w:r w:rsidR="00A6495E">
        <w:rPr>
          <w:rFonts w:ascii="Times New Roman" w:hAnsi="Times New Roman" w:cs="Calibri"/>
          <w:color w:val="000000"/>
          <w:sz w:val="24"/>
          <w:szCs w:val="24"/>
        </w:rPr>
        <w:t xml:space="preserve">in an environment </w:t>
      </w:r>
      <w:r w:rsidR="00FC45C2">
        <w:rPr>
          <w:rFonts w:ascii="Times New Roman" w:hAnsi="Times New Roman" w:cs="Calibri"/>
          <w:color w:val="000000"/>
          <w:sz w:val="24"/>
          <w:szCs w:val="24"/>
        </w:rPr>
        <w:t>of</w:t>
      </w:r>
      <w:r w:rsidR="002318FB">
        <w:rPr>
          <w:rFonts w:ascii="Times New Roman" w:hAnsi="Times New Roman" w:cs="Calibri"/>
          <w:color w:val="000000"/>
          <w:sz w:val="24"/>
          <w:szCs w:val="24"/>
        </w:rPr>
        <w:t xml:space="preserve"> </w:t>
      </w:r>
      <w:r w:rsidR="002318FB" w:rsidRPr="00983020">
        <w:rPr>
          <w:rFonts w:ascii="Times New Roman" w:hAnsi="Times New Roman"/>
          <w:sz w:val="24"/>
          <w:szCs w:val="24"/>
        </w:rPr>
        <w:t>businesses and consumer</w:t>
      </w:r>
      <w:r w:rsidR="00A6495E">
        <w:rPr>
          <w:rFonts w:ascii="Times New Roman" w:hAnsi="Times New Roman"/>
          <w:sz w:val="24"/>
          <w:szCs w:val="24"/>
        </w:rPr>
        <w:t xml:space="preserve"> vulnerability,</w:t>
      </w:r>
      <w:r w:rsidR="002318FB" w:rsidRPr="00983020">
        <w:rPr>
          <w:rFonts w:ascii="Times New Roman" w:hAnsi="Times New Roman"/>
          <w:sz w:val="24"/>
          <w:szCs w:val="24"/>
        </w:rPr>
        <w:t xml:space="preserve"> </w:t>
      </w:r>
      <w:r w:rsidR="00A6495E">
        <w:rPr>
          <w:rFonts w:ascii="Times New Roman" w:hAnsi="Times New Roman"/>
          <w:sz w:val="24"/>
          <w:szCs w:val="24"/>
        </w:rPr>
        <w:t xml:space="preserve">resulting </w:t>
      </w:r>
      <w:r w:rsidR="00FC45C2">
        <w:rPr>
          <w:rFonts w:ascii="Times New Roman" w:hAnsi="Times New Roman"/>
          <w:sz w:val="24"/>
          <w:szCs w:val="24"/>
        </w:rPr>
        <w:t>in a negative feedback loop adversely i</w:t>
      </w:r>
      <w:r w:rsidR="00FC45C2">
        <w:rPr>
          <w:rFonts w:ascii="Times New Roman" w:hAnsi="Times New Roman"/>
          <w:sz w:val="24"/>
          <w:szCs w:val="24"/>
        </w:rPr>
        <w:t>m</w:t>
      </w:r>
      <w:r w:rsidR="00FC45C2">
        <w:rPr>
          <w:rFonts w:ascii="Times New Roman" w:hAnsi="Times New Roman"/>
          <w:sz w:val="24"/>
          <w:szCs w:val="24"/>
        </w:rPr>
        <w:t>pacting</w:t>
      </w:r>
      <w:r w:rsidR="00A6495E">
        <w:rPr>
          <w:rFonts w:ascii="Times New Roman" w:hAnsi="Times New Roman"/>
          <w:sz w:val="24"/>
          <w:szCs w:val="24"/>
        </w:rPr>
        <w:t xml:space="preserve"> the real economy.</w:t>
      </w:r>
      <w:r w:rsidR="007441AD" w:rsidRPr="007441AD">
        <w:rPr>
          <w:rFonts w:ascii="Times New Roman" w:hAnsi="Times New Roman" w:cs="Calibri"/>
          <w:color w:val="000000"/>
          <w:sz w:val="24"/>
          <w:szCs w:val="24"/>
        </w:rPr>
        <w:t xml:space="preserve"> </w:t>
      </w:r>
      <w:r w:rsidR="007441AD">
        <w:rPr>
          <w:rFonts w:ascii="Times New Roman" w:hAnsi="Times New Roman" w:cs="Calibri"/>
          <w:color w:val="000000"/>
          <w:sz w:val="24"/>
          <w:szCs w:val="24"/>
        </w:rPr>
        <w:t xml:space="preserve"> </w:t>
      </w:r>
      <w:r w:rsidR="00B711D5" w:rsidRPr="00983020">
        <w:rPr>
          <w:rFonts w:ascii="Times New Roman" w:hAnsi="Times New Roman"/>
          <w:sz w:val="24"/>
          <w:szCs w:val="24"/>
        </w:rPr>
        <w:t xml:space="preserve"> </w:t>
      </w:r>
      <w:r w:rsidR="00894FDA">
        <w:rPr>
          <w:rFonts w:ascii="Times New Roman" w:hAnsi="Times New Roman"/>
          <w:sz w:val="24"/>
          <w:szCs w:val="24"/>
        </w:rPr>
        <w:t xml:space="preserve"> </w:t>
      </w:r>
    </w:p>
    <w:p w:rsidR="00FC45C2" w:rsidRPr="00753F6B" w:rsidRDefault="00894FDA" w:rsidP="007441AD">
      <w:pPr>
        <w:jc w:val="both"/>
        <w:rPr>
          <w:rFonts w:ascii="Times New Roman" w:hAnsi="Times New Roman" w:cs="Calibri"/>
          <w:color w:val="000000"/>
          <w:sz w:val="24"/>
          <w:szCs w:val="24"/>
        </w:rPr>
      </w:pPr>
      <w:r>
        <w:rPr>
          <w:rFonts w:ascii="Times New Roman" w:hAnsi="Times New Roman"/>
          <w:sz w:val="24"/>
          <w:szCs w:val="24"/>
        </w:rPr>
        <w:t xml:space="preserve">This phenomenon is illustrated in </w:t>
      </w:r>
      <w:r w:rsidRPr="00753F6B">
        <w:rPr>
          <w:rFonts w:ascii="Times New Roman" w:hAnsi="Times New Roman" w:cs="Calibri"/>
          <w:color w:val="000000"/>
          <w:sz w:val="24"/>
          <w:szCs w:val="24"/>
        </w:rPr>
        <w:t xml:space="preserve">Figure 1 </w:t>
      </w:r>
      <w:r>
        <w:rPr>
          <w:rFonts w:ascii="Times New Roman" w:hAnsi="Times New Roman" w:cs="Calibri"/>
          <w:color w:val="000000"/>
          <w:sz w:val="24"/>
          <w:szCs w:val="24"/>
        </w:rPr>
        <w:t xml:space="preserve">where we </w:t>
      </w:r>
      <w:r w:rsidRPr="00753F6B">
        <w:rPr>
          <w:rFonts w:ascii="Times New Roman" w:hAnsi="Times New Roman" w:cs="Calibri"/>
          <w:color w:val="000000"/>
          <w:sz w:val="24"/>
          <w:szCs w:val="24"/>
        </w:rPr>
        <w:t xml:space="preserve">plot </w:t>
      </w:r>
      <w:r w:rsidRPr="00FC45C2">
        <w:rPr>
          <w:rFonts w:ascii="Times New Roman" w:hAnsi="Times New Roman" w:cs="Calibri"/>
          <w:i/>
          <w:color w:val="000000"/>
          <w:sz w:val="24"/>
          <w:szCs w:val="24"/>
        </w:rPr>
        <w:t>Net Charge-off Rates</w:t>
      </w:r>
      <w:r>
        <w:rPr>
          <w:rFonts w:ascii="Times New Roman" w:hAnsi="Times New Roman" w:cs="Calibri"/>
          <w:color w:val="000000"/>
          <w:sz w:val="24"/>
          <w:szCs w:val="24"/>
        </w:rPr>
        <w:t xml:space="preserve"> (“</w:t>
      </w:r>
      <w:r w:rsidRPr="00753F6B">
        <w:rPr>
          <w:rFonts w:ascii="Times New Roman" w:hAnsi="Times New Roman" w:cs="Calibri"/>
          <w:color w:val="000000"/>
          <w:sz w:val="24"/>
          <w:szCs w:val="24"/>
        </w:rPr>
        <w:t>NCORs</w:t>
      </w:r>
      <w:r>
        <w:rPr>
          <w:rFonts w:ascii="Times New Roman" w:hAnsi="Times New Roman" w:cs="Calibri"/>
          <w:color w:val="000000"/>
          <w:sz w:val="24"/>
          <w:szCs w:val="24"/>
        </w:rPr>
        <w:t>”)</w:t>
      </w:r>
      <w:r w:rsidRPr="00753F6B">
        <w:rPr>
          <w:rFonts w:ascii="Times New Roman" w:hAnsi="Times New Roman" w:cs="Calibri"/>
          <w:color w:val="000000"/>
          <w:sz w:val="24"/>
          <w:szCs w:val="24"/>
        </w:rPr>
        <w:t>,</w:t>
      </w:r>
      <w:r>
        <w:rPr>
          <w:rFonts w:ascii="Times New Roman" w:hAnsi="Times New Roman" w:cs="Calibri"/>
          <w:color w:val="000000"/>
          <w:sz w:val="24"/>
          <w:szCs w:val="24"/>
        </w:rPr>
        <w:t xml:space="preserve"> the </w:t>
      </w:r>
      <w:proofErr w:type="spellStart"/>
      <w:r w:rsidRPr="00AC06D9">
        <w:rPr>
          <w:rFonts w:ascii="Times New Roman" w:hAnsi="Times New Roman" w:cs="Calibri"/>
          <w:i/>
          <w:color w:val="000000"/>
          <w:sz w:val="24"/>
          <w:szCs w:val="24"/>
        </w:rPr>
        <w:t>rovision</w:t>
      </w:r>
      <w:proofErr w:type="spellEnd"/>
      <w:r w:rsidRPr="00AC06D9">
        <w:rPr>
          <w:rFonts w:ascii="Times New Roman" w:hAnsi="Times New Roman" w:cs="Calibri"/>
          <w:i/>
          <w:color w:val="000000"/>
          <w:sz w:val="24"/>
          <w:szCs w:val="24"/>
        </w:rPr>
        <w:t xml:space="preserve"> for Loan and Lease Losses</w:t>
      </w:r>
      <w:r w:rsidRPr="00753F6B">
        <w:rPr>
          <w:rFonts w:ascii="Times New Roman" w:hAnsi="Times New Roman" w:cs="Calibri"/>
          <w:color w:val="000000"/>
          <w:sz w:val="24"/>
          <w:szCs w:val="24"/>
        </w:rPr>
        <w:t xml:space="preserve"> (“PLLL”) and the ALLL for the period 4Q01 to 4Q17</w:t>
      </w:r>
      <w:r>
        <w:rPr>
          <w:rFonts w:ascii="Times New Roman" w:hAnsi="Times New Roman" w:cs="Calibri"/>
          <w:color w:val="000000"/>
          <w:sz w:val="24"/>
          <w:szCs w:val="24"/>
        </w:rPr>
        <w:t>.  This data represents</w:t>
      </w:r>
      <w:r w:rsidRPr="00753F6B">
        <w:rPr>
          <w:rFonts w:ascii="Times New Roman" w:hAnsi="Times New Roman" w:cs="Calibri"/>
          <w:color w:val="000000"/>
          <w:sz w:val="24"/>
          <w:szCs w:val="24"/>
        </w:rPr>
        <w:t xml:space="preserve"> all insured depository institutions in the U.S</w:t>
      </w:r>
      <w:r>
        <w:rPr>
          <w:rFonts w:ascii="Times New Roman" w:hAnsi="Times New Roman" w:cs="Calibri"/>
          <w:color w:val="000000"/>
          <w:sz w:val="24"/>
          <w:szCs w:val="24"/>
        </w:rPr>
        <w:t>. as made available</w:t>
      </w:r>
      <w:r w:rsidRPr="00753F6B">
        <w:rPr>
          <w:rFonts w:ascii="Times New Roman" w:hAnsi="Times New Roman" w:cs="Calibri"/>
          <w:color w:val="000000"/>
          <w:sz w:val="24"/>
          <w:szCs w:val="24"/>
        </w:rPr>
        <w:t xml:space="preserve"> </w:t>
      </w:r>
      <w:r>
        <w:rPr>
          <w:rFonts w:ascii="Times New Roman" w:hAnsi="Times New Roman" w:cs="Calibri"/>
          <w:color w:val="000000"/>
          <w:sz w:val="24"/>
          <w:szCs w:val="24"/>
        </w:rPr>
        <w:t xml:space="preserve">by </w:t>
      </w:r>
      <w:r w:rsidRPr="00753F6B">
        <w:rPr>
          <w:rFonts w:ascii="Times New Roman" w:hAnsi="Times New Roman" w:cs="Calibri"/>
          <w:color w:val="000000"/>
          <w:sz w:val="24"/>
          <w:szCs w:val="24"/>
        </w:rPr>
        <w:t xml:space="preserve">the </w:t>
      </w:r>
      <w:r>
        <w:rPr>
          <w:rFonts w:ascii="Times New Roman" w:hAnsi="Times New Roman" w:cs="Calibri"/>
          <w:color w:val="000000"/>
          <w:sz w:val="24"/>
          <w:szCs w:val="24"/>
        </w:rPr>
        <w:t xml:space="preserve">Federal Deposit Insurance Company in the </w:t>
      </w:r>
      <w:r w:rsidRPr="00753F6B">
        <w:rPr>
          <w:rFonts w:ascii="Times New Roman" w:hAnsi="Times New Roman" w:cs="Calibri"/>
          <w:color w:val="000000"/>
          <w:sz w:val="24"/>
          <w:szCs w:val="24"/>
        </w:rPr>
        <w:t>forms FR Y-9C</w:t>
      </w:r>
      <w:r>
        <w:rPr>
          <w:rFonts w:ascii="Times New Roman" w:hAnsi="Times New Roman" w:cs="Calibri"/>
          <w:color w:val="000000"/>
          <w:sz w:val="24"/>
          <w:szCs w:val="24"/>
        </w:rPr>
        <w:t>, which are commonly termed the “</w:t>
      </w:r>
      <w:r w:rsidRPr="00753F6B">
        <w:rPr>
          <w:rFonts w:ascii="Times New Roman" w:hAnsi="Times New Roman" w:cs="Calibri"/>
          <w:color w:val="000000"/>
          <w:sz w:val="24"/>
          <w:szCs w:val="24"/>
        </w:rPr>
        <w:t>Call R</w:t>
      </w:r>
      <w:r w:rsidRPr="00753F6B">
        <w:rPr>
          <w:rFonts w:ascii="Times New Roman" w:hAnsi="Times New Roman" w:cs="Calibri"/>
          <w:color w:val="000000"/>
          <w:sz w:val="24"/>
          <w:szCs w:val="24"/>
        </w:rPr>
        <w:t>e</w:t>
      </w:r>
      <w:r w:rsidRPr="00753F6B">
        <w:rPr>
          <w:rFonts w:ascii="Times New Roman" w:hAnsi="Times New Roman" w:cs="Calibri"/>
          <w:color w:val="000000"/>
          <w:sz w:val="24"/>
          <w:szCs w:val="24"/>
        </w:rPr>
        <w:t>ports</w:t>
      </w:r>
      <w:r>
        <w:rPr>
          <w:rFonts w:ascii="Times New Roman" w:hAnsi="Times New Roman" w:cs="Calibri"/>
          <w:color w:val="000000"/>
          <w:sz w:val="24"/>
          <w:szCs w:val="24"/>
        </w:rPr>
        <w:t>”</w:t>
      </w:r>
      <w:r w:rsidRPr="00753F6B">
        <w:rPr>
          <w:rFonts w:ascii="Times New Roman" w:hAnsi="Times New Roman" w:cs="Calibri"/>
          <w:color w:val="000000"/>
          <w:sz w:val="24"/>
          <w:szCs w:val="24"/>
        </w:rPr>
        <w:t>.</w:t>
      </w:r>
      <w:r>
        <w:rPr>
          <w:rFonts w:ascii="Times New Roman" w:hAnsi="Times New Roman" w:cs="Calibri"/>
          <w:color w:val="000000"/>
          <w:sz w:val="24"/>
          <w:szCs w:val="24"/>
        </w:rPr>
        <w:t xml:space="preserve">  We show here</w:t>
      </w:r>
      <w:r w:rsidRPr="00753F6B">
        <w:rPr>
          <w:rFonts w:ascii="Times New Roman" w:hAnsi="Times New Roman" w:cs="Calibri"/>
          <w:color w:val="000000"/>
          <w:sz w:val="24"/>
          <w:szCs w:val="24"/>
        </w:rPr>
        <w:t xml:space="preserve"> </w:t>
      </w:r>
      <w:r>
        <w:rPr>
          <w:rFonts w:ascii="Times New Roman" w:hAnsi="Times New Roman" w:cs="Calibri"/>
          <w:color w:val="000000"/>
          <w:sz w:val="24"/>
          <w:szCs w:val="24"/>
        </w:rPr>
        <w:t xml:space="preserve">an outstanding loan balance weighted average </w:t>
      </w:r>
      <w:r w:rsidRPr="00753F6B">
        <w:rPr>
          <w:rFonts w:ascii="Times New Roman" w:hAnsi="Times New Roman" w:cs="Calibri"/>
          <w:color w:val="000000"/>
          <w:sz w:val="24"/>
          <w:szCs w:val="24"/>
        </w:rPr>
        <w:t xml:space="preserve">across all banks, or </w:t>
      </w:r>
      <w:r>
        <w:rPr>
          <w:rFonts w:ascii="Times New Roman" w:hAnsi="Times New Roman" w:cs="Calibri"/>
          <w:color w:val="000000"/>
          <w:sz w:val="24"/>
          <w:szCs w:val="24"/>
        </w:rPr>
        <w:t>a d</w:t>
      </w:r>
      <w:r>
        <w:rPr>
          <w:rFonts w:ascii="Times New Roman" w:hAnsi="Times New Roman" w:cs="Calibri"/>
          <w:color w:val="000000"/>
          <w:sz w:val="24"/>
          <w:szCs w:val="24"/>
        </w:rPr>
        <w:t>e</w:t>
      </w:r>
      <w:r>
        <w:rPr>
          <w:rFonts w:ascii="Times New Roman" w:hAnsi="Times New Roman" w:cs="Calibri"/>
          <w:color w:val="000000"/>
          <w:sz w:val="24"/>
          <w:szCs w:val="24"/>
        </w:rPr>
        <w:t xml:space="preserve">piction of </w:t>
      </w:r>
      <w:r w:rsidRPr="00753F6B">
        <w:rPr>
          <w:rFonts w:ascii="Times New Roman" w:hAnsi="Times New Roman" w:cs="Calibri"/>
          <w:color w:val="000000"/>
          <w:sz w:val="24"/>
          <w:szCs w:val="24"/>
        </w:rPr>
        <w:t>an “average bank”.</w:t>
      </w:r>
      <w:r w:rsidR="007441AD">
        <w:rPr>
          <w:rFonts w:ascii="Times New Roman" w:hAnsi="Times New Roman" w:cs="Calibri"/>
          <w:color w:val="000000"/>
          <w:sz w:val="24"/>
          <w:szCs w:val="24"/>
        </w:rPr>
        <w:t xml:space="preserve">  The figure shows that a</w:t>
      </w:r>
      <w:r w:rsidR="00FC45C2">
        <w:rPr>
          <w:rFonts w:ascii="Times New Roman" w:hAnsi="Times New Roman" w:cs="Calibri"/>
          <w:color w:val="000000"/>
          <w:sz w:val="24"/>
          <w:szCs w:val="24"/>
        </w:rPr>
        <w:t xml:space="preserve">s </w:t>
      </w:r>
      <w:r w:rsidR="00FC45C2" w:rsidRPr="00753F6B">
        <w:rPr>
          <w:rFonts w:ascii="Times New Roman" w:hAnsi="Times New Roman" w:cs="Calibri"/>
          <w:color w:val="000000"/>
          <w:sz w:val="24"/>
          <w:szCs w:val="24"/>
        </w:rPr>
        <w:t xml:space="preserve">NCORs </w:t>
      </w:r>
      <w:r w:rsidR="00FC45C2">
        <w:rPr>
          <w:rFonts w:ascii="Times New Roman" w:hAnsi="Times New Roman" w:cs="Calibri"/>
          <w:color w:val="000000"/>
          <w:sz w:val="24"/>
          <w:szCs w:val="24"/>
        </w:rPr>
        <w:t xml:space="preserve">and PLLs both rise </w:t>
      </w:r>
      <w:r w:rsidR="00FC45C2" w:rsidRPr="00753F6B">
        <w:rPr>
          <w:rFonts w:ascii="Times New Roman" w:hAnsi="Times New Roman" w:cs="Calibri"/>
          <w:color w:val="000000"/>
          <w:sz w:val="24"/>
          <w:szCs w:val="24"/>
        </w:rPr>
        <w:t xml:space="preserve">at the </w:t>
      </w:r>
      <w:r w:rsidR="00FC45C2">
        <w:rPr>
          <w:rFonts w:ascii="Times New Roman" w:hAnsi="Times New Roman" w:cs="Calibri"/>
          <w:color w:val="000000"/>
          <w:sz w:val="24"/>
          <w:szCs w:val="24"/>
        </w:rPr>
        <w:t>b</w:t>
      </w:r>
      <w:r w:rsidR="00FC45C2">
        <w:rPr>
          <w:rFonts w:ascii="Times New Roman" w:hAnsi="Times New Roman" w:cs="Calibri"/>
          <w:color w:val="000000"/>
          <w:sz w:val="24"/>
          <w:szCs w:val="24"/>
        </w:rPr>
        <w:t>e</w:t>
      </w:r>
      <w:r w:rsidR="00FC45C2">
        <w:rPr>
          <w:rFonts w:ascii="Times New Roman" w:hAnsi="Times New Roman" w:cs="Calibri"/>
          <w:color w:val="000000"/>
          <w:sz w:val="24"/>
          <w:szCs w:val="24"/>
        </w:rPr>
        <w:t xml:space="preserve">ginning of the downturn period </w:t>
      </w:r>
      <w:r w:rsidR="00FC45C2" w:rsidRPr="00753F6B">
        <w:rPr>
          <w:rFonts w:ascii="Times New Roman" w:hAnsi="Times New Roman" w:cs="Calibri"/>
          <w:color w:val="000000"/>
          <w:sz w:val="24"/>
          <w:szCs w:val="24"/>
        </w:rPr>
        <w:t>start</w:t>
      </w:r>
      <w:r w:rsidR="00FC45C2">
        <w:rPr>
          <w:rFonts w:ascii="Times New Roman" w:hAnsi="Times New Roman" w:cs="Calibri"/>
          <w:color w:val="000000"/>
          <w:sz w:val="24"/>
          <w:szCs w:val="24"/>
        </w:rPr>
        <w:t>ing</w:t>
      </w:r>
      <w:r w:rsidR="00FC45C2" w:rsidRPr="00753F6B">
        <w:rPr>
          <w:rFonts w:ascii="Times New Roman" w:hAnsi="Times New Roman" w:cs="Calibri"/>
          <w:color w:val="000000"/>
          <w:sz w:val="24"/>
          <w:szCs w:val="24"/>
        </w:rPr>
        <w:t xml:space="preserve"> in 2007, the ALLL </w:t>
      </w:r>
      <w:r w:rsidR="00FC45C2">
        <w:rPr>
          <w:rFonts w:ascii="Times New Roman" w:hAnsi="Times New Roman" w:cs="Calibri"/>
          <w:color w:val="000000"/>
          <w:sz w:val="24"/>
          <w:szCs w:val="24"/>
        </w:rPr>
        <w:t xml:space="preserve">lags this increase and persists in rising </w:t>
      </w:r>
      <w:r w:rsidR="00FC45C2" w:rsidRPr="00753F6B">
        <w:rPr>
          <w:rFonts w:ascii="Times New Roman" w:hAnsi="Times New Roman" w:cs="Calibri"/>
          <w:color w:val="000000"/>
          <w:sz w:val="24"/>
          <w:szCs w:val="24"/>
        </w:rPr>
        <w:t xml:space="preserve">well </w:t>
      </w:r>
      <w:r w:rsidR="00FC45C2">
        <w:rPr>
          <w:rFonts w:ascii="Times New Roman" w:hAnsi="Times New Roman" w:cs="Calibri"/>
          <w:color w:val="000000"/>
          <w:sz w:val="24"/>
          <w:szCs w:val="24"/>
        </w:rPr>
        <w:t xml:space="preserve">into the </w:t>
      </w:r>
      <w:r w:rsidR="00FC45C2" w:rsidRPr="00753F6B">
        <w:rPr>
          <w:rFonts w:ascii="Times New Roman" w:hAnsi="Times New Roman" w:cs="Calibri"/>
          <w:color w:val="000000"/>
          <w:sz w:val="24"/>
          <w:szCs w:val="24"/>
        </w:rPr>
        <w:t xml:space="preserve">economic </w:t>
      </w:r>
      <w:r w:rsidR="00FC45C2">
        <w:rPr>
          <w:rFonts w:ascii="Times New Roman" w:hAnsi="Times New Roman" w:cs="Calibri"/>
          <w:color w:val="000000"/>
          <w:sz w:val="24"/>
          <w:szCs w:val="24"/>
        </w:rPr>
        <w:t>recovery period to</w:t>
      </w:r>
      <w:r w:rsidR="00FC45C2" w:rsidRPr="00753F6B">
        <w:rPr>
          <w:rFonts w:ascii="Times New Roman" w:hAnsi="Times New Roman" w:cs="Calibri"/>
          <w:color w:val="000000"/>
          <w:sz w:val="24"/>
          <w:szCs w:val="24"/>
        </w:rPr>
        <w:t xml:space="preserve"> peak in 2010.  This </w:t>
      </w:r>
      <w:r w:rsidR="00FC45C2">
        <w:rPr>
          <w:rFonts w:ascii="Times New Roman" w:hAnsi="Times New Roman" w:cs="Calibri"/>
          <w:color w:val="000000"/>
          <w:sz w:val="24"/>
          <w:szCs w:val="24"/>
        </w:rPr>
        <w:t>build-up in the ALLL occurred just as bank asset quality was in decline, with worsening capital ratios, resulting in both declining earnings and lending activity</w:t>
      </w:r>
      <w:r w:rsidR="007441AD">
        <w:rPr>
          <w:rFonts w:ascii="Times New Roman" w:hAnsi="Times New Roman" w:cs="Calibri"/>
          <w:color w:val="000000"/>
          <w:sz w:val="24"/>
          <w:szCs w:val="24"/>
        </w:rPr>
        <w:t xml:space="preserve"> and added to the severity of the so-called Great Recession.</w:t>
      </w:r>
      <w:r w:rsidR="00FC45C2">
        <w:rPr>
          <w:rFonts w:ascii="Times New Roman" w:hAnsi="Times New Roman" w:cs="Calibri"/>
          <w:color w:val="000000"/>
          <w:sz w:val="24"/>
          <w:szCs w:val="24"/>
        </w:rPr>
        <w:t xml:space="preserve">  </w:t>
      </w:r>
      <w:r w:rsidR="00FC45C2" w:rsidRPr="00753F6B">
        <w:rPr>
          <w:rFonts w:ascii="Times New Roman" w:hAnsi="Times New Roman" w:cs="Calibri"/>
          <w:color w:val="000000"/>
          <w:sz w:val="24"/>
          <w:szCs w:val="24"/>
        </w:rPr>
        <w:t xml:space="preserve">  </w:t>
      </w:r>
    </w:p>
    <w:p w:rsidR="0016004E" w:rsidRDefault="007441AD" w:rsidP="006D27F9">
      <w:pPr>
        <w:spacing w:before="100" w:beforeAutospacing="1" w:after="100" w:afterAutospacing="1" w:line="240" w:lineRule="auto"/>
        <w:jc w:val="both"/>
        <w:rPr>
          <w:rFonts w:ascii="Times New Roman" w:hAnsi="Times New Roman"/>
          <w:sz w:val="24"/>
          <w:szCs w:val="24"/>
        </w:rPr>
      </w:pPr>
      <w:r w:rsidRPr="00983020">
        <w:rPr>
          <w:rFonts w:ascii="Times New Roman" w:hAnsi="Times New Roman"/>
          <w:sz w:val="24"/>
          <w:szCs w:val="24"/>
        </w:rPr>
        <w:t>The</w:t>
      </w:r>
      <w:r>
        <w:rPr>
          <w:rFonts w:ascii="Times New Roman" w:hAnsi="Times New Roman"/>
          <w:sz w:val="24"/>
          <w:szCs w:val="24"/>
        </w:rPr>
        <w:t xml:space="preserve"> consensus view is that</w:t>
      </w:r>
      <w:r w:rsidR="000F7649">
        <w:rPr>
          <w:rFonts w:ascii="Times New Roman" w:hAnsi="Times New Roman"/>
          <w:sz w:val="24"/>
          <w:szCs w:val="24"/>
        </w:rPr>
        <w:t xml:space="preserve"> the motivation of FASB to consider the CECL standard was</w:t>
      </w:r>
      <w:r>
        <w:rPr>
          <w:rFonts w:ascii="Times New Roman" w:hAnsi="Times New Roman"/>
          <w:sz w:val="24"/>
          <w:szCs w:val="24"/>
        </w:rPr>
        <w:t xml:space="preserve"> the </w:t>
      </w:r>
      <w:r w:rsidR="000F7649">
        <w:rPr>
          <w:rFonts w:ascii="Times New Roman" w:hAnsi="Times New Roman"/>
          <w:sz w:val="24"/>
          <w:szCs w:val="24"/>
        </w:rPr>
        <w:t>pr</w:t>
      </w:r>
      <w:r w:rsidR="000F7649">
        <w:rPr>
          <w:rFonts w:ascii="Times New Roman" w:hAnsi="Times New Roman"/>
          <w:sz w:val="24"/>
          <w:szCs w:val="24"/>
        </w:rPr>
        <w:t>o</w:t>
      </w:r>
      <w:r w:rsidR="000F7649">
        <w:rPr>
          <w:rFonts w:ascii="Times New Roman" w:hAnsi="Times New Roman"/>
          <w:sz w:val="24"/>
          <w:szCs w:val="24"/>
        </w:rPr>
        <w:t xml:space="preserve">cyclicality of the </w:t>
      </w:r>
      <w:r>
        <w:rPr>
          <w:rFonts w:ascii="Times New Roman" w:hAnsi="Times New Roman"/>
          <w:sz w:val="24"/>
          <w:szCs w:val="24"/>
        </w:rPr>
        <w:t>incurred loss standard</w:t>
      </w:r>
      <w:r w:rsidR="006D27F9">
        <w:rPr>
          <w:rFonts w:ascii="Times New Roman" w:hAnsi="Times New Roman"/>
          <w:sz w:val="24"/>
          <w:szCs w:val="24"/>
        </w:rPr>
        <w:t xml:space="preserve">, a narrative fortified by the severe consequences of the last downturn.  This sentiment was rather broad based, emanating from various corners of the credit risk community spanning accounting, risk audit and supervision.  </w:t>
      </w:r>
      <w:r w:rsidR="0016004E">
        <w:rPr>
          <w:rFonts w:ascii="Times New Roman" w:hAnsi="Times New Roman"/>
          <w:sz w:val="24"/>
          <w:szCs w:val="24"/>
        </w:rPr>
        <w:t xml:space="preserve">The first mover in this initiative </w:t>
      </w:r>
    </w:p>
    <w:p w:rsidR="0016004E" w:rsidRDefault="0016004E" w:rsidP="0016004E">
      <w:pPr>
        <w:jc w:val="both"/>
        <w:rPr>
          <w:rFonts w:ascii="Times New Roman" w:hAnsi="Times New Roman"/>
          <w:sz w:val="24"/>
          <w:szCs w:val="24"/>
        </w:rPr>
      </w:pPr>
    </w:p>
    <w:p w:rsidR="0016004E" w:rsidRDefault="0016004E" w:rsidP="0016004E">
      <w:pPr>
        <w:spacing w:before="100" w:beforeAutospacing="1" w:after="100" w:afterAutospacing="1" w:line="240" w:lineRule="auto"/>
        <w:jc w:val="both"/>
        <w:rPr>
          <w:rFonts w:ascii="Times New Roman" w:hAnsi="Times New Roman"/>
          <w:sz w:val="24"/>
          <w:szCs w:val="24"/>
        </w:rPr>
      </w:pPr>
      <w:r w:rsidRPr="00C177B3">
        <w:rPr>
          <w:noProof/>
        </w:rPr>
        <w:drawing>
          <wp:inline distT="0" distB="0" distL="0" distR="0" wp14:anchorId="1D0DECF6" wp14:editId="3A485ED4">
            <wp:extent cx="5943600" cy="4312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312285"/>
                    </a:xfrm>
                    <a:prstGeom prst="rect">
                      <a:avLst/>
                    </a:prstGeom>
                  </pic:spPr>
                </pic:pic>
              </a:graphicData>
            </a:graphic>
          </wp:inline>
        </w:drawing>
      </w:r>
    </w:p>
    <w:p w:rsidR="0016004E" w:rsidRDefault="0016004E" w:rsidP="0016004E">
      <w:pPr>
        <w:spacing w:before="100" w:beforeAutospacing="1" w:after="100" w:afterAutospacing="1" w:line="240" w:lineRule="auto"/>
        <w:jc w:val="both"/>
        <w:rPr>
          <w:rFonts w:ascii="Times New Roman" w:hAnsi="Times New Roman"/>
          <w:b/>
          <w:sz w:val="24"/>
          <w:szCs w:val="24"/>
        </w:rPr>
      </w:pPr>
      <w:r w:rsidRPr="00C177B3">
        <w:rPr>
          <w:rFonts w:ascii="Times New Roman" w:hAnsi="Times New Roman"/>
          <w:b/>
          <w:sz w:val="24"/>
          <w:szCs w:val="24"/>
        </w:rPr>
        <w:t xml:space="preserve">Figure 1: </w:t>
      </w:r>
      <w:r w:rsidRPr="0024674F">
        <w:rPr>
          <w:rFonts w:ascii="Times New Roman" w:hAnsi="Times New Roman"/>
          <w:b/>
          <w:sz w:val="24"/>
          <w:szCs w:val="24"/>
        </w:rPr>
        <w:t>Net Charge-off Rates, Loan Loss Provisions and the ALLL as a Percent of Total Assets</w:t>
      </w:r>
      <w:r w:rsidRPr="00C177B3">
        <w:rPr>
          <w:rFonts w:ascii="Times New Roman" w:hAnsi="Times New Roman"/>
          <w:b/>
          <w:sz w:val="24"/>
          <w:szCs w:val="24"/>
        </w:rPr>
        <w:t xml:space="preserve"> – All Insured Depository Institutions in the U.S. (Federal Deposit Insurance Corp</w:t>
      </w:r>
      <w:r w:rsidRPr="00C177B3">
        <w:rPr>
          <w:rFonts w:ascii="Times New Roman" w:hAnsi="Times New Roman"/>
          <w:b/>
          <w:sz w:val="24"/>
          <w:szCs w:val="24"/>
        </w:rPr>
        <w:t>o</w:t>
      </w:r>
      <w:r w:rsidRPr="00C177B3">
        <w:rPr>
          <w:rFonts w:ascii="Times New Roman" w:hAnsi="Times New Roman"/>
          <w:b/>
          <w:sz w:val="24"/>
          <w:szCs w:val="24"/>
        </w:rPr>
        <w:t>ration Statistics on Depository Institutions Report – Schedule FR Y-9C)</w:t>
      </w:r>
    </w:p>
    <w:p w:rsidR="006D27F9" w:rsidRDefault="0016004E" w:rsidP="0016004E">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by the standard setters was by the</w:t>
      </w:r>
      <w:r w:rsidRPr="00487BE4">
        <w:rPr>
          <w:rFonts w:ascii="Times New Roman" w:hAnsi="Times New Roman"/>
          <w:i/>
          <w:sz w:val="24"/>
          <w:szCs w:val="24"/>
        </w:rPr>
        <w:t xml:space="preserve"> </w:t>
      </w:r>
      <w:r w:rsidR="006D27F9" w:rsidRPr="00487BE4">
        <w:rPr>
          <w:rFonts w:ascii="Times New Roman" w:hAnsi="Times New Roman"/>
          <w:i/>
          <w:sz w:val="24"/>
          <w:szCs w:val="24"/>
        </w:rPr>
        <w:t>International Accounting Standards Board</w:t>
      </w:r>
      <w:r w:rsidR="006D27F9" w:rsidRPr="0006361E">
        <w:rPr>
          <w:rFonts w:ascii="Times New Roman" w:hAnsi="Times New Roman"/>
          <w:sz w:val="24"/>
          <w:szCs w:val="24"/>
        </w:rPr>
        <w:t xml:space="preserve"> </w:t>
      </w:r>
      <w:r w:rsidR="006D27F9">
        <w:rPr>
          <w:rFonts w:ascii="Times New Roman" w:hAnsi="Times New Roman"/>
          <w:sz w:val="24"/>
          <w:szCs w:val="24"/>
        </w:rPr>
        <w:t>(“</w:t>
      </w:r>
      <w:r w:rsidR="006D27F9" w:rsidRPr="0006361E">
        <w:rPr>
          <w:rFonts w:ascii="Times New Roman" w:hAnsi="Times New Roman"/>
          <w:sz w:val="24"/>
          <w:szCs w:val="24"/>
        </w:rPr>
        <w:t>IASB</w:t>
      </w:r>
      <w:r w:rsidR="006D27F9">
        <w:rPr>
          <w:rFonts w:ascii="Times New Roman" w:hAnsi="Times New Roman"/>
          <w:sz w:val="24"/>
          <w:szCs w:val="24"/>
        </w:rPr>
        <w:t>”</w:t>
      </w:r>
      <w:r w:rsidR="006D27F9" w:rsidRPr="0006361E">
        <w:rPr>
          <w:rFonts w:ascii="Times New Roman" w:hAnsi="Times New Roman"/>
          <w:sz w:val="24"/>
          <w:szCs w:val="24"/>
        </w:rPr>
        <w:t>)</w:t>
      </w:r>
      <w:r w:rsidR="006D27F9">
        <w:rPr>
          <w:rFonts w:ascii="Times New Roman" w:hAnsi="Times New Roman"/>
          <w:sz w:val="24"/>
          <w:szCs w:val="24"/>
        </w:rPr>
        <w:t xml:space="preserve"> in with the </w:t>
      </w:r>
      <w:r w:rsidR="006D27F9" w:rsidRPr="002C63B0">
        <w:rPr>
          <w:rFonts w:ascii="Times New Roman" w:hAnsi="Times New Roman"/>
          <w:i/>
          <w:sz w:val="24"/>
          <w:szCs w:val="24"/>
        </w:rPr>
        <w:t>International Reporting for Financial Statement Number 9</w:t>
      </w:r>
      <w:r w:rsidR="006D27F9">
        <w:rPr>
          <w:rFonts w:ascii="Times New Roman" w:hAnsi="Times New Roman"/>
          <w:sz w:val="24"/>
          <w:szCs w:val="24"/>
        </w:rPr>
        <w:t xml:space="preserve"> (IASB, 2104; “IRFS9”).  IRFS9 represented a framework that was still </w:t>
      </w:r>
      <w:r w:rsidR="006D27F9" w:rsidRPr="001070B2">
        <w:rPr>
          <w:rFonts w:ascii="Times New Roman" w:hAnsi="Times New Roman"/>
          <w:i/>
          <w:sz w:val="24"/>
          <w:szCs w:val="24"/>
        </w:rPr>
        <w:t>expected loss</w:t>
      </w:r>
      <w:r w:rsidR="006D27F9">
        <w:rPr>
          <w:rFonts w:ascii="Times New Roman" w:hAnsi="Times New Roman"/>
          <w:sz w:val="24"/>
          <w:szCs w:val="24"/>
        </w:rPr>
        <w:t xml:space="preserve"> (‘EL”) based</w:t>
      </w:r>
      <w:r w:rsidR="006D27F9" w:rsidRPr="008D37EE">
        <w:rPr>
          <w:rFonts w:ascii="Times New Roman" w:hAnsi="Times New Roman"/>
          <w:sz w:val="24"/>
          <w:szCs w:val="24"/>
        </w:rPr>
        <w:t xml:space="preserve"> </w:t>
      </w:r>
      <w:r w:rsidR="006D27F9">
        <w:rPr>
          <w:rFonts w:ascii="Times New Roman" w:hAnsi="Times New Roman"/>
          <w:sz w:val="24"/>
          <w:szCs w:val="24"/>
        </w:rPr>
        <w:t xml:space="preserve">for </w:t>
      </w:r>
      <w:r w:rsidR="006D27F9" w:rsidRPr="0006361E">
        <w:rPr>
          <w:rFonts w:ascii="Times New Roman" w:hAnsi="Times New Roman"/>
          <w:sz w:val="24"/>
          <w:szCs w:val="24"/>
        </w:rPr>
        <w:t xml:space="preserve">credit </w:t>
      </w:r>
      <w:r w:rsidR="006D27F9">
        <w:rPr>
          <w:rFonts w:ascii="Times New Roman" w:hAnsi="Times New Roman"/>
          <w:sz w:val="24"/>
          <w:szCs w:val="24"/>
        </w:rPr>
        <w:t>risk provisioning, as was the incurred loss standard, with a key difference being the incorporation of macroeconomic forecasts.  FASB followed suite with the release of the new CECL (FASB, 2016), which while as with IRFS9 had the forecasting element, contained other fundamental differences</w:t>
      </w:r>
      <w:r>
        <w:rPr>
          <w:rFonts w:ascii="Times New Roman" w:hAnsi="Times New Roman"/>
          <w:sz w:val="24"/>
          <w:szCs w:val="24"/>
        </w:rPr>
        <w:t xml:space="preserve"> from the legacy standard and IRFS9</w:t>
      </w:r>
      <w:r w:rsidR="006D27F9">
        <w:rPr>
          <w:rFonts w:ascii="Times New Roman" w:hAnsi="Times New Roman"/>
          <w:sz w:val="24"/>
          <w:szCs w:val="24"/>
        </w:rPr>
        <w:t>.</w:t>
      </w:r>
      <w:r>
        <w:rPr>
          <w:rFonts w:ascii="Times New Roman" w:hAnsi="Times New Roman"/>
          <w:sz w:val="24"/>
          <w:szCs w:val="24"/>
        </w:rPr>
        <w:t xml:space="preserve">  In the case of performing loans, CECL prescribes a projection of EL over the anticipated tenor of the instrument, whereas under IRFS9 this life-of-loan expectation is li</w:t>
      </w:r>
      <w:r>
        <w:rPr>
          <w:rFonts w:ascii="Times New Roman" w:hAnsi="Times New Roman"/>
          <w:sz w:val="24"/>
          <w:szCs w:val="24"/>
        </w:rPr>
        <w:t>m</w:t>
      </w:r>
      <w:r>
        <w:rPr>
          <w:rFonts w:ascii="Times New Roman" w:hAnsi="Times New Roman"/>
          <w:sz w:val="24"/>
          <w:szCs w:val="24"/>
        </w:rPr>
        <w:t>ited to impaired assets.  In the case of performing loans, IRFS9 limits the forecasting horizon to 1 year, similarly to the EL approach under the incurred loss standard, albeit minus the forecasting component in the case of impaired assets.  IRFS9 also differs from CECL in that when the lik</w:t>
      </w:r>
      <w:r>
        <w:rPr>
          <w:rFonts w:ascii="Times New Roman" w:hAnsi="Times New Roman"/>
          <w:sz w:val="24"/>
          <w:szCs w:val="24"/>
        </w:rPr>
        <w:t>e</w:t>
      </w:r>
      <w:r>
        <w:rPr>
          <w:rFonts w:ascii="Times New Roman" w:hAnsi="Times New Roman"/>
          <w:sz w:val="24"/>
          <w:szCs w:val="24"/>
        </w:rPr>
        <w:t>lihood of impairment on an instrument increases materially, it contains conditions whereby the forecasting horizon switches from 1-year to the expected tenor of the instrument.</w:t>
      </w:r>
    </w:p>
    <w:p w:rsidR="006D27F9" w:rsidRPr="0006361E" w:rsidRDefault="006D27F9" w:rsidP="006D27F9">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lastRenderedPageBreak/>
        <w:t xml:space="preserve">The scope of </w:t>
      </w:r>
      <w:r w:rsidRPr="0006361E">
        <w:rPr>
          <w:rFonts w:ascii="Times New Roman" w:hAnsi="Times New Roman"/>
          <w:sz w:val="24"/>
          <w:szCs w:val="24"/>
        </w:rPr>
        <w:t xml:space="preserve">CECL </w:t>
      </w:r>
      <w:r>
        <w:rPr>
          <w:rFonts w:ascii="Times New Roman" w:hAnsi="Times New Roman"/>
          <w:sz w:val="24"/>
          <w:szCs w:val="24"/>
        </w:rPr>
        <w:t xml:space="preserve">spans </w:t>
      </w:r>
      <w:r w:rsidRPr="0006361E">
        <w:rPr>
          <w:rFonts w:ascii="Times New Roman" w:hAnsi="Times New Roman"/>
          <w:sz w:val="24"/>
          <w:szCs w:val="24"/>
        </w:rPr>
        <w:t xml:space="preserve">all financial assets carried </w:t>
      </w:r>
      <w:r>
        <w:rPr>
          <w:rFonts w:ascii="Times New Roman" w:hAnsi="Times New Roman"/>
          <w:sz w:val="24"/>
          <w:szCs w:val="24"/>
        </w:rPr>
        <w:t xml:space="preserve">booked as </w:t>
      </w:r>
      <w:r w:rsidRPr="006F2790">
        <w:rPr>
          <w:rFonts w:ascii="Times New Roman" w:hAnsi="Times New Roman"/>
          <w:i/>
          <w:sz w:val="24"/>
          <w:szCs w:val="24"/>
        </w:rPr>
        <w:t>held-for-investment</w:t>
      </w:r>
      <w:r w:rsidRPr="0006361E">
        <w:rPr>
          <w:rFonts w:ascii="Times New Roman" w:hAnsi="Times New Roman"/>
          <w:sz w:val="24"/>
          <w:szCs w:val="24"/>
        </w:rPr>
        <w:t xml:space="preserve"> (</w:t>
      </w:r>
      <w:r>
        <w:rPr>
          <w:rFonts w:ascii="Times New Roman" w:hAnsi="Times New Roman"/>
          <w:sz w:val="24"/>
          <w:szCs w:val="24"/>
        </w:rPr>
        <w:t>“</w:t>
      </w:r>
      <w:r w:rsidRPr="0006361E">
        <w:rPr>
          <w:rFonts w:ascii="Times New Roman" w:hAnsi="Times New Roman"/>
          <w:sz w:val="24"/>
          <w:szCs w:val="24"/>
        </w:rPr>
        <w:t>HFI</w:t>
      </w:r>
      <w:r>
        <w:rPr>
          <w:rFonts w:ascii="Times New Roman" w:hAnsi="Times New Roman"/>
          <w:sz w:val="24"/>
          <w:szCs w:val="24"/>
        </w:rPr>
        <w:t>”</w:t>
      </w:r>
      <w:r w:rsidRPr="0006361E">
        <w:rPr>
          <w:rFonts w:ascii="Times New Roman" w:hAnsi="Times New Roman"/>
          <w:sz w:val="24"/>
          <w:szCs w:val="24"/>
        </w:rPr>
        <w:t xml:space="preserve">) </w:t>
      </w:r>
      <w:r>
        <w:rPr>
          <w:rFonts w:ascii="Times New Roman" w:hAnsi="Times New Roman"/>
          <w:sz w:val="24"/>
          <w:szCs w:val="24"/>
        </w:rPr>
        <w:t>or</w:t>
      </w:r>
      <w:r w:rsidRPr="0006361E">
        <w:rPr>
          <w:rFonts w:ascii="Times New Roman" w:hAnsi="Times New Roman"/>
          <w:sz w:val="24"/>
          <w:szCs w:val="24"/>
        </w:rPr>
        <w:t xml:space="preserve"> </w:t>
      </w:r>
      <w:r w:rsidRPr="006F2790">
        <w:rPr>
          <w:rFonts w:ascii="Times New Roman" w:hAnsi="Times New Roman"/>
          <w:i/>
          <w:sz w:val="24"/>
          <w:szCs w:val="24"/>
        </w:rPr>
        <w:t>held-to-maturity</w:t>
      </w:r>
      <w:r w:rsidRPr="0006361E">
        <w:rPr>
          <w:rFonts w:ascii="Times New Roman" w:hAnsi="Times New Roman"/>
          <w:sz w:val="24"/>
          <w:szCs w:val="24"/>
        </w:rPr>
        <w:t xml:space="preserve"> (</w:t>
      </w:r>
      <w:r>
        <w:rPr>
          <w:rFonts w:ascii="Times New Roman" w:hAnsi="Times New Roman"/>
          <w:sz w:val="24"/>
          <w:szCs w:val="24"/>
        </w:rPr>
        <w:t>“</w:t>
      </w:r>
      <w:r w:rsidRPr="0006361E">
        <w:rPr>
          <w:rFonts w:ascii="Times New Roman" w:hAnsi="Times New Roman"/>
          <w:sz w:val="24"/>
          <w:szCs w:val="24"/>
        </w:rPr>
        <w:t>HTM</w:t>
      </w:r>
      <w:r>
        <w:rPr>
          <w:rFonts w:ascii="Times New Roman" w:hAnsi="Times New Roman"/>
          <w:sz w:val="24"/>
          <w:szCs w:val="24"/>
        </w:rPr>
        <w:t>”</w:t>
      </w:r>
      <w:r w:rsidRPr="0006361E">
        <w:rPr>
          <w:rFonts w:ascii="Times New Roman" w:hAnsi="Times New Roman"/>
          <w:sz w:val="24"/>
          <w:szCs w:val="24"/>
        </w:rPr>
        <w:t>)</w:t>
      </w:r>
      <w:r>
        <w:rPr>
          <w:rFonts w:ascii="Times New Roman" w:hAnsi="Times New Roman"/>
          <w:sz w:val="24"/>
          <w:szCs w:val="24"/>
        </w:rPr>
        <w:t xml:space="preserve">, or on an </w:t>
      </w:r>
      <w:r w:rsidRPr="00122BF2">
        <w:rPr>
          <w:rFonts w:ascii="Times New Roman" w:hAnsi="Times New Roman"/>
          <w:i/>
          <w:sz w:val="24"/>
          <w:szCs w:val="24"/>
        </w:rPr>
        <w:t>amortized cost</w:t>
      </w:r>
      <w:r>
        <w:rPr>
          <w:rFonts w:ascii="Times New Roman" w:hAnsi="Times New Roman"/>
          <w:sz w:val="24"/>
          <w:szCs w:val="24"/>
        </w:rPr>
        <w:t xml:space="preserve"> basis.  This is colloquially known as the </w:t>
      </w:r>
      <w:r w:rsidRPr="006F2790">
        <w:rPr>
          <w:rFonts w:ascii="Times New Roman" w:hAnsi="Times New Roman"/>
          <w:i/>
          <w:sz w:val="24"/>
          <w:szCs w:val="24"/>
        </w:rPr>
        <w:t>banking book</w:t>
      </w:r>
      <w:r>
        <w:rPr>
          <w:rFonts w:ascii="Times New Roman" w:hAnsi="Times New Roman"/>
          <w:sz w:val="24"/>
          <w:szCs w:val="24"/>
        </w:rPr>
        <w:t xml:space="preserve"> and constitutes most of the assets held by insured depositories.  As mentioned previously, an important difference in CECL from incurred loss standard is that it is an EL methodology having a forecasting component that is applied to an expected life of instruments at the date financial reporting.   A final point to note on CECL details is that the ALLL in this framework is a </w:t>
      </w:r>
      <w:r w:rsidRPr="00A05C73">
        <w:rPr>
          <w:rFonts w:ascii="Times New Roman" w:hAnsi="Times New Roman"/>
          <w:i/>
          <w:sz w:val="24"/>
          <w:szCs w:val="24"/>
        </w:rPr>
        <w:t>valuation account</w:t>
      </w:r>
      <w:r>
        <w:rPr>
          <w:rFonts w:ascii="Times New Roman" w:hAnsi="Times New Roman"/>
          <w:sz w:val="24"/>
          <w:szCs w:val="24"/>
        </w:rPr>
        <w:t>, defined as a difference in the</w:t>
      </w:r>
      <w:r w:rsidRPr="00A05C73">
        <w:rPr>
          <w:rFonts w:ascii="Times New Roman" w:hAnsi="Times New Roman"/>
          <w:i/>
          <w:sz w:val="24"/>
          <w:szCs w:val="24"/>
        </w:rPr>
        <w:t xml:space="preserve"> </w:t>
      </w:r>
      <w:r w:rsidRPr="00E12B3E">
        <w:rPr>
          <w:rFonts w:ascii="Times New Roman" w:hAnsi="Times New Roman"/>
          <w:i/>
          <w:sz w:val="24"/>
          <w:szCs w:val="24"/>
        </w:rPr>
        <w:t>amortized cost basis</w:t>
      </w:r>
      <w:r>
        <w:rPr>
          <w:rFonts w:ascii="Times New Roman" w:hAnsi="Times New Roman"/>
          <w:sz w:val="24"/>
          <w:szCs w:val="24"/>
        </w:rPr>
        <w:t xml:space="preserve"> versus the expected accounting income to be received on loans.  Operationally, from an EL perspective this means that increases expected lifetime credit losses imply a greater deduction from the amortized cost basis, and result in a build of reserves.</w:t>
      </w:r>
    </w:p>
    <w:p w:rsidR="006D27F9" w:rsidRDefault="00051476" w:rsidP="006D27F9">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CECL requires that forecasts of EL are conditioned spot portfolio characteristics, the corr</w:t>
      </w:r>
      <w:r>
        <w:rPr>
          <w:rFonts w:ascii="Times New Roman" w:hAnsi="Times New Roman"/>
          <w:sz w:val="24"/>
          <w:szCs w:val="24"/>
        </w:rPr>
        <w:t>e</w:t>
      </w:r>
      <w:r>
        <w:rPr>
          <w:rFonts w:ascii="Times New Roman" w:hAnsi="Times New Roman"/>
          <w:sz w:val="24"/>
          <w:szCs w:val="24"/>
        </w:rPr>
        <w:t xml:space="preserve">sponding historical data used to estimate credit risk models (exposures, risk ratings and loan/obligor risk factors that drive </w:t>
      </w:r>
      <w:r w:rsidRPr="003145C7">
        <w:rPr>
          <w:rFonts w:ascii="Times New Roman" w:hAnsi="Times New Roman"/>
          <w:i/>
          <w:sz w:val="24"/>
          <w:szCs w:val="24"/>
        </w:rPr>
        <w:t>probability-of-default</w:t>
      </w:r>
      <w:r>
        <w:rPr>
          <w:rFonts w:ascii="Times New Roman" w:hAnsi="Times New Roman"/>
          <w:sz w:val="24"/>
          <w:szCs w:val="24"/>
        </w:rPr>
        <w:t xml:space="preserve"> – “PD”, </w:t>
      </w:r>
      <w:r>
        <w:rPr>
          <w:rFonts w:ascii="Times New Roman" w:hAnsi="Times New Roman"/>
          <w:i/>
          <w:sz w:val="24"/>
          <w:szCs w:val="24"/>
        </w:rPr>
        <w:t>exposure</w:t>
      </w:r>
      <w:r w:rsidRPr="003145C7">
        <w:rPr>
          <w:rFonts w:ascii="Times New Roman" w:hAnsi="Times New Roman"/>
          <w:i/>
          <w:sz w:val="24"/>
          <w:szCs w:val="24"/>
        </w:rPr>
        <w:t>-</w:t>
      </w:r>
      <w:r>
        <w:rPr>
          <w:rFonts w:ascii="Times New Roman" w:hAnsi="Times New Roman"/>
          <w:i/>
          <w:sz w:val="24"/>
          <w:szCs w:val="24"/>
        </w:rPr>
        <w:t>at</w:t>
      </w:r>
      <w:r w:rsidRPr="003145C7">
        <w:rPr>
          <w:rFonts w:ascii="Times New Roman" w:hAnsi="Times New Roman"/>
          <w:i/>
          <w:sz w:val="24"/>
          <w:szCs w:val="24"/>
        </w:rPr>
        <w:t>-default</w:t>
      </w:r>
      <w:r>
        <w:rPr>
          <w:rFonts w:ascii="Times New Roman" w:hAnsi="Times New Roman"/>
          <w:sz w:val="24"/>
          <w:szCs w:val="24"/>
        </w:rPr>
        <w:t xml:space="preserve"> – “EAD” and </w:t>
      </w:r>
      <w:r>
        <w:rPr>
          <w:rFonts w:ascii="Times New Roman" w:hAnsi="Times New Roman"/>
          <w:i/>
          <w:sz w:val="24"/>
          <w:szCs w:val="24"/>
        </w:rPr>
        <w:t>loss</w:t>
      </w:r>
      <w:r w:rsidRPr="003145C7">
        <w:rPr>
          <w:rFonts w:ascii="Times New Roman" w:hAnsi="Times New Roman"/>
          <w:i/>
          <w:sz w:val="24"/>
          <w:szCs w:val="24"/>
        </w:rPr>
        <w:t>-</w:t>
      </w:r>
      <w:r>
        <w:rPr>
          <w:rFonts w:ascii="Times New Roman" w:hAnsi="Times New Roman"/>
          <w:i/>
          <w:sz w:val="24"/>
          <w:szCs w:val="24"/>
        </w:rPr>
        <w:t>given</w:t>
      </w:r>
      <w:r w:rsidRPr="003145C7">
        <w:rPr>
          <w:rFonts w:ascii="Times New Roman" w:hAnsi="Times New Roman"/>
          <w:i/>
          <w:sz w:val="24"/>
          <w:szCs w:val="24"/>
        </w:rPr>
        <w:t>-default</w:t>
      </w:r>
      <w:r>
        <w:rPr>
          <w:rFonts w:ascii="Times New Roman" w:hAnsi="Times New Roman"/>
          <w:sz w:val="24"/>
          <w:szCs w:val="24"/>
        </w:rPr>
        <w:t xml:space="preserve"> – “LGD”) mapped to the latter and macroeconomic forecasts.  FASB further requires that the credit risk model and macroeconomic forecasts be formed over a horizon that is deemed to be a </w:t>
      </w:r>
      <w:r w:rsidRPr="008A1179">
        <w:rPr>
          <w:rFonts w:ascii="Times New Roman" w:hAnsi="Times New Roman"/>
          <w:i/>
          <w:sz w:val="24"/>
          <w:szCs w:val="24"/>
        </w:rPr>
        <w:t>reasonable and supportable forecast</w:t>
      </w:r>
      <w:r>
        <w:rPr>
          <w:rFonts w:ascii="Times New Roman" w:hAnsi="Times New Roman"/>
          <w:i/>
          <w:sz w:val="24"/>
          <w:szCs w:val="24"/>
        </w:rPr>
        <w:t>ing</w:t>
      </w:r>
      <w:r>
        <w:rPr>
          <w:rFonts w:ascii="Times New Roman" w:hAnsi="Times New Roman"/>
          <w:sz w:val="24"/>
          <w:szCs w:val="24"/>
        </w:rPr>
        <w:t xml:space="preserve"> (“RSF”) period, wherein it is e</w:t>
      </w:r>
      <w:r>
        <w:rPr>
          <w:rFonts w:ascii="Times New Roman" w:hAnsi="Times New Roman"/>
          <w:sz w:val="24"/>
          <w:szCs w:val="24"/>
        </w:rPr>
        <w:t>x</w:t>
      </w:r>
      <w:r>
        <w:rPr>
          <w:rFonts w:ascii="Times New Roman" w:hAnsi="Times New Roman"/>
          <w:sz w:val="24"/>
          <w:szCs w:val="24"/>
        </w:rPr>
        <w:t>pected that forecast errors would be tolerable and that institutions would be able to substantiate the quality of these forecasts.</w:t>
      </w:r>
    </w:p>
    <w:p w:rsidR="006D27F9" w:rsidRPr="0006361E" w:rsidRDefault="006D27F9" w:rsidP="006D27F9">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FASB has not prescribed the econometric methodologies for either the credit risk or macroec</w:t>
      </w:r>
      <w:r>
        <w:rPr>
          <w:rFonts w:ascii="Times New Roman" w:hAnsi="Times New Roman"/>
          <w:sz w:val="24"/>
          <w:szCs w:val="24"/>
        </w:rPr>
        <w:t>o</w:t>
      </w:r>
      <w:r>
        <w:rPr>
          <w:rFonts w:ascii="Times New Roman" w:hAnsi="Times New Roman"/>
          <w:sz w:val="24"/>
          <w:szCs w:val="24"/>
        </w:rPr>
        <w:t>nomic models, nor what constitute</w:t>
      </w:r>
      <w:r w:rsidR="000C3807">
        <w:rPr>
          <w:rFonts w:ascii="Times New Roman" w:hAnsi="Times New Roman"/>
          <w:sz w:val="24"/>
          <w:szCs w:val="24"/>
        </w:rPr>
        <w:t>s</w:t>
      </w:r>
      <w:r w:rsidRPr="0006361E">
        <w:rPr>
          <w:rFonts w:ascii="Times New Roman" w:hAnsi="Times New Roman"/>
          <w:sz w:val="24"/>
          <w:szCs w:val="24"/>
        </w:rPr>
        <w:t xml:space="preserve"> reasonable and supportable </w:t>
      </w:r>
      <w:r>
        <w:rPr>
          <w:rFonts w:ascii="Times New Roman" w:hAnsi="Times New Roman"/>
          <w:sz w:val="24"/>
          <w:szCs w:val="24"/>
        </w:rPr>
        <w:t xml:space="preserve">assumptions underlying these.  There are similarities between this state of affairs and the supervisory guidance around </w:t>
      </w:r>
      <w:r w:rsidR="00E530DB">
        <w:rPr>
          <w:rFonts w:ascii="Times New Roman" w:hAnsi="Times New Roman" w:cs="Calibri"/>
          <w:i/>
          <w:color w:val="000000"/>
          <w:sz w:val="24"/>
          <w:szCs w:val="24"/>
        </w:rPr>
        <w:t>C</w:t>
      </w:r>
      <w:r w:rsidR="00E530DB" w:rsidRPr="007D1909">
        <w:rPr>
          <w:rFonts w:ascii="Times New Roman" w:hAnsi="Times New Roman" w:cs="Calibri"/>
          <w:i/>
          <w:color w:val="000000"/>
          <w:sz w:val="24"/>
          <w:szCs w:val="24"/>
        </w:rPr>
        <w:t>ompr</w:t>
      </w:r>
      <w:r w:rsidR="00E530DB" w:rsidRPr="007D1909">
        <w:rPr>
          <w:rFonts w:ascii="Times New Roman" w:hAnsi="Times New Roman" w:cs="Calibri"/>
          <w:i/>
          <w:color w:val="000000"/>
          <w:sz w:val="24"/>
          <w:szCs w:val="24"/>
        </w:rPr>
        <w:t>e</w:t>
      </w:r>
      <w:r w:rsidR="00E530DB" w:rsidRPr="007D1909">
        <w:rPr>
          <w:rFonts w:ascii="Times New Roman" w:hAnsi="Times New Roman" w:cs="Calibri"/>
          <w:i/>
          <w:color w:val="000000"/>
          <w:sz w:val="24"/>
          <w:szCs w:val="24"/>
        </w:rPr>
        <w:t xml:space="preserve">hensive </w:t>
      </w:r>
      <w:r w:rsidR="00E530DB">
        <w:rPr>
          <w:rFonts w:ascii="Times New Roman" w:hAnsi="Times New Roman" w:cs="Calibri"/>
          <w:i/>
          <w:color w:val="000000"/>
          <w:sz w:val="24"/>
          <w:szCs w:val="24"/>
        </w:rPr>
        <w:t>C</w:t>
      </w:r>
      <w:r w:rsidR="00E530DB" w:rsidRPr="007D1909">
        <w:rPr>
          <w:rFonts w:ascii="Times New Roman" w:hAnsi="Times New Roman" w:cs="Calibri"/>
          <w:i/>
          <w:color w:val="000000"/>
          <w:sz w:val="24"/>
          <w:szCs w:val="24"/>
        </w:rPr>
        <w:t xml:space="preserve">apital </w:t>
      </w:r>
      <w:r w:rsidR="00E530DB">
        <w:rPr>
          <w:rFonts w:ascii="Times New Roman" w:hAnsi="Times New Roman" w:cs="Calibri"/>
          <w:i/>
          <w:color w:val="000000"/>
          <w:sz w:val="24"/>
          <w:szCs w:val="24"/>
        </w:rPr>
        <w:t>A</w:t>
      </w:r>
      <w:r w:rsidR="00E530DB" w:rsidRPr="007D1909">
        <w:rPr>
          <w:rFonts w:ascii="Times New Roman" w:hAnsi="Times New Roman" w:cs="Calibri"/>
          <w:i/>
          <w:color w:val="000000"/>
          <w:sz w:val="24"/>
          <w:szCs w:val="24"/>
        </w:rPr>
        <w:t xml:space="preserve">nalysis and </w:t>
      </w:r>
      <w:r w:rsidR="00E530DB">
        <w:rPr>
          <w:rFonts w:ascii="Times New Roman" w:hAnsi="Times New Roman" w:cs="Calibri"/>
          <w:i/>
          <w:color w:val="000000"/>
          <w:sz w:val="24"/>
          <w:szCs w:val="24"/>
        </w:rPr>
        <w:t>R</w:t>
      </w:r>
      <w:r w:rsidR="00E530DB" w:rsidRPr="007D1909">
        <w:rPr>
          <w:rFonts w:ascii="Times New Roman" w:hAnsi="Times New Roman" w:cs="Calibri"/>
          <w:i/>
          <w:color w:val="000000"/>
          <w:sz w:val="24"/>
          <w:szCs w:val="24"/>
        </w:rPr>
        <w:t>eview</w:t>
      </w:r>
      <w:r w:rsidR="00E530DB" w:rsidRPr="00624313">
        <w:rPr>
          <w:rFonts w:ascii="Times New Roman" w:hAnsi="Times New Roman" w:cs="Calibri"/>
          <w:color w:val="000000"/>
          <w:sz w:val="24"/>
          <w:szCs w:val="24"/>
        </w:rPr>
        <w:t xml:space="preserve"> (“CCAR”)</w:t>
      </w:r>
      <w:r>
        <w:rPr>
          <w:rFonts w:ascii="Times New Roman" w:hAnsi="Times New Roman"/>
          <w:sz w:val="24"/>
          <w:szCs w:val="24"/>
        </w:rPr>
        <w:t xml:space="preserve"> or the </w:t>
      </w:r>
      <w:r>
        <w:rPr>
          <w:rFonts w:ascii="Times New Roman" w:hAnsi="Times New Roman"/>
          <w:i/>
          <w:sz w:val="24"/>
          <w:szCs w:val="24"/>
        </w:rPr>
        <w:t>A</w:t>
      </w:r>
      <w:r w:rsidRPr="008A1179">
        <w:rPr>
          <w:rFonts w:ascii="Times New Roman" w:hAnsi="Times New Roman"/>
          <w:i/>
          <w:sz w:val="24"/>
          <w:szCs w:val="24"/>
        </w:rPr>
        <w:t xml:space="preserve">dvanced </w:t>
      </w:r>
      <w:r>
        <w:rPr>
          <w:rFonts w:ascii="Times New Roman" w:hAnsi="Times New Roman"/>
          <w:i/>
          <w:sz w:val="24"/>
          <w:szCs w:val="24"/>
        </w:rPr>
        <w:t>M</w:t>
      </w:r>
      <w:r w:rsidRPr="008A1179">
        <w:rPr>
          <w:rFonts w:ascii="Times New Roman" w:hAnsi="Times New Roman"/>
          <w:i/>
          <w:sz w:val="24"/>
          <w:szCs w:val="24"/>
        </w:rPr>
        <w:t xml:space="preserve">odels </w:t>
      </w:r>
      <w:r>
        <w:rPr>
          <w:rFonts w:ascii="Times New Roman" w:hAnsi="Times New Roman"/>
          <w:i/>
          <w:sz w:val="24"/>
          <w:szCs w:val="24"/>
        </w:rPr>
        <w:t>A</w:t>
      </w:r>
      <w:r w:rsidRPr="008A1179">
        <w:rPr>
          <w:rFonts w:ascii="Times New Roman" w:hAnsi="Times New Roman"/>
          <w:i/>
          <w:sz w:val="24"/>
          <w:szCs w:val="24"/>
        </w:rPr>
        <w:t>pproach</w:t>
      </w:r>
      <w:r>
        <w:rPr>
          <w:rFonts w:ascii="Times New Roman" w:hAnsi="Times New Roman"/>
          <w:sz w:val="24"/>
          <w:szCs w:val="24"/>
        </w:rPr>
        <w:t xml:space="preserve"> (“AMA”) for Basel.  A principles based guidance is meant to provide scalability in the approaches used across a diversity of institutions with respect to size or complexity, which offers the flexibility to choose methodologies grounded in reasonableness and supportability, albeit at the cost of potentially sacrificing comparability across entities.  A good example of such element</w:t>
      </w:r>
      <w:r w:rsidR="000C3807">
        <w:rPr>
          <w:rFonts w:ascii="Times New Roman" w:hAnsi="Times New Roman"/>
          <w:sz w:val="24"/>
          <w:szCs w:val="24"/>
        </w:rPr>
        <w:t>s</w:t>
      </w:r>
      <w:r>
        <w:rPr>
          <w:rFonts w:ascii="Times New Roman" w:hAnsi="Times New Roman"/>
          <w:sz w:val="24"/>
          <w:szCs w:val="24"/>
        </w:rPr>
        <w:t xml:space="preserve"> is the RFS period, which is left unspecified but needs to be empirically or conceptually supportable.  It is expected that the duration of the RSF </w:t>
      </w:r>
      <w:r w:rsidR="000C3807">
        <w:rPr>
          <w:rFonts w:ascii="Times New Roman" w:hAnsi="Times New Roman"/>
          <w:sz w:val="24"/>
          <w:szCs w:val="24"/>
        </w:rPr>
        <w:t xml:space="preserve">period </w:t>
      </w:r>
      <w:r>
        <w:rPr>
          <w:rFonts w:ascii="Times New Roman" w:hAnsi="Times New Roman"/>
          <w:sz w:val="24"/>
          <w:szCs w:val="24"/>
        </w:rPr>
        <w:t>should reflect assets’ contractual tenors, and in cases where these terms are not known a prior (e.g., revolving</w:t>
      </w:r>
      <w:r>
        <w:rPr>
          <w:rFonts w:ascii="Times New Roman" w:hAnsi="Times New Roman"/>
          <w:b/>
          <w:sz w:val="24"/>
          <w:szCs w:val="24"/>
        </w:rPr>
        <w:t xml:space="preserve"> </w:t>
      </w:r>
      <w:r>
        <w:rPr>
          <w:rFonts w:ascii="Times New Roman" w:hAnsi="Times New Roman"/>
          <w:sz w:val="24"/>
          <w:szCs w:val="24"/>
        </w:rPr>
        <w:t>or unfunded commitments) they need to be e</w:t>
      </w:r>
      <w:r>
        <w:rPr>
          <w:rFonts w:ascii="Times New Roman" w:hAnsi="Times New Roman"/>
          <w:sz w:val="24"/>
          <w:szCs w:val="24"/>
        </w:rPr>
        <w:t>s</w:t>
      </w:r>
      <w:r>
        <w:rPr>
          <w:rFonts w:ascii="Times New Roman" w:hAnsi="Times New Roman"/>
          <w:sz w:val="24"/>
          <w:szCs w:val="24"/>
        </w:rPr>
        <w:t>timated, which from a model validation perspective adds another potential source of model error to the process.  On the flip side, when terms are known but there is empirical evidence that matur</w:t>
      </w:r>
      <w:r>
        <w:rPr>
          <w:rFonts w:ascii="Times New Roman" w:hAnsi="Times New Roman"/>
          <w:sz w:val="24"/>
          <w:szCs w:val="24"/>
        </w:rPr>
        <w:t>i</w:t>
      </w:r>
      <w:r>
        <w:rPr>
          <w:rFonts w:ascii="Times New Roman" w:hAnsi="Times New Roman"/>
          <w:sz w:val="24"/>
          <w:szCs w:val="24"/>
        </w:rPr>
        <w:t xml:space="preserve">ties will be extended (e.g., in periods of stress troubles loans might be held on the books longer than anticipated), CECL strictures do not allow banks to include this information in their forecasts, which also creates a model validation challenge in terms of </w:t>
      </w:r>
      <w:r w:rsidR="000C3807">
        <w:rPr>
          <w:rFonts w:ascii="Times New Roman" w:hAnsi="Times New Roman"/>
          <w:sz w:val="24"/>
          <w:szCs w:val="24"/>
        </w:rPr>
        <w:t xml:space="preserve">the </w:t>
      </w:r>
      <w:r>
        <w:rPr>
          <w:rFonts w:ascii="Times New Roman" w:hAnsi="Times New Roman"/>
          <w:sz w:val="24"/>
          <w:szCs w:val="24"/>
        </w:rPr>
        <w:t>conceptual soundness of th</w:t>
      </w:r>
      <w:r w:rsidR="000C3807">
        <w:rPr>
          <w:rFonts w:ascii="Times New Roman" w:hAnsi="Times New Roman"/>
          <w:sz w:val="24"/>
          <w:szCs w:val="24"/>
        </w:rPr>
        <w:t>is</w:t>
      </w:r>
      <w:r>
        <w:rPr>
          <w:rFonts w:ascii="Times New Roman" w:hAnsi="Times New Roman"/>
          <w:sz w:val="24"/>
          <w:szCs w:val="24"/>
        </w:rPr>
        <w:t xml:space="preserve"> construct.</w:t>
      </w:r>
    </w:p>
    <w:p w:rsidR="006D27F9" w:rsidRDefault="006D27F9" w:rsidP="006D27F9">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The purpose of the ALLL is to provide information of use to critical stakeholders of an institution – such as investors, auditors and supervisors – pertaining to instruments exposed to credit risk.  The nature of this information differs between CECL and the legacy accounting standard, with the former being a forward-looking view and the latter a backward-looking perspective.  As a result, under the incurred loss standard we would expect changes in the provision to be driven by an exposure’s fundamental risk factors at the time of reporting (albeit with a 1-year horizon if an EL approach is used for the performing book), such as credit risk parameters (e.g., PD or LGD) or the variables that enter those models.  In contrast, additional elements enter to drive the variation in </w:t>
      </w:r>
      <w:r>
        <w:rPr>
          <w:rFonts w:ascii="Times New Roman" w:hAnsi="Times New Roman"/>
          <w:sz w:val="24"/>
          <w:szCs w:val="24"/>
        </w:rPr>
        <w:lastRenderedPageBreak/>
        <w:t>the ALLL for the CECL case, namely the macroeconomic forecasting models.</w:t>
      </w:r>
      <w:r w:rsidR="00E530DB">
        <w:rPr>
          <w:rFonts w:ascii="Times New Roman" w:hAnsi="Times New Roman"/>
          <w:sz w:val="24"/>
          <w:szCs w:val="24"/>
        </w:rPr>
        <w:t xml:space="preserve">  </w:t>
      </w:r>
      <w:r>
        <w:rPr>
          <w:rFonts w:ascii="Times New Roman" w:hAnsi="Times New Roman"/>
          <w:sz w:val="24"/>
          <w:szCs w:val="24"/>
        </w:rPr>
        <w:t>The practice well understands the modeling aspects that appear in both the CECL and incurred loss settings.  Such constructs include loan or obligor features that are inputs to credit risk parameter models, such as company financial information or exposure structure details, as well as segmentations by industry or geography or qualitative characteristics defining management or the business environment.  These models are calibrated to historical reference data-sets and then applied on a static basis over the forecasting horizon, where the loss factors underlying the models are held fixed throughout the projection.</w:t>
      </w:r>
    </w:p>
    <w:p w:rsidR="006D27F9" w:rsidRDefault="006D27F9" w:rsidP="006D27F9">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Estimation of expected credit loss</w:t>
      </w:r>
      <w:r w:rsidRPr="0006361E">
        <w:rPr>
          <w:rFonts w:ascii="Times New Roman" w:hAnsi="Times New Roman"/>
          <w:sz w:val="24"/>
          <w:szCs w:val="24"/>
        </w:rPr>
        <w:t xml:space="preserve"> </w:t>
      </w:r>
      <w:r>
        <w:rPr>
          <w:rFonts w:ascii="Times New Roman" w:hAnsi="Times New Roman"/>
          <w:sz w:val="24"/>
          <w:szCs w:val="24"/>
        </w:rPr>
        <w:t xml:space="preserve">for </w:t>
      </w:r>
      <w:r w:rsidRPr="0006361E">
        <w:rPr>
          <w:rFonts w:ascii="Times New Roman" w:hAnsi="Times New Roman"/>
          <w:sz w:val="24"/>
          <w:szCs w:val="24"/>
        </w:rPr>
        <w:t xml:space="preserve">CECL </w:t>
      </w:r>
      <w:r>
        <w:rPr>
          <w:rFonts w:ascii="Times New Roman" w:hAnsi="Times New Roman"/>
          <w:sz w:val="24"/>
          <w:szCs w:val="24"/>
        </w:rPr>
        <w:t xml:space="preserve">purposes features a critical </w:t>
      </w:r>
      <w:r w:rsidRPr="0006361E">
        <w:rPr>
          <w:rFonts w:ascii="Times New Roman" w:hAnsi="Times New Roman"/>
          <w:sz w:val="24"/>
          <w:szCs w:val="24"/>
        </w:rPr>
        <w:t>differ</w:t>
      </w:r>
      <w:r>
        <w:rPr>
          <w:rFonts w:ascii="Times New Roman" w:hAnsi="Times New Roman"/>
          <w:sz w:val="24"/>
          <w:szCs w:val="24"/>
        </w:rPr>
        <w:t>ence from altern</w:t>
      </w:r>
      <w:r>
        <w:rPr>
          <w:rFonts w:ascii="Times New Roman" w:hAnsi="Times New Roman"/>
          <w:sz w:val="24"/>
          <w:szCs w:val="24"/>
        </w:rPr>
        <w:t>a</w:t>
      </w:r>
      <w:r>
        <w:rPr>
          <w:rFonts w:ascii="Times New Roman" w:hAnsi="Times New Roman"/>
          <w:sz w:val="24"/>
          <w:szCs w:val="24"/>
        </w:rPr>
        <w:t>tive settings (e.g., credit risk scorecards for underwriting or early warning, risk parameter deve</w:t>
      </w:r>
      <w:r>
        <w:rPr>
          <w:rFonts w:ascii="Times New Roman" w:hAnsi="Times New Roman"/>
          <w:sz w:val="24"/>
          <w:szCs w:val="24"/>
        </w:rPr>
        <w:t>l</w:t>
      </w:r>
      <w:r>
        <w:rPr>
          <w:rFonts w:ascii="Times New Roman" w:hAnsi="Times New Roman"/>
          <w:sz w:val="24"/>
          <w:szCs w:val="24"/>
        </w:rPr>
        <w:t xml:space="preserve">opment for regulatory or economic capita).  A requirement of CECL is the estimation of </w:t>
      </w:r>
      <w:r w:rsidR="00003185">
        <w:rPr>
          <w:rFonts w:ascii="Times New Roman" w:hAnsi="Times New Roman"/>
          <w:sz w:val="24"/>
          <w:szCs w:val="24"/>
        </w:rPr>
        <w:t>EL</w:t>
      </w:r>
      <w:r w:rsidRPr="0006361E">
        <w:rPr>
          <w:rFonts w:ascii="Times New Roman" w:hAnsi="Times New Roman"/>
          <w:sz w:val="24"/>
          <w:szCs w:val="24"/>
        </w:rPr>
        <w:t xml:space="preserve"> </w:t>
      </w:r>
      <w:r>
        <w:rPr>
          <w:rFonts w:ascii="Times New Roman" w:hAnsi="Times New Roman"/>
          <w:sz w:val="24"/>
          <w:szCs w:val="24"/>
        </w:rPr>
        <w:t xml:space="preserve">over the expected tenor of instruments based upon </w:t>
      </w:r>
      <w:r w:rsidRPr="0006361E">
        <w:rPr>
          <w:rFonts w:ascii="Times New Roman" w:hAnsi="Times New Roman"/>
          <w:sz w:val="24"/>
          <w:szCs w:val="24"/>
        </w:rPr>
        <w:t xml:space="preserve">reasonable and supportable </w:t>
      </w:r>
      <w:r>
        <w:rPr>
          <w:rFonts w:ascii="Times New Roman" w:hAnsi="Times New Roman"/>
          <w:sz w:val="24"/>
          <w:szCs w:val="24"/>
        </w:rPr>
        <w:t>forecasts of macro</w:t>
      </w:r>
      <w:r w:rsidRPr="0006361E">
        <w:rPr>
          <w:rFonts w:ascii="Times New Roman" w:hAnsi="Times New Roman"/>
          <w:sz w:val="24"/>
          <w:szCs w:val="24"/>
        </w:rPr>
        <w:t>e</w:t>
      </w:r>
      <w:r w:rsidRPr="0006361E">
        <w:rPr>
          <w:rFonts w:ascii="Times New Roman" w:hAnsi="Times New Roman"/>
          <w:sz w:val="24"/>
          <w:szCs w:val="24"/>
        </w:rPr>
        <w:t xml:space="preserve">conomic </w:t>
      </w:r>
      <w:r>
        <w:rPr>
          <w:rFonts w:ascii="Times New Roman" w:hAnsi="Times New Roman"/>
          <w:sz w:val="24"/>
          <w:szCs w:val="24"/>
        </w:rPr>
        <w:t>conditions</w:t>
      </w:r>
      <w:r w:rsidRPr="0006361E">
        <w:rPr>
          <w:rFonts w:ascii="Times New Roman" w:hAnsi="Times New Roman"/>
          <w:sz w:val="24"/>
          <w:szCs w:val="24"/>
        </w:rPr>
        <w:t xml:space="preserve">. </w:t>
      </w:r>
      <w:r>
        <w:rPr>
          <w:rFonts w:ascii="Times New Roman" w:hAnsi="Times New Roman"/>
          <w:sz w:val="24"/>
          <w:szCs w:val="24"/>
        </w:rPr>
        <w:t xml:space="preserve"> This in turn mans that models have to be constructed to forecast macro</w:t>
      </w:r>
      <w:r>
        <w:rPr>
          <w:rFonts w:ascii="Times New Roman" w:hAnsi="Times New Roman"/>
          <w:sz w:val="24"/>
          <w:szCs w:val="24"/>
        </w:rPr>
        <w:t>e</w:t>
      </w:r>
      <w:r>
        <w:rPr>
          <w:rFonts w:ascii="Times New Roman" w:hAnsi="Times New Roman"/>
          <w:sz w:val="24"/>
          <w:szCs w:val="24"/>
        </w:rPr>
        <w:t xml:space="preserve">conomic scenarios.  The model validation consideration in this regard is that this nested set of models in the CECL engine engenders several challenges.  One is the attribution of changes to the ALLL (e.g., scenarios, portfolio composition, credit model changes, etc.).  Another challenge is the introduction of additional elements of model risk through the compounding or model errors and the likely questioning of model results by third party reviewers such as model validation, audit or supervision.  Such </w:t>
      </w:r>
      <w:r w:rsidRPr="0006361E">
        <w:rPr>
          <w:rFonts w:ascii="Times New Roman" w:hAnsi="Times New Roman"/>
          <w:sz w:val="24"/>
          <w:szCs w:val="24"/>
        </w:rPr>
        <w:t>modeling choice</w:t>
      </w:r>
      <w:r>
        <w:rPr>
          <w:rFonts w:ascii="Times New Roman" w:hAnsi="Times New Roman"/>
          <w:sz w:val="24"/>
          <w:szCs w:val="24"/>
        </w:rPr>
        <w:t>s around the macroeconomic scenarios, which can be subjective or</w:t>
      </w:r>
      <w:r w:rsidRPr="0006361E">
        <w:rPr>
          <w:rFonts w:ascii="Times New Roman" w:hAnsi="Times New Roman"/>
          <w:sz w:val="24"/>
          <w:szCs w:val="24"/>
        </w:rPr>
        <w:t xml:space="preserve"> idiosyncratic</w:t>
      </w:r>
      <w:r>
        <w:rPr>
          <w:rFonts w:ascii="Times New Roman" w:hAnsi="Times New Roman"/>
          <w:sz w:val="24"/>
          <w:szCs w:val="24"/>
        </w:rPr>
        <w:t xml:space="preserve"> in nature, are not </w:t>
      </w:r>
      <w:r w:rsidRPr="0006361E">
        <w:rPr>
          <w:rFonts w:ascii="Times New Roman" w:hAnsi="Times New Roman"/>
          <w:sz w:val="24"/>
          <w:szCs w:val="24"/>
        </w:rPr>
        <w:t xml:space="preserve">common in current </w:t>
      </w:r>
      <w:r>
        <w:rPr>
          <w:rFonts w:ascii="Times New Roman" w:hAnsi="Times New Roman"/>
          <w:sz w:val="24"/>
          <w:szCs w:val="24"/>
        </w:rPr>
        <w:t xml:space="preserve">models supporting </w:t>
      </w:r>
      <w:r w:rsidRPr="0006361E">
        <w:rPr>
          <w:rFonts w:ascii="Times New Roman" w:hAnsi="Times New Roman"/>
          <w:sz w:val="24"/>
          <w:szCs w:val="24"/>
        </w:rPr>
        <w:t>financial r</w:t>
      </w:r>
      <w:r w:rsidRPr="0006361E">
        <w:rPr>
          <w:rFonts w:ascii="Times New Roman" w:hAnsi="Times New Roman"/>
          <w:sz w:val="24"/>
          <w:szCs w:val="24"/>
        </w:rPr>
        <w:t>e</w:t>
      </w:r>
      <w:r w:rsidRPr="0006361E">
        <w:rPr>
          <w:rFonts w:ascii="Times New Roman" w:hAnsi="Times New Roman"/>
          <w:sz w:val="24"/>
          <w:szCs w:val="24"/>
        </w:rPr>
        <w:t>porting</w:t>
      </w:r>
      <w:r>
        <w:rPr>
          <w:rFonts w:ascii="Times New Roman" w:hAnsi="Times New Roman"/>
          <w:sz w:val="24"/>
          <w:szCs w:val="24"/>
        </w:rPr>
        <w:t xml:space="preserve"> or in other areas that incorporate macroeconomic forecasts</w:t>
      </w:r>
      <w:r w:rsidR="00003185">
        <w:rPr>
          <w:rFonts w:ascii="Times New Roman" w:hAnsi="Times New Roman"/>
          <w:sz w:val="24"/>
          <w:szCs w:val="24"/>
        </w:rPr>
        <w:t xml:space="preserve"> such</w:t>
      </w:r>
      <w:r>
        <w:rPr>
          <w:rFonts w:ascii="Times New Roman" w:hAnsi="Times New Roman"/>
          <w:sz w:val="24"/>
          <w:szCs w:val="24"/>
        </w:rPr>
        <w:t xml:space="preserve"> </w:t>
      </w:r>
      <w:r w:rsidR="00003185">
        <w:rPr>
          <w:rFonts w:ascii="Times New Roman" w:hAnsi="Times New Roman"/>
          <w:sz w:val="24"/>
          <w:szCs w:val="24"/>
        </w:rPr>
        <w:t xml:space="preserve">as </w:t>
      </w:r>
      <w:r>
        <w:rPr>
          <w:rFonts w:ascii="Times New Roman" w:hAnsi="Times New Roman"/>
          <w:sz w:val="24"/>
          <w:szCs w:val="24"/>
        </w:rPr>
        <w:t xml:space="preserve">CCAR </w:t>
      </w:r>
      <w:r w:rsidR="00003185">
        <w:rPr>
          <w:rFonts w:ascii="Times New Roman" w:hAnsi="Times New Roman"/>
          <w:sz w:val="24"/>
          <w:szCs w:val="24"/>
        </w:rPr>
        <w:t>where</w:t>
      </w:r>
      <w:r>
        <w:rPr>
          <w:rFonts w:ascii="Times New Roman" w:hAnsi="Times New Roman"/>
          <w:sz w:val="24"/>
          <w:szCs w:val="24"/>
        </w:rPr>
        <w:t xml:space="preserve"> proje</w:t>
      </w:r>
      <w:r>
        <w:rPr>
          <w:rFonts w:ascii="Times New Roman" w:hAnsi="Times New Roman"/>
          <w:sz w:val="24"/>
          <w:szCs w:val="24"/>
        </w:rPr>
        <w:t>c</w:t>
      </w:r>
      <w:r>
        <w:rPr>
          <w:rFonts w:ascii="Times New Roman" w:hAnsi="Times New Roman"/>
          <w:sz w:val="24"/>
          <w:szCs w:val="24"/>
        </w:rPr>
        <w:t xml:space="preserve">tions </w:t>
      </w:r>
      <w:r w:rsidR="00003185">
        <w:rPr>
          <w:rFonts w:ascii="Times New Roman" w:hAnsi="Times New Roman"/>
          <w:sz w:val="24"/>
          <w:szCs w:val="24"/>
        </w:rPr>
        <w:t>a</w:t>
      </w:r>
      <w:r>
        <w:rPr>
          <w:rFonts w:ascii="Times New Roman" w:hAnsi="Times New Roman"/>
          <w:sz w:val="24"/>
          <w:szCs w:val="24"/>
        </w:rPr>
        <w:t xml:space="preserve">re generally sourced from the regulators, and hence such modeling considerations </w:t>
      </w:r>
      <w:r w:rsidR="00003185">
        <w:rPr>
          <w:rFonts w:ascii="Times New Roman" w:hAnsi="Times New Roman"/>
          <w:sz w:val="24"/>
          <w:szCs w:val="24"/>
        </w:rPr>
        <w:t>a</w:t>
      </w:r>
      <w:r>
        <w:rPr>
          <w:rFonts w:ascii="Times New Roman" w:hAnsi="Times New Roman"/>
          <w:sz w:val="24"/>
          <w:szCs w:val="24"/>
        </w:rPr>
        <w:t>re not under scrutiny</w:t>
      </w:r>
      <w:r>
        <w:rPr>
          <w:rStyle w:val="FootnoteReference"/>
          <w:rFonts w:ascii="Times New Roman" w:hAnsi="Times New Roman"/>
          <w:sz w:val="24"/>
          <w:szCs w:val="24"/>
        </w:rPr>
        <w:footnoteReference w:id="4"/>
      </w:r>
      <w:r w:rsidRPr="0006361E">
        <w:rPr>
          <w:rFonts w:ascii="Times New Roman" w:hAnsi="Times New Roman"/>
          <w:sz w:val="24"/>
          <w:szCs w:val="24"/>
        </w:rPr>
        <w:t>.</w:t>
      </w:r>
      <w:r>
        <w:rPr>
          <w:rFonts w:ascii="Times New Roman" w:hAnsi="Times New Roman"/>
          <w:sz w:val="24"/>
          <w:szCs w:val="24"/>
        </w:rPr>
        <w:t xml:space="preserve">  </w:t>
      </w:r>
    </w:p>
    <w:p w:rsidR="00DF3163" w:rsidRDefault="008D48F8" w:rsidP="00B87DCB">
      <w:pPr>
        <w:jc w:val="both"/>
        <w:rPr>
          <w:rFonts w:ascii="Times New Roman" w:hAnsi="Times New Roman" w:cs="Calibri"/>
          <w:color w:val="000000"/>
          <w:sz w:val="24"/>
          <w:szCs w:val="24"/>
        </w:rPr>
      </w:pPr>
      <w:r>
        <w:rPr>
          <w:rFonts w:ascii="Times New Roman" w:hAnsi="Times New Roman" w:cs="Calibri"/>
          <w:color w:val="000000"/>
          <w:sz w:val="24"/>
          <w:szCs w:val="24"/>
        </w:rPr>
        <w:t>In model validation of a CECL model we have to consider the main elements that distinguish this exercise from either the legacy loan provisioning approach or other credit risk modeling applic</w:t>
      </w:r>
      <w:r>
        <w:rPr>
          <w:rFonts w:ascii="Times New Roman" w:hAnsi="Times New Roman" w:cs="Calibri"/>
          <w:color w:val="000000"/>
          <w:sz w:val="24"/>
          <w:szCs w:val="24"/>
        </w:rPr>
        <w:t>a</w:t>
      </w:r>
      <w:r>
        <w:rPr>
          <w:rFonts w:ascii="Times New Roman" w:hAnsi="Times New Roman" w:cs="Calibri"/>
          <w:color w:val="000000"/>
          <w:sz w:val="24"/>
          <w:szCs w:val="24"/>
        </w:rPr>
        <w:t xml:space="preserve">tions. </w:t>
      </w:r>
      <w:r w:rsidR="008D5D15">
        <w:rPr>
          <w:rFonts w:ascii="Times New Roman" w:hAnsi="Times New Roman" w:cs="Calibri"/>
          <w:color w:val="000000"/>
          <w:sz w:val="24"/>
          <w:szCs w:val="24"/>
        </w:rPr>
        <w:t xml:space="preserve"> The f</w:t>
      </w:r>
      <w:r w:rsidR="00DF3163">
        <w:rPr>
          <w:rFonts w:ascii="Times New Roman" w:hAnsi="Times New Roman" w:cs="Calibri"/>
          <w:color w:val="000000"/>
          <w:sz w:val="24"/>
          <w:szCs w:val="24"/>
        </w:rPr>
        <w:t>irst</w:t>
      </w:r>
      <w:r w:rsidR="008D5D15">
        <w:rPr>
          <w:rFonts w:ascii="Times New Roman" w:hAnsi="Times New Roman" w:cs="Calibri"/>
          <w:color w:val="000000"/>
          <w:sz w:val="24"/>
          <w:szCs w:val="24"/>
        </w:rPr>
        <w:t xml:space="preserve"> consideration is the </w:t>
      </w:r>
      <w:r w:rsidR="00DF3163">
        <w:rPr>
          <w:rFonts w:ascii="Times New Roman" w:hAnsi="Times New Roman" w:cs="Calibri"/>
          <w:color w:val="000000"/>
          <w:sz w:val="24"/>
          <w:szCs w:val="24"/>
        </w:rPr>
        <w:t xml:space="preserve">specification of the </w:t>
      </w:r>
      <w:r w:rsidR="008D5D15">
        <w:rPr>
          <w:rFonts w:ascii="Times New Roman" w:hAnsi="Times New Roman" w:cs="Calibri"/>
          <w:color w:val="000000"/>
          <w:sz w:val="24"/>
          <w:szCs w:val="24"/>
        </w:rPr>
        <w:t>credit risk models that connect loan or obligor risk factors and macroeconomic variables</w:t>
      </w:r>
      <w:r w:rsidR="00DF3163">
        <w:rPr>
          <w:rFonts w:ascii="Times New Roman" w:hAnsi="Times New Roman" w:cs="Calibri"/>
          <w:color w:val="000000"/>
          <w:sz w:val="24"/>
          <w:szCs w:val="24"/>
        </w:rPr>
        <w:t xml:space="preserve"> </w:t>
      </w:r>
      <w:r w:rsidR="008D5D15">
        <w:rPr>
          <w:rFonts w:ascii="Times New Roman" w:hAnsi="Times New Roman" w:cs="Calibri"/>
          <w:color w:val="000000"/>
          <w:sz w:val="24"/>
          <w:szCs w:val="24"/>
        </w:rPr>
        <w:t xml:space="preserve">to </w:t>
      </w:r>
      <w:r w:rsidR="00DF3163">
        <w:rPr>
          <w:rFonts w:ascii="Times New Roman" w:hAnsi="Times New Roman" w:cs="Calibri"/>
          <w:color w:val="000000"/>
          <w:sz w:val="24"/>
          <w:szCs w:val="24"/>
        </w:rPr>
        <w:t xml:space="preserve">loan losses.  </w:t>
      </w:r>
      <w:r w:rsidR="008D5D15">
        <w:rPr>
          <w:rFonts w:ascii="Times New Roman" w:hAnsi="Times New Roman" w:cs="Calibri"/>
          <w:color w:val="000000"/>
          <w:sz w:val="24"/>
          <w:szCs w:val="24"/>
        </w:rPr>
        <w:t xml:space="preserve">The other key consideration </w:t>
      </w:r>
      <w:r w:rsidR="00D67090">
        <w:rPr>
          <w:rFonts w:ascii="Times New Roman" w:hAnsi="Times New Roman" w:cs="Calibri"/>
          <w:color w:val="000000"/>
          <w:sz w:val="24"/>
          <w:szCs w:val="24"/>
        </w:rPr>
        <w:t>is the</w:t>
      </w:r>
      <w:r w:rsidR="008D5D15">
        <w:rPr>
          <w:rFonts w:ascii="Times New Roman" w:hAnsi="Times New Roman" w:cs="Calibri"/>
          <w:color w:val="000000"/>
          <w:sz w:val="24"/>
          <w:szCs w:val="24"/>
        </w:rPr>
        <w:t xml:space="preserve"> scenario generation models </w:t>
      </w:r>
      <w:r w:rsidR="00DF3163">
        <w:rPr>
          <w:rFonts w:ascii="Times New Roman" w:hAnsi="Times New Roman" w:cs="Calibri"/>
          <w:color w:val="000000"/>
          <w:sz w:val="24"/>
          <w:szCs w:val="24"/>
        </w:rPr>
        <w:t xml:space="preserve">that </w:t>
      </w:r>
      <w:r w:rsidR="00D67090">
        <w:rPr>
          <w:rFonts w:ascii="Times New Roman" w:hAnsi="Times New Roman" w:cs="Calibri"/>
          <w:color w:val="000000"/>
          <w:sz w:val="24"/>
          <w:szCs w:val="24"/>
        </w:rPr>
        <w:t>project</w:t>
      </w:r>
      <w:r w:rsidR="00DF3163">
        <w:rPr>
          <w:rFonts w:ascii="Times New Roman" w:hAnsi="Times New Roman" w:cs="Calibri"/>
          <w:color w:val="000000"/>
          <w:sz w:val="24"/>
          <w:szCs w:val="24"/>
        </w:rPr>
        <w:t xml:space="preserve"> macroeconomic forecasts and </w:t>
      </w:r>
      <w:r w:rsidR="00D67090">
        <w:rPr>
          <w:rFonts w:ascii="Times New Roman" w:hAnsi="Times New Roman" w:cs="Calibri"/>
          <w:color w:val="000000"/>
          <w:sz w:val="24"/>
          <w:szCs w:val="24"/>
        </w:rPr>
        <w:t>expected</w:t>
      </w:r>
      <w:r w:rsidR="00DF3163">
        <w:rPr>
          <w:rFonts w:ascii="Times New Roman" w:hAnsi="Times New Roman" w:cs="Calibri"/>
          <w:color w:val="000000"/>
          <w:sz w:val="24"/>
          <w:szCs w:val="24"/>
        </w:rPr>
        <w:t xml:space="preserve"> s</w:t>
      </w:r>
      <w:r w:rsidR="00B823DC">
        <w:rPr>
          <w:rFonts w:ascii="Times New Roman" w:hAnsi="Times New Roman" w:cs="Calibri"/>
          <w:color w:val="000000"/>
          <w:sz w:val="24"/>
          <w:szCs w:val="24"/>
        </w:rPr>
        <w:t>cenarios</w:t>
      </w:r>
      <w:r w:rsidR="00D67090">
        <w:rPr>
          <w:rFonts w:ascii="Times New Roman" w:hAnsi="Times New Roman" w:cs="Calibri"/>
          <w:color w:val="000000"/>
          <w:sz w:val="24"/>
          <w:szCs w:val="24"/>
        </w:rPr>
        <w:t>, which are as critical as the credit model specifications in driving outcomes</w:t>
      </w:r>
      <w:r w:rsidR="00DF3163">
        <w:rPr>
          <w:rFonts w:ascii="Times New Roman" w:hAnsi="Times New Roman" w:cs="Calibri"/>
          <w:color w:val="000000"/>
          <w:sz w:val="24"/>
          <w:szCs w:val="24"/>
        </w:rPr>
        <w:t>.</w:t>
      </w:r>
      <w:r w:rsidR="00B823DC">
        <w:rPr>
          <w:rFonts w:ascii="Times New Roman" w:hAnsi="Times New Roman" w:cs="Calibri"/>
          <w:color w:val="000000"/>
          <w:sz w:val="24"/>
          <w:szCs w:val="24"/>
        </w:rPr>
        <w:t xml:space="preserve"> </w:t>
      </w:r>
      <w:r w:rsidR="00D67090">
        <w:rPr>
          <w:rFonts w:ascii="Times New Roman" w:hAnsi="Times New Roman" w:cs="Calibri"/>
          <w:color w:val="000000"/>
          <w:sz w:val="24"/>
          <w:szCs w:val="24"/>
        </w:rPr>
        <w:t xml:space="preserve"> </w:t>
      </w:r>
      <w:r w:rsidR="00B823DC">
        <w:rPr>
          <w:rFonts w:ascii="Times New Roman" w:hAnsi="Times New Roman" w:cs="Calibri"/>
          <w:color w:val="000000"/>
          <w:sz w:val="24"/>
          <w:szCs w:val="24"/>
        </w:rPr>
        <w:t xml:space="preserve">As </w:t>
      </w:r>
      <w:r w:rsidR="00D67090">
        <w:rPr>
          <w:rFonts w:ascii="Times New Roman" w:hAnsi="Times New Roman" w:cs="Calibri"/>
          <w:color w:val="000000"/>
          <w:sz w:val="24"/>
          <w:szCs w:val="24"/>
        </w:rPr>
        <w:t>it</w:t>
      </w:r>
      <w:r w:rsidR="00B823DC">
        <w:rPr>
          <w:rFonts w:ascii="Times New Roman" w:hAnsi="Times New Roman" w:cs="Calibri"/>
          <w:color w:val="000000"/>
          <w:sz w:val="24"/>
          <w:szCs w:val="24"/>
        </w:rPr>
        <w:t xml:space="preserve"> </w:t>
      </w:r>
      <w:r w:rsidR="00D67090">
        <w:rPr>
          <w:rFonts w:ascii="Times New Roman" w:hAnsi="Times New Roman" w:cs="Calibri"/>
          <w:color w:val="000000"/>
          <w:sz w:val="24"/>
          <w:szCs w:val="24"/>
        </w:rPr>
        <w:t xml:space="preserve">is </w:t>
      </w:r>
      <w:r w:rsidR="00B823DC">
        <w:rPr>
          <w:rFonts w:ascii="Times New Roman" w:hAnsi="Times New Roman" w:cs="Calibri"/>
          <w:color w:val="000000"/>
          <w:sz w:val="24"/>
          <w:szCs w:val="24"/>
        </w:rPr>
        <w:t>know</w:t>
      </w:r>
      <w:r w:rsidR="00D67090">
        <w:rPr>
          <w:rFonts w:ascii="Times New Roman" w:hAnsi="Times New Roman" w:cs="Calibri"/>
          <w:color w:val="000000"/>
          <w:sz w:val="24"/>
          <w:szCs w:val="24"/>
        </w:rPr>
        <w:t>n</w:t>
      </w:r>
      <w:r w:rsidR="00B823DC">
        <w:rPr>
          <w:rFonts w:ascii="Times New Roman" w:hAnsi="Times New Roman" w:cs="Calibri"/>
          <w:color w:val="000000"/>
          <w:sz w:val="24"/>
          <w:szCs w:val="24"/>
        </w:rPr>
        <w:t xml:space="preserve"> from </w:t>
      </w:r>
      <w:r w:rsidR="00D67090">
        <w:rPr>
          <w:rFonts w:ascii="Times New Roman" w:hAnsi="Times New Roman" w:cs="Calibri"/>
          <w:color w:val="000000"/>
          <w:sz w:val="24"/>
          <w:szCs w:val="24"/>
        </w:rPr>
        <w:t>related</w:t>
      </w:r>
      <w:r w:rsidR="00624313">
        <w:rPr>
          <w:rFonts w:ascii="Times New Roman" w:hAnsi="Times New Roman" w:cs="Calibri"/>
          <w:color w:val="000000"/>
          <w:sz w:val="24"/>
          <w:szCs w:val="24"/>
        </w:rPr>
        <w:t xml:space="preserve"> </w:t>
      </w:r>
      <w:r w:rsidR="00B823DC">
        <w:rPr>
          <w:rFonts w:ascii="Times New Roman" w:hAnsi="Times New Roman" w:cs="Calibri"/>
          <w:color w:val="000000"/>
          <w:sz w:val="24"/>
          <w:szCs w:val="24"/>
        </w:rPr>
        <w:t xml:space="preserve">modeling exercises </w:t>
      </w:r>
      <w:r w:rsidR="00624313">
        <w:rPr>
          <w:rFonts w:ascii="Times New Roman" w:hAnsi="Times New Roman" w:cs="Calibri"/>
          <w:color w:val="000000"/>
          <w:sz w:val="24"/>
          <w:szCs w:val="24"/>
        </w:rPr>
        <w:t xml:space="preserve">such as </w:t>
      </w:r>
      <w:r w:rsidR="00624313" w:rsidRPr="00624313">
        <w:rPr>
          <w:rFonts w:ascii="Times New Roman" w:hAnsi="Times New Roman" w:cs="Calibri"/>
          <w:i/>
          <w:color w:val="000000"/>
          <w:sz w:val="24"/>
          <w:szCs w:val="24"/>
        </w:rPr>
        <w:t>stress testing</w:t>
      </w:r>
      <w:r w:rsidR="00624313" w:rsidRPr="00624313">
        <w:rPr>
          <w:rFonts w:ascii="Times New Roman" w:hAnsi="Times New Roman" w:cs="Calibri"/>
          <w:color w:val="000000"/>
          <w:sz w:val="24"/>
          <w:szCs w:val="24"/>
        </w:rPr>
        <w:t xml:space="preserve"> (“ST”)</w:t>
      </w:r>
      <w:r w:rsidR="00D67090">
        <w:rPr>
          <w:rFonts w:ascii="Times New Roman" w:hAnsi="Times New Roman" w:cs="Calibri"/>
          <w:color w:val="000000"/>
          <w:sz w:val="24"/>
          <w:szCs w:val="24"/>
        </w:rPr>
        <w:t>,</w:t>
      </w:r>
      <w:r w:rsidR="00624313" w:rsidRPr="00624313">
        <w:rPr>
          <w:rFonts w:ascii="Times New Roman" w:hAnsi="Times New Roman" w:cs="Calibri"/>
          <w:color w:val="000000"/>
          <w:sz w:val="24"/>
          <w:szCs w:val="24"/>
        </w:rPr>
        <w:t xml:space="preserve"> used by supervisors to assess the reli</w:t>
      </w:r>
      <w:r w:rsidR="00624313" w:rsidRPr="00624313">
        <w:rPr>
          <w:rFonts w:ascii="Times New Roman" w:hAnsi="Times New Roman" w:cs="Calibri"/>
          <w:color w:val="000000"/>
          <w:sz w:val="24"/>
          <w:szCs w:val="24"/>
        </w:rPr>
        <w:t>a</w:t>
      </w:r>
      <w:r w:rsidR="00624313" w:rsidRPr="00624313">
        <w:rPr>
          <w:rFonts w:ascii="Times New Roman" w:hAnsi="Times New Roman" w:cs="Calibri"/>
          <w:color w:val="000000"/>
          <w:sz w:val="24"/>
          <w:szCs w:val="24"/>
        </w:rPr>
        <w:t>bility of credit risk models in the revised Basel framework (</w:t>
      </w:r>
      <w:r w:rsidR="007D1909" w:rsidRPr="007D1909">
        <w:rPr>
          <w:rFonts w:ascii="Times New Roman" w:hAnsi="Times New Roman" w:cs="Calibri"/>
          <w:color w:val="000000"/>
          <w:sz w:val="24"/>
          <w:szCs w:val="24"/>
        </w:rPr>
        <w:t>Basel Committee on Banking Supe</w:t>
      </w:r>
      <w:r w:rsidR="007D1909" w:rsidRPr="007D1909">
        <w:rPr>
          <w:rFonts w:ascii="Times New Roman" w:hAnsi="Times New Roman" w:cs="Calibri"/>
          <w:color w:val="000000"/>
          <w:sz w:val="24"/>
          <w:szCs w:val="24"/>
        </w:rPr>
        <w:t>r</w:t>
      </w:r>
      <w:r w:rsidR="007D1909" w:rsidRPr="007D1909">
        <w:rPr>
          <w:rFonts w:ascii="Times New Roman" w:hAnsi="Times New Roman" w:cs="Calibri"/>
          <w:color w:val="000000"/>
          <w:sz w:val="24"/>
          <w:szCs w:val="24"/>
        </w:rPr>
        <w:t>vision</w:t>
      </w:r>
      <w:r w:rsidR="007D1909">
        <w:rPr>
          <w:rFonts w:ascii="Times New Roman" w:hAnsi="Times New Roman" w:cs="Calibri"/>
          <w:color w:val="000000"/>
          <w:sz w:val="24"/>
          <w:szCs w:val="24"/>
        </w:rPr>
        <w:t xml:space="preserve">, </w:t>
      </w:r>
      <w:r w:rsidR="007D1909" w:rsidRPr="007D1909">
        <w:rPr>
          <w:rFonts w:ascii="Times New Roman" w:hAnsi="Times New Roman" w:cs="Calibri"/>
          <w:color w:val="000000"/>
          <w:sz w:val="24"/>
          <w:szCs w:val="24"/>
        </w:rPr>
        <w:t>2006</w:t>
      </w:r>
      <w:r w:rsidR="00624313">
        <w:rPr>
          <w:rFonts w:ascii="Times New Roman" w:hAnsi="Times New Roman" w:cs="Calibri"/>
          <w:color w:val="000000"/>
          <w:sz w:val="24"/>
          <w:szCs w:val="24"/>
        </w:rPr>
        <w:t>) or</w:t>
      </w:r>
      <w:r w:rsidR="00624313" w:rsidRPr="00624313">
        <w:rPr>
          <w:rFonts w:ascii="Times New Roman" w:hAnsi="Times New Roman" w:cs="Calibri"/>
          <w:color w:val="000000"/>
          <w:sz w:val="24"/>
          <w:szCs w:val="24"/>
        </w:rPr>
        <w:t xml:space="preserve"> the Federal Reserve’s CCAR program</w:t>
      </w:r>
      <w:r w:rsidR="007D1909">
        <w:rPr>
          <w:rFonts w:ascii="Times New Roman" w:hAnsi="Times New Roman" w:cs="Calibri"/>
          <w:color w:val="000000"/>
          <w:sz w:val="24"/>
          <w:szCs w:val="24"/>
        </w:rPr>
        <w:t xml:space="preserve"> (</w:t>
      </w:r>
      <w:r w:rsidR="007D1909" w:rsidRPr="007D1909">
        <w:rPr>
          <w:rFonts w:ascii="Times New Roman" w:hAnsi="Times New Roman" w:cs="Calibri"/>
          <w:color w:val="000000"/>
          <w:sz w:val="24"/>
          <w:szCs w:val="24"/>
        </w:rPr>
        <w:t>Board of Governors of the Federal R</w:t>
      </w:r>
      <w:r w:rsidR="007D1909" w:rsidRPr="007D1909">
        <w:rPr>
          <w:rFonts w:ascii="Times New Roman" w:hAnsi="Times New Roman" w:cs="Calibri"/>
          <w:color w:val="000000"/>
          <w:sz w:val="24"/>
          <w:szCs w:val="24"/>
        </w:rPr>
        <w:t>e</w:t>
      </w:r>
      <w:r w:rsidR="007D1909" w:rsidRPr="007D1909">
        <w:rPr>
          <w:rFonts w:ascii="Times New Roman" w:hAnsi="Times New Roman" w:cs="Calibri"/>
          <w:color w:val="000000"/>
          <w:sz w:val="24"/>
          <w:szCs w:val="24"/>
        </w:rPr>
        <w:t>serve System</w:t>
      </w:r>
      <w:r w:rsidR="007D1909">
        <w:rPr>
          <w:rFonts w:ascii="Times New Roman" w:hAnsi="Times New Roman" w:cs="Calibri"/>
          <w:color w:val="000000"/>
          <w:sz w:val="24"/>
          <w:szCs w:val="24"/>
        </w:rPr>
        <w:t xml:space="preserve">, </w:t>
      </w:r>
      <w:r w:rsidR="007D1909" w:rsidRPr="007D1909">
        <w:rPr>
          <w:rFonts w:ascii="Times New Roman" w:hAnsi="Times New Roman" w:cs="Calibri"/>
          <w:color w:val="000000"/>
          <w:sz w:val="24"/>
          <w:szCs w:val="24"/>
        </w:rPr>
        <w:t>20</w:t>
      </w:r>
      <w:r w:rsidR="007D1909">
        <w:rPr>
          <w:rFonts w:ascii="Times New Roman" w:hAnsi="Times New Roman" w:cs="Calibri"/>
          <w:color w:val="000000"/>
          <w:sz w:val="24"/>
          <w:szCs w:val="24"/>
        </w:rPr>
        <w:t>09</w:t>
      </w:r>
      <w:r w:rsidR="007D1909" w:rsidRPr="007D1909">
        <w:rPr>
          <w:rFonts w:ascii="Times New Roman" w:hAnsi="Times New Roman" w:cs="Calibri"/>
          <w:color w:val="000000"/>
          <w:sz w:val="24"/>
          <w:szCs w:val="24"/>
        </w:rPr>
        <w:t>)</w:t>
      </w:r>
      <w:r w:rsidR="00624313">
        <w:rPr>
          <w:rFonts w:ascii="Times New Roman" w:hAnsi="Times New Roman" w:cs="Calibri"/>
          <w:color w:val="000000"/>
          <w:sz w:val="24"/>
          <w:szCs w:val="24"/>
        </w:rPr>
        <w:t xml:space="preserve">, </w:t>
      </w:r>
      <w:r w:rsidR="00D67090">
        <w:rPr>
          <w:rFonts w:ascii="Times New Roman" w:hAnsi="Times New Roman" w:cs="Calibri"/>
          <w:color w:val="000000"/>
          <w:sz w:val="24"/>
          <w:szCs w:val="24"/>
        </w:rPr>
        <w:t xml:space="preserve">such </w:t>
      </w:r>
      <w:r w:rsidR="00624313">
        <w:rPr>
          <w:rFonts w:ascii="Times New Roman" w:hAnsi="Times New Roman" w:cs="Calibri"/>
          <w:color w:val="000000"/>
          <w:sz w:val="24"/>
          <w:szCs w:val="24"/>
        </w:rPr>
        <w:t xml:space="preserve">models are subject to </w:t>
      </w:r>
      <w:r w:rsidR="002C002D">
        <w:rPr>
          <w:rFonts w:ascii="Times New Roman" w:hAnsi="Times New Roman" w:cs="Calibri"/>
          <w:color w:val="000000"/>
          <w:sz w:val="24"/>
          <w:szCs w:val="24"/>
        </w:rPr>
        <w:t xml:space="preserve">heightened </w:t>
      </w:r>
      <w:r w:rsidR="00624313">
        <w:rPr>
          <w:rFonts w:ascii="Times New Roman" w:hAnsi="Times New Roman" w:cs="Calibri"/>
          <w:color w:val="000000"/>
          <w:sz w:val="24"/>
          <w:szCs w:val="24"/>
        </w:rPr>
        <w:t xml:space="preserve">supervisory scrutiny.  </w:t>
      </w:r>
      <w:r w:rsidR="002C002D">
        <w:rPr>
          <w:rFonts w:ascii="Times New Roman" w:hAnsi="Times New Roman" w:cs="Calibri"/>
          <w:color w:val="000000"/>
          <w:sz w:val="24"/>
          <w:szCs w:val="24"/>
        </w:rPr>
        <w:t xml:space="preserve">A supervisory concern is that the complex models underlying these exercises may be subject to </w:t>
      </w:r>
      <w:r w:rsidR="00624313" w:rsidRPr="00754D8B">
        <w:rPr>
          <w:rFonts w:ascii="Times New Roman" w:hAnsi="Times New Roman" w:cs="Calibri"/>
          <w:i/>
          <w:color w:val="000000"/>
          <w:sz w:val="24"/>
          <w:szCs w:val="24"/>
        </w:rPr>
        <w:t>model risk</w:t>
      </w:r>
      <w:r w:rsidR="00624313">
        <w:rPr>
          <w:rFonts w:ascii="Times New Roman" w:hAnsi="Times New Roman" w:cs="Calibri"/>
          <w:color w:val="000000"/>
          <w:sz w:val="24"/>
          <w:szCs w:val="24"/>
        </w:rPr>
        <w:t>,</w:t>
      </w:r>
      <w:r w:rsidR="00624313" w:rsidRPr="00754D8B">
        <w:rPr>
          <w:rFonts w:ascii="Times New Roman" w:hAnsi="Times New Roman" w:cs="Calibri"/>
          <w:color w:val="000000"/>
          <w:sz w:val="24"/>
          <w:szCs w:val="24"/>
        </w:rPr>
        <w:t xml:space="preserve"> </w:t>
      </w:r>
      <w:r w:rsidR="002C002D">
        <w:rPr>
          <w:rFonts w:ascii="Times New Roman" w:hAnsi="Times New Roman" w:cs="Calibri"/>
          <w:color w:val="000000"/>
          <w:sz w:val="24"/>
          <w:szCs w:val="24"/>
        </w:rPr>
        <w:t>u</w:t>
      </w:r>
      <w:r w:rsidR="002C002D">
        <w:rPr>
          <w:rFonts w:ascii="Times New Roman" w:hAnsi="Times New Roman" w:cs="Calibri"/>
          <w:color w:val="000000"/>
          <w:sz w:val="24"/>
          <w:szCs w:val="24"/>
        </w:rPr>
        <w:t>n</w:t>
      </w:r>
      <w:r w:rsidR="002C002D">
        <w:rPr>
          <w:rFonts w:ascii="Times New Roman" w:hAnsi="Times New Roman" w:cs="Calibri"/>
          <w:color w:val="000000"/>
          <w:sz w:val="24"/>
          <w:szCs w:val="24"/>
        </w:rPr>
        <w:t>derstood to be the danger that these constructs</w:t>
      </w:r>
      <w:r w:rsidR="00624313" w:rsidRPr="00754D8B">
        <w:rPr>
          <w:rFonts w:ascii="Times New Roman" w:hAnsi="Times New Roman" w:cs="Calibri"/>
          <w:color w:val="000000"/>
          <w:sz w:val="24"/>
          <w:szCs w:val="24"/>
        </w:rPr>
        <w:t xml:space="preserve"> </w:t>
      </w:r>
      <w:r w:rsidR="002C002D">
        <w:rPr>
          <w:rFonts w:ascii="Times New Roman" w:hAnsi="Times New Roman" w:cs="Calibri"/>
          <w:color w:val="000000"/>
          <w:sz w:val="24"/>
          <w:szCs w:val="24"/>
        </w:rPr>
        <w:t xml:space="preserve">fail to quantify the </w:t>
      </w:r>
      <w:r w:rsidR="00624313" w:rsidRPr="00754D8B">
        <w:rPr>
          <w:rFonts w:ascii="Times New Roman" w:hAnsi="Times New Roman" w:cs="Calibri"/>
          <w:color w:val="000000"/>
          <w:sz w:val="24"/>
          <w:szCs w:val="24"/>
        </w:rPr>
        <w:t xml:space="preserve">risks </w:t>
      </w:r>
      <w:r w:rsidR="002C002D">
        <w:rPr>
          <w:rFonts w:ascii="Times New Roman" w:hAnsi="Times New Roman" w:cs="Calibri"/>
          <w:color w:val="000000"/>
          <w:sz w:val="24"/>
          <w:szCs w:val="24"/>
        </w:rPr>
        <w:t>that they have been d</w:t>
      </w:r>
      <w:r w:rsidR="002C002D">
        <w:rPr>
          <w:rFonts w:ascii="Times New Roman" w:hAnsi="Times New Roman" w:cs="Calibri"/>
          <w:color w:val="000000"/>
          <w:sz w:val="24"/>
          <w:szCs w:val="24"/>
        </w:rPr>
        <w:t>e</w:t>
      </w:r>
      <w:r w:rsidR="002C002D">
        <w:rPr>
          <w:rFonts w:ascii="Times New Roman" w:hAnsi="Times New Roman" w:cs="Calibri"/>
          <w:color w:val="000000"/>
          <w:sz w:val="24"/>
          <w:szCs w:val="24"/>
        </w:rPr>
        <w:t>signed to model</w:t>
      </w:r>
      <w:r w:rsidR="00624313">
        <w:rPr>
          <w:rFonts w:ascii="Times New Roman" w:hAnsi="Times New Roman" w:cs="Calibri"/>
          <w:color w:val="000000"/>
          <w:sz w:val="24"/>
          <w:szCs w:val="24"/>
        </w:rPr>
        <w:t xml:space="preserve"> </w:t>
      </w:r>
      <w:r w:rsidR="007D1909">
        <w:rPr>
          <w:rFonts w:ascii="Times New Roman" w:hAnsi="Times New Roman" w:cs="Calibri"/>
          <w:color w:val="000000"/>
          <w:sz w:val="24"/>
          <w:szCs w:val="24"/>
        </w:rPr>
        <w:t>(</w:t>
      </w:r>
      <w:r w:rsidR="007D1909" w:rsidRPr="007D1909">
        <w:rPr>
          <w:rFonts w:ascii="Times New Roman" w:hAnsi="Times New Roman" w:cs="Calibri"/>
          <w:color w:val="000000"/>
          <w:sz w:val="24"/>
          <w:szCs w:val="24"/>
        </w:rPr>
        <w:t>Board of Governors of the Federal Reserve System</w:t>
      </w:r>
      <w:r w:rsidR="007D1909">
        <w:rPr>
          <w:rFonts w:ascii="Times New Roman" w:hAnsi="Times New Roman" w:cs="Calibri"/>
          <w:color w:val="000000"/>
          <w:sz w:val="24"/>
          <w:szCs w:val="24"/>
        </w:rPr>
        <w:t xml:space="preserve">, </w:t>
      </w:r>
      <w:r w:rsidR="007D1909" w:rsidRPr="007D1909">
        <w:rPr>
          <w:rFonts w:ascii="Times New Roman" w:hAnsi="Times New Roman" w:cs="Calibri"/>
          <w:color w:val="000000"/>
          <w:sz w:val="24"/>
          <w:szCs w:val="24"/>
        </w:rPr>
        <w:t>2011)</w:t>
      </w:r>
      <w:r w:rsidR="00624313" w:rsidRPr="00624313">
        <w:rPr>
          <w:rFonts w:ascii="Times New Roman" w:hAnsi="Times New Roman" w:cs="Calibri"/>
          <w:color w:val="000000"/>
          <w:sz w:val="24"/>
          <w:szCs w:val="24"/>
        </w:rPr>
        <w:t>.</w:t>
      </w:r>
      <w:r w:rsidR="00D23FFE">
        <w:rPr>
          <w:rFonts w:ascii="Times New Roman" w:hAnsi="Times New Roman" w:cs="Calibri"/>
          <w:color w:val="000000"/>
          <w:sz w:val="24"/>
          <w:szCs w:val="24"/>
        </w:rPr>
        <w:t xml:space="preserve">  </w:t>
      </w:r>
      <w:r w:rsidR="002C002D">
        <w:rPr>
          <w:rFonts w:ascii="Times New Roman" w:hAnsi="Times New Roman" w:cs="Calibri"/>
          <w:color w:val="000000"/>
          <w:sz w:val="24"/>
          <w:szCs w:val="24"/>
        </w:rPr>
        <w:t xml:space="preserve">In the case of CECL, it is expected </w:t>
      </w:r>
      <w:r w:rsidR="00D23FFE">
        <w:rPr>
          <w:rFonts w:ascii="Times New Roman" w:hAnsi="Times New Roman" w:cs="Calibri"/>
          <w:color w:val="000000"/>
          <w:sz w:val="24"/>
          <w:szCs w:val="24"/>
        </w:rPr>
        <w:t xml:space="preserve">that </w:t>
      </w:r>
      <w:r w:rsidR="002C002D">
        <w:rPr>
          <w:rFonts w:ascii="Times New Roman" w:hAnsi="Times New Roman" w:cs="Calibri"/>
          <w:color w:val="000000"/>
          <w:sz w:val="24"/>
          <w:szCs w:val="24"/>
        </w:rPr>
        <w:t xml:space="preserve">such </w:t>
      </w:r>
      <w:r w:rsidR="00D23FFE">
        <w:rPr>
          <w:rFonts w:ascii="Times New Roman" w:hAnsi="Times New Roman" w:cs="Calibri"/>
          <w:color w:val="000000"/>
          <w:sz w:val="24"/>
          <w:szCs w:val="24"/>
        </w:rPr>
        <w:t>review</w:t>
      </w:r>
      <w:r w:rsidR="002C002D">
        <w:rPr>
          <w:rFonts w:ascii="Times New Roman" w:hAnsi="Times New Roman" w:cs="Calibri"/>
          <w:color w:val="000000"/>
          <w:sz w:val="24"/>
          <w:szCs w:val="24"/>
        </w:rPr>
        <w:t>s will be more rigorous</w:t>
      </w:r>
      <w:r w:rsidR="00D23FFE">
        <w:rPr>
          <w:rFonts w:ascii="Times New Roman" w:hAnsi="Times New Roman" w:cs="Calibri"/>
          <w:color w:val="000000"/>
          <w:sz w:val="24"/>
          <w:szCs w:val="24"/>
        </w:rPr>
        <w:t xml:space="preserve"> as compared to </w:t>
      </w:r>
      <w:r w:rsidR="002C002D">
        <w:rPr>
          <w:rFonts w:ascii="Times New Roman" w:hAnsi="Times New Roman" w:cs="Calibri"/>
          <w:color w:val="000000"/>
          <w:sz w:val="24"/>
          <w:szCs w:val="24"/>
        </w:rPr>
        <w:t xml:space="preserve">other contexts such as </w:t>
      </w:r>
      <w:r w:rsidR="00D23FFE">
        <w:rPr>
          <w:rFonts w:ascii="Times New Roman" w:hAnsi="Times New Roman" w:cs="Calibri"/>
          <w:color w:val="000000"/>
          <w:sz w:val="24"/>
          <w:szCs w:val="24"/>
        </w:rPr>
        <w:t>Basel or CCAR</w:t>
      </w:r>
      <w:r w:rsidR="002C002D">
        <w:rPr>
          <w:rFonts w:ascii="Times New Roman" w:hAnsi="Times New Roman" w:cs="Calibri"/>
          <w:color w:val="000000"/>
          <w:sz w:val="24"/>
          <w:szCs w:val="24"/>
        </w:rPr>
        <w:t xml:space="preserve"> given the financial statement reporting implications</w:t>
      </w:r>
      <w:r w:rsidR="00D23FFE">
        <w:rPr>
          <w:rFonts w:ascii="Times New Roman" w:hAnsi="Times New Roman" w:cs="Calibri"/>
          <w:color w:val="000000"/>
          <w:sz w:val="24"/>
          <w:szCs w:val="24"/>
        </w:rPr>
        <w:t xml:space="preserve"> </w:t>
      </w:r>
      <w:r w:rsidR="002C002D">
        <w:rPr>
          <w:rFonts w:ascii="Times New Roman" w:hAnsi="Times New Roman" w:cs="Calibri"/>
          <w:color w:val="000000"/>
          <w:sz w:val="24"/>
          <w:szCs w:val="24"/>
        </w:rPr>
        <w:t>of</w:t>
      </w:r>
      <w:r w:rsidR="00D23FFE">
        <w:rPr>
          <w:rFonts w:ascii="Times New Roman" w:hAnsi="Times New Roman" w:cs="Calibri"/>
          <w:color w:val="000000"/>
          <w:sz w:val="24"/>
          <w:szCs w:val="24"/>
        </w:rPr>
        <w:t xml:space="preserve"> </w:t>
      </w:r>
      <w:r w:rsidR="002C002D">
        <w:rPr>
          <w:rFonts w:ascii="Times New Roman" w:hAnsi="Times New Roman" w:cs="Calibri"/>
          <w:color w:val="000000"/>
          <w:sz w:val="24"/>
          <w:szCs w:val="24"/>
        </w:rPr>
        <w:t>CECL</w:t>
      </w:r>
      <w:r w:rsidR="00D23FFE">
        <w:rPr>
          <w:rFonts w:ascii="Times New Roman" w:hAnsi="Times New Roman" w:cs="Calibri"/>
          <w:color w:val="000000"/>
          <w:sz w:val="24"/>
          <w:szCs w:val="24"/>
        </w:rPr>
        <w:t>.</w:t>
      </w:r>
      <w:r w:rsidR="00755B91">
        <w:rPr>
          <w:rFonts w:ascii="Times New Roman" w:hAnsi="Times New Roman" w:cs="Calibri"/>
          <w:color w:val="000000"/>
          <w:sz w:val="24"/>
          <w:szCs w:val="24"/>
        </w:rPr>
        <w:t xml:space="preserve"> </w:t>
      </w:r>
    </w:p>
    <w:p w:rsidR="007B0E88" w:rsidRDefault="002915F1" w:rsidP="00EC7122">
      <w:pPr>
        <w:jc w:val="both"/>
        <w:rPr>
          <w:rFonts w:ascii="Times New Roman" w:hAnsi="Times New Roman" w:cs="Calibri"/>
          <w:color w:val="000000"/>
          <w:sz w:val="24"/>
          <w:szCs w:val="24"/>
        </w:rPr>
      </w:pPr>
      <w:r>
        <w:rPr>
          <w:rFonts w:ascii="Times New Roman" w:hAnsi="Times New Roman" w:cs="Calibri"/>
          <w:color w:val="000000"/>
          <w:sz w:val="24"/>
          <w:szCs w:val="24"/>
        </w:rPr>
        <w:lastRenderedPageBreak/>
        <w:t xml:space="preserve">In this paper we contribute to the literature by considering and illustrating a model validation framework </w:t>
      </w:r>
      <w:r w:rsidR="00F3682A">
        <w:rPr>
          <w:rFonts w:ascii="Times New Roman" w:hAnsi="Times New Roman" w:cs="Calibri"/>
          <w:color w:val="000000"/>
          <w:sz w:val="24"/>
          <w:szCs w:val="24"/>
        </w:rPr>
        <w:t>in</w:t>
      </w:r>
      <w:r>
        <w:rPr>
          <w:rFonts w:ascii="Times New Roman" w:hAnsi="Times New Roman" w:cs="Calibri"/>
          <w:color w:val="000000"/>
          <w:sz w:val="24"/>
          <w:szCs w:val="24"/>
        </w:rPr>
        <w:t xml:space="preserve"> the CECL setting.  </w:t>
      </w:r>
      <w:r w:rsidR="0028266E">
        <w:rPr>
          <w:rFonts w:ascii="Times New Roman" w:hAnsi="Times New Roman" w:cs="Calibri"/>
          <w:color w:val="000000"/>
          <w:sz w:val="24"/>
          <w:szCs w:val="24"/>
        </w:rPr>
        <w:t>First</w:t>
      </w:r>
      <w:r w:rsidR="00EC7122">
        <w:rPr>
          <w:rFonts w:ascii="Times New Roman" w:hAnsi="Times New Roman" w:cs="Calibri"/>
          <w:color w:val="000000"/>
          <w:sz w:val="24"/>
          <w:szCs w:val="24"/>
        </w:rPr>
        <w:t>,</w:t>
      </w:r>
      <w:r w:rsidR="0028266E">
        <w:rPr>
          <w:rFonts w:ascii="Times New Roman" w:hAnsi="Times New Roman" w:cs="Calibri"/>
          <w:color w:val="000000"/>
          <w:sz w:val="24"/>
          <w:szCs w:val="24"/>
        </w:rPr>
        <w:t xml:space="preserve"> focusing on the model development dimension of model validation, we outline critical as</w:t>
      </w:r>
      <w:r w:rsidR="00755B91">
        <w:rPr>
          <w:rFonts w:ascii="Times New Roman" w:hAnsi="Times New Roman" w:cs="Calibri"/>
          <w:color w:val="000000"/>
          <w:sz w:val="24"/>
          <w:szCs w:val="24"/>
        </w:rPr>
        <w:t>pects of this set of activities, including the evaluation of conce</w:t>
      </w:r>
      <w:r w:rsidR="00755B91">
        <w:rPr>
          <w:rFonts w:ascii="Times New Roman" w:hAnsi="Times New Roman" w:cs="Calibri"/>
          <w:color w:val="000000"/>
          <w:sz w:val="24"/>
          <w:szCs w:val="24"/>
        </w:rPr>
        <w:t>p</w:t>
      </w:r>
      <w:r w:rsidR="00755B91">
        <w:rPr>
          <w:rFonts w:ascii="Times New Roman" w:hAnsi="Times New Roman" w:cs="Calibri"/>
          <w:color w:val="000000"/>
          <w:sz w:val="24"/>
          <w:szCs w:val="24"/>
        </w:rPr>
        <w:t>tual soundness</w:t>
      </w:r>
      <w:r w:rsidR="00EC7122">
        <w:rPr>
          <w:rFonts w:ascii="Times New Roman" w:hAnsi="Times New Roman" w:cs="Calibri"/>
          <w:color w:val="000000"/>
          <w:sz w:val="24"/>
          <w:szCs w:val="24"/>
        </w:rPr>
        <w:t>, theoretical framework</w:t>
      </w:r>
      <w:r w:rsidR="00263530">
        <w:rPr>
          <w:rFonts w:ascii="Times New Roman" w:hAnsi="Times New Roman" w:cs="Calibri"/>
          <w:color w:val="000000"/>
          <w:sz w:val="24"/>
          <w:szCs w:val="24"/>
        </w:rPr>
        <w:t xml:space="preserve"> and</w:t>
      </w:r>
      <w:r w:rsidR="00EC7122">
        <w:rPr>
          <w:rFonts w:ascii="Times New Roman" w:hAnsi="Times New Roman" w:cs="Calibri"/>
          <w:color w:val="000000"/>
          <w:sz w:val="24"/>
          <w:szCs w:val="24"/>
        </w:rPr>
        <w:t xml:space="preserve"> assumptions testing for CECL models</w:t>
      </w:r>
      <w:r w:rsidR="00755B91">
        <w:rPr>
          <w:rFonts w:ascii="Times New Roman" w:hAnsi="Times New Roman" w:cs="Calibri"/>
          <w:color w:val="000000"/>
          <w:sz w:val="24"/>
          <w:szCs w:val="24"/>
        </w:rPr>
        <w:t xml:space="preserve">.  </w:t>
      </w:r>
      <w:r w:rsidR="00EC7122">
        <w:rPr>
          <w:rFonts w:ascii="Times New Roman" w:hAnsi="Times New Roman" w:cs="Calibri"/>
          <w:color w:val="000000"/>
          <w:sz w:val="24"/>
          <w:szCs w:val="24"/>
        </w:rPr>
        <w:t>Second, we discuss a framework for the assessment and verification of the implementation and execution of CECL models.  Finally, we present an example of CECL model validation, in which we</w:t>
      </w:r>
      <w:r w:rsidR="00367170">
        <w:rPr>
          <w:rFonts w:ascii="Times New Roman" w:hAnsi="Times New Roman" w:cs="Calibri"/>
          <w:color w:val="000000"/>
          <w:sz w:val="24"/>
          <w:szCs w:val="24"/>
        </w:rPr>
        <w:t xml:space="preserve"> analyz</w:t>
      </w:r>
      <w:r w:rsidR="00EC7122">
        <w:rPr>
          <w:rFonts w:ascii="Times New Roman" w:hAnsi="Times New Roman" w:cs="Calibri"/>
          <w:color w:val="000000"/>
          <w:sz w:val="24"/>
          <w:szCs w:val="24"/>
        </w:rPr>
        <w:t>e</w:t>
      </w:r>
      <w:r w:rsidR="00367170">
        <w:rPr>
          <w:rFonts w:ascii="Times New Roman" w:hAnsi="Times New Roman" w:cs="Calibri"/>
          <w:color w:val="000000"/>
          <w:sz w:val="24"/>
          <w:szCs w:val="24"/>
        </w:rPr>
        <w:t xml:space="preserve"> the impact of model specification and scenario dynamics upon expected credit loss estimates in CECL, </w:t>
      </w:r>
      <w:r w:rsidR="00EC7122">
        <w:rPr>
          <w:rFonts w:ascii="Times New Roman" w:hAnsi="Times New Roman" w:cs="Calibri"/>
          <w:color w:val="000000"/>
          <w:sz w:val="24"/>
          <w:szCs w:val="24"/>
        </w:rPr>
        <w:t>through</w:t>
      </w:r>
      <w:r w:rsidR="00367170">
        <w:rPr>
          <w:rFonts w:ascii="Times New Roman" w:hAnsi="Times New Roman" w:cs="Calibri"/>
          <w:color w:val="000000"/>
          <w:sz w:val="24"/>
          <w:szCs w:val="24"/>
        </w:rPr>
        <w:t xml:space="preserve"> implement</w:t>
      </w:r>
      <w:r w:rsidR="00EC7122">
        <w:rPr>
          <w:rFonts w:ascii="Times New Roman" w:hAnsi="Times New Roman" w:cs="Calibri"/>
          <w:color w:val="000000"/>
          <w:sz w:val="24"/>
          <w:szCs w:val="24"/>
        </w:rPr>
        <w:t>ing</w:t>
      </w:r>
      <w:r w:rsidR="00367170">
        <w:rPr>
          <w:rFonts w:ascii="Times New Roman" w:hAnsi="Times New Roman" w:cs="Calibri"/>
          <w:color w:val="000000"/>
          <w:sz w:val="24"/>
          <w:szCs w:val="24"/>
        </w:rPr>
        <w:t xml:space="preserve"> a</w:t>
      </w:r>
      <w:r w:rsidR="00530876" w:rsidRPr="00530876">
        <w:rPr>
          <w:rFonts w:ascii="Times New Roman" w:hAnsi="Times New Roman" w:cs="Calibri"/>
          <w:color w:val="000000"/>
          <w:sz w:val="24"/>
          <w:szCs w:val="24"/>
        </w:rPr>
        <w:t xml:space="preserve"> stylized framework</w:t>
      </w:r>
      <w:r w:rsidR="00367170">
        <w:rPr>
          <w:rFonts w:ascii="Times New Roman" w:hAnsi="Times New Roman" w:cs="Calibri"/>
          <w:color w:val="000000"/>
          <w:sz w:val="24"/>
          <w:szCs w:val="24"/>
        </w:rPr>
        <w:t xml:space="preserve"> borrowed from the ST modeling practice.  </w:t>
      </w:r>
      <w:r w:rsidR="00EC7122">
        <w:rPr>
          <w:rFonts w:ascii="Times New Roman" w:hAnsi="Times New Roman" w:cs="Calibri"/>
          <w:color w:val="000000"/>
          <w:sz w:val="24"/>
          <w:szCs w:val="24"/>
        </w:rPr>
        <w:t>In this exercise w</w:t>
      </w:r>
      <w:r w:rsidR="00367170">
        <w:rPr>
          <w:rFonts w:ascii="Times New Roman" w:hAnsi="Times New Roman" w:cs="Calibri"/>
          <w:color w:val="000000"/>
          <w:sz w:val="24"/>
          <w:szCs w:val="24"/>
        </w:rPr>
        <w:t xml:space="preserve">e perform a model selection of </w:t>
      </w:r>
      <w:r>
        <w:rPr>
          <w:rFonts w:ascii="Times New Roman" w:hAnsi="Times New Roman" w:cs="Calibri"/>
          <w:color w:val="000000"/>
          <w:sz w:val="24"/>
          <w:szCs w:val="24"/>
        </w:rPr>
        <w:t xml:space="preserve">14 </w:t>
      </w:r>
      <w:r w:rsidR="00367170">
        <w:rPr>
          <w:rFonts w:ascii="Times New Roman" w:hAnsi="Times New Roman" w:cs="Calibri"/>
          <w:color w:val="000000"/>
          <w:sz w:val="24"/>
          <w:szCs w:val="24"/>
        </w:rPr>
        <w:t>alternative CECL specifications in a top-down framework, using Call Report</w:t>
      </w:r>
      <w:r w:rsidR="000660C4">
        <w:rPr>
          <w:rFonts w:ascii="Times New Roman" w:hAnsi="Times New Roman" w:cs="Calibri"/>
          <w:color w:val="000000"/>
          <w:sz w:val="24"/>
          <w:szCs w:val="24"/>
        </w:rPr>
        <w:t>s</w:t>
      </w:r>
      <w:r w:rsidR="00367170">
        <w:rPr>
          <w:rFonts w:ascii="Times New Roman" w:hAnsi="Times New Roman" w:cs="Calibri"/>
          <w:color w:val="000000"/>
          <w:sz w:val="24"/>
          <w:szCs w:val="24"/>
        </w:rPr>
        <w:t xml:space="preserve"> data </w:t>
      </w:r>
      <w:r w:rsidR="00263530">
        <w:rPr>
          <w:rFonts w:ascii="Times New Roman" w:hAnsi="Times New Roman" w:cs="Calibri"/>
          <w:color w:val="000000"/>
          <w:sz w:val="24"/>
          <w:szCs w:val="24"/>
        </w:rPr>
        <w:t>to</w:t>
      </w:r>
      <w:r w:rsidR="00367170">
        <w:rPr>
          <w:rFonts w:ascii="Times New Roman" w:hAnsi="Times New Roman" w:cs="Calibri"/>
          <w:color w:val="000000"/>
          <w:sz w:val="24"/>
          <w:szCs w:val="24"/>
        </w:rPr>
        <w:t xml:space="preserve"> construct an aggregate or average hypothetical bank, with the target variable being </w:t>
      </w:r>
      <w:r w:rsidR="00325A1C">
        <w:rPr>
          <w:rFonts w:ascii="Times New Roman" w:hAnsi="Times New Roman" w:cs="Calibri"/>
          <w:color w:val="000000"/>
          <w:sz w:val="24"/>
          <w:szCs w:val="24"/>
        </w:rPr>
        <w:t>the</w:t>
      </w:r>
      <w:r w:rsidR="00367170">
        <w:rPr>
          <w:rFonts w:ascii="Times New Roman" w:hAnsi="Times New Roman" w:cs="Calibri"/>
          <w:color w:val="000000"/>
          <w:sz w:val="24"/>
          <w:szCs w:val="24"/>
        </w:rPr>
        <w:t xml:space="preserve"> NCOR and the explanatory variables constituted by Fed provided macroeconomic variables as well as bank-specific controls for idiosyncratic risk.  </w:t>
      </w:r>
    </w:p>
    <w:p w:rsidR="00367170" w:rsidRDefault="00EC7122" w:rsidP="00EC7122">
      <w:pPr>
        <w:jc w:val="both"/>
        <w:rPr>
          <w:rFonts w:ascii="Times New Roman" w:hAnsi="Times New Roman" w:cs="Calibri"/>
          <w:color w:val="000000"/>
          <w:sz w:val="24"/>
          <w:szCs w:val="24"/>
        </w:rPr>
      </w:pPr>
      <w:r>
        <w:rPr>
          <w:rFonts w:ascii="Times New Roman" w:hAnsi="Times New Roman" w:cs="Calibri"/>
          <w:color w:val="000000"/>
          <w:sz w:val="24"/>
          <w:szCs w:val="24"/>
        </w:rPr>
        <w:t>In th</w:t>
      </w:r>
      <w:r w:rsidR="007B0E88">
        <w:rPr>
          <w:rFonts w:ascii="Times New Roman" w:hAnsi="Times New Roman" w:cs="Calibri"/>
          <w:color w:val="000000"/>
          <w:sz w:val="24"/>
          <w:szCs w:val="24"/>
        </w:rPr>
        <w:t>e</w:t>
      </w:r>
      <w:r>
        <w:rPr>
          <w:rFonts w:ascii="Times New Roman" w:hAnsi="Times New Roman" w:cs="Calibri"/>
          <w:color w:val="000000"/>
          <w:sz w:val="24"/>
          <w:szCs w:val="24"/>
        </w:rPr>
        <w:t xml:space="preserve"> example of CECL model validation, w</w:t>
      </w:r>
      <w:r w:rsidR="00367170">
        <w:rPr>
          <w:rFonts w:ascii="Times New Roman" w:hAnsi="Times New Roman" w:cs="Calibri"/>
          <w:color w:val="000000"/>
          <w:sz w:val="24"/>
          <w:szCs w:val="24"/>
        </w:rPr>
        <w:t>e study not only the impact o</w:t>
      </w:r>
      <w:r w:rsidR="00F3682A">
        <w:rPr>
          <w:rFonts w:ascii="Times New Roman" w:hAnsi="Times New Roman" w:cs="Calibri"/>
          <w:color w:val="000000"/>
          <w:sz w:val="24"/>
          <w:szCs w:val="24"/>
        </w:rPr>
        <w:t>n</w:t>
      </w:r>
      <w:r w:rsidR="00367170">
        <w:rPr>
          <w:rFonts w:ascii="Times New Roman" w:hAnsi="Times New Roman" w:cs="Calibri"/>
          <w:color w:val="000000"/>
          <w:sz w:val="24"/>
          <w:szCs w:val="24"/>
        </w:rPr>
        <w:t xml:space="preserve"> the ALLL estimate under CECL for alternative model specifications, but also the impact of different frameworks for scenario generation: the Fed baseline assumption, </w:t>
      </w:r>
      <w:r w:rsidR="00430528">
        <w:rPr>
          <w:rFonts w:ascii="Times New Roman" w:hAnsi="Times New Roman" w:cs="Calibri"/>
          <w:color w:val="000000"/>
          <w:sz w:val="24"/>
          <w:szCs w:val="24"/>
        </w:rPr>
        <w:t xml:space="preserve">a </w:t>
      </w:r>
      <w:r w:rsidR="00367170">
        <w:rPr>
          <w:rFonts w:ascii="Times New Roman" w:hAnsi="Times New Roman" w:cs="Calibri"/>
          <w:color w:val="000000"/>
          <w:sz w:val="24"/>
          <w:szCs w:val="24"/>
        </w:rPr>
        <w:t xml:space="preserve">Gaussian </w:t>
      </w:r>
      <w:r w:rsidR="00367170" w:rsidRPr="00367170">
        <w:rPr>
          <w:rFonts w:ascii="Times New Roman" w:hAnsi="Times New Roman" w:cs="Calibri"/>
          <w:i/>
          <w:color w:val="000000"/>
          <w:sz w:val="24"/>
          <w:szCs w:val="24"/>
        </w:rPr>
        <w:t>Vector Autoregression</w:t>
      </w:r>
      <w:r w:rsidR="00367170">
        <w:rPr>
          <w:rFonts w:ascii="Times New Roman" w:hAnsi="Times New Roman" w:cs="Calibri"/>
          <w:color w:val="000000"/>
          <w:sz w:val="24"/>
          <w:szCs w:val="24"/>
        </w:rPr>
        <w:t xml:space="preserve"> (</w:t>
      </w:r>
      <w:r w:rsidR="00C967CD">
        <w:rPr>
          <w:rFonts w:ascii="Times New Roman" w:hAnsi="Times New Roman" w:cs="Calibri"/>
          <w:color w:val="000000"/>
          <w:sz w:val="24"/>
          <w:szCs w:val="24"/>
        </w:rPr>
        <w:t>“</w:t>
      </w:r>
      <w:r w:rsidR="00367170">
        <w:rPr>
          <w:rFonts w:ascii="Times New Roman" w:hAnsi="Times New Roman" w:cs="Calibri"/>
          <w:color w:val="000000"/>
          <w:sz w:val="24"/>
          <w:szCs w:val="24"/>
        </w:rPr>
        <w:t>VAR</w:t>
      </w:r>
      <w:r w:rsidR="00C967CD">
        <w:rPr>
          <w:rFonts w:ascii="Times New Roman" w:hAnsi="Times New Roman" w:cs="Calibri"/>
          <w:color w:val="000000"/>
          <w:sz w:val="24"/>
          <w:szCs w:val="24"/>
        </w:rPr>
        <w:t>”</w:t>
      </w:r>
      <w:r w:rsidR="00367170">
        <w:rPr>
          <w:rFonts w:ascii="Times New Roman" w:hAnsi="Times New Roman" w:cs="Calibri"/>
          <w:color w:val="000000"/>
          <w:sz w:val="24"/>
          <w:szCs w:val="24"/>
        </w:rPr>
        <w:t xml:space="preserve">) </w:t>
      </w:r>
      <w:r w:rsidR="00430528">
        <w:rPr>
          <w:rFonts w:ascii="Times New Roman" w:hAnsi="Times New Roman" w:cs="Calibri"/>
          <w:color w:val="000000"/>
          <w:sz w:val="24"/>
          <w:szCs w:val="24"/>
        </w:rPr>
        <w:t xml:space="preserve">model </w:t>
      </w:r>
      <w:r w:rsidR="00367170">
        <w:rPr>
          <w:rFonts w:ascii="Times New Roman" w:hAnsi="Times New Roman" w:cs="Calibri"/>
          <w:color w:val="000000"/>
          <w:sz w:val="24"/>
          <w:szCs w:val="24"/>
        </w:rPr>
        <w:t xml:space="preserve">and a </w:t>
      </w:r>
      <w:r w:rsidR="00367170" w:rsidRPr="00367170">
        <w:rPr>
          <w:rFonts w:ascii="Times New Roman" w:hAnsi="Times New Roman" w:cs="Calibri"/>
          <w:i/>
          <w:color w:val="000000"/>
          <w:sz w:val="24"/>
          <w:szCs w:val="24"/>
        </w:rPr>
        <w:t xml:space="preserve">Markov </w:t>
      </w:r>
      <w:r w:rsidR="00C967CD">
        <w:rPr>
          <w:rFonts w:ascii="Times New Roman" w:hAnsi="Times New Roman" w:cs="Calibri"/>
          <w:i/>
          <w:color w:val="000000"/>
          <w:sz w:val="24"/>
          <w:szCs w:val="24"/>
        </w:rPr>
        <w:t>R</w:t>
      </w:r>
      <w:r w:rsidR="00367170" w:rsidRPr="00367170">
        <w:rPr>
          <w:rFonts w:ascii="Times New Roman" w:hAnsi="Times New Roman" w:cs="Calibri"/>
          <w:i/>
          <w:color w:val="000000"/>
          <w:sz w:val="24"/>
          <w:szCs w:val="24"/>
        </w:rPr>
        <w:t xml:space="preserve">egime </w:t>
      </w:r>
      <w:r w:rsidR="00C967CD">
        <w:rPr>
          <w:rFonts w:ascii="Times New Roman" w:hAnsi="Times New Roman" w:cs="Calibri"/>
          <w:i/>
          <w:color w:val="000000"/>
          <w:sz w:val="24"/>
          <w:szCs w:val="24"/>
        </w:rPr>
        <w:t>S</w:t>
      </w:r>
      <w:r w:rsidR="00367170" w:rsidRPr="00367170">
        <w:rPr>
          <w:rFonts w:ascii="Times New Roman" w:hAnsi="Times New Roman" w:cs="Calibri"/>
          <w:i/>
          <w:color w:val="000000"/>
          <w:sz w:val="24"/>
          <w:szCs w:val="24"/>
        </w:rPr>
        <w:t>witching VAR</w:t>
      </w:r>
      <w:r w:rsidR="00367170">
        <w:rPr>
          <w:rFonts w:ascii="Times New Roman" w:hAnsi="Times New Roman" w:cs="Calibri"/>
          <w:color w:val="000000"/>
          <w:sz w:val="24"/>
          <w:szCs w:val="24"/>
        </w:rPr>
        <w:t xml:space="preserve"> (</w:t>
      </w:r>
      <w:r w:rsidR="00C967CD">
        <w:rPr>
          <w:rFonts w:ascii="Times New Roman" w:hAnsi="Times New Roman" w:cs="Calibri"/>
          <w:color w:val="000000"/>
          <w:sz w:val="24"/>
          <w:szCs w:val="24"/>
        </w:rPr>
        <w:t>“</w:t>
      </w:r>
      <w:r w:rsidR="00367170">
        <w:rPr>
          <w:rFonts w:ascii="Times New Roman" w:hAnsi="Times New Roman" w:cs="Calibri"/>
          <w:color w:val="000000"/>
          <w:sz w:val="24"/>
          <w:szCs w:val="24"/>
        </w:rPr>
        <w:t>MS-VAR</w:t>
      </w:r>
      <w:r w:rsidR="00C967CD">
        <w:rPr>
          <w:rFonts w:ascii="Times New Roman" w:hAnsi="Times New Roman" w:cs="Calibri"/>
          <w:color w:val="000000"/>
          <w:sz w:val="24"/>
          <w:szCs w:val="24"/>
        </w:rPr>
        <w:t>”</w:t>
      </w:r>
      <w:r w:rsidR="00367170">
        <w:rPr>
          <w:rFonts w:ascii="Times New Roman" w:hAnsi="Times New Roman" w:cs="Calibri"/>
          <w:color w:val="000000"/>
          <w:sz w:val="24"/>
          <w:szCs w:val="24"/>
        </w:rPr>
        <w:t xml:space="preserve">) </w:t>
      </w:r>
      <w:r w:rsidR="00430528">
        <w:rPr>
          <w:rFonts w:ascii="Times New Roman" w:hAnsi="Times New Roman" w:cs="Calibri"/>
          <w:color w:val="000000"/>
          <w:sz w:val="24"/>
          <w:szCs w:val="24"/>
        </w:rPr>
        <w:t xml:space="preserve">model, </w:t>
      </w:r>
      <w:r w:rsidR="00367170">
        <w:rPr>
          <w:rFonts w:ascii="Times New Roman" w:hAnsi="Times New Roman" w:cs="Calibri"/>
          <w:color w:val="000000"/>
          <w:sz w:val="24"/>
          <w:szCs w:val="24"/>
        </w:rPr>
        <w:t>following the stud</w:t>
      </w:r>
      <w:r w:rsidR="00D5155E">
        <w:rPr>
          <w:rFonts w:ascii="Times New Roman" w:hAnsi="Times New Roman" w:cs="Calibri"/>
          <w:color w:val="000000"/>
          <w:sz w:val="24"/>
          <w:szCs w:val="24"/>
        </w:rPr>
        <w:t>ies</w:t>
      </w:r>
      <w:r w:rsidR="00367170">
        <w:rPr>
          <w:rFonts w:ascii="Times New Roman" w:hAnsi="Times New Roman" w:cs="Calibri"/>
          <w:color w:val="000000"/>
          <w:sz w:val="24"/>
          <w:szCs w:val="24"/>
        </w:rPr>
        <w:t xml:space="preserve"> of Jacobs et al (2018)</w:t>
      </w:r>
      <w:r w:rsidR="00A026B1">
        <w:rPr>
          <w:rFonts w:ascii="Times New Roman" w:hAnsi="Times New Roman" w:cs="Calibri"/>
          <w:color w:val="000000"/>
          <w:sz w:val="24"/>
          <w:szCs w:val="24"/>
        </w:rPr>
        <w:t xml:space="preserve"> and Jacobs (2019)</w:t>
      </w:r>
      <w:r w:rsidR="00367170">
        <w:rPr>
          <w:rFonts w:ascii="Times New Roman" w:hAnsi="Times New Roman" w:cs="Calibri"/>
          <w:color w:val="000000"/>
          <w:sz w:val="24"/>
          <w:szCs w:val="24"/>
        </w:rPr>
        <w:t>.</w:t>
      </w:r>
      <w:r w:rsidR="00E02450">
        <w:rPr>
          <w:rFonts w:ascii="Times New Roman" w:hAnsi="Times New Roman" w:cs="Calibri"/>
          <w:color w:val="000000"/>
          <w:sz w:val="24"/>
          <w:szCs w:val="24"/>
        </w:rPr>
        <w:t xml:space="preserve">  </w:t>
      </w:r>
      <w:r w:rsidR="00F3682A">
        <w:rPr>
          <w:rFonts w:ascii="Times New Roman" w:hAnsi="Times New Roman" w:cs="Calibri"/>
          <w:color w:val="000000"/>
          <w:sz w:val="24"/>
          <w:szCs w:val="24"/>
        </w:rPr>
        <w:t>W</w:t>
      </w:r>
      <w:r w:rsidR="000F7A68">
        <w:rPr>
          <w:rFonts w:ascii="Times New Roman" w:hAnsi="Times New Roman" w:cs="Calibri"/>
          <w:color w:val="000000"/>
          <w:sz w:val="24"/>
          <w:szCs w:val="24"/>
        </w:rPr>
        <w:t xml:space="preserve">hile the models all perform well </w:t>
      </w:r>
      <w:r w:rsidR="000D59DC">
        <w:rPr>
          <w:rFonts w:ascii="Times New Roman" w:hAnsi="Times New Roman" w:cs="Calibri"/>
          <w:color w:val="000000"/>
          <w:sz w:val="24"/>
          <w:szCs w:val="24"/>
        </w:rPr>
        <w:t>(</w:t>
      </w:r>
      <w:r w:rsidR="000F7A68">
        <w:rPr>
          <w:rFonts w:ascii="Times New Roman" w:hAnsi="Times New Roman" w:cs="Calibri"/>
          <w:color w:val="000000"/>
          <w:sz w:val="24"/>
          <w:szCs w:val="24"/>
        </w:rPr>
        <w:t>and similarly</w:t>
      </w:r>
      <w:r w:rsidR="000D59DC">
        <w:rPr>
          <w:rFonts w:ascii="Times New Roman" w:hAnsi="Times New Roman" w:cs="Calibri"/>
          <w:color w:val="000000"/>
          <w:sz w:val="24"/>
          <w:szCs w:val="24"/>
        </w:rPr>
        <w:t xml:space="preserve">) by industry standards on an </w:t>
      </w:r>
      <w:r w:rsidR="000F7A68">
        <w:rPr>
          <w:rFonts w:ascii="Times New Roman" w:hAnsi="Times New Roman" w:cs="Calibri"/>
          <w:color w:val="000000"/>
          <w:sz w:val="24"/>
          <w:szCs w:val="24"/>
        </w:rPr>
        <w:t>in-sample</w:t>
      </w:r>
      <w:r w:rsidR="000D59DC">
        <w:rPr>
          <w:rFonts w:ascii="Times New Roman" w:hAnsi="Times New Roman" w:cs="Calibri"/>
          <w:color w:val="000000"/>
          <w:sz w:val="24"/>
          <w:szCs w:val="24"/>
        </w:rPr>
        <w:t xml:space="preserve"> basis</w:t>
      </w:r>
      <w:r w:rsidR="000F7A68">
        <w:rPr>
          <w:rFonts w:ascii="Times New Roman" w:hAnsi="Times New Roman" w:cs="Calibri"/>
          <w:color w:val="000000"/>
          <w:sz w:val="24"/>
          <w:szCs w:val="24"/>
        </w:rPr>
        <w:t>, the out-of-sample accuracy analysis exhibits severe underpr</w:t>
      </w:r>
      <w:r w:rsidR="000F7A68">
        <w:rPr>
          <w:rFonts w:ascii="Times New Roman" w:hAnsi="Times New Roman" w:cs="Calibri"/>
          <w:color w:val="000000"/>
          <w:sz w:val="24"/>
          <w:szCs w:val="24"/>
        </w:rPr>
        <w:t>e</w:t>
      </w:r>
      <w:r w:rsidR="000F7A68">
        <w:rPr>
          <w:rFonts w:ascii="Times New Roman" w:hAnsi="Times New Roman" w:cs="Calibri"/>
          <w:color w:val="000000"/>
          <w:sz w:val="24"/>
          <w:szCs w:val="24"/>
        </w:rPr>
        <w:t>diction</w:t>
      </w:r>
      <w:r w:rsidR="000D59DC">
        <w:rPr>
          <w:rFonts w:ascii="Times New Roman" w:hAnsi="Times New Roman" w:cs="Calibri"/>
          <w:color w:val="000000"/>
          <w:sz w:val="24"/>
          <w:szCs w:val="24"/>
        </w:rPr>
        <w:t xml:space="preserve"> across all models</w:t>
      </w:r>
      <w:r w:rsidR="000F7A68">
        <w:rPr>
          <w:rFonts w:ascii="Times New Roman" w:hAnsi="Times New Roman" w:cs="Calibri"/>
          <w:color w:val="000000"/>
          <w:sz w:val="24"/>
          <w:szCs w:val="24"/>
        </w:rPr>
        <w:t xml:space="preserve">.  </w:t>
      </w:r>
      <w:r w:rsidR="000D59DC">
        <w:rPr>
          <w:rFonts w:ascii="Times New Roman" w:hAnsi="Times New Roman" w:cs="Calibri"/>
          <w:color w:val="000000"/>
          <w:sz w:val="24"/>
          <w:szCs w:val="24"/>
        </w:rPr>
        <w:t>Furthermore, t</w:t>
      </w:r>
      <w:r w:rsidR="000F7A68">
        <w:rPr>
          <w:rFonts w:ascii="Times New Roman" w:hAnsi="Times New Roman" w:cs="Calibri"/>
          <w:color w:val="000000"/>
          <w:sz w:val="24"/>
          <w:szCs w:val="24"/>
        </w:rPr>
        <w:t>his inaccuracy is accentuated in either the more complex specification of the credit risk models, or in the either the Fed or VAR as opposed to the MS-VAR macroeconomic scenario models, where the assumption of a linear process for the joint distrib</w:t>
      </w:r>
      <w:r w:rsidR="000F7A68">
        <w:rPr>
          <w:rFonts w:ascii="Times New Roman" w:hAnsi="Times New Roman" w:cs="Calibri"/>
          <w:color w:val="000000"/>
          <w:sz w:val="24"/>
          <w:szCs w:val="24"/>
        </w:rPr>
        <w:t>u</w:t>
      </w:r>
      <w:r w:rsidR="000F7A68">
        <w:rPr>
          <w:rFonts w:ascii="Times New Roman" w:hAnsi="Times New Roman" w:cs="Calibri"/>
          <w:color w:val="000000"/>
          <w:sz w:val="24"/>
          <w:szCs w:val="24"/>
        </w:rPr>
        <w:t xml:space="preserve">tions of the macroeconomic variables is at odds with reality.  </w:t>
      </w:r>
      <w:r w:rsidR="00A00E28">
        <w:rPr>
          <w:rFonts w:ascii="Times New Roman" w:hAnsi="Times New Roman" w:cs="Calibri"/>
          <w:color w:val="000000"/>
          <w:sz w:val="24"/>
          <w:szCs w:val="24"/>
        </w:rPr>
        <w:t xml:space="preserve">The next phase of the </w:t>
      </w:r>
      <w:r w:rsidR="00E02450">
        <w:rPr>
          <w:rFonts w:ascii="Times New Roman" w:hAnsi="Times New Roman" w:cs="Calibri"/>
          <w:color w:val="000000"/>
          <w:sz w:val="24"/>
          <w:szCs w:val="24"/>
        </w:rPr>
        <w:t>model val</w:t>
      </w:r>
      <w:r w:rsidR="00E02450">
        <w:rPr>
          <w:rFonts w:ascii="Times New Roman" w:hAnsi="Times New Roman" w:cs="Calibri"/>
          <w:color w:val="000000"/>
          <w:sz w:val="24"/>
          <w:szCs w:val="24"/>
        </w:rPr>
        <w:t>i</w:t>
      </w:r>
      <w:r w:rsidR="00E02450">
        <w:rPr>
          <w:rFonts w:ascii="Times New Roman" w:hAnsi="Times New Roman" w:cs="Calibri"/>
          <w:color w:val="000000"/>
          <w:sz w:val="24"/>
          <w:szCs w:val="24"/>
        </w:rPr>
        <w:t xml:space="preserve">dation </w:t>
      </w:r>
      <w:r w:rsidR="000F7A68">
        <w:rPr>
          <w:rFonts w:ascii="Times New Roman" w:hAnsi="Times New Roman" w:cs="Calibri"/>
          <w:color w:val="000000"/>
          <w:sz w:val="24"/>
          <w:szCs w:val="24"/>
        </w:rPr>
        <w:t>exercise</w:t>
      </w:r>
      <w:r w:rsidR="00E02450">
        <w:rPr>
          <w:rFonts w:ascii="Times New Roman" w:hAnsi="Times New Roman" w:cs="Calibri"/>
          <w:color w:val="000000"/>
          <w:sz w:val="24"/>
          <w:szCs w:val="24"/>
        </w:rPr>
        <w:t xml:space="preserve"> quantif</w:t>
      </w:r>
      <w:r w:rsidR="00A00E28">
        <w:rPr>
          <w:rFonts w:ascii="Times New Roman" w:hAnsi="Times New Roman" w:cs="Calibri"/>
          <w:color w:val="000000"/>
          <w:sz w:val="24"/>
          <w:szCs w:val="24"/>
        </w:rPr>
        <w:t>ies</w:t>
      </w:r>
      <w:r w:rsidR="00E02450">
        <w:rPr>
          <w:rFonts w:ascii="Times New Roman" w:hAnsi="Times New Roman" w:cs="Calibri"/>
          <w:color w:val="000000"/>
          <w:sz w:val="24"/>
          <w:szCs w:val="24"/>
        </w:rPr>
        <w:t xml:space="preserve"> the level of model risk across specifications</w:t>
      </w:r>
      <w:r w:rsidR="00A00E28">
        <w:rPr>
          <w:rFonts w:ascii="Times New Roman" w:hAnsi="Times New Roman" w:cs="Calibri"/>
          <w:color w:val="000000"/>
          <w:sz w:val="24"/>
          <w:szCs w:val="24"/>
        </w:rPr>
        <w:t xml:space="preserve"> through</w:t>
      </w:r>
      <w:r w:rsidR="000F7A68">
        <w:rPr>
          <w:rFonts w:ascii="Times New Roman" w:hAnsi="Times New Roman" w:cs="Calibri"/>
          <w:color w:val="000000"/>
          <w:sz w:val="24"/>
          <w:szCs w:val="24"/>
        </w:rPr>
        <w:t xml:space="preserve"> </w:t>
      </w:r>
      <w:r w:rsidR="00E02450">
        <w:rPr>
          <w:rFonts w:ascii="Times New Roman" w:hAnsi="Times New Roman" w:cs="Calibri"/>
          <w:color w:val="000000"/>
          <w:sz w:val="24"/>
          <w:szCs w:val="24"/>
        </w:rPr>
        <w:t>generat</w:t>
      </w:r>
      <w:r w:rsidR="00A00E28">
        <w:rPr>
          <w:rFonts w:ascii="Times New Roman" w:hAnsi="Times New Roman" w:cs="Calibri"/>
          <w:color w:val="000000"/>
          <w:sz w:val="24"/>
          <w:szCs w:val="24"/>
        </w:rPr>
        <w:t>ing</w:t>
      </w:r>
      <w:r w:rsidR="00E02450">
        <w:rPr>
          <w:rFonts w:ascii="Times New Roman" w:hAnsi="Times New Roman" w:cs="Calibri"/>
          <w:color w:val="000000"/>
          <w:sz w:val="24"/>
          <w:szCs w:val="24"/>
        </w:rPr>
        <w:t xml:space="preserve"> worse case loss projections using the principle of </w:t>
      </w:r>
      <w:r w:rsidR="00E02450" w:rsidRPr="00E02450">
        <w:rPr>
          <w:rFonts w:ascii="Times New Roman" w:hAnsi="Times New Roman" w:cs="Calibri"/>
          <w:i/>
          <w:color w:val="000000"/>
          <w:sz w:val="24"/>
          <w:szCs w:val="24"/>
        </w:rPr>
        <w:t>relative entropy</w:t>
      </w:r>
      <w:r w:rsidR="00E02450">
        <w:rPr>
          <w:rFonts w:ascii="Times New Roman" w:hAnsi="Times New Roman" w:cs="Calibri"/>
          <w:color w:val="000000"/>
          <w:sz w:val="24"/>
          <w:szCs w:val="24"/>
        </w:rPr>
        <w:t xml:space="preserve">, </w:t>
      </w:r>
      <w:r w:rsidR="00A00E28">
        <w:rPr>
          <w:rFonts w:ascii="Times New Roman" w:hAnsi="Times New Roman" w:cs="Calibri"/>
          <w:color w:val="000000"/>
          <w:sz w:val="24"/>
          <w:szCs w:val="24"/>
        </w:rPr>
        <w:t>which</w:t>
      </w:r>
      <w:r w:rsidR="00E02450">
        <w:rPr>
          <w:rFonts w:ascii="Times New Roman" w:hAnsi="Times New Roman" w:cs="Calibri"/>
          <w:color w:val="000000"/>
          <w:sz w:val="24"/>
          <w:szCs w:val="24"/>
        </w:rPr>
        <w:t xml:space="preserve"> attribut</w:t>
      </w:r>
      <w:r w:rsidR="00A00E28">
        <w:rPr>
          <w:rFonts w:ascii="Times New Roman" w:hAnsi="Times New Roman" w:cs="Calibri"/>
          <w:color w:val="000000"/>
          <w:sz w:val="24"/>
          <w:szCs w:val="24"/>
        </w:rPr>
        <w:t>es</w:t>
      </w:r>
      <w:r w:rsidR="00E02450">
        <w:rPr>
          <w:rFonts w:ascii="Times New Roman" w:hAnsi="Times New Roman" w:cs="Calibri"/>
          <w:color w:val="000000"/>
          <w:sz w:val="24"/>
          <w:szCs w:val="24"/>
        </w:rPr>
        <w:t xml:space="preserve"> the contribution of model risk emanating from the credit </w:t>
      </w:r>
      <w:r w:rsidR="00854CE4">
        <w:rPr>
          <w:rFonts w:ascii="Times New Roman" w:hAnsi="Times New Roman" w:cs="Calibri"/>
          <w:color w:val="000000"/>
          <w:sz w:val="24"/>
          <w:szCs w:val="24"/>
        </w:rPr>
        <w:t xml:space="preserve">risk </w:t>
      </w:r>
      <w:r w:rsidR="00E02450">
        <w:rPr>
          <w:rFonts w:ascii="Times New Roman" w:hAnsi="Times New Roman" w:cs="Calibri"/>
          <w:color w:val="000000"/>
          <w:sz w:val="24"/>
          <w:szCs w:val="24"/>
        </w:rPr>
        <w:t>models versus the macroeconomic scenario generation models.</w:t>
      </w:r>
      <w:r w:rsidR="00F92CE5">
        <w:rPr>
          <w:rFonts w:ascii="Times New Roman" w:hAnsi="Times New Roman" w:cs="Calibri"/>
          <w:color w:val="000000"/>
          <w:sz w:val="24"/>
          <w:szCs w:val="24"/>
        </w:rPr>
        <w:t xml:space="preserve">  The finding in this regard is that the while more highly </w:t>
      </w:r>
      <w:proofErr w:type="spellStart"/>
      <w:r w:rsidR="00F92CE5">
        <w:rPr>
          <w:rFonts w:ascii="Times New Roman" w:hAnsi="Times New Roman" w:cs="Calibri"/>
          <w:color w:val="000000"/>
          <w:sz w:val="24"/>
          <w:szCs w:val="24"/>
        </w:rPr>
        <w:t>parametericized</w:t>
      </w:r>
      <w:proofErr w:type="spellEnd"/>
      <w:r w:rsidR="00F92CE5">
        <w:rPr>
          <w:rFonts w:ascii="Times New Roman" w:hAnsi="Times New Roman" w:cs="Calibri"/>
          <w:color w:val="000000"/>
          <w:sz w:val="24"/>
          <w:szCs w:val="24"/>
        </w:rPr>
        <w:t xml:space="preserve"> credit risk models give </w:t>
      </w:r>
      <w:r w:rsidR="00F3682A">
        <w:rPr>
          <w:rFonts w:ascii="Times New Roman" w:hAnsi="Times New Roman" w:cs="Calibri"/>
          <w:color w:val="000000"/>
          <w:sz w:val="24"/>
          <w:szCs w:val="24"/>
        </w:rPr>
        <w:t xml:space="preserve">rise </w:t>
      </w:r>
      <w:r w:rsidR="00F92CE5">
        <w:rPr>
          <w:rFonts w:ascii="Times New Roman" w:hAnsi="Times New Roman" w:cs="Calibri"/>
          <w:color w:val="000000"/>
          <w:sz w:val="24"/>
          <w:szCs w:val="24"/>
        </w:rPr>
        <w:t xml:space="preserve">to greater </w:t>
      </w:r>
      <w:r w:rsidR="007C1AA9">
        <w:rPr>
          <w:rFonts w:ascii="Times New Roman" w:hAnsi="Times New Roman" w:cs="Calibri"/>
          <w:color w:val="000000"/>
          <w:sz w:val="24"/>
          <w:szCs w:val="24"/>
        </w:rPr>
        <w:t xml:space="preserve">measured </w:t>
      </w:r>
      <w:r w:rsidR="00F92CE5">
        <w:rPr>
          <w:rFonts w:ascii="Times New Roman" w:hAnsi="Times New Roman" w:cs="Calibri"/>
          <w:color w:val="000000"/>
          <w:sz w:val="24"/>
          <w:szCs w:val="24"/>
        </w:rPr>
        <w:t xml:space="preserve">model risk, it is in fact the less complex macroeconomic scenario generation models (assuming </w:t>
      </w:r>
      <w:r w:rsidR="007C1AA9">
        <w:rPr>
          <w:rFonts w:ascii="Times New Roman" w:hAnsi="Times New Roman" w:cs="Calibri"/>
          <w:color w:val="000000"/>
          <w:sz w:val="24"/>
          <w:szCs w:val="24"/>
        </w:rPr>
        <w:t>Gaussian dynamics) that also lead to increased model error.</w:t>
      </w:r>
      <w:r w:rsidR="00A00E28">
        <w:rPr>
          <w:rFonts w:ascii="Times New Roman" w:hAnsi="Times New Roman" w:cs="Calibri"/>
          <w:color w:val="000000"/>
          <w:sz w:val="24"/>
          <w:szCs w:val="24"/>
        </w:rPr>
        <w:t xml:space="preserve">  </w:t>
      </w:r>
      <w:r w:rsidR="007B0E88">
        <w:rPr>
          <w:rFonts w:ascii="Times New Roman" w:hAnsi="Times New Roman" w:cs="Calibri"/>
          <w:color w:val="000000"/>
          <w:sz w:val="24"/>
          <w:szCs w:val="24"/>
        </w:rPr>
        <w:t xml:space="preserve">The model validation implications of these findings is that CECL model developers </w:t>
      </w:r>
      <w:r w:rsidR="00F3682A">
        <w:rPr>
          <w:rFonts w:ascii="Times New Roman" w:hAnsi="Times New Roman" w:cs="Calibri"/>
          <w:color w:val="000000"/>
          <w:sz w:val="24"/>
          <w:szCs w:val="24"/>
        </w:rPr>
        <w:t>are</w:t>
      </w:r>
      <w:r w:rsidR="007B0E88">
        <w:rPr>
          <w:rFonts w:ascii="Times New Roman" w:hAnsi="Times New Roman" w:cs="Calibri"/>
          <w:color w:val="000000"/>
          <w:sz w:val="24"/>
          <w:szCs w:val="24"/>
        </w:rPr>
        <w:t xml:space="preserve"> advise</w:t>
      </w:r>
      <w:r w:rsidR="00F3682A">
        <w:rPr>
          <w:rFonts w:ascii="Times New Roman" w:hAnsi="Times New Roman" w:cs="Calibri"/>
          <w:color w:val="000000"/>
          <w:sz w:val="24"/>
          <w:szCs w:val="24"/>
        </w:rPr>
        <w:t>d</w:t>
      </w:r>
      <w:r w:rsidR="007B0E88">
        <w:rPr>
          <w:rFonts w:ascii="Times New Roman" w:hAnsi="Times New Roman" w:cs="Calibri"/>
          <w:color w:val="000000"/>
          <w:sz w:val="24"/>
          <w:szCs w:val="24"/>
        </w:rPr>
        <w:t xml:space="preserve"> to err on the side of either more parsimonious credit risk model specifications, or more realistic dynamics to characterize the distribution of macroeconomic variables, in order to mitigate u</w:t>
      </w:r>
      <w:r w:rsidR="007B0E88">
        <w:rPr>
          <w:rFonts w:ascii="Times New Roman" w:hAnsi="Times New Roman" w:cs="Calibri"/>
          <w:color w:val="000000"/>
          <w:sz w:val="24"/>
          <w:szCs w:val="24"/>
        </w:rPr>
        <w:t>n</w:t>
      </w:r>
      <w:r w:rsidR="007B0E88">
        <w:rPr>
          <w:rFonts w:ascii="Times New Roman" w:hAnsi="Times New Roman" w:cs="Calibri"/>
          <w:color w:val="000000"/>
          <w:sz w:val="24"/>
          <w:szCs w:val="24"/>
        </w:rPr>
        <w:t xml:space="preserve">derprediction or measured model risk. </w:t>
      </w:r>
      <w:r w:rsidR="007C1AA9">
        <w:rPr>
          <w:rFonts w:ascii="Times New Roman" w:hAnsi="Times New Roman" w:cs="Calibri"/>
          <w:color w:val="000000"/>
          <w:sz w:val="24"/>
          <w:szCs w:val="24"/>
        </w:rPr>
        <w:t xml:space="preserve"> </w:t>
      </w:r>
      <w:r w:rsidR="00E02450">
        <w:rPr>
          <w:rFonts w:ascii="Times New Roman" w:hAnsi="Times New Roman" w:cs="Calibri"/>
          <w:color w:val="000000"/>
          <w:sz w:val="24"/>
          <w:szCs w:val="24"/>
        </w:rPr>
        <w:t xml:space="preserve">  </w:t>
      </w:r>
      <w:r w:rsidR="00367170">
        <w:rPr>
          <w:rFonts w:ascii="Times New Roman" w:hAnsi="Times New Roman" w:cs="Calibri"/>
          <w:color w:val="000000"/>
          <w:sz w:val="24"/>
          <w:szCs w:val="24"/>
        </w:rPr>
        <w:t xml:space="preserve">      </w:t>
      </w:r>
    </w:p>
    <w:p w:rsidR="00501E3C" w:rsidRDefault="00501E3C" w:rsidP="00745B92">
      <w:pPr>
        <w:tabs>
          <w:tab w:val="left" w:pos="3656"/>
        </w:tabs>
        <w:jc w:val="both"/>
        <w:rPr>
          <w:rFonts w:ascii="Times New Roman" w:hAnsi="Times New Roman" w:cs="Calibri"/>
          <w:color w:val="000000"/>
          <w:sz w:val="24"/>
          <w:szCs w:val="24"/>
        </w:rPr>
      </w:pPr>
      <w:r w:rsidRPr="00501E3C">
        <w:rPr>
          <w:rFonts w:ascii="Times New Roman" w:hAnsi="Times New Roman" w:cs="Calibri"/>
          <w:color w:val="000000"/>
          <w:sz w:val="24"/>
          <w:szCs w:val="24"/>
        </w:rPr>
        <w:t>This paper proce</w:t>
      </w:r>
      <w:r>
        <w:rPr>
          <w:rFonts w:ascii="Times New Roman" w:hAnsi="Times New Roman" w:cs="Calibri"/>
          <w:color w:val="000000"/>
          <w:sz w:val="24"/>
          <w:szCs w:val="24"/>
        </w:rPr>
        <w:t>e</w:t>
      </w:r>
      <w:r w:rsidRPr="00501E3C">
        <w:rPr>
          <w:rFonts w:ascii="Times New Roman" w:hAnsi="Times New Roman" w:cs="Calibri"/>
          <w:color w:val="000000"/>
          <w:sz w:val="24"/>
          <w:szCs w:val="24"/>
        </w:rPr>
        <w:t>ds as follows.</w:t>
      </w:r>
      <w:r>
        <w:rPr>
          <w:rFonts w:ascii="Times New Roman" w:hAnsi="Times New Roman" w:cs="Calibri"/>
          <w:color w:val="000000"/>
          <w:sz w:val="24"/>
          <w:szCs w:val="24"/>
        </w:rPr>
        <w:t xml:space="preserve">  In Section </w:t>
      </w:r>
      <w:r w:rsidR="0090183F">
        <w:rPr>
          <w:rFonts w:ascii="Times New Roman" w:hAnsi="Times New Roman" w:cs="Calibri"/>
          <w:color w:val="000000"/>
          <w:sz w:val="24"/>
          <w:szCs w:val="24"/>
        </w:rPr>
        <w:t>2</w:t>
      </w:r>
      <w:r>
        <w:rPr>
          <w:rFonts w:ascii="Times New Roman" w:hAnsi="Times New Roman" w:cs="Calibri"/>
          <w:color w:val="000000"/>
          <w:sz w:val="24"/>
          <w:szCs w:val="24"/>
        </w:rPr>
        <w:t xml:space="preserve"> we review the related literature.</w:t>
      </w:r>
      <w:r w:rsidR="00745B92">
        <w:rPr>
          <w:rFonts w:ascii="Times New Roman" w:hAnsi="Times New Roman" w:cs="Calibri"/>
          <w:color w:val="000000"/>
          <w:sz w:val="24"/>
          <w:szCs w:val="24"/>
        </w:rPr>
        <w:t xml:space="preserve">  In Section </w:t>
      </w:r>
      <w:r w:rsidR="0090183F">
        <w:rPr>
          <w:rFonts w:ascii="Times New Roman" w:hAnsi="Times New Roman" w:cs="Calibri"/>
          <w:color w:val="000000"/>
          <w:sz w:val="24"/>
          <w:szCs w:val="24"/>
        </w:rPr>
        <w:t>3</w:t>
      </w:r>
      <w:r w:rsidR="00745B92">
        <w:rPr>
          <w:rFonts w:ascii="Times New Roman" w:hAnsi="Times New Roman" w:cs="Calibri"/>
          <w:color w:val="000000"/>
          <w:sz w:val="24"/>
          <w:szCs w:val="24"/>
        </w:rPr>
        <w:t xml:space="preserve"> we present a framework for CECL model validation of the conceptual soundness aspect</w:t>
      </w:r>
      <w:r w:rsidR="0090183F">
        <w:rPr>
          <w:rFonts w:ascii="Times New Roman" w:hAnsi="Times New Roman" w:cs="Calibri"/>
          <w:color w:val="000000"/>
          <w:sz w:val="24"/>
          <w:szCs w:val="24"/>
        </w:rPr>
        <w:t>, as well as</w:t>
      </w:r>
      <w:r w:rsidR="00745B92">
        <w:rPr>
          <w:rFonts w:ascii="Times New Roman" w:hAnsi="Times New Roman" w:cs="Calibri"/>
          <w:color w:val="000000"/>
          <w:sz w:val="24"/>
          <w:szCs w:val="24"/>
        </w:rPr>
        <w:t>.</w:t>
      </w:r>
      <w:r w:rsidR="00F3682A">
        <w:rPr>
          <w:rFonts w:ascii="Times New Roman" w:hAnsi="Times New Roman" w:cs="Calibri"/>
          <w:color w:val="000000"/>
          <w:sz w:val="24"/>
          <w:szCs w:val="24"/>
        </w:rPr>
        <w:t xml:space="preserve">  outlines our approach for the validation of CECL model implementation and execution.</w:t>
      </w:r>
      <w:r w:rsidR="00384AF2">
        <w:rPr>
          <w:rFonts w:ascii="Times New Roman" w:hAnsi="Times New Roman" w:cs="Calibri"/>
          <w:color w:val="000000"/>
          <w:sz w:val="24"/>
          <w:szCs w:val="24"/>
        </w:rPr>
        <w:t xml:space="preserve">  The econometric methodologies are outlined in Section </w:t>
      </w:r>
      <w:r w:rsidR="0090183F">
        <w:rPr>
          <w:rFonts w:ascii="Times New Roman" w:hAnsi="Times New Roman" w:cs="Calibri"/>
          <w:color w:val="000000"/>
          <w:sz w:val="24"/>
          <w:szCs w:val="24"/>
        </w:rPr>
        <w:t>4</w:t>
      </w:r>
      <w:r w:rsidR="00384AF2">
        <w:rPr>
          <w:rFonts w:ascii="Times New Roman" w:hAnsi="Times New Roman" w:cs="Calibri"/>
          <w:color w:val="000000"/>
          <w:sz w:val="24"/>
          <w:szCs w:val="24"/>
        </w:rPr>
        <w:t>.</w:t>
      </w:r>
      <w:r w:rsidR="00745B92">
        <w:rPr>
          <w:rFonts w:ascii="Times New Roman" w:hAnsi="Times New Roman" w:cs="Calibri"/>
          <w:color w:val="000000"/>
          <w:sz w:val="24"/>
          <w:szCs w:val="24"/>
        </w:rPr>
        <w:t xml:space="preserve">  </w:t>
      </w:r>
      <w:r>
        <w:rPr>
          <w:rFonts w:ascii="Times New Roman" w:hAnsi="Times New Roman" w:cs="Calibri"/>
          <w:color w:val="000000"/>
          <w:sz w:val="24"/>
          <w:szCs w:val="24"/>
        </w:rPr>
        <w:t xml:space="preserve">Section </w:t>
      </w:r>
      <w:r w:rsidR="0090183F">
        <w:rPr>
          <w:rFonts w:ascii="Times New Roman" w:hAnsi="Times New Roman" w:cs="Calibri"/>
          <w:color w:val="000000"/>
          <w:sz w:val="24"/>
          <w:szCs w:val="24"/>
        </w:rPr>
        <w:t>5</w:t>
      </w:r>
      <w:r>
        <w:rPr>
          <w:rFonts w:ascii="Times New Roman" w:hAnsi="Times New Roman" w:cs="Calibri"/>
          <w:color w:val="000000"/>
          <w:sz w:val="24"/>
          <w:szCs w:val="24"/>
        </w:rPr>
        <w:t xml:space="preserve"> </w:t>
      </w:r>
      <w:r w:rsidR="00745B92">
        <w:rPr>
          <w:rFonts w:ascii="Times New Roman" w:hAnsi="Times New Roman" w:cs="Calibri"/>
          <w:color w:val="000000"/>
          <w:sz w:val="24"/>
          <w:szCs w:val="24"/>
        </w:rPr>
        <w:t xml:space="preserve">presents an example of CECL model validation, where we assess </w:t>
      </w:r>
      <w:r>
        <w:rPr>
          <w:rFonts w:ascii="Times New Roman" w:hAnsi="Times New Roman" w:cs="Calibri"/>
          <w:color w:val="000000"/>
          <w:sz w:val="24"/>
          <w:szCs w:val="24"/>
        </w:rPr>
        <w:t xml:space="preserve">the </w:t>
      </w:r>
      <w:r w:rsidR="00745B92">
        <w:rPr>
          <w:rFonts w:ascii="Times New Roman" w:hAnsi="Times New Roman" w:cs="Calibri"/>
          <w:color w:val="000000"/>
          <w:sz w:val="24"/>
          <w:szCs w:val="24"/>
        </w:rPr>
        <w:t>m</w:t>
      </w:r>
      <w:r>
        <w:rPr>
          <w:rFonts w:ascii="Times New Roman" w:hAnsi="Times New Roman" w:cs="Calibri"/>
          <w:color w:val="000000"/>
          <w:sz w:val="24"/>
          <w:szCs w:val="24"/>
        </w:rPr>
        <w:t xml:space="preserve">odeling data and empirical results.  </w:t>
      </w:r>
      <w:r w:rsidR="00C61106">
        <w:rPr>
          <w:rFonts w:ascii="Times New Roman" w:hAnsi="Times New Roman" w:cs="Calibri"/>
          <w:color w:val="000000"/>
          <w:sz w:val="24"/>
          <w:szCs w:val="24"/>
        </w:rPr>
        <w:t xml:space="preserve">In </w:t>
      </w:r>
      <w:r w:rsidR="0004480D">
        <w:rPr>
          <w:rFonts w:ascii="Times New Roman" w:hAnsi="Times New Roman" w:cs="Calibri"/>
          <w:color w:val="000000"/>
          <w:sz w:val="24"/>
          <w:szCs w:val="24"/>
        </w:rPr>
        <w:t xml:space="preserve">Section </w:t>
      </w:r>
      <w:r w:rsidR="0090183F">
        <w:rPr>
          <w:rFonts w:ascii="Times New Roman" w:hAnsi="Times New Roman" w:cs="Calibri"/>
          <w:color w:val="000000"/>
          <w:sz w:val="24"/>
          <w:szCs w:val="24"/>
        </w:rPr>
        <w:t>6</w:t>
      </w:r>
      <w:r w:rsidR="00745B92">
        <w:rPr>
          <w:rFonts w:ascii="Times New Roman" w:hAnsi="Times New Roman" w:cs="Calibri"/>
          <w:color w:val="000000"/>
          <w:sz w:val="24"/>
          <w:szCs w:val="24"/>
        </w:rPr>
        <w:t>,</w:t>
      </w:r>
      <w:r w:rsidR="00C61106">
        <w:rPr>
          <w:rFonts w:ascii="Times New Roman" w:hAnsi="Times New Roman" w:cs="Calibri"/>
          <w:color w:val="000000"/>
          <w:sz w:val="24"/>
          <w:szCs w:val="24"/>
        </w:rPr>
        <w:t xml:space="preserve"> we perform our model risk quantification exercise for the various loss model and scenario generation specifications.  </w:t>
      </w:r>
      <w:r>
        <w:rPr>
          <w:rFonts w:ascii="Times New Roman" w:hAnsi="Times New Roman" w:cs="Calibri"/>
          <w:color w:val="000000"/>
          <w:sz w:val="24"/>
          <w:szCs w:val="24"/>
        </w:rPr>
        <w:t xml:space="preserve">Section </w:t>
      </w:r>
      <w:r w:rsidR="0090183F">
        <w:rPr>
          <w:rFonts w:ascii="Times New Roman" w:hAnsi="Times New Roman" w:cs="Calibri"/>
          <w:color w:val="000000"/>
          <w:sz w:val="24"/>
          <w:szCs w:val="24"/>
        </w:rPr>
        <w:t>7</w:t>
      </w:r>
      <w:r>
        <w:rPr>
          <w:rFonts w:ascii="Times New Roman" w:hAnsi="Times New Roman" w:cs="Calibri"/>
          <w:color w:val="000000"/>
          <w:sz w:val="24"/>
          <w:szCs w:val="24"/>
        </w:rPr>
        <w:t xml:space="preserve"> concludes and presents directions for future research.  </w:t>
      </w:r>
    </w:p>
    <w:p w:rsidR="00B71E7E" w:rsidRDefault="00095175" w:rsidP="000C2F00">
      <w:pPr>
        <w:rPr>
          <w:rFonts w:ascii="Times New Roman" w:hAnsi="Times New Roman" w:cs="Calibri"/>
          <w:color w:val="000000"/>
          <w:sz w:val="24"/>
          <w:szCs w:val="24"/>
        </w:rPr>
      </w:pPr>
      <w:r>
        <w:rPr>
          <w:rFonts w:ascii="Times New Roman" w:hAnsi="Times New Roman"/>
          <w:b/>
          <w:sz w:val="28"/>
          <w:szCs w:val="28"/>
        </w:rPr>
        <w:lastRenderedPageBreak/>
        <w:t>2</w:t>
      </w:r>
      <w:r w:rsidR="00B71E7E" w:rsidRPr="00014971">
        <w:rPr>
          <w:rFonts w:ascii="Times New Roman" w:hAnsi="Times New Roman"/>
          <w:b/>
          <w:sz w:val="28"/>
          <w:szCs w:val="28"/>
        </w:rPr>
        <w:tab/>
      </w:r>
      <w:r w:rsidR="00B71E7E">
        <w:rPr>
          <w:rFonts w:ascii="Times New Roman" w:hAnsi="Times New Roman"/>
          <w:b/>
          <w:sz w:val="28"/>
          <w:szCs w:val="28"/>
        </w:rPr>
        <w:t>Review of the Literature</w:t>
      </w:r>
    </w:p>
    <w:p w:rsidR="00A86725" w:rsidRPr="0006361E" w:rsidRDefault="00A86725" w:rsidP="000E6ED6">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The procyclicality of the incurred loss standard for the provisioning of expected credit losses has been extensively discussed by a range of authors: </w:t>
      </w:r>
      <w:r w:rsidRPr="0006361E">
        <w:rPr>
          <w:rFonts w:ascii="Times New Roman" w:hAnsi="Times New Roman"/>
          <w:sz w:val="24"/>
          <w:szCs w:val="24"/>
        </w:rPr>
        <w:t>Bernanke and Lown (1991)</w:t>
      </w:r>
      <w:r w:rsidR="000C2F00">
        <w:rPr>
          <w:rFonts w:ascii="Times New Roman" w:hAnsi="Times New Roman"/>
          <w:sz w:val="24"/>
          <w:szCs w:val="24"/>
        </w:rPr>
        <w:t>;</w:t>
      </w:r>
      <w:r w:rsidRPr="0006361E">
        <w:rPr>
          <w:rFonts w:ascii="Times New Roman" w:hAnsi="Times New Roman"/>
          <w:sz w:val="24"/>
          <w:szCs w:val="24"/>
        </w:rPr>
        <w:t xml:space="preserve"> Kishan and Opiela (2000)</w:t>
      </w:r>
      <w:r w:rsidR="000C2F00">
        <w:rPr>
          <w:rFonts w:ascii="Times New Roman" w:hAnsi="Times New Roman"/>
          <w:sz w:val="24"/>
          <w:szCs w:val="24"/>
        </w:rPr>
        <w:t>;</w:t>
      </w:r>
      <w:r w:rsidRPr="0006361E">
        <w:rPr>
          <w:rFonts w:ascii="Times New Roman" w:hAnsi="Times New Roman"/>
          <w:sz w:val="24"/>
          <w:szCs w:val="24"/>
        </w:rPr>
        <w:t xml:space="preserve"> Francis and Osborne (2009)</w:t>
      </w:r>
      <w:r w:rsidR="000C2F00">
        <w:rPr>
          <w:rFonts w:ascii="Times New Roman" w:hAnsi="Times New Roman"/>
          <w:sz w:val="24"/>
          <w:szCs w:val="24"/>
        </w:rPr>
        <w:t>;</w:t>
      </w:r>
      <w:r w:rsidRPr="0006361E">
        <w:rPr>
          <w:rFonts w:ascii="Times New Roman" w:hAnsi="Times New Roman"/>
          <w:sz w:val="24"/>
          <w:szCs w:val="24"/>
        </w:rPr>
        <w:t xml:space="preserve"> Berrospide and Edge (2010)</w:t>
      </w:r>
      <w:r w:rsidR="000C2F00">
        <w:rPr>
          <w:rFonts w:ascii="Times New Roman" w:hAnsi="Times New Roman"/>
          <w:sz w:val="24"/>
          <w:szCs w:val="24"/>
        </w:rPr>
        <w:t>;</w:t>
      </w:r>
      <w:r w:rsidRPr="0006361E">
        <w:rPr>
          <w:rFonts w:ascii="Times New Roman" w:hAnsi="Times New Roman"/>
          <w:sz w:val="24"/>
          <w:szCs w:val="24"/>
        </w:rPr>
        <w:t xml:space="preserve"> Cornett, McNutt, Strahan, and Tehranian (2011)</w:t>
      </w:r>
      <w:r w:rsidR="000C2F00">
        <w:rPr>
          <w:rFonts w:ascii="Times New Roman" w:hAnsi="Times New Roman"/>
          <w:sz w:val="24"/>
          <w:szCs w:val="24"/>
        </w:rPr>
        <w:t>;</w:t>
      </w:r>
      <w:r w:rsidRPr="0006361E">
        <w:rPr>
          <w:rFonts w:ascii="Times New Roman" w:hAnsi="Times New Roman"/>
          <w:sz w:val="24"/>
          <w:szCs w:val="24"/>
        </w:rPr>
        <w:t xml:space="preserve"> Carlson, Shan, and Warusawitharana (2013).</w:t>
      </w:r>
    </w:p>
    <w:p w:rsidR="00970268" w:rsidRDefault="00D30A8E" w:rsidP="00970268">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We note some key studies of model risk and its quantification </w:t>
      </w:r>
      <w:r w:rsidR="00970268">
        <w:rPr>
          <w:rFonts w:ascii="Times New Roman" w:hAnsi="Times New Roman"/>
          <w:sz w:val="24"/>
          <w:szCs w:val="24"/>
        </w:rPr>
        <w:t>that address issues</w:t>
      </w:r>
      <w:r>
        <w:rPr>
          <w:rFonts w:ascii="Times New Roman" w:hAnsi="Times New Roman"/>
          <w:sz w:val="24"/>
          <w:szCs w:val="24"/>
        </w:rPr>
        <w:t xml:space="preserve"> </w:t>
      </w:r>
      <w:r w:rsidR="00970268">
        <w:rPr>
          <w:rFonts w:ascii="Times New Roman" w:hAnsi="Times New Roman"/>
          <w:sz w:val="24"/>
          <w:szCs w:val="24"/>
        </w:rPr>
        <w:t>in the impl</w:t>
      </w:r>
      <w:r w:rsidR="00970268">
        <w:rPr>
          <w:rFonts w:ascii="Times New Roman" w:hAnsi="Times New Roman"/>
          <w:sz w:val="24"/>
          <w:szCs w:val="24"/>
        </w:rPr>
        <w:t>e</w:t>
      </w:r>
      <w:r w:rsidR="00970268">
        <w:rPr>
          <w:rFonts w:ascii="Times New Roman" w:hAnsi="Times New Roman"/>
          <w:sz w:val="24"/>
          <w:szCs w:val="24"/>
        </w:rPr>
        <w:t xml:space="preserve">mentation of </w:t>
      </w:r>
      <w:r>
        <w:rPr>
          <w:rFonts w:ascii="Times New Roman" w:hAnsi="Times New Roman"/>
          <w:sz w:val="24"/>
          <w:szCs w:val="24"/>
        </w:rPr>
        <w:t xml:space="preserve">the supervisory guidance </w:t>
      </w:r>
      <w:r w:rsidR="00970268">
        <w:rPr>
          <w:rFonts w:ascii="Times New Roman" w:hAnsi="Times New Roman"/>
          <w:sz w:val="24"/>
          <w:szCs w:val="24"/>
        </w:rPr>
        <w:t>on model risk (Board of Governors of the Federal Reserve System, 2011; “SR 11-7”)</w:t>
      </w:r>
      <w:r>
        <w:rPr>
          <w:rFonts w:ascii="Times New Roman" w:hAnsi="Times New Roman"/>
          <w:sz w:val="24"/>
          <w:szCs w:val="24"/>
        </w:rPr>
        <w:t xml:space="preserve">.  </w:t>
      </w:r>
      <w:r w:rsidR="00593735">
        <w:rPr>
          <w:rFonts w:ascii="Times New Roman" w:hAnsi="Times New Roman"/>
          <w:sz w:val="24"/>
          <w:szCs w:val="24"/>
        </w:rPr>
        <w:t>Glasserman and Xu (2013)</w:t>
      </w:r>
      <w:r w:rsidR="00593735" w:rsidRPr="00B74D3F">
        <w:rPr>
          <w:rFonts w:ascii="Times New Roman" w:hAnsi="Times New Roman"/>
          <w:sz w:val="24"/>
          <w:szCs w:val="24"/>
        </w:rPr>
        <w:t xml:space="preserve"> quantify the impact of model </w:t>
      </w:r>
      <w:r w:rsidR="00607727">
        <w:rPr>
          <w:rFonts w:ascii="Times New Roman" w:hAnsi="Times New Roman"/>
          <w:sz w:val="24"/>
          <w:szCs w:val="24"/>
        </w:rPr>
        <w:t>risk</w:t>
      </w:r>
      <w:r w:rsidR="00970268">
        <w:rPr>
          <w:rFonts w:ascii="Times New Roman" w:hAnsi="Times New Roman"/>
          <w:sz w:val="24"/>
          <w:szCs w:val="24"/>
        </w:rPr>
        <w:t xml:space="preserve"> through</w:t>
      </w:r>
      <w:r w:rsidR="00593735" w:rsidRPr="00B74D3F">
        <w:rPr>
          <w:rFonts w:ascii="Times New Roman" w:hAnsi="Times New Roman"/>
          <w:sz w:val="24"/>
          <w:szCs w:val="24"/>
        </w:rPr>
        <w:t xml:space="preserve"> measuring and minimizing risk in a way</w:t>
      </w:r>
      <w:r w:rsidR="00593735">
        <w:rPr>
          <w:rFonts w:ascii="Times New Roman" w:hAnsi="Times New Roman"/>
          <w:sz w:val="24"/>
          <w:szCs w:val="24"/>
        </w:rPr>
        <w:t xml:space="preserve"> </w:t>
      </w:r>
      <w:r w:rsidR="00593735" w:rsidRPr="00B74D3F">
        <w:rPr>
          <w:rFonts w:ascii="Times New Roman" w:hAnsi="Times New Roman"/>
          <w:sz w:val="24"/>
          <w:szCs w:val="24"/>
        </w:rPr>
        <w:t>robust to model error</w:t>
      </w:r>
      <w:r w:rsidR="00A050C8">
        <w:rPr>
          <w:rFonts w:ascii="Times New Roman" w:hAnsi="Times New Roman"/>
          <w:sz w:val="24"/>
          <w:szCs w:val="24"/>
        </w:rPr>
        <w:t>,</w:t>
      </w:r>
      <w:r w:rsidR="00593735" w:rsidRPr="00B74D3F">
        <w:rPr>
          <w:rFonts w:ascii="Times New Roman" w:hAnsi="Times New Roman"/>
          <w:sz w:val="24"/>
          <w:szCs w:val="24"/>
        </w:rPr>
        <w:t xml:space="preserve"> start</w:t>
      </w:r>
      <w:r w:rsidR="00A050C8">
        <w:rPr>
          <w:rFonts w:ascii="Times New Roman" w:hAnsi="Times New Roman"/>
          <w:sz w:val="24"/>
          <w:szCs w:val="24"/>
        </w:rPr>
        <w:t>ing</w:t>
      </w:r>
      <w:r w:rsidR="00593735" w:rsidRPr="00B74D3F">
        <w:rPr>
          <w:rFonts w:ascii="Times New Roman" w:hAnsi="Times New Roman"/>
          <w:sz w:val="24"/>
          <w:szCs w:val="24"/>
        </w:rPr>
        <w:t xml:space="preserve"> from a baseline model </w:t>
      </w:r>
      <w:r w:rsidR="00A050C8">
        <w:rPr>
          <w:rFonts w:ascii="Times New Roman" w:hAnsi="Times New Roman"/>
          <w:sz w:val="24"/>
          <w:szCs w:val="24"/>
        </w:rPr>
        <w:t>to</w:t>
      </w:r>
      <w:r w:rsidR="00593735" w:rsidRPr="00B74D3F">
        <w:rPr>
          <w:rFonts w:ascii="Times New Roman" w:hAnsi="Times New Roman"/>
          <w:sz w:val="24"/>
          <w:szCs w:val="24"/>
        </w:rPr>
        <w:t xml:space="preserve"> find the worst</w:t>
      </w:r>
      <w:r w:rsidR="00593735">
        <w:rPr>
          <w:rFonts w:ascii="Times New Roman" w:hAnsi="Times New Roman"/>
          <w:sz w:val="24"/>
          <w:szCs w:val="24"/>
        </w:rPr>
        <w:t xml:space="preserve"> </w:t>
      </w:r>
      <w:r w:rsidR="00593735" w:rsidRPr="00B74D3F">
        <w:rPr>
          <w:rFonts w:ascii="Times New Roman" w:hAnsi="Times New Roman"/>
          <w:sz w:val="24"/>
          <w:szCs w:val="24"/>
        </w:rPr>
        <w:t>case</w:t>
      </w:r>
      <w:r w:rsidR="00593735">
        <w:rPr>
          <w:rFonts w:ascii="Times New Roman" w:hAnsi="Times New Roman"/>
          <w:sz w:val="24"/>
          <w:szCs w:val="24"/>
        </w:rPr>
        <w:t xml:space="preserve"> </w:t>
      </w:r>
      <w:r w:rsidR="00593735" w:rsidRPr="00B74D3F">
        <w:rPr>
          <w:rFonts w:ascii="Times New Roman" w:hAnsi="Times New Roman"/>
          <w:sz w:val="24"/>
          <w:szCs w:val="24"/>
        </w:rPr>
        <w:t xml:space="preserve">error incurred through a deviation from </w:t>
      </w:r>
      <w:r w:rsidR="00A050C8">
        <w:rPr>
          <w:rFonts w:ascii="Times New Roman" w:hAnsi="Times New Roman"/>
          <w:sz w:val="24"/>
          <w:szCs w:val="24"/>
        </w:rPr>
        <w:t>this</w:t>
      </w:r>
      <w:r w:rsidR="00970268">
        <w:rPr>
          <w:rFonts w:ascii="Times New Roman" w:hAnsi="Times New Roman"/>
          <w:sz w:val="24"/>
          <w:szCs w:val="24"/>
        </w:rPr>
        <w:t>.  This is</w:t>
      </w:r>
      <w:r w:rsidR="00593735">
        <w:rPr>
          <w:rFonts w:ascii="Times New Roman" w:hAnsi="Times New Roman"/>
          <w:sz w:val="24"/>
          <w:szCs w:val="24"/>
        </w:rPr>
        <w:t xml:space="preserve"> </w:t>
      </w:r>
      <w:r w:rsidR="00970268">
        <w:rPr>
          <w:rFonts w:ascii="Times New Roman" w:hAnsi="Times New Roman"/>
          <w:sz w:val="24"/>
          <w:szCs w:val="24"/>
        </w:rPr>
        <w:t>based</w:t>
      </w:r>
      <w:r w:rsidR="00593735" w:rsidRPr="00B74D3F">
        <w:rPr>
          <w:rFonts w:ascii="Times New Roman" w:hAnsi="Times New Roman"/>
          <w:sz w:val="24"/>
          <w:szCs w:val="24"/>
        </w:rPr>
        <w:t xml:space="preserve"> </w:t>
      </w:r>
      <w:r w:rsidR="00970268">
        <w:rPr>
          <w:rFonts w:ascii="Times New Roman" w:hAnsi="Times New Roman"/>
          <w:sz w:val="24"/>
          <w:szCs w:val="24"/>
        </w:rPr>
        <w:t xml:space="preserve">on </w:t>
      </w:r>
      <w:r w:rsidR="00593735" w:rsidRPr="00B74D3F">
        <w:rPr>
          <w:rFonts w:ascii="Times New Roman" w:hAnsi="Times New Roman"/>
          <w:sz w:val="24"/>
          <w:szCs w:val="24"/>
        </w:rPr>
        <w:t>a precise co</w:t>
      </w:r>
      <w:r w:rsidR="00593735" w:rsidRPr="00B74D3F">
        <w:rPr>
          <w:rFonts w:ascii="Times New Roman" w:hAnsi="Times New Roman"/>
          <w:sz w:val="24"/>
          <w:szCs w:val="24"/>
        </w:rPr>
        <w:t>n</w:t>
      </w:r>
      <w:r w:rsidR="00593735" w:rsidRPr="00B74D3F">
        <w:rPr>
          <w:rFonts w:ascii="Times New Roman" w:hAnsi="Times New Roman"/>
          <w:sz w:val="24"/>
          <w:szCs w:val="24"/>
        </w:rPr>
        <w:t>straint on the plausibility of the deviation</w:t>
      </w:r>
      <w:r w:rsidR="008B25DD">
        <w:rPr>
          <w:rFonts w:ascii="Times New Roman" w:hAnsi="Times New Roman"/>
          <w:sz w:val="24"/>
          <w:szCs w:val="24"/>
        </w:rPr>
        <w:t>, u</w:t>
      </w:r>
      <w:r w:rsidR="00593735" w:rsidRPr="00B74D3F">
        <w:rPr>
          <w:rFonts w:ascii="Times New Roman" w:hAnsi="Times New Roman"/>
          <w:sz w:val="24"/>
          <w:szCs w:val="24"/>
        </w:rPr>
        <w:t>sing relative entropy to constrain</w:t>
      </w:r>
      <w:r w:rsidR="00593735">
        <w:rPr>
          <w:rFonts w:ascii="Times New Roman" w:hAnsi="Times New Roman"/>
          <w:sz w:val="24"/>
          <w:szCs w:val="24"/>
        </w:rPr>
        <w:t xml:space="preserve"> </w:t>
      </w:r>
      <w:r w:rsidR="00593735" w:rsidRPr="00B74D3F">
        <w:rPr>
          <w:rFonts w:ascii="Times New Roman" w:hAnsi="Times New Roman"/>
          <w:sz w:val="24"/>
          <w:szCs w:val="24"/>
        </w:rPr>
        <w:t>model distance</w:t>
      </w:r>
      <w:r w:rsidR="00970268">
        <w:rPr>
          <w:rFonts w:ascii="Times New Roman" w:hAnsi="Times New Roman"/>
          <w:sz w:val="24"/>
          <w:szCs w:val="24"/>
        </w:rPr>
        <w:t xml:space="preserve">, </w:t>
      </w:r>
      <w:r w:rsidR="00593735" w:rsidRPr="00B74D3F">
        <w:rPr>
          <w:rFonts w:ascii="Times New Roman" w:hAnsi="Times New Roman"/>
          <w:sz w:val="24"/>
          <w:szCs w:val="24"/>
        </w:rPr>
        <w:t>lead</w:t>
      </w:r>
      <w:r w:rsidR="00A050C8">
        <w:rPr>
          <w:rFonts w:ascii="Times New Roman" w:hAnsi="Times New Roman"/>
          <w:sz w:val="24"/>
          <w:szCs w:val="24"/>
        </w:rPr>
        <w:t>ing</w:t>
      </w:r>
      <w:r w:rsidR="00593735" w:rsidRPr="00B74D3F">
        <w:rPr>
          <w:rFonts w:ascii="Times New Roman" w:hAnsi="Times New Roman"/>
          <w:sz w:val="24"/>
          <w:szCs w:val="24"/>
        </w:rPr>
        <w:t xml:space="preserve"> to an explicit characterization of worst-case model errors</w:t>
      </w:r>
      <w:r w:rsidR="00593735">
        <w:rPr>
          <w:rFonts w:ascii="Times New Roman" w:hAnsi="Times New Roman"/>
          <w:sz w:val="24"/>
          <w:szCs w:val="24"/>
        </w:rPr>
        <w:t xml:space="preserve">.  </w:t>
      </w:r>
      <w:r w:rsidR="00593735" w:rsidRPr="00B74D3F">
        <w:rPr>
          <w:rFonts w:ascii="Times New Roman" w:hAnsi="Times New Roman"/>
          <w:sz w:val="24"/>
          <w:szCs w:val="24"/>
        </w:rPr>
        <w:t xml:space="preserve">This approach </w:t>
      </w:r>
      <w:r w:rsidR="00970268">
        <w:rPr>
          <w:rFonts w:ascii="Times New Roman" w:hAnsi="Times New Roman"/>
          <w:sz w:val="24"/>
          <w:szCs w:val="24"/>
        </w:rPr>
        <w:t xml:space="preserve">transcends measuring the </w:t>
      </w:r>
      <w:r w:rsidR="00593735" w:rsidRPr="00B74D3F">
        <w:rPr>
          <w:rFonts w:ascii="Times New Roman" w:hAnsi="Times New Roman"/>
          <w:sz w:val="24"/>
          <w:szCs w:val="24"/>
        </w:rPr>
        <w:t xml:space="preserve">effect of </w:t>
      </w:r>
      <w:r w:rsidR="00970268">
        <w:rPr>
          <w:rFonts w:ascii="Times New Roman" w:hAnsi="Times New Roman"/>
          <w:sz w:val="24"/>
          <w:szCs w:val="24"/>
        </w:rPr>
        <w:t xml:space="preserve">estimation </w:t>
      </w:r>
      <w:r w:rsidR="00593735" w:rsidRPr="00B74D3F">
        <w:rPr>
          <w:rFonts w:ascii="Times New Roman" w:hAnsi="Times New Roman"/>
          <w:sz w:val="24"/>
          <w:szCs w:val="24"/>
        </w:rPr>
        <w:t>errors to</w:t>
      </w:r>
      <w:r w:rsidR="00593735">
        <w:rPr>
          <w:rFonts w:ascii="Times New Roman" w:hAnsi="Times New Roman"/>
          <w:sz w:val="24"/>
          <w:szCs w:val="24"/>
        </w:rPr>
        <w:t xml:space="preserve"> </w:t>
      </w:r>
      <w:r w:rsidR="00593735" w:rsidRPr="00B74D3F">
        <w:rPr>
          <w:rFonts w:ascii="Times New Roman" w:hAnsi="Times New Roman"/>
          <w:sz w:val="24"/>
          <w:szCs w:val="24"/>
        </w:rPr>
        <w:t>consider errors in underlying stochastic assumptions of the model to characterize the greatest</w:t>
      </w:r>
      <w:r w:rsidR="00593735">
        <w:rPr>
          <w:rFonts w:ascii="Times New Roman" w:hAnsi="Times New Roman"/>
          <w:sz w:val="24"/>
          <w:szCs w:val="24"/>
        </w:rPr>
        <w:t xml:space="preserve"> </w:t>
      </w:r>
      <w:r w:rsidR="00593735" w:rsidRPr="00B74D3F">
        <w:rPr>
          <w:rFonts w:ascii="Times New Roman" w:hAnsi="Times New Roman"/>
          <w:sz w:val="24"/>
          <w:szCs w:val="24"/>
        </w:rPr>
        <w:t xml:space="preserve">vulnerabilities to error in a model. </w:t>
      </w:r>
      <w:r w:rsidR="00593735">
        <w:rPr>
          <w:rFonts w:ascii="Times New Roman" w:hAnsi="Times New Roman"/>
          <w:sz w:val="24"/>
          <w:szCs w:val="24"/>
        </w:rPr>
        <w:t xml:space="preserve">   </w:t>
      </w:r>
    </w:p>
    <w:p w:rsidR="00970268" w:rsidRDefault="00D30A8E" w:rsidP="00970268">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Jacobs (2015) contributes to the m</w:t>
      </w:r>
      <w:r w:rsidRPr="00D30A8E">
        <w:rPr>
          <w:rFonts w:ascii="Times New Roman" w:hAnsi="Times New Roman"/>
          <w:sz w:val="24"/>
          <w:szCs w:val="24"/>
        </w:rPr>
        <w:t xml:space="preserve">odel </w:t>
      </w:r>
      <w:r>
        <w:rPr>
          <w:rFonts w:ascii="Times New Roman" w:hAnsi="Times New Roman"/>
          <w:sz w:val="24"/>
          <w:szCs w:val="24"/>
        </w:rPr>
        <w:t>r</w:t>
      </w:r>
      <w:r w:rsidRPr="00D30A8E">
        <w:rPr>
          <w:rFonts w:ascii="Times New Roman" w:hAnsi="Times New Roman"/>
          <w:sz w:val="24"/>
          <w:szCs w:val="24"/>
        </w:rPr>
        <w:t xml:space="preserve">isk </w:t>
      </w:r>
      <w:r>
        <w:rPr>
          <w:rFonts w:ascii="Times New Roman" w:hAnsi="Times New Roman"/>
          <w:sz w:val="24"/>
          <w:szCs w:val="24"/>
        </w:rPr>
        <w:t>m</w:t>
      </w:r>
      <w:r w:rsidRPr="00D30A8E">
        <w:rPr>
          <w:rFonts w:ascii="Times New Roman" w:hAnsi="Times New Roman"/>
          <w:sz w:val="24"/>
          <w:szCs w:val="24"/>
        </w:rPr>
        <w:t xml:space="preserve">anagement </w:t>
      </w:r>
      <w:r>
        <w:rPr>
          <w:rFonts w:ascii="Times New Roman" w:hAnsi="Times New Roman"/>
          <w:sz w:val="24"/>
          <w:szCs w:val="24"/>
        </w:rPr>
        <w:t xml:space="preserve">discipline by shifting the focus </w:t>
      </w:r>
      <w:r w:rsidR="00A050C8">
        <w:rPr>
          <w:rFonts w:ascii="Times New Roman" w:hAnsi="Times New Roman"/>
          <w:sz w:val="24"/>
          <w:szCs w:val="24"/>
        </w:rPr>
        <w:t>from</w:t>
      </w:r>
      <w:r w:rsidRPr="00D30A8E">
        <w:rPr>
          <w:rFonts w:ascii="Times New Roman" w:hAnsi="Times New Roman"/>
          <w:sz w:val="24"/>
          <w:szCs w:val="24"/>
        </w:rPr>
        <w:t xml:space="preserve"> individual</w:t>
      </w:r>
      <w:r>
        <w:rPr>
          <w:rFonts w:ascii="Times New Roman" w:hAnsi="Times New Roman"/>
          <w:sz w:val="24"/>
          <w:szCs w:val="24"/>
        </w:rPr>
        <w:t xml:space="preserve"> </w:t>
      </w:r>
      <w:r w:rsidRPr="00D30A8E">
        <w:rPr>
          <w:rFonts w:ascii="Times New Roman" w:hAnsi="Times New Roman"/>
          <w:sz w:val="24"/>
          <w:szCs w:val="24"/>
        </w:rPr>
        <w:t>models towards aggregating firmwide</w:t>
      </w:r>
      <w:r>
        <w:rPr>
          <w:rFonts w:ascii="Times New Roman" w:hAnsi="Times New Roman"/>
          <w:sz w:val="24"/>
          <w:szCs w:val="24"/>
        </w:rPr>
        <w:t xml:space="preserve"> </w:t>
      </w:r>
      <w:r w:rsidRPr="00D30A8E">
        <w:rPr>
          <w:rFonts w:ascii="Times New Roman" w:hAnsi="Times New Roman"/>
          <w:sz w:val="24"/>
          <w:szCs w:val="24"/>
        </w:rPr>
        <w:t>model risk</w:t>
      </w:r>
      <w:r>
        <w:rPr>
          <w:rFonts w:ascii="Times New Roman" w:hAnsi="Times New Roman"/>
          <w:sz w:val="24"/>
          <w:szCs w:val="24"/>
        </w:rPr>
        <w:t xml:space="preserve">, </w:t>
      </w:r>
      <w:r w:rsidR="00970268">
        <w:rPr>
          <w:rFonts w:ascii="Times New Roman" w:hAnsi="Times New Roman"/>
          <w:sz w:val="24"/>
          <w:szCs w:val="24"/>
        </w:rPr>
        <w:t>in line</w:t>
      </w:r>
      <w:r>
        <w:rPr>
          <w:rFonts w:ascii="Times New Roman" w:hAnsi="Times New Roman"/>
          <w:sz w:val="24"/>
          <w:szCs w:val="24"/>
        </w:rPr>
        <w:t xml:space="preserve"> </w:t>
      </w:r>
      <w:r w:rsidR="00970268">
        <w:rPr>
          <w:rFonts w:ascii="Times New Roman" w:hAnsi="Times New Roman"/>
          <w:sz w:val="24"/>
          <w:szCs w:val="24"/>
        </w:rPr>
        <w:t xml:space="preserve">with SR 11-7 </w:t>
      </w:r>
      <w:r w:rsidR="00A050C8">
        <w:rPr>
          <w:rFonts w:ascii="Times New Roman" w:hAnsi="Times New Roman"/>
          <w:sz w:val="24"/>
          <w:szCs w:val="24"/>
        </w:rPr>
        <w:t xml:space="preserve">guidance </w:t>
      </w:r>
      <w:r w:rsidR="00970268">
        <w:rPr>
          <w:rFonts w:ascii="Times New Roman" w:hAnsi="Times New Roman"/>
          <w:sz w:val="24"/>
          <w:szCs w:val="24"/>
        </w:rPr>
        <w:t xml:space="preserve">that </w:t>
      </w:r>
      <w:r w:rsidRPr="00D30A8E">
        <w:rPr>
          <w:rFonts w:ascii="Times New Roman" w:hAnsi="Times New Roman"/>
          <w:sz w:val="24"/>
          <w:szCs w:val="24"/>
        </w:rPr>
        <w:t xml:space="preserve">specifically focuses on measuring </w:t>
      </w:r>
      <w:r w:rsidR="002E6153">
        <w:rPr>
          <w:rFonts w:ascii="Times New Roman" w:hAnsi="Times New Roman"/>
          <w:sz w:val="24"/>
          <w:szCs w:val="24"/>
        </w:rPr>
        <w:t xml:space="preserve">such </w:t>
      </w:r>
      <w:r w:rsidRPr="00D30A8E">
        <w:rPr>
          <w:rFonts w:ascii="Times New Roman" w:hAnsi="Times New Roman"/>
          <w:sz w:val="24"/>
          <w:szCs w:val="24"/>
        </w:rPr>
        <w:t>risk individual</w:t>
      </w:r>
      <w:r w:rsidR="002E6153">
        <w:rPr>
          <w:rFonts w:ascii="Times New Roman" w:hAnsi="Times New Roman"/>
          <w:sz w:val="24"/>
          <w:szCs w:val="24"/>
        </w:rPr>
        <w:t>ly</w:t>
      </w:r>
      <w:r w:rsidRPr="00D30A8E">
        <w:rPr>
          <w:rFonts w:ascii="Times New Roman" w:hAnsi="Times New Roman"/>
          <w:sz w:val="24"/>
          <w:szCs w:val="24"/>
        </w:rPr>
        <w:t xml:space="preserve"> and in aggregate. </w:t>
      </w:r>
      <w:r w:rsidR="00970268">
        <w:rPr>
          <w:rFonts w:ascii="Times New Roman" w:hAnsi="Times New Roman"/>
          <w:sz w:val="24"/>
          <w:szCs w:val="24"/>
        </w:rPr>
        <w:t xml:space="preserve"> </w:t>
      </w:r>
      <w:r>
        <w:rPr>
          <w:rFonts w:ascii="Times New Roman" w:hAnsi="Times New Roman"/>
          <w:sz w:val="24"/>
          <w:szCs w:val="24"/>
        </w:rPr>
        <w:t>The author</w:t>
      </w:r>
      <w:r w:rsidRPr="00D30A8E">
        <w:rPr>
          <w:rFonts w:ascii="Times New Roman" w:hAnsi="Times New Roman"/>
          <w:sz w:val="24"/>
          <w:szCs w:val="24"/>
        </w:rPr>
        <w:t xml:space="preserve"> discuss</w:t>
      </w:r>
      <w:r>
        <w:rPr>
          <w:rFonts w:ascii="Times New Roman" w:hAnsi="Times New Roman"/>
          <w:sz w:val="24"/>
          <w:szCs w:val="24"/>
        </w:rPr>
        <w:t>es</w:t>
      </w:r>
      <w:r w:rsidRPr="00D30A8E">
        <w:rPr>
          <w:rFonts w:ascii="Times New Roman" w:hAnsi="Times New Roman"/>
          <w:sz w:val="24"/>
          <w:szCs w:val="24"/>
        </w:rPr>
        <w:t xml:space="preserve"> various approaches</w:t>
      </w:r>
      <w:r>
        <w:rPr>
          <w:rFonts w:ascii="Times New Roman" w:hAnsi="Times New Roman"/>
          <w:sz w:val="24"/>
          <w:szCs w:val="24"/>
        </w:rPr>
        <w:t xml:space="preserve"> </w:t>
      </w:r>
      <w:r w:rsidRPr="00D30A8E">
        <w:rPr>
          <w:rFonts w:ascii="Times New Roman" w:hAnsi="Times New Roman"/>
          <w:sz w:val="24"/>
          <w:szCs w:val="24"/>
        </w:rPr>
        <w:t>to measuring and aggregating model risk across an institution</w:t>
      </w:r>
      <w:r>
        <w:rPr>
          <w:rFonts w:ascii="Times New Roman" w:hAnsi="Times New Roman"/>
          <w:sz w:val="24"/>
          <w:szCs w:val="24"/>
        </w:rPr>
        <w:t>, and</w:t>
      </w:r>
      <w:r w:rsidRPr="00D30A8E">
        <w:rPr>
          <w:rFonts w:ascii="Times New Roman" w:hAnsi="Times New Roman"/>
          <w:sz w:val="24"/>
          <w:szCs w:val="24"/>
        </w:rPr>
        <w:t xml:space="preserve"> also pr</w:t>
      </w:r>
      <w:r w:rsidRPr="00D30A8E">
        <w:rPr>
          <w:rFonts w:ascii="Times New Roman" w:hAnsi="Times New Roman"/>
          <w:sz w:val="24"/>
          <w:szCs w:val="24"/>
        </w:rPr>
        <w:t>e</w:t>
      </w:r>
      <w:r w:rsidRPr="00D30A8E">
        <w:rPr>
          <w:rFonts w:ascii="Times New Roman" w:hAnsi="Times New Roman"/>
          <w:sz w:val="24"/>
          <w:szCs w:val="24"/>
        </w:rPr>
        <w:t>sent</w:t>
      </w:r>
      <w:r>
        <w:rPr>
          <w:rFonts w:ascii="Times New Roman" w:hAnsi="Times New Roman"/>
          <w:sz w:val="24"/>
          <w:szCs w:val="24"/>
        </w:rPr>
        <w:t xml:space="preserve">s </w:t>
      </w:r>
      <w:r w:rsidRPr="00D30A8E">
        <w:rPr>
          <w:rFonts w:ascii="Times New Roman" w:hAnsi="Times New Roman"/>
          <w:sz w:val="24"/>
          <w:szCs w:val="24"/>
        </w:rPr>
        <w:t xml:space="preserve">an example of model risk quantification in the realm of stress-testing, where </w:t>
      </w:r>
      <w:r>
        <w:rPr>
          <w:rFonts w:ascii="Times New Roman" w:hAnsi="Times New Roman"/>
          <w:sz w:val="24"/>
          <w:szCs w:val="24"/>
        </w:rPr>
        <w:t>h</w:t>
      </w:r>
      <w:r w:rsidRPr="00D30A8E">
        <w:rPr>
          <w:rFonts w:ascii="Times New Roman" w:hAnsi="Times New Roman"/>
          <w:sz w:val="24"/>
          <w:szCs w:val="24"/>
        </w:rPr>
        <w:t>e</w:t>
      </w:r>
      <w:r>
        <w:rPr>
          <w:rFonts w:ascii="Times New Roman" w:hAnsi="Times New Roman"/>
          <w:sz w:val="24"/>
          <w:szCs w:val="24"/>
        </w:rPr>
        <w:t xml:space="preserve"> </w:t>
      </w:r>
      <w:r w:rsidRPr="00D30A8E">
        <w:rPr>
          <w:rFonts w:ascii="Times New Roman" w:hAnsi="Times New Roman"/>
          <w:sz w:val="24"/>
          <w:szCs w:val="24"/>
        </w:rPr>
        <w:t>compare</w:t>
      </w:r>
      <w:r>
        <w:rPr>
          <w:rFonts w:ascii="Times New Roman" w:hAnsi="Times New Roman"/>
          <w:sz w:val="24"/>
          <w:szCs w:val="24"/>
        </w:rPr>
        <w:t>s</w:t>
      </w:r>
      <w:r w:rsidRPr="00D30A8E">
        <w:rPr>
          <w:rFonts w:ascii="Times New Roman" w:hAnsi="Times New Roman"/>
          <w:sz w:val="24"/>
          <w:szCs w:val="24"/>
        </w:rPr>
        <w:t xml:space="preserve"> alternative models in </w:t>
      </w:r>
      <w:r w:rsidR="00970268">
        <w:rPr>
          <w:rFonts w:ascii="Times New Roman" w:hAnsi="Times New Roman"/>
          <w:sz w:val="24"/>
          <w:szCs w:val="24"/>
        </w:rPr>
        <w:t xml:space="preserve">the </w:t>
      </w:r>
      <w:r w:rsidRPr="00D30A8E">
        <w:rPr>
          <w:rFonts w:ascii="Times New Roman" w:hAnsi="Times New Roman"/>
          <w:sz w:val="24"/>
          <w:szCs w:val="24"/>
        </w:rPr>
        <w:t>Frequentist and Bayesian</w:t>
      </w:r>
      <w:r>
        <w:rPr>
          <w:rFonts w:ascii="Times New Roman" w:hAnsi="Times New Roman"/>
          <w:sz w:val="24"/>
          <w:szCs w:val="24"/>
        </w:rPr>
        <w:t xml:space="preserve"> </w:t>
      </w:r>
      <w:r w:rsidR="00970268" w:rsidRPr="00D30A8E">
        <w:rPr>
          <w:rFonts w:ascii="Times New Roman" w:hAnsi="Times New Roman"/>
          <w:sz w:val="24"/>
          <w:szCs w:val="24"/>
        </w:rPr>
        <w:t>classes,</w:t>
      </w:r>
      <w:r w:rsidRPr="00D30A8E">
        <w:rPr>
          <w:rFonts w:ascii="Times New Roman" w:hAnsi="Times New Roman"/>
          <w:sz w:val="24"/>
          <w:szCs w:val="24"/>
        </w:rPr>
        <w:t xml:space="preserve"> </w:t>
      </w:r>
      <w:r>
        <w:rPr>
          <w:rFonts w:ascii="Times New Roman" w:hAnsi="Times New Roman"/>
          <w:sz w:val="24"/>
          <w:szCs w:val="24"/>
        </w:rPr>
        <w:t xml:space="preserve">for the </w:t>
      </w:r>
      <w:r w:rsidRPr="00D30A8E">
        <w:rPr>
          <w:rFonts w:ascii="Times New Roman" w:hAnsi="Times New Roman"/>
          <w:sz w:val="24"/>
          <w:szCs w:val="24"/>
        </w:rPr>
        <w:t xml:space="preserve">modelling </w:t>
      </w:r>
      <w:r>
        <w:rPr>
          <w:rFonts w:ascii="Times New Roman" w:hAnsi="Times New Roman"/>
          <w:sz w:val="24"/>
          <w:szCs w:val="24"/>
        </w:rPr>
        <w:t xml:space="preserve">of </w:t>
      </w:r>
      <w:r w:rsidRPr="00D30A8E">
        <w:rPr>
          <w:rFonts w:ascii="Times New Roman" w:hAnsi="Times New Roman"/>
          <w:sz w:val="24"/>
          <w:szCs w:val="24"/>
        </w:rPr>
        <w:t>stressed bank losses.</w:t>
      </w:r>
      <w:r>
        <w:rPr>
          <w:rFonts w:ascii="Times New Roman" w:hAnsi="Times New Roman"/>
          <w:sz w:val="24"/>
          <w:szCs w:val="24"/>
        </w:rPr>
        <w:t xml:space="preserve">  </w:t>
      </w:r>
    </w:p>
    <w:p w:rsidR="00FE4181" w:rsidRDefault="00D30A8E" w:rsidP="00970268">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In the practitioner realm, a whitepaper by Accenture Consulting (J</w:t>
      </w:r>
      <w:r w:rsidR="00A37091">
        <w:rPr>
          <w:rFonts w:ascii="Times New Roman" w:hAnsi="Times New Roman"/>
          <w:sz w:val="24"/>
          <w:szCs w:val="24"/>
        </w:rPr>
        <w:t>acobs et al</w:t>
      </w:r>
      <w:r>
        <w:rPr>
          <w:rFonts w:ascii="Times New Roman" w:hAnsi="Times New Roman"/>
          <w:sz w:val="24"/>
          <w:szCs w:val="24"/>
        </w:rPr>
        <w:t xml:space="preserve">, </w:t>
      </w:r>
      <w:r w:rsidR="00A37091">
        <w:rPr>
          <w:rFonts w:ascii="Times New Roman" w:hAnsi="Times New Roman"/>
          <w:sz w:val="24"/>
          <w:szCs w:val="24"/>
        </w:rPr>
        <w:t>2015</w:t>
      </w:r>
      <w:r w:rsidR="00D32739">
        <w:rPr>
          <w:rFonts w:ascii="Times New Roman" w:hAnsi="Times New Roman"/>
          <w:sz w:val="24"/>
          <w:szCs w:val="24"/>
        </w:rPr>
        <w:t>a</w:t>
      </w:r>
      <w:r w:rsidR="00A37091">
        <w:rPr>
          <w:rFonts w:ascii="Times New Roman" w:hAnsi="Times New Roman"/>
          <w:sz w:val="24"/>
          <w:szCs w:val="24"/>
        </w:rPr>
        <w:t>)</w:t>
      </w:r>
      <w:r w:rsidR="00BB0BA3">
        <w:rPr>
          <w:rFonts w:ascii="Times New Roman" w:hAnsi="Times New Roman"/>
          <w:sz w:val="24"/>
          <w:szCs w:val="24"/>
        </w:rPr>
        <w:t xml:space="preserve"> note</w:t>
      </w:r>
      <w:r w:rsidR="006975A9">
        <w:rPr>
          <w:rFonts w:ascii="Times New Roman" w:hAnsi="Times New Roman"/>
          <w:sz w:val="24"/>
          <w:szCs w:val="24"/>
        </w:rPr>
        <w:t>s</w:t>
      </w:r>
      <w:r w:rsidR="00BB0BA3">
        <w:rPr>
          <w:rFonts w:ascii="Times New Roman" w:hAnsi="Times New Roman"/>
          <w:sz w:val="24"/>
          <w:szCs w:val="24"/>
        </w:rPr>
        <w:t xml:space="preserve"> that f</w:t>
      </w:r>
      <w:r w:rsidR="00BB0BA3" w:rsidRPr="00BB0BA3">
        <w:rPr>
          <w:rFonts w:ascii="Times New Roman" w:hAnsi="Times New Roman"/>
          <w:sz w:val="24"/>
          <w:szCs w:val="24"/>
        </w:rPr>
        <w:t xml:space="preserve">inancial </w:t>
      </w:r>
      <w:r w:rsidR="0058148A">
        <w:rPr>
          <w:rFonts w:ascii="Times New Roman" w:hAnsi="Times New Roman"/>
          <w:sz w:val="24"/>
          <w:szCs w:val="24"/>
        </w:rPr>
        <w:t>i</w:t>
      </w:r>
      <w:r w:rsidR="00BB0BA3" w:rsidRPr="00BB0BA3">
        <w:rPr>
          <w:rFonts w:ascii="Times New Roman" w:hAnsi="Times New Roman"/>
          <w:sz w:val="24"/>
          <w:szCs w:val="24"/>
        </w:rPr>
        <w:t xml:space="preserve">nstitutions are continuously examining their target state </w:t>
      </w:r>
      <w:r w:rsidR="00BB0BA3">
        <w:rPr>
          <w:rFonts w:ascii="Times New Roman" w:hAnsi="Times New Roman"/>
          <w:sz w:val="24"/>
          <w:szCs w:val="24"/>
        </w:rPr>
        <w:t>m</w:t>
      </w:r>
      <w:r w:rsidR="00BB0BA3" w:rsidRPr="00BB0BA3">
        <w:rPr>
          <w:rFonts w:ascii="Times New Roman" w:hAnsi="Times New Roman"/>
          <w:sz w:val="24"/>
          <w:szCs w:val="24"/>
        </w:rPr>
        <w:t xml:space="preserve">odel </w:t>
      </w:r>
      <w:r w:rsidR="00BB0BA3">
        <w:rPr>
          <w:rFonts w:ascii="Times New Roman" w:hAnsi="Times New Roman"/>
          <w:sz w:val="24"/>
          <w:szCs w:val="24"/>
        </w:rPr>
        <w:t>r</w:t>
      </w:r>
      <w:r w:rsidR="00BB0BA3" w:rsidRPr="00BB0BA3">
        <w:rPr>
          <w:rFonts w:ascii="Times New Roman" w:hAnsi="Times New Roman"/>
          <w:sz w:val="24"/>
          <w:szCs w:val="24"/>
        </w:rPr>
        <w:t xml:space="preserve">isk </w:t>
      </w:r>
      <w:r w:rsidR="00BB0BA3">
        <w:rPr>
          <w:rFonts w:ascii="Times New Roman" w:hAnsi="Times New Roman"/>
          <w:sz w:val="24"/>
          <w:szCs w:val="24"/>
        </w:rPr>
        <w:t>m</w:t>
      </w:r>
      <w:r w:rsidR="00BB0BA3" w:rsidRPr="00BB0BA3">
        <w:rPr>
          <w:rFonts w:ascii="Times New Roman" w:hAnsi="Times New Roman"/>
          <w:sz w:val="24"/>
          <w:szCs w:val="24"/>
        </w:rPr>
        <w:t>anagement</w:t>
      </w:r>
      <w:r w:rsidR="00BB0BA3">
        <w:rPr>
          <w:rFonts w:ascii="Times New Roman" w:hAnsi="Times New Roman"/>
          <w:sz w:val="24"/>
          <w:szCs w:val="24"/>
        </w:rPr>
        <w:t xml:space="preserve"> </w:t>
      </w:r>
      <w:r w:rsidR="00BB0BA3" w:rsidRPr="00BB0BA3">
        <w:rPr>
          <w:rFonts w:ascii="Times New Roman" w:hAnsi="Times New Roman"/>
          <w:sz w:val="24"/>
          <w:szCs w:val="24"/>
        </w:rPr>
        <w:t>cap</w:t>
      </w:r>
      <w:r w:rsidR="00BB0BA3" w:rsidRPr="00BB0BA3">
        <w:rPr>
          <w:rFonts w:ascii="Times New Roman" w:hAnsi="Times New Roman"/>
          <w:sz w:val="24"/>
          <w:szCs w:val="24"/>
        </w:rPr>
        <w:t>a</w:t>
      </w:r>
      <w:r w:rsidR="00BB0BA3" w:rsidRPr="00BB0BA3">
        <w:rPr>
          <w:rFonts w:ascii="Times New Roman" w:hAnsi="Times New Roman"/>
          <w:sz w:val="24"/>
          <w:szCs w:val="24"/>
        </w:rPr>
        <w:t>bilities to support the emerging regulatory and business agendas across multiple dimensions</w:t>
      </w:r>
      <w:r w:rsidR="00BB0BA3">
        <w:rPr>
          <w:rFonts w:ascii="Times New Roman" w:hAnsi="Times New Roman"/>
          <w:sz w:val="24"/>
          <w:szCs w:val="24"/>
        </w:rPr>
        <w:t xml:space="preserve">, and that the </w:t>
      </w:r>
      <w:r w:rsidR="00BB0BA3" w:rsidRPr="00BB0BA3">
        <w:rPr>
          <w:rFonts w:ascii="Times New Roman" w:hAnsi="Times New Roman"/>
          <w:sz w:val="24"/>
          <w:szCs w:val="24"/>
        </w:rPr>
        <w:t>field continues to evolve with organizations develop</w:t>
      </w:r>
      <w:r w:rsidR="00A12B47">
        <w:rPr>
          <w:rFonts w:ascii="Times New Roman" w:hAnsi="Times New Roman"/>
          <w:sz w:val="24"/>
          <w:szCs w:val="24"/>
        </w:rPr>
        <w:t>ing</w:t>
      </w:r>
      <w:r w:rsidR="00BB0BA3" w:rsidRPr="00BB0BA3">
        <w:rPr>
          <w:rFonts w:ascii="Times New Roman" w:hAnsi="Times New Roman"/>
          <w:sz w:val="24"/>
          <w:szCs w:val="24"/>
        </w:rPr>
        <w:t xml:space="preserve"> robust framework</w:t>
      </w:r>
      <w:r w:rsidR="00BB0BA3">
        <w:rPr>
          <w:rFonts w:ascii="Times New Roman" w:hAnsi="Times New Roman"/>
          <w:sz w:val="24"/>
          <w:szCs w:val="24"/>
        </w:rPr>
        <w:t>s</w:t>
      </w:r>
      <w:r w:rsidR="00BB0BA3" w:rsidRPr="00BB0BA3">
        <w:rPr>
          <w:rFonts w:ascii="Times New Roman" w:hAnsi="Times New Roman"/>
          <w:sz w:val="24"/>
          <w:szCs w:val="24"/>
        </w:rPr>
        <w:t xml:space="preserve"> and capabil</w:t>
      </w:r>
      <w:r w:rsidR="00BB0BA3" w:rsidRPr="00BB0BA3">
        <w:rPr>
          <w:rFonts w:ascii="Times New Roman" w:hAnsi="Times New Roman"/>
          <w:sz w:val="24"/>
          <w:szCs w:val="24"/>
        </w:rPr>
        <w:t>i</w:t>
      </w:r>
      <w:r w:rsidR="00BB0BA3" w:rsidRPr="00BB0BA3">
        <w:rPr>
          <w:rFonts w:ascii="Times New Roman" w:hAnsi="Times New Roman"/>
          <w:sz w:val="24"/>
          <w:szCs w:val="24"/>
        </w:rPr>
        <w:t>ties</w:t>
      </w:r>
      <w:r w:rsidR="00BB0BA3">
        <w:rPr>
          <w:rFonts w:ascii="Times New Roman" w:hAnsi="Times New Roman"/>
          <w:sz w:val="24"/>
          <w:szCs w:val="24"/>
        </w:rPr>
        <w:t xml:space="preserve">.  The authors </w:t>
      </w:r>
      <w:r w:rsidR="00FE4181">
        <w:rPr>
          <w:rFonts w:ascii="Times New Roman" w:hAnsi="Times New Roman"/>
          <w:sz w:val="24"/>
          <w:szCs w:val="24"/>
        </w:rPr>
        <w:t>observe</w:t>
      </w:r>
      <w:r w:rsidR="00BB0BA3">
        <w:rPr>
          <w:rFonts w:ascii="Times New Roman" w:hAnsi="Times New Roman"/>
          <w:sz w:val="24"/>
          <w:szCs w:val="24"/>
        </w:rPr>
        <w:t xml:space="preserve"> that</w:t>
      </w:r>
      <w:r w:rsidR="00BB0BA3" w:rsidRPr="00BB0BA3">
        <w:rPr>
          <w:rFonts w:ascii="Times New Roman" w:hAnsi="Times New Roman"/>
          <w:sz w:val="24"/>
          <w:szCs w:val="24"/>
        </w:rPr>
        <w:t xml:space="preserve"> industry efforts </w:t>
      </w:r>
      <w:r w:rsidR="006975A9">
        <w:rPr>
          <w:rFonts w:ascii="Times New Roman" w:hAnsi="Times New Roman"/>
          <w:sz w:val="24"/>
          <w:szCs w:val="24"/>
        </w:rPr>
        <w:t xml:space="preserve">to </w:t>
      </w:r>
      <w:r w:rsidR="006975A9" w:rsidRPr="00BB0BA3">
        <w:rPr>
          <w:rFonts w:ascii="Times New Roman" w:hAnsi="Times New Roman"/>
          <w:sz w:val="24"/>
          <w:szCs w:val="24"/>
        </w:rPr>
        <w:t>date</w:t>
      </w:r>
      <w:r w:rsidR="006975A9">
        <w:rPr>
          <w:rFonts w:ascii="Times New Roman" w:hAnsi="Times New Roman"/>
          <w:sz w:val="24"/>
          <w:szCs w:val="24"/>
        </w:rPr>
        <w:t xml:space="preserve"> </w:t>
      </w:r>
      <w:r w:rsidR="00FE4181">
        <w:rPr>
          <w:rFonts w:ascii="Times New Roman" w:hAnsi="Times New Roman"/>
          <w:sz w:val="24"/>
          <w:szCs w:val="24"/>
        </w:rPr>
        <w:t xml:space="preserve">have </w:t>
      </w:r>
      <w:r w:rsidR="00BB0BA3" w:rsidRPr="00BB0BA3">
        <w:rPr>
          <w:rFonts w:ascii="Times New Roman" w:hAnsi="Times New Roman"/>
          <w:sz w:val="24"/>
          <w:szCs w:val="24"/>
        </w:rPr>
        <w:t xml:space="preserve">focused primarily on model risk management </w:t>
      </w:r>
      <w:r w:rsidR="006975A9">
        <w:rPr>
          <w:rFonts w:ascii="Times New Roman" w:hAnsi="Times New Roman"/>
          <w:sz w:val="24"/>
          <w:szCs w:val="24"/>
        </w:rPr>
        <w:t>on an</w:t>
      </w:r>
      <w:r w:rsidR="00BB0BA3" w:rsidRPr="00BB0BA3">
        <w:rPr>
          <w:rFonts w:ascii="Times New Roman" w:hAnsi="Times New Roman"/>
          <w:sz w:val="24"/>
          <w:szCs w:val="24"/>
        </w:rPr>
        <w:t xml:space="preserve"> individual </w:t>
      </w:r>
      <w:r w:rsidR="006975A9">
        <w:rPr>
          <w:rFonts w:ascii="Times New Roman" w:hAnsi="Times New Roman"/>
          <w:sz w:val="24"/>
          <w:szCs w:val="24"/>
        </w:rPr>
        <w:t>basis</w:t>
      </w:r>
      <w:r w:rsidR="00BB0BA3">
        <w:rPr>
          <w:rFonts w:ascii="Times New Roman" w:hAnsi="Times New Roman"/>
          <w:sz w:val="24"/>
          <w:szCs w:val="24"/>
        </w:rPr>
        <w:t>, and n</w:t>
      </w:r>
      <w:r w:rsidR="00BB0BA3" w:rsidRPr="00BB0BA3">
        <w:rPr>
          <w:rFonts w:ascii="Times New Roman" w:hAnsi="Times New Roman"/>
          <w:sz w:val="24"/>
          <w:szCs w:val="24"/>
        </w:rPr>
        <w:t>ow more institutions are shifting foc</w:t>
      </w:r>
      <w:r w:rsidR="00CD6F13">
        <w:rPr>
          <w:rFonts w:ascii="Times New Roman" w:hAnsi="Times New Roman"/>
          <w:sz w:val="24"/>
          <w:szCs w:val="24"/>
        </w:rPr>
        <w:t>us</w:t>
      </w:r>
      <w:r w:rsidR="00BB0BA3" w:rsidRPr="00BB0BA3">
        <w:rPr>
          <w:rFonts w:ascii="Times New Roman" w:hAnsi="Times New Roman"/>
          <w:sz w:val="24"/>
          <w:szCs w:val="24"/>
        </w:rPr>
        <w:t xml:space="preserve"> </w:t>
      </w:r>
      <w:r w:rsidR="006975A9">
        <w:rPr>
          <w:rFonts w:ascii="Times New Roman" w:hAnsi="Times New Roman"/>
          <w:sz w:val="24"/>
          <w:szCs w:val="24"/>
        </w:rPr>
        <w:t>to the</w:t>
      </w:r>
      <w:r w:rsidR="00BB0BA3" w:rsidRPr="00BB0BA3">
        <w:rPr>
          <w:rFonts w:ascii="Times New Roman" w:hAnsi="Times New Roman"/>
          <w:sz w:val="24"/>
          <w:szCs w:val="24"/>
        </w:rPr>
        <w:t xml:space="preserve"> aggregati</w:t>
      </w:r>
      <w:r w:rsidR="006975A9">
        <w:rPr>
          <w:rFonts w:ascii="Times New Roman" w:hAnsi="Times New Roman"/>
          <w:sz w:val="24"/>
          <w:szCs w:val="24"/>
        </w:rPr>
        <w:t>on</w:t>
      </w:r>
      <w:r w:rsidR="00BB0BA3" w:rsidRPr="00BB0BA3">
        <w:rPr>
          <w:rFonts w:ascii="Times New Roman" w:hAnsi="Times New Roman"/>
          <w:sz w:val="24"/>
          <w:szCs w:val="24"/>
        </w:rPr>
        <w:t xml:space="preserve"> </w:t>
      </w:r>
      <w:r w:rsidR="006975A9">
        <w:rPr>
          <w:rFonts w:ascii="Times New Roman" w:hAnsi="Times New Roman"/>
          <w:sz w:val="24"/>
          <w:szCs w:val="24"/>
        </w:rPr>
        <w:t xml:space="preserve">of </w:t>
      </w:r>
      <w:r w:rsidR="00BB0BA3" w:rsidRPr="00BB0BA3">
        <w:rPr>
          <w:rFonts w:ascii="Times New Roman" w:hAnsi="Times New Roman"/>
          <w:sz w:val="24"/>
          <w:szCs w:val="24"/>
        </w:rPr>
        <w:t>firm-wide model risk</w:t>
      </w:r>
      <w:r w:rsidR="00BB0BA3">
        <w:rPr>
          <w:rFonts w:ascii="Times New Roman" w:hAnsi="Times New Roman"/>
          <w:sz w:val="24"/>
          <w:szCs w:val="24"/>
        </w:rPr>
        <w:t>.  They</w:t>
      </w:r>
      <w:r w:rsidR="00BB0BA3" w:rsidRPr="00BB0BA3">
        <w:rPr>
          <w:rFonts w:ascii="Times New Roman" w:hAnsi="Times New Roman"/>
          <w:sz w:val="24"/>
          <w:szCs w:val="24"/>
        </w:rPr>
        <w:t xml:space="preserve"> provide background on issues in </w:t>
      </w:r>
      <w:r w:rsidR="00FE4181">
        <w:rPr>
          <w:rFonts w:ascii="Times New Roman" w:hAnsi="Times New Roman"/>
          <w:sz w:val="24"/>
          <w:szCs w:val="24"/>
        </w:rPr>
        <w:t>model risk management</w:t>
      </w:r>
      <w:r w:rsidR="00BB0BA3" w:rsidRPr="00BB0BA3">
        <w:rPr>
          <w:rFonts w:ascii="Times New Roman" w:hAnsi="Times New Roman"/>
          <w:sz w:val="24"/>
          <w:szCs w:val="24"/>
        </w:rPr>
        <w:t>, i</w:t>
      </w:r>
      <w:r w:rsidR="00BB0BA3" w:rsidRPr="00BB0BA3">
        <w:rPr>
          <w:rFonts w:ascii="Times New Roman" w:hAnsi="Times New Roman"/>
          <w:sz w:val="24"/>
          <w:szCs w:val="24"/>
        </w:rPr>
        <w:t>n</w:t>
      </w:r>
      <w:r w:rsidR="00BB0BA3" w:rsidRPr="00BB0BA3">
        <w:rPr>
          <w:rFonts w:ascii="Times New Roman" w:hAnsi="Times New Roman"/>
          <w:sz w:val="24"/>
          <w:szCs w:val="24"/>
        </w:rPr>
        <w:t>cluding an overview of supervisory guidance</w:t>
      </w:r>
      <w:r w:rsidR="00BB0BA3">
        <w:rPr>
          <w:rFonts w:ascii="Times New Roman" w:hAnsi="Times New Roman"/>
          <w:sz w:val="24"/>
          <w:szCs w:val="24"/>
        </w:rPr>
        <w:t xml:space="preserve"> and </w:t>
      </w:r>
      <w:r w:rsidR="00BB0BA3" w:rsidRPr="00BB0BA3">
        <w:rPr>
          <w:rFonts w:ascii="Times New Roman" w:hAnsi="Times New Roman"/>
          <w:sz w:val="24"/>
          <w:szCs w:val="24"/>
        </w:rPr>
        <w:t>discuss various approaches to measuring and aggregating model risk</w:t>
      </w:r>
      <w:r w:rsidR="00BB0BA3">
        <w:rPr>
          <w:rFonts w:ascii="Times New Roman" w:hAnsi="Times New Roman"/>
          <w:sz w:val="24"/>
          <w:szCs w:val="24"/>
        </w:rPr>
        <w:t>.</w:t>
      </w:r>
    </w:p>
    <w:p w:rsidR="00FE4181" w:rsidRDefault="00D32739" w:rsidP="00970268">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Jacobs et al (2015b) </w:t>
      </w:r>
      <w:r w:rsidRPr="00D32739">
        <w:rPr>
          <w:rFonts w:ascii="Times New Roman" w:hAnsi="Times New Roman"/>
          <w:sz w:val="24"/>
          <w:szCs w:val="24"/>
        </w:rPr>
        <w:t>contribute to the literature</w:t>
      </w:r>
      <w:r>
        <w:rPr>
          <w:rFonts w:ascii="Times New Roman" w:hAnsi="Times New Roman"/>
          <w:sz w:val="24"/>
          <w:szCs w:val="24"/>
        </w:rPr>
        <w:t xml:space="preserve"> </w:t>
      </w:r>
      <w:r w:rsidRPr="00D32739">
        <w:rPr>
          <w:rFonts w:ascii="Times New Roman" w:hAnsi="Times New Roman"/>
          <w:sz w:val="24"/>
          <w:szCs w:val="24"/>
        </w:rPr>
        <w:t>by developing a Bayesian-based credit risk stress-testing methodology, which can</w:t>
      </w:r>
      <w:r>
        <w:rPr>
          <w:rFonts w:ascii="Times New Roman" w:hAnsi="Times New Roman"/>
          <w:sz w:val="24"/>
          <w:szCs w:val="24"/>
        </w:rPr>
        <w:t xml:space="preserve"> </w:t>
      </w:r>
      <w:r w:rsidRPr="00D32739">
        <w:rPr>
          <w:rFonts w:ascii="Times New Roman" w:hAnsi="Times New Roman"/>
          <w:sz w:val="24"/>
          <w:szCs w:val="24"/>
        </w:rPr>
        <w:t>be implemented by</w:t>
      </w:r>
      <w:r>
        <w:rPr>
          <w:rFonts w:ascii="Times New Roman" w:hAnsi="Times New Roman"/>
          <w:sz w:val="24"/>
          <w:szCs w:val="24"/>
        </w:rPr>
        <w:t xml:space="preserve"> </w:t>
      </w:r>
      <w:r w:rsidRPr="00D32739">
        <w:rPr>
          <w:rFonts w:ascii="Times New Roman" w:hAnsi="Times New Roman"/>
          <w:sz w:val="24"/>
          <w:szCs w:val="24"/>
        </w:rPr>
        <w:t>small-to-medium-sized banks, as well as presenting empirical</w:t>
      </w:r>
      <w:r>
        <w:rPr>
          <w:rFonts w:ascii="Times New Roman" w:hAnsi="Times New Roman"/>
          <w:sz w:val="24"/>
          <w:szCs w:val="24"/>
        </w:rPr>
        <w:t xml:space="preserve"> </w:t>
      </w:r>
      <w:r w:rsidRPr="00D32739">
        <w:rPr>
          <w:rFonts w:ascii="Times New Roman" w:hAnsi="Times New Roman"/>
          <w:sz w:val="24"/>
          <w:szCs w:val="24"/>
        </w:rPr>
        <w:t xml:space="preserve">results using data from the recent CCAR implementations. </w:t>
      </w:r>
      <w:r>
        <w:rPr>
          <w:rFonts w:ascii="Times New Roman" w:hAnsi="Times New Roman"/>
          <w:sz w:val="24"/>
          <w:szCs w:val="24"/>
        </w:rPr>
        <w:t xml:space="preserve"> </w:t>
      </w:r>
      <w:r w:rsidRPr="00D32739">
        <w:rPr>
          <w:rFonts w:ascii="Times New Roman" w:hAnsi="Times New Roman"/>
          <w:sz w:val="24"/>
          <w:szCs w:val="24"/>
        </w:rPr>
        <w:t>Through the application</w:t>
      </w:r>
      <w:r>
        <w:rPr>
          <w:rFonts w:ascii="Times New Roman" w:hAnsi="Times New Roman"/>
          <w:sz w:val="24"/>
          <w:szCs w:val="24"/>
        </w:rPr>
        <w:t xml:space="preserve"> </w:t>
      </w:r>
      <w:r w:rsidRPr="00D32739">
        <w:rPr>
          <w:rFonts w:ascii="Times New Roman" w:hAnsi="Times New Roman"/>
          <w:sz w:val="24"/>
          <w:szCs w:val="24"/>
        </w:rPr>
        <w:t xml:space="preserve">of a Bayesian model, </w:t>
      </w:r>
      <w:r>
        <w:rPr>
          <w:rFonts w:ascii="Times New Roman" w:hAnsi="Times New Roman"/>
          <w:sz w:val="24"/>
          <w:szCs w:val="24"/>
        </w:rPr>
        <w:t>they</w:t>
      </w:r>
      <w:r w:rsidRPr="00D32739">
        <w:rPr>
          <w:rFonts w:ascii="Times New Roman" w:hAnsi="Times New Roman"/>
          <w:sz w:val="24"/>
          <w:szCs w:val="24"/>
        </w:rPr>
        <w:t xml:space="preserve"> formally incorporate exogenous scenarios and also</w:t>
      </w:r>
      <w:r>
        <w:rPr>
          <w:rFonts w:ascii="Times New Roman" w:hAnsi="Times New Roman"/>
          <w:sz w:val="24"/>
          <w:szCs w:val="24"/>
        </w:rPr>
        <w:t xml:space="preserve"> </w:t>
      </w:r>
      <w:r w:rsidRPr="00D32739">
        <w:rPr>
          <w:rFonts w:ascii="Times New Roman" w:hAnsi="Times New Roman"/>
          <w:sz w:val="24"/>
          <w:szCs w:val="24"/>
        </w:rPr>
        <w:t>quantify the uncertainty in model output that results from stochastic model inputs.</w:t>
      </w:r>
      <w:r>
        <w:rPr>
          <w:rFonts w:ascii="Times New Roman" w:hAnsi="Times New Roman"/>
          <w:sz w:val="24"/>
          <w:szCs w:val="24"/>
        </w:rPr>
        <w:t xml:space="preserve">  The authors</w:t>
      </w:r>
      <w:r w:rsidRPr="00D32739">
        <w:rPr>
          <w:rFonts w:ascii="Times New Roman" w:hAnsi="Times New Roman"/>
          <w:sz w:val="24"/>
          <w:szCs w:val="24"/>
        </w:rPr>
        <w:t xml:space="preserve"> compar</w:t>
      </w:r>
      <w:r>
        <w:rPr>
          <w:rFonts w:ascii="Times New Roman" w:hAnsi="Times New Roman"/>
          <w:sz w:val="24"/>
          <w:szCs w:val="24"/>
        </w:rPr>
        <w:t>e</w:t>
      </w:r>
      <w:r w:rsidRPr="00D32739">
        <w:rPr>
          <w:rFonts w:ascii="Times New Roman" w:hAnsi="Times New Roman"/>
          <w:sz w:val="24"/>
          <w:szCs w:val="24"/>
        </w:rPr>
        <w:t xml:space="preserve"> the proportional model</w:t>
      </w:r>
      <w:r>
        <w:rPr>
          <w:rFonts w:ascii="Times New Roman" w:hAnsi="Times New Roman"/>
          <w:sz w:val="24"/>
          <w:szCs w:val="24"/>
        </w:rPr>
        <w:t xml:space="preserve"> </w:t>
      </w:r>
      <w:r w:rsidRPr="00D32739">
        <w:rPr>
          <w:rFonts w:ascii="Times New Roman" w:hAnsi="Times New Roman"/>
          <w:sz w:val="24"/>
          <w:szCs w:val="24"/>
        </w:rPr>
        <w:t xml:space="preserve">risk buffer measure of the severely adverse cumulative nine-quarter loss estimate obtained from </w:t>
      </w:r>
      <w:r>
        <w:rPr>
          <w:rFonts w:ascii="Times New Roman" w:hAnsi="Times New Roman"/>
          <w:sz w:val="24"/>
          <w:szCs w:val="24"/>
        </w:rPr>
        <w:t>the</w:t>
      </w:r>
      <w:r w:rsidRPr="00D32739">
        <w:rPr>
          <w:rFonts w:ascii="Times New Roman" w:hAnsi="Times New Roman"/>
          <w:sz w:val="24"/>
          <w:szCs w:val="24"/>
        </w:rPr>
        <w:t xml:space="preserve"> empirical implementation of </w:t>
      </w:r>
      <w:r w:rsidR="006975A9">
        <w:rPr>
          <w:rFonts w:ascii="Times New Roman" w:hAnsi="Times New Roman"/>
          <w:sz w:val="24"/>
          <w:szCs w:val="24"/>
        </w:rPr>
        <w:t>a</w:t>
      </w:r>
      <w:r w:rsidRPr="00D32739">
        <w:rPr>
          <w:rFonts w:ascii="Times New Roman" w:hAnsi="Times New Roman"/>
          <w:sz w:val="24"/>
          <w:szCs w:val="24"/>
        </w:rPr>
        <w:t xml:space="preserve"> Bayesian </w:t>
      </w:r>
      <w:r w:rsidR="00FE4181">
        <w:rPr>
          <w:rFonts w:ascii="Times New Roman" w:hAnsi="Times New Roman"/>
          <w:sz w:val="24"/>
          <w:szCs w:val="24"/>
        </w:rPr>
        <w:t xml:space="preserve">as compared </w:t>
      </w:r>
      <w:r w:rsidRPr="00D32739">
        <w:rPr>
          <w:rFonts w:ascii="Times New Roman" w:hAnsi="Times New Roman"/>
          <w:sz w:val="24"/>
          <w:szCs w:val="24"/>
        </w:rPr>
        <w:t xml:space="preserve">to </w:t>
      </w:r>
      <w:r w:rsidR="006975A9">
        <w:rPr>
          <w:rFonts w:ascii="Times New Roman" w:hAnsi="Times New Roman"/>
          <w:sz w:val="24"/>
          <w:szCs w:val="24"/>
        </w:rPr>
        <w:t>a</w:t>
      </w:r>
      <w:r w:rsidRPr="00D32739">
        <w:rPr>
          <w:rFonts w:ascii="Times New Roman" w:hAnsi="Times New Roman"/>
          <w:sz w:val="24"/>
          <w:szCs w:val="24"/>
        </w:rPr>
        <w:t xml:space="preserve"> </w:t>
      </w:r>
      <w:r w:rsidR="00FE4181">
        <w:rPr>
          <w:rFonts w:ascii="Times New Roman" w:hAnsi="Times New Roman"/>
          <w:sz w:val="24"/>
          <w:szCs w:val="24"/>
        </w:rPr>
        <w:t>F</w:t>
      </w:r>
      <w:r w:rsidRPr="00D32739">
        <w:rPr>
          <w:rFonts w:ascii="Times New Roman" w:hAnsi="Times New Roman"/>
          <w:sz w:val="24"/>
          <w:szCs w:val="24"/>
        </w:rPr>
        <w:t>requentist</w:t>
      </w:r>
      <w:r>
        <w:rPr>
          <w:rFonts w:ascii="Times New Roman" w:hAnsi="Times New Roman"/>
          <w:sz w:val="24"/>
          <w:szCs w:val="24"/>
        </w:rPr>
        <w:t xml:space="preserve"> </w:t>
      </w:r>
      <w:r w:rsidRPr="00D32739">
        <w:rPr>
          <w:rFonts w:ascii="Times New Roman" w:hAnsi="Times New Roman"/>
          <w:sz w:val="24"/>
          <w:szCs w:val="24"/>
        </w:rPr>
        <w:t>model</w:t>
      </w:r>
      <w:r>
        <w:rPr>
          <w:rFonts w:ascii="Times New Roman" w:hAnsi="Times New Roman"/>
          <w:sz w:val="24"/>
          <w:szCs w:val="24"/>
        </w:rPr>
        <w:t>,</w:t>
      </w:r>
      <w:r w:rsidRPr="00D32739">
        <w:rPr>
          <w:rFonts w:ascii="Times New Roman" w:hAnsi="Times New Roman"/>
          <w:sz w:val="24"/>
          <w:szCs w:val="24"/>
        </w:rPr>
        <w:t xml:space="preserve"> find</w:t>
      </w:r>
      <w:r>
        <w:rPr>
          <w:rFonts w:ascii="Times New Roman" w:hAnsi="Times New Roman"/>
          <w:sz w:val="24"/>
          <w:szCs w:val="24"/>
        </w:rPr>
        <w:t>ing</w:t>
      </w:r>
      <w:r w:rsidRPr="00D32739">
        <w:rPr>
          <w:rFonts w:ascii="Times New Roman" w:hAnsi="Times New Roman"/>
          <w:sz w:val="24"/>
          <w:szCs w:val="24"/>
        </w:rPr>
        <w:t xml:space="preserve"> it to be 40% higher in the former than in the latter. </w:t>
      </w:r>
      <w:r>
        <w:rPr>
          <w:rFonts w:ascii="Times New Roman" w:hAnsi="Times New Roman"/>
          <w:sz w:val="24"/>
          <w:szCs w:val="24"/>
        </w:rPr>
        <w:t xml:space="preserve"> In </w:t>
      </w:r>
      <w:r w:rsidRPr="00D32739">
        <w:rPr>
          <w:rFonts w:ascii="Times New Roman" w:hAnsi="Times New Roman"/>
          <w:sz w:val="24"/>
          <w:szCs w:val="24"/>
        </w:rPr>
        <w:t>the model validation exe</w:t>
      </w:r>
      <w:r w:rsidRPr="00D32739">
        <w:rPr>
          <w:rFonts w:ascii="Times New Roman" w:hAnsi="Times New Roman"/>
          <w:sz w:val="24"/>
          <w:szCs w:val="24"/>
        </w:rPr>
        <w:t>r</w:t>
      </w:r>
      <w:r w:rsidRPr="00D32739">
        <w:rPr>
          <w:rFonts w:ascii="Times New Roman" w:hAnsi="Times New Roman"/>
          <w:sz w:val="24"/>
          <w:szCs w:val="24"/>
        </w:rPr>
        <w:t xml:space="preserve">cise, </w:t>
      </w:r>
      <w:r>
        <w:rPr>
          <w:rFonts w:ascii="Times New Roman" w:hAnsi="Times New Roman"/>
          <w:sz w:val="24"/>
          <w:szCs w:val="24"/>
        </w:rPr>
        <w:t xml:space="preserve">they find that </w:t>
      </w:r>
      <w:r w:rsidRPr="00D32739">
        <w:rPr>
          <w:rFonts w:ascii="Times New Roman" w:hAnsi="Times New Roman"/>
          <w:sz w:val="24"/>
          <w:szCs w:val="24"/>
        </w:rPr>
        <w:t>the Bayesian model outperforms the frequentist model</w:t>
      </w:r>
      <w:r w:rsidR="005714F1">
        <w:rPr>
          <w:rFonts w:ascii="Times New Roman" w:hAnsi="Times New Roman"/>
          <w:sz w:val="24"/>
          <w:szCs w:val="24"/>
        </w:rPr>
        <w:t xml:space="preserve"> </w:t>
      </w:r>
      <w:r w:rsidRPr="00D32739">
        <w:rPr>
          <w:rFonts w:ascii="Times New Roman" w:hAnsi="Times New Roman"/>
          <w:sz w:val="24"/>
          <w:szCs w:val="24"/>
        </w:rPr>
        <w:t>statistically signif</w:t>
      </w:r>
      <w:r w:rsidRPr="00D32739">
        <w:rPr>
          <w:rFonts w:ascii="Times New Roman" w:hAnsi="Times New Roman"/>
          <w:sz w:val="24"/>
          <w:szCs w:val="24"/>
        </w:rPr>
        <w:t>i</w:t>
      </w:r>
      <w:r w:rsidRPr="00D32739">
        <w:rPr>
          <w:rFonts w:ascii="Times New Roman" w:hAnsi="Times New Roman"/>
          <w:sz w:val="24"/>
          <w:szCs w:val="24"/>
        </w:rPr>
        <w:t>cantly, according to the cumulative percentage error metric, by 2%</w:t>
      </w:r>
      <w:r>
        <w:rPr>
          <w:rFonts w:ascii="Times New Roman" w:hAnsi="Times New Roman"/>
          <w:sz w:val="24"/>
          <w:szCs w:val="24"/>
        </w:rPr>
        <w:t xml:space="preserve"> </w:t>
      </w:r>
      <w:r w:rsidRPr="00D32739">
        <w:rPr>
          <w:rFonts w:ascii="Times New Roman" w:hAnsi="Times New Roman"/>
          <w:sz w:val="24"/>
          <w:szCs w:val="24"/>
        </w:rPr>
        <w:t>(1.5%) over the entire sample (downturn period).</w:t>
      </w:r>
      <w:r>
        <w:rPr>
          <w:rFonts w:ascii="Times New Roman" w:hAnsi="Times New Roman"/>
          <w:sz w:val="24"/>
          <w:szCs w:val="24"/>
        </w:rPr>
        <w:t xml:space="preserve">  </w:t>
      </w:r>
    </w:p>
    <w:p w:rsidR="005714F1" w:rsidRDefault="00477E42" w:rsidP="00970268">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lastRenderedPageBreak/>
        <w:t xml:space="preserve">Skoglund (2018) studies the </w:t>
      </w:r>
      <w:r w:rsidRPr="00477E42">
        <w:rPr>
          <w:rFonts w:ascii="Times New Roman" w:hAnsi="Times New Roman"/>
          <w:sz w:val="24"/>
          <w:szCs w:val="24"/>
        </w:rPr>
        <w:t>quantif</w:t>
      </w:r>
      <w:r w:rsidR="000D1753">
        <w:rPr>
          <w:rFonts w:ascii="Times New Roman" w:hAnsi="Times New Roman"/>
          <w:sz w:val="24"/>
          <w:szCs w:val="24"/>
        </w:rPr>
        <w:t>ication</w:t>
      </w:r>
      <w:r w:rsidRPr="00477E42">
        <w:rPr>
          <w:rFonts w:ascii="Times New Roman" w:hAnsi="Times New Roman"/>
          <w:sz w:val="24"/>
          <w:szCs w:val="24"/>
        </w:rPr>
        <w:t xml:space="preserve"> </w:t>
      </w:r>
      <w:r w:rsidR="000D1753">
        <w:rPr>
          <w:rFonts w:ascii="Times New Roman" w:hAnsi="Times New Roman"/>
          <w:sz w:val="24"/>
          <w:szCs w:val="24"/>
        </w:rPr>
        <w:t>of</w:t>
      </w:r>
      <w:r w:rsidRPr="00477E42">
        <w:rPr>
          <w:rFonts w:ascii="Times New Roman" w:hAnsi="Times New Roman"/>
          <w:sz w:val="24"/>
          <w:szCs w:val="24"/>
        </w:rPr>
        <w:t xml:space="preserve"> model risk inherent in loss projection models</w:t>
      </w:r>
      <w:r>
        <w:rPr>
          <w:rFonts w:ascii="Times New Roman" w:hAnsi="Times New Roman"/>
          <w:sz w:val="24"/>
          <w:szCs w:val="24"/>
        </w:rPr>
        <w:t xml:space="preserve"> </w:t>
      </w:r>
      <w:r w:rsidRPr="00477E42">
        <w:rPr>
          <w:rFonts w:ascii="Times New Roman" w:hAnsi="Times New Roman"/>
          <w:sz w:val="24"/>
          <w:szCs w:val="24"/>
        </w:rPr>
        <w:t>used in the macroeconomic stress testing and impairment estimation</w:t>
      </w:r>
      <w:r>
        <w:rPr>
          <w:rFonts w:ascii="Times New Roman" w:hAnsi="Times New Roman"/>
          <w:sz w:val="24"/>
          <w:szCs w:val="24"/>
        </w:rPr>
        <w:t>,</w:t>
      </w:r>
      <w:r w:rsidRPr="00477E42">
        <w:rPr>
          <w:rFonts w:ascii="Times New Roman" w:hAnsi="Times New Roman"/>
          <w:sz w:val="24"/>
          <w:szCs w:val="24"/>
        </w:rPr>
        <w:t xml:space="preserve"> </w:t>
      </w:r>
      <w:r>
        <w:rPr>
          <w:rFonts w:ascii="Times New Roman" w:hAnsi="Times New Roman"/>
          <w:sz w:val="24"/>
          <w:szCs w:val="24"/>
        </w:rPr>
        <w:t xml:space="preserve">which </w:t>
      </w:r>
      <w:r w:rsidRPr="00477E42">
        <w:rPr>
          <w:rFonts w:ascii="Times New Roman" w:hAnsi="Times New Roman"/>
          <w:sz w:val="24"/>
          <w:szCs w:val="24"/>
        </w:rPr>
        <w:t>is of signi</w:t>
      </w:r>
      <w:r>
        <w:rPr>
          <w:rFonts w:ascii="Times New Roman" w:hAnsi="Times New Roman"/>
          <w:sz w:val="24"/>
          <w:szCs w:val="24"/>
        </w:rPr>
        <w:t>fi</w:t>
      </w:r>
      <w:r w:rsidRPr="00477E42">
        <w:rPr>
          <w:rFonts w:ascii="Times New Roman" w:hAnsi="Times New Roman"/>
          <w:sz w:val="24"/>
          <w:szCs w:val="24"/>
        </w:rPr>
        <w:t>cant</w:t>
      </w:r>
      <w:r>
        <w:rPr>
          <w:rFonts w:ascii="Times New Roman" w:hAnsi="Times New Roman"/>
          <w:sz w:val="24"/>
          <w:szCs w:val="24"/>
        </w:rPr>
        <w:t xml:space="preserve"> </w:t>
      </w:r>
      <w:r w:rsidRPr="00477E42">
        <w:rPr>
          <w:rFonts w:ascii="Times New Roman" w:hAnsi="Times New Roman"/>
          <w:sz w:val="24"/>
          <w:szCs w:val="24"/>
        </w:rPr>
        <w:t xml:space="preserve">concern for both banks and regulators. </w:t>
      </w:r>
      <w:r>
        <w:rPr>
          <w:rFonts w:ascii="Times New Roman" w:hAnsi="Times New Roman"/>
          <w:sz w:val="24"/>
          <w:szCs w:val="24"/>
        </w:rPr>
        <w:t xml:space="preserve"> </w:t>
      </w:r>
      <w:r w:rsidRPr="00477E42">
        <w:rPr>
          <w:rFonts w:ascii="Times New Roman" w:hAnsi="Times New Roman"/>
          <w:sz w:val="24"/>
          <w:szCs w:val="24"/>
        </w:rPr>
        <w:t xml:space="preserve">The </w:t>
      </w:r>
      <w:r>
        <w:rPr>
          <w:rFonts w:ascii="Times New Roman" w:hAnsi="Times New Roman"/>
          <w:sz w:val="24"/>
          <w:szCs w:val="24"/>
        </w:rPr>
        <w:t xml:space="preserve">author applies </w:t>
      </w:r>
      <w:r w:rsidRPr="00477E42">
        <w:rPr>
          <w:rFonts w:ascii="Times New Roman" w:hAnsi="Times New Roman"/>
          <w:sz w:val="24"/>
          <w:szCs w:val="24"/>
        </w:rPr>
        <w:t>relative entropy techniques</w:t>
      </w:r>
      <w:r>
        <w:rPr>
          <w:rFonts w:ascii="Times New Roman" w:hAnsi="Times New Roman"/>
          <w:sz w:val="24"/>
          <w:szCs w:val="24"/>
        </w:rPr>
        <w:t xml:space="preserve"> that </w:t>
      </w:r>
      <w:r w:rsidRPr="00477E42">
        <w:rPr>
          <w:rFonts w:ascii="Times New Roman" w:hAnsi="Times New Roman"/>
          <w:sz w:val="24"/>
          <w:szCs w:val="24"/>
        </w:rPr>
        <w:t>allow model misspeci</w:t>
      </w:r>
      <w:r>
        <w:rPr>
          <w:rFonts w:ascii="Times New Roman" w:hAnsi="Times New Roman"/>
          <w:sz w:val="24"/>
          <w:szCs w:val="24"/>
        </w:rPr>
        <w:t>fi</w:t>
      </w:r>
      <w:r w:rsidRPr="00477E42">
        <w:rPr>
          <w:rFonts w:ascii="Times New Roman" w:hAnsi="Times New Roman"/>
          <w:sz w:val="24"/>
          <w:szCs w:val="24"/>
        </w:rPr>
        <w:t>cation robustness to be numerically quanti</w:t>
      </w:r>
      <w:r>
        <w:rPr>
          <w:rFonts w:ascii="Times New Roman" w:hAnsi="Times New Roman"/>
          <w:sz w:val="24"/>
          <w:szCs w:val="24"/>
        </w:rPr>
        <w:t>fie</w:t>
      </w:r>
      <w:r w:rsidRPr="00477E42">
        <w:rPr>
          <w:rFonts w:ascii="Times New Roman" w:hAnsi="Times New Roman"/>
          <w:sz w:val="24"/>
          <w:szCs w:val="24"/>
        </w:rPr>
        <w:t>d using exponential</w:t>
      </w:r>
      <w:r>
        <w:rPr>
          <w:rFonts w:ascii="Times New Roman" w:hAnsi="Times New Roman"/>
          <w:sz w:val="24"/>
          <w:szCs w:val="24"/>
        </w:rPr>
        <w:t xml:space="preserve"> </w:t>
      </w:r>
      <w:r w:rsidRPr="00477E42">
        <w:rPr>
          <w:rFonts w:ascii="Times New Roman" w:hAnsi="Times New Roman"/>
          <w:sz w:val="24"/>
          <w:szCs w:val="24"/>
        </w:rPr>
        <w:t>tilting towards an a</w:t>
      </w:r>
      <w:r w:rsidRPr="00477E42">
        <w:rPr>
          <w:rFonts w:ascii="Times New Roman" w:hAnsi="Times New Roman"/>
          <w:sz w:val="24"/>
          <w:szCs w:val="24"/>
        </w:rPr>
        <w:t>l</w:t>
      </w:r>
      <w:r w:rsidRPr="00477E42">
        <w:rPr>
          <w:rFonts w:ascii="Times New Roman" w:hAnsi="Times New Roman"/>
          <w:sz w:val="24"/>
          <w:szCs w:val="24"/>
        </w:rPr>
        <w:t xml:space="preserve">ternative probability law. </w:t>
      </w:r>
      <w:r>
        <w:rPr>
          <w:rFonts w:ascii="Times New Roman" w:hAnsi="Times New Roman"/>
          <w:sz w:val="24"/>
          <w:szCs w:val="24"/>
        </w:rPr>
        <w:t xml:space="preserve"> </w:t>
      </w:r>
      <w:r w:rsidRPr="00477E42">
        <w:rPr>
          <w:rFonts w:ascii="Times New Roman" w:hAnsi="Times New Roman"/>
          <w:sz w:val="24"/>
          <w:szCs w:val="24"/>
        </w:rPr>
        <w:t>Using a particular loss forecasting model</w:t>
      </w:r>
      <w:r>
        <w:rPr>
          <w:rFonts w:ascii="Times New Roman" w:hAnsi="Times New Roman"/>
          <w:sz w:val="24"/>
          <w:szCs w:val="24"/>
        </w:rPr>
        <w:t xml:space="preserve">, he </w:t>
      </w:r>
      <w:r w:rsidRPr="00477E42">
        <w:rPr>
          <w:rFonts w:ascii="Times New Roman" w:hAnsi="Times New Roman"/>
          <w:sz w:val="24"/>
          <w:szCs w:val="24"/>
        </w:rPr>
        <w:t>quantif</w:t>
      </w:r>
      <w:r>
        <w:rPr>
          <w:rFonts w:ascii="Times New Roman" w:hAnsi="Times New Roman"/>
          <w:sz w:val="24"/>
          <w:szCs w:val="24"/>
        </w:rPr>
        <w:t>ies</w:t>
      </w:r>
      <w:r w:rsidRPr="00477E42">
        <w:rPr>
          <w:rFonts w:ascii="Times New Roman" w:hAnsi="Times New Roman"/>
          <w:sz w:val="24"/>
          <w:szCs w:val="24"/>
        </w:rPr>
        <w:t xml:space="preserve"> the model worst-case loss term-structures</w:t>
      </w:r>
      <w:r w:rsidR="00FE4181">
        <w:rPr>
          <w:rFonts w:ascii="Times New Roman" w:hAnsi="Times New Roman"/>
          <w:sz w:val="24"/>
          <w:szCs w:val="24"/>
        </w:rPr>
        <w:t>,</w:t>
      </w:r>
      <w:r w:rsidRPr="00477E42">
        <w:rPr>
          <w:rFonts w:ascii="Times New Roman" w:hAnsi="Times New Roman"/>
          <w:sz w:val="24"/>
          <w:szCs w:val="24"/>
        </w:rPr>
        <w:t xml:space="preserve"> to yield insight </w:t>
      </w:r>
      <w:r>
        <w:rPr>
          <w:rFonts w:ascii="Times New Roman" w:hAnsi="Times New Roman"/>
          <w:sz w:val="24"/>
          <w:szCs w:val="24"/>
        </w:rPr>
        <w:t xml:space="preserve">into what </w:t>
      </w:r>
      <w:r w:rsidRPr="00477E42">
        <w:rPr>
          <w:rFonts w:ascii="Times New Roman" w:hAnsi="Times New Roman"/>
          <w:sz w:val="24"/>
          <w:szCs w:val="24"/>
        </w:rPr>
        <w:t>represents in general an upward scaling</w:t>
      </w:r>
      <w:r>
        <w:rPr>
          <w:rFonts w:ascii="Times New Roman" w:hAnsi="Times New Roman"/>
          <w:sz w:val="24"/>
          <w:szCs w:val="24"/>
        </w:rPr>
        <w:t xml:space="preserve"> </w:t>
      </w:r>
      <w:r w:rsidRPr="00477E42">
        <w:rPr>
          <w:rFonts w:ascii="Times New Roman" w:hAnsi="Times New Roman"/>
          <w:sz w:val="24"/>
          <w:szCs w:val="24"/>
        </w:rPr>
        <w:t xml:space="preserve">of the term-structure consistent with the exponential tilting adjustment. </w:t>
      </w:r>
      <w:r w:rsidR="00FE4181">
        <w:rPr>
          <w:rFonts w:ascii="Times New Roman" w:hAnsi="Times New Roman"/>
          <w:sz w:val="24"/>
          <w:szCs w:val="24"/>
        </w:rPr>
        <w:t xml:space="preserve"> </w:t>
      </w:r>
      <w:r w:rsidRPr="00477E42">
        <w:rPr>
          <w:rFonts w:ascii="Times New Roman" w:hAnsi="Times New Roman"/>
          <w:sz w:val="24"/>
          <w:szCs w:val="24"/>
        </w:rPr>
        <w:t>The</w:t>
      </w:r>
      <w:r>
        <w:rPr>
          <w:rFonts w:ascii="Times New Roman" w:hAnsi="Times New Roman"/>
          <w:sz w:val="24"/>
          <w:szCs w:val="24"/>
        </w:rPr>
        <w:t xml:space="preserve"> author argues that this </w:t>
      </w:r>
      <w:r w:rsidRPr="00477E42">
        <w:rPr>
          <w:rFonts w:ascii="Times New Roman" w:hAnsi="Times New Roman"/>
          <w:sz w:val="24"/>
          <w:szCs w:val="24"/>
        </w:rPr>
        <w:t>technique can complement the traditional model risk quanti</w:t>
      </w:r>
      <w:r>
        <w:rPr>
          <w:rFonts w:ascii="Times New Roman" w:hAnsi="Times New Roman"/>
          <w:sz w:val="24"/>
          <w:szCs w:val="24"/>
        </w:rPr>
        <w:t>fi</w:t>
      </w:r>
      <w:r w:rsidRPr="00477E42">
        <w:rPr>
          <w:rFonts w:ascii="Times New Roman" w:hAnsi="Times New Roman"/>
          <w:sz w:val="24"/>
          <w:szCs w:val="24"/>
        </w:rPr>
        <w:t>cation techniques where speci</w:t>
      </w:r>
      <w:r>
        <w:rPr>
          <w:rFonts w:ascii="Times New Roman" w:hAnsi="Times New Roman"/>
          <w:sz w:val="24"/>
          <w:szCs w:val="24"/>
        </w:rPr>
        <w:t>fi</w:t>
      </w:r>
      <w:r w:rsidRPr="00477E42">
        <w:rPr>
          <w:rFonts w:ascii="Times New Roman" w:hAnsi="Times New Roman"/>
          <w:sz w:val="24"/>
          <w:szCs w:val="24"/>
        </w:rPr>
        <w:t>c direction</w:t>
      </w:r>
      <w:r w:rsidR="00784D27">
        <w:rPr>
          <w:rFonts w:ascii="Times New Roman" w:hAnsi="Times New Roman"/>
          <w:sz w:val="24"/>
          <w:szCs w:val="24"/>
        </w:rPr>
        <w:t>s</w:t>
      </w:r>
      <w:r w:rsidRPr="00477E42">
        <w:rPr>
          <w:rFonts w:ascii="Times New Roman" w:hAnsi="Times New Roman"/>
          <w:sz w:val="24"/>
          <w:szCs w:val="24"/>
        </w:rPr>
        <w:t xml:space="preserve"> or range of </w:t>
      </w:r>
      <w:r w:rsidR="005942CF" w:rsidRPr="00477E42">
        <w:rPr>
          <w:rFonts w:ascii="Times New Roman" w:hAnsi="Times New Roman"/>
          <w:sz w:val="24"/>
          <w:szCs w:val="24"/>
        </w:rPr>
        <w:t xml:space="preserve">reasons </w:t>
      </w:r>
      <w:r w:rsidR="005942CF">
        <w:rPr>
          <w:rFonts w:ascii="Times New Roman" w:hAnsi="Times New Roman"/>
          <w:sz w:val="24"/>
          <w:szCs w:val="24"/>
        </w:rPr>
        <w:t xml:space="preserve">for </w:t>
      </w:r>
      <w:r w:rsidRPr="00477E42">
        <w:rPr>
          <w:rFonts w:ascii="Times New Roman" w:hAnsi="Times New Roman"/>
          <w:sz w:val="24"/>
          <w:szCs w:val="24"/>
        </w:rPr>
        <w:t>model misspeci</w:t>
      </w:r>
      <w:r>
        <w:rPr>
          <w:rFonts w:ascii="Times New Roman" w:hAnsi="Times New Roman"/>
          <w:sz w:val="24"/>
          <w:szCs w:val="24"/>
        </w:rPr>
        <w:t>fi</w:t>
      </w:r>
      <w:r w:rsidRPr="00477E42">
        <w:rPr>
          <w:rFonts w:ascii="Times New Roman" w:hAnsi="Times New Roman"/>
          <w:sz w:val="24"/>
          <w:szCs w:val="24"/>
        </w:rPr>
        <w:t xml:space="preserve">cation </w:t>
      </w:r>
      <w:r w:rsidR="00784D27">
        <w:rPr>
          <w:rFonts w:ascii="Times New Roman" w:hAnsi="Times New Roman"/>
          <w:sz w:val="24"/>
          <w:szCs w:val="24"/>
        </w:rPr>
        <w:t>are</w:t>
      </w:r>
      <w:r w:rsidR="005714F1">
        <w:rPr>
          <w:rFonts w:ascii="Times New Roman" w:hAnsi="Times New Roman"/>
          <w:sz w:val="24"/>
          <w:szCs w:val="24"/>
        </w:rPr>
        <w:t xml:space="preserve"> </w:t>
      </w:r>
      <w:r w:rsidRPr="00477E42">
        <w:rPr>
          <w:rFonts w:ascii="Times New Roman" w:hAnsi="Times New Roman"/>
          <w:sz w:val="24"/>
          <w:szCs w:val="24"/>
        </w:rPr>
        <w:t>usually considered</w:t>
      </w:r>
      <w:r>
        <w:rPr>
          <w:rFonts w:ascii="Times New Roman" w:hAnsi="Times New Roman"/>
          <w:sz w:val="24"/>
          <w:szCs w:val="24"/>
        </w:rPr>
        <w:t>.</w:t>
      </w:r>
    </w:p>
    <w:p w:rsidR="00C8690D" w:rsidRDefault="00D30A8E" w:rsidP="000E6ED6">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There is rather limited literature on scenario generation in the context of stress testing.  </w:t>
      </w:r>
      <w:r w:rsidR="00D409D1">
        <w:rPr>
          <w:rFonts w:ascii="Times New Roman" w:hAnsi="Times New Roman"/>
          <w:sz w:val="24"/>
          <w:szCs w:val="24"/>
        </w:rPr>
        <w:t>Jacobs et al (2018)</w:t>
      </w:r>
      <w:r>
        <w:rPr>
          <w:rFonts w:ascii="Times New Roman" w:hAnsi="Times New Roman"/>
          <w:sz w:val="24"/>
          <w:szCs w:val="24"/>
        </w:rPr>
        <w:t xml:space="preserve"> examine this in the context of CCAR and credit risk </w:t>
      </w:r>
      <w:r w:rsidR="008F73E5">
        <w:rPr>
          <w:rFonts w:ascii="Times New Roman" w:hAnsi="Times New Roman"/>
          <w:sz w:val="24"/>
          <w:szCs w:val="24"/>
        </w:rPr>
        <w:t>by</w:t>
      </w:r>
      <w:r w:rsidR="005907C9">
        <w:rPr>
          <w:rFonts w:ascii="Times New Roman" w:hAnsi="Times New Roman"/>
          <w:sz w:val="24"/>
          <w:szCs w:val="24"/>
        </w:rPr>
        <w:t xml:space="preserve"> </w:t>
      </w:r>
      <w:r w:rsidR="005907C9" w:rsidRPr="005907C9">
        <w:rPr>
          <w:rFonts w:ascii="Times New Roman" w:hAnsi="Times New Roman"/>
          <w:sz w:val="24"/>
          <w:szCs w:val="24"/>
        </w:rPr>
        <w:t>conduct</w:t>
      </w:r>
      <w:r w:rsidR="008F73E5">
        <w:rPr>
          <w:rFonts w:ascii="Times New Roman" w:hAnsi="Times New Roman"/>
          <w:sz w:val="24"/>
          <w:szCs w:val="24"/>
        </w:rPr>
        <w:t>ing</w:t>
      </w:r>
      <w:r w:rsidR="005907C9" w:rsidRPr="005907C9">
        <w:rPr>
          <w:rFonts w:ascii="Times New Roman" w:hAnsi="Times New Roman"/>
          <w:sz w:val="24"/>
          <w:szCs w:val="24"/>
        </w:rPr>
        <w:t xml:space="preserve"> an empirical e</w:t>
      </w:r>
      <w:r w:rsidR="005907C9" w:rsidRPr="005907C9">
        <w:rPr>
          <w:rFonts w:ascii="Times New Roman" w:hAnsi="Times New Roman"/>
          <w:sz w:val="24"/>
          <w:szCs w:val="24"/>
        </w:rPr>
        <w:t>x</w:t>
      </w:r>
      <w:r w:rsidR="005907C9" w:rsidRPr="005907C9">
        <w:rPr>
          <w:rFonts w:ascii="Times New Roman" w:hAnsi="Times New Roman"/>
          <w:sz w:val="24"/>
          <w:szCs w:val="24"/>
        </w:rPr>
        <w:t>periment using data from regulatory filings and Federal Reserve macroeconomic data</w:t>
      </w:r>
      <w:r w:rsidR="00FE4181">
        <w:rPr>
          <w:rFonts w:ascii="Times New Roman" w:hAnsi="Times New Roman"/>
          <w:sz w:val="24"/>
          <w:szCs w:val="24"/>
        </w:rPr>
        <w:t>.</w:t>
      </w:r>
      <w:r w:rsidR="005907C9">
        <w:rPr>
          <w:rFonts w:ascii="Times New Roman" w:hAnsi="Times New Roman"/>
          <w:sz w:val="24"/>
          <w:szCs w:val="24"/>
        </w:rPr>
        <w:t xml:space="preserve"> </w:t>
      </w:r>
      <w:r w:rsidR="00FE4181">
        <w:rPr>
          <w:rFonts w:ascii="Times New Roman" w:hAnsi="Times New Roman"/>
          <w:sz w:val="24"/>
          <w:szCs w:val="24"/>
        </w:rPr>
        <w:t xml:space="preserve"> The a</w:t>
      </w:r>
      <w:r w:rsidR="00FE4181">
        <w:rPr>
          <w:rFonts w:ascii="Times New Roman" w:hAnsi="Times New Roman"/>
          <w:sz w:val="24"/>
          <w:szCs w:val="24"/>
        </w:rPr>
        <w:t>u</w:t>
      </w:r>
      <w:r w:rsidR="00FE4181">
        <w:rPr>
          <w:rFonts w:ascii="Times New Roman" w:hAnsi="Times New Roman"/>
          <w:sz w:val="24"/>
          <w:szCs w:val="24"/>
        </w:rPr>
        <w:t xml:space="preserve">thors </w:t>
      </w:r>
      <w:r w:rsidR="005907C9" w:rsidRPr="005907C9">
        <w:rPr>
          <w:rFonts w:ascii="Times New Roman" w:hAnsi="Times New Roman"/>
          <w:sz w:val="24"/>
          <w:szCs w:val="24"/>
        </w:rPr>
        <w:t xml:space="preserve">find that the </w:t>
      </w:r>
      <w:r w:rsidR="005907C9">
        <w:rPr>
          <w:rFonts w:ascii="Times New Roman" w:hAnsi="Times New Roman"/>
          <w:sz w:val="24"/>
          <w:szCs w:val="24"/>
        </w:rPr>
        <w:t xml:space="preserve">a </w:t>
      </w:r>
      <w:r w:rsidR="008F73E5">
        <w:rPr>
          <w:rFonts w:ascii="Times New Roman" w:hAnsi="Times New Roman"/>
          <w:sz w:val="24"/>
          <w:szCs w:val="24"/>
        </w:rPr>
        <w:t xml:space="preserve">MS-VAR </w:t>
      </w:r>
      <w:r w:rsidR="005907C9" w:rsidRPr="005907C9">
        <w:rPr>
          <w:rFonts w:ascii="Times New Roman" w:hAnsi="Times New Roman"/>
          <w:sz w:val="24"/>
          <w:szCs w:val="24"/>
        </w:rPr>
        <w:t xml:space="preserve">model performs better than </w:t>
      </w:r>
      <w:r w:rsidR="005907C9">
        <w:rPr>
          <w:rFonts w:ascii="Times New Roman" w:hAnsi="Times New Roman"/>
          <w:sz w:val="24"/>
          <w:szCs w:val="24"/>
        </w:rPr>
        <w:t>a</w:t>
      </w:r>
      <w:r w:rsidR="005907C9" w:rsidRPr="005907C9">
        <w:rPr>
          <w:rFonts w:ascii="Times New Roman" w:hAnsi="Times New Roman"/>
          <w:sz w:val="24"/>
          <w:szCs w:val="24"/>
        </w:rPr>
        <w:t xml:space="preserve"> </w:t>
      </w:r>
      <w:r w:rsidR="005907C9">
        <w:rPr>
          <w:rFonts w:ascii="Times New Roman" w:hAnsi="Times New Roman"/>
          <w:sz w:val="24"/>
          <w:szCs w:val="24"/>
        </w:rPr>
        <w:t>standard VA</w:t>
      </w:r>
      <w:r w:rsidR="008F73E5">
        <w:rPr>
          <w:rFonts w:ascii="Times New Roman" w:hAnsi="Times New Roman"/>
          <w:sz w:val="24"/>
          <w:szCs w:val="24"/>
        </w:rPr>
        <w:t>R</w:t>
      </w:r>
      <w:r w:rsidR="005907C9">
        <w:rPr>
          <w:rFonts w:ascii="Times New Roman" w:hAnsi="Times New Roman"/>
          <w:sz w:val="24"/>
          <w:szCs w:val="24"/>
        </w:rPr>
        <w:t xml:space="preserve"> </w:t>
      </w:r>
      <w:r w:rsidR="005907C9" w:rsidRPr="005907C9">
        <w:rPr>
          <w:rFonts w:ascii="Times New Roman" w:hAnsi="Times New Roman"/>
          <w:sz w:val="24"/>
          <w:szCs w:val="24"/>
        </w:rPr>
        <w:t>model, both in</w:t>
      </w:r>
      <w:r w:rsidR="005942CF" w:rsidRPr="005907C9">
        <w:rPr>
          <w:rFonts w:ascii="Times New Roman" w:hAnsi="Times New Roman"/>
          <w:sz w:val="24"/>
          <w:szCs w:val="24"/>
        </w:rPr>
        <w:t xml:space="preserve"> </w:t>
      </w:r>
      <w:r w:rsidR="005907C9" w:rsidRPr="005907C9">
        <w:rPr>
          <w:rFonts w:ascii="Times New Roman" w:hAnsi="Times New Roman"/>
          <w:sz w:val="24"/>
          <w:szCs w:val="24"/>
        </w:rPr>
        <w:t xml:space="preserve">terms of producing severe scenarios </w:t>
      </w:r>
      <w:r w:rsidR="00FE4181">
        <w:rPr>
          <w:rFonts w:ascii="Times New Roman" w:hAnsi="Times New Roman"/>
          <w:sz w:val="24"/>
          <w:szCs w:val="24"/>
        </w:rPr>
        <w:t xml:space="preserve">more </w:t>
      </w:r>
      <w:r w:rsidR="005907C9" w:rsidRPr="005907C9">
        <w:rPr>
          <w:rFonts w:ascii="Times New Roman" w:hAnsi="Times New Roman"/>
          <w:sz w:val="24"/>
          <w:szCs w:val="24"/>
        </w:rPr>
        <w:t>conservative as well as showing superior predictive accuracy.</w:t>
      </w:r>
    </w:p>
    <w:p w:rsidR="00FE4181" w:rsidRDefault="00A66DB1" w:rsidP="000E6ED6">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Jacobs (2019)r </w:t>
      </w:r>
      <w:r w:rsidRPr="00A66DB1">
        <w:rPr>
          <w:rFonts w:ascii="Times New Roman" w:hAnsi="Times New Roman"/>
          <w:sz w:val="24"/>
          <w:szCs w:val="24"/>
        </w:rPr>
        <w:t>investigate</w:t>
      </w:r>
      <w:r>
        <w:rPr>
          <w:rFonts w:ascii="Times New Roman" w:hAnsi="Times New Roman"/>
          <w:sz w:val="24"/>
          <w:szCs w:val="24"/>
        </w:rPr>
        <w:t>s</w:t>
      </w:r>
      <w:r w:rsidRPr="00A66DB1">
        <w:rPr>
          <w:rFonts w:ascii="Times New Roman" w:hAnsi="Times New Roman"/>
          <w:sz w:val="24"/>
          <w:szCs w:val="24"/>
        </w:rPr>
        <w:t xml:space="preserve"> a </w:t>
      </w:r>
      <w:r>
        <w:rPr>
          <w:rFonts w:ascii="Times New Roman" w:hAnsi="Times New Roman"/>
          <w:sz w:val="24"/>
          <w:szCs w:val="24"/>
        </w:rPr>
        <w:t xml:space="preserve">stress testing </w:t>
      </w:r>
      <w:r w:rsidRPr="00A66DB1">
        <w:rPr>
          <w:rFonts w:ascii="Times New Roman" w:hAnsi="Times New Roman"/>
          <w:sz w:val="24"/>
          <w:szCs w:val="24"/>
        </w:rPr>
        <w:t>modeling framework believe</w:t>
      </w:r>
      <w:r>
        <w:rPr>
          <w:rFonts w:ascii="Times New Roman" w:hAnsi="Times New Roman"/>
          <w:sz w:val="24"/>
          <w:szCs w:val="24"/>
        </w:rPr>
        <w:t>d</w:t>
      </w:r>
      <w:r w:rsidRPr="00A66DB1">
        <w:rPr>
          <w:rFonts w:ascii="Times New Roman" w:hAnsi="Times New Roman"/>
          <w:sz w:val="24"/>
          <w:szCs w:val="24"/>
        </w:rPr>
        <w:t xml:space="preserve"> to be very close to that employed by the regulators, which projects various financial statement line items for an aggr</w:t>
      </w:r>
      <w:r w:rsidRPr="00A66DB1">
        <w:rPr>
          <w:rFonts w:ascii="Times New Roman" w:hAnsi="Times New Roman"/>
          <w:sz w:val="24"/>
          <w:szCs w:val="24"/>
        </w:rPr>
        <w:t>e</w:t>
      </w:r>
      <w:r w:rsidRPr="00A66DB1">
        <w:rPr>
          <w:rFonts w:ascii="Times New Roman" w:hAnsi="Times New Roman"/>
          <w:sz w:val="24"/>
          <w:szCs w:val="24"/>
        </w:rPr>
        <w:t xml:space="preserve">gated “average” bank.  </w:t>
      </w:r>
      <w:r>
        <w:rPr>
          <w:rFonts w:ascii="Times New Roman" w:hAnsi="Times New Roman"/>
          <w:sz w:val="24"/>
          <w:szCs w:val="24"/>
        </w:rPr>
        <w:t>H</w:t>
      </w:r>
      <w:r w:rsidRPr="00A66DB1">
        <w:rPr>
          <w:rFonts w:ascii="Times New Roman" w:hAnsi="Times New Roman"/>
          <w:sz w:val="24"/>
          <w:szCs w:val="24"/>
        </w:rPr>
        <w:t>e assess</w:t>
      </w:r>
      <w:r>
        <w:rPr>
          <w:rFonts w:ascii="Times New Roman" w:hAnsi="Times New Roman"/>
          <w:sz w:val="24"/>
          <w:szCs w:val="24"/>
        </w:rPr>
        <w:t>es</w:t>
      </w:r>
      <w:r w:rsidRPr="00A66DB1">
        <w:rPr>
          <w:rFonts w:ascii="Times New Roman" w:hAnsi="Times New Roman"/>
          <w:sz w:val="24"/>
          <w:szCs w:val="24"/>
        </w:rPr>
        <w:t xml:space="preserve"> the accuracy of alternative stress test modeling approaches, in particular simple single equation as compared to more complex multiple equation approaches.  </w:t>
      </w:r>
      <w:r>
        <w:rPr>
          <w:rFonts w:ascii="Times New Roman" w:hAnsi="Times New Roman"/>
          <w:sz w:val="24"/>
          <w:szCs w:val="24"/>
        </w:rPr>
        <w:t>The</w:t>
      </w:r>
      <w:r w:rsidRPr="00A66DB1">
        <w:rPr>
          <w:rFonts w:ascii="Times New Roman" w:hAnsi="Times New Roman"/>
          <w:sz w:val="24"/>
          <w:szCs w:val="24"/>
        </w:rPr>
        <w:t xml:space="preserve"> results show potential inaccuracies in stress test model forecasts, in particular multi-equation models that do not properly account for the dependency structure amongst the input and target variables.  </w:t>
      </w:r>
      <w:r>
        <w:rPr>
          <w:rFonts w:ascii="Times New Roman" w:hAnsi="Times New Roman"/>
          <w:sz w:val="24"/>
          <w:szCs w:val="24"/>
        </w:rPr>
        <w:t xml:space="preserve">Further the </w:t>
      </w:r>
      <w:r w:rsidRPr="00A66DB1">
        <w:rPr>
          <w:rFonts w:ascii="Times New Roman" w:hAnsi="Times New Roman"/>
          <w:sz w:val="24"/>
          <w:szCs w:val="24"/>
        </w:rPr>
        <w:t>results highlight the public policy need for reconsidering the existent re</w:t>
      </w:r>
      <w:r w:rsidRPr="00A66DB1">
        <w:rPr>
          <w:rFonts w:ascii="Times New Roman" w:hAnsi="Times New Roman"/>
          <w:sz w:val="24"/>
          <w:szCs w:val="24"/>
        </w:rPr>
        <w:t>g</w:t>
      </w:r>
      <w:r w:rsidRPr="00A66DB1">
        <w:rPr>
          <w:rFonts w:ascii="Times New Roman" w:hAnsi="Times New Roman"/>
          <w:sz w:val="24"/>
          <w:szCs w:val="24"/>
        </w:rPr>
        <w:t>ulations that fail to place limits on the use of regulatory stress tests, and the need for supervisory models to be subject to model validation and governance standards.</w:t>
      </w:r>
      <w:r w:rsidR="00A026B1">
        <w:rPr>
          <w:rFonts w:ascii="Times New Roman" w:hAnsi="Times New Roman"/>
          <w:sz w:val="24"/>
          <w:szCs w:val="24"/>
        </w:rPr>
        <w:t xml:space="preserve">  </w:t>
      </w:r>
    </w:p>
    <w:p w:rsidR="00FE4181" w:rsidRDefault="00C8690D" w:rsidP="000E6ED6">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In a</w:t>
      </w:r>
      <w:r w:rsidR="005714F1">
        <w:rPr>
          <w:rFonts w:ascii="Times New Roman" w:hAnsi="Times New Roman"/>
          <w:sz w:val="24"/>
          <w:szCs w:val="24"/>
        </w:rPr>
        <w:t xml:space="preserve"> study in the limited literature on CECL, Chae et al (2018) notes that </w:t>
      </w:r>
      <w:r w:rsidR="005714F1" w:rsidRPr="00D91663">
        <w:rPr>
          <w:rFonts w:ascii="Times New Roman" w:hAnsi="Times New Roman"/>
          <w:sz w:val="24"/>
          <w:szCs w:val="24"/>
        </w:rPr>
        <w:t>CECL is intended to promote proactive provisioning</w:t>
      </w:r>
      <w:r>
        <w:rPr>
          <w:rFonts w:ascii="Times New Roman" w:hAnsi="Times New Roman"/>
          <w:sz w:val="24"/>
          <w:szCs w:val="24"/>
        </w:rPr>
        <w:t>,</w:t>
      </w:r>
      <w:r w:rsidR="005714F1" w:rsidRPr="00D91663">
        <w:rPr>
          <w:rFonts w:ascii="Times New Roman" w:hAnsi="Times New Roman"/>
          <w:sz w:val="24"/>
          <w:szCs w:val="24"/>
        </w:rPr>
        <w:t xml:space="preserve"> as loan loss reserves can be conditioned on expectations of the economic cycle. </w:t>
      </w:r>
      <w:r w:rsidR="005714F1">
        <w:rPr>
          <w:rFonts w:ascii="Times New Roman" w:hAnsi="Times New Roman"/>
          <w:sz w:val="24"/>
          <w:szCs w:val="24"/>
        </w:rPr>
        <w:t xml:space="preserve"> They</w:t>
      </w:r>
      <w:r w:rsidR="005714F1" w:rsidRPr="00D91663">
        <w:rPr>
          <w:rFonts w:ascii="Times New Roman" w:hAnsi="Times New Roman"/>
          <w:sz w:val="24"/>
          <w:szCs w:val="24"/>
        </w:rPr>
        <w:t xml:space="preserve"> study the degree to which </w:t>
      </w:r>
      <w:r w:rsidR="005714F1">
        <w:rPr>
          <w:rFonts w:ascii="Times New Roman" w:hAnsi="Times New Roman"/>
          <w:sz w:val="24"/>
          <w:szCs w:val="24"/>
        </w:rPr>
        <w:t>a single</w:t>
      </w:r>
      <w:r w:rsidR="005714F1" w:rsidRPr="00D91663">
        <w:rPr>
          <w:rFonts w:ascii="Times New Roman" w:hAnsi="Times New Roman"/>
          <w:sz w:val="24"/>
          <w:szCs w:val="24"/>
        </w:rPr>
        <w:t xml:space="preserve"> modeling decision</w:t>
      </w:r>
      <w:r w:rsidR="005714F1">
        <w:rPr>
          <w:rFonts w:ascii="Times New Roman" w:hAnsi="Times New Roman"/>
          <w:sz w:val="24"/>
          <w:szCs w:val="24"/>
        </w:rPr>
        <w:t xml:space="preserve">, </w:t>
      </w:r>
      <w:r w:rsidR="005714F1" w:rsidRPr="00D91663">
        <w:rPr>
          <w:rFonts w:ascii="Times New Roman" w:hAnsi="Times New Roman"/>
          <w:sz w:val="24"/>
          <w:szCs w:val="24"/>
        </w:rPr>
        <w:t>expectations about the path of future house prices</w:t>
      </w:r>
      <w:r w:rsidR="005714F1">
        <w:rPr>
          <w:rFonts w:ascii="Times New Roman" w:hAnsi="Times New Roman"/>
          <w:sz w:val="24"/>
          <w:szCs w:val="24"/>
        </w:rPr>
        <w:t>,</w:t>
      </w:r>
      <w:r w:rsidR="005714F1" w:rsidRPr="00D91663">
        <w:rPr>
          <w:rFonts w:ascii="Times New Roman" w:hAnsi="Times New Roman"/>
          <w:sz w:val="24"/>
          <w:szCs w:val="24"/>
        </w:rPr>
        <w:t xml:space="preserve"> affects the size and timing of provisions for first-lien residential mortgage portfolios. </w:t>
      </w:r>
      <w:r w:rsidR="005714F1">
        <w:rPr>
          <w:rFonts w:ascii="Times New Roman" w:hAnsi="Times New Roman"/>
          <w:sz w:val="24"/>
          <w:szCs w:val="24"/>
        </w:rPr>
        <w:t xml:space="preserve"> The authors find</w:t>
      </w:r>
      <w:r w:rsidR="005714F1" w:rsidRPr="00D91663">
        <w:rPr>
          <w:rFonts w:ascii="Times New Roman" w:hAnsi="Times New Roman"/>
          <w:sz w:val="24"/>
          <w:szCs w:val="24"/>
        </w:rPr>
        <w:t xml:space="preserve"> that </w:t>
      </w:r>
      <w:r w:rsidR="005714F1">
        <w:rPr>
          <w:rFonts w:ascii="Times New Roman" w:hAnsi="Times New Roman"/>
          <w:sz w:val="24"/>
          <w:szCs w:val="24"/>
        </w:rPr>
        <w:t xml:space="preserve">while CECL </w:t>
      </w:r>
      <w:r w:rsidR="005714F1" w:rsidRPr="00D91663">
        <w:rPr>
          <w:rFonts w:ascii="Times New Roman" w:hAnsi="Times New Roman"/>
          <w:sz w:val="24"/>
          <w:szCs w:val="24"/>
        </w:rPr>
        <w:t xml:space="preserve">provisions are generally less pro-cyclical </w:t>
      </w:r>
      <w:r w:rsidR="005714F1">
        <w:rPr>
          <w:rFonts w:ascii="Times New Roman" w:hAnsi="Times New Roman"/>
          <w:sz w:val="24"/>
          <w:szCs w:val="24"/>
        </w:rPr>
        <w:t xml:space="preserve">as </w:t>
      </w:r>
      <w:r w:rsidR="005714F1" w:rsidRPr="00D91663">
        <w:rPr>
          <w:rFonts w:ascii="Times New Roman" w:hAnsi="Times New Roman"/>
          <w:sz w:val="24"/>
          <w:szCs w:val="24"/>
        </w:rPr>
        <w:t xml:space="preserve">compared to the current incurred loss standard, </w:t>
      </w:r>
      <w:r w:rsidR="005714F1">
        <w:rPr>
          <w:rFonts w:ascii="Times New Roman" w:hAnsi="Times New Roman"/>
          <w:sz w:val="24"/>
          <w:szCs w:val="24"/>
        </w:rPr>
        <w:t>the revised standard</w:t>
      </w:r>
      <w:r w:rsidR="005714F1" w:rsidRPr="00D91663">
        <w:rPr>
          <w:rFonts w:ascii="Times New Roman" w:hAnsi="Times New Roman"/>
          <w:sz w:val="24"/>
          <w:szCs w:val="24"/>
        </w:rPr>
        <w:t xml:space="preserve"> may complicate the co</w:t>
      </w:r>
      <w:r w:rsidR="005714F1" w:rsidRPr="00D91663">
        <w:rPr>
          <w:rFonts w:ascii="Times New Roman" w:hAnsi="Times New Roman"/>
          <w:sz w:val="24"/>
          <w:szCs w:val="24"/>
        </w:rPr>
        <w:t>m</w:t>
      </w:r>
      <w:r w:rsidR="005714F1" w:rsidRPr="00D91663">
        <w:rPr>
          <w:rFonts w:ascii="Times New Roman" w:hAnsi="Times New Roman"/>
          <w:sz w:val="24"/>
          <w:szCs w:val="24"/>
        </w:rPr>
        <w:t>parability of provisions across banks and time.</w:t>
      </w:r>
      <w:r w:rsidR="005714F1">
        <w:rPr>
          <w:rFonts w:ascii="Times New Roman" w:hAnsi="Times New Roman"/>
          <w:sz w:val="24"/>
          <w:szCs w:val="24"/>
        </w:rPr>
        <w:t xml:space="preserve">  </w:t>
      </w:r>
    </w:p>
    <w:p w:rsidR="00585C5A" w:rsidRPr="00970268" w:rsidRDefault="00A026B1" w:rsidP="000E6ED6">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Jacobs (2019)</w:t>
      </w:r>
      <w:r w:rsidRPr="00970268">
        <w:rPr>
          <w:rFonts w:ascii="Times New Roman" w:hAnsi="Times New Roman"/>
          <w:sz w:val="24"/>
          <w:szCs w:val="24"/>
        </w:rPr>
        <w:t xml:space="preserve"> establishes that in general the CECL methodology is at risk of not achieving the stated objective of reducing the pro-cyclicality of provisions relative to the incurred loss standard</w:t>
      </w:r>
      <w:r w:rsidR="00FE4181">
        <w:rPr>
          <w:rFonts w:ascii="Times New Roman" w:hAnsi="Times New Roman"/>
          <w:sz w:val="24"/>
          <w:szCs w:val="24"/>
        </w:rPr>
        <w:t>.  A</w:t>
      </w:r>
      <w:r w:rsidRPr="00970268">
        <w:rPr>
          <w:rFonts w:ascii="Times New Roman" w:hAnsi="Times New Roman"/>
          <w:sz w:val="24"/>
          <w:szCs w:val="24"/>
        </w:rPr>
        <w:t>cross model</w:t>
      </w:r>
      <w:r w:rsidR="00FE4181">
        <w:rPr>
          <w:rFonts w:ascii="Times New Roman" w:hAnsi="Times New Roman"/>
          <w:sz w:val="24"/>
          <w:szCs w:val="24"/>
        </w:rPr>
        <w:t xml:space="preserve"> specifications, he</w:t>
      </w:r>
      <w:r w:rsidRPr="00970268">
        <w:rPr>
          <w:rFonts w:ascii="Times New Roman" w:hAnsi="Times New Roman"/>
          <w:sz w:val="24"/>
          <w:szCs w:val="24"/>
        </w:rPr>
        <w:t xml:space="preserve"> observe</w:t>
      </w:r>
      <w:r w:rsidR="00FE4181">
        <w:rPr>
          <w:rFonts w:ascii="Times New Roman" w:hAnsi="Times New Roman"/>
          <w:sz w:val="24"/>
          <w:szCs w:val="24"/>
        </w:rPr>
        <w:t>s</w:t>
      </w:r>
      <w:r w:rsidRPr="00970268">
        <w:rPr>
          <w:rFonts w:ascii="Times New Roman" w:hAnsi="Times New Roman"/>
          <w:sz w:val="24"/>
          <w:szCs w:val="24"/>
        </w:rPr>
        <w:t xml:space="preserve"> chronic underprediction of losses in the last 2-year out-of-sample period</w:t>
      </w:r>
      <w:r w:rsidR="00C8690D">
        <w:rPr>
          <w:rFonts w:ascii="Times New Roman" w:hAnsi="Times New Roman"/>
          <w:sz w:val="24"/>
          <w:szCs w:val="24"/>
        </w:rPr>
        <w:t>,</w:t>
      </w:r>
      <w:r w:rsidRPr="00970268">
        <w:rPr>
          <w:rFonts w:ascii="Times New Roman" w:hAnsi="Times New Roman"/>
          <w:sz w:val="24"/>
          <w:szCs w:val="24"/>
        </w:rPr>
        <w:t xml:space="preserve"> arguably late in the economic cycle.  </w:t>
      </w:r>
      <w:r w:rsidR="00C8690D">
        <w:rPr>
          <w:rFonts w:ascii="Times New Roman" w:hAnsi="Times New Roman"/>
          <w:sz w:val="24"/>
          <w:szCs w:val="24"/>
        </w:rPr>
        <w:t>I</w:t>
      </w:r>
      <w:r w:rsidRPr="00970268">
        <w:rPr>
          <w:rFonts w:ascii="Times New Roman" w:hAnsi="Times New Roman"/>
          <w:sz w:val="24"/>
          <w:szCs w:val="24"/>
        </w:rPr>
        <w:t>t is found that the amount of proc</w:t>
      </w:r>
      <w:r w:rsidRPr="00970268">
        <w:rPr>
          <w:rFonts w:ascii="Times New Roman" w:hAnsi="Times New Roman"/>
          <w:sz w:val="24"/>
          <w:szCs w:val="24"/>
        </w:rPr>
        <w:t>y</w:t>
      </w:r>
      <w:r w:rsidRPr="00970268">
        <w:rPr>
          <w:rFonts w:ascii="Times New Roman" w:hAnsi="Times New Roman"/>
          <w:sz w:val="24"/>
          <w:szCs w:val="24"/>
        </w:rPr>
        <w:t xml:space="preserve">clicality exhibits significant variation across model specifications and scenario generation frameworks.  </w:t>
      </w:r>
      <w:r w:rsidR="00585C5A" w:rsidRPr="00970268">
        <w:rPr>
          <w:rFonts w:ascii="Times New Roman" w:hAnsi="Times New Roman"/>
          <w:sz w:val="24"/>
          <w:szCs w:val="24"/>
        </w:rPr>
        <w:t>R</w:t>
      </w:r>
      <w:r>
        <w:rPr>
          <w:rFonts w:ascii="Times New Roman" w:hAnsi="Times New Roman"/>
          <w:sz w:val="24"/>
          <w:szCs w:val="24"/>
        </w:rPr>
        <w:t xml:space="preserve">elative to the perfect foresight benchmark, the </w:t>
      </w:r>
      <w:r w:rsidR="00C8690D">
        <w:rPr>
          <w:rFonts w:ascii="Times New Roman" w:hAnsi="Times New Roman"/>
          <w:sz w:val="24"/>
          <w:szCs w:val="24"/>
        </w:rPr>
        <w:t>MS-VAR</w:t>
      </w:r>
      <w:r w:rsidR="00FE4181">
        <w:rPr>
          <w:rFonts w:ascii="Times New Roman" w:hAnsi="Times New Roman"/>
          <w:sz w:val="24"/>
          <w:szCs w:val="24"/>
        </w:rPr>
        <w:t xml:space="preserve"> </w:t>
      </w:r>
      <w:r>
        <w:rPr>
          <w:rFonts w:ascii="Times New Roman" w:hAnsi="Times New Roman"/>
          <w:sz w:val="24"/>
          <w:szCs w:val="24"/>
        </w:rPr>
        <w:t xml:space="preserve">model </w:t>
      </w:r>
      <w:r w:rsidR="00FE4181">
        <w:rPr>
          <w:rFonts w:ascii="Times New Roman" w:hAnsi="Times New Roman"/>
          <w:sz w:val="24"/>
          <w:szCs w:val="24"/>
        </w:rPr>
        <w:t>for macroec</w:t>
      </w:r>
      <w:r w:rsidR="00FE4181">
        <w:rPr>
          <w:rFonts w:ascii="Times New Roman" w:hAnsi="Times New Roman"/>
          <w:sz w:val="24"/>
          <w:szCs w:val="24"/>
        </w:rPr>
        <w:t>o</w:t>
      </w:r>
      <w:r w:rsidR="00FE4181">
        <w:rPr>
          <w:rFonts w:ascii="Times New Roman" w:hAnsi="Times New Roman"/>
          <w:sz w:val="24"/>
          <w:szCs w:val="24"/>
        </w:rPr>
        <w:t xml:space="preserve">nomic scenario generation </w:t>
      </w:r>
      <w:r w:rsidR="006975A9">
        <w:rPr>
          <w:rFonts w:ascii="Times New Roman" w:hAnsi="Times New Roman"/>
          <w:sz w:val="24"/>
          <w:szCs w:val="24"/>
        </w:rPr>
        <w:t>produce</w:t>
      </w:r>
      <w:r w:rsidR="00C8690D">
        <w:rPr>
          <w:rFonts w:ascii="Times New Roman" w:hAnsi="Times New Roman"/>
          <w:sz w:val="24"/>
          <w:szCs w:val="24"/>
        </w:rPr>
        <w:t>s</w:t>
      </w:r>
      <w:r w:rsidR="006975A9">
        <w:rPr>
          <w:rFonts w:ascii="Times New Roman" w:hAnsi="Times New Roman"/>
          <w:sz w:val="24"/>
          <w:szCs w:val="24"/>
        </w:rPr>
        <w:t xml:space="preserve"> a lower level of variation in </w:t>
      </w:r>
      <w:r w:rsidR="006975A9" w:rsidRPr="00970268">
        <w:rPr>
          <w:rFonts w:ascii="Times New Roman" w:hAnsi="Times New Roman"/>
          <w:sz w:val="24"/>
          <w:szCs w:val="24"/>
        </w:rPr>
        <w:t xml:space="preserve">the model performance statistics </w:t>
      </w:r>
      <w:r w:rsidR="006975A9">
        <w:rPr>
          <w:rFonts w:ascii="Times New Roman" w:hAnsi="Times New Roman"/>
          <w:sz w:val="24"/>
          <w:szCs w:val="24"/>
        </w:rPr>
        <w:t xml:space="preserve">as compared to the </w:t>
      </w:r>
      <w:r w:rsidR="00C8690D">
        <w:rPr>
          <w:rFonts w:ascii="Times New Roman" w:hAnsi="Times New Roman"/>
          <w:sz w:val="24"/>
          <w:szCs w:val="24"/>
        </w:rPr>
        <w:t>VAR</w:t>
      </w:r>
      <w:r w:rsidR="006975A9">
        <w:rPr>
          <w:rFonts w:ascii="Times New Roman" w:hAnsi="Times New Roman"/>
          <w:sz w:val="24"/>
          <w:szCs w:val="24"/>
        </w:rPr>
        <w:t xml:space="preserve"> or Fed models</w:t>
      </w:r>
      <w:r w:rsidR="006975A9" w:rsidRPr="00970268">
        <w:rPr>
          <w:rFonts w:ascii="Times New Roman" w:hAnsi="Times New Roman"/>
          <w:sz w:val="24"/>
          <w:szCs w:val="24"/>
        </w:rPr>
        <w:t xml:space="preserve">.  As a second exercise, the author quantifies the level of model risk </w:t>
      </w:r>
      <w:r w:rsidR="006975A9">
        <w:rPr>
          <w:rFonts w:ascii="Times New Roman" w:hAnsi="Times New Roman"/>
          <w:sz w:val="24"/>
          <w:szCs w:val="24"/>
        </w:rPr>
        <w:t>in</w:t>
      </w:r>
      <w:r w:rsidR="006975A9" w:rsidRPr="00970268">
        <w:rPr>
          <w:rFonts w:ascii="Times New Roman" w:hAnsi="Times New Roman"/>
          <w:sz w:val="24"/>
          <w:szCs w:val="24"/>
        </w:rPr>
        <w:t xml:space="preserve"> an approach that uses the principle of relative entropy, finding that more elaborate modeling choices, such as more highly</w:t>
      </w:r>
      <w:r w:rsidR="00C8690D">
        <w:rPr>
          <w:rFonts w:ascii="Times New Roman" w:hAnsi="Times New Roman"/>
          <w:sz w:val="24"/>
          <w:szCs w:val="24"/>
        </w:rPr>
        <w:t xml:space="preserve"> </w:t>
      </w:r>
      <w:r w:rsidR="006975A9" w:rsidRPr="00970268">
        <w:rPr>
          <w:rFonts w:ascii="Times New Roman" w:hAnsi="Times New Roman"/>
          <w:sz w:val="24"/>
          <w:szCs w:val="24"/>
        </w:rPr>
        <w:t xml:space="preserve">parametricized </w:t>
      </w:r>
      <w:r w:rsidR="00C8690D">
        <w:rPr>
          <w:rFonts w:ascii="Times New Roman" w:hAnsi="Times New Roman"/>
          <w:sz w:val="24"/>
          <w:szCs w:val="24"/>
        </w:rPr>
        <w:t>credit loss</w:t>
      </w:r>
      <w:r w:rsidR="00C8690D" w:rsidRPr="00970268">
        <w:rPr>
          <w:rFonts w:ascii="Times New Roman" w:hAnsi="Times New Roman"/>
          <w:sz w:val="24"/>
          <w:szCs w:val="24"/>
        </w:rPr>
        <w:t xml:space="preserve"> </w:t>
      </w:r>
      <w:r w:rsidR="006975A9" w:rsidRPr="00970268">
        <w:rPr>
          <w:rFonts w:ascii="Times New Roman" w:hAnsi="Times New Roman"/>
          <w:sz w:val="24"/>
          <w:szCs w:val="24"/>
        </w:rPr>
        <w:t>models, tend to introduce more measured model risk</w:t>
      </w:r>
      <w:r w:rsidR="006975A9">
        <w:rPr>
          <w:rFonts w:ascii="Times New Roman" w:hAnsi="Times New Roman"/>
          <w:sz w:val="24"/>
          <w:szCs w:val="24"/>
        </w:rPr>
        <w:t>.  However,</w:t>
      </w:r>
      <w:r w:rsidR="006975A9" w:rsidRPr="00970268">
        <w:rPr>
          <w:rFonts w:ascii="Times New Roman" w:hAnsi="Times New Roman"/>
          <w:sz w:val="24"/>
          <w:szCs w:val="24"/>
        </w:rPr>
        <w:t xml:space="preserve"> the </w:t>
      </w:r>
      <w:r w:rsidR="006975A9">
        <w:rPr>
          <w:rFonts w:ascii="Times New Roman" w:hAnsi="Times New Roman"/>
          <w:sz w:val="24"/>
          <w:szCs w:val="24"/>
        </w:rPr>
        <w:t>regime switching</w:t>
      </w:r>
      <w:r w:rsidR="006975A9" w:rsidRPr="00970268">
        <w:rPr>
          <w:rFonts w:ascii="Times New Roman" w:hAnsi="Times New Roman"/>
          <w:sz w:val="24"/>
          <w:szCs w:val="24"/>
        </w:rPr>
        <w:t xml:space="preserve"> specification for scenario generation generates less models risk as compared to the Fed or </w:t>
      </w:r>
      <w:r w:rsidR="006975A9">
        <w:rPr>
          <w:rFonts w:ascii="Times New Roman" w:hAnsi="Times New Roman"/>
          <w:sz w:val="24"/>
          <w:szCs w:val="24"/>
        </w:rPr>
        <w:t>vector autoregressive</w:t>
      </w:r>
      <w:r w:rsidR="006975A9" w:rsidRPr="00970268">
        <w:rPr>
          <w:rFonts w:ascii="Times New Roman" w:hAnsi="Times New Roman"/>
          <w:sz w:val="24"/>
          <w:szCs w:val="24"/>
        </w:rPr>
        <w:t xml:space="preserve"> frameworks.</w:t>
      </w:r>
    </w:p>
    <w:p w:rsidR="00585C5A" w:rsidRDefault="00E763A9" w:rsidP="007C51BA">
      <w:pPr>
        <w:rPr>
          <w:rFonts w:ascii="Times New Roman" w:hAnsi="Times New Roman"/>
          <w:sz w:val="24"/>
          <w:szCs w:val="24"/>
        </w:rPr>
      </w:pPr>
      <w:r w:rsidRPr="00E763A9">
        <w:rPr>
          <w:noProof/>
        </w:rPr>
        <w:lastRenderedPageBreak/>
        <w:drawing>
          <wp:inline distT="0" distB="0" distL="0" distR="0" wp14:anchorId="066D51AB" wp14:editId="0908BB41">
            <wp:extent cx="5943600" cy="3591560"/>
            <wp:effectExtent l="19050" t="19050" r="1905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91560"/>
                    </a:xfrm>
                    <a:prstGeom prst="rect">
                      <a:avLst/>
                    </a:prstGeom>
                    <a:ln>
                      <a:solidFill>
                        <a:schemeClr val="tx1"/>
                      </a:solidFill>
                    </a:ln>
                  </pic:spPr>
                </pic:pic>
              </a:graphicData>
            </a:graphic>
          </wp:inline>
        </w:drawing>
      </w:r>
    </w:p>
    <w:p w:rsidR="00327B88" w:rsidRDefault="002F58BF" w:rsidP="00327B88">
      <w:pPr>
        <w:rPr>
          <w:rFonts w:ascii="Times New Roman" w:hAnsi="Times New Roman"/>
          <w:b/>
          <w:sz w:val="24"/>
          <w:szCs w:val="24"/>
        </w:rPr>
      </w:pPr>
      <w:r w:rsidRPr="00C177B3">
        <w:rPr>
          <w:rFonts w:ascii="Times New Roman" w:hAnsi="Times New Roman"/>
          <w:b/>
          <w:sz w:val="24"/>
          <w:szCs w:val="24"/>
        </w:rPr>
        <w:t xml:space="preserve">Figure </w:t>
      </w:r>
      <w:r>
        <w:rPr>
          <w:rFonts w:ascii="Times New Roman" w:hAnsi="Times New Roman"/>
          <w:b/>
          <w:sz w:val="24"/>
          <w:szCs w:val="24"/>
        </w:rPr>
        <w:t>2</w:t>
      </w:r>
      <w:r w:rsidRPr="00C177B3">
        <w:rPr>
          <w:rFonts w:ascii="Times New Roman" w:hAnsi="Times New Roman"/>
          <w:b/>
          <w:sz w:val="24"/>
          <w:szCs w:val="24"/>
        </w:rPr>
        <w:t xml:space="preserve">: </w:t>
      </w:r>
      <w:r>
        <w:rPr>
          <w:rFonts w:ascii="Times New Roman" w:hAnsi="Times New Roman"/>
          <w:b/>
          <w:sz w:val="24"/>
          <w:szCs w:val="24"/>
        </w:rPr>
        <w:t xml:space="preserve">Overview of a General Framework for the </w:t>
      </w:r>
      <w:r w:rsidR="00CE2061">
        <w:rPr>
          <w:rFonts w:ascii="Times New Roman" w:hAnsi="Times New Roman"/>
          <w:b/>
          <w:sz w:val="24"/>
          <w:szCs w:val="24"/>
        </w:rPr>
        <w:t>V</w:t>
      </w:r>
      <w:r w:rsidR="0074603E">
        <w:rPr>
          <w:rFonts w:ascii="Times New Roman" w:hAnsi="Times New Roman"/>
          <w:b/>
          <w:sz w:val="24"/>
          <w:szCs w:val="24"/>
        </w:rPr>
        <w:t>alidation</w:t>
      </w:r>
      <w:r>
        <w:rPr>
          <w:rFonts w:ascii="Times New Roman" w:hAnsi="Times New Roman"/>
          <w:b/>
          <w:sz w:val="24"/>
          <w:szCs w:val="24"/>
        </w:rPr>
        <w:t xml:space="preserve"> of Model Development</w:t>
      </w:r>
      <w:r w:rsidR="00CE2061">
        <w:rPr>
          <w:rFonts w:ascii="Times New Roman" w:hAnsi="Times New Roman"/>
          <w:b/>
          <w:sz w:val="24"/>
          <w:szCs w:val="24"/>
        </w:rPr>
        <w:t xml:space="preserve"> – Model Data, Estimation, Conceptual </w:t>
      </w:r>
      <w:r w:rsidR="00327B88">
        <w:rPr>
          <w:rFonts w:ascii="Times New Roman" w:hAnsi="Times New Roman"/>
          <w:b/>
          <w:sz w:val="24"/>
          <w:szCs w:val="24"/>
        </w:rPr>
        <w:t>R</w:t>
      </w:r>
      <w:r w:rsidR="00CE2061">
        <w:rPr>
          <w:rFonts w:ascii="Times New Roman" w:hAnsi="Times New Roman"/>
          <w:b/>
          <w:sz w:val="24"/>
          <w:szCs w:val="24"/>
        </w:rPr>
        <w:t xml:space="preserve">eview and Model </w:t>
      </w:r>
      <w:r w:rsidR="00327B88">
        <w:rPr>
          <w:rFonts w:ascii="Times New Roman" w:hAnsi="Times New Roman"/>
          <w:b/>
          <w:sz w:val="24"/>
          <w:szCs w:val="24"/>
        </w:rPr>
        <w:t>T</w:t>
      </w:r>
      <w:r w:rsidR="00CE2061">
        <w:rPr>
          <w:rFonts w:ascii="Times New Roman" w:hAnsi="Times New Roman"/>
          <w:b/>
          <w:sz w:val="24"/>
          <w:szCs w:val="24"/>
        </w:rPr>
        <w:t>esting</w:t>
      </w:r>
    </w:p>
    <w:p w:rsidR="003B2F40" w:rsidRDefault="003B2F40" w:rsidP="00585C5A">
      <w:pPr>
        <w:spacing w:before="100" w:beforeAutospacing="1" w:after="100" w:afterAutospacing="1" w:line="240" w:lineRule="auto"/>
        <w:jc w:val="both"/>
        <w:rPr>
          <w:rFonts w:ascii="Times New Roman" w:hAnsi="Times New Roman"/>
          <w:b/>
          <w:sz w:val="28"/>
          <w:szCs w:val="28"/>
        </w:rPr>
      </w:pPr>
    </w:p>
    <w:p w:rsidR="00585C5A" w:rsidRDefault="00095175" w:rsidP="00585C5A">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3</w:t>
      </w:r>
      <w:r w:rsidR="00585C5A" w:rsidRPr="00014971">
        <w:rPr>
          <w:rFonts w:ascii="Times New Roman" w:hAnsi="Times New Roman"/>
          <w:b/>
          <w:sz w:val="28"/>
          <w:szCs w:val="28"/>
        </w:rPr>
        <w:tab/>
      </w:r>
      <w:r w:rsidR="00585C5A">
        <w:rPr>
          <w:rFonts w:ascii="Times New Roman" w:hAnsi="Times New Roman"/>
          <w:b/>
          <w:sz w:val="28"/>
          <w:szCs w:val="28"/>
        </w:rPr>
        <w:t>Model Validation of CECL Model Dev</w:t>
      </w:r>
      <w:r w:rsidR="000801A5">
        <w:rPr>
          <w:rFonts w:ascii="Times New Roman" w:hAnsi="Times New Roman"/>
          <w:b/>
          <w:sz w:val="28"/>
          <w:szCs w:val="28"/>
        </w:rPr>
        <w:t>e</w:t>
      </w:r>
      <w:r w:rsidR="00585C5A">
        <w:rPr>
          <w:rFonts w:ascii="Times New Roman" w:hAnsi="Times New Roman"/>
          <w:b/>
          <w:sz w:val="28"/>
          <w:szCs w:val="28"/>
        </w:rPr>
        <w:t>lopment</w:t>
      </w:r>
      <w:r w:rsidR="0090183F">
        <w:rPr>
          <w:rFonts w:ascii="Times New Roman" w:hAnsi="Times New Roman"/>
          <w:b/>
          <w:sz w:val="28"/>
          <w:szCs w:val="28"/>
        </w:rPr>
        <w:t xml:space="preserve"> and Implementation</w:t>
      </w:r>
    </w:p>
    <w:p w:rsidR="00DB1067" w:rsidRDefault="00B0797B" w:rsidP="0039627F">
      <w:pPr>
        <w:jc w:val="both"/>
        <w:rPr>
          <w:rFonts w:ascii="Times New Roman" w:hAnsi="Times New Roman" w:cs="Calibri"/>
          <w:color w:val="000000"/>
          <w:sz w:val="24"/>
          <w:szCs w:val="24"/>
        </w:rPr>
      </w:pPr>
      <w:r>
        <w:rPr>
          <w:rFonts w:ascii="Times New Roman" w:hAnsi="Times New Roman" w:cs="Calibri"/>
          <w:color w:val="000000"/>
          <w:sz w:val="24"/>
          <w:szCs w:val="24"/>
        </w:rPr>
        <w:t xml:space="preserve">In this section we discuss a general framework for model validation of the model development </w:t>
      </w:r>
      <w:r w:rsidR="00F20463">
        <w:rPr>
          <w:rFonts w:ascii="Times New Roman" w:hAnsi="Times New Roman" w:cs="Calibri"/>
          <w:color w:val="000000"/>
          <w:sz w:val="24"/>
          <w:szCs w:val="24"/>
        </w:rPr>
        <w:t xml:space="preserve">and implementation </w:t>
      </w:r>
      <w:r>
        <w:rPr>
          <w:rFonts w:ascii="Times New Roman" w:hAnsi="Times New Roman" w:cs="Calibri"/>
          <w:color w:val="000000"/>
          <w:sz w:val="24"/>
          <w:szCs w:val="24"/>
        </w:rPr>
        <w:t xml:space="preserve">process in the CECL context. In Figure 2 above we </w:t>
      </w:r>
      <w:r w:rsidR="00E763A9">
        <w:rPr>
          <w:rFonts w:ascii="Times New Roman" w:hAnsi="Times New Roman" w:cs="Calibri"/>
          <w:color w:val="000000"/>
          <w:sz w:val="24"/>
          <w:szCs w:val="24"/>
        </w:rPr>
        <w:t xml:space="preserve">present our framework </w:t>
      </w:r>
      <w:r>
        <w:rPr>
          <w:rFonts w:ascii="Times New Roman" w:hAnsi="Times New Roman" w:cs="Calibri"/>
          <w:color w:val="000000"/>
          <w:sz w:val="24"/>
          <w:szCs w:val="24"/>
        </w:rPr>
        <w:t xml:space="preserve">graphically </w:t>
      </w:r>
      <w:r w:rsidR="00E763A9">
        <w:rPr>
          <w:rFonts w:ascii="Times New Roman" w:hAnsi="Times New Roman" w:cs="Calibri"/>
          <w:color w:val="000000"/>
          <w:sz w:val="24"/>
          <w:szCs w:val="24"/>
        </w:rPr>
        <w:t xml:space="preserve">and </w:t>
      </w:r>
      <w:r>
        <w:rPr>
          <w:rFonts w:ascii="Times New Roman" w:hAnsi="Times New Roman" w:cs="Calibri"/>
          <w:color w:val="000000"/>
          <w:sz w:val="24"/>
          <w:szCs w:val="24"/>
        </w:rPr>
        <w:t xml:space="preserve">illustrate the model validation </w:t>
      </w:r>
      <w:r w:rsidR="00E763A9">
        <w:rPr>
          <w:rFonts w:ascii="Times New Roman" w:hAnsi="Times New Roman" w:cs="Calibri"/>
          <w:color w:val="000000"/>
          <w:sz w:val="24"/>
          <w:szCs w:val="24"/>
        </w:rPr>
        <w:t>process</w:t>
      </w:r>
      <w:r>
        <w:rPr>
          <w:rFonts w:ascii="Times New Roman" w:hAnsi="Times New Roman" w:cs="Calibri"/>
          <w:color w:val="000000"/>
          <w:sz w:val="24"/>
          <w:szCs w:val="24"/>
        </w:rPr>
        <w:t xml:space="preserve"> </w:t>
      </w:r>
      <w:r w:rsidR="001522FF">
        <w:rPr>
          <w:rFonts w:ascii="Times New Roman" w:hAnsi="Times New Roman" w:cs="Calibri"/>
          <w:color w:val="000000"/>
          <w:sz w:val="24"/>
          <w:szCs w:val="24"/>
        </w:rPr>
        <w:t xml:space="preserve">as </w:t>
      </w:r>
      <w:r>
        <w:rPr>
          <w:rFonts w:ascii="Times New Roman" w:hAnsi="Times New Roman" w:cs="Calibri"/>
          <w:color w:val="000000"/>
          <w:sz w:val="24"/>
          <w:szCs w:val="24"/>
        </w:rPr>
        <w:t>follow</w:t>
      </w:r>
      <w:r w:rsidR="001522FF">
        <w:rPr>
          <w:rFonts w:ascii="Times New Roman" w:hAnsi="Times New Roman" w:cs="Calibri"/>
          <w:color w:val="000000"/>
          <w:sz w:val="24"/>
          <w:szCs w:val="24"/>
        </w:rPr>
        <w:t>ing</w:t>
      </w:r>
      <w:r>
        <w:rPr>
          <w:rFonts w:ascii="Times New Roman" w:hAnsi="Times New Roman" w:cs="Calibri"/>
          <w:color w:val="000000"/>
          <w:sz w:val="24"/>
          <w:szCs w:val="24"/>
        </w:rPr>
        <w:t xml:space="preserve"> the model development life-cycle</w:t>
      </w:r>
      <w:r w:rsidR="003A7FE8" w:rsidRPr="00B0797B">
        <w:rPr>
          <w:rFonts w:ascii="Times New Roman" w:hAnsi="Times New Roman" w:cs="Calibri"/>
          <w:color w:val="000000"/>
          <w:sz w:val="24"/>
          <w:szCs w:val="24"/>
        </w:rPr>
        <w:t>.</w:t>
      </w:r>
      <w:r w:rsidR="00F20463">
        <w:rPr>
          <w:rFonts w:ascii="Times New Roman" w:hAnsi="Times New Roman" w:cs="Calibri"/>
          <w:color w:val="000000"/>
          <w:sz w:val="24"/>
          <w:szCs w:val="24"/>
        </w:rPr>
        <w:t xml:space="preserve"> </w:t>
      </w:r>
      <w:r w:rsidR="005A01B8">
        <w:rPr>
          <w:rFonts w:ascii="Times New Roman" w:hAnsi="Times New Roman" w:cs="Calibri"/>
          <w:color w:val="000000"/>
          <w:sz w:val="24"/>
          <w:szCs w:val="24"/>
        </w:rPr>
        <w:t xml:space="preserve">The starting point in reviewing model development is an understanding of the </w:t>
      </w:r>
      <w:r w:rsidR="005A01B8" w:rsidRPr="00DB1067">
        <w:rPr>
          <w:rFonts w:ascii="Times New Roman" w:hAnsi="Times New Roman" w:cs="Calibri"/>
          <w:i/>
          <w:color w:val="000000"/>
          <w:sz w:val="24"/>
          <w:szCs w:val="24"/>
        </w:rPr>
        <w:t>theory and practice</w:t>
      </w:r>
      <w:r w:rsidR="005A01B8">
        <w:rPr>
          <w:rFonts w:ascii="Times New Roman" w:hAnsi="Times New Roman" w:cs="Calibri"/>
          <w:color w:val="000000"/>
          <w:sz w:val="24"/>
          <w:szCs w:val="24"/>
        </w:rPr>
        <w:t xml:space="preserve"> that underlies exercise.  There must be a clear business case supporting the decision to embark upon model development.  In the case of CECL, this is based upon accounting r</w:t>
      </w:r>
      <w:r w:rsidR="005A01B8">
        <w:rPr>
          <w:rFonts w:ascii="Times New Roman" w:hAnsi="Times New Roman" w:cs="Calibri"/>
          <w:color w:val="000000"/>
          <w:sz w:val="24"/>
          <w:szCs w:val="24"/>
        </w:rPr>
        <w:t>e</w:t>
      </w:r>
      <w:r w:rsidR="005A01B8">
        <w:rPr>
          <w:rFonts w:ascii="Times New Roman" w:hAnsi="Times New Roman" w:cs="Calibri"/>
          <w:color w:val="000000"/>
          <w:sz w:val="24"/>
          <w:szCs w:val="24"/>
        </w:rPr>
        <w:t xml:space="preserve">quirements, supervisory </w:t>
      </w:r>
      <w:r w:rsidR="001522FF">
        <w:rPr>
          <w:rFonts w:ascii="Times New Roman" w:hAnsi="Times New Roman" w:cs="Calibri"/>
          <w:color w:val="000000"/>
          <w:sz w:val="24"/>
          <w:szCs w:val="24"/>
        </w:rPr>
        <w:t>guidance</w:t>
      </w:r>
      <w:r w:rsidR="005A01B8">
        <w:rPr>
          <w:rFonts w:ascii="Times New Roman" w:hAnsi="Times New Roman" w:cs="Calibri"/>
          <w:color w:val="000000"/>
          <w:sz w:val="24"/>
          <w:szCs w:val="24"/>
        </w:rPr>
        <w:t xml:space="preserve"> and credit risk management policy considerations.  The next critical element is a review of the relevant academic literature in conjunction with prevalent i</w:t>
      </w:r>
      <w:r w:rsidR="005A01B8">
        <w:rPr>
          <w:rFonts w:ascii="Times New Roman" w:hAnsi="Times New Roman" w:cs="Calibri"/>
          <w:color w:val="000000"/>
          <w:sz w:val="24"/>
          <w:szCs w:val="24"/>
        </w:rPr>
        <w:t>n</w:t>
      </w:r>
      <w:r w:rsidR="005A01B8">
        <w:rPr>
          <w:rFonts w:ascii="Times New Roman" w:hAnsi="Times New Roman" w:cs="Calibri"/>
          <w:color w:val="000000"/>
          <w:sz w:val="24"/>
          <w:szCs w:val="24"/>
        </w:rPr>
        <w:t>dustry practice.  In the case of CECL, we not</w:t>
      </w:r>
      <w:r w:rsidR="00F20463">
        <w:rPr>
          <w:rFonts w:ascii="Times New Roman" w:hAnsi="Times New Roman" w:cs="Calibri"/>
          <w:color w:val="000000"/>
          <w:sz w:val="24"/>
          <w:szCs w:val="24"/>
        </w:rPr>
        <w:t>e</w:t>
      </w:r>
      <w:r w:rsidR="005A01B8">
        <w:rPr>
          <w:rFonts w:ascii="Times New Roman" w:hAnsi="Times New Roman" w:cs="Calibri"/>
          <w:color w:val="000000"/>
          <w:sz w:val="24"/>
          <w:szCs w:val="24"/>
        </w:rPr>
        <w:t xml:space="preserve"> that academic research may be limited, as co</w:t>
      </w:r>
      <w:r w:rsidR="005A01B8">
        <w:rPr>
          <w:rFonts w:ascii="Times New Roman" w:hAnsi="Times New Roman" w:cs="Calibri"/>
          <w:color w:val="000000"/>
          <w:sz w:val="24"/>
          <w:szCs w:val="24"/>
        </w:rPr>
        <w:t>m</w:t>
      </w:r>
      <w:r w:rsidR="005A01B8">
        <w:rPr>
          <w:rFonts w:ascii="Times New Roman" w:hAnsi="Times New Roman" w:cs="Calibri"/>
          <w:color w:val="000000"/>
          <w:sz w:val="24"/>
          <w:szCs w:val="24"/>
        </w:rPr>
        <w:t>pared to credit risk in general.  As a consequence, we would rely more heavily upon peer bank practice, which can be comprehended through participation in industry associations and benc</w:t>
      </w:r>
      <w:r w:rsidR="005A01B8">
        <w:rPr>
          <w:rFonts w:ascii="Times New Roman" w:hAnsi="Times New Roman" w:cs="Calibri"/>
          <w:color w:val="000000"/>
          <w:sz w:val="24"/>
          <w:szCs w:val="24"/>
        </w:rPr>
        <w:t>h</w:t>
      </w:r>
      <w:r w:rsidR="005A01B8">
        <w:rPr>
          <w:rFonts w:ascii="Times New Roman" w:hAnsi="Times New Roman" w:cs="Calibri"/>
          <w:color w:val="000000"/>
          <w:sz w:val="24"/>
          <w:szCs w:val="24"/>
        </w:rPr>
        <w:t xml:space="preserve">mark study exercises.  Finally, this leads to an evaluation of the </w:t>
      </w:r>
      <w:r w:rsidR="005A01B8" w:rsidRPr="005A01B8">
        <w:rPr>
          <w:rFonts w:ascii="Times New Roman" w:hAnsi="Times New Roman" w:cs="Calibri"/>
          <w:i/>
          <w:color w:val="000000"/>
          <w:sz w:val="24"/>
          <w:szCs w:val="24"/>
        </w:rPr>
        <w:t>conceptual soundness</w:t>
      </w:r>
      <w:r w:rsidR="005A01B8">
        <w:rPr>
          <w:rFonts w:ascii="Times New Roman" w:hAnsi="Times New Roman" w:cs="Calibri"/>
          <w:color w:val="000000"/>
          <w:sz w:val="24"/>
          <w:szCs w:val="24"/>
        </w:rPr>
        <w:t xml:space="preserve"> around the approach chosen for CECL purposes.  In this paper, we illustrate such developmental evidence in the CECL background review of Section 2, the literature review of Section 3 and the model theory / mathematics in Section</w:t>
      </w:r>
      <w:r w:rsidR="00DB1067">
        <w:rPr>
          <w:rFonts w:ascii="Times New Roman" w:hAnsi="Times New Roman" w:cs="Calibri"/>
          <w:color w:val="000000"/>
          <w:sz w:val="24"/>
          <w:szCs w:val="24"/>
        </w:rPr>
        <w:t xml:space="preserve"> </w:t>
      </w:r>
      <w:r w:rsidR="00F20463">
        <w:rPr>
          <w:rFonts w:ascii="Times New Roman" w:hAnsi="Times New Roman" w:cs="Calibri"/>
          <w:color w:val="000000"/>
          <w:sz w:val="24"/>
          <w:szCs w:val="24"/>
        </w:rPr>
        <w:t>4</w:t>
      </w:r>
      <w:r w:rsidR="00DB1067">
        <w:rPr>
          <w:rFonts w:ascii="Times New Roman" w:hAnsi="Times New Roman" w:cs="Calibri"/>
          <w:color w:val="000000"/>
          <w:sz w:val="24"/>
          <w:szCs w:val="24"/>
        </w:rPr>
        <w:t>.</w:t>
      </w:r>
    </w:p>
    <w:p w:rsidR="004F0590" w:rsidRDefault="00DB1067" w:rsidP="0039627F">
      <w:pPr>
        <w:jc w:val="both"/>
        <w:rPr>
          <w:rFonts w:ascii="Times New Roman" w:hAnsi="Times New Roman" w:cs="Calibri"/>
          <w:color w:val="000000"/>
          <w:sz w:val="24"/>
          <w:szCs w:val="24"/>
        </w:rPr>
      </w:pPr>
      <w:r>
        <w:rPr>
          <w:rFonts w:ascii="Times New Roman" w:hAnsi="Times New Roman" w:cs="Calibri"/>
          <w:color w:val="000000"/>
          <w:sz w:val="24"/>
          <w:szCs w:val="24"/>
        </w:rPr>
        <w:lastRenderedPageBreak/>
        <w:t xml:space="preserve">The next pillar in this sequence is a review of the </w:t>
      </w:r>
      <w:r w:rsidRPr="00DB1067">
        <w:rPr>
          <w:rFonts w:ascii="Times New Roman" w:hAnsi="Times New Roman" w:cs="Calibri"/>
          <w:i/>
          <w:color w:val="000000"/>
          <w:sz w:val="24"/>
          <w:szCs w:val="24"/>
        </w:rPr>
        <w:t>model data</w:t>
      </w:r>
      <w:r>
        <w:rPr>
          <w:rFonts w:ascii="Times New Roman" w:hAnsi="Times New Roman" w:cs="Calibri"/>
          <w:color w:val="000000"/>
          <w:sz w:val="24"/>
          <w:szCs w:val="24"/>
        </w:rPr>
        <w:t>.  A critical consideration here is the representativeness of the data supporting model estimation for the bank’s current portfolio, which has long been focus of supervisors going back to Basel implementation of the previous decade, as well as CCAR/DFAST in this decade.  We would add that in the CECL context the challenge is to ensure that data is no</w:t>
      </w:r>
      <w:r w:rsidR="00EF2E87">
        <w:rPr>
          <w:rFonts w:ascii="Times New Roman" w:hAnsi="Times New Roman" w:cs="Calibri"/>
          <w:color w:val="000000"/>
          <w:sz w:val="24"/>
          <w:szCs w:val="24"/>
        </w:rPr>
        <w:t>t</w:t>
      </w:r>
      <w:r>
        <w:rPr>
          <w:rFonts w:ascii="Times New Roman" w:hAnsi="Times New Roman" w:cs="Calibri"/>
          <w:color w:val="000000"/>
          <w:sz w:val="24"/>
          <w:szCs w:val="24"/>
        </w:rPr>
        <w:t xml:space="preserve"> unduly sampled from the stressed period</w:t>
      </w:r>
      <w:r w:rsidR="001522FF">
        <w:rPr>
          <w:rFonts w:ascii="Times New Roman" w:hAnsi="Times New Roman" w:cs="Calibri"/>
          <w:color w:val="000000"/>
          <w:sz w:val="24"/>
          <w:szCs w:val="24"/>
        </w:rPr>
        <w:t>, an element of conservatism seen in Basel or CCAR/DFAST</w:t>
      </w:r>
      <w:r>
        <w:rPr>
          <w:rFonts w:ascii="Times New Roman" w:hAnsi="Times New Roman" w:cs="Calibri"/>
          <w:color w:val="000000"/>
          <w:sz w:val="24"/>
          <w:szCs w:val="24"/>
        </w:rPr>
        <w:t>.  In some cases, this may necessitate the use of external or industry data, if internal data is not sufficient</w:t>
      </w:r>
      <w:r w:rsidR="00632996">
        <w:rPr>
          <w:rFonts w:ascii="Times New Roman" w:hAnsi="Times New Roman" w:cs="Calibri"/>
          <w:color w:val="000000"/>
          <w:sz w:val="24"/>
          <w:szCs w:val="24"/>
        </w:rPr>
        <w:t xml:space="preserve"> to meet this requirement</w:t>
      </w:r>
      <w:r>
        <w:rPr>
          <w:rFonts w:ascii="Times New Roman" w:hAnsi="Times New Roman" w:cs="Calibri"/>
          <w:color w:val="000000"/>
          <w:sz w:val="24"/>
          <w:szCs w:val="24"/>
        </w:rPr>
        <w:t>.  In this validation activity, an assessment of data quality and any data cleansing processes is critical, as illustrated in Section 7 of this paper.</w:t>
      </w:r>
    </w:p>
    <w:p w:rsidR="005D4051" w:rsidRDefault="004F0590" w:rsidP="0039627F">
      <w:pPr>
        <w:jc w:val="both"/>
        <w:rPr>
          <w:rFonts w:ascii="Times New Roman" w:hAnsi="Times New Roman" w:cs="Calibri"/>
          <w:color w:val="000000"/>
          <w:sz w:val="24"/>
          <w:szCs w:val="24"/>
        </w:rPr>
      </w:pPr>
      <w:r>
        <w:rPr>
          <w:rFonts w:ascii="Times New Roman" w:hAnsi="Times New Roman" w:cs="Calibri"/>
          <w:color w:val="000000"/>
          <w:sz w:val="24"/>
          <w:szCs w:val="24"/>
        </w:rPr>
        <w:t xml:space="preserve">Transitioning from model data to </w:t>
      </w:r>
      <w:r w:rsidRPr="0039627F">
        <w:rPr>
          <w:rFonts w:ascii="Times New Roman" w:hAnsi="Times New Roman" w:cs="Calibri"/>
          <w:i/>
          <w:color w:val="000000"/>
          <w:sz w:val="24"/>
          <w:szCs w:val="24"/>
        </w:rPr>
        <w:t>estimation</w:t>
      </w:r>
      <w:r>
        <w:rPr>
          <w:rFonts w:ascii="Times New Roman" w:hAnsi="Times New Roman" w:cs="Calibri"/>
          <w:color w:val="000000"/>
          <w:sz w:val="24"/>
          <w:szCs w:val="24"/>
        </w:rPr>
        <w:t xml:space="preserve">, we note that the complexity of the statistical or econometric model must be supported by the granularity or richness of the data.  Considerations of data availability and quality will also drive segmentation and variable selection decisions.  There is a wide range of practice amongst financial institute in this regard, and it is a key task of model validators to critically evaluate these choices.  For example, some banks look at industry segmentations, while others do so by lines of business, and combinations </w:t>
      </w:r>
      <w:r w:rsidR="00977F5C">
        <w:rPr>
          <w:rFonts w:ascii="Times New Roman" w:hAnsi="Times New Roman" w:cs="Calibri"/>
          <w:color w:val="000000"/>
          <w:sz w:val="24"/>
          <w:szCs w:val="24"/>
        </w:rPr>
        <w:t xml:space="preserve">of </w:t>
      </w:r>
      <w:r>
        <w:rPr>
          <w:rFonts w:ascii="Times New Roman" w:hAnsi="Times New Roman" w:cs="Calibri"/>
          <w:color w:val="000000"/>
          <w:sz w:val="24"/>
          <w:szCs w:val="24"/>
        </w:rPr>
        <w:t>the</w:t>
      </w:r>
      <w:r w:rsidR="00977F5C">
        <w:rPr>
          <w:rFonts w:ascii="Times New Roman" w:hAnsi="Times New Roman" w:cs="Calibri"/>
          <w:color w:val="000000"/>
          <w:sz w:val="24"/>
          <w:szCs w:val="24"/>
        </w:rPr>
        <w:t>se</w:t>
      </w:r>
      <w:r>
        <w:rPr>
          <w:rFonts w:ascii="Times New Roman" w:hAnsi="Times New Roman" w:cs="Calibri"/>
          <w:color w:val="000000"/>
          <w:sz w:val="24"/>
          <w:szCs w:val="24"/>
        </w:rPr>
        <w:t>.  Another d</w:t>
      </w:r>
      <w:r>
        <w:rPr>
          <w:rFonts w:ascii="Times New Roman" w:hAnsi="Times New Roman" w:cs="Calibri"/>
          <w:color w:val="000000"/>
          <w:sz w:val="24"/>
          <w:szCs w:val="24"/>
        </w:rPr>
        <w:t>i</w:t>
      </w:r>
      <w:r>
        <w:rPr>
          <w:rFonts w:ascii="Times New Roman" w:hAnsi="Times New Roman" w:cs="Calibri"/>
          <w:color w:val="000000"/>
          <w:sz w:val="24"/>
          <w:szCs w:val="24"/>
        </w:rPr>
        <w:t>mension is the level of modeling granularity, going from loan-level, to risk rating and then to segment level “top-of-the-house” approaches (i.e., the choice illustrated in this paper).  Finally, the econometric approaches may vary and need to be justified, as we have choices such as ordinary least squares, time series, hazard rate, etc.</w:t>
      </w:r>
      <w:r w:rsidR="00977F5C">
        <w:rPr>
          <w:rFonts w:ascii="Times New Roman" w:hAnsi="Times New Roman" w:cs="Calibri"/>
          <w:color w:val="000000"/>
          <w:sz w:val="24"/>
          <w:szCs w:val="24"/>
        </w:rPr>
        <w:t>; this is illustrated in Section 4 of this paper.</w:t>
      </w:r>
      <w:r>
        <w:rPr>
          <w:rFonts w:ascii="Times New Roman" w:hAnsi="Times New Roman" w:cs="Calibri"/>
          <w:color w:val="000000"/>
          <w:sz w:val="24"/>
          <w:szCs w:val="24"/>
        </w:rPr>
        <w:t xml:space="preserve"> </w:t>
      </w:r>
      <w:r w:rsidR="00977F5C">
        <w:rPr>
          <w:rFonts w:ascii="Times New Roman" w:hAnsi="Times New Roman" w:cs="Calibri"/>
          <w:color w:val="000000"/>
          <w:sz w:val="24"/>
          <w:szCs w:val="24"/>
        </w:rPr>
        <w:t xml:space="preserve"> Then, a</w:t>
      </w:r>
      <w:r>
        <w:rPr>
          <w:rFonts w:ascii="Times New Roman" w:hAnsi="Times New Roman" w:cs="Calibri"/>
          <w:color w:val="000000"/>
          <w:sz w:val="24"/>
          <w:szCs w:val="24"/>
        </w:rPr>
        <w:t xml:space="preserve">s shown in Section </w:t>
      </w:r>
      <w:r w:rsidR="00977F5C">
        <w:rPr>
          <w:rFonts w:ascii="Times New Roman" w:hAnsi="Times New Roman" w:cs="Calibri"/>
          <w:color w:val="000000"/>
          <w:sz w:val="24"/>
          <w:szCs w:val="24"/>
        </w:rPr>
        <w:t>5</w:t>
      </w:r>
      <w:r>
        <w:rPr>
          <w:rFonts w:ascii="Times New Roman" w:hAnsi="Times New Roman" w:cs="Calibri"/>
          <w:color w:val="000000"/>
          <w:sz w:val="24"/>
          <w:szCs w:val="24"/>
        </w:rPr>
        <w:t xml:space="preserve"> of this paper, from a risk model validation perspective we must critically assess the model estimation results, aspects such as signs of coefficient estimates, measures of model fit, statistical significance of estimates, etc.  Given the focus of accuracy and unbiase</w:t>
      </w:r>
      <w:r w:rsidR="001938C7">
        <w:rPr>
          <w:rFonts w:ascii="Times New Roman" w:hAnsi="Times New Roman" w:cs="Calibri"/>
          <w:color w:val="000000"/>
          <w:sz w:val="24"/>
          <w:szCs w:val="24"/>
        </w:rPr>
        <w:t>d</w:t>
      </w:r>
      <w:r>
        <w:rPr>
          <w:rFonts w:ascii="Times New Roman" w:hAnsi="Times New Roman" w:cs="Calibri"/>
          <w:color w:val="000000"/>
          <w:sz w:val="24"/>
          <w:szCs w:val="24"/>
        </w:rPr>
        <w:t xml:space="preserve">ness </w:t>
      </w:r>
      <w:r w:rsidR="0039627F">
        <w:rPr>
          <w:rFonts w:ascii="Times New Roman" w:hAnsi="Times New Roman" w:cs="Calibri"/>
          <w:color w:val="000000"/>
          <w:sz w:val="24"/>
          <w:szCs w:val="24"/>
        </w:rPr>
        <w:t>in the CECL context, the paramount model validation consideration is the quality of model fit in terms of results not show</w:t>
      </w:r>
      <w:r w:rsidR="00977F5C">
        <w:rPr>
          <w:rFonts w:ascii="Times New Roman" w:hAnsi="Times New Roman" w:cs="Calibri"/>
          <w:color w:val="000000"/>
          <w:sz w:val="24"/>
          <w:szCs w:val="24"/>
        </w:rPr>
        <w:t>ing</w:t>
      </w:r>
      <w:r w:rsidR="0039627F">
        <w:rPr>
          <w:rFonts w:ascii="Times New Roman" w:hAnsi="Times New Roman" w:cs="Calibri"/>
          <w:color w:val="000000"/>
          <w:sz w:val="24"/>
          <w:szCs w:val="24"/>
        </w:rPr>
        <w:t xml:space="preserve"> evidence of chronic over- or under-prediction of losses.</w:t>
      </w:r>
      <w:r w:rsidR="0016191B">
        <w:rPr>
          <w:rFonts w:ascii="Times New Roman" w:hAnsi="Times New Roman" w:cs="Calibri"/>
          <w:color w:val="000000"/>
          <w:sz w:val="24"/>
          <w:szCs w:val="24"/>
        </w:rPr>
        <w:t xml:space="preserve">  We will also hig</w:t>
      </w:r>
      <w:r w:rsidR="0016191B">
        <w:rPr>
          <w:rFonts w:ascii="Times New Roman" w:hAnsi="Times New Roman" w:cs="Calibri"/>
          <w:color w:val="000000"/>
          <w:sz w:val="24"/>
          <w:szCs w:val="24"/>
        </w:rPr>
        <w:t>h</w:t>
      </w:r>
      <w:r w:rsidR="0016191B">
        <w:rPr>
          <w:rFonts w:ascii="Times New Roman" w:hAnsi="Times New Roman" w:cs="Calibri"/>
          <w:color w:val="000000"/>
          <w:sz w:val="24"/>
          <w:szCs w:val="24"/>
        </w:rPr>
        <w:t>light the role of code review in conjunction with the assessment of estimation results as part of model validation.  This is not only the replication of estimation results, but a critical assessment of the structure of the code and the quality of the algor</w:t>
      </w:r>
      <w:r w:rsidR="00F82614">
        <w:rPr>
          <w:rFonts w:ascii="Times New Roman" w:hAnsi="Times New Roman" w:cs="Calibri"/>
          <w:color w:val="000000"/>
          <w:sz w:val="24"/>
          <w:szCs w:val="24"/>
        </w:rPr>
        <w:t>i</w:t>
      </w:r>
      <w:r w:rsidR="0016191B">
        <w:rPr>
          <w:rFonts w:ascii="Times New Roman" w:hAnsi="Times New Roman" w:cs="Calibri"/>
          <w:color w:val="000000"/>
          <w:sz w:val="24"/>
          <w:szCs w:val="24"/>
        </w:rPr>
        <w:t>thms</w:t>
      </w:r>
      <w:r w:rsidR="00F82614">
        <w:rPr>
          <w:rFonts w:ascii="Times New Roman" w:hAnsi="Times New Roman" w:cs="Calibri"/>
          <w:color w:val="000000"/>
          <w:sz w:val="24"/>
          <w:szCs w:val="24"/>
        </w:rPr>
        <w:t xml:space="preserve"> (e.g., is the code well organized and commented</w:t>
      </w:r>
      <w:r w:rsidR="00977F5C">
        <w:rPr>
          <w:rFonts w:ascii="Times New Roman" w:hAnsi="Times New Roman" w:cs="Calibri"/>
          <w:color w:val="000000"/>
          <w:sz w:val="24"/>
          <w:szCs w:val="24"/>
        </w:rPr>
        <w:t xml:space="preserve"> and </w:t>
      </w:r>
      <w:r w:rsidR="00F82614">
        <w:rPr>
          <w:rFonts w:ascii="Times New Roman" w:hAnsi="Times New Roman" w:cs="Calibri"/>
          <w:color w:val="000000"/>
          <w:sz w:val="24"/>
          <w:szCs w:val="24"/>
        </w:rPr>
        <w:t>are the algorithms robust and run time reasonable?)</w:t>
      </w:r>
      <w:r w:rsidR="0016191B">
        <w:rPr>
          <w:rFonts w:ascii="Times New Roman" w:hAnsi="Times New Roman" w:cs="Calibri"/>
          <w:color w:val="000000"/>
          <w:sz w:val="24"/>
          <w:szCs w:val="24"/>
        </w:rPr>
        <w:t xml:space="preserve">. </w:t>
      </w:r>
    </w:p>
    <w:p w:rsidR="0038540C" w:rsidRDefault="005D4051" w:rsidP="0039627F">
      <w:pPr>
        <w:jc w:val="both"/>
        <w:rPr>
          <w:rFonts w:ascii="Times New Roman" w:hAnsi="Times New Roman" w:cs="Calibri"/>
          <w:color w:val="000000"/>
          <w:sz w:val="24"/>
          <w:szCs w:val="24"/>
        </w:rPr>
      </w:pPr>
      <w:r>
        <w:rPr>
          <w:rFonts w:ascii="Times New Roman" w:hAnsi="Times New Roman" w:cs="Calibri"/>
          <w:color w:val="000000"/>
          <w:sz w:val="24"/>
          <w:szCs w:val="24"/>
        </w:rPr>
        <w:t xml:space="preserve">In the subsequent </w:t>
      </w:r>
      <w:r w:rsidRPr="005D4051">
        <w:rPr>
          <w:rFonts w:ascii="Times New Roman" w:hAnsi="Times New Roman" w:cs="Calibri"/>
          <w:i/>
          <w:color w:val="000000"/>
          <w:sz w:val="24"/>
          <w:szCs w:val="24"/>
        </w:rPr>
        <w:t>testing</w:t>
      </w:r>
      <w:r>
        <w:rPr>
          <w:rFonts w:ascii="Times New Roman" w:hAnsi="Times New Roman" w:cs="Calibri"/>
          <w:color w:val="000000"/>
          <w:sz w:val="24"/>
          <w:szCs w:val="24"/>
        </w:rPr>
        <w:t xml:space="preserve"> aspect of model validation </w:t>
      </w:r>
      <w:r w:rsidR="00B3295B">
        <w:rPr>
          <w:rFonts w:ascii="Times New Roman" w:hAnsi="Times New Roman" w:cs="Calibri"/>
          <w:color w:val="000000"/>
          <w:sz w:val="24"/>
          <w:szCs w:val="24"/>
        </w:rPr>
        <w:t>we have the evaluation of model performance along dimensions such as predictive accuracy, rank ordering and stability</w:t>
      </w:r>
      <w:r w:rsidR="00787368">
        <w:rPr>
          <w:rFonts w:ascii="Times New Roman" w:hAnsi="Times New Roman" w:cs="Calibri"/>
          <w:color w:val="000000"/>
          <w:sz w:val="24"/>
          <w:szCs w:val="24"/>
        </w:rPr>
        <w:t>.  While in principle this should be done on a both an in- and out-of-sample basis, a challenge in the CECL context is li</w:t>
      </w:r>
      <w:r w:rsidR="00787368">
        <w:rPr>
          <w:rFonts w:ascii="Times New Roman" w:hAnsi="Times New Roman" w:cs="Calibri"/>
          <w:color w:val="000000"/>
          <w:sz w:val="24"/>
          <w:szCs w:val="24"/>
        </w:rPr>
        <w:t>m</w:t>
      </w:r>
      <w:r w:rsidR="00787368">
        <w:rPr>
          <w:rFonts w:ascii="Times New Roman" w:hAnsi="Times New Roman" w:cs="Calibri"/>
          <w:color w:val="000000"/>
          <w:sz w:val="24"/>
          <w:szCs w:val="24"/>
        </w:rPr>
        <w:t>itations in the leng</w:t>
      </w:r>
      <w:r w:rsidR="00E12707">
        <w:rPr>
          <w:rFonts w:ascii="Times New Roman" w:hAnsi="Times New Roman" w:cs="Calibri"/>
          <w:color w:val="000000"/>
          <w:sz w:val="24"/>
          <w:szCs w:val="24"/>
        </w:rPr>
        <w:t>t</w:t>
      </w:r>
      <w:r w:rsidR="00787368">
        <w:rPr>
          <w:rFonts w:ascii="Times New Roman" w:hAnsi="Times New Roman" w:cs="Calibri"/>
          <w:color w:val="000000"/>
          <w:sz w:val="24"/>
          <w:szCs w:val="24"/>
        </w:rPr>
        <w:t>h of the historical data</w:t>
      </w:r>
      <w:r w:rsidR="00E12707">
        <w:rPr>
          <w:rFonts w:ascii="Times New Roman" w:hAnsi="Times New Roman" w:cs="Calibri"/>
          <w:color w:val="000000"/>
          <w:sz w:val="24"/>
          <w:szCs w:val="24"/>
        </w:rPr>
        <w:t xml:space="preserve"> </w:t>
      </w:r>
      <w:r w:rsidR="008D6411">
        <w:rPr>
          <w:rFonts w:ascii="Times New Roman" w:hAnsi="Times New Roman" w:cs="Calibri"/>
          <w:color w:val="000000"/>
          <w:sz w:val="24"/>
          <w:szCs w:val="24"/>
        </w:rPr>
        <w:t>supporting</w:t>
      </w:r>
      <w:r w:rsidR="00E12707">
        <w:rPr>
          <w:rFonts w:ascii="Times New Roman" w:hAnsi="Times New Roman" w:cs="Calibri"/>
          <w:color w:val="000000"/>
          <w:sz w:val="24"/>
          <w:szCs w:val="24"/>
        </w:rPr>
        <w:t xml:space="preserve"> the latter analysis.  Nevertheless, as illu</w:t>
      </w:r>
      <w:r w:rsidR="00E12707">
        <w:rPr>
          <w:rFonts w:ascii="Times New Roman" w:hAnsi="Times New Roman" w:cs="Calibri"/>
          <w:color w:val="000000"/>
          <w:sz w:val="24"/>
          <w:szCs w:val="24"/>
        </w:rPr>
        <w:t>s</w:t>
      </w:r>
      <w:r w:rsidR="00E12707">
        <w:rPr>
          <w:rFonts w:ascii="Times New Roman" w:hAnsi="Times New Roman" w:cs="Calibri"/>
          <w:color w:val="000000"/>
          <w:sz w:val="24"/>
          <w:szCs w:val="24"/>
        </w:rPr>
        <w:t>trated in this study, even with data going back to the last downturn, it is feasible to look at the last few years as a holdout sample.  That said, given how short a 2 year out-of-sample period is, we have to be cautious in arriving at strong conclusions</w:t>
      </w:r>
      <w:r w:rsidR="00787368">
        <w:rPr>
          <w:rFonts w:ascii="Times New Roman" w:hAnsi="Times New Roman" w:cs="Calibri"/>
          <w:color w:val="000000"/>
          <w:sz w:val="24"/>
          <w:szCs w:val="24"/>
        </w:rPr>
        <w:t>.</w:t>
      </w:r>
      <w:r w:rsidR="00AB2C89">
        <w:rPr>
          <w:rFonts w:ascii="Times New Roman" w:hAnsi="Times New Roman" w:cs="Calibri"/>
          <w:color w:val="000000"/>
          <w:sz w:val="24"/>
          <w:szCs w:val="24"/>
        </w:rPr>
        <w:t xml:space="preserve">  Therefore, we should supplement this basic </w:t>
      </w:r>
      <w:proofErr w:type="spellStart"/>
      <w:r w:rsidR="00AB2C89">
        <w:rPr>
          <w:rFonts w:ascii="Times New Roman" w:hAnsi="Times New Roman" w:cs="Calibri"/>
          <w:color w:val="000000"/>
          <w:sz w:val="24"/>
          <w:szCs w:val="24"/>
        </w:rPr>
        <w:t>backtesting</w:t>
      </w:r>
      <w:proofErr w:type="spellEnd"/>
      <w:r w:rsidR="00AB2C89">
        <w:rPr>
          <w:rFonts w:ascii="Times New Roman" w:hAnsi="Times New Roman" w:cs="Calibri"/>
          <w:color w:val="000000"/>
          <w:sz w:val="24"/>
          <w:szCs w:val="24"/>
        </w:rPr>
        <w:t xml:space="preserve"> by </w:t>
      </w:r>
      <w:r w:rsidR="00CF5266">
        <w:rPr>
          <w:rFonts w:ascii="Times New Roman" w:hAnsi="Times New Roman" w:cs="Calibri"/>
          <w:color w:val="000000"/>
          <w:sz w:val="24"/>
          <w:szCs w:val="24"/>
        </w:rPr>
        <w:t xml:space="preserve">other exercises such as </w:t>
      </w:r>
      <w:r w:rsidR="00CF5266" w:rsidRPr="008D6411">
        <w:rPr>
          <w:rFonts w:ascii="Times New Roman" w:hAnsi="Times New Roman" w:cs="Calibri"/>
          <w:i/>
          <w:color w:val="000000"/>
          <w:sz w:val="24"/>
          <w:szCs w:val="24"/>
        </w:rPr>
        <w:t>stability</w:t>
      </w:r>
      <w:r w:rsidR="00CF5266">
        <w:rPr>
          <w:rFonts w:ascii="Times New Roman" w:hAnsi="Times New Roman" w:cs="Calibri"/>
          <w:color w:val="000000"/>
          <w:sz w:val="24"/>
          <w:szCs w:val="24"/>
        </w:rPr>
        <w:t xml:space="preserve"> and </w:t>
      </w:r>
      <w:r w:rsidR="00CF5266" w:rsidRPr="008D6411">
        <w:rPr>
          <w:rFonts w:ascii="Times New Roman" w:hAnsi="Times New Roman" w:cs="Calibri"/>
          <w:i/>
          <w:color w:val="000000"/>
          <w:sz w:val="24"/>
          <w:szCs w:val="24"/>
        </w:rPr>
        <w:t>sensitivity</w:t>
      </w:r>
      <w:r w:rsidR="00CF5266">
        <w:rPr>
          <w:rFonts w:ascii="Times New Roman" w:hAnsi="Times New Roman" w:cs="Calibri"/>
          <w:color w:val="000000"/>
          <w:sz w:val="24"/>
          <w:szCs w:val="24"/>
        </w:rPr>
        <w:t xml:space="preserve"> analysis (e.g., estimation omitting various time periods), as well as </w:t>
      </w:r>
      <w:r w:rsidR="00CF5266" w:rsidRPr="008D6411">
        <w:rPr>
          <w:rFonts w:ascii="Times New Roman" w:hAnsi="Times New Roman" w:cs="Calibri"/>
          <w:i/>
          <w:color w:val="000000"/>
          <w:sz w:val="24"/>
          <w:szCs w:val="24"/>
        </w:rPr>
        <w:t>stress testing</w:t>
      </w:r>
      <w:r w:rsidR="00CF5266">
        <w:rPr>
          <w:rFonts w:ascii="Times New Roman" w:hAnsi="Times New Roman" w:cs="Calibri"/>
          <w:color w:val="000000"/>
          <w:sz w:val="24"/>
          <w:szCs w:val="24"/>
        </w:rPr>
        <w:t xml:space="preserve"> of the model</w:t>
      </w:r>
      <w:r w:rsidR="004F2F2B">
        <w:rPr>
          <w:rFonts w:ascii="Times New Roman" w:hAnsi="Times New Roman" w:cs="Calibri"/>
          <w:color w:val="000000"/>
          <w:sz w:val="24"/>
          <w:szCs w:val="24"/>
        </w:rPr>
        <w:t xml:space="preserve"> (e.g., analysis of results under stress scenarios and comparison to historical periods of stress).  </w:t>
      </w:r>
      <w:r w:rsidR="0063656D">
        <w:rPr>
          <w:rFonts w:ascii="Times New Roman" w:hAnsi="Times New Roman" w:cs="Calibri"/>
          <w:color w:val="000000"/>
          <w:sz w:val="24"/>
          <w:szCs w:val="24"/>
        </w:rPr>
        <w:t>Another element of model testing i</w:t>
      </w:r>
      <w:r w:rsidR="0063656D">
        <w:rPr>
          <w:rFonts w:ascii="Times New Roman" w:hAnsi="Times New Roman" w:cs="Calibri"/>
          <w:color w:val="000000"/>
          <w:sz w:val="24"/>
          <w:szCs w:val="24"/>
        </w:rPr>
        <w:t>l</w:t>
      </w:r>
      <w:r w:rsidR="0063656D">
        <w:rPr>
          <w:rFonts w:ascii="Times New Roman" w:hAnsi="Times New Roman" w:cs="Calibri"/>
          <w:color w:val="000000"/>
          <w:sz w:val="24"/>
          <w:szCs w:val="24"/>
        </w:rPr>
        <w:t xml:space="preserve">lustrated in this study is </w:t>
      </w:r>
      <w:r w:rsidR="0063656D" w:rsidRPr="008D6411">
        <w:rPr>
          <w:rFonts w:ascii="Times New Roman" w:hAnsi="Times New Roman" w:cs="Calibri"/>
          <w:i/>
          <w:color w:val="000000"/>
          <w:sz w:val="24"/>
          <w:szCs w:val="24"/>
        </w:rPr>
        <w:t>challenger model</w:t>
      </w:r>
      <w:r w:rsidR="0063656D">
        <w:rPr>
          <w:rFonts w:ascii="Times New Roman" w:hAnsi="Times New Roman" w:cs="Calibri"/>
          <w:color w:val="000000"/>
          <w:sz w:val="24"/>
          <w:szCs w:val="24"/>
        </w:rPr>
        <w:t xml:space="preserve"> analysis, the com</w:t>
      </w:r>
      <w:r w:rsidR="00C46FB1">
        <w:rPr>
          <w:rFonts w:ascii="Times New Roman" w:hAnsi="Times New Roman" w:cs="Calibri"/>
          <w:color w:val="000000"/>
          <w:sz w:val="24"/>
          <w:szCs w:val="24"/>
        </w:rPr>
        <w:t>p</w:t>
      </w:r>
      <w:r w:rsidR="0063656D">
        <w:rPr>
          <w:rFonts w:ascii="Times New Roman" w:hAnsi="Times New Roman" w:cs="Calibri"/>
          <w:color w:val="000000"/>
          <w:sz w:val="24"/>
          <w:szCs w:val="24"/>
        </w:rPr>
        <w:t>ar</w:t>
      </w:r>
      <w:r w:rsidR="00C46FB1">
        <w:rPr>
          <w:rFonts w:ascii="Times New Roman" w:hAnsi="Times New Roman" w:cs="Calibri"/>
          <w:color w:val="000000"/>
          <w:sz w:val="24"/>
          <w:szCs w:val="24"/>
        </w:rPr>
        <w:t>i</w:t>
      </w:r>
      <w:r w:rsidR="0063656D">
        <w:rPr>
          <w:rFonts w:ascii="Times New Roman" w:hAnsi="Times New Roman" w:cs="Calibri"/>
          <w:color w:val="000000"/>
          <w:sz w:val="24"/>
          <w:szCs w:val="24"/>
        </w:rPr>
        <w:t>son of results across different econometric specifications,</w:t>
      </w:r>
      <w:r w:rsidR="00C46FB1">
        <w:rPr>
          <w:rFonts w:ascii="Times New Roman" w:hAnsi="Times New Roman" w:cs="Calibri"/>
          <w:color w:val="000000"/>
          <w:sz w:val="24"/>
          <w:szCs w:val="24"/>
        </w:rPr>
        <w:t xml:space="preserve"> either </w:t>
      </w:r>
      <w:r w:rsidR="008D6411">
        <w:rPr>
          <w:rFonts w:ascii="Times New Roman" w:hAnsi="Times New Roman" w:cs="Calibri"/>
          <w:color w:val="000000"/>
          <w:sz w:val="24"/>
          <w:szCs w:val="24"/>
        </w:rPr>
        <w:t>alternative</w:t>
      </w:r>
      <w:r w:rsidR="00C46FB1">
        <w:rPr>
          <w:rFonts w:ascii="Times New Roman" w:hAnsi="Times New Roman" w:cs="Calibri"/>
          <w:color w:val="000000"/>
          <w:sz w:val="24"/>
          <w:szCs w:val="24"/>
        </w:rPr>
        <w:t xml:space="preserve"> variable selection</w:t>
      </w:r>
      <w:r w:rsidR="008D6411">
        <w:rPr>
          <w:rFonts w:ascii="Times New Roman" w:hAnsi="Times New Roman" w:cs="Calibri"/>
          <w:color w:val="000000"/>
          <w:sz w:val="24"/>
          <w:szCs w:val="24"/>
        </w:rPr>
        <w:t>s</w:t>
      </w:r>
      <w:r w:rsidR="00C46FB1">
        <w:rPr>
          <w:rFonts w:ascii="Times New Roman" w:hAnsi="Times New Roman" w:cs="Calibri"/>
          <w:color w:val="000000"/>
          <w:sz w:val="24"/>
          <w:szCs w:val="24"/>
        </w:rPr>
        <w:t xml:space="preserve"> or econom</w:t>
      </w:r>
      <w:r w:rsidR="00326D69">
        <w:rPr>
          <w:rFonts w:ascii="Times New Roman" w:hAnsi="Times New Roman" w:cs="Calibri"/>
          <w:color w:val="000000"/>
          <w:sz w:val="24"/>
          <w:szCs w:val="24"/>
        </w:rPr>
        <w:t>etric specif</w:t>
      </w:r>
      <w:r w:rsidR="00326D69">
        <w:rPr>
          <w:rFonts w:ascii="Times New Roman" w:hAnsi="Times New Roman" w:cs="Calibri"/>
          <w:color w:val="000000"/>
          <w:sz w:val="24"/>
          <w:szCs w:val="24"/>
        </w:rPr>
        <w:t>i</w:t>
      </w:r>
      <w:r w:rsidR="00326D69">
        <w:rPr>
          <w:rFonts w:ascii="Times New Roman" w:hAnsi="Times New Roman" w:cs="Calibri"/>
          <w:color w:val="000000"/>
          <w:sz w:val="24"/>
          <w:szCs w:val="24"/>
        </w:rPr>
        <w:t>cations.</w:t>
      </w:r>
      <w:r w:rsidR="00C50DD9">
        <w:rPr>
          <w:rFonts w:ascii="Times New Roman" w:hAnsi="Times New Roman" w:cs="Calibri"/>
          <w:color w:val="000000"/>
          <w:sz w:val="24"/>
          <w:szCs w:val="24"/>
        </w:rPr>
        <w:t xml:space="preserve">  </w:t>
      </w:r>
      <w:r w:rsidR="00C50DD9">
        <w:rPr>
          <w:rFonts w:ascii="Times New Roman" w:hAnsi="Times New Roman" w:cs="Calibri"/>
          <w:color w:val="000000"/>
          <w:sz w:val="24"/>
          <w:szCs w:val="24"/>
        </w:rPr>
        <w:lastRenderedPageBreak/>
        <w:t>Challenger model analysis can also include estimation of models under alternative se</w:t>
      </w:r>
      <w:r w:rsidR="00C50DD9">
        <w:rPr>
          <w:rFonts w:ascii="Times New Roman" w:hAnsi="Times New Roman" w:cs="Calibri"/>
          <w:color w:val="000000"/>
          <w:sz w:val="24"/>
          <w:szCs w:val="24"/>
        </w:rPr>
        <w:t>g</w:t>
      </w:r>
      <w:r w:rsidR="00C50DD9">
        <w:rPr>
          <w:rFonts w:ascii="Times New Roman" w:hAnsi="Times New Roman" w:cs="Calibri"/>
          <w:color w:val="000000"/>
          <w:sz w:val="24"/>
          <w:szCs w:val="24"/>
        </w:rPr>
        <w:t xml:space="preserve">mentations in cases where models are estimated in industry or line of business groupings  Finally, we could also have bottom-up challengers to segments level models, for example a loan level hazard rate formulations versus a </w:t>
      </w:r>
      <w:r w:rsidR="008D6411">
        <w:rPr>
          <w:rFonts w:ascii="Times New Roman" w:hAnsi="Times New Roman" w:cs="Calibri"/>
          <w:color w:val="000000"/>
          <w:sz w:val="24"/>
          <w:szCs w:val="24"/>
        </w:rPr>
        <w:t>rating migration</w:t>
      </w:r>
      <w:r w:rsidR="00C50DD9">
        <w:rPr>
          <w:rFonts w:ascii="Times New Roman" w:hAnsi="Times New Roman" w:cs="Calibri"/>
          <w:color w:val="000000"/>
          <w:sz w:val="24"/>
          <w:szCs w:val="24"/>
        </w:rPr>
        <w:t xml:space="preserve"> </w:t>
      </w:r>
      <w:r w:rsidR="008D6411">
        <w:rPr>
          <w:rFonts w:ascii="Times New Roman" w:hAnsi="Times New Roman" w:cs="Calibri"/>
          <w:color w:val="000000"/>
          <w:sz w:val="24"/>
          <w:szCs w:val="24"/>
        </w:rPr>
        <w:t xml:space="preserve">model </w:t>
      </w:r>
      <w:r w:rsidR="00C50DD9">
        <w:rPr>
          <w:rFonts w:ascii="Times New Roman" w:hAnsi="Times New Roman" w:cs="Calibri"/>
          <w:color w:val="000000"/>
          <w:sz w:val="24"/>
          <w:szCs w:val="24"/>
        </w:rPr>
        <w:t xml:space="preserve">construct.  </w:t>
      </w:r>
      <w:r w:rsidR="008D6411">
        <w:rPr>
          <w:rFonts w:ascii="Times New Roman" w:hAnsi="Times New Roman" w:cs="Calibri"/>
          <w:color w:val="000000"/>
          <w:sz w:val="24"/>
          <w:szCs w:val="24"/>
        </w:rPr>
        <w:t>A</w:t>
      </w:r>
      <w:r w:rsidR="005F4D47">
        <w:rPr>
          <w:rFonts w:ascii="Times New Roman" w:hAnsi="Times New Roman" w:cs="Calibri"/>
          <w:color w:val="000000"/>
          <w:sz w:val="24"/>
          <w:szCs w:val="24"/>
        </w:rPr>
        <w:t xml:space="preserve"> final point </w:t>
      </w:r>
      <w:r w:rsidR="008D6411">
        <w:rPr>
          <w:rFonts w:ascii="Times New Roman" w:hAnsi="Times New Roman" w:cs="Calibri"/>
          <w:color w:val="000000"/>
          <w:sz w:val="24"/>
          <w:szCs w:val="24"/>
        </w:rPr>
        <w:t xml:space="preserve">in this regard </w:t>
      </w:r>
      <w:r w:rsidR="005F4D47">
        <w:rPr>
          <w:rFonts w:ascii="Times New Roman" w:hAnsi="Times New Roman" w:cs="Calibri"/>
          <w:color w:val="000000"/>
          <w:sz w:val="24"/>
          <w:szCs w:val="24"/>
        </w:rPr>
        <w:t>is</w:t>
      </w:r>
      <w:r w:rsidR="002A752A">
        <w:rPr>
          <w:rFonts w:ascii="Times New Roman" w:hAnsi="Times New Roman" w:cs="Calibri"/>
          <w:color w:val="000000"/>
          <w:sz w:val="24"/>
          <w:szCs w:val="24"/>
        </w:rPr>
        <w:t xml:space="preserve"> that testing should be geared toward the objectives of CECL, which are oriented toward model accuracy as opposed to conservatism in the CCAR setting; and related to this point, champion and challenger models should all meet r</w:t>
      </w:r>
      <w:r w:rsidR="002A752A">
        <w:rPr>
          <w:rFonts w:ascii="Times New Roman" w:hAnsi="Times New Roman" w:cs="Calibri"/>
          <w:color w:val="000000"/>
          <w:sz w:val="24"/>
          <w:szCs w:val="24"/>
        </w:rPr>
        <w:t>e</w:t>
      </w:r>
      <w:r w:rsidR="002A752A">
        <w:rPr>
          <w:rFonts w:ascii="Times New Roman" w:hAnsi="Times New Roman" w:cs="Calibri"/>
          <w:color w:val="000000"/>
          <w:sz w:val="24"/>
          <w:szCs w:val="24"/>
        </w:rPr>
        <w:t>quirements under CECL (</w:t>
      </w:r>
      <w:proofErr w:type="spellStart"/>
      <w:r w:rsidR="00272AAD">
        <w:rPr>
          <w:rFonts w:ascii="Times New Roman" w:hAnsi="Times New Roman" w:cs="Calibri"/>
          <w:color w:val="000000"/>
          <w:sz w:val="24"/>
          <w:szCs w:val="24"/>
        </w:rPr>
        <w:t>e,g</w:t>
      </w:r>
      <w:proofErr w:type="spellEnd"/>
      <w:r w:rsidR="00272AAD">
        <w:rPr>
          <w:rFonts w:ascii="Times New Roman" w:hAnsi="Times New Roman" w:cs="Calibri"/>
          <w:color w:val="000000"/>
          <w:sz w:val="24"/>
          <w:szCs w:val="24"/>
        </w:rPr>
        <w:t>,, in the case of LGD, there should be no discounting of workout recoveries</w:t>
      </w:r>
      <w:r w:rsidR="002A752A">
        <w:rPr>
          <w:rFonts w:ascii="Times New Roman" w:hAnsi="Times New Roman" w:cs="Calibri"/>
          <w:color w:val="000000"/>
          <w:sz w:val="24"/>
          <w:szCs w:val="24"/>
        </w:rPr>
        <w:t>).</w:t>
      </w:r>
    </w:p>
    <w:p w:rsidR="0039627F" w:rsidRDefault="0038540C" w:rsidP="0039627F">
      <w:pPr>
        <w:jc w:val="both"/>
        <w:rPr>
          <w:rFonts w:ascii="Times New Roman" w:hAnsi="Times New Roman" w:cs="Calibri"/>
          <w:color w:val="000000"/>
          <w:sz w:val="24"/>
          <w:szCs w:val="24"/>
        </w:rPr>
      </w:pPr>
      <w:r>
        <w:rPr>
          <w:rFonts w:ascii="Times New Roman" w:hAnsi="Times New Roman" w:cs="Calibri"/>
          <w:color w:val="000000"/>
          <w:sz w:val="24"/>
          <w:szCs w:val="24"/>
        </w:rPr>
        <w:t>The capstone of the model development cycle is documentation, the review and assessment of which is a critical ingredient in model validation.</w:t>
      </w:r>
      <w:r w:rsidR="002E559A">
        <w:rPr>
          <w:rFonts w:ascii="Times New Roman" w:hAnsi="Times New Roman" w:cs="Calibri"/>
          <w:color w:val="000000"/>
          <w:sz w:val="24"/>
          <w:szCs w:val="24"/>
        </w:rPr>
        <w:t xml:space="preserve">  The ideal </w:t>
      </w:r>
      <w:r w:rsidR="00431B86">
        <w:rPr>
          <w:rFonts w:ascii="Times New Roman" w:hAnsi="Times New Roman" w:cs="Calibri"/>
          <w:color w:val="000000"/>
          <w:sz w:val="24"/>
          <w:szCs w:val="24"/>
        </w:rPr>
        <w:t>construct</w:t>
      </w:r>
      <w:r w:rsidR="002E559A">
        <w:rPr>
          <w:rFonts w:ascii="Times New Roman" w:hAnsi="Times New Roman" w:cs="Calibri"/>
          <w:color w:val="000000"/>
          <w:sz w:val="24"/>
          <w:szCs w:val="24"/>
        </w:rPr>
        <w:t xml:space="preserve"> is documentation that would enable a 3</w:t>
      </w:r>
      <w:r w:rsidR="002E559A" w:rsidRPr="002E559A">
        <w:rPr>
          <w:rFonts w:ascii="Times New Roman" w:hAnsi="Times New Roman" w:cs="Calibri"/>
          <w:color w:val="000000"/>
          <w:sz w:val="24"/>
          <w:szCs w:val="24"/>
          <w:vertAlign w:val="superscript"/>
        </w:rPr>
        <w:t>rd</w:t>
      </w:r>
      <w:r w:rsidR="002E559A">
        <w:rPr>
          <w:rFonts w:ascii="Times New Roman" w:hAnsi="Times New Roman" w:cs="Calibri"/>
          <w:color w:val="000000"/>
          <w:sz w:val="24"/>
          <w:szCs w:val="24"/>
        </w:rPr>
        <w:t xml:space="preserve"> party reviewer to replicate the model development having only the model d</w:t>
      </w:r>
      <w:r w:rsidR="002E559A">
        <w:rPr>
          <w:rFonts w:ascii="Times New Roman" w:hAnsi="Times New Roman" w:cs="Calibri"/>
          <w:color w:val="000000"/>
          <w:sz w:val="24"/>
          <w:szCs w:val="24"/>
        </w:rPr>
        <w:t>e</w:t>
      </w:r>
      <w:r w:rsidR="002E559A">
        <w:rPr>
          <w:rFonts w:ascii="Times New Roman" w:hAnsi="Times New Roman" w:cs="Calibri"/>
          <w:color w:val="000000"/>
          <w:sz w:val="24"/>
          <w:szCs w:val="24"/>
        </w:rPr>
        <w:t>velopment data in hand, but admittedly in the vast majority of situations model documentation is the industry falls short of this standard, especially in the case of complex and high risk models</w:t>
      </w:r>
      <w:r w:rsidR="00431B86">
        <w:rPr>
          <w:rFonts w:ascii="Times New Roman" w:hAnsi="Times New Roman" w:cs="Calibri"/>
          <w:color w:val="000000"/>
          <w:sz w:val="24"/>
          <w:szCs w:val="24"/>
        </w:rPr>
        <w:t xml:space="preserve"> prevalent in CECL</w:t>
      </w:r>
      <w:r w:rsidR="002E559A">
        <w:rPr>
          <w:rFonts w:ascii="Times New Roman" w:hAnsi="Times New Roman" w:cs="Calibri"/>
          <w:color w:val="000000"/>
          <w:sz w:val="24"/>
          <w:szCs w:val="24"/>
        </w:rPr>
        <w:t xml:space="preserve">.  Therefore, for practical purposes we prefer to take a more expansive view, and consider other artifacts of developmental evidence, such as various kinds of supporting documentation.  Nevertheless, </w:t>
      </w:r>
      <w:r w:rsidR="00EE4A44">
        <w:rPr>
          <w:rFonts w:ascii="Times New Roman" w:hAnsi="Times New Roman" w:cs="Calibri"/>
          <w:color w:val="000000"/>
          <w:sz w:val="24"/>
          <w:szCs w:val="24"/>
        </w:rPr>
        <w:t xml:space="preserve">in general </w:t>
      </w:r>
      <w:r w:rsidR="002E559A">
        <w:rPr>
          <w:rFonts w:ascii="Times New Roman" w:hAnsi="Times New Roman" w:cs="Calibri"/>
          <w:color w:val="000000"/>
          <w:sz w:val="24"/>
          <w:szCs w:val="24"/>
        </w:rPr>
        <w:t xml:space="preserve">there are certain industry standards that </w:t>
      </w:r>
      <w:r w:rsidR="00EE4A44">
        <w:rPr>
          <w:rFonts w:ascii="Times New Roman" w:hAnsi="Times New Roman" w:cs="Calibri"/>
          <w:color w:val="000000"/>
          <w:sz w:val="24"/>
          <w:szCs w:val="24"/>
        </w:rPr>
        <w:t>model deve</w:t>
      </w:r>
      <w:r w:rsidR="00EE4A44">
        <w:rPr>
          <w:rFonts w:ascii="Times New Roman" w:hAnsi="Times New Roman" w:cs="Calibri"/>
          <w:color w:val="000000"/>
          <w:sz w:val="24"/>
          <w:szCs w:val="24"/>
        </w:rPr>
        <w:t>l</w:t>
      </w:r>
      <w:r w:rsidR="00EE4A44">
        <w:rPr>
          <w:rFonts w:ascii="Times New Roman" w:hAnsi="Times New Roman" w:cs="Calibri"/>
          <w:color w:val="000000"/>
          <w:sz w:val="24"/>
          <w:szCs w:val="24"/>
        </w:rPr>
        <w:t xml:space="preserve">opers </w:t>
      </w:r>
      <w:r w:rsidR="002E559A">
        <w:rPr>
          <w:rFonts w:ascii="Times New Roman" w:hAnsi="Times New Roman" w:cs="Calibri"/>
          <w:color w:val="000000"/>
          <w:sz w:val="24"/>
          <w:szCs w:val="24"/>
        </w:rPr>
        <w:t>adhered to</w:t>
      </w:r>
      <w:r w:rsidR="00EE4A44">
        <w:rPr>
          <w:rFonts w:ascii="Times New Roman" w:hAnsi="Times New Roman" w:cs="Calibri"/>
          <w:color w:val="000000"/>
          <w:sz w:val="24"/>
          <w:szCs w:val="24"/>
        </w:rPr>
        <w:t xml:space="preserve"> in order that the model documentation be considered fit for purpose:</w:t>
      </w:r>
      <w:r w:rsidR="002E559A">
        <w:rPr>
          <w:rFonts w:ascii="Times New Roman" w:hAnsi="Times New Roman" w:cs="Calibri"/>
          <w:color w:val="000000"/>
          <w:sz w:val="24"/>
          <w:szCs w:val="24"/>
        </w:rPr>
        <w:t xml:space="preserve">     </w:t>
      </w:r>
      <w:r w:rsidR="002A752A">
        <w:rPr>
          <w:rFonts w:ascii="Times New Roman" w:hAnsi="Times New Roman" w:cs="Calibri"/>
          <w:color w:val="000000"/>
          <w:sz w:val="24"/>
          <w:szCs w:val="24"/>
        </w:rPr>
        <w:t xml:space="preserve"> </w:t>
      </w:r>
      <w:r w:rsidR="00C50DD9">
        <w:rPr>
          <w:rFonts w:ascii="Times New Roman" w:hAnsi="Times New Roman" w:cs="Calibri"/>
          <w:color w:val="000000"/>
          <w:sz w:val="24"/>
          <w:szCs w:val="24"/>
        </w:rPr>
        <w:t xml:space="preserve">  </w:t>
      </w:r>
      <w:r w:rsidR="00326D69">
        <w:rPr>
          <w:rFonts w:ascii="Times New Roman" w:hAnsi="Times New Roman" w:cs="Calibri"/>
          <w:color w:val="000000"/>
          <w:sz w:val="24"/>
          <w:szCs w:val="24"/>
        </w:rPr>
        <w:t xml:space="preserve">  </w:t>
      </w:r>
      <w:r w:rsidR="0063656D">
        <w:rPr>
          <w:rFonts w:ascii="Times New Roman" w:hAnsi="Times New Roman" w:cs="Calibri"/>
          <w:color w:val="000000"/>
          <w:sz w:val="24"/>
          <w:szCs w:val="24"/>
        </w:rPr>
        <w:t xml:space="preserve"> </w:t>
      </w:r>
      <w:r w:rsidR="00CF5266">
        <w:rPr>
          <w:rFonts w:ascii="Times New Roman" w:hAnsi="Times New Roman" w:cs="Calibri"/>
          <w:color w:val="000000"/>
          <w:sz w:val="24"/>
          <w:szCs w:val="24"/>
        </w:rPr>
        <w:t xml:space="preserve"> </w:t>
      </w:r>
      <w:r w:rsidR="005D4051">
        <w:rPr>
          <w:rFonts w:ascii="Times New Roman" w:hAnsi="Times New Roman" w:cs="Calibri"/>
          <w:color w:val="000000"/>
          <w:sz w:val="24"/>
          <w:szCs w:val="24"/>
        </w:rPr>
        <w:t xml:space="preserve"> </w:t>
      </w:r>
      <w:r w:rsidR="004F0590">
        <w:rPr>
          <w:rFonts w:ascii="Times New Roman" w:hAnsi="Times New Roman" w:cs="Calibri"/>
          <w:color w:val="000000"/>
          <w:sz w:val="24"/>
          <w:szCs w:val="24"/>
        </w:rPr>
        <w:t xml:space="preserve"> </w:t>
      </w:r>
    </w:p>
    <w:p w:rsidR="002B14FC" w:rsidRDefault="002B14FC" w:rsidP="002B14FC">
      <w:pPr>
        <w:pStyle w:val="ListParagraph"/>
        <w:numPr>
          <w:ilvl w:val="0"/>
          <w:numId w:val="14"/>
        </w:numPr>
        <w:jc w:val="both"/>
        <w:rPr>
          <w:rFonts w:ascii="Times New Roman" w:hAnsi="Times New Roman" w:cs="Calibri"/>
          <w:color w:val="000000"/>
          <w:sz w:val="24"/>
          <w:szCs w:val="24"/>
        </w:rPr>
      </w:pPr>
      <w:r>
        <w:rPr>
          <w:rFonts w:ascii="Times New Roman" w:hAnsi="Times New Roman" w:cs="Calibri"/>
          <w:color w:val="000000"/>
          <w:sz w:val="24"/>
          <w:szCs w:val="24"/>
        </w:rPr>
        <w:t>Clear articulation of the business purpose and portfolio profile pertaining to the model</w:t>
      </w:r>
    </w:p>
    <w:p w:rsidR="002B14FC" w:rsidRDefault="002B14FC" w:rsidP="002B14FC">
      <w:pPr>
        <w:pStyle w:val="ListParagraph"/>
        <w:numPr>
          <w:ilvl w:val="0"/>
          <w:numId w:val="14"/>
        </w:numPr>
        <w:jc w:val="both"/>
        <w:rPr>
          <w:rFonts w:ascii="Times New Roman" w:hAnsi="Times New Roman" w:cs="Calibri"/>
          <w:color w:val="000000"/>
          <w:sz w:val="24"/>
          <w:szCs w:val="24"/>
        </w:rPr>
      </w:pPr>
      <w:r>
        <w:rPr>
          <w:rFonts w:ascii="Times New Roman" w:hAnsi="Times New Roman" w:cs="Calibri"/>
          <w:color w:val="000000"/>
          <w:sz w:val="24"/>
          <w:szCs w:val="24"/>
        </w:rPr>
        <w:t>Comprehensive discussion of the model history</w:t>
      </w:r>
    </w:p>
    <w:p w:rsidR="002B14FC" w:rsidRDefault="002B14FC" w:rsidP="002B14FC">
      <w:pPr>
        <w:pStyle w:val="ListParagraph"/>
        <w:numPr>
          <w:ilvl w:val="0"/>
          <w:numId w:val="14"/>
        </w:numPr>
        <w:jc w:val="both"/>
        <w:rPr>
          <w:rFonts w:ascii="Times New Roman" w:hAnsi="Times New Roman" w:cs="Calibri"/>
          <w:color w:val="000000"/>
          <w:sz w:val="24"/>
          <w:szCs w:val="24"/>
        </w:rPr>
      </w:pPr>
      <w:r>
        <w:rPr>
          <w:rFonts w:ascii="Times New Roman" w:hAnsi="Times New Roman" w:cs="Calibri"/>
          <w:color w:val="000000"/>
          <w:sz w:val="24"/>
          <w:szCs w:val="24"/>
        </w:rPr>
        <w:t>Rigorous review of academic and practitioner literature relevant to the model</w:t>
      </w:r>
    </w:p>
    <w:p w:rsidR="002B14FC" w:rsidRDefault="002B14FC" w:rsidP="002B14FC">
      <w:pPr>
        <w:pStyle w:val="ListParagraph"/>
        <w:numPr>
          <w:ilvl w:val="0"/>
          <w:numId w:val="14"/>
        </w:numPr>
        <w:jc w:val="both"/>
        <w:rPr>
          <w:rFonts w:ascii="Times New Roman" w:hAnsi="Times New Roman" w:cs="Calibri"/>
          <w:color w:val="000000"/>
          <w:sz w:val="24"/>
          <w:szCs w:val="24"/>
        </w:rPr>
      </w:pPr>
      <w:r>
        <w:rPr>
          <w:rFonts w:ascii="Times New Roman" w:hAnsi="Times New Roman" w:cs="Calibri"/>
          <w:color w:val="000000"/>
          <w:sz w:val="24"/>
          <w:szCs w:val="24"/>
        </w:rPr>
        <w:t>Precise exposition of model mathematics and functional forms</w:t>
      </w:r>
    </w:p>
    <w:p w:rsidR="002B14FC" w:rsidRDefault="002B14FC" w:rsidP="002B14FC">
      <w:pPr>
        <w:pStyle w:val="ListParagraph"/>
        <w:numPr>
          <w:ilvl w:val="0"/>
          <w:numId w:val="14"/>
        </w:numPr>
        <w:jc w:val="both"/>
        <w:rPr>
          <w:rFonts w:ascii="Times New Roman" w:hAnsi="Times New Roman" w:cs="Calibri"/>
          <w:color w:val="000000"/>
          <w:sz w:val="24"/>
          <w:szCs w:val="24"/>
        </w:rPr>
      </w:pPr>
      <w:r>
        <w:rPr>
          <w:rFonts w:ascii="Times New Roman" w:hAnsi="Times New Roman" w:cs="Calibri"/>
          <w:color w:val="000000"/>
          <w:sz w:val="24"/>
          <w:szCs w:val="24"/>
        </w:rPr>
        <w:t>Complete examination of model data sourc</w:t>
      </w:r>
      <w:r w:rsidR="0017113A">
        <w:rPr>
          <w:rFonts w:ascii="Times New Roman" w:hAnsi="Times New Roman" w:cs="Calibri"/>
          <w:color w:val="000000"/>
          <w:sz w:val="24"/>
          <w:szCs w:val="24"/>
        </w:rPr>
        <w:t>ing</w:t>
      </w:r>
      <w:r>
        <w:rPr>
          <w:rFonts w:ascii="Times New Roman" w:hAnsi="Times New Roman" w:cs="Calibri"/>
          <w:color w:val="000000"/>
          <w:sz w:val="24"/>
          <w:szCs w:val="24"/>
        </w:rPr>
        <w:t>, cleansing processes and data quality analysis</w:t>
      </w:r>
    </w:p>
    <w:p w:rsidR="003B2F40" w:rsidRDefault="003B2F40" w:rsidP="003B2F40">
      <w:pPr>
        <w:pStyle w:val="ListParagraph"/>
        <w:numPr>
          <w:ilvl w:val="0"/>
          <w:numId w:val="14"/>
        </w:numPr>
        <w:jc w:val="both"/>
        <w:rPr>
          <w:rFonts w:ascii="Times New Roman" w:hAnsi="Times New Roman" w:cs="Calibri"/>
          <w:color w:val="000000"/>
          <w:sz w:val="24"/>
          <w:szCs w:val="24"/>
        </w:rPr>
      </w:pPr>
      <w:r>
        <w:rPr>
          <w:rFonts w:ascii="Times New Roman" w:hAnsi="Times New Roman" w:cs="Calibri"/>
          <w:color w:val="000000"/>
          <w:sz w:val="24"/>
          <w:szCs w:val="24"/>
        </w:rPr>
        <w:t>Thorough narrative on the segmentation and variable selection process, encompassing both statistical analyses and expert panel dialogue</w:t>
      </w:r>
    </w:p>
    <w:p w:rsidR="003B2F40" w:rsidRDefault="003B2F40" w:rsidP="003B2F40">
      <w:pPr>
        <w:pStyle w:val="ListParagraph"/>
        <w:numPr>
          <w:ilvl w:val="0"/>
          <w:numId w:val="14"/>
        </w:numPr>
        <w:jc w:val="both"/>
        <w:rPr>
          <w:rFonts w:ascii="Times New Roman" w:hAnsi="Times New Roman" w:cs="Calibri"/>
          <w:color w:val="000000"/>
          <w:sz w:val="24"/>
          <w:szCs w:val="24"/>
        </w:rPr>
      </w:pPr>
      <w:r>
        <w:rPr>
          <w:rFonts w:ascii="Times New Roman" w:hAnsi="Times New Roman" w:cs="Calibri"/>
          <w:color w:val="000000"/>
          <w:sz w:val="24"/>
          <w:szCs w:val="24"/>
        </w:rPr>
        <w:t>Informative description of estimation results, including comparison to challenger and candidate models</w:t>
      </w:r>
    </w:p>
    <w:p w:rsidR="003B2F40" w:rsidRDefault="003B2F40" w:rsidP="003B2F40">
      <w:pPr>
        <w:pStyle w:val="ListParagraph"/>
        <w:numPr>
          <w:ilvl w:val="0"/>
          <w:numId w:val="14"/>
        </w:numPr>
        <w:jc w:val="both"/>
        <w:rPr>
          <w:rFonts w:ascii="Times New Roman" w:hAnsi="Times New Roman" w:cs="Calibri"/>
          <w:color w:val="000000"/>
          <w:sz w:val="24"/>
          <w:szCs w:val="24"/>
        </w:rPr>
      </w:pPr>
      <w:r>
        <w:rPr>
          <w:rFonts w:ascii="Times New Roman" w:hAnsi="Times New Roman" w:cs="Calibri"/>
          <w:color w:val="000000"/>
          <w:sz w:val="24"/>
          <w:szCs w:val="24"/>
        </w:rPr>
        <w:t xml:space="preserve">Detailed analysis of all model testing that while supporting the choice of </w:t>
      </w:r>
      <w:r w:rsidR="00431B86">
        <w:rPr>
          <w:rFonts w:ascii="Times New Roman" w:hAnsi="Times New Roman" w:cs="Calibri"/>
          <w:color w:val="000000"/>
          <w:sz w:val="24"/>
          <w:szCs w:val="24"/>
        </w:rPr>
        <w:t xml:space="preserve">the </w:t>
      </w:r>
      <w:r>
        <w:rPr>
          <w:rFonts w:ascii="Times New Roman" w:hAnsi="Times New Roman" w:cs="Calibri"/>
          <w:color w:val="000000"/>
          <w:sz w:val="24"/>
          <w:szCs w:val="24"/>
        </w:rPr>
        <w:t xml:space="preserve">champion model </w:t>
      </w:r>
      <w:r w:rsidR="00431B86">
        <w:rPr>
          <w:rFonts w:ascii="Times New Roman" w:hAnsi="Times New Roman" w:cs="Calibri"/>
          <w:color w:val="000000"/>
          <w:sz w:val="24"/>
          <w:szCs w:val="24"/>
        </w:rPr>
        <w:t xml:space="preserve">while </w:t>
      </w:r>
      <w:r>
        <w:rPr>
          <w:rFonts w:ascii="Times New Roman" w:hAnsi="Times New Roman" w:cs="Calibri"/>
          <w:color w:val="000000"/>
          <w:sz w:val="24"/>
          <w:szCs w:val="24"/>
        </w:rPr>
        <w:t>also honestly represent</w:t>
      </w:r>
      <w:r w:rsidR="00431B86">
        <w:rPr>
          <w:rFonts w:ascii="Times New Roman" w:hAnsi="Times New Roman" w:cs="Calibri"/>
          <w:color w:val="000000"/>
          <w:sz w:val="24"/>
          <w:szCs w:val="24"/>
        </w:rPr>
        <w:t>ing</w:t>
      </w:r>
      <w:r>
        <w:rPr>
          <w:rFonts w:ascii="Times New Roman" w:hAnsi="Times New Roman" w:cs="Calibri"/>
          <w:color w:val="000000"/>
          <w:sz w:val="24"/>
          <w:szCs w:val="24"/>
        </w:rPr>
        <w:t xml:space="preserve"> potential weaknesses</w:t>
      </w:r>
    </w:p>
    <w:p w:rsidR="00E54677" w:rsidRPr="003B2F40" w:rsidRDefault="003B2F40" w:rsidP="003B2F40">
      <w:pPr>
        <w:pStyle w:val="ListParagraph"/>
        <w:numPr>
          <w:ilvl w:val="0"/>
          <w:numId w:val="14"/>
        </w:numPr>
        <w:jc w:val="both"/>
        <w:rPr>
          <w:rFonts w:ascii="Times New Roman" w:hAnsi="Times New Roman" w:cs="Calibri"/>
          <w:color w:val="000000"/>
          <w:sz w:val="24"/>
          <w:szCs w:val="24"/>
        </w:rPr>
      </w:pPr>
      <w:r w:rsidRPr="003B2F40">
        <w:rPr>
          <w:rFonts w:ascii="Times New Roman" w:hAnsi="Times New Roman" w:cs="Calibri"/>
          <w:color w:val="000000"/>
          <w:sz w:val="24"/>
          <w:szCs w:val="24"/>
        </w:rPr>
        <w:t>Understandable detail around any model adjustments, overlays and risk mitigation el</w:t>
      </w:r>
      <w:r w:rsidRPr="003B2F40">
        <w:rPr>
          <w:rFonts w:ascii="Times New Roman" w:hAnsi="Times New Roman" w:cs="Calibri"/>
          <w:color w:val="000000"/>
          <w:sz w:val="24"/>
          <w:szCs w:val="24"/>
        </w:rPr>
        <w:t>e</w:t>
      </w:r>
      <w:r w:rsidRPr="003B2F40">
        <w:rPr>
          <w:rFonts w:ascii="Times New Roman" w:hAnsi="Times New Roman" w:cs="Calibri"/>
          <w:color w:val="000000"/>
          <w:sz w:val="24"/>
          <w:szCs w:val="24"/>
        </w:rPr>
        <w:t>ments layered onto model output</w:t>
      </w:r>
    </w:p>
    <w:p w:rsidR="00431B86" w:rsidRDefault="00E54677" w:rsidP="00431B86">
      <w:pPr>
        <w:rPr>
          <w:rFonts w:ascii="Times New Roman" w:hAnsi="Times New Roman" w:cs="Calibri"/>
          <w:color w:val="000000"/>
          <w:sz w:val="24"/>
          <w:szCs w:val="24"/>
        </w:rPr>
      </w:pPr>
      <w:r>
        <w:rPr>
          <w:rFonts w:ascii="Times New Roman" w:hAnsi="Times New Roman" w:cs="Calibri"/>
          <w:color w:val="000000"/>
          <w:sz w:val="24"/>
          <w:szCs w:val="24"/>
        </w:rPr>
        <w:t>In sum, model documentation should be a self-contained compendium of the elements of deve</w:t>
      </w:r>
      <w:r>
        <w:rPr>
          <w:rFonts w:ascii="Times New Roman" w:hAnsi="Times New Roman" w:cs="Calibri"/>
          <w:color w:val="000000"/>
          <w:sz w:val="24"/>
          <w:szCs w:val="24"/>
        </w:rPr>
        <w:t>l</w:t>
      </w:r>
      <w:r>
        <w:rPr>
          <w:rFonts w:ascii="Times New Roman" w:hAnsi="Times New Roman" w:cs="Calibri"/>
          <w:color w:val="000000"/>
          <w:sz w:val="24"/>
          <w:szCs w:val="24"/>
        </w:rPr>
        <w:t xml:space="preserve">opmental evidence that we have discussed previously, and which are the object of the validation review.  That said, this does not mean that model documentation should err on the side of being </w:t>
      </w:r>
      <w:r w:rsidR="00431B86">
        <w:rPr>
          <w:rFonts w:ascii="Times New Roman" w:hAnsi="Times New Roman" w:cs="Calibri"/>
          <w:color w:val="000000"/>
          <w:sz w:val="24"/>
          <w:szCs w:val="24"/>
        </w:rPr>
        <w:t>excessively voluminous, as has become the trend in the industry.</w:t>
      </w:r>
      <w:r w:rsidR="00431B86">
        <w:rPr>
          <w:rFonts w:ascii="Times New Roman" w:hAnsi="Times New Roman" w:cs="Calibri"/>
          <w:color w:val="000000"/>
          <w:sz w:val="24"/>
          <w:szCs w:val="24"/>
        </w:rPr>
        <w:t xml:space="preserve">  </w:t>
      </w:r>
      <w:r w:rsidR="00431B86">
        <w:rPr>
          <w:rFonts w:ascii="Times New Roman" w:hAnsi="Times New Roman" w:cs="Calibri"/>
          <w:color w:val="000000"/>
          <w:sz w:val="24"/>
          <w:szCs w:val="24"/>
        </w:rPr>
        <w:t>In turn, the documentation of model validation should follow these standards, with the additional burden that there should be a value add in terms of analysis, observations, recommendations and conclusions.</w:t>
      </w:r>
    </w:p>
    <w:p w:rsidR="00431B86" w:rsidRDefault="00431B86" w:rsidP="00431B86">
      <w:pPr>
        <w:rPr>
          <w:rFonts w:ascii="Times New Roman" w:hAnsi="Times New Roman" w:cs="Calibri"/>
          <w:color w:val="000000"/>
          <w:sz w:val="24"/>
          <w:szCs w:val="24"/>
        </w:rPr>
      </w:pPr>
    </w:p>
    <w:p w:rsidR="00431B86" w:rsidRDefault="00431B86" w:rsidP="00431B86">
      <w:pPr>
        <w:rPr>
          <w:rFonts w:ascii="Times New Roman" w:hAnsi="Times New Roman"/>
          <w:b/>
          <w:sz w:val="28"/>
          <w:szCs w:val="28"/>
        </w:rPr>
      </w:pPr>
      <w:r w:rsidRPr="002227AA">
        <w:rPr>
          <w:noProof/>
        </w:rPr>
        <w:drawing>
          <wp:inline distT="0" distB="0" distL="0" distR="0" wp14:anchorId="2340E380" wp14:editId="0B647873">
            <wp:extent cx="5943600" cy="3586480"/>
            <wp:effectExtent l="19050" t="19050" r="1905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586480"/>
                    </a:xfrm>
                    <a:prstGeom prst="rect">
                      <a:avLst/>
                    </a:prstGeom>
                    <a:ln>
                      <a:solidFill>
                        <a:schemeClr val="accent1"/>
                      </a:solidFill>
                    </a:ln>
                  </pic:spPr>
                </pic:pic>
              </a:graphicData>
            </a:graphic>
          </wp:inline>
        </w:drawing>
      </w:r>
    </w:p>
    <w:p w:rsidR="00431B86" w:rsidRDefault="00431B86" w:rsidP="00431B86">
      <w:pPr>
        <w:jc w:val="both"/>
        <w:rPr>
          <w:rFonts w:ascii="Times New Roman" w:hAnsi="Times New Roman"/>
          <w:b/>
          <w:sz w:val="24"/>
          <w:szCs w:val="24"/>
        </w:rPr>
      </w:pPr>
      <w:r w:rsidRPr="00C177B3">
        <w:rPr>
          <w:rFonts w:ascii="Times New Roman" w:hAnsi="Times New Roman"/>
          <w:b/>
          <w:sz w:val="24"/>
          <w:szCs w:val="24"/>
        </w:rPr>
        <w:t xml:space="preserve">Figure </w:t>
      </w:r>
      <w:r>
        <w:rPr>
          <w:rFonts w:ascii="Times New Roman" w:hAnsi="Times New Roman"/>
          <w:b/>
          <w:sz w:val="24"/>
          <w:szCs w:val="24"/>
        </w:rPr>
        <w:t>3</w:t>
      </w:r>
      <w:r w:rsidRPr="00C177B3">
        <w:rPr>
          <w:rFonts w:ascii="Times New Roman" w:hAnsi="Times New Roman"/>
          <w:b/>
          <w:sz w:val="24"/>
          <w:szCs w:val="24"/>
        </w:rPr>
        <w:t xml:space="preserve">: </w:t>
      </w:r>
      <w:r w:rsidRPr="00CE2061">
        <w:rPr>
          <w:rFonts w:ascii="Times New Roman" w:hAnsi="Times New Roman"/>
          <w:b/>
          <w:sz w:val="24"/>
          <w:szCs w:val="24"/>
        </w:rPr>
        <w:t xml:space="preserve">Challenges in </w:t>
      </w:r>
      <w:r>
        <w:rPr>
          <w:rFonts w:ascii="Times New Roman" w:hAnsi="Times New Roman"/>
          <w:b/>
          <w:sz w:val="24"/>
          <w:szCs w:val="24"/>
        </w:rPr>
        <w:t xml:space="preserve">the Validation of </w:t>
      </w:r>
      <w:r w:rsidRPr="00CE2061">
        <w:rPr>
          <w:rFonts w:ascii="Times New Roman" w:hAnsi="Times New Roman"/>
          <w:b/>
          <w:sz w:val="24"/>
          <w:szCs w:val="24"/>
        </w:rPr>
        <w:t xml:space="preserve">CECL </w:t>
      </w:r>
      <w:r>
        <w:rPr>
          <w:rFonts w:ascii="Times New Roman" w:hAnsi="Times New Roman"/>
          <w:b/>
          <w:sz w:val="24"/>
          <w:szCs w:val="24"/>
        </w:rPr>
        <w:t>Model Development -</w:t>
      </w:r>
      <w:r w:rsidRPr="00CE2061">
        <w:rPr>
          <w:rFonts w:ascii="Times New Roman" w:hAnsi="Times New Roman"/>
          <w:b/>
          <w:sz w:val="24"/>
          <w:szCs w:val="24"/>
        </w:rPr>
        <w:t>Benchmarking and Backtesting</w:t>
      </w:r>
    </w:p>
    <w:p w:rsidR="00431B86" w:rsidRDefault="00431B86" w:rsidP="0039627F">
      <w:pPr>
        <w:jc w:val="both"/>
        <w:rPr>
          <w:rFonts w:ascii="Times New Roman" w:hAnsi="Times New Roman" w:cs="Calibri"/>
          <w:color w:val="000000"/>
          <w:sz w:val="24"/>
          <w:szCs w:val="24"/>
        </w:rPr>
      </w:pPr>
    </w:p>
    <w:p w:rsidR="00E149DB" w:rsidRDefault="00431B86" w:rsidP="0039627F">
      <w:pPr>
        <w:jc w:val="both"/>
        <w:rPr>
          <w:rFonts w:ascii="Times New Roman" w:hAnsi="Times New Roman" w:cs="Calibri"/>
          <w:color w:val="000000"/>
          <w:sz w:val="24"/>
          <w:szCs w:val="24"/>
        </w:rPr>
      </w:pPr>
      <w:r>
        <w:rPr>
          <w:rFonts w:ascii="Times New Roman" w:hAnsi="Times New Roman" w:cs="Calibri"/>
          <w:color w:val="000000"/>
          <w:sz w:val="24"/>
          <w:szCs w:val="24"/>
        </w:rPr>
        <w:t>Model validation documentation should enable the improvement of the model development pr</w:t>
      </w:r>
      <w:r>
        <w:rPr>
          <w:rFonts w:ascii="Times New Roman" w:hAnsi="Times New Roman" w:cs="Calibri"/>
          <w:color w:val="000000"/>
          <w:sz w:val="24"/>
          <w:szCs w:val="24"/>
        </w:rPr>
        <w:t>o</w:t>
      </w:r>
      <w:r>
        <w:rPr>
          <w:rFonts w:ascii="Times New Roman" w:hAnsi="Times New Roman" w:cs="Calibri"/>
          <w:color w:val="000000"/>
          <w:sz w:val="24"/>
          <w:szCs w:val="24"/>
        </w:rPr>
        <w:t xml:space="preserve">cess, in addition </w:t>
      </w:r>
      <w:r w:rsidR="009235E7">
        <w:rPr>
          <w:rFonts w:ascii="Times New Roman" w:hAnsi="Times New Roman" w:cs="Calibri"/>
          <w:color w:val="000000"/>
          <w:sz w:val="24"/>
          <w:szCs w:val="24"/>
        </w:rPr>
        <w:t>to being a vehicle for managing and measuring model risk, and be compr</w:t>
      </w:r>
      <w:r w:rsidR="009235E7">
        <w:rPr>
          <w:rFonts w:ascii="Times New Roman" w:hAnsi="Times New Roman" w:cs="Calibri"/>
          <w:color w:val="000000"/>
          <w:sz w:val="24"/>
          <w:szCs w:val="24"/>
        </w:rPr>
        <w:t>e</w:t>
      </w:r>
      <w:r w:rsidR="009235E7">
        <w:rPr>
          <w:rFonts w:ascii="Times New Roman" w:hAnsi="Times New Roman" w:cs="Calibri"/>
          <w:color w:val="000000"/>
          <w:sz w:val="24"/>
          <w:szCs w:val="24"/>
        </w:rPr>
        <w:t>hensible by both a technical as well as a lay-person audience</w:t>
      </w:r>
      <w:r w:rsidR="0017113A">
        <w:rPr>
          <w:rFonts w:ascii="Times New Roman" w:hAnsi="Times New Roman" w:cs="Calibri"/>
          <w:color w:val="000000"/>
          <w:sz w:val="24"/>
          <w:szCs w:val="24"/>
        </w:rPr>
        <w:t>.</w:t>
      </w:r>
      <w:r w:rsidR="008C399E">
        <w:rPr>
          <w:rFonts w:ascii="Times New Roman" w:hAnsi="Times New Roman" w:cs="Calibri"/>
          <w:color w:val="000000"/>
          <w:sz w:val="24"/>
          <w:szCs w:val="24"/>
        </w:rPr>
        <w:t xml:space="preserve">  </w:t>
      </w:r>
      <w:r w:rsidR="00701EED">
        <w:rPr>
          <w:rFonts w:ascii="Times New Roman" w:hAnsi="Times New Roman" w:cs="Calibri"/>
          <w:color w:val="000000"/>
          <w:sz w:val="24"/>
          <w:szCs w:val="24"/>
        </w:rPr>
        <w:t xml:space="preserve">Turning to the </w:t>
      </w:r>
      <w:r w:rsidR="00E149DB">
        <w:rPr>
          <w:rFonts w:ascii="Times New Roman" w:hAnsi="Times New Roman" w:cs="Calibri"/>
          <w:color w:val="000000"/>
          <w:sz w:val="24"/>
          <w:szCs w:val="24"/>
        </w:rPr>
        <w:t>CECL</w:t>
      </w:r>
      <w:r w:rsidR="00701EED">
        <w:rPr>
          <w:rFonts w:ascii="Times New Roman" w:hAnsi="Times New Roman" w:cs="Calibri"/>
          <w:color w:val="000000"/>
          <w:sz w:val="24"/>
          <w:szCs w:val="24"/>
        </w:rPr>
        <w:t xml:space="preserve"> perspective, given the sensitivity of financial reporting and heightened scrutiny by 3</w:t>
      </w:r>
      <w:r w:rsidR="00701EED" w:rsidRPr="00701EED">
        <w:rPr>
          <w:rFonts w:ascii="Times New Roman" w:hAnsi="Times New Roman" w:cs="Calibri"/>
          <w:color w:val="000000"/>
          <w:sz w:val="24"/>
          <w:szCs w:val="24"/>
          <w:vertAlign w:val="superscript"/>
        </w:rPr>
        <w:t>rd</w:t>
      </w:r>
      <w:r w:rsidR="00701EED">
        <w:rPr>
          <w:rFonts w:ascii="Times New Roman" w:hAnsi="Times New Roman" w:cs="Calibri"/>
          <w:color w:val="000000"/>
          <w:sz w:val="24"/>
          <w:szCs w:val="24"/>
        </w:rPr>
        <w:t xml:space="preserve"> party reviewers around this pr</w:t>
      </w:r>
      <w:r w:rsidR="00701EED">
        <w:rPr>
          <w:rFonts w:ascii="Times New Roman" w:hAnsi="Times New Roman" w:cs="Calibri"/>
          <w:color w:val="000000"/>
          <w:sz w:val="24"/>
          <w:szCs w:val="24"/>
        </w:rPr>
        <w:t>o</w:t>
      </w:r>
      <w:r w:rsidR="00701EED">
        <w:rPr>
          <w:rFonts w:ascii="Times New Roman" w:hAnsi="Times New Roman" w:cs="Calibri"/>
          <w:color w:val="000000"/>
          <w:sz w:val="24"/>
          <w:szCs w:val="24"/>
        </w:rPr>
        <w:t xml:space="preserve">cess, high quality documentation becomes a greater priority. </w:t>
      </w:r>
      <w:r w:rsidR="00E149DB">
        <w:rPr>
          <w:rFonts w:ascii="Times New Roman" w:hAnsi="Times New Roman" w:cs="Calibri"/>
          <w:color w:val="000000"/>
          <w:sz w:val="24"/>
          <w:szCs w:val="24"/>
        </w:rPr>
        <w:t xml:space="preserve"> </w:t>
      </w:r>
      <w:r w:rsidR="00701EED">
        <w:rPr>
          <w:rFonts w:ascii="Times New Roman" w:hAnsi="Times New Roman" w:cs="Calibri"/>
          <w:color w:val="000000"/>
          <w:sz w:val="24"/>
          <w:szCs w:val="24"/>
        </w:rPr>
        <w:t>Finally, w</w:t>
      </w:r>
      <w:r w:rsidR="008C399E">
        <w:rPr>
          <w:rFonts w:ascii="Times New Roman" w:hAnsi="Times New Roman" w:cs="Calibri"/>
          <w:color w:val="000000"/>
          <w:sz w:val="24"/>
          <w:szCs w:val="24"/>
        </w:rPr>
        <w:t>e would submit that the structure of this study showcases several productive elements in what would be considered best practice model validation documentation by industry standards.</w:t>
      </w:r>
    </w:p>
    <w:p w:rsidR="008C399E" w:rsidRDefault="00E149DB" w:rsidP="0039627F">
      <w:pPr>
        <w:jc w:val="both"/>
        <w:rPr>
          <w:rFonts w:ascii="Times New Roman" w:hAnsi="Times New Roman" w:cs="Calibri"/>
          <w:color w:val="000000"/>
          <w:sz w:val="24"/>
          <w:szCs w:val="24"/>
        </w:rPr>
      </w:pPr>
      <w:r>
        <w:rPr>
          <w:rFonts w:ascii="Times New Roman" w:hAnsi="Times New Roman" w:cs="Calibri"/>
          <w:color w:val="000000"/>
          <w:sz w:val="24"/>
          <w:szCs w:val="24"/>
        </w:rPr>
        <w:t xml:space="preserve">Finally for our model validation framework in Figure 2 we address model </w:t>
      </w:r>
      <w:r w:rsidRPr="00E149DB">
        <w:rPr>
          <w:rFonts w:ascii="Times New Roman" w:hAnsi="Times New Roman" w:cs="Calibri"/>
          <w:i/>
          <w:color w:val="000000"/>
          <w:sz w:val="24"/>
          <w:szCs w:val="24"/>
        </w:rPr>
        <w:t>redevelopment</w:t>
      </w:r>
      <w:r>
        <w:rPr>
          <w:rFonts w:ascii="Times New Roman" w:hAnsi="Times New Roman" w:cs="Calibri"/>
          <w:color w:val="000000"/>
          <w:sz w:val="24"/>
          <w:szCs w:val="24"/>
        </w:rPr>
        <w:t>, closing the loop on the model lifecycle process.  The direction of future incarnations of a model will be based upon a combination of considerations informed by validation observations and reco</w:t>
      </w:r>
      <w:r>
        <w:rPr>
          <w:rFonts w:ascii="Times New Roman" w:hAnsi="Times New Roman" w:cs="Calibri"/>
          <w:color w:val="000000"/>
          <w:sz w:val="24"/>
          <w:szCs w:val="24"/>
        </w:rPr>
        <w:t>m</w:t>
      </w:r>
      <w:r>
        <w:rPr>
          <w:rFonts w:ascii="Times New Roman" w:hAnsi="Times New Roman" w:cs="Calibri"/>
          <w:color w:val="000000"/>
          <w:sz w:val="24"/>
          <w:szCs w:val="24"/>
        </w:rPr>
        <w:t>mendations, monitoring outcomes and user feedback.  The role of model validation in this regard is to ensure that model developers judiciously weigh all these considerations in light of business needs, changes in the portfolio, advance</w:t>
      </w:r>
      <w:r w:rsidR="00701EED">
        <w:rPr>
          <w:rFonts w:ascii="Times New Roman" w:hAnsi="Times New Roman" w:cs="Calibri"/>
          <w:color w:val="000000"/>
          <w:sz w:val="24"/>
          <w:szCs w:val="24"/>
        </w:rPr>
        <w:t>ments</w:t>
      </w:r>
      <w:r>
        <w:rPr>
          <w:rFonts w:ascii="Times New Roman" w:hAnsi="Times New Roman" w:cs="Calibri"/>
          <w:color w:val="000000"/>
          <w:sz w:val="24"/>
          <w:szCs w:val="24"/>
        </w:rPr>
        <w:t xml:space="preserve"> in </w:t>
      </w:r>
      <w:r w:rsidR="00701EED">
        <w:rPr>
          <w:rFonts w:ascii="Times New Roman" w:hAnsi="Times New Roman" w:cs="Calibri"/>
          <w:color w:val="000000"/>
          <w:sz w:val="24"/>
          <w:szCs w:val="24"/>
        </w:rPr>
        <w:t>the</w:t>
      </w:r>
      <w:r>
        <w:rPr>
          <w:rFonts w:ascii="Times New Roman" w:hAnsi="Times New Roman" w:cs="Calibri"/>
          <w:color w:val="000000"/>
          <w:sz w:val="24"/>
          <w:szCs w:val="24"/>
        </w:rPr>
        <w:t xml:space="preserve"> science</w:t>
      </w:r>
      <w:r w:rsidR="00701EED">
        <w:rPr>
          <w:rFonts w:ascii="Times New Roman" w:hAnsi="Times New Roman" w:cs="Calibri"/>
          <w:color w:val="000000"/>
          <w:sz w:val="24"/>
          <w:szCs w:val="24"/>
        </w:rPr>
        <w:t xml:space="preserve"> of credit risk</w:t>
      </w:r>
      <w:r>
        <w:rPr>
          <w:rFonts w:ascii="Times New Roman" w:hAnsi="Times New Roman" w:cs="Calibri"/>
          <w:color w:val="000000"/>
          <w:sz w:val="24"/>
          <w:szCs w:val="24"/>
        </w:rPr>
        <w:t>, availability of new or alternative data as well as the economics of redevelopment.  The outcome of decisions made at this stage will have a direct bearing on the theoretical and practical directions taken.</w:t>
      </w:r>
      <w:r w:rsidR="00701EED">
        <w:rPr>
          <w:rFonts w:ascii="Times New Roman" w:hAnsi="Times New Roman" w:cs="Calibri"/>
          <w:color w:val="000000"/>
          <w:sz w:val="24"/>
          <w:szCs w:val="24"/>
        </w:rPr>
        <w:t xml:space="preserve">  It is critical </w:t>
      </w:r>
      <w:r w:rsidR="00701EED">
        <w:rPr>
          <w:rFonts w:ascii="Times New Roman" w:hAnsi="Times New Roman" w:cs="Calibri"/>
          <w:color w:val="000000"/>
          <w:sz w:val="24"/>
          <w:szCs w:val="24"/>
        </w:rPr>
        <w:lastRenderedPageBreak/>
        <w:t>that model validation be involved in this redevelopment process, and moreover the criticality of this partnership with model developers is accentuated in the CECL context where</w:t>
      </w:r>
      <w:r w:rsidR="00327B88">
        <w:rPr>
          <w:rFonts w:ascii="Times New Roman" w:hAnsi="Times New Roman" w:cs="Calibri"/>
          <w:color w:val="000000"/>
          <w:sz w:val="24"/>
          <w:szCs w:val="24"/>
        </w:rPr>
        <w:t xml:space="preserve"> the supporting models have implications for financial reporting.</w:t>
      </w:r>
      <w:r w:rsidR="00701EED">
        <w:rPr>
          <w:rFonts w:ascii="Times New Roman" w:hAnsi="Times New Roman" w:cs="Calibri"/>
          <w:color w:val="000000"/>
          <w:sz w:val="24"/>
          <w:szCs w:val="24"/>
        </w:rPr>
        <w:t xml:space="preserve"> </w:t>
      </w:r>
      <w:r>
        <w:rPr>
          <w:rFonts w:ascii="Times New Roman" w:hAnsi="Times New Roman" w:cs="Calibri"/>
          <w:color w:val="000000"/>
          <w:sz w:val="24"/>
          <w:szCs w:val="24"/>
        </w:rPr>
        <w:t xml:space="preserve">    </w:t>
      </w:r>
    </w:p>
    <w:p w:rsidR="00055F8C" w:rsidRDefault="00E763A9" w:rsidP="00390011">
      <w:pPr>
        <w:jc w:val="both"/>
        <w:rPr>
          <w:rFonts w:ascii="Times New Roman" w:hAnsi="Times New Roman" w:cs="Calibri"/>
          <w:color w:val="000000"/>
          <w:sz w:val="24"/>
          <w:szCs w:val="24"/>
        </w:rPr>
      </w:pPr>
      <w:r>
        <w:rPr>
          <w:rFonts w:ascii="Times New Roman" w:hAnsi="Times New Roman" w:cs="Calibri"/>
          <w:color w:val="000000"/>
          <w:sz w:val="24"/>
          <w:szCs w:val="24"/>
        </w:rPr>
        <w:t>Next we turn the</w:t>
      </w:r>
      <w:r w:rsidR="00327B88">
        <w:rPr>
          <w:rFonts w:ascii="Times New Roman" w:hAnsi="Times New Roman" w:cs="Calibri"/>
          <w:color w:val="000000"/>
          <w:sz w:val="24"/>
          <w:szCs w:val="24"/>
        </w:rPr>
        <w:t xml:space="preserve"> focus on some model validation considerations that are rather particular to CECL within the testing phase of the process, namely challenges in </w:t>
      </w:r>
      <w:proofErr w:type="spellStart"/>
      <w:r w:rsidR="00327B88">
        <w:rPr>
          <w:rFonts w:ascii="Times New Roman" w:hAnsi="Times New Roman" w:cs="Calibri"/>
          <w:color w:val="000000"/>
          <w:sz w:val="24"/>
          <w:szCs w:val="24"/>
        </w:rPr>
        <w:t>backtesting</w:t>
      </w:r>
      <w:proofErr w:type="spellEnd"/>
      <w:r w:rsidR="00327B88">
        <w:rPr>
          <w:rFonts w:ascii="Times New Roman" w:hAnsi="Times New Roman" w:cs="Calibri"/>
          <w:color w:val="000000"/>
          <w:sz w:val="24"/>
          <w:szCs w:val="24"/>
        </w:rPr>
        <w:t xml:space="preserve"> and benchmarking</w:t>
      </w:r>
      <w:r w:rsidR="00C928DF">
        <w:rPr>
          <w:rFonts w:ascii="Times New Roman" w:hAnsi="Times New Roman" w:cs="Calibri"/>
          <w:color w:val="000000"/>
          <w:sz w:val="24"/>
          <w:szCs w:val="24"/>
        </w:rPr>
        <w:t>, a framework for thinking about such illustrated in Figure 3 above</w:t>
      </w:r>
      <w:r w:rsidR="00327B88">
        <w:rPr>
          <w:rFonts w:ascii="Times New Roman" w:hAnsi="Times New Roman" w:cs="Calibri"/>
          <w:color w:val="000000"/>
          <w:sz w:val="24"/>
          <w:szCs w:val="24"/>
        </w:rPr>
        <w:t>.  Whereas in stress testing and CCAR we have an emphasis of conservatism, and in credit rating</w:t>
      </w:r>
      <w:r w:rsidR="00C928DF">
        <w:rPr>
          <w:rFonts w:ascii="Times New Roman" w:hAnsi="Times New Roman" w:cs="Calibri"/>
          <w:color w:val="000000"/>
          <w:sz w:val="24"/>
          <w:szCs w:val="24"/>
        </w:rPr>
        <w:t>s</w:t>
      </w:r>
      <w:r w:rsidR="00327B88">
        <w:rPr>
          <w:rFonts w:ascii="Times New Roman" w:hAnsi="Times New Roman" w:cs="Calibri"/>
          <w:color w:val="000000"/>
          <w:sz w:val="24"/>
          <w:szCs w:val="24"/>
        </w:rPr>
        <w:t xml:space="preserve"> accuracy is balanced by co</w:t>
      </w:r>
      <w:r w:rsidR="00327B88">
        <w:rPr>
          <w:rFonts w:ascii="Times New Roman" w:hAnsi="Times New Roman" w:cs="Calibri"/>
          <w:color w:val="000000"/>
          <w:sz w:val="24"/>
          <w:szCs w:val="24"/>
        </w:rPr>
        <w:t>n</w:t>
      </w:r>
      <w:r w:rsidR="00327B88">
        <w:rPr>
          <w:rFonts w:ascii="Times New Roman" w:hAnsi="Times New Roman" w:cs="Calibri"/>
          <w:color w:val="000000"/>
          <w:sz w:val="24"/>
          <w:szCs w:val="24"/>
        </w:rPr>
        <w:t xml:space="preserve">siderations of stability or rating philosophy (e.g., a </w:t>
      </w:r>
      <w:r w:rsidR="00327B88" w:rsidRPr="00C928DF">
        <w:rPr>
          <w:rFonts w:ascii="Times New Roman" w:hAnsi="Times New Roman" w:cs="Calibri"/>
          <w:i/>
          <w:color w:val="000000"/>
          <w:sz w:val="24"/>
          <w:szCs w:val="24"/>
        </w:rPr>
        <w:t>through-the-cycle</w:t>
      </w:r>
      <w:r w:rsidR="00327B88">
        <w:rPr>
          <w:rFonts w:ascii="Times New Roman" w:hAnsi="Times New Roman" w:cs="Calibri"/>
          <w:color w:val="000000"/>
          <w:sz w:val="24"/>
          <w:szCs w:val="24"/>
        </w:rPr>
        <w:t xml:space="preserve"> orientation for underwriting of Basel application), in CECL the paramount considerations are the </w:t>
      </w:r>
      <w:r w:rsidR="00327B88" w:rsidRPr="00327B88">
        <w:rPr>
          <w:rFonts w:ascii="Times New Roman" w:hAnsi="Times New Roman" w:cs="Calibri"/>
          <w:i/>
          <w:color w:val="000000"/>
          <w:sz w:val="24"/>
          <w:szCs w:val="24"/>
        </w:rPr>
        <w:t>reasonableness</w:t>
      </w:r>
      <w:r w:rsidR="00327B88">
        <w:rPr>
          <w:rFonts w:ascii="Times New Roman" w:hAnsi="Times New Roman" w:cs="Calibri"/>
          <w:color w:val="000000"/>
          <w:sz w:val="24"/>
          <w:szCs w:val="24"/>
        </w:rPr>
        <w:t xml:space="preserve">, </w:t>
      </w:r>
      <w:r w:rsidR="00327B88" w:rsidRPr="00327B88">
        <w:rPr>
          <w:rFonts w:ascii="Times New Roman" w:hAnsi="Times New Roman" w:cs="Calibri"/>
          <w:i/>
          <w:color w:val="000000"/>
          <w:sz w:val="24"/>
          <w:szCs w:val="24"/>
        </w:rPr>
        <w:t>credibility</w:t>
      </w:r>
      <w:r w:rsidR="00327B88">
        <w:rPr>
          <w:rFonts w:ascii="Times New Roman" w:hAnsi="Times New Roman" w:cs="Calibri"/>
          <w:color w:val="000000"/>
          <w:sz w:val="24"/>
          <w:szCs w:val="24"/>
        </w:rPr>
        <w:t xml:space="preserve"> and </w:t>
      </w:r>
      <w:r w:rsidR="00327B88" w:rsidRPr="00327B88">
        <w:rPr>
          <w:rFonts w:ascii="Times New Roman" w:hAnsi="Times New Roman" w:cs="Calibri"/>
          <w:i/>
          <w:color w:val="000000"/>
          <w:sz w:val="24"/>
          <w:szCs w:val="24"/>
        </w:rPr>
        <w:t>unbiasedness</w:t>
      </w:r>
      <w:r w:rsidR="00327B88">
        <w:rPr>
          <w:rFonts w:ascii="Times New Roman" w:hAnsi="Times New Roman" w:cs="Calibri"/>
          <w:color w:val="000000"/>
          <w:sz w:val="24"/>
          <w:szCs w:val="24"/>
        </w:rPr>
        <w:t xml:space="preserve"> of estimates.</w:t>
      </w:r>
      <w:r w:rsidR="00C15CE1">
        <w:rPr>
          <w:rFonts w:ascii="Times New Roman" w:hAnsi="Times New Roman" w:cs="Calibri"/>
          <w:color w:val="000000"/>
          <w:sz w:val="24"/>
          <w:szCs w:val="24"/>
        </w:rPr>
        <w:t xml:space="preserve">  In the graphic for the sake of exposition we organize these </w:t>
      </w:r>
      <w:r w:rsidR="00C15CE1" w:rsidRPr="00C15CE1">
        <w:rPr>
          <w:rFonts w:ascii="Times New Roman" w:hAnsi="Times New Roman" w:cs="Calibri"/>
          <w:i/>
          <w:color w:val="000000"/>
          <w:sz w:val="24"/>
          <w:szCs w:val="24"/>
        </w:rPr>
        <w:t>model success criteria</w:t>
      </w:r>
      <w:r w:rsidR="00C15CE1">
        <w:rPr>
          <w:rFonts w:ascii="Times New Roman" w:hAnsi="Times New Roman" w:cs="Calibri"/>
          <w:color w:val="000000"/>
          <w:sz w:val="24"/>
          <w:szCs w:val="24"/>
        </w:rPr>
        <w:t xml:space="preserve"> concepts into 4 quadrants, labeling the positive and negative halves of the y-axis as quantitative versus qualitative considerations, respectively; and we add an additional element in the south-east quadrant, the qualitative elements of </w:t>
      </w:r>
      <w:r w:rsidR="00C15CE1" w:rsidRPr="00C15CE1">
        <w:rPr>
          <w:rFonts w:ascii="Times New Roman" w:hAnsi="Times New Roman" w:cs="Calibri"/>
          <w:i/>
          <w:color w:val="000000"/>
          <w:sz w:val="24"/>
          <w:szCs w:val="24"/>
        </w:rPr>
        <w:t>benchmarking &amp; sensitivity</w:t>
      </w:r>
      <w:r w:rsidR="00C15CE1">
        <w:rPr>
          <w:rFonts w:ascii="Times New Roman" w:hAnsi="Times New Roman" w:cs="Calibri"/>
          <w:color w:val="000000"/>
          <w:sz w:val="24"/>
          <w:szCs w:val="24"/>
        </w:rPr>
        <w:t xml:space="preserve">, as such exercises are at the intersection of bias and credibility considerations.  </w:t>
      </w:r>
    </w:p>
    <w:p w:rsidR="00055F8C" w:rsidRDefault="00055F8C" w:rsidP="00390011">
      <w:pPr>
        <w:jc w:val="both"/>
        <w:rPr>
          <w:rFonts w:ascii="Times New Roman" w:hAnsi="Times New Roman" w:cs="Calibri"/>
          <w:color w:val="000000"/>
          <w:sz w:val="24"/>
          <w:szCs w:val="24"/>
        </w:rPr>
      </w:pPr>
      <w:r>
        <w:rPr>
          <w:rFonts w:ascii="Times New Roman" w:hAnsi="Times New Roman" w:cs="Calibri"/>
          <w:color w:val="000000"/>
          <w:sz w:val="24"/>
          <w:szCs w:val="24"/>
        </w:rPr>
        <w:t xml:space="preserve">Turning first to quantitative criteria, </w:t>
      </w:r>
      <w:r w:rsidR="00C15CE1">
        <w:rPr>
          <w:rFonts w:ascii="Times New Roman" w:hAnsi="Times New Roman" w:cs="Calibri"/>
          <w:color w:val="000000"/>
          <w:sz w:val="24"/>
          <w:szCs w:val="24"/>
        </w:rPr>
        <w:t xml:space="preserve">regarding accuracy </w:t>
      </w:r>
      <w:r w:rsidR="005C6FF0">
        <w:rPr>
          <w:rFonts w:ascii="Times New Roman" w:hAnsi="Times New Roman" w:cs="Calibri"/>
          <w:color w:val="000000"/>
          <w:sz w:val="24"/>
          <w:szCs w:val="24"/>
        </w:rPr>
        <w:t>we have the extant g</w:t>
      </w:r>
      <w:r w:rsidR="00C15CE1" w:rsidRPr="00C15CE1">
        <w:rPr>
          <w:rFonts w:ascii="Times New Roman" w:hAnsi="Times New Roman" w:cs="Calibri"/>
          <w:color w:val="000000"/>
          <w:sz w:val="24"/>
          <w:szCs w:val="24"/>
        </w:rPr>
        <w:t>oodness</w:t>
      </w:r>
      <w:r w:rsidR="005C6FF0">
        <w:rPr>
          <w:rFonts w:ascii="Times New Roman" w:hAnsi="Times New Roman" w:cs="Calibri"/>
          <w:color w:val="000000"/>
          <w:sz w:val="24"/>
          <w:szCs w:val="24"/>
        </w:rPr>
        <w:t>-</w:t>
      </w:r>
      <w:r w:rsidR="00C15CE1" w:rsidRPr="00C15CE1">
        <w:rPr>
          <w:rFonts w:ascii="Times New Roman" w:hAnsi="Times New Roman" w:cs="Calibri"/>
          <w:color w:val="000000"/>
          <w:sz w:val="24"/>
          <w:szCs w:val="24"/>
        </w:rPr>
        <w:t>of</w:t>
      </w:r>
      <w:r w:rsidR="005C6FF0">
        <w:rPr>
          <w:rFonts w:ascii="Times New Roman" w:hAnsi="Times New Roman" w:cs="Calibri"/>
          <w:color w:val="000000"/>
          <w:sz w:val="24"/>
          <w:szCs w:val="24"/>
        </w:rPr>
        <w:t>-</w:t>
      </w:r>
      <w:r w:rsidR="00C15CE1" w:rsidRPr="00C15CE1">
        <w:rPr>
          <w:rFonts w:ascii="Times New Roman" w:hAnsi="Times New Roman" w:cs="Calibri"/>
          <w:color w:val="000000"/>
          <w:sz w:val="24"/>
          <w:szCs w:val="24"/>
        </w:rPr>
        <w:t xml:space="preserve">fit </w:t>
      </w:r>
      <w:r w:rsidR="005C6FF0">
        <w:rPr>
          <w:rFonts w:ascii="Times New Roman" w:hAnsi="Times New Roman" w:cs="Calibri"/>
          <w:color w:val="000000"/>
          <w:sz w:val="24"/>
          <w:szCs w:val="24"/>
        </w:rPr>
        <w:t>criteria of the CECL</w:t>
      </w:r>
      <w:r w:rsidR="00C15CE1" w:rsidRPr="00C15CE1">
        <w:rPr>
          <w:rFonts w:ascii="Times New Roman" w:hAnsi="Times New Roman" w:cs="Calibri"/>
          <w:color w:val="000000"/>
          <w:sz w:val="24"/>
          <w:szCs w:val="24"/>
        </w:rPr>
        <w:t xml:space="preserve"> component models </w:t>
      </w:r>
      <w:r w:rsidR="005C6FF0">
        <w:rPr>
          <w:rFonts w:ascii="Times New Roman" w:hAnsi="Times New Roman" w:cs="Calibri"/>
          <w:color w:val="000000"/>
          <w:sz w:val="24"/>
          <w:szCs w:val="24"/>
        </w:rPr>
        <w:t xml:space="preserve">(RMM, </w:t>
      </w:r>
      <w:r w:rsidR="00C15CE1" w:rsidRPr="00C15CE1">
        <w:rPr>
          <w:rFonts w:ascii="Times New Roman" w:hAnsi="Times New Roman" w:cs="Calibri"/>
          <w:color w:val="000000"/>
          <w:sz w:val="24"/>
          <w:szCs w:val="24"/>
        </w:rPr>
        <w:t>PD, LGD</w:t>
      </w:r>
      <w:r w:rsidR="005C6FF0">
        <w:rPr>
          <w:rFonts w:ascii="Times New Roman" w:hAnsi="Times New Roman" w:cs="Calibri"/>
          <w:color w:val="000000"/>
          <w:sz w:val="24"/>
          <w:szCs w:val="24"/>
        </w:rPr>
        <w:t xml:space="preserve"> or</w:t>
      </w:r>
      <w:r w:rsidR="00C15CE1" w:rsidRPr="00C15CE1">
        <w:rPr>
          <w:rFonts w:ascii="Times New Roman" w:hAnsi="Times New Roman" w:cs="Calibri"/>
          <w:color w:val="000000"/>
          <w:sz w:val="24"/>
          <w:szCs w:val="24"/>
        </w:rPr>
        <w:t xml:space="preserve"> EAD</w:t>
      </w:r>
      <w:r w:rsidR="005C6FF0">
        <w:rPr>
          <w:rFonts w:ascii="Times New Roman" w:hAnsi="Times New Roman" w:cs="Calibri"/>
          <w:color w:val="000000"/>
          <w:sz w:val="24"/>
          <w:szCs w:val="24"/>
        </w:rPr>
        <w:t xml:space="preserve">), both </w:t>
      </w:r>
      <w:r w:rsidR="00C15CE1" w:rsidRPr="00C15CE1">
        <w:rPr>
          <w:rFonts w:ascii="Times New Roman" w:hAnsi="Times New Roman" w:cs="Calibri"/>
          <w:color w:val="000000"/>
          <w:sz w:val="24"/>
          <w:szCs w:val="24"/>
        </w:rPr>
        <w:t>in- &amp; out-of-sample</w:t>
      </w:r>
      <w:r w:rsidR="005C6FF0">
        <w:rPr>
          <w:rFonts w:ascii="Times New Roman" w:hAnsi="Times New Roman" w:cs="Calibri"/>
          <w:color w:val="000000"/>
          <w:sz w:val="24"/>
          <w:szCs w:val="24"/>
        </w:rPr>
        <w:t xml:space="preserve">, as well as for the </w:t>
      </w:r>
      <w:r w:rsidR="00C15CE1" w:rsidRPr="00C15CE1">
        <w:rPr>
          <w:rFonts w:ascii="Times New Roman" w:hAnsi="Times New Roman" w:cs="Calibri"/>
          <w:color w:val="000000"/>
          <w:sz w:val="24"/>
          <w:szCs w:val="24"/>
        </w:rPr>
        <w:t>combined ECL</w:t>
      </w:r>
      <w:r w:rsidR="009035E6">
        <w:rPr>
          <w:rFonts w:ascii="Times New Roman" w:hAnsi="Times New Roman" w:cs="Calibri"/>
          <w:color w:val="000000"/>
          <w:sz w:val="24"/>
          <w:szCs w:val="24"/>
        </w:rPr>
        <w:t xml:space="preserve">.  This aspect of CECL </w:t>
      </w:r>
      <w:proofErr w:type="spellStart"/>
      <w:r w:rsidR="009035E6">
        <w:rPr>
          <w:rFonts w:ascii="Times New Roman" w:hAnsi="Times New Roman" w:cs="Calibri"/>
          <w:color w:val="000000"/>
          <w:sz w:val="24"/>
          <w:szCs w:val="24"/>
        </w:rPr>
        <w:t>backtesting</w:t>
      </w:r>
      <w:proofErr w:type="spellEnd"/>
      <w:r w:rsidR="009035E6">
        <w:rPr>
          <w:rFonts w:ascii="Times New Roman" w:hAnsi="Times New Roman" w:cs="Calibri"/>
          <w:color w:val="000000"/>
          <w:sz w:val="24"/>
          <w:szCs w:val="24"/>
        </w:rPr>
        <w:t xml:space="preserve"> </w:t>
      </w:r>
      <w:r w:rsidR="00CA1F36">
        <w:rPr>
          <w:rFonts w:ascii="Times New Roman" w:hAnsi="Times New Roman" w:cs="Calibri"/>
          <w:color w:val="000000"/>
          <w:sz w:val="24"/>
          <w:szCs w:val="24"/>
        </w:rPr>
        <w:t>may</w:t>
      </w:r>
      <w:r w:rsidR="009035E6">
        <w:rPr>
          <w:rFonts w:ascii="Times New Roman" w:hAnsi="Times New Roman" w:cs="Calibri"/>
          <w:color w:val="000000"/>
          <w:sz w:val="24"/>
          <w:szCs w:val="24"/>
        </w:rPr>
        <w:t xml:space="preserve"> leverage e</w:t>
      </w:r>
      <w:r w:rsidR="00C15CE1" w:rsidRPr="00C15CE1">
        <w:rPr>
          <w:rFonts w:ascii="Times New Roman" w:hAnsi="Times New Roman" w:cs="Calibri"/>
          <w:color w:val="000000"/>
          <w:sz w:val="24"/>
          <w:szCs w:val="24"/>
        </w:rPr>
        <w:t xml:space="preserve">xisting success criteria (e.g., CCAR, ALLL) </w:t>
      </w:r>
      <w:r w:rsidR="009035E6">
        <w:rPr>
          <w:rFonts w:ascii="Times New Roman" w:hAnsi="Times New Roman" w:cs="Calibri"/>
          <w:color w:val="000000"/>
          <w:sz w:val="24"/>
          <w:szCs w:val="24"/>
        </w:rPr>
        <w:t xml:space="preserve">in </w:t>
      </w:r>
      <w:r w:rsidR="00C15CE1" w:rsidRPr="00C15CE1">
        <w:rPr>
          <w:rFonts w:ascii="Times New Roman" w:hAnsi="Times New Roman" w:cs="Calibri"/>
          <w:color w:val="000000"/>
          <w:sz w:val="24"/>
          <w:szCs w:val="24"/>
        </w:rPr>
        <w:t>determin</w:t>
      </w:r>
      <w:r w:rsidR="009035E6">
        <w:rPr>
          <w:rFonts w:ascii="Times New Roman" w:hAnsi="Times New Roman" w:cs="Calibri"/>
          <w:color w:val="000000"/>
          <w:sz w:val="24"/>
          <w:szCs w:val="24"/>
        </w:rPr>
        <w:t>ing</w:t>
      </w:r>
      <w:r w:rsidR="00C15CE1" w:rsidRPr="00C15CE1">
        <w:rPr>
          <w:rFonts w:ascii="Times New Roman" w:hAnsi="Times New Roman" w:cs="Calibri"/>
          <w:color w:val="000000"/>
          <w:sz w:val="24"/>
          <w:szCs w:val="24"/>
        </w:rPr>
        <w:t xml:space="preserve"> how the firm defines accuracy</w:t>
      </w:r>
      <w:r w:rsidR="00E47EEC">
        <w:rPr>
          <w:rFonts w:ascii="Times New Roman" w:hAnsi="Times New Roman" w:cs="Calibri"/>
          <w:color w:val="000000"/>
          <w:sz w:val="24"/>
          <w:szCs w:val="24"/>
        </w:rPr>
        <w:t xml:space="preserve">.  However, in the context of credit parameter or bottoms-up models, </w:t>
      </w:r>
      <w:r w:rsidR="00CA1F36">
        <w:rPr>
          <w:rFonts w:ascii="Times New Roman" w:hAnsi="Times New Roman" w:cs="Calibri"/>
          <w:color w:val="000000"/>
          <w:sz w:val="24"/>
          <w:szCs w:val="24"/>
        </w:rPr>
        <w:t xml:space="preserve">the nuance for total ECL testing in the CECL setting </w:t>
      </w:r>
      <w:r w:rsidR="00595B1F">
        <w:rPr>
          <w:rFonts w:ascii="Times New Roman" w:hAnsi="Times New Roman" w:cs="Calibri"/>
          <w:color w:val="000000"/>
          <w:sz w:val="24"/>
          <w:szCs w:val="24"/>
        </w:rPr>
        <w:t xml:space="preserve">for </w:t>
      </w:r>
      <w:r w:rsidR="00CA1F36">
        <w:rPr>
          <w:rFonts w:ascii="Times New Roman" w:hAnsi="Times New Roman" w:cs="Calibri"/>
          <w:color w:val="000000"/>
          <w:sz w:val="24"/>
          <w:szCs w:val="24"/>
        </w:rPr>
        <w:t>is that the conse</w:t>
      </w:r>
      <w:r w:rsidR="00595B1F">
        <w:rPr>
          <w:rFonts w:ascii="Times New Roman" w:hAnsi="Times New Roman" w:cs="Calibri"/>
          <w:color w:val="000000"/>
          <w:sz w:val="24"/>
          <w:szCs w:val="24"/>
        </w:rPr>
        <w:t>quence of combining these estimate</w:t>
      </w:r>
      <w:r w:rsidR="00E47EEC">
        <w:rPr>
          <w:rFonts w:ascii="Times New Roman" w:hAnsi="Times New Roman" w:cs="Calibri"/>
          <w:color w:val="000000"/>
          <w:sz w:val="24"/>
          <w:szCs w:val="24"/>
        </w:rPr>
        <w:t xml:space="preserve">s is that the interaction of model errors may impact accuracy in the aggregate, and this is </w:t>
      </w:r>
      <w:r w:rsidR="00390011">
        <w:rPr>
          <w:rFonts w:ascii="Times New Roman" w:hAnsi="Times New Roman" w:cs="Calibri"/>
          <w:color w:val="000000"/>
          <w:sz w:val="24"/>
          <w:szCs w:val="24"/>
        </w:rPr>
        <w:t>m</w:t>
      </w:r>
      <w:r w:rsidR="00E47EEC">
        <w:rPr>
          <w:rFonts w:ascii="Times New Roman" w:hAnsi="Times New Roman" w:cs="Calibri"/>
          <w:color w:val="000000"/>
          <w:sz w:val="24"/>
          <w:szCs w:val="24"/>
        </w:rPr>
        <w:t>ore problematic in the CECL as opposed to the CCAR application.</w:t>
      </w:r>
      <w:r w:rsidR="00390011">
        <w:rPr>
          <w:rFonts w:ascii="Times New Roman" w:hAnsi="Times New Roman" w:cs="Calibri"/>
          <w:color w:val="000000"/>
          <w:sz w:val="24"/>
          <w:szCs w:val="24"/>
        </w:rPr>
        <w:t xml:space="preserve">  </w:t>
      </w:r>
      <w:r w:rsidR="00CA1F36">
        <w:rPr>
          <w:rFonts w:ascii="Times New Roman" w:hAnsi="Times New Roman" w:cs="Calibri"/>
          <w:color w:val="000000"/>
          <w:sz w:val="24"/>
          <w:szCs w:val="24"/>
        </w:rPr>
        <w:t xml:space="preserve">Regarding the </w:t>
      </w:r>
      <w:r w:rsidR="00390011">
        <w:rPr>
          <w:rFonts w:ascii="Times New Roman" w:hAnsi="Times New Roman" w:cs="Calibri"/>
          <w:color w:val="000000"/>
          <w:sz w:val="24"/>
          <w:szCs w:val="24"/>
        </w:rPr>
        <w:t xml:space="preserve">quantitative </w:t>
      </w:r>
      <w:r w:rsidR="00CA1F36">
        <w:rPr>
          <w:rFonts w:ascii="Times New Roman" w:hAnsi="Times New Roman" w:cs="Calibri"/>
          <w:color w:val="000000"/>
          <w:sz w:val="24"/>
          <w:szCs w:val="24"/>
        </w:rPr>
        <w:t xml:space="preserve">criterion of unbiasedness, </w:t>
      </w:r>
      <w:r w:rsidR="00390011">
        <w:rPr>
          <w:rFonts w:ascii="Times New Roman" w:hAnsi="Times New Roman" w:cs="Calibri"/>
          <w:color w:val="000000"/>
          <w:sz w:val="24"/>
          <w:szCs w:val="24"/>
        </w:rPr>
        <w:t>the expectation is that the m</w:t>
      </w:r>
      <w:r w:rsidR="00CA1F36" w:rsidRPr="00CA1F36">
        <w:rPr>
          <w:rFonts w:ascii="Times New Roman" w:hAnsi="Times New Roman" w:cs="Calibri"/>
          <w:color w:val="000000"/>
          <w:sz w:val="24"/>
          <w:szCs w:val="24"/>
        </w:rPr>
        <w:t>odel for each risk parameter</w:t>
      </w:r>
      <w:r w:rsidR="00390011">
        <w:rPr>
          <w:rFonts w:ascii="Times New Roman" w:hAnsi="Times New Roman" w:cs="Calibri"/>
          <w:color w:val="000000"/>
          <w:sz w:val="24"/>
          <w:szCs w:val="24"/>
        </w:rPr>
        <w:t>, as well as the combined ECL estimate, does</w:t>
      </w:r>
      <w:r w:rsidR="00CA1F36" w:rsidRPr="00CA1F36">
        <w:rPr>
          <w:rFonts w:ascii="Times New Roman" w:hAnsi="Times New Roman" w:cs="Calibri"/>
          <w:color w:val="000000"/>
          <w:sz w:val="24"/>
          <w:szCs w:val="24"/>
        </w:rPr>
        <w:t xml:space="preserve"> not systematically overestimat</w:t>
      </w:r>
      <w:r w:rsidR="00390011">
        <w:rPr>
          <w:rFonts w:ascii="Times New Roman" w:hAnsi="Times New Roman" w:cs="Calibri"/>
          <w:color w:val="000000"/>
          <w:sz w:val="24"/>
          <w:szCs w:val="24"/>
        </w:rPr>
        <w:t>e</w:t>
      </w:r>
      <w:r w:rsidR="00CA1F36" w:rsidRPr="00CA1F36">
        <w:rPr>
          <w:rFonts w:ascii="Times New Roman" w:hAnsi="Times New Roman" w:cs="Calibri"/>
          <w:color w:val="000000"/>
          <w:sz w:val="24"/>
          <w:szCs w:val="24"/>
        </w:rPr>
        <w:t xml:space="preserve"> or underestimat</w:t>
      </w:r>
      <w:r w:rsidR="00390011">
        <w:rPr>
          <w:rFonts w:ascii="Times New Roman" w:hAnsi="Times New Roman" w:cs="Calibri"/>
          <w:color w:val="000000"/>
          <w:sz w:val="24"/>
          <w:szCs w:val="24"/>
        </w:rPr>
        <w:t xml:space="preserve">e.  This quantitative model success criterion is related to accuracy yet a distinct concept, in that for CECL there will be </w:t>
      </w:r>
      <w:r w:rsidR="006F6AF5">
        <w:rPr>
          <w:rFonts w:ascii="Times New Roman" w:hAnsi="Times New Roman" w:cs="Calibri"/>
          <w:color w:val="000000"/>
          <w:sz w:val="24"/>
          <w:szCs w:val="24"/>
        </w:rPr>
        <w:t xml:space="preserve">particular </w:t>
      </w:r>
      <w:r w:rsidR="00390011">
        <w:rPr>
          <w:rFonts w:ascii="Times New Roman" w:hAnsi="Times New Roman" w:cs="Calibri"/>
          <w:color w:val="000000"/>
          <w:sz w:val="24"/>
          <w:szCs w:val="24"/>
        </w:rPr>
        <w:t xml:space="preserve">scrutiny </w:t>
      </w:r>
      <w:r w:rsidR="006F6AF5">
        <w:rPr>
          <w:rFonts w:ascii="Times New Roman" w:hAnsi="Times New Roman" w:cs="Calibri"/>
          <w:color w:val="000000"/>
          <w:sz w:val="24"/>
          <w:szCs w:val="24"/>
        </w:rPr>
        <w:t>of cumulative percent errors over certain key historical periods, such as the recent benign period that purportedly could precede a downturn.</w:t>
      </w:r>
    </w:p>
    <w:p w:rsidR="00431B86" w:rsidRDefault="008A1725" w:rsidP="00431B86">
      <w:pPr>
        <w:jc w:val="both"/>
        <w:rPr>
          <w:rFonts w:ascii="Times New Roman" w:hAnsi="Times New Roman" w:cs="Calibri"/>
          <w:color w:val="000000"/>
          <w:sz w:val="24"/>
          <w:szCs w:val="24"/>
        </w:rPr>
      </w:pPr>
      <w:r>
        <w:rPr>
          <w:rFonts w:ascii="Times New Roman" w:hAnsi="Times New Roman" w:cs="Calibri"/>
          <w:color w:val="000000"/>
          <w:sz w:val="24"/>
          <w:szCs w:val="24"/>
        </w:rPr>
        <w:t>Next we turn to discussion of the qualitative model success criteria.</w:t>
      </w:r>
      <w:r w:rsidR="00237325">
        <w:rPr>
          <w:rFonts w:ascii="Times New Roman" w:hAnsi="Times New Roman" w:cs="Calibri"/>
          <w:color w:val="000000"/>
          <w:sz w:val="24"/>
          <w:szCs w:val="24"/>
        </w:rPr>
        <w:t xml:space="preserve">  First considering the re</w:t>
      </w:r>
      <w:r w:rsidR="00237325">
        <w:rPr>
          <w:rFonts w:ascii="Times New Roman" w:hAnsi="Times New Roman" w:cs="Calibri"/>
          <w:color w:val="000000"/>
          <w:sz w:val="24"/>
          <w:szCs w:val="24"/>
        </w:rPr>
        <w:t>a</w:t>
      </w:r>
      <w:r w:rsidR="00237325">
        <w:rPr>
          <w:rFonts w:ascii="Times New Roman" w:hAnsi="Times New Roman" w:cs="Calibri"/>
          <w:color w:val="000000"/>
          <w:sz w:val="24"/>
          <w:szCs w:val="24"/>
        </w:rPr>
        <w:t>sonability / credibility criterion for CECL estimates, a desirable characteristic is that expected</w:t>
      </w:r>
      <w:r w:rsidRPr="008A1725">
        <w:rPr>
          <w:rFonts w:ascii="Times New Roman" w:hAnsi="Times New Roman" w:cs="Calibri"/>
          <w:color w:val="000000"/>
          <w:sz w:val="24"/>
          <w:szCs w:val="24"/>
        </w:rPr>
        <w:t xml:space="preserve"> component </w:t>
      </w:r>
      <w:r w:rsidR="00237325">
        <w:rPr>
          <w:rFonts w:ascii="Times New Roman" w:hAnsi="Times New Roman" w:cs="Calibri"/>
          <w:color w:val="000000"/>
          <w:sz w:val="24"/>
          <w:szCs w:val="24"/>
        </w:rPr>
        <w:t>risk model or aggregate</w:t>
      </w:r>
      <w:r w:rsidRPr="008A1725">
        <w:rPr>
          <w:rFonts w:ascii="Times New Roman" w:hAnsi="Times New Roman" w:cs="Calibri"/>
          <w:color w:val="000000"/>
          <w:sz w:val="24"/>
          <w:szCs w:val="24"/>
        </w:rPr>
        <w:t xml:space="preserve"> ECL forecasts </w:t>
      </w:r>
      <w:r w:rsidR="00237325">
        <w:rPr>
          <w:rFonts w:ascii="Times New Roman" w:hAnsi="Times New Roman" w:cs="Calibri"/>
          <w:color w:val="000000"/>
          <w:sz w:val="24"/>
          <w:szCs w:val="24"/>
        </w:rPr>
        <w:t>neither</w:t>
      </w:r>
      <w:r w:rsidRPr="008A1725">
        <w:rPr>
          <w:rFonts w:ascii="Times New Roman" w:hAnsi="Times New Roman" w:cs="Calibri"/>
          <w:color w:val="000000"/>
          <w:sz w:val="24"/>
          <w:szCs w:val="24"/>
        </w:rPr>
        <w:t xml:space="preserve"> increase </w:t>
      </w:r>
      <w:r w:rsidR="00237325">
        <w:rPr>
          <w:rFonts w:ascii="Times New Roman" w:hAnsi="Times New Roman" w:cs="Calibri"/>
          <w:color w:val="000000"/>
          <w:sz w:val="24"/>
          <w:szCs w:val="24"/>
        </w:rPr>
        <w:t>nor</w:t>
      </w:r>
      <w:r w:rsidRPr="008A1725">
        <w:rPr>
          <w:rFonts w:ascii="Times New Roman" w:hAnsi="Times New Roman" w:cs="Calibri"/>
          <w:color w:val="000000"/>
          <w:sz w:val="24"/>
          <w:szCs w:val="24"/>
        </w:rPr>
        <w:t xml:space="preserve"> decrease </w:t>
      </w:r>
      <w:r w:rsidR="00237325">
        <w:rPr>
          <w:rFonts w:ascii="Times New Roman" w:hAnsi="Times New Roman" w:cs="Calibri"/>
          <w:color w:val="000000"/>
          <w:sz w:val="24"/>
          <w:szCs w:val="24"/>
        </w:rPr>
        <w:t xml:space="preserve">in </w:t>
      </w:r>
      <w:r w:rsidR="00237325" w:rsidRPr="008A1725">
        <w:rPr>
          <w:rFonts w:ascii="Times New Roman" w:hAnsi="Times New Roman" w:cs="Calibri"/>
          <w:color w:val="000000"/>
          <w:sz w:val="24"/>
          <w:szCs w:val="24"/>
        </w:rPr>
        <w:t>perpetu</w:t>
      </w:r>
      <w:r w:rsidR="00237325">
        <w:rPr>
          <w:rFonts w:ascii="Times New Roman" w:hAnsi="Times New Roman" w:cs="Calibri"/>
          <w:color w:val="000000"/>
          <w:sz w:val="24"/>
          <w:szCs w:val="24"/>
        </w:rPr>
        <w:t xml:space="preserve">ity.  Depending upon the economic environment that we are expected to enter, after a period of either elevated or muted losses, there should be a reversion to a level consistent with average experience over the long term.  This requires a reversion mechanism taking us from the </w:t>
      </w:r>
      <w:r w:rsidR="00237325" w:rsidRPr="00237325">
        <w:rPr>
          <w:rFonts w:ascii="Times New Roman" w:hAnsi="Times New Roman" w:cs="Calibri"/>
          <w:i/>
          <w:color w:val="000000"/>
          <w:sz w:val="24"/>
          <w:szCs w:val="24"/>
        </w:rPr>
        <w:t>reasonable and supportable forecast</w:t>
      </w:r>
      <w:r w:rsidR="00237325">
        <w:rPr>
          <w:rFonts w:ascii="Times New Roman" w:hAnsi="Times New Roman" w:cs="Calibri"/>
          <w:color w:val="000000"/>
          <w:sz w:val="24"/>
          <w:szCs w:val="24"/>
        </w:rPr>
        <w:t xml:space="preserve"> (“RSF”) to the </w:t>
      </w:r>
      <w:r w:rsidR="00237325" w:rsidRPr="00237325">
        <w:rPr>
          <w:rFonts w:ascii="Times New Roman" w:hAnsi="Times New Roman" w:cs="Calibri"/>
          <w:i/>
          <w:color w:val="000000"/>
          <w:sz w:val="24"/>
          <w:szCs w:val="24"/>
        </w:rPr>
        <w:t>long-run average</w:t>
      </w:r>
      <w:r w:rsidR="00237325">
        <w:rPr>
          <w:rFonts w:ascii="Times New Roman" w:hAnsi="Times New Roman" w:cs="Calibri"/>
          <w:color w:val="000000"/>
          <w:sz w:val="24"/>
          <w:szCs w:val="24"/>
        </w:rPr>
        <w:t xml:space="preserve"> (“LRA”) period that yields such an intuitive pattern, which is usually a mechanism that is not completely statistical in nature.  For example, we may have immediate, linear or curvilinear reversion paths of some kind.</w:t>
      </w:r>
      <w:r w:rsidR="007B5608">
        <w:rPr>
          <w:rFonts w:ascii="Times New Roman" w:hAnsi="Times New Roman" w:cs="Calibri"/>
          <w:color w:val="000000"/>
          <w:sz w:val="24"/>
          <w:szCs w:val="24"/>
        </w:rPr>
        <w:t xml:space="preserve">  That leads to the challenge in determining how to specify ECL curves in the LRA – options include reverting to long-run loss rates in segments, in</w:t>
      </w:r>
      <w:r w:rsidR="00037697">
        <w:rPr>
          <w:rFonts w:ascii="Times New Roman" w:hAnsi="Times New Roman" w:cs="Calibri"/>
          <w:color w:val="000000"/>
          <w:sz w:val="24"/>
          <w:szCs w:val="24"/>
        </w:rPr>
        <w:t>jecting</w:t>
      </w:r>
      <w:r w:rsidR="007B5608">
        <w:rPr>
          <w:rFonts w:ascii="Times New Roman" w:hAnsi="Times New Roman" w:cs="Calibri"/>
          <w:color w:val="000000"/>
          <w:sz w:val="24"/>
          <w:szCs w:val="24"/>
        </w:rPr>
        <w:t xml:space="preserve"> long-run averages of macroeconomic variables into forecasting models or leveraging long-run averages for risk parameter components</w:t>
      </w:r>
      <w:r w:rsidR="0010196E">
        <w:rPr>
          <w:rFonts w:ascii="Times New Roman" w:hAnsi="Times New Roman" w:cs="Calibri"/>
          <w:color w:val="000000"/>
          <w:sz w:val="24"/>
          <w:szCs w:val="24"/>
        </w:rPr>
        <w:t>; and the just</w:t>
      </w:r>
      <w:r w:rsidR="0010196E">
        <w:rPr>
          <w:rFonts w:ascii="Times New Roman" w:hAnsi="Times New Roman" w:cs="Calibri"/>
          <w:color w:val="000000"/>
          <w:sz w:val="24"/>
          <w:szCs w:val="24"/>
        </w:rPr>
        <w:t>i</w:t>
      </w:r>
      <w:r w:rsidR="0010196E">
        <w:rPr>
          <w:rFonts w:ascii="Times New Roman" w:hAnsi="Times New Roman" w:cs="Calibri"/>
          <w:color w:val="000000"/>
          <w:sz w:val="24"/>
          <w:szCs w:val="24"/>
        </w:rPr>
        <w:lastRenderedPageBreak/>
        <w:t>fication for these choices rests largely upon judgmental and not purely quantitative considerations</w:t>
      </w:r>
      <w:r w:rsidR="007B5608">
        <w:rPr>
          <w:rFonts w:ascii="Times New Roman" w:hAnsi="Times New Roman" w:cs="Calibri"/>
          <w:color w:val="000000"/>
          <w:sz w:val="24"/>
          <w:szCs w:val="24"/>
        </w:rPr>
        <w:t>.</w:t>
      </w:r>
      <w:r w:rsidR="0010196E">
        <w:rPr>
          <w:rFonts w:ascii="Times New Roman" w:hAnsi="Times New Roman" w:cs="Calibri"/>
          <w:color w:val="000000"/>
          <w:sz w:val="24"/>
          <w:szCs w:val="24"/>
        </w:rPr>
        <w:t xml:space="preserve">  Another qualitative element of this dimension is that for macroeconomic forecasts </w:t>
      </w:r>
      <w:r w:rsidR="000949E0">
        <w:rPr>
          <w:rFonts w:ascii="Times New Roman" w:hAnsi="Times New Roman" w:cs="Calibri"/>
          <w:color w:val="000000"/>
          <w:sz w:val="24"/>
          <w:szCs w:val="24"/>
        </w:rPr>
        <w:t xml:space="preserve">intended to be </w:t>
      </w:r>
      <w:r w:rsidR="0010196E">
        <w:rPr>
          <w:rFonts w:ascii="Times New Roman" w:hAnsi="Times New Roman" w:cs="Calibri"/>
          <w:color w:val="000000"/>
          <w:sz w:val="24"/>
          <w:szCs w:val="24"/>
        </w:rPr>
        <w:t>comparable</w:t>
      </w:r>
      <w:r w:rsidR="0010196E" w:rsidRPr="008A1725">
        <w:rPr>
          <w:rFonts w:ascii="Times New Roman" w:hAnsi="Times New Roman" w:cs="Calibri"/>
          <w:color w:val="000000"/>
          <w:sz w:val="24"/>
          <w:szCs w:val="24"/>
        </w:rPr>
        <w:t xml:space="preserve"> </w:t>
      </w:r>
      <w:r w:rsidRPr="008A1725">
        <w:rPr>
          <w:rFonts w:ascii="Times New Roman" w:hAnsi="Times New Roman" w:cs="Calibri"/>
          <w:color w:val="000000"/>
          <w:sz w:val="24"/>
          <w:szCs w:val="24"/>
        </w:rPr>
        <w:t xml:space="preserve">to </w:t>
      </w:r>
      <w:r w:rsidR="0010196E">
        <w:rPr>
          <w:rFonts w:ascii="Times New Roman" w:hAnsi="Times New Roman" w:cs="Calibri"/>
          <w:color w:val="000000"/>
          <w:sz w:val="24"/>
          <w:szCs w:val="24"/>
        </w:rPr>
        <w:t xml:space="preserve">certain </w:t>
      </w:r>
      <w:r w:rsidRPr="008A1725">
        <w:rPr>
          <w:rFonts w:ascii="Times New Roman" w:hAnsi="Times New Roman" w:cs="Calibri"/>
          <w:color w:val="000000"/>
          <w:sz w:val="24"/>
          <w:szCs w:val="24"/>
        </w:rPr>
        <w:t>historical economic cycles</w:t>
      </w:r>
      <w:r w:rsidR="0010196E">
        <w:rPr>
          <w:rFonts w:ascii="Times New Roman" w:hAnsi="Times New Roman" w:cs="Calibri"/>
          <w:color w:val="000000"/>
          <w:sz w:val="24"/>
          <w:szCs w:val="24"/>
        </w:rPr>
        <w:t>,</w:t>
      </w:r>
      <w:r w:rsidRPr="008A1725">
        <w:rPr>
          <w:rFonts w:ascii="Times New Roman" w:hAnsi="Times New Roman" w:cs="Calibri"/>
          <w:color w:val="000000"/>
          <w:sz w:val="24"/>
          <w:szCs w:val="24"/>
        </w:rPr>
        <w:t xml:space="preserve"> </w:t>
      </w:r>
      <w:r w:rsidR="000949E0">
        <w:rPr>
          <w:rFonts w:ascii="Times New Roman" w:hAnsi="Times New Roman" w:cs="Calibri"/>
          <w:color w:val="000000"/>
          <w:sz w:val="24"/>
          <w:szCs w:val="24"/>
        </w:rPr>
        <w:t>such</w:t>
      </w:r>
      <w:r w:rsidRPr="008A1725">
        <w:rPr>
          <w:rFonts w:ascii="Times New Roman" w:hAnsi="Times New Roman" w:cs="Calibri"/>
          <w:color w:val="000000"/>
          <w:sz w:val="24"/>
          <w:szCs w:val="24"/>
        </w:rPr>
        <w:t xml:space="preserve"> </w:t>
      </w:r>
      <w:r w:rsidR="0010196E">
        <w:rPr>
          <w:rFonts w:ascii="Times New Roman" w:hAnsi="Times New Roman" w:cs="Calibri"/>
          <w:color w:val="000000"/>
          <w:sz w:val="24"/>
          <w:szCs w:val="24"/>
        </w:rPr>
        <w:t xml:space="preserve">corresponding risk </w:t>
      </w:r>
      <w:r w:rsidRPr="008A1725">
        <w:rPr>
          <w:rFonts w:ascii="Times New Roman" w:hAnsi="Times New Roman" w:cs="Calibri"/>
          <w:color w:val="000000"/>
          <w:sz w:val="24"/>
          <w:szCs w:val="24"/>
        </w:rPr>
        <w:t>component</w:t>
      </w:r>
      <w:r w:rsidR="000949E0">
        <w:rPr>
          <w:rFonts w:ascii="Times New Roman" w:hAnsi="Times New Roman" w:cs="Calibri"/>
          <w:color w:val="000000"/>
          <w:sz w:val="24"/>
          <w:szCs w:val="24"/>
        </w:rPr>
        <w:t>s</w:t>
      </w:r>
      <w:r w:rsidRPr="008A1725">
        <w:rPr>
          <w:rFonts w:ascii="Times New Roman" w:hAnsi="Times New Roman" w:cs="Calibri"/>
          <w:color w:val="000000"/>
          <w:sz w:val="24"/>
          <w:szCs w:val="24"/>
        </w:rPr>
        <w:t xml:space="preserve"> </w:t>
      </w:r>
      <w:r w:rsidR="0010196E">
        <w:rPr>
          <w:rFonts w:ascii="Times New Roman" w:hAnsi="Times New Roman" w:cs="Calibri"/>
          <w:color w:val="000000"/>
          <w:sz w:val="24"/>
          <w:szCs w:val="24"/>
        </w:rPr>
        <w:t xml:space="preserve">should </w:t>
      </w:r>
      <w:r w:rsidRPr="008A1725">
        <w:rPr>
          <w:rFonts w:ascii="Times New Roman" w:hAnsi="Times New Roman" w:cs="Calibri"/>
          <w:color w:val="000000"/>
          <w:sz w:val="24"/>
          <w:szCs w:val="24"/>
        </w:rPr>
        <w:t>closely resemble history</w:t>
      </w:r>
      <w:r w:rsidR="000949E0">
        <w:rPr>
          <w:rFonts w:ascii="Times New Roman" w:hAnsi="Times New Roman" w:cs="Calibri"/>
          <w:color w:val="000000"/>
          <w:sz w:val="24"/>
          <w:szCs w:val="24"/>
        </w:rPr>
        <w:t>, which is something that cannot always be established through model selection due to inherent limitations in driver availability or linear specific</w:t>
      </w:r>
      <w:r w:rsidR="00037697">
        <w:rPr>
          <w:rFonts w:ascii="Times New Roman" w:hAnsi="Times New Roman" w:cs="Calibri"/>
          <w:color w:val="000000"/>
          <w:sz w:val="24"/>
          <w:szCs w:val="24"/>
        </w:rPr>
        <w:t>a</w:t>
      </w:r>
      <w:r w:rsidR="000949E0">
        <w:rPr>
          <w:rFonts w:ascii="Times New Roman" w:hAnsi="Times New Roman" w:cs="Calibri"/>
          <w:color w:val="000000"/>
          <w:sz w:val="24"/>
          <w:szCs w:val="24"/>
        </w:rPr>
        <w:t>tions</w:t>
      </w:r>
      <w:r w:rsidR="0010196E">
        <w:rPr>
          <w:rFonts w:ascii="Times New Roman" w:hAnsi="Times New Roman" w:cs="Calibri"/>
          <w:color w:val="000000"/>
          <w:sz w:val="24"/>
          <w:szCs w:val="24"/>
        </w:rPr>
        <w:t>.</w:t>
      </w:r>
      <w:r w:rsidR="00037697">
        <w:rPr>
          <w:rFonts w:ascii="Times New Roman" w:hAnsi="Times New Roman" w:cs="Calibri"/>
          <w:color w:val="000000"/>
          <w:sz w:val="24"/>
          <w:szCs w:val="24"/>
        </w:rPr>
        <w:t xml:space="preserve">  Furthermore, any a</w:t>
      </w:r>
      <w:r w:rsidRPr="008A1725">
        <w:rPr>
          <w:rFonts w:ascii="Times New Roman" w:hAnsi="Times New Roman" w:cs="Calibri"/>
          <w:color w:val="000000"/>
          <w:sz w:val="24"/>
          <w:szCs w:val="24"/>
        </w:rPr>
        <w:t xml:space="preserve">ssumptions that inform the total allowance estimate </w:t>
      </w:r>
      <w:r w:rsidR="00037697">
        <w:rPr>
          <w:rFonts w:ascii="Times New Roman" w:hAnsi="Times New Roman" w:cs="Calibri"/>
          <w:color w:val="000000"/>
          <w:sz w:val="24"/>
          <w:szCs w:val="24"/>
        </w:rPr>
        <w:t>should be</w:t>
      </w:r>
      <w:r w:rsidRPr="008A1725">
        <w:rPr>
          <w:rFonts w:ascii="Times New Roman" w:hAnsi="Times New Roman" w:cs="Calibri"/>
          <w:color w:val="000000"/>
          <w:sz w:val="24"/>
          <w:szCs w:val="24"/>
        </w:rPr>
        <w:t xml:space="preserve"> reasonable, clearly doc</w:t>
      </w:r>
      <w:r w:rsidRPr="008A1725">
        <w:rPr>
          <w:rFonts w:ascii="Times New Roman" w:hAnsi="Times New Roman" w:cs="Calibri"/>
          <w:color w:val="000000"/>
          <w:sz w:val="24"/>
          <w:szCs w:val="24"/>
        </w:rPr>
        <w:t>u</w:t>
      </w:r>
      <w:r w:rsidRPr="008A1725">
        <w:rPr>
          <w:rFonts w:ascii="Times New Roman" w:hAnsi="Times New Roman" w:cs="Calibri"/>
          <w:color w:val="000000"/>
          <w:sz w:val="24"/>
          <w:szCs w:val="24"/>
        </w:rPr>
        <w:t xml:space="preserve">mented </w:t>
      </w:r>
      <w:r w:rsidR="00037697">
        <w:rPr>
          <w:rFonts w:ascii="Times New Roman" w:hAnsi="Times New Roman" w:cs="Calibri"/>
          <w:color w:val="000000"/>
          <w:sz w:val="24"/>
          <w:szCs w:val="24"/>
        </w:rPr>
        <w:t xml:space="preserve">and rigorously </w:t>
      </w:r>
      <w:r w:rsidRPr="008A1725">
        <w:rPr>
          <w:rFonts w:ascii="Times New Roman" w:hAnsi="Times New Roman" w:cs="Calibri"/>
          <w:color w:val="000000"/>
          <w:sz w:val="24"/>
          <w:szCs w:val="24"/>
        </w:rPr>
        <w:t>supported</w:t>
      </w:r>
      <w:r w:rsidR="00037697">
        <w:rPr>
          <w:rFonts w:ascii="Times New Roman" w:hAnsi="Times New Roman" w:cs="Calibri"/>
          <w:color w:val="000000"/>
          <w:sz w:val="24"/>
          <w:szCs w:val="24"/>
        </w:rPr>
        <w:t>.  For example, any weightings</w:t>
      </w:r>
      <w:r w:rsidRPr="008A1725">
        <w:rPr>
          <w:rFonts w:ascii="Times New Roman" w:hAnsi="Times New Roman" w:cs="Calibri"/>
          <w:color w:val="000000"/>
          <w:sz w:val="24"/>
          <w:szCs w:val="24"/>
        </w:rPr>
        <w:t xml:space="preserve"> </w:t>
      </w:r>
      <w:r w:rsidR="00037697">
        <w:rPr>
          <w:rFonts w:ascii="Times New Roman" w:hAnsi="Times New Roman" w:cs="Calibri"/>
          <w:color w:val="000000"/>
          <w:sz w:val="24"/>
          <w:szCs w:val="24"/>
        </w:rPr>
        <w:t xml:space="preserve">on </w:t>
      </w:r>
      <w:r w:rsidRPr="008A1725">
        <w:rPr>
          <w:rFonts w:ascii="Times New Roman" w:hAnsi="Times New Roman" w:cs="Calibri"/>
          <w:color w:val="000000"/>
          <w:sz w:val="24"/>
          <w:szCs w:val="24"/>
        </w:rPr>
        <w:t>multiple scenarios</w:t>
      </w:r>
      <w:r w:rsidR="00037697">
        <w:rPr>
          <w:rFonts w:ascii="Times New Roman" w:hAnsi="Times New Roman" w:cs="Calibri"/>
          <w:color w:val="000000"/>
          <w:sz w:val="24"/>
          <w:szCs w:val="24"/>
        </w:rPr>
        <w:t xml:space="preserve"> should be intuitive with respect to where we are in the economic cycle</w:t>
      </w:r>
      <w:r w:rsidRPr="008A1725">
        <w:rPr>
          <w:rFonts w:ascii="Times New Roman" w:hAnsi="Times New Roman" w:cs="Calibri"/>
          <w:color w:val="000000"/>
          <w:sz w:val="24"/>
          <w:szCs w:val="24"/>
        </w:rPr>
        <w:t xml:space="preserve">, </w:t>
      </w:r>
      <w:r w:rsidR="00037697">
        <w:rPr>
          <w:rFonts w:ascii="Times New Roman" w:hAnsi="Times New Roman" w:cs="Calibri"/>
          <w:color w:val="000000"/>
          <w:sz w:val="24"/>
          <w:szCs w:val="24"/>
        </w:rPr>
        <w:t xml:space="preserve">and any </w:t>
      </w:r>
      <w:r w:rsidRPr="008A1725">
        <w:rPr>
          <w:rFonts w:ascii="Times New Roman" w:hAnsi="Times New Roman" w:cs="Calibri"/>
          <w:color w:val="000000"/>
          <w:sz w:val="24"/>
          <w:szCs w:val="24"/>
        </w:rPr>
        <w:t xml:space="preserve">overlays </w:t>
      </w:r>
      <w:r w:rsidR="00037697">
        <w:rPr>
          <w:rFonts w:ascii="Times New Roman" w:hAnsi="Times New Roman" w:cs="Calibri"/>
          <w:color w:val="000000"/>
          <w:sz w:val="24"/>
          <w:szCs w:val="24"/>
        </w:rPr>
        <w:t>or</w:t>
      </w:r>
      <w:r w:rsidRPr="008A1725">
        <w:rPr>
          <w:rFonts w:ascii="Times New Roman" w:hAnsi="Times New Roman" w:cs="Calibri"/>
          <w:color w:val="000000"/>
          <w:sz w:val="24"/>
          <w:szCs w:val="24"/>
        </w:rPr>
        <w:t xml:space="preserve"> adjustments</w:t>
      </w:r>
      <w:r w:rsidR="00037697">
        <w:rPr>
          <w:rFonts w:ascii="Times New Roman" w:hAnsi="Times New Roman" w:cs="Calibri"/>
          <w:color w:val="000000"/>
          <w:sz w:val="24"/>
          <w:szCs w:val="24"/>
        </w:rPr>
        <w:t xml:space="preserve"> to the modeled ECL estimates should be linked to an identified model weakness and be substantiated by analysis.</w:t>
      </w:r>
      <w:r w:rsidR="00AA433F">
        <w:rPr>
          <w:rFonts w:ascii="Times New Roman" w:hAnsi="Times New Roman" w:cs="Calibri"/>
          <w:color w:val="000000"/>
          <w:sz w:val="24"/>
          <w:szCs w:val="24"/>
        </w:rPr>
        <w:t xml:space="preserve">  Another consideration is that c</w:t>
      </w:r>
      <w:r w:rsidRPr="008A1725">
        <w:rPr>
          <w:rFonts w:ascii="Times New Roman" w:hAnsi="Times New Roman" w:cs="Calibri"/>
          <w:color w:val="000000"/>
          <w:sz w:val="24"/>
          <w:szCs w:val="24"/>
        </w:rPr>
        <w:t xml:space="preserve">overage ratios by ranked risk characteristics </w:t>
      </w:r>
      <w:r w:rsidR="00AA433F">
        <w:rPr>
          <w:rFonts w:ascii="Times New Roman" w:hAnsi="Times New Roman" w:cs="Calibri"/>
          <w:color w:val="000000"/>
          <w:sz w:val="24"/>
          <w:szCs w:val="24"/>
        </w:rPr>
        <w:t>should exhibit</w:t>
      </w:r>
      <w:r w:rsidRPr="008A1725">
        <w:rPr>
          <w:rFonts w:ascii="Times New Roman" w:hAnsi="Times New Roman" w:cs="Calibri"/>
          <w:color w:val="000000"/>
          <w:sz w:val="24"/>
          <w:szCs w:val="24"/>
        </w:rPr>
        <w:t xml:space="preserve"> monotonic</w:t>
      </w:r>
      <w:r w:rsidR="00AA433F">
        <w:rPr>
          <w:rFonts w:ascii="Times New Roman" w:hAnsi="Times New Roman" w:cs="Calibri"/>
          <w:color w:val="000000"/>
          <w:sz w:val="24"/>
          <w:szCs w:val="24"/>
        </w:rPr>
        <w:t xml:space="preserve"> patterns, and this element can inform the latter qualitative adjustments if re</w:t>
      </w:r>
      <w:r w:rsidR="00AA433F">
        <w:rPr>
          <w:rFonts w:ascii="Times New Roman" w:hAnsi="Times New Roman" w:cs="Calibri"/>
          <w:color w:val="000000"/>
          <w:sz w:val="24"/>
          <w:szCs w:val="24"/>
        </w:rPr>
        <w:t>a</w:t>
      </w:r>
      <w:r w:rsidR="00AA433F">
        <w:rPr>
          <w:rFonts w:ascii="Times New Roman" w:hAnsi="Times New Roman" w:cs="Calibri"/>
          <w:color w:val="000000"/>
          <w:sz w:val="24"/>
          <w:szCs w:val="24"/>
        </w:rPr>
        <w:t>sonable ordering is not evident from the modeled output.</w:t>
      </w:r>
      <w:r w:rsidR="00DA04AD">
        <w:rPr>
          <w:rFonts w:ascii="Times New Roman" w:hAnsi="Times New Roman" w:cs="Calibri"/>
          <w:color w:val="000000"/>
          <w:sz w:val="24"/>
          <w:szCs w:val="24"/>
        </w:rPr>
        <w:t xml:space="preserve">  Finally, we consider benchmark or challenger constructs, which could be models, segmentations or data.  We can ask the question of if these alternatives, which should be broadly comparable to our champion constructs, provide sufficient </w:t>
      </w:r>
      <w:r w:rsidRPr="008A1725">
        <w:rPr>
          <w:rFonts w:ascii="Times New Roman" w:hAnsi="Times New Roman" w:cs="Calibri"/>
          <w:color w:val="000000"/>
          <w:sz w:val="24"/>
          <w:szCs w:val="24"/>
        </w:rPr>
        <w:t xml:space="preserve">support </w:t>
      </w:r>
      <w:r w:rsidR="00DA04AD">
        <w:rPr>
          <w:rFonts w:ascii="Times New Roman" w:hAnsi="Times New Roman" w:cs="Calibri"/>
          <w:color w:val="000000"/>
          <w:sz w:val="24"/>
          <w:szCs w:val="24"/>
        </w:rPr>
        <w:t xml:space="preserve">for </w:t>
      </w:r>
      <w:r w:rsidRPr="008A1725">
        <w:rPr>
          <w:rFonts w:ascii="Times New Roman" w:hAnsi="Times New Roman" w:cs="Calibri"/>
          <w:color w:val="000000"/>
          <w:sz w:val="24"/>
          <w:szCs w:val="24"/>
        </w:rPr>
        <w:t xml:space="preserve">the </w:t>
      </w:r>
      <w:r w:rsidR="00DA04AD">
        <w:rPr>
          <w:rFonts w:ascii="Times New Roman" w:hAnsi="Times New Roman" w:cs="Calibri"/>
          <w:color w:val="000000"/>
          <w:sz w:val="24"/>
          <w:szCs w:val="24"/>
        </w:rPr>
        <w:t xml:space="preserve">modeled CECL </w:t>
      </w:r>
      <w:r w:rsidRPr="008A1725">
        <w:rPr>
          <w:rFonts w:ascii="Times New Roman" w:hAnsi="Times New Roman" w:cs="Calibri"/>
          <w:color w:val="000000"/>
          <w:sz w:val="24"/>
          <w:szCs w:val="24"/>
        </w:rPr>
        <w:t>forecasts</w:t>
      </w:r>
      <w:r w:rsidR="00DA04AD">
        <w:rPr>
          <w:rFonts w:ascii="Times New Roman" w:hAnsi="Times New Roman" w:cs="Calibri"/>
          <w:color w:val="000000"/>
          <w:sz w:val="24"/>
          <w:szCs w:val="24"/>
        </w:rPr>
        <w:t xml:space="preserve">.  </w:t>
      </w:r>
      <w:r w:rsidRPr="008A1725">
        <w:rPr>
          <w:rFonts w:ascii="Times New Roman" w:hAnsi="Times New Roman" w:cs="Calibri"/>
          <w:color w:val="000000"/>
          <w:sz w:val="24"/>
          <w:szCs w:val="24"/>
        </w:rPr>
        <w:t xml:space="preserve">Benchmarking can include comparison to incurred loss </w:t>
      </w:r>
      <w:r w:rsidR="00DA04AD">
        <w:rPr>
          <w:rFonts w:ascii="Times New Roman" w:hAnsi="Times New Roman" w:cs="Calibri"/>
          <w:color w:val="000000"/>
          <w:sz w:val="24"/>
          <w:szCs w:val="24"/>
        </w:rPr>
        <w:t xml:space="preserve">estimates </w:t>
      </w:r>
      <w:r w:rsidRPr="008A1725">
        <w:rPr>
          <w:rFonts w:ascii="Times New Roman" w:hAnsi="Times New Roman" w:cs="Calibri"/>
          <w:color w:val="000000"/>
          <w:sz w:val="24"/>
          <w:szCs w:val="24"/>
        </w:rPr>
        <w:t xml:space="preserve">or CCAR </w:t>
      </w:r>
      <w:r w:rsidR="00DA04AD">
        <w:rPr>
          <w:rFonts w:ascii="Times New Roman" w:hAnsi="Times New Roman" w:cs="Calibri"/>
          <w:color w:val="000000"/>
          <w:sz w:val="24"/>
          <w:szCs w:val="24"/>
        </w:rPr>
        <w:t>baseline forecasts, with due</w:t>
      </w:r>
      <w:r w:rsidRPr="008A1725">
        <w:rPr>
          <w:rFonts w:ascii="Times New Roman" w:hAnsi="Times New Roman" w:cs="Calibri"/>
          <w:color w:val="000000"/>
          <w:sz w:val="24"/>
          <w:szCs w:val="24"/>
        </w:rPr>
        <w:t xml:space="preserve"> consideration given to the significant changes under CECL</w:t>
      </w:r>
      <w:r w:rsidR="00DA04AD">
        <w:rPr>
          <w:rFonts w:ascii="Times New Roman" w:hAnsi="Times New Roman" w:cs="Calibri"/>
          <w:color w:val="000000"/>
          <w:sz w:val="24"/>
          <w:szCs w:val="24"/>
        </w:rPr>
        <w:t>.  Another critical activity is s</w:t>
      </w:r>
      <w:r w:rsidRPr="008A1725">
        <w:rPr>
          <w:rFonts w:ascii="Times New Roman" w:hAnsi="Times New Roman" w:cs="Calibri"/>
          <w:color w:val="000000"/>
          <w:sz w:val="24"/>
          <w:szCs w:val="24"/>
        </w:rPr>
        <w:t xml:space="preserve">ensitivity analysis for assumptions that have a material impact on </w:t>
      </w:r>
      <w:r w:rsidR="00DA04AD">
        <w:rPr>
          <w:rFonts w:ascii="Times New Roman" w:hAnsi="Times New Roman" w:cs="Calibri"/>
          <w:color w:val="000000"/>
          <w:sz w:val="24"/>
          <w:szCs w:val="24"/>
        </w:rPr>
        <w:t xml:space="preserve">the </w:t>
      </w:r>
      <w:r w:rsidRPr="008A1725">
        <w:rPr>
          <w:rFonts w:ascii="Times New Roman" w:hAnsi="Times New Roman" w:cs="Calibri"/>
          <w:color w:val="000000"/>
          <w:sz w:val="24"/>
          <w:szCs w:val="24"/>
        </w:rPr>
        <w:t>ECL</w:t>
      </w:r>
      <w:r w:rsidR="00DA04AD">
        <w:rPr>
          <w:rFonts w:ascii="Times New Roman" w:hAnsi="Times New Roman" w:cs="Calibri"/>
          <w:color w:val="000000"/>
          <w:sz w:val="24"/>
          <w:szCs w:val="24"/>
        </w:rPr>
        <w:t xml:space="preserve">, which can not only give us a sense of the variability in the CECL estimates, but also can inform overlays or adjustments to the model.  </w:t>
      </w:r>
      <w:r w:rsidR="000A5E27">
        <w:rPr>
          <w:rFonts w:ascii="Times New Roman" w:hAnsi="Times New Roman" w:cs="Calibri"/>
          <w:color w:val="000000"/>
          <w:sz w:val="24"/>
          <w:szCs w:val="24"/>
        </w:rPr>
        <w:t xml:space="preserve">A related exercise here is </w:t>
      </w:r>
      <w:r w:rsidR="000A5E27" w:rsidRPr="000A5E27">
        <w:rPr>
          <w:rFonts w:ascii="Times New Roman" w:hAnsi="Times New Roman" w:cs="Calibri"/>
          <w:i/>
          <w:color w:val="000000"/>
          <w:sz w:val="24"/>
          <w:szCs w:val="24"/>
        </w:rPr>
        <w:t>attribution analysis</w:t>
      </w:r>
      <w:r w:rsidR="000A5E27">
        <w:rPr>
          <w:rFonts w:ascii="Times New Roman" w:hAnsi="Times New Roman" w:cs="Calibri"/>
          <w:color w:val="000000"/>
          <w:sz w:val="24"/>
          <w:szCs w:val="24"/>
        </w:rPr>
        <w:t xml:space="preserve">, where we decompose changes in model estimates over cycles into </w:t>
      </w:r>
      <w:r w:rsidR="00622D5D">
        <w:rPr>
          <w:rFonts w:ascii="Times New Roman" w:hAnsi="Times New Roman" w:cs="Calibri"/>
          <w:color w:val="000000"/>
          <w:sz w:val="24"/>
          <w:szCs w:val="24"/>
        </w:rPr>
        <w:t xml:space="preserve">what is driven by forecasts, portfolio quality or modifications to the model.  A last item to consider here is </w:t>
      </w:r>
      <w:r w:rsidR="00431B86" w:rsidRPr="00622D5D">
        <w:rPr>
          <w:rFonts w:ascii="Times New Roman" w:hAnsi="Times New Roman" w:cs="Calibri"/>
          <w:i/>
          <w:color w:val="000000"/>
          <w:sz w:val="24"/>
          <w:szCs w:val="24"/>
        </w:rPr>
        <w:t>challenger analytics</w:t>
      </w:r>
      <w:r w:rsidR="00431B86" w:rsidRPr="008A1725">
        <w:rPr>
          <w:rFonts w:ascii="Times New Roman" w:hAnsi="Times New Roman" w:cs="Calibri"/>
          <w:color w:val="000000"/>
          <w:sz w:val="24"/>
          <w:szCs w:val="24"/>
        </w:rPr>
        <w:t xml:space="preserve">, </w:t>
      </w:r>
      <w:r w:rsidR="00431B86">
        <w:rPr>
          <w:rFonts w:ascii="Times New Roman" w:hAnsi="Times New Roman" w:cs="Calibri"/>
          <w:color w:val="000000"/>
          <w:sz w:val="24"/>
          <w:szCs w:val="24"/>
        </w:rPr>
        <w:t xml:space="preserve">for example </w:t>
      </w:r>
      <w:r w:rsidR="00431B86" w:rsidRPr="008A1725">
        <w:rPr>
          <w:rFonts w:ascii="Times New Roman" w:hAnsi="Times New Roman" w:cs="Calibri"/>
          <w:color w:val="000000"/>
          <w:sz w:val="24"/>
          <w:szCs w:val="24"/>
        </w:rPr>
        <w:t xml:space="preserve">comparing impact of reversion at </w:t>
      </w:r>
      <w:r w:rsidR="00431B86">
        <w:rPr>
          <w:rFonts w:ascii="Times New Roman" w:hAnsi="Times New Roman" w:cs="Calibri"/>
          <w:color w:val="000000"/>
          <w:sz w:val="24"/>
          <w:szCs w:val="24"/>
        </w:rPr>
        <w:t xml:space="preserve">macroeconomic variable </w:t>
      </w:r>
      <w:r w:rsidR="00431B86" w:rsidRPr="008A1725">
        <w:rPr>
          <w:rFonts w:ascii="Times New Roman" w:hAnsi="Times New Roman" w:cs="Calibri"/>
          <w:color w:val="000000"/>
          <w:sz w:val="24"/>
          <w:szCs w:val="24"/>
        </w:rPr>
        <w:t>v</w:t>
      </w:r>
      <w:r w:rsidR="00431B86">
        <w:rPr>
          <w:rFonts w:ascii="Times New Roman" w:hAnsi="Times New Roman" w:cs="Calibri"/>
          <w:color w:val="000000"/>
          <w:sz w:val="24"/>
          <w:szCs w:val="24"/>
        </w:rPr>
        <w:t xml:space="preserve">ersus the </w:t>
      </w:r>
      <w:r w:rsidR="00431B86" w:rsidRPr="008A1725">
        <w:rPr>
          <w:rFonts w:ascii="Times New Roman" w:hAnsi="Times New Roman" w:cs="Calibri"/>
          <w:color w:val="000000"/>
          <w:sz w:val="24"/>
          <w:szCs w:val="24"/>
        </w:rPr>
        <w:t>loss parameter level</w:t>
      </w:r>
      <w:r w:rsidR="00431B86">
        <w:rPr>
          <w:rFonts w:ascii="Times New Roman" w:hAnsi="Times New Roman" w:cs="Calibri"/>
          <w:color w:val="000000"/>
          <w:sz w:val="24"/>
          <w:szCs w:val="24"/>
        </w:rPr>
        <w:t>,</w:t>
      </w:r>
      <w:r w:rsidR="00431B86" w:rsidRPr="008A1725">
        <w:rPr>
          <w:rFonts w:ascii="Times New Roman" w:hAnsi="Times New Roman" w:cs="Calibri"/>
          <w:color w:val="000000"/>
          <w:sz w:val="24"/>
          <w:szCs w:val="24"/>
        </w:rPr>
        <w:t xml:space="preserve"> </w:t>
      </w:r>
      <w:r w:rsidR="00431B86">
        <w:rPr>
          <w:rFonts w:ascii="Times New Roman" w:hAnsi="Times New Roman" w:cs="Calibri"/>
          <w:color w:val="000000"/>
          <w:sz w:val="24"/>
          <w:szCs w:val="24"/>
        </w:rPr>
        <w:t>which can</w:t>
      </w:r>
      <w:r w:rsidR="00431B86" w:rsidRPr="008A1725">
        <w:rPr>
          <w:rFonts w:ascii="Times New Roman" w:hAnsi="Times New Roman" w:cs="Calibri"/>
          <w:color w:val="000000"/>
          <w:sz w:val="24"/>
          <w:szCs w:val="24"/>
        </w:rPr>
        <w:t xml:space="preserve"> serve as a point of view or support for modeling a</w:t>
      </w:r>
      <w:r w:rsidR="00431B86" w:rsidRPr="008A1725">
        <w:rPr>
          <w:rFonts w:ascii="Times New Roman" w:hAnsi="Times New Roman" w:cs="Calibri"/>
          <w:color w:val="000000"/>
          <w:sz w:val="24"/>
          <w:szCs w:val="24"/>
        </w:rPr>
        <w:t>s</w:t>
      </w:r>
      <w:r w:rsidR="00431B86" w:rsidRPr="008A1725">
        <w:rPr>
          <w:rFonts w:ascii="Times New Roman" w:hAnsi="Times New Roman" w:cs="Calibri"/>
          <w:color w:val="000000"/>
          <w:sz w:val="24"/>
          <w:szCs w:val="24"/>
        </w:rPr>
        <w:t>sumptions.</w:t>
      </w:r>
    </w:p>
    <w:p w:rsidR="003B2F40" w:rsidRDefault="00431B86" w:rsidP="00431B86">
      <w:pPr>
        <w:jc w:val="both"/>
        <w:rPr>
          <w:rFonts w:ascii="Times New Roman" w:hAnsi="Times New Roman"/>
          <w:b/>
          <w:sz w:val="28"/>
          <w:szCs w:val="28"/>
        </w:rPr>
      </w:pPr>
      <w:r>
        <w:rPr>
          <w:rFonts w:ascii="Times New Roman" w:hAnsi="Times New Roman" w:cs="Calibri"/>
          <w:color w:val="000000"/>
          <w:sz w:val="24"/>
          <w:szCs w:val="24"/>
        </w:rPr>
        <w:t>We conclude this section by a note on the roles of 2</w:t>
      </w:r>
      <w:r w:rsidRPr="00E763A9">
        <w:rPr>
          <w:rFonts w:ascii="Times New Roman" w:hAnsi="Times New Roman" w:cs="Calibri"/>
          <w:color w:val="000000"/>
          <w:sz w:val="24"/>
          <w:szCs w:val="24"/>
          <w:vertAlign w:val="superscript"/>
        </w:rPr>
        <w:t>nd</w:t>
      </w:r>
      <w:r>
        <w:rPr>
          <w:rFonts w:ascii="Times New Roman" w:hAnsi="Times New Roman" w:cs="Calibri"/>
          <w:color w:val="000000"/>
          <w:sz w:val="24"/>
          <w:szCs w:val="24"/>
        </w:rPr>
        <w:t xml:space="preserve"> line versus 1</w:t>
      </w:r>
      <w:r w:rsidRPr="00E763A9">
        <w:rPr>
          <w:rFonts w:ascii="Times New Roman" w:hAnsi="Times New Roman" w:cs="Calibri"/>
          <w:color w:val="000000"/>
          <w:sz w:val="24"/>
          <w:szCs w:val="24"/>
          <w:vertAlign w:val="superscript"/>
        </w:rPr>
        <w:t>st</w:t>
      </w:r>
      <w:r>
        <w:rPr>
          <w:rFonts w:ascii="Times New Roman" w:hAnsi="Times New Roman" w:cs="Calibri"/>
          <w:color w:val="000000"/>
          <w:sz w:val="24"/>
          <w:szCs w:val="24"/>
        </w:rPr>
        <w:t xml:space="preserve"> line of defense model val</w:t>
      </w:r>
      <w:r>
        <w:rPr>
          <w:rFonts w:ascii="Times New Roman" w:hAnsi="Times New Roman" w:cs="Calibri"/>
          <w:color w:val="000000"/>
          <w:sz w:val="24"/>
          <w:szCs w:val="24"/>
        </w:rPr>
        <w:t>i</w:t>
      </w:r>
      <w:r>
        <w:rPr>
          <w:rFonts w:ascii="Times New Roman" w:hAnsi="Times New Roman" w:cs="Calibri"/>
          <w:color w:val="000000"/>
          <w:sz w:val="24"/>
          <w:szCs w:val="24"/>
        </w:rPr>
        <w:t>dation.  The framework that we have described, that is broadly in line with SR 11-7 standards, is applicable to model validation occurring within the model development (“1</w:t>
      </w:r>
      <w:r w:rsidRPr="001E5B31">
        <w:rPr>
          <w:rFonts w:ascii="Times New Roman" w:hAnsi="Times New Roman" w:cs="Calibri"/>
          <w:color w:val="000000"/>
          <w:sz w:val="24"/>
          <w:szCs w:val="24"/>
          <w:vertAlign w:val="superscript"/>
        </w:rPr>
        <w:t>st</w:t>
      </w:r>
      <w:r>
        <w:rPr>
          <w:rFonts w:ascii="Times New Roman" w:hAnsi="Times New Roman" w:cs="Calibri"/>
          <w:color w:val="000000"/>
          <w:sz w:val="24"/>
          <w:szCs w:val="24"/>
        </w:rPr>
        <w:t xml:space="preserve"> line model valid</w:t>
      </w:r>
      <w:r>
        <w:rPr>
          <w:rFonts w:ascii="Times New Roman" w:hAnsi="Times New Roman" w:cs="Calibri"/>
          <w:color w:val="000000"/>
          <w:sz w:val="24"/>
          <w:szCs w:val="24"/>
        </w:rPr>
        <w:t>a</w:t>
      </w:r>
      <w:r>
        <w:rPr>
          <w:rFonts w:ascii="Times New Roman" w:hAnsi="Times New Roman" w:cs="Calibri"/>
          <w:color w:val="000000"/>
          <w:sz w:val="24"/>
          <w:szCs w:val="24"/>
        </w:rPr>
        <w:t>tion”), as well as the same as performed by an independent 2</w:t>
      </w:r>
      <w:r w:rsidRPr="001E5B31">
        <w:rPr>
          <w:rFonts w:ascii="Times New Roman" w:hAnsi="Times New Roman" w:cs="Calibri"/>
          <w:color w:val="000000"/>
          <w:sz w:val="24"/>
          <w:szCs w:val="24"/>
          <w:vertAlign w:val="superscript"/>
        </w:rPr>
        <w:t>nd</w:t>
      </w:r>
      <w:r>
        <w:rPr>
          <w:rFonts w:ascii="Times New Roman" w:hAnsi="Times New Roman" w:cs="Calibri"/>
          <w:color w:val="000000"/>
          <w:sz w:val="24"/>
          <w:szCs w:val="24"/>
        </w:rPr>
        <w:t xml:space="preserve"> line function.  It is recognized that validation activities commonly occur within model development groups, with model development staff cross-checking work amongst themselves, to ensure quality and correctness.  A trend in the industry is to add formality around this 1</w:t>
      </w:r>
      <w:r w:rsidRPr="00A641E2">
        <w:rPr>
          <w:rFonts w:ascii="Times New Roman" w:hAnsi="Times New Roman" w:cs="Calibri"/>
          <w:color w:val="000000"/>
          <w:sz w:val="24"/>
          <w:szCs w:val="24"/>
          <w:vertAlign w:val="superscript"/>
        </w:rPr>
        <w:t>st</w:t>
      </w:r>
      <w:r>
        <w:rPr>
          <w:rFonts w:ascii="Times New Roman" w:hAnsi="Times New Roman" w:cs="Calibri"/>
          <w:color w:val="000000"/>
          <w:sz w:val="24"/>
          <w:szCs w:val="24"/>
        </w:rPr>
        <w:t xml:space="preserve"> line validation function, and a degree of independence by making it a separate function (albeit under the same reporting structure), in order to have an enhanced and improved process.  This trend has accelerated with the advent of CECL, as having such a formalized 1</w:t>
      </w:r>
      <w:r w:rsidRPr="00A641E2">
        <w:rPr>
          <w:rFonts w:ascii="Times New Roman" w:hAnsi="Times New Roman" w:cs="Calibri"/>
          <w:color w:val="000000"/>
          <w:sz w:val="24"/>
          <w:szCs w:val="24"/>
          <w:vertAlign w:val="superscript"/>
        </w:rPr>
        <w:t>st</w:t>
      </w:r>
      <w:r>
        <w:rPr>
          <w:rFonts w:ascii="Times New Roman" w:hAnsi="Times New Roman" w:cs="Calibri"/>
          <w:color w:val="000000"/>
          <w:sz w:val="24"/>
          <w:szCs w:val="24"/>
        </w:rPr>
        <w:t xml:space="preserve"> lines validation process enables and organization to have a more robust CECL process, in the sense of resiliency in the face of multiple 3</w:t>
      </w:r>
      <w:r w:rsidRPr="00CC71B0">
        <w:rPr>
          <w:rFonts w:ascii="Times New Roman" w:hAnsi="Times New Roman" w:cs="Calibri"/>
          <w:color w:val="000000"/>
          <w:sz w:val="24"/>
          <w:szCs w:val="24"/>
          <w:vertAlign w:val="superscript"/>
        </w:rPr>
        <w:t>rd</w:t>
      </w:r>
      <w:r>
        <w:rPr>
          <w:rFonts w:ascii="Times New Roman" w:hAnsi="Times New Roman" w:cs="Calibri"/>
          <w:color w:val="000000"/>
          <w:sz w:val="24"/>
          <w:szCs w:val="24"/>
        </w:rPr>
        <w:t xml:space="preserve"> party review.</w:t>
      </w:r>
    </w:p>
    <w:p w:rsidR="0017151A" w:rsidRDefault="0017151A" w:rsidP="008A1725">
      <w:pPr>
        <w:jc w:val="both"/>
        <w:rPr>
          <w:rFonts w:ascii="Times New Roman" w:hAnsi="Times New Roman"/>
          <w:b/>
          <w:sz w:val="28"/>
          <w:szCs w:val="28"/>
        </w:rPr>
      </w:pPr>
    </w:p>
    <w:p w:rsidR="008A1725" w:rsidRDefault="004A1783" w:rsidP="008A1725">
      <w:pPr>
        <w:jc w:val="both"/>
        <w:rPr>
          <w:rFonts w:ascii="Times New Roman" w:hAnsi="Times New Roman"/>
          <w:b/>
          <w:sz w:val="24"/>
          <w:szCs w:val="24"/>
        </w:rPr>
      </w:pPr>
      <w:r w:rsidRPr="004A1783">
        <w:rPr>
          <w:noProof/>
        </w:rPr>
        <w:lastRenderedPageBreak/>
        <w:drawing>
          <wp:inline distT="0" distB="0" distL="0" distR="0" wp14:anchorId="1CE33A67" wp14:editId="54443B30">
            <wp:extent cx="5943600" cy="3794125"/>
            <wp:effectExtent l="19050" t="19050" r="19050"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94125"/>
                    </a:xfrm>
                    <a:prstGeom prst="rect">
                      <a:avLst/>
                    </a:prstGeom>
                    <a:ln>
                      <a:solidFill>
                        <a:schemeClr val="accent1"/>
                      </a:solidFill>
                    </a:ln>
                  </pic:spPr>
                </pic:pic>
              </a:graphicData>
            </a:graphic>
          </wp:inline>
        </w:drawing>
      </w:r>
    </w:p>
    <w:p w:rsidR="008A1725" w:rsidRDefault="008A1725" w:rsidP="008A1725">
      <w:pPr>
        <w:rPr>
          <w:rFonts w:ascii="Times New Roman" w:hAnsi="Times New Roman"/>
          <w:b/>
          <w:sz w:val="24"/>
          <w:szCs w:val="24"/>
        </w:rPr>
      </w:pPr>
      <w:r w:rsidRPr="00C177B3">
        <w:rPr>
          <w:rFonts w:ascii="Times New Roman" w:hAnsi="Times New Roman"/>
          <w:b/>
          <w:sz w:val="24"/>
          <w:szCs w:val="24"/>
        </w:rPr>
        <w:t xml:space="preserve">Figure </w:t>
      </w:r>
      <w:r>
        <w:rPr>
          <w:rFonts w:ascii="Times New Roman" w:hAnsi="Times New Roman"/>
          <w:b/>
          <w:sz w:val="24"/>
          <w:szCs w:val="24"/>
        </w:rPr>
        <w:t>4</w:t>
      </w:r>
      <w:r w:rsidRPr="00C177B3">
        <w:rPr>
          <w:rFonts w:ascii="Times New Roman" w:hAnsi="Times New Roman"/>
          <w:b/>
          <w:sz w:val="24"/>
          <w:szCs w:val="24"/>
        </w:rPr>
        <w:t xml:space="preserve">: </w:t>
      </w:r>
      <w:r>
        <w:rPr>
          <w:rFonts w:ascii="Times New Roman" w:hAnsi="Times New Roman"/>
          <w:b/>
          <w:sz w:val="24"/>
          <w:szCs w:val="24"/>
        </w:rPr>
        <w:t xml:space="preserve">Framework for Process Verification and Assessment of </w:t>
      </w:r>
      <w:r w:rsidRPr="00CE2061">
        <w:rPr>
          <w:rFonts w:ascii="Times New Roman" w:hAnsi="Times New Roman"/>
          <w:b/>
          <w:sz w:val="24"/>
          <w:szCs w:val="24"/>
        </w:rPr>
        <w:t xml:space="preserve">CECL </w:t>
      </w:r>
      <w:r>
        <w:rPr>
          <w:rFonts w:ascii="Times New Roman" w:hAnsi="Times New Roman"/>
          <w:b/>
          <w:sz w:val="24"/>
          <w:szCs w:val="24"/>
        </w:rPr>
        <w:t>Model Impleme</w:t>
      </w:r>
      <w:r>
        <w:rPr>
          <w:rFonts w:ascii="Times New Roman" w:hAnsi="Times New Roman"/>
          <w:b/>
          <w:sz w:val="24"/>
          <w:szCs w:val="24"/>
        </w:rPr>
        <w:t>n</w:t>
      </w:r>
      <w:r>
        <w:rPr>
          <w:rFonts w:ascii="Times New Roman" w:hAnsi="Times New Roman"/>
          <w:b/>
          <w:sz w:val="24"/>
          <w:szCs w:val="24"/>
        </w:rPr>
        <w:t>tation and Execution</w:t>
      </w:r>
      <w:r w:rsidRPr="00CE2061">
        <w:rPr>
          <w:rFonts w:ascii="Times New Roman" w:hAnsi="Times New Roman"/>
          <w:b/>
          <w:sz w:val="24"/>
          <w:szCs w:val="24"/>
        </w:rPr>
        <w:t xml:space="preserve"> </w:t>
      </w:r>
    </w:p>
    <w:p w:rsidR="00431B86" w:rsidRDefault="00431B86" w:rsidP="0017151A">
      <w:pPr>
        <w:jc w:val="both"/>
        <w:rPr>
          <w:rFonts w:ascii="Times New Roman" w:hAnsi="Times New Roman"/>
          <w:sz w:val="24"/>
          <w:szCs w:val="24"/>
        </w:rPr>
      </w:pPr>
    </w:p>
    <w:p w:rsidR="0017151A" w:rsidRPr="006B0695" w:rsidRDefault="0017151A" w:rsidP="0017151A">
      <w:pPr>
        <w:jc w:val="both"/>
        <w:rPr>
          <w:rFonts w:ascii="Times New Roman" w:hAnsi="Times New Roman"/>
          <w:sz w:val="24"/>
          <w:szCs w:val="24"/>
        </w:rPr>
      </w:pPr>
      <w:r w:rsidRPr="006B0695">
        <w:rPr>
          <w:rFonts w:ascii="Times New Roman" w:hAnsi="Times New Roman"/>
          <w:sz w:val="24"/>
          <w:szCs w:val="24"/>
        </w:rPr>
        <w:t xml:space="preserve">In Figure </w:t>
      </w:r>
      <w:r>
        <w:rPr>
          <w:rFonts w:ascii="Times New Roman" w:hAnsi="Times New Roman"/>
          <w:sz w:val="24"/>
          <w:szCs w:val="24"/>
        </w:rPr>
        <w:t>4</w:t>
      </w:r>
      <w:r w:rsidRPr="006B0695">
        <w:rPr>
          <w:rFonts w:ascii="Times New Roman" w:hAnsi="Times New Roman"/>
          <w:sz w:val="24"/>
          <w:szCs w:val="24"/>
        </w:rPr>
        <w:t xml:space="preserve"> above we depict at a high level both the process for implementing </w:t>
      </w:r>
      <w:r>
        <w:rPr>
          <w:rFonts w:ascii="Times New Roman" w:hAnsi="Times New Roman"/>
          <w:sz w:val="24"/>
          <w:szCs w:val="24"/>
        </w:rPr>
        <w:t>and executing a CECL model</w:t>
      </w:r>
      <w:r w:rsidRPr="006B0695">
        <w:rPr>
          <w:rFonts w:ascii="Times New Roman" w:hAnsi="Times New Roman"/>
          <w:sz w:val="24"/>
          <w:szCs w:val="24"/>
        </w:rPr>
        <w:t xml:space="preserve">, the </w:t>
      </w:r>
      <w:r>
        <w:rPr>
          <w:rFonts w:ascii="Times New Roman" w:hAnsi="Times New Roman"/>
          <w:sz w:val="24"/>
          <w:szCs w:val="24"/>
        </w:rPr>
        <w:t>PV&amp;A</w:t>
      </w:r>
      <w:r w:rsidRPr="006B0695">
        <w:rPr>
          <w:rFonts w:ascii="Times New Roman" w:hAnsi="Times New Roman"/>
          <w:sz w:val="24"/>
          <w:szCs w:val="24"/>
        </w:rPr>
        <w:t xml:space="preserve"> steps that are embedded in that process, as well as the evidences or a</w:t>
      </w:r>
      <w:r w:rsidRPr="006B0695">
        <w:rPr>
          <w:rFonts w:ascii="Times New Roman" w:hAnsi="Times New Roman"/>
          <w:sz w:val="24"/>
          <w:szCs w:val="24"/>
        </w:rPr>
        <w:t>r</w:t>
      </w:r>
      <w:r w:rsidRPr="006B0695">
        <w:rPr>
          <w:rFonts w:ascii="Times New Roman" w:hAnsi="Times New Roman"/>
          <w:sz w:val="24"/>
          <w:szCs w:val="24"/>
        </w:rPr>
        <w:t xml:space="preserve">tifacts of the </w:t>
      </w:r>
      <w:r>
        <w:rPr>
          <w:rFonts w:ascii="Times New Roman" w:hAnsi="Times New Roman"/>
          <w:sz w:val="24"/>
          <w:szCs w:val="24"/>
        </w:rPr>
        <w:t>PV&amp;A</w:t>
      </w:r>
      <w:r w:rsidRPr="006B0695">
        <w:rPr>
          <w:rFonts w:ascii="Times New Roman" w:hAnsi="Times New Roman"/>
          <w:sz w:val="24"/>
          <w:szCs w:val="24"/>
        </w:rPr>
        <w:t xml:space="preserve"> .  As a first step, the model implementation team checks that the code (</w:t>
      </w:r>
      <w:r>
        <w:rPr>
          <w:rFonts w:ascii="Times New Roman" w:hAnsi="Times New Roman"/>
          <w:sz w:val="24"/>
          <w:szCs w:val="24"/>
        </w:rPr>
        <w:t xml:space="preserve">e.g., </w:t>
      </w:r>
      <w:r w:rsidRPr="006B0695">
        <w:rPr>
          <w:rFonts w:ascii="Times New Roman" w:hAnsi="Times New Roman"/>
          <w:sz w:val="24"/>
          <w:szCs w:val="24"/>
        </w:rPr>
        <w:t xml:space="preserve">the SAS and Python scripts, as well as the input files) deployed in the implementation process is that approved by the </w:t>
      </w:r>
      <w:r w:rsidRPr="00D9422B">
        <w:rPr>
          <w:rFonts w:ascii="Times New Roman" w:hAnsi="Times New Roman"/>
          <w:i/>
          <w:sz w:val="24"/>
          <w:szCs w:val="24"/>
        </w:rPr>
        <w:t>independent model risk management group</w:t>
      </w:r>
      <w:r w:rsidRPr="006B0695">
        <w:rPr>
          <w:rFonts w:ascii="Times New Roman" w:hAnsi="Times New Roman"/>
          <w:sz w:val="24"/>
          <w:szCs w:val="24"/>
        </w:rPr>
        <w:t xml:space="preserve"> (“</w:t>
      </w:r>
      <w:r>
        <w:rPr>
          <w:rFonts w:ascii="Times New Roman" w:hAnsi="Times New Roman"/>
          <w:sz w:val="24"/>
          <w:szCs w:val="24"/>
        </w:rPr>
        <w:t>I</w:t>
      </w:r>
      <w:r w:rsidRPr="006B0695">
        <w:rPr>
          <w:rFonts w:ascii="Times New Roman" w:hAnsi="Times New Roman"/>
          <w:sz w:val="24"/>
          <w:szCs w:val="24"/>
        </w:rPr>
        <w:t xml:space="preserve">MRMG”), and this is recorded in the </w:t>
      </w:r>
      <w:r w:rsidRPr="00D9422B">
        <w:rPr>
          <w:rFonts w:ascii="Times New Roman" w:hAnsi="Times New Roman"/>
          <w:i/>
          <w:sz w:val="24"/>
          <w:szCs w:val="24"/>
        </w:rPr>
        <w:t>CECL Model Development PV&amp;A Log</w:t>
      </w:r>
      <w:r w:rsidRPr="006B0695">
        <w:rPr>
          <w:rFonts w:ascii="Times New Roman" w:hAnsi="Times New Roman"/>
          <w:sz w:val="24"/>
          <w:szCs w:val="24"/>
        </w:rPr>
        <w:t xml:space="preserve">.  </w:t>
      </w:r>
      <w:r>
        <w:rPr>
          <w:rFonts w:ascii="Times New Roman" w:hAnsi="Times New Roman"/>
          <w:sz w:val="24"/>
          <w:szCs w:val="24"/>
        </w:rPr>
        <w:t>If</w:t>
      </w:r>
      <w:r w:rsidRPr="006B0695">
        <w:rPr>
          <w:rFonts w:ascii="Times New Roman" w:hAnsi="Times New Roman"/>
          <w:sz w:val="24"/>
          <w:szCs w:val="24"/>
        </w:rPr>
        <w:t xml:space="preserve"> the same programming languages are used in implementation as in development, this is a rather straightforward process</w:t>
      </w:r>
      <w:r>
        <w:rPr>
          <w:rFonts w:ascii="Times New Roman" w:hAnsi="Times New Roman"/>
          <w:sz w:val="24"/>
          <w:szCs w:val="24"/>
        </w:rPr>
        <w:t>, else there is a step to translate the development codes into implementation codes that needs to be verified and assessed</w:t>
      </w:r>
      <w:r w:rsidRPr="006B0695">
        <w:rPr>
          <w:rFonts w:ascii="Times New Roman" w:hAnsi="Times New Roman"/>
          <w:sz w:val="24"/>
          <w:szCs w:val="24"/>
        </w:rPr>
        <w:t xml:space="preserve">.  Second, there is a check of the data that drive the CECL forecasts, namely the </w:t>
      </w:r>
      <w:r>
        <w:rPr>
          <w:rFonts w:ascii="Times New Roman" w:hAnsi="Times New Roman"/>
          <w:sz w:val="24"/>
          <w:szCs w:val="24"/>
        </w:rPr>
        <w:t>risk factors in the econometric models</w:t>
      </w:r>
      <w:r w:rsidRPr="006B0695">
        <w:rPr>
          <w:rFonts w:ascii="Times New Roman" w:hAnsi="Times New Roman"/>
          <w:sz w:val="24"/>
          <w:szCs w:val="24"/>
        </w:rPr>
        <w:t>, and the macroeconomic variables used in the regression models.</w:t>
      </w:r>
    </w:p>
    <w:p w:rsidR="0017151A" w:rsidRPr="006B0695" w:rsidRDefault="0017151A" w:rsidP="0017151A">
      <w:pPr>
        <w:jc w:val="both"/>
        <w:rPr>
          <w:rFonts w:ascii="Times New Roman" w:hAnsi="Times New Roman"/>
          <w:sz w:val="24"/>
          <w:szCs w:val="24"/>
        </w:rPr>
      </w:pPr>
      <w:r w:rsidRPr="006B0695">
        <w:rPr>
          <w:rFonts w:ascii="Times New Roman" w:hAnsi="Times New Roman"/>
          <w:sz w:val="24"/>
          <w:szCs w:val="24"/>
        </w:rPr>
        <w:t xml:space="preserve">This is accomplished by a comparison that is recorded in an </w:t>
      </w:r>
      <w:r w:rsidRPr="00D9422B">
        <w:rPr>
          <w:rFonts w:ascii="Times New Roman" w:hAnsi="Times New Roman"/>
          <w:i/>
          <w:sz w:val="24"/>
          <w:szCs w:val="24"/>
        </w:rPr>
        <w:t>Analysis Results Summary</w:t>
      </w:r>
      <w:r w:rsidRPr="006B0695">
        <w:rPr>
          <w:rFonts w:ascii="Times New Roman" w:hAnsi="Times New Roman"/>
          <w:sz w:val="24"/>
          <w:szCs w:val="24"/>
        </w:rPr>
        <w:t xml:space="preserve"> document.  The third step of the process involves establishing the implementation environment, which means ensuring that the code and data are ingested correctly by the model implementation platform.  The artifact supporting the </w:t>
      </w:r>
      <w:r>
        <w:rPr>
          <w:rFonts w:ascii="Times New Roman" w:hAnsi="Times New Roman"/>
          <w:sz w:val="24"/>
          <w:szCs w:val="24"/>
        </w:rPr>
        <w:t>PV&amp;A</w:t>
      </w:r>
      <w:r w:rsidRPr="006B0695">
        <w:rPr>
          <w:rFonts w:ascii="Times New Roman" w:hAnsi="Times New Roman"/>
          <w:sz w:val="24"/>
          <w:szCs w:val="24"/>
        </w:rPr>
        <w:t xml:space="preserve"> of this step is recorded in the </w:t>
      </w:r>
      <w:r w:rsidRPr="00D9422B">
        <w:rPr>
          <w:rFonts w:ascii="Times New Roman" w:hAnsi="Times New Roman"/>
          <w:i/>
          <w:sz w:val="24"/>
          <w:szCs w:val="24"/>
        </w:rPr>
        <w:t>Comparative Analysis Summary</w:t>
      </w:r>
      <w:r w:rsidRPr="006B0695">
        <w:rPr>
          <w:rFonts w:ascii="Times New Roman" w:hAnsi="Times New Roman"/>
          <w:sz w:val="24"/>
          <w:szCs w:val="24"/>
        </w:rPr>
        <w:t xml:space="preserve"> document.  In the fourth step, there is an evaluation of the model implementation output, which is again verification that the </w:t>
      </w:r>
      <w:r>
        <w:rPr>
          <w:rFonts w:ascii="Times New Roman" w:hAnsi="Times New Roman"/>
          <w:sz w:val="24"/>
          <w:szCs w:val="24"/>
        </w:rPr>
        <w:t>risk factors</w:t>
      </w:r>
      <w:r w:rsidRPr="006B0695">
        <w:rPr>
          <w:rFonts w:ascii="Times New Roman" w:hAnsi="Times New Roman"/>
          <w:sz w:val="24"/>
          <w:szCs w:val="24"/>
        </w:rPr>
        <w:t xml:space="preserve"> and predicted </w:t>
      </w:r>
      <w:r>
        <w:rPr>
          <w:rFonts w:ascii="Times New Roman" w:hAnsi="Times New Roman"/>
          <w:sz w:val="24"/>
          <w:szCs w:val="24"/>
        </w:rPr>
        <w:t>credit losses</w:t>
      </w:r>
      <w:r w:rsidRPr="006B0695">
        <w:rPr>
          <w:rFonts w:ascii="Times New Roman" w:hAnsi="Times New Roman"/>
          <w:sz w:val="24"/>
          <w:szCs w:val="24"/>
        </w:rPr>
        <w:t xml:space="preserve"> which drive the </w:t>
      </w:r>
      <w:r>
        <w:rPr>
          <w:rFonts w:ascii="Times New Roman" w:hAnsi="Times New Roman"/>
          <w:sz w:val="24"/>
          <w:szCs w:val="24"/>
        </w:rPr>
        <w:t>CECL</w:t>
      </w:r>
      <w:r w:rsidRPr="006B0695">
        <w:rPr>
          <w:rFonts w:ascii="Times New Roman" w:hAnsi="Times New Roman"/>
          <w:sz w:val="24"/>
          <w:szCs w:val="24"/>
        </w:rPr>
        <w:t xml:space="preserve"> model </w:t>
      </w:r>
      <w:r w:rsidRPr="006B0695">
        <w:rPr>
          <w:rFonts w:ascii="Times New Roman" w:hAnsi="Times New Roman"/>
          <w:sz w:val="24"/>
          <w:szCs w:val="24"/>
        </w:rPr>
        <w:lastRenderedPageBreak/>
        <w:t xml:space="preserve">forecasts match those in the model development stage.  The correct completion of this control is evidenced by a </w:t>
      </w:r>
      <w:r w:rsidRPr="00D9422B">
        <w:rPr>
          <w:rFonts w:ascii="Times New Roman" w:hAnsi="Times New Roman"/>
          <w:i/>
          <w:sz w:val="24"/>
          <w:szCs w:val="24"/>
        </w:rPr>
        <w:t>Comparison Results Excel</w:t>
      </w:r>
      <w:r w:rsidRPr="006B0695">
        <w:rPr>
          <w:rFonts w:ascii="Times New Roman" w:hAnsi="Times New Roman"/>
          <w:sz w:val="24"/>
          <w:szCs w:val="24"/>
        </w:rPr>
        <w:t xml:space="preserve"> workbook.  The final step involves the transfer of </w:t>
      </w:r>
      <w:r>
        <w:rPr>
          <w:rFonts w:ascii="Times New Roman" w:hAnsi="Times New Roman"/>
          <w:sz w:val="24"/>
          <w:szCs w:val="24"/>
        </w:rPr>
        <w:t>CECL</w:t>
      </w:r>
      <w:r w:rsidRPr="006B0695">
        <w:rPr>
          <w:rFonts w:ascii="Times New Roman" w:hAnsi="Times New Roman"/>
          <w:sz w:val="24"/>
          <w:szCs w:val="24"/>
        </w:rPr>
        <w:t xml:space="preserve"> </w:t>
      </w:r>
      <w:r>
        <w:rPr>
          <w:rFonts w:ascii="Times New Roman" w:hAnsi="Times New Roman"/>
          <w:sz w:val="24"/>
          <w:szCs w:val="24"/>
        </w:rPr>
        <w:t xml:space="preserve">models </w:t>
      </w:r>
      <w:r w:rsidRPr="006B0695">
        <w:rPr>
          <w:rFonts w:ascii="Times New Roman" w:hAnsi="Times New Roman"/>
          <w:sz w:val="24"/>
          <w:szCs w:val="24"/>
        </w:rPr>
        <w:t xml:space="preserve">implementation outputs to the </w:t>
      </w:r>
      <w:r w:rsidRPr="002E0872">
        <w:rPr>
          <w:rFonts w:ascii="Times New Roman" w:hAnsi="Times New Roman"/>
          <w:i/>
          <w:sz w:val="24"/>
          <w:szCs w:val="24"/>
        </w:rPr>
        <w:t>model aggregation engine</w:t>
      </w:r>
      <w:r>
        <w:rPr>
          <w:rFonts w:ascii="Times New Roman" w:hAnsi="Times New Roman"/>
          <w:sz w:val="24"/>
          <w:szCs w:val="24"/>
        </w:rPr>
        <w:t xml:space="preserve"> (“MAE”)</w:t>
      </w:r>
      <w:r w:rsidRPr="006B0695">
        <w:rPr>
          <w:rFonts w:ascii="Times New Roman" w:hAnsi="Times New Roman"/>
          <w:sz w:val="24"/>
          <w:szCs w:val="24"/>
        </w:rPr>
        <w:t xml:space="preserve">, </w:t>
      </w:r>
      <w:r>
        <w:rPr>
          <w:rFonts w:ascii="Times New Roman" w:hAnsi="Times New Roman"/>
          <w:sz w:val="24"/>
          <w:szCs w:val="24"/>
        </w:rPr>
        <w:t xml:space="preserve">which is the execution stage of the CECL model, </w:t>
      </w:r>
      <w:r w:rsidRPr="006B0695">
        <w:rPr>
          <w:rFonts w:ascii="Times New Roman" w:hAnsi="Times New Roman"/>
          <w:sz w:val="24"/>
          <w:szCs w:val="24"/>
        </w:rPr>
        <w:t xml:space="preserve">and the that these are complete and that results match, and the </w:t>
      </w:r>
      <w:r>
        <w:rPr>
          <w:rFonts w:ascii="Times New Roman" w:hAnsi="Times New Roman"/>
          <w:sz w:val="24"/>
          <w:szCs w:val="24"/>
        </w:rPr>
        <w:t>PV&amp;A</w:t>
      </w:r>
      <w:r w:rsidRPr="006B0695">
        <w:rPr>
          <w:rFonts w:ascii="Times New Roman" w:hAnsi="Times New Roman"/>
          <w:sz w:val="24"/>
          <w:szCs w:val="24"/>
        </w:rPr>
        <w:t xml:space="preserve"> activity associated with this is the comparison of </w:t>
      </w:r>
      <w:r>
        <w:rPr>
          <w:rFonts w:ascii="Times New Roman" w:hAnsi="Times New Roman"/>
          <w:sz w:val="24"/>
          <w:szCs w:val="24"/>
        </w:rPr>
        <w:t>CECL model</w:t>
      </w:r>
      <w:r w:rsidRPr="006B0695">
        <w:rPr>
          <w:rFonts w:ascii="Times New Roman" w:hAnsi="Times New Roman"/>
          <w:sz w:val="24"/>
          <w:szCs w:val="24"/>
        </w:rPr>
        <w:t xml:space="preserve"> out</w:t>
      </w:r>
      <w:r>
        <w:rPr>
          <w:rFonts w:ascii="Times New Roman" w:hAnsi="Times New Roman"/>
          <w:sz w:val="24"/>
          <w:szCs w:val="24"/>
        </w:rPr>
        <w:t>put</w:t>
      </w:r>
      <w:r w:rsidRPr="006B0695">
        <w:rPr>
          <w:rFonts w:ascii="Times New Roman" w:hAnsi="Times New Roman"/>
          <w:sz w:val="24"/>
          <w:szCs w:val="24"/>
        </w:rPr>
        <w:t xml:space="preserve"> with that of the output post </w:t>
      </w:r>
      <w:r>
        <w:rPr>
          <w:rFonts w:ascii="Times New Roman" w:hAnsi="Times New Roman"/>
          <w:sz w:val="24"/>
          <w:szCs w:val="24"/>
        </w:rPr>
        <w:t>MAE</w:t>
      </w:r>
      <w:r w:rsidRPr="006B0695">
        <w:rPr>
          <w:rFonts w:ascii="Times New Roman" w:hAnsi="Times New Roman"/>
          <w:sz w:val="24"/>
          <w:szCs w:val="24"/>
        </w:rPr>
        <w:t xml:space="preserve"> implementation to that expected from </w:t>
      </w:r>
      <w:r>
        <w:rPr>
          <w:rFonts w:ascii="Times New Roman" w:hAnsi="Times New Roman"/>
          <w:sz w:val="24"/>
          <w:szCs w:val="24"/>
        </w:rPr>
        <w:t>CECL model</w:t>
      </w:r>
      <w:r w:rsidRPr="006B0695">
        <w:rPr>
          <w:rFonts w:ascii="Times New Roman" w:hAnsi="Times New Roman"/>
          <w:sz w:val="24"/>
          <w:szCs w:val="24"/>
        </w:rPr>
        <w:t xml:space="preserve"> development runs.  The artifact associated with this element of </w:t>
      </w:r>
      <w:r>
        <w:rPr>
          <w:rFonts w:ascii="Times New Roman" w:hAnsi="Times New Roman"/>
          <w:sz w:val="24"/>
          <w:szCs w:val="24"/>
        </w:rPr>
        <w:t>PV&amp;A</w:t>
      </w:r>
      <w:r w:rsidRPr="006B0695">
        <w:rPr>
          <w:rFonts w:ascii="Times New Roman" w:hAnsi="Times New Roman"/>
          <w:sz w:val="24"/>
          <w:szCs w:val="24"/>
        </w:rPr>
        <w:t xml:space="preserve"> is an automated code that resides in in a </w:t>
      </w:r>
      <w:r w:rsidRPr="002E0872">
        <w:rPr>
          <w:rFonts w:ascii="Times New Roman" w:hAnsi="Times New Roman"/>
          <w:i/>
          <w:sz w:val="24"/>
          <w:szCs w:val="24"/>
        </w:rPr>
        <w:t>Reason</w:t>
      </w:r>
      <w:r w:rsidRPr="002E0872">
        <w:rPr>
          <w:rFonts w:ascii="Times New Roman" w:hAnsi="Times New Roman"/>
          <w:i/>
          <w:sz w:val="24"/>
          <w:szCs w:val="24"/>
        </w:rPr>
        <w:t>a</w:t>
      </w:r>
      <w:r w:rsidRPr="002E0872">
        <w:rPr>
          <w:rFonts w:ascii="Times New Roman" w:hAnsi="Times New Roman"/>
          <w:i/>
          <w:sz w:val="24"/>
          <w:szCs w:val="24"/>
        </w:rPr>
        <w:t>bility Check</w:t>
      </w:r>
      <w:r w:rsidRPr="006B0695">
        <w:rPr>
          <w:rFonts w:ascii="Times New Roman" w:hAnsi="Times New Roman"/>
          <w:sz w:val="24"/>
          <w:szCs w:val="24"/>
        </w:rPr>
        <w:t xml:space="preserve"> excel workbook.</w:t>
      </w:r>
    </w:p>
    <w:p w:rsidR="0090183F" w:rsidRDefault="0090183F" w:rsidP="00E7003C">
      <w:pPr>
        <w:spacing w:before="100" w:beforeAutospacing="1" w:after="100" w:afterAutospacing="1" w:line="240" w:lineRule="auto"/>
        <w:jc w:val="both"/>
        <w:rPr>
          <w:rFonts w:ascii="Times New Roman" w:hAnsi="Times New Roman"/>
          <w:b/>
          <w:sz w:val="28"/>
          <w:szCs w:val="28"/>
        </w:rPr>
      </w:pPr>
    </w:p>
    <w:p w:rsidR="0027748B" w:rsidRDefault="0090183F" w:rsidP="00E7003C">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4</w:t>
      </w:r>
      <w:r w:rsidR="0027748B" w:rsidRPr="00014971">
        <w:rPr>
          <w:rFonts w:ascii="Times New Roman" w:hAnsi="Times New Roman"/>
          <w:b/>
          <w:sz w:val="28"/>
          <w:szCs w:val="28"/>
        </w:rPr>
        <w:tab/>
      </w:r>
      <w:r w:rsidR="00612278">
        <w:rPr>
          <w:rFonts w:ascii="Times New Roman" w:hAnsi="Times New Roman"/>
          <w:b/>
          <w:sz w:val="28"/>
          <w:szCs w:val="28"/>
        </w:rPr>
        <w:t xml:space="preserve">Example of a CECL Modeling Framework: </w:t>
      </w:r>
      <w:r w:rsidR="00A4363D">
        <w:rPr>
          <w:rFonts w:ascii="Times New Roman" w:hAnsi="Times New Roman"/>
          <w:b/>
          <w:sz w:val="28"/>
          <w:szCs w:val="28"/>
        </w:rPr>
        <w:t>Time Series</w:t>
      </w:r>
      <w:r w:rsidR="005169F3">
        <w:rPr>
          <w:rFonts w:ascii="Times New Roman" w:hAnsi="Times New Roman"/>
          <w:b/>
          <w:sz w:val="28"/>
          <w:szCs w:val="28"/>
        </w:rPr>
        <w:t xml:space="preserve"> </w:t>
      </w:r>
      <w:r w:rsidR="00D162BD">
        <w:rPr>
          <w:rFonts w:ascii="Times New Roman" w:hAnsi="Times New Roman"/>
          <w:b/>
          <w:sz w:val="28"/>
          <w:szCs w:val="28"/>
        </w:rPr>
        <w:t xml:space="preserve">VAR </w:t>
      </w:r>
      <w:r w:rsidR="005169F3">
        <w:rPr>
          <w:rFonts w:ascii="Times New Roman" w:hAnsi="Times New Roman"/>
          <w:b/>
          <w:sz w:val="28"/>
          <w:szCs w:val="28"/>
        </w:rPr>
        <w:t>Metho</w:t>
      </w:r>
      <w:r w:rsidR="005169F3">
        <w:rPr>
          <w:rFonts w:ascii="Times New Roman" w:hAnsi="Times New Roman"/>
          <w:b/>
          <w:sz w:val="28"/>
          <w:szCs w:val="28"/>
        </w:rPr>
        <w:t>d</w:t>
      </w:r>
      <w:r w:rsidR="005169F3">
        <w:rPr>
          <w:rFonts w:ascii="Times New Roman" w:hAnsi="Times New Roman"/>
          <w:b/>
          <w:sz w:val="28"/>
          <w:szCs w:val="28"/>
        </w:rPr>
        <w:t>olog</w:t>
      </w:r>
      <w:r w:rsidR="00885804">
        <w:rPr>
          <w:rFonts w:ascii="Times New Roman" w:hAnsi="Times New Roman"/>
          <w:b/>
          <w:sz w:val="28"/>
          <w:szCs w:val="28"/>
        </w:rPr>
        <w:t>ies</w:t>
      </w:r>
      <w:r w:rsidR="005169F3">
        <w:rPr>
          <w:rFonts w:ascii="Times New Roman" w:hAnsi="Times New Roman"/>
          <w:b/>
          <w:sz w:val="28"/>
          <w:szCs w:val="28"/>
        </w:rPr>
        <w:t xml:space="preserve"> </w:t>
      </w:r>
      <w:r w:rsidR="00A4363D">
        <w:rPr>
          <w:rFonts w:ascii="Times New Roman" w:hAnsi="Times New Roman"/>
          <w:b/>
          <w:sz w:val="28"/>
          <w:szCs w:val="28"/>
        </w:rPr>
        <w:t xml:space="preserve">for </w:t>
      </w:r>
      <w:r w:rsidR="00710D30">
        <w:rPr>
          <w:rFonts w:ascii="Times New Roman" w:hAnsi="Times New Roman"/>
          <w:b/>
          <w:sz w:val="28"/>
          <w:szCs w:val="28"/>
        </w:rPr>
        <w:t xml:space="preserve">Credit Model </w:t>
      </w:r>
      <w:r w:rsidR="00DA6E16">
        <w:rPr>
          <w:rFonts w:ascii="Times New Roman" w:hAnsi="Times New Roman"/>
          <w:b/>
          <w:sz w:val="28"/>
          <w:szCs w:val="28"/>
        </w:rPr>
        <w:t xml:space="preserve">Estimation and </w:t>
      </w:r>
      <w:r w:rsidR="00710D30">
        <w:rPr>
          <w:rFonts w:ascii="Times New Roman" w:hAnsi="Times New Roman"/>
          <w:b/>
          <w:sz w:val="28"/>
          <w:szCs w:val="28"/>
        </w:rPr>
        <w:t xml:space="preserve">Macroeconomic </w:t>
      </w:r>
      <w:r w:rsidR="006575B4">
        <w:rPr>
          <w:rFonts w:ascii="Times New Roman" w:hAnsi="Times New Roman"/>
          <w:b/>
          <w:sz w:val="28"/>
          <w:szCs w:val="28"/>
        </w:rPr>
        <w:t>Scenario Generation</w:t>
      </w:r>
    </w:p>
    <w:p w:rsidR="006A1126" w:rsidRDefault="000D2E85" w:rsidP="006A1126">
      <w:pPr>
        <w:spacing w:after="0" w:line="300" w:lineRule="atLeast"/>
        <w:jc w:val="both"/>
        <w:rPr>
          <w:rFonts w:ascii="Times New Roman" w:hAnsi="Times New Roman"/>
          <w:spacing w:val="-4"/>
          <w:sz w:val="24"/>
          <w:szCs w:val="24"/>
        </w:rPr>
      </w:pPr>
      <w:r>
        <w:rPr>
          <w:rFonts w:ascii="Times New Roman" w:hAnsi="Times New Roman"/>
          <w:sz w:val="24"/>
          <w:szCs w:val="24"/>
        </w:rPr>
        <w:t xml:space="preserve">Stress testing is concerned principally concerned with the policy advisory functions of </w:t>
      </w:r>
      <w:r>
        <w:rPr>
          <w:rFonts w:ascii="Times New Roman" w:hAnsi="Times New Roman" w:cs="Calibri"/>
          <w:spacing w:val="2"/>
          <w:sz w:val="24"/>
          <w:szCs w:val="24"/>
        </w:rPr>
        <w:t>macro</w:t>
      </w:r>
      <w:r>
        <w:rPr>
          <w:rFonts w:ascii="Times New Roman" w:hAnsi="Times New Roman" w:cs="Calibri"/>
          <w:spacing w:val="2"/>
          <w:sz w:val="24"/>
          <w:szCs w:val="24"/>
        </w:rPr>
        <w:t>e</w:t>
      </w:r>
      <w:r>
        <w:rPr>
          <w:rFonts w:ascii="Times New Roman" w:hAnsi="Times New Roman" w:cs="Calibri"/>
          <w:spacing w:val="2"/>
          <w:sz w:val="24"/>
          <w:szCs w:val="24"/>
        </w:rPr>
        <w:t>conomic</w:t>
      </w:r>
      <w:r>
        <w:rPr>
          <w:rFonts w:ascii="Times New Roman" w:hAnsi="Times New Roman"/>
          <w:sz w:val="24"/>
          <w:szCs w:val="24"/>
        </w:rPr>
        <w:t xml:space="preserve"> forecasting, wherein stressed loss projections are leveraged by risk managers and s</w:t>
      </w:r>
      <w:r>
        <w:rPr>
          <w:rFonts w:ascii="Times New Roman" w:hAnsi="Times New Roman"/>
          <w:sz w:val="24"/>
          <w:szCs w:val="24"/>
        </w:rPr>
        <w:t>u</w:t>
      </w:r>
      <w:r>
        <w:rPr>
          <w:rFonts w:ascii="Times New Roman" w:hAnsi="Times New Roman"/>
          <w:sz w:val="24"/>
          <w:szCs w:val="24"/>
        </w:rPr>
        <w:t>pervisors as a decision-support tool informing the resiliency institutions during stress periods</w:t>
      </w:r>
      <w:r>
        <w:rPr>
          <w:rStyle w:val="FootnoteReference"/>
          <w:rFonts w:ascii="Times New Roman" w:hAnsi="Times New Roman"/>
          <w:sz w:val="24"/>
          <w:szCs w:val="24"/>
        </w:rPr>
        <w:footnoteReference w:id="5"/>
      </w:r>
      <w:r>
        <w:rPr>
          <w:rFonts w:ascii="Times New Roman" w:hAnsi="Times New Roman"/>
          <w:sz w:val="24"/>
          <w:szCs w:val="24"/>
        </w:rPr>
        <w:t xml:space="preserve">. Traditionally the way that these objectives have been achieved ranged from high-dimensional multi-equation models, all the way down to single-equation rules, the latter being the product of economic theories. </w:t>
      </w:r>
      <w:r w:rsidR="00F043B3">
        <w:rPr>
          <w:rFonts w:ascii="Times New Roman" w:hAnsi="Times New Roman"/>
          <w:sz w:val="24"/>
          <w:szCs w:val="24"/>
        </w:rPr>
        <w:t xml:space="preserve"> </w:t>
      </w:r>
      <w:r>
        <w:rPr>
          <w:rFonts w:ascii="Times New Roman" w:hAnsi="Times New Roman"/>
          <w:sz w:val="24"/>
          <w:szCs w:val="24"/>
        </w:rPr>
        <w:t xml:space="preserve">Many of these methodologies were found to be inaccurate and unstable during the economic tumult of the 1970s </w:t>
      </w:r>
      <w:r>
        <w:rPr>
          <w:rFonts w:ascii="Times New Roman" w:hAnsi="Times New Roman"/>
          <w:sz w:val="24"/>
          <w:szCs w:val="24"/>
          <w:lang w:eastAsia="zh-CN"/>
        </w:rPr>
        <w:t xml:space="preserve">as </w:t>
      </w:r>
      <w:r>
        <w:rPr>
          <w:rFonts w:ascii="Times New Roman" w:hAnsi="Times New Roman"/>
          <w:sz w:val="24"/>
          <w:szCs w:val="24"/>
        </w:rPr>
        <w:t xml:space="preserve">empirical regularities such as Okun’s Law or the Phillips Curve started to fail. </w:t>
      </w:r>
      <w:r w:rsidR="00F043B3">
        <w:rPr>
          <w:rFonts w:ascii="Times New Roman" w:hAnsi="Times New Roman"/>
          <w:sz w:val="24"/>
          <w:szCs w:val="24"/>
        </w:rPr>
        <w:t xml:space="preserve"> </w:t>
      </w:r>
      <w:r>
        <w:rPr>
          <w:rFonts w:ascii="Times New Roman" w:hAnsi="Times New Roman"/>
          <w:sz w:val="24"/>
          <w:szCs w:val="24"/>
        </w:rPr>
        <w:t>Starting with Sims (1980) and the VAR methodology we saw the arrival of a new paradigm, where as opposed to the univariate AR modeling framework (Box and Jenkins</w:t>
      </w:r>
      <w:r>
        <w:rPr>
          <w:rFonts w:ascii="Times New Roman" w:hAnsi="Times New Roman"/>
          <w:sz w:val="24"/>
          <w:szCs w:val="24"/>
          <w:lang w:eastAsia="zh-CN"/>
        </w:rPr>
        <w:t>,</w:t>
      </w:r>
      <w:r>
        <w:rPr>
          <w:rFonts w:ascii="Times New Roman" w:hAnsi="Times New Roman"/>
          <w:sz w:val="24"/>
          <w:szCs w:val="24"/>
        </w:rPr>
        <w:t xml:space="preserve"> 197</w:t>
      </w:r>
      <w:r w:rsidR="00A03C8D">
        <w:rPr>
          <w:rFonts w:ascii="Times New Roman" w:hAnsi="Times New Roman"/>
          <w:sz w:val="24"/>
          <w:szCs w:val="24"/>
        </w:rPr>
        <w:t>0</w:t>
      </w:r>
      <w:r>
        <w:rPr>
          <w:rFonts w:ascii="Times New Roman" w:hAnsi="Times New Roman"/>
          <w:sz w:val="24"/>
          <w:szCs w:val="24"/>
        </w:rPr>
        <w:t>; Brockwell and Davis</w:t>
      </w:r>
      <w:r>
        <w:rPr>
          <w:rFonts w:ascii="Times New Roman" w:hAnsi="Times New Roman"/>
          <w:sz w:val="24"/>
          <w:szCs w:val="24"/>
          <w:lang w:eastAsia="zh-CN"/>
        </w:rPr>
        <w:t>,</w:t>
      </w:r>
      <w:r>
        <w:rPr>
          <w:rFonts w:ascii="Times New Roman" w:hAnsi="Times New Roman"/>
          <w:sz w:val="24"/>
          <w:szCs w:val="24"/>
        </w:rPr>
        <w:t xml:space="preserve"> 1991; Commandeur and Koopman</w:t>
      </w:r>
      <w:r>
        <w:rPr>
          <w:rFonts w:ascii="Times New Roman" w:hAnsi="Times New Roman"/>
          <w:sz w:val="24"/>
          <w:szCs w:val="24"/>
          <w:lang w:eastAsia="zh-CN"/>
        </w:rPr>
        <w:t>,</w:t>
      </w:r>
      <w:r>
        <w:rPr>
          <w:rFonts w:ascii="Times New Roman" w:hAnsi="Times New Roman"/>
          <w:sz w:val="24"/>
          <w:szCs w:val="24"/>
        </w:rPr>
        <w:t xml:space="preserve"> 2007), the VAR model presents as a flexible multi-equation model still in the linear class, but in which variables can be explained by their own and other variable’s lags, including variables exogenous to the system. </w:t>
      </w:r>
      <w:r w:rsidR="00F043B3">
        <w:rPr>
          <w:rFonts w:ascii="Times New Roman" w:hAnsi="Times New Roman"/>
          <w:sz w:val="24"/>
          <w:szCs w:val="24"/>
        </w:rPr>
        <w:t xml:space="preserve"> </w:t>
      </w:r>
      <w:r>
        <w:rPr>
          <w:rFonts w:ascii="Times New Roman" w:hAnsi="Times New Roman"/>
          <w:sz w:val="24"/>
          <w:szCs w:val="24"/>
        </w:rPr>
        <w:t>We consider the VAR methodology to be appropriate i</w:t>
      </w:r>
      <w:r>
        <w:rPr>
          <w:rFonts w:ascii="Times New Roman" w:hAnsi="Times New Roman"/>
          <w:spacing w:val="-2"/>
          <w:sz w:val="24"/>
          <w:szCs w:val="24"/>
        </w:rPr>
        <w:t xml:space="preserve">n the application of stress testing, as our modeling interest concerns relationships and forecasts of multiple </w:t>
      </w:r>
      <w:r w:rsidR="00F043B3">
        <w:rPr>
          <w:rFonts w:ascii="Times New Roman" w:hAnsi="Times New Roman"/>
          <w:sz w:val="24"/>
          <w:szCs w:val="24"/>
        </w:rPr>
        <w:t xml:space="preserve">macroeconomic </w:t>
      </w:r>
      <w:r>
        <w:rPr>
          <w:rFonts w:ascii="Times New Roman" w:hAnsi="Times New Roman"/>
          <w:sz w:val="24"/>
          <w:szCs w:val="24"/>
        </w:rPr>
        <w:t xml:space="preserve">and bank-specific variables.  We also consider the MS-VAR paradigm in this study, which is closely related to this linear time-invariant VAR model. In this framework we analyze the dynamic propagation of innovations and the effects of regime change in a system. </w:t>
      </w:r>
      <w:r w:rsidR="00F043B3">
        <w:rPr>
          <w:rFonts w:ascii="Times New Roman" w:hAnsi="Times New Roman"/>
          <w:sz w:val="24"/>
          <w:szCs w:val="24"/>
        </w:rPr>
        <w:t xml:space="preserve"> </w:t>
      </w:r>
      <w:r>
        <w:rPr>
          <w:rFonts w:ascii="Times New Roman" w:hAnsi="Times New Roman"/>
          <w:sz w:val="24"/>
          <w:szCs w:val="24"/>
        </w:rPr>
        <w:t>A basis</w:t>
      </w:r>
      <w:r>
        <w:rPr>
          <w:rFonts w:ascii="Times New Roman" w:hAnsi="Times New Roman"/>
          <w:spacing w:val="2"/>
          <w:sz w:val="24"/>
          <w:szCs w:val="24"/>
        </w:rPr>
        <w:t xml:space="preserve"> for this a</w:t>
      </w:r>
      <w:r>
        <w:rPr>
          <w:rFonts w:ascii="Times New Roman" w:hAnsi="Times New Roman"/>
          <w:spacing w:val="2"/>
          <w:sz w:val="24"/>
          <w:szCs w:val="24"/>
        </w:rPr>
        <w:t>p</w:t>
      </w:r>
      <w:r>
        <w:rPr>
          <w:rFonts w:ascii="Times New Roman" w:hAnsi="Times New Roman"/>
          <w:spacing w:val="2"/>
          <w:sz w:val="24"/>
          <w:szCs w:val="24"/>
        </w:rPr>
        <w:t xml:space="preserve">proach is the statistics of </w:t>
      </w:r>
      <w:r>
        <w:rPr>
          <w:rFonts w:ascii="Times New Roman" w:hAnsi="Times New Roman"/>
          <w:i/>
          <w:spacing w:val="2"/>
          <w:sz w:val="24"/>
          <w:szCs w:val="24"/>
        </w:rPr>
        <w:t>probabilistic functions of Markov chai</w:t>
      </w:r>
      <w:r>
        <w:rPr>
          <w:rFonts w:ascii="Times New Roman" w:hAnsi="Times New Roman"/>
          <w:spacing w:val="2"/>
          <w:sz w:val="24"/>
          <w:szCs w:val="24"/>
        </w:rPr>
        <w:t>ns (Baum and Pe</w:t>
      </w:r>
      <w:r>
        <w:rPr>
          <w:rFonts w:ascii="Times New Roman" w:hAnsi="Times New Roman"/>
          <w:sz w:val="24"/>
          <w:szCs w:val="24"/>
        </w:rPr>
        <w:t>trie</w:t>
      </w:r>
      <w:r>
        <w:rPr>
          <w:rFonts w:ascii="Times New Roman" w:hAnsi="Times New Roman"/>
          <w:sz w:val="24"/>
          <w:szCs w:val="24"/>
          <w:lang w:eastAsia="zh-CN"/>
        </w:rPr>
        <w:t xml:space="preserve">, </w:t>
      </w:r>
      <w:r>
        <w:rPr>
          <w:rFonts w:ascii="Times New Roman" w:hAnsi="Times New Roman"/>
          <w:sz w:val="24"/>
          <w:szCs w:val="24"/>
        </w:rPr>
        <w:t>1966</w:t>
      </w:r>
      <w:r>
        <w:rPr>
          <w:rFonts w:ascii="Times New Roman" w:hAnsi="Times New Roman"/>
          <w:sz w:val="24"/>
          <w:szCs w:val="24"/>
          <w:lang w:eastAsia="zh-CN"/>
        </w:rPr>
        <w:t>;</w:t>
      </w:r>
      <w:r>
        <w:rPr>
          <w:rFonts w:ascii="Times New Roman" w:hAnsi="Times New Roman"/>
          <w:sz w:val="24"/>
          <w:szCs w:val="24"/>
        </w:rPr>
        <w:t xml:space="preserve"> Baum et al</w:t>
      </w:r>
      <w:r>
        <w:rPr>
          <w:rFonts w:ascii="Times New Roman" w:hAnsi="Times New Roman"/>
          <w:sz w:val="24"/>
          <w:szCs w:val="24"/>
          <w:lang w:eastAsia="zh-CN"/>
        </w:rPr>
        <w:t>.,</w:t>
      </w:r>
      <w:r>
        <w:rPr>
          <w:rFonts w:ascii="Times New Roman" w:hAnsi="Times New Roman"/>
          <w:sz w:val="24"/>
          <w:szCs w:val="24"/>
        </w:rPr>
        <w:t xml:space="preserve"> 1970)</w:t>
      </w:r>
      <w:r>
        <w:rPr>
          <w:rFonts w:ascii="Times New Roman" w:hAnsi="Times New Roman"/>
          <w:sz w:val="24"/>
          <w:szCs w:val="24"/>
          <w:lang w:eastAsia="zh-CN"/>
        </w:rPr>
        <w:t>.</w:t>
      </w:r>
      <w:r>
        <w:rPr>
          <w:rFonts w:ascii="Times New Roman" w:hAnsi="Times New Roman"/>
          <w:sz w:val="24"/>
          <w:szCs w:val="24"/>
        </w:rPr>
        <w:t xml:space="preserve"> The MS-VAR model also subsumes the </w:t>
      </w:r>
      <w:r>
        <w:rPr>
          <w:rFonts w:ascii="Times New Roman" w:hAnsi="Times New Roman"/>
          <w:i/>
          <w:sz w:val="24"/>
          <w:szCs w:val="24"/>
        </w:rPr>
        <w:t>mixtures of normal distributions</w:t>
      </w:r>
      <w:r>
        <w:rPr>
          <w:rFonts w:ascii="Times New Roman" w:hAnsi="Times New Roman"/>
          <w:sz w:val="24"/>
          <w:szCs w:val="24"/>
        </w:rPr>
        <w:t xml:space="preserve"> (Pearson, 1984) and </w:t>
      </w:r>
      <w:r>
        <w:rPr>
          <w:rFonts w:ascii="Times New Roman" w:hAnsi="Times New Roman"/>
          <w:i/>
          <w:sz w:val="24"/>
          <w:szCs w:val="24"/>
        </w:rPr>
        <w:t>hidden Markov-chain</w:t>
      </w:r>
      <w:r>
        <w:rPr>
          <w:rFonts w:ascii="Times New Roman" w:hAnsi="Times New Roman"/>
          <w:sz w:val="24"/>
          <w:szCs w:val="24"/>
        </w:rPr>
        <w:t xml:space="preserve"> (</w:t>
      </w:r>
      <w:r>
        <w:rPr>
          <w:rFonts w:ascii="Times New Roman" w:hAnsi="Times New Roman"/>
          <w:spacing w:val="4"/>
          <w:sz w:val="24"/>
          <w:szCs w:val="24"/>
        </w:rPr>
        <w:t>Blackwell and Koopmans</w:t>
      </w:r>
      <w:r>
        <w:rPr>
          <w:rFonts w:ascii="Times New Roman" w:hAnsi="Times New Roman"/>
          <w:spacing w:val="4"/>
          <w:sz w:val="24"/>
          <w:szCs w:val="24"/>
          <w:lang w:eastAsia="zh-CN"/>
        </w:rPr>
        <w:t xml:space="preserve">, </w:t>
      </w:r>
      <w:r>
        <w:rPr>
          <w:rFonts w:ascii="Times New Roman" w:hAnsi="Times New Roman"/>
          <w:spacing w:val="4"/>
          <w:sz w:val="24"/>
          <w:szCs w:val="24"/>
        </w:rPr>
        <w:t>1957</w:t>
      </w:r>
      <w:r>
        <w:rPr>
          <w:rFonts w:ascii="Times New Roman" w:hAnsi="Times New Roman"/>
          <w:spacing w:val="4"/>
          <w:sz w:val="24"/>
          <w:szCs w:val="24"/>
          <w:lang w:eastAsia="zh-CN"/>
        </w:rPr>
        <w:t>;</w:t>
      </w:r>
      <w:r>
        <w:rPr>
          <w:rFonts w:ascii="Times New Roman" w:hAnsi="Times New Roman"/>
          <w:spacing w:val="4"/>
          <w:sz w:val="24"/>
          <w:szCs w:val="24"/>
        </w:rPr>
        <w:t xml:space="preserve"> Heller</w:t>
      </w:r>
      <w:r>
        <w:rPr>
          <w:rFonts w:ascii="Times New Roman" w:hAnsi="Times New Roman"/>
          <w:spacing w:val="4"/>
          <w:sz w:val="24"/>
          <w:szCs w:val="24"/>
          <w:lang w:eastAsia="zh-CN"/>
        </w:rPr>
        <w:t>,</w:t>
      </w:r>
      <w:r>
        <w:rPr>
          <w:rFonts w:ascii="Times New Roman" w:hAnsi="Times New Roman"/>
          <w:spacing w:val="4"/>
          <w:sz w:val="24"/>
          <w:szCs w:val="24"/>
        </w:rPr>
        <w:t xml:space="preserve"> 1965) frameworks. All of these approaches are further related to</w:t>
      </w:r>
      <w:r>
        <w:rPr>
          <w:rFonts w:ascii="Times New Roman" w:hAnsi="Times New Roman"/>
          <w:sz w:val="24"/>
          <w:szCs w:val="24"/>
        </w:rPr>
        <w:t xml:space="preserve"> </w:t>
      </w:r>
      <w:r>
        <w:rPr>
          <w:rFonts w:ascii="Times New Roman" w:hAnsi="Times New Roman"/>
          <w:i/>
          <w:sz w:val="24"/>
          <w:szCs w:val="24"/>
        </w:rPr>
        <w:t>Markov-chain regression models</w:t>
      </w:r>
      <w:r>
        <w:rPr>
          <w:rFonts w:ascii="Times New Roman" w:hAnsi="Times New Roman"/>
          <w:sz w:val="24"/>
          <w:szCs w:val="24"/>
        </w:rPr>
        <w:t xml:space="preserve"> (Goldfeld and Quandt, </w:t>
      </w:r>
      <w:r>
        <w:rPr>
          <w:rFonts w:ascii="Times New Roman" w:hAnsi="Times New Roman"/>
          <w:spacing w:val="6"/>
          <w:sz w:val="24"/>
          <w:szCs w:val="24"/>
        </w:rPr>
        <w:t xml:space="preserve">1973) and to the statistical </w:t>
      </w:r>
      <w:r>
        <w:rPr>
          <w:rFonts w:ascii="Times New Roman" w:hAnsi="Times New Roman"/>
          <w:spacing w:val="-4"/>
          <w:sz w:val="24"/>
          <w:szCs w:val="24"/>
        </w:rPr>
        <w:t xml:space="preserve">analysis of the </w:t>
      </w:r>
      <w:r>
        <w:rPr>
          <w:rFonts w:ascii="Times New Roman" w:hAnsi="Times New Roman"/>
          <w:i/>
          <w:spacing w:val="-4"/>
          <w:sz w:val="24"/>
          <w:szCs w:val="24"/>
        </w:rPr>
        <w:t>Markov-switching models</w:t>
      </w:r>
      <w:r>
        <w:rPr>
          <w:rFonts w:ascii="Times New Roman" w:hAnsi="Times New Roman"/>
          <w:spacing w:val="-4"/>
          <w:sz w:val="24"/>
          <w:szCs w:val="24"/>
        </w:rPr>
        <w:t xml:space="preserve"> (Hamilton 1988, 1989). </w:t>
      </w:r>
      <w:r w:rsidR="00F043B3">
        <w:rPr>
          <w:rFonts w:ascii="Times New Roman" w:hAnsi="Times New Roman"/>
          <w:spacing w:val="-4"/>
          <w:sz w:val="24"/>
          <w:szCs w:val="24"/>
        </w:rPr>
        <w:t xml:space="preserve"> </w:t>
      </w:r>
      <w:r>
        <w:rPr>
          <w:rFonts w:ascii="Times New Roman" w:hAnsi="Times New Roman"/>
          <w:spacing w:val="-4"/>
          <w:sz w:val="24"/>
          <w:szCs w:val="24"/>
        </w:rPr>
        <w:t xml:space="preserve">Most closely aligned to our application is the theory of </w:t>
      </w:r>
      <w:r>
        <w:rPr>
          <w:rFonts w:ascii="Times New Roman" w:hAnsi="Times New Roman"/>
          <w:i/>
          <w:spacing w:val="-4"/>
          <w:sz w:val="24"/>
          <w:szCs w:val="24"/>
        </w:rPr>
        <w:t>doubly stochastic processes</w:t>
      </w:r>
      <w:r>
        <w:rPr>
          <w:rFonts w:ascii="Times New Roman" w:hAnsi="Times New Roman"/>
          <w:spacing w:val="-4"/>
          <w:sz w:val="24"/>
          <w:szCs w:val="24"/>
        </w:rPr>
        <w:t xml:space="preserve"> (Tjo</w:t>
      </w:r>
      <w:r>
        <w:rPr>
          <w:rFonts w:ascii="Times New Roman" w:hAnsi="Times New Roman"/>
          <w:spacing w:val="-4"/>
          <w:sz w:val="24"/>
          <w:szCs w:val="24"/>
        </w:rPr>
        <w:t>s</w:t>
      </w:r>
      <w:r>
        <w:rPr>
          <w:rFonts w:ascii="Times New Roman" w:hAnsi="Times New Roman"/>
          <w:spacing w:val="-4"/>
          <w:sz w:val="24"/>
          <w:szCs w:val="24"/>
        </w:rPr>
        <w:t>theim, 1986) that incorporates the MS-VAR model as a Gaussian autoregressive process conditioned on an exogenous regime generating process.</w:t>
      </w:r>
    </w:p>
    <w:p w:rsidR="006A1126" w:rsidRDefault="006A1126" w:rsidP="006A1126">
      <w:pPr>
        <w:spacing w:after="0" w:line="300" w:lineRule="atLeast"/>
        <w:jc w:val="both"/>
        <w:rPr>
          <w:rFonts w:ascii="Times New Roman" w:hAnsi="Times New Roman"/>
          <w:spacing w:val="-4"/>
          <w:sz w:val="24"/>
          <w:szCs w:val="24"/>
        </w:rPr>
      </w:pPr>
    </w:p>
    <w:p w:rsidR="000D2E85" w:rsidRDefault="000D2E85" w:rsidP="006A1126">
      <w:pPr>
        <w:spacing w:after="0" w:line="300" w:lineRule="atLeast"/>
        <w:jc w:val="both"/>
        <w:rPr>
          <w:rFonts w:ascii="Times New Roman" w:hAnsi="Times New Roman"/>
          <w:sz w:val="24"/>
          <w:szCs w:val="24"/>
          <w:lang w:eastAsia="zh-CN"/>
        </w:rPr>
      </w:pPr>
      <w:r>
        <w:rPr>
          <w:rFonts w:ascii="Times New Roman" w:hAnsi="Times New Roman"/>
          <w:spacing w:val="2"/>
          <w:sz w:val="24"/>
          <w:szCs w:val="24"/>
        </w:rPr>
        <w:t xml:space="preserve">Let </w:t>
      </w:r>
      <w:r>
        <w:rPr>
          <w:rFonts w:ascii="Times New Roman" w:hAnsi="Times New Roman"/>
          <w:spacing w:val="2"/>
          <w:position w:val="-14"/>
          <w:sz w:val="24"/>
          <w:szCs w:val="24"/>
        </w:rPr>
        <w:object w:dxaOrig="160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22.5pt" o:ole="">
            <v:imagedata r:id="rId13" o:title=""/>
          </v:shape>
          <o:OLEObject Type="Embed" ProgID="Equation.DSMT4" ShapeID="_x0000_i1025" DrawAspect="Content" ObjectID="_1637920001" r:id="rId14"/>
        </w:object>
      </w:r>
      <w:r>
        <w:rPr>
          <w:rFonts w:ascii="Times New Roman" w:hAnsi="Times New Roman"/>
          <w:spacing w:val="2"/>
          <w:sz w:val="24"/>
          <w:szCs w:val="24"/>
        </w:rPr>
        <w:t xml:space="preserve"> be a </w:t>
      </w:r>
      <w:r>
        <w:rPr>
          <w:rFonts w:ascii="Times New Roman" w:hAnsi="Times New Roman"/>
          <w:spacing w:val="2"/>
          <w:position w:val="-6"/>
          <w:sz w:val="24"/>
          <w:szCs w:val="24"/>
        </w:rPr>
        <w:object w:dxaOrig="195" w:dyaOrig="255">
          <v:shape id="_x0000_i1026" type="#_x0000_t75" style="width:9.75pt;height:12pt" o:ole="">
            <v:imagedata r:id="rId15" o:title=""/>
          </v:shape>
          <o:OLEObject Type="Embed" ProgID="Equation.DSMT4" ShapeID="_x0000_i1026" DrawAspect="Content" ObjectID="_1637920002" r:id="rId16"/>
        </w:object>
      </w:r>
      <w:r>
        <w:rPr>
          <w:rFonts w:ascii="Times New Roman" w:hAnsi="Times New Roman"/>
          <w:spacing w:val="2"/>
          <w:sz w:val="24"/>
          <w:szCs w:val="24"/>
        </w:rPr>
        <w:t>-dimensional vector valued time series, the output variables of i</w:t>
      </w:r>
      <w:r>
        <w:rPr>
          <w:rFonts w:ascii="Times New Roman" w:hAnsi="Times New Roman"/>
          <w:spacing w:val="2"/>
          <w:sz w:val="24"/>
          <w:szCs w:val="24"/>
        </w:rPr>
        <w:t>n</w:t>
      </w:r>
      <w:r>
        <w:rPr>
          <w:rFonts w:ascii="Times New Roman" w:hAnsi="Times New Roman"/>
          <w:sz w:val="24"/>
          <w:szCs w:val="24"/>
        </w:rPr>
        <w:t xml:space="preserve">terest, in our application with the entries representing some loss measure in a particular segment, </w:t>
      </w:r>
      <w:r>
        <w:rPr>
          <w:rFonts w:ascii="Times New Roman" w:hAnsi="Times New Roman"/>
          <w:spacing w:val="4"/>
          <w:sz w:val="24"/>
          <w:szCs w:val="24"/>
        </w:rPr>
        <w:t xml:space="preserve">that may be influenced by a set of observable </w:t>
      </w:r>
      <w:r>
        <w:rPr>
          <w:rFonts w:ascii="Times New Roman" w:hAnsi="Times New Roman"/>
          <w:i/>
          <w:spacing w:val="4"/>
          <w:sz w:val="24"/>
          <w:szCs w:val="24"/>
        </w:rPr>
        <w:t>input variables</w:t>
      </w:r>
      <w:r>
        <w:rPr>
          <w:rFonts w:ascii="Times New Roman" w:hAnsi="Times New Roman"/>
          <w:spacing w:val="4"/>
          <w:sz w:val="24"/>
          <w:szCs w:val="24"/>
        </w:rPr>
        <w:t xml:space="preserve"> denoted by</w:t>
      </w:r>
      <w:r>
        <w:rPr>
          <w:rFonts w:ascii="Times New Roman" w:hAnsi="Times New Roman"/>
          <w:spacing w:val="4"/>
          <w:position w:val="-14"/>
          <w:sz w:val="24"/>
          <w:szCs w:val="24"/>
        </w:rPr>
        <w:object w:dxaOrig="1755" w:dyaOrig="435">
          <v:shape id="_x0000_i1027" type="#_x0000_t75" style="width:87pt;height:22.5pt" o:ole="">
            <v:imagedata r:id="rId17" o:title=""/>
          </v:shape>
          <o:OLEObject Type="Embed" ProgID="Equation.DSMT4" ShapeID="_x0000_i1027" DrawAspect="Content" ObjectID="_1637920003" r:id="rId18"/>
        </w:object>
      </w:r>
      <w:r>
        <w:rPr>
          <w:rFonts w:ascii="Times New Roman" w:hAnsi="Times New Roman"/>
          <w:spacing w:val="4"/>
          <w:sz w:val="24"/>
          <w:szCs w:val="24"/>
        </w:rPr>
        <w:t>, an</w:t>
      </w:r>
      <w:r>
        <w:rPr>
          <w:rFonts w:ascii="Times New Roman" w:hAnsi="Times New Roman"/>
          <w:spacing w:val="4"/>
          <w:sz w:val="24"/>
          <w:szCs w:val="24"/>
          <w:lang w:eastAsia="zh-CN"/>
        </w:rPr>
        <w:t xml:space="preserve"> </w:t>
      </w:r>
      <w:r>
        <w:rPr>
          <w:rFonts w:ascii="Times New Roman" w:hAnsi="Times New Roman"/>
          <w:spacing w:val="4"/>
          <w:position w:val="-4"/>
          <w:sz w:val="24"/>
          <w:szCs w:val="24"/>
        </w:rPr>
        <w:object w:dxaOrig="165" w:dyaOrig="195">
          <v:shape id="_x0000_i1028" type="#_x0000_t75" style="width:8.25pt;height:9.75pt" o:ole="">
            <v:imagedata r:id="rId19" o:title=""/>
          </v:shape>
          <o:OLEObject Type="Embed" ProgID="Equation.DSMT4" ShapeID="_x0000_i1028" DrawAspect="Content" ObjectID="_1637920004" r:id="rId20"/>
        </w:object>
      </w:r>
      <w:r>
        <w:rPr>
          <w:rFonts w:ascii="Times New Roman" w:hAnsi="Times New Roman"/>
          <w:sz w:val="24"/>
          <w:szCs w:val="24"/>
        </w:rPr>
        <w:t xml:space="preserve">-dimensional vector valued time series also referred as </w:t>
      </w:r>
      <w:r>
        <w:rPr>
          <w:rFonts w:ascii="Times New Roman" w:hAnsi="Times New Roman"/>
          <w:i/>
          <w:sz w:val="24"/>
          <w:szCs w:val="24"/>
        </w:rPr>
        <w:t>exogenous variables</w:t>
      </w:r>
      <w:r>
        <w:rPr>
          <w:rFonts w:ascii="Times New Roman" w:hAnsi="Times New Roman"/>
          <w:sz w:val="24"/>
          <w:szCs w:val="24"/>
        </w:rPr>
        <w:t xml:space="preserve">, and in our context </w:t>
      </w:r>
      <w:r>
        <w:rPr>
          <w:rFonts w:ascii="Times New Roman" w:hAnsi="Times New Roman"/>
          <w:spacing w:val="2"/>
          <w:sz w:val="24"/>
          <w:szCs w:val="24"/>
        </w:rPr>
        <w:t>representing a set of macroeconomic</w:t>
      </w:r>
      <w:r w:rsidR="0019426D">
        <w:rPr>
          <w:rFonts w:ascii="Times New Roman" w:hAnsi="Times New Roman"/>
          <w:spacing w:val="2"/>
          <w:sz w:val="24"/>
          <w:szCs w:val="24"/>
        </w:rPr>
        <w:t xml:space="preserve"> </w:t>
      </w:r>
      <w:r w:rsidR="0019426D" w:rsidRPr="0019426D">
        <w:rPr>
          <w:rFonts w:ascii="Times New Roman" w:hAnsi="Times New Roman"/>
          <w:spacing w:val="2"/>
          <w:sz w:val="24"/>
          <w:szCs w:val="24"/>
        </w:rPr>
        <w:t>or idiosyncratic</w:t>
      </w:r>
      <w:r w:rsidR="00F57B7C">
        <w:rPr>
          <w:rFonts w:ascii="Times New Roman" w:hAnsi="Times New Roman"/>
          <w:spacing w:val="2"/>
          <w:sz w:val="24"/>
          <w:szCs w:val="24"/>
        </w:rPr>
        <w:t xml:space="preserve"> factors</w:t>
      </w:r>
      <w:r>
        <w:rPr>
          <w:rFonts w:ascii="Times New Roman" w:hAnsi="Times New Roman"/>
          <w:spacing w:val="2"/>
          <w:sz w:val="24"/>
          <w:szCs w:val="24"/>
        </w:rPr>
        <w:t>. This gives rise to the</w:t>
      </w:r>
      <w:r>
        <w:rPr>
          <w:rFonts w:ascii="Times New Roman" w:hAnsi="Times New Roman"/>
          <w:spacing w:val="2"/>
          <w:sz w:val="24"/>
          <w:szCs w:val="24"/>
          <w:lang w:eastAsia="zh-CN"/>
        </w:rPr>
        <w:t xml:space="preserve"> </w:t>
      </w:r>
      <w:r>
        <w:rPr>
          <w:rFonts w:ascii="Times New Roman" w:hAnsi="Times New Roman"/>
          <w:spacing w:val="2"/>
          <w:position w:val="-14"/>
          <w:sz w:val="24"/>
          <w:szCs w:val="24"/>
        </w:rPr>
        <w:object w:dxaOrig="1800" w:dyaOrig="405">
          <v:shape id="_x0000_i1029" type="#_x0000_t75" style="width:90pt;height:20.25pt" o:ole="">
            <v:imagedata r:id="rId21" o:title=""/>
          </v:shape>
          <o:OLEObject Type="Embed" ProgID="Equation.DSMT4" ShapeID="_x0000_i1029" DrawAspect="Content" ObjectID="_1637920005" r:id="rId22"/>
        </w:object>
      </w:r>
      <w:r>
        <w:rPr>
          <w:rFonts w:ascii="Times New Roman" w:hAnsi="Times New Roman"/>
          <w:spacing w:val="2"/>
          <w:sz w:val="24"/>
          <w:szCs w:val="24"/>
          <w:lang w:eastAsia="zh-CN"/>
        </w:rPr>
        <w:t xml:space="preserve"> </w:t>
      </w:r>
      <w:r>
        <w:rPr>
          <w:rFonts w:ascii="Times New Roman" w:hAnsi="Times New Roman"/>
          <w:spacing w:val="2"/>
          <w:sz w:val="24"/>
          <w:szCs w:val="24"/>
        </w:rPr>
        <w:t>(“vector au</w:t>
      </w:r>
      <w:r>
        <w:rPr>
          <w:rFonts w:ascii="Times New Roman" w:hAnsi="Times New Roman"/>
          <w:sz w:val="24"/>
          <w:szCs w:val="24"/>
        </w:rPr>
        <w:t>toregressive-moving average with exogenous variables”) repr</w:t>
      </w:r>
      <w:r>
        <w:rPr>
          <w:rFonts w:ascii="Times New Roman" w:hAnsi="Times New Roman"/>
          <w:sz w:val="24"/>
          <w:szCs w:val="24"/>
        </w:rPr>
        <w:t>e</w:t>
      </w:r>
      <w:r>
        <w:rPr>
          <w:rFonts w:ascii="Times New Roman" w:hAnsi="Times New Roman"/>
          <w:sz w:val="24"/>
          <w:szCs w:val="24"/>
        </w:rPr>
        <w:t>sentation:</w:t>
      </w:r>
    </w:p>
    <w:p w:rsidR="000D2E85" w:rsidRDefault="000D2E85" w:rsidP="000D2E85">
      <w:pPr>
        <w:spacing w:beforeLines="50" w:before="120" w:afterLines="50" w:after="120" w:line="320" w:lineRule="exact"/>
        <w:jc w:val="right"/>
        <w:rPr>
          <w:rFonts w:ascii="Times New Roman" w:hAnsi="Times New Roman"/>
          <w:sz w:val="24"/>
          <w:szCs w:val="24"/>
        </w:rPr>
      </w:pPr>
      <w:r>
        <w:rPr>
          <w:rFonts w:ascii="Times New Roman" w:hAnsi="Times New Roman"/>
          <w:position w:val="-14"/>
          <w:sz w:val="24"/>
          <w:szCs w:val="24"/>
        </w:rPr>
        <w:object w:dxaOrig="2970" w:dyaOrig="405">
          <v:shape id="_x0000_i1030" type="#_x0000_t75" style="width:148.5pt;height:20.25pt" o:ole="">
            <v:imagedata r:id="rId23" o:title=""/>
          </v:shape>
          <o:OLEObject Type="Embed" ProgID="Equation.DSMT4" ShapeID="_x0000_i1030" DrawAspect="Content" ObjectID="_1637920006" r:id="rId24"/>
        </w:object>
      </w:r>
      <w:r>
        <w:rPr>
          <w:rFonts w:ascii="Times New Roman" w:hAnsi="Times New Roman"/>
          <w:sz w:val="24"/>
          <w:szCs w:val="24"/>
        </w:rPr>
        <w:t xml:space="preserve">                   </w:t>
      </w:r>
      <w:r w:rsidR="00896AAF">
        <w:rPr>
          <w:rFonts w:ascii="Times New Roman" w:hAnsi="Times New Roman"/>
          <w:sz w:val="24"/>
          <w:szCs w:val="24"/>
        </w:rPr>
        <w:t xml:space="preserve"> </w:t>
      </w:r>
      <w:r>
        <w:rPr>
          <w:rFonts w:ascii="Times New Roman" w:hAnsi="Times New Roman"/>
          <w:sz w:val="24"/>
          <w:szCs w:val="24"/>
        </w:rPr>
        <w:t xml:space="preserve">       (1)</w:t>
      </w:r>
    </w:p>
    <w:p w:rsidR="000D2E85" w:rsidRDefault="000D2E85" w:rsidP="000D2E85">
      <w:pPr>
        <w:spacing w:after="0" w:line="320" w:lineRule="exact"/>
        <w:jc w:val="both"/>
        <w:rPr>
          <w:rFonts w:ascii="Times New Roman" w:hAnsi="Times New Roman"/>
          <w:sz w:val="24"/>
          <w:szCs w:val="24"/>
          <w:lang w:eastAsia="zh-CN"/>
        </w:rPr>
      </w:pPr>
      <w:r>
        <w:rPr>
          <w:rFonts w:ascii="Times New Roman" w:hAnsi="Times New Roman"/>
          <w:sz w:val="24"/>
          <w:szCs w:val="24"/>
        </w:rPr>
        <w:t>Which is equivalent to:</w:t>
      </w:r>
    </w:p>
    <w:p w:rsidR="000D2E85" w:rsidRDefault="000D2E85" w:rsidP="000E6ED6">
      <w:pPr>
        <w:spacing w:beforeLines="50" w:before="120" w:afterLines="50" w:after="120" w:line="440" w:lineRule="exact"/>
        <w:jc w:val="right"/>
        <w:rPr>
          <w:sz w:val="24"/>
          <w:szCs w:val="24"/>
        </w:rPr>
      </w:pPr>
      <w:r>
        <w:rPr>
          <w:position w:val="-30"/>
          <w:sz w:val="24"/>
          <w:szCs w:val="24"/>
        </w:rPr>
        <w:object w:dxaOrig="4215" w:dyaOrig="705">
          <v:shape id="_x0000_i1031" type="#_x0000_t75" style="width:210.75pt;height:35.25pt" o:ole="">
            <v:imagedata r:id="rId25" o:title=""/>
          </v:shape>
          <o:OLEObject Type="Embed" ProgID="Equation.DSMT4" ShapeID="_x0000_i1031" DrawAspect="Content" ObjectID="_1637920007" r:id="rId26"/>
        </w:object>
      </w:r>
      <w:r>
        <w:rPr>
          <w:sz w:val="24"/>
          <w:szCs w:val="24"/>
        </w:rPr>
        <w:t xml:space="preserve"> </w:t>
      </w:r>
      <w:r w:rsidR="000E6ED6">
        <w:rPr>
          <w:sz w:val="24"/>
          <w:szCs w:val="24"/>
        </w:rPr>
        <w:t xml:space="preserve">       </w:t>
      </w:r>
      <w:r w:rsidR="00896AAF">
        <w:rPr>
          <w:sz w:val="24"/>
          <w:szCs w:val="24"/>
        </w:rPr>
        <w:t xml:space="preserve"> </w:t>
      </w:r>
      <w:r w:rsidR="000E6ED6">
        <w:rPr>
          <w:sz w:val="24"/>
          <w:szCs w:val="24"/>
        </w:rPr>
        <w:t xml:space="preserve">       </w:t>
      </w:r>
      <w:r>
        <w:rPr>
          <w:rFonts w:ascii="Times New Roman" w:hAnsi="Times New Roman"/>
          <w:sz w:val="24"/>
          <w:szCs w:val="24"/>
        </w:rPr>
        <w:t>(2)</w:t>
      </w:r>
    </w:p>
    <w:p w:rsidR="000D2E85" w:rsidRDefault="000D2E85" w:rsidP="00F043B3">
      <w:pPr>
        <w:spacing w:before="100" w:beforeAutospacing="1" w:after="100" w:afterAutospacing="1" w:line="240" w:lineRule="auto"/>
        <w:jc w:val="both"/>
        <w:rPr>
          <w:rFonts w:ascii="Times New Roman" w:hAnsi="Times New Roman"/>
          <w:sz w:val="24"/>
          <w:szCs w:val="24"/>
          <w:lang w:eastAsia="zh-CN"/>
        </w:rPr>
      </w:pPr>
      <w:r>
        <w:rPr>
          <w:rFonts w:ascii="Times New Roman" w:hAnsi="Times New Roman"/>
          <w:sz w:val="24"/>
          <w:szCs w:val="24"/>
        </w:rPr>
        <w:t>Where</w:t>
      </w:r>
      <w:r>
        <w:rPr>
          <w:rFonts w:ascii="Times New Roman" w:hAnsi="Times New Roman"/>
          <w:sz w:val="24"/>
          <w:szCs w:val="24"/>
          <w:lang w:eastAsia="zh-CN"/>
        </w:rPr>
        <w:t xml:space="preserve"> </w:t>
      </w:r>
      <w:r>
        <w:rPr>
          <w:rFonts w:ascii="Times New Roman" w:hAnsi="Times New Roman"/>
          <w:position w:val="-30"/>
          <w:sz w:val="24"/>
          <w:szCs w:val="24"/>
        </w:rPr>
        <w:object w:dxaOrig="2100" w:dyaOrig="705">
          <v:shape id="_x0000_i1032" type="#_x0000_t75" style="width:105pt;height:35.25pt" o:ole="">
            <v:imagedata r:id="rId27" o:title=""/>
          </v:shape>
          <o:OLEObject Type="Embed" ProgID="Equation.DSMT4" ShapeID="_x0000_i1032" DrawAspect="Content" ObjectID="_1637920008" r:id="rId28"/>
        </w:object>
      </w:r>
      <w:r>
        <w:rPr>
          <w:rFonts w:ascii="Times New Roman" w:hAnsi="Times New Roman"/>
          <w:sz w:val="24"/>
          <w:szCs w:val="24"/>
        </w:rPr>
        <w:t xml:space="preserve">, </w:t>
      </w:r>
      <w:r>
        <w:rPr>
          <w:rFonts w:ascii="Times New Roman" w:hAnsi="Times New Roman"/>
          <w:position w:val="-30"/>
          <w:sz w:val="24"/>
          <w:szCs w:val="24"/>
        </w:rPr>
        <w:object w:dxaOrig="1710" w:dyaOrig="705">
          <v:shape id="_x0000_i1033" type="#_x0000_t75" style="width:85.5pt;height:35.25pt" o:ole="">
            <v:imagedata r:id="rId29" o:title=""/>
          </v:shape>
          <o:OLEObject Type="Embed" ProgID="Equation.DSMT4" ShapeID="_x0000_i1033" DrawAspect="Content" ObjectID="_1637920009" r:id="rId30"/>
        </w:object>
      </w:r>
      <w:r>
        <w:rPr>
          <w:rFonts w:ascii="Times New Roman" w:hAnsi="Times New Roman"/>
          <w:sz w:val="24"/>
          <w:szCs w:val="24"/>
        </w:rPr>
        <w:t xml:space="preserve"> and</w:t>
      </w:r>
      <w:r>
        <w:rPr>
          <w:rFonts w:ascii="Times New Roman" w:hAnsi="Times New Roman"/>
          <w:sz w:val="24"/>
          <w:szCs w:val="24"/>
          <w:lang w:eastAsia="zh-CN"/>
        </w:rPr>
        <w:t xml:space="preserve"> </w:t>
      </w:r>
      <w:r>
        <w:rPr>
          <w:rFonts w:ascii="Times New Roman" w:hAnsi="Times New Roman"/>
          <w:position w:val="-30"/>
          <w:sz w:val="24"/>
          <w:szCs w:val="24"/>
        </w:rPr>
        <w:object w:dxaOrig="2115" w:dyaOrig="705">
          <v:shape id="_x0000_i1034" type="#_x0000_t75" style="width:105.75pt;height:35.25pt" o:ole="">
            <v:imagedata r:id="rId31" o:title=""/>
          </v:shape>
          <o:OLEObject Type="Embed" ProgID="Equation.DSMT4" ShapeID="_x0000_i1034" DrawAspect="Content" ObjectID="_1637920010" r:id="rId32"/>
        </w:object>
      </w:r>
      <w:r>
        <w:rPr>
          <w:rFonts w:ascii="Times New Roman" w:hAnsi="Times New Roman"/>
          <w:sz w:val="24"/>
          <w:szCs w:val="24"/>
          <w:lang w:eastAsia="zh-CN"/>
        </w:rPr>
        <w:t xml:space="preserve"> </w:t>
      </w:r>
      <w:r>
        <w:rPr>
          <w:rFonts w:ascii="Times New Roman" w:hAnsi="Times New Roman"/>
          <w:sz w:val="24"/>
          <w:szCs w:val="24"/>
        </w:rPr>
        <w:t xml:space="preserve">are </w:t>
      </w:r>
      <w:r>
        <w:rPr>
          <w:rFonts w:ascii="Times New Roman" w:hAnsi="Times New Roman"/>
          <w:i/>
          <w:sz w:val="24"/>
          <w:szCs w:val="24"/>
        </w:rPr>
        <w:t>autoregressive lag polynomials</w:t>
      </w:r>
      <w:r>
        <w:rPr>
          <w:rFonts w:ascii="Times New Roman" w:hAnsi="Times New Roman"/>
          <w:sz w:val="24"/>
          <w:szCs w:val="24"/>
        </w:rPr>
        <w:t xml:space="preserve"> of respective orders</w:t>
      </w:r>
      <w:r>
        <w:rPr>
          <w:rFonts w:ascii="Times New Roman" w:hAnsi="Times New Roman"/>
          <w:sz w:val="24"/>
          <w:szCs w:val="24"/>
          <w:lang w:eastAsia="zh-CN"/>
        </w:rPr>
        <w:t xml:space="preserve"> </w:t>
      </w:r>
      <w:r>
        <w:rPr>
          <w:rFonts w:ascii="Times New Roman" w:hAnsi="Times New Roman"/>
          <w:position w:val="-10"/>
          <w:sz w:val="24"/>
          <w:szCs w:val="24"/>
        </w:rPr>
        <w:object w:dxaOrig="240" w:dyaOrig="240">
          <v:shape id="_x0000_i1035" type="#_x0000_t75" style="width:12pt;height:12pt" o:ole="">
            <v:imagedata r:id="rId33" o:title=""/>
          </v:shape>
          <o:OLEObject Type="Embed" ProgID="Equation.DSMT4" ShapeID="_x0000_i1035" DrawAspect="Content" ObjectID="_1637920011" r:id="rId34"/>
        </w:object>
      </w:r>
      <w:r>
        <w:rPr>
          <w:rFonts w:ascii="Times New Roman" w:hAnsi="Times New Roman"/>
          <w:sz w:val="24"/>
          <w:szCs w:val="24"/>
        </w:rPr>
        <w:t>, s and</w:t>
      </w:r>
      <w:r>
        <w:rPr>
          <w:rFonts w:ascii="Times New Roman" w:hAnsi="Times New Roman"/>
          <w:sz w:val="24"/>
          <w:szCs w:val="24"/>
          <w:lang w:eastAsia="zh-CN"/>
        </w:rPr>
        <w:t xml:space="preserve"> </w:t>
      </w:r>
      <w:r>
        <w:rPr>
          <w:rFonts w:ascii="Times New Roman" w:hAnsi="Times New Roman"/>
          <w:position w:val="-10"/>
          <w:sz w:val="24"/>
          <w:szCs w:val="24"/>
        </w:rPr>
        <w:object w:dxaOrig="195" w:dyaOrig="240">
          <v:shape id="_x0000_i1036" type="#_x0000_t75" style="width:9.75pt;height:12pt" o:ole="">
            <v:imagedata r:id="rId35" o:title=""/>
          </v:shape>
          <o:OLEObject Type="Embed" ProgID="Equation.DSMT4" ShapeID="_x0000_i1036" DrawAspect="Content" ObjectID="_1637920012" r:id="rId36"/>
        </w:object>
      </w:r>
      <w:r>
        <w:rPr>
          <w:rFonts w:ascii="Times New Roman" w:hAnsi="Times New Roman"/>
          <w:sz w:val="24"/>
          <w:szCs w:val="24"/>
        </w:rPr>
        <w:t>, respectively, and</w:t>
      </w:r>
      <w:r>
        <w:rPr>
          <w:rFonts w:ascii="Times New Roman" w:hAnsi="Times New Roman"/>
          <w:sz w:val="24"/>
          <w:szCs w:val="24"/>
          <w:lang w:eastAsia="zh-CN"/>
        </w:rPr>
        <w:t xml:space="preserve"> </w:t>
      </w:r>
      <w:r>
        <w:rPr>
          <w:rFonts w:ascii="Times New Roman" w:hAnsi="Times New Roman"/>
          <w:b/>
          <w:position w:val="-4"/>
          <w:sz w:val="24"/>
          <w:szCs w:val="24"/>
        </w:rPr>
        <w:object w:dxaOrig="240" w:dyaOrig="240">
          <v:shape id="_x0000_i1037" type="#_x0000_t75" style="width:12pt;height:12pt" o:ole="">
            <v:imagedata r:id="rId37" o:title=""/>
          </v:shape>
          <o:OLEObject Type="Embed" ProgID="Equation.DSMT4" ShapeID="_x0000_i1037" DrawAspect="Content" ObjectID="_1637920013" r:id="rId38"/>
        </w:object>
      </w:r>
      <w:r>
        <w:rPr>
          <w:rFonts w:ascii="Times New Roman" w:hAnsi="Times New Roman"/>
          <w:sz w:val="24"/>
          <w:szCs w:val="24"/>
          <w:lang w:eastAsia="zh-CN"/>
        </w:rPr>
        <w:t xml:space="preserve"> </w:t>
      </w:r>
      <w:r>
        <w:rPr>
          <w:rFonts w:ascii="Times New Roman" w:hAnsi="Times New Roman"/>
          <w:sz w:val="24"/>
          <w:szCs w:val="24"/>
        </w:rPr>
        <w:t xml:space="preserve">is the </w:t>
      </w:r>
      <w:r>
        <w:rPr>
          <w:rFonts w:ascii="Times New Roman" w:hAnsi="Times New Roman"/>
          <w:i/>
          <w:sz w:val="24"/>
          <w:szCs w:val="24"/>
        </w:rPr>
        <w:t>back-shift operator</w:t>
      </w:r>
      <w:r>
        <w:rPr>
          <w:rFonts w:ascii="Times New Roman" w:hAnsi="Times New Roman"/>
          <w:sz w:val="24"/>
          <w:szCs w:val="24"/>
        </w:rPr>
        <w:t xml:space="preserve"> that satisfies</w:t>
      </w:r>
      <w:r>
        <w:rPr>
          <w:rFonts w:ascii="Times New Roman" w:hAnsi="Times New Roman"/>
          <w:sz w:val="24"/>
          <w:szCs w:val="24"/>
          <w:lang w:eastAsia="zh-CN"/>
        </w:rPr>
        <w:t xml:space="preserve"> </w:t>
      </w:r>
      <w:r>
        <w:rPr>
          <w:rFonts w:ascii="Times New Roman" w:hAnsi="Times New Roman"/>
          <w:b/>
          <w:position w:val="-12"/>
          <w:sz w:val="24"/>
          <w:szCs w:val="24"/>
        </w:rPr>
        <w:object w:dxaOrig="1185" w:dyaOrig="375">
          <v:shape id="_x0000_i1038" type="#_x0000_t75" style="width:60pt;height:19.5pt" o:ole="">
            <v:imagedata r:id="rId39" o:title=""/>
          </v:shape>
          <o:OLEObject Type="Embed" ProgID="Equation.DSMT4" ShapeID="_x0000_i1038" DrawAspect="Content" ObjectID="_1637920014" r:id="rId40"/>
        </w:object>
      </w:r>
      <w:r>
        <w:rPr>
          <w:rFonts w:ascii="Times New Roman" w:hAnsi="Times New Roman"/>
          <w:sz w:val="24"/>
          <w:szCs w:val="24"/>
          <w:lang w:eastAsia="zh-CN"/>
        </w:rPr>
        <w:t xml:space="preserve"> </w:t>
      </w:r>
      <w:r>
        <w:rPr>
          <w:rFonts w:ascii="Times New Roman" w:hAnsi="Times New Roman"/>
          <w:sz w:val="24"/>
          <w:szCs w:val="24"/>
        </w:rPr>
        <w:t>for any process</w:t>
      </w:r>
      <w:r>
        <w:rPr>
          <w:rFonts w:ascii="Times New Roman" w:hAnsi="Times New Roman"/>
          <w:sz w:val="24"/>
          <w:szCs w:val="24"/>
          <w:lang w:eastAsia="zh-CN"/>
        </w:rPr>
        <w:t xml:space="preserve"> </w:t>
      </w:r>
      <w:r>
        <w:rPr>
          <w:rFonts w:ascii="Times New Roman" w:hAnsi="Times New Roman"/>
          <w:b/>
          <w:position w:val="-14"/>
          <w:sz w:val="24"/>
          <w:szCs w:val="24"/>
        </w:rPr>
        <w:object w:dxaOrig="555" w:dyaOrig="405">
          <v:shape id="_x0000_i1039" type="#_x0000_t75" style="width:27.75pt;height:20.25pt" o:ole="">
            <v:imagedata r:id="rId41" o:title=""/>
          </v:shape>
          <o:OLEObject Type="Embed" ProgID="Equation.DSMT4" ShapeID="_x0000_i1039" DrawAspect="Content" ObjectID="_1637920015" r:id="rId42"/>
        </w:object>
      </w:r>
      <w:r>
        <w:rPr>
          <w:rFonts w:ascii="Times New Roman" w:hAnsi="Times New Roman"/>
          <w:sz w:val="24"/>
          <w:szCs w:val="24"/>
        </w:rPr>
        <w:t xml:space="preserve">. </w:t>
      </w:r>
      <w:r w:rsidR="00F043B3">
        <w:rPr>
          <w:rFonts w:ascii="Times New Roman" w:hAnsi="Times New Roman"/>
          <w:sz w:val="24"/>
          <w:szCs w:val="24"/>
        </w:rPr>
        <w:t xml:space="preserve"> </w:t>
      </w:r>
      <w:r>
        <w:rPr>
          <w:rFonts w:ascii="Times New Roman" w:hAnsi="Times New Roman"/>
          <w:sz w:val="24"/>
          <w:szCs w:val="24"/>
        </w:rPr>
        <w:t>It is common to assume that the input process</w:t>
      </w:r>
      <w:r>
        <w:rPr>
          <w:rFonts w:ascii="Times New Roman" w:hAnsi="Times New Roman"/>
          <w:sz w:val="24"/>
          <w:szCs w:val="24"/>
          <w:lang w:eastAsia="zh-CN"/>
        </w:rPr>
        <w:t xml:space="preserve"> </w:t>
      </w:r>
      <w:r>
        <w:rPr>
          <w:rFonts w:ascii="Times New Roman" w:hAnsi="Times New Roman"/>
          <w:position w:val="-12"/>
          <w:sz w:val="24"/>
          <w:szCs w:val="24"/>
        </w:rPr>
        <w:object w:dxaOrig="315" w:dyaOrig="345">
          <v:shape id="_x0000_i1040" type="#_x0000_t75" style="width:15pt;height:17.25pt" o:ole="">
            <v:imagedata r:id="rId43" o:title=""/>
          </v:shape>
          <o:OLEObject Type="Embed" ProgID="Equation.DSMT4" ShapeID="_x0000_i1040" DrawAspect="Content" ObjectID="_1637920016" r:id="rId44"/>
        </w:object>
      </w:r>
      <w:r>
        <w:rPr>
          <w:rFonts w:ascii="Times New Roman" w:hAnsi="Times New Roman"/>
          <w:sz w:val="24"/>
          <w:szCs w:val="24"/>
          <w:lang w:eastAsia="zh-CN"/>
        </w:rPr>
        <w:t xml:space="preserve"> </w:t>
      </w:r>
      <w:r>
        <w:rPr>
          <w:rFonts w:ascii="Times New Roman" w:hAnsi="Times New Roman"/>
          <w:sz w:val="24"/>
          <w:szCs w:val="24"/>
        </w:rPr>
        <w:t xml:space="preserve">is </w:t>
      </w:r>
      <w:r>
        <w:rPr>
          <w:rFonts w:ascii="Times New Roman" w:hAnsi="Times New Roman"/>
          <w:spacing w:val="2"/>
          <w:sz w:val="24"/>
          <w:szCs w:val="24"/>
        </w:rPr>
        <w:t xml:space="preserve">generated independently of the noise process </w:t>
      </w:r>
      <w:r>
        <w:rPr>
          <w:rFonts w:ascii="Times New Roman" w:hAnsi="Times New Roman"/>
          <w:spacing w:val="2"/>
          <w:position w:val="-14"/>
          <w:sz w:val="24"/>
          <w:szCs w:val="24"/>
        </w:rPr>
        <w:object w:dxaOrig="1710" w:dyaOrig="435">
          <v:shape id="_x0000_i1041" type="#_x0000_t75" style="width:85.5pt;height:22.5pt" o:ole="">
            <v:imagedata r:id="rId45" o:title=""/>
          </v:shape>
          <o:OLEObject Type="Embed" ProgID="Equation.DSMT4" ShapeID="_x0000_i1041" DrawAspect="Content" ObjectID="_1637920017" r:id="rId46"/>
        </w:object>
      </w:r>
      <w:r>
        <w:rPr>
          <w:rStyle w:val="FootnoteReference"/>
          <w:rFonts w:ascii="Times New Roman" w:hAnsi="Times New Roman"/>
          <w:spacing w:val="2"/>
          <w:sz w:val="24"/>
          <w:szCs w:val="24"/>
        </w:rPr>
        <w:footnoteReference w:id="6"/>
      </w:r>
      <w:r>
        <w:rPr>
          <w:rFonts w:ascii="Times New Roman" w:hAnsi="Times New Roman"/>
          <w:spacing w:val="2"/>
          <w:sz w:val="24"/>
          <w:szCs w:val="24"/>
        </w:rPr>
        <w:t xml:space="preserve">. </w:t>
      </w:r>
      <w:r w:rsidR="00F043B3">
        <w:rPr>
          <w:rFonts w:ascii="Times New Roman" w:hAnsi="Times New Roman"/>
          <w:spacing w:val="2"/>
          <w:sz w:val="24"/>
          <w:szCs w:val="24"/>
        </w:rPr>
        <w:t xml:space="preserve"> </w:t>
      </w:r>
      <w:r>
        <w:rPr>
          <w:rFonts w:ascii="Times New Roman" w:hAnsi="Times New Roman"/>
          <w:spacing w:val="2"/>
          <w:sz w:val="24"/>
          <w:szCs w:val="24"/>
        </w:rPr>
        <w:t>The autoregressive parameter ma</w:t>
      </w:r>
      <w:r>
        <w:rPr>
          <w:rFonts w:ascii="Times New Roman" w:hAnsi="Times New Roman"/>
          <w:sz w:val="24"/>
          <w:szCs w:val="24"/>
        </w:rPr>
        <w:t xml:space="preserve">trices </w:t>
      </w:r>
      <w:r>
        <w:rPr>
          <w:rFonts w:ascii="Times New Roman" w:hAnsi="Times New Roman"/>
          <w:position w:val="-14"/>
          <w:sz w:val="24"/>
          <w:szCs w:val="24"/>
        </w:rPr>
        <w:object w:dxaOrig="360" w:dyaOrig="375">
          <v:shape id="_x0000_i1042" type="#_x0000_t75" style="width:18.75pt;height:19.5pt" o:ole="">
            <v:imagedata r:id="rId47" o:title=""/>
          </v:shape>
          <o:OLEObject Type="Embed" ProgID="Equation.DSMT4" ShapeID="_x0000_i1042" DrawAspect="Content" ObjectID="_1637920018" r:id="rId48"/>
        </w:object>
      </w:r>
      <w:r>
        <w:rPr>
          <w:rFonts w:ascii="Times New Roman" w:hAnsi="Times New Roman"/>
          <w:sz w:val="24"/>
          <w:szCs w:val="24"/>
          <w:lang w:eastAsia="zh-CN"/>
        </w:rPr>
        <w:t xml:space="preserve"> </w:t>
      </w:r>
      <w:r>
        <w:rPr>
          <w:rFonts w:ascii="Times New Roman" w:hAnsi="Times New Roman"/>
          <w:sz w:val="24"/>
          <w:szCs w:val="24"/>
        </w:rPr>
        <w:t xml:space="preserve">represent sensitivities of output variables to their own lags and to lags of other output </w:t>
      </w:r>
      <w:r>
        <w:rPr>
          <w:rFonts w:ascii="Times New Roman" w:hAnsi="Times New Roman"/>
          <w:spacing w:val="2"/>
          <w:sz w:val="24"/>
          <w:szCs w:val="24"/>
        </w:rPr>
        <w:t xml:space="preserve">variables, while the corresponding matrices </w:t>
      </w:r>
      <w:r>
        <w:rPr>
          <w:rFonts w:ascii="Times New Roman" w:hAnsi="Times New Roman"/>
          <w:spacing w:val="2"/>
          <w:position w:val="-14"/>
          <w:sz w:val="24"/>
          <w:szCs w:val="24"/>
        </w:rPr>
        <w:object w:dxaOrig="345" w:dyaOrig="375">
          <v:shape id="_x0000_i1043" type="#_x0000_t75" style="width:17.25pt;height:19.5pt" o:ole="">
            <v:imagedata r:id="rId49" o:title=""/>
          </v:shape>
          <o:OLEObject Type="Embed" ProgID="Equation.DSMT4" ShapeID="_x0000_i1043" DrawAspect="Content" ObjectID="_1637920019" r:id="rId50"/>
        </w:object>
      </w:r>
      <w:r>
        <w:rPr>
          <w:rFonts w:ascii="Times New Roman" w:hAnsi="Times New Roman"/>
          <w:spacing w:val="2"/>
          <w:sz w:val="24"/>
          <w:szCs w:val="24"/>
        </w:rPr>
        <w:t xml:space="preserve"> are model sensitivities of output variables to con</w:t>
      </w:r>
      <w:r>
        <w:rPr>
          <w:rFonts w:ascii="Times New Roman" w:hAnsi="Times New Roman"/>
          <w:sz w:val="24"/>
          <w:szCs w:val="24"/>
        </w:rPr>
        <w:t xml:space="preserve">temporaneous and lagged values of input variables. </w:t>
      </w:r>
      <w:r w:rsidR="00F043B3">
        <w:rPr>
          <w:rFonts w:ascii="Times New Roman" w:hAnsi="Times New Roman"/>
          <w:sz w:val="24"/>
          <w:szCs w:val="24"/>
        </w:rPr>
        <w:t xml:space="preserve"> </w:t>
      </w:r>
      <w:r>
        <w:rPr>
          <w:rFonts w:ascii="Times New Roman" w:hAnsi="Times New Roman"/>
          <w:sz w:val="24"/>
          <w:szCs w:val="24"/>
        </w:rPr>
        <w:t>It follows that the depen</w:t>
      </w:r>
      <w:r>
        <w:rPr>
          <w:rFonts w:ascii="Times New Roman" w:hAnsi="Times New Roman"/>
          <w:sz w:val="24"/>
          <w:szCs w:val="24"/>
        </w:rPr>
        <w:t>d</w:t>
      </w:r>
      <w:r>
        <w:rPr>
          <w:rFonts w:ascii="Times New Roman" w:hAnsi="Times New Roman"/>
          <w:sz w:val="24"/>
          <w:szCs w:val="24"/>
        </w:rPr>
        <w:t xml:space="preserve">ency structure of the output variables </w:t>
      </w:r>
      <w:r>
        <w:rPr>
          <w:rFonts w:ascii="Times New Roman" w:hAnsi="Times New Roman"/>
          <w:position w:val="-12"/>
          <w:sz w:val="24"/>
          <w:szCs w:val="24"/>
        </w:rPr>
        <w:object w:dxaOrig="285" w:dyaOrig="360">
          <v:shape id="_x0000_i1044" type="#_x0000_t75" style="width:14.25pt;height:18.75pt" o:ole="">
            <v:imagedata r:id="rId51" o:title=""/>
          </v:shape>
          <o:OLEObject Type="Embed" ProgID="Equation.DSMT4" ShapeID="_x0000_i1044" DrawAspect="Content" ObjectID="_1637920020" r:id="rId52"/>
        </w:object>
      </w:r>
      <w:r>
        <w:rPr>
          <w:rFonts w:ascii="Times New Roman" w:hAnsi="Times New Roman"/>
          <w:sz w:val="24"/>
          <w:szCs w:val="24"/>
        </w:rPr>
        <w:t xml:space="preserve">, as given by the autocovariance function, is dependent upon the parameters </w:t>
      </w:r>
      <w:r>
        <w:rPr>
          <w:rFonts w:ascii="Times New Roman" w:hAnsi="Times New Roman"/>
          <w:position w:val="-14"/>
          <w:sz w:val="24"/>
          <w:szCs w:val="24"/>
        </w:rPr>
        <w:object w:dxaOrig="360" w:dyaOrig="375">
          <v:shape id="_x0000_i1045" type="#_x0000_t75" style="width:18.75pt;height:19.5pt" o:ole="">
            <v:imagedata r:id="rId47" o:title=""/>
          </v:shape>
          <o:OLEObject Type="Embed" ProgID="Equation.DSMT4" ShapeID="_x0000_i1045" DrawAspect="Content" ObjectID="_1637920021" r:id="rId53"/>
        </w:object>
      </w:r>
      <w:r>
        <w:rPr>
          <w:rFonts w:ascii="Times New Roman" w:hAnsi="Times New Roman"/>
          <w:spacing w:val="2"/>
          <w:sz w:val="24"/>
          <w:szCs w:val="24"/>
        </w:rPr>
        <w:t xml:space="preserve">, and hence the correlations amongst the </w:t>
      </w:r>
      <w:r>
        <w:rPr>
          <w:rFonts w:ascii="Times New Roman" w:hAnsi="Times New Roman"/>
          <w:spacing w:val="2"/>
          <w:position w:val="-12"/>
          <w:sz w:val="24"/>
          <w:szCs w:val="24"/>
        </w:rPr>
        <w:object w:dxaOrig="285" w:dyaOrig="360">
          <v:shape id="_x0000_i1046" type="#_x0000_t75" style="width:14.25pt;height:18.75pt" o:ole="">
            <v:imagedata r:id="rId51" o:title=""/>
          </v:shape>
          <o:OLEObject Type="Embed" ProgID="Equation.DSMT4" ShapeID="_x0000_i1046" DrawAspect="Content" ObjectID="_1637920022" r:id="rId54"/>
        </w:object>
      </w:r>
      <w:r>
        <w:rPr>
          <w:rFonts w:ascii="Times New Roman" w:hAnsi="Times New Roman"/>
          <w:spacing w:val="2"/>
          <w:sz w:val="24"/>
          <w:szCs w:val="24"/>
        </w:rPr>
        <w:t xml:space="preserve"> as well as the correlation amongst the</w:t>
      </w:r>
      <w:r>
        <w:rPr>
          <w:rFonts w:ascii="Times New Roman" w:hAnsi="Times New Roman"/>
          <w:spacing w:val="2"/>
          <w:sz w:val="24"/>
          <w:szCs w:val="24"/>
          <w:lang w:eastAsia="zh-CN"/>
        </w:rPr>
        <w:t xml:space="preserve"> </w:t>
      </w:r>
      <w:r>
        <w:rPr>
          <w:rFonts w:ascii="Times New Roman" w:hAnsi="Times New Roman"/>
          <w:spacing w:val="2"/>
          <w:position w:val="-12"/>
          <w:sz w:val="24"/>
          <w:szCs w:val="24"/>
        </w:rPr>
        <w:object w:dxaOrig="315" w:dyaOrig="345">
          <v:shape id="_x0000_i1047" type="#_x0000_t75" style="width:15pt;height:17.25pt" o:ole="">
            <v:imagedata r:id="rId43" o:title=""/>
          </v:shape>
          <o:OLEObject Type="Embed" ProgID="Equation.DSMT4" ShapeID="_x0000_i1047" DrawAspect="Content" ObjectID="_1637920023" r:id="rId55"/>
        </w:object>
      </w:r>
      <w:r>
        <w:rPr>
          <w:rFonts w:ascii="Times New Roman" w:hAnsi="Times New Roman"/>
          <w:spacing w:val="2"/>
          <w:sz w:val="24"/>
          <w:szCs w:val="24"/>
        </w:rPr>
        <w:t xml:space="preserve"> that </w:t>
      </w:r>
      <w:r>
        <w:rPr>
          <w:rFonts w:ascii="Times New Roman" w:hAnsi="Times New Roman"/>
          <w:spacing w:val="6"/>
          <w:sz w:val="24"/>
          <w:szCs w:val="24"/>
        </w:rPr>
        <w:t xml:space="preserve">depend upon the parameters </w:t>
      </w:r>
      <w:r>
        <w:rPr>
          <w:rFonts w:ascii="Times New Roman" w:hAnsi="Times New Roman"/>
          <w:spacing w:val="6"/>
          <w:position w:val="-14"/>
          <w:sz w:val="24"/>
          <w:szCs w:val="24"/>
        </w:rPr>
        <w:object w:dxaOrig="345" w:dyaOrig="375">
          <v:shape id="_x0000_i1048" type="#_x0000_t75" style="width:17.25pt;height:19.5pt" o:ole="">
            <v:imagedata r:id="rId56" o:title=""/>
          </v:shape>
          <o:OLEObject Type="Embed" ProgID="Equation.DSMT4" ShapeID="_x0000_i1048" DrawAspect="Content" ObjectID="_1637920024" r:id="rId57"/>
        </w:object>
      </w:r>
      <w:r>
        <w:rPr>
          <w:rFonts w:ascii="Times New Roman" w:hAnsi="Times New Roman"/>
          <w:spacing w:val="6"/>
          <w:sz w:val="24"/>
          <w:szCs w:val="24"/>
        </w:rPr>
        <w:t xml:space="preserve">. </w:t>
      </w:r>
      <w:r w:rsidR="00F043B3">
        <w:rPr>
          <w:rFonts w:ascii="Times New Roman" w:hAnsi="Times New Roman"/>
          <w:spacing w:val="6"/>
          <w:sz w:val="24"/>
          <w:szCs w:val="24"/>
        </w:rPr>
        <w:t xml:space="preserve"> </w:t>
      </w:r>
      <w:r>
        <w:rPr>
          <w:rFonts w:ascii="Times New Roman" w:hAnsi="Times New Roman"/>
          <w:spacing w:val="6"/>
          <w:sz w:val="24"/>
          <w:szCs w:val="24"/>
        </w:rPr>
        <w:t xml:space="preserve">In contrast, in a system of univariate </w:t>
      </w:r>
      <w:r>
        <w:rPr>
          <w:rFonts w:ascii="Times New Roman" w:hAnsi="Times New Roman"/>
          <w:spacing w:val="6"/>
          <w:position w:val="-14"/>
          <w:sz w:val="24"/>
          <w:szCs w:val="24"/>
        </w:rPr>
        <w:object w:dxaOrig="1695" w:dyaOrig="405">
          <v:shape id="_x0000_i1049" type="#_x0000_t75" style="width:84pt;height:20.25pt" o:ole="">
            <v:imagedata r:id="rId58" o:title=""/>
          </v:shape>
          <o:OLEObject Type="Embed" ProgID="Equation.DSMT4" ShapeID="_x0000_i1049" DrawAspect="Content" ObjectID="_1637920025" r:id="rId59"/>
        </w:object>
      </w:r>
      <w:r>
        <w:rPr>
          <w:rFonts w:ascii="Times New Roman" w:hAnsi="Times New Roman"/>
          <w:spacing w:val="6"/>
          <w:sz w:val="24"/>
          <w:szCs w:val="24"/>
          <w:lang w:eastAsia="zh-CN"/>
        </w:rPr>
        <w:t xml:space="preserve"> </w:t>
      </w:r>
      <w:r>
        <w:rPr>
          <w:rFonts w:ascii="Times New Roman" w:hAnsi="Times New Roman"/>
          <w:spacing w:val="6"/>
          <w:sz w:val="24"/>
          <w:szCs w:val="24"/>
        </w:rPr>
        <w:t>(“autoregressive-moving</w:t>
      </w:r>
      <w:r>
        <w:rPr>
          <w:rFonts w:ascii="Times New Roman" w:hAnsi="Times New Roman"/>
          <w:sz w:val="24"/>
          <w:szCs w:val="24"/>
        </w:rPr>
        <w:t xml:space="preserve"> average with exogenous variables”) models, the correlations amongst the</w:t>
      </w:r>
      <w:r>
        <w:rPr>
          <w:rFonts w:ascii="Times New Roman" w:hAnsi="Times New Roman"/>
          <w:sz w:val="24"/>
          <w:szCs w:val="24"/>
          <w:lang w:eastAsia="zh-CN"/>
        </w:rPr>
        <w:t xml:space="preserve"> elements of </w:t>
      </w:r>
      <w:r>
        <w:rPr>
          <w:rFonts w:ascii="Times New Roman" w:hAnsi="Times New Roman"/>
          <w:position w:val="-12"/>
          <w:sz w:val="24"/>
          <w:szCs w:val="24"/>
        </w:rPr>
        <w:object w:dxaOrig="285" w:dyaOrig="360">
          <v:shape id="_x0000_i1050" type="#_x0000_t75" style="width:14.25pt;height:18.75pt" o:ole="">
            <v:imagedata r:id="rId51" o:title=""/>
          </v:shape>
          <o:OLEObject Type="Embed" ProgID="Equation.DSMT4" ShapeID="_x0000_i1050" DrawAspect="Content" ObjectID="_1637920026" r:id="rId60"/>
        </w:object>
      </w:r>
      <w:r>
        <w:rPr>
          <w:rFonts w:ascii="Times New Roman" w:hAnsi="Times New Roman"/>
          <w:sz w:val="24"/>
          <w:szCs w:val="24"/>
        </w:rPr>
        <w:t xml:space="preserve"> </w:t>
      </w:r>
      <w:r>
        <w:rPr>
          <w:rFonts w:ascii="Times New Roman" w:hAnsi="Times New Roman"/>
          <w:sz w:val="24"/>
          <w:szCs w:val="24"/>
          <w:lang w:eastAsia="zh-CN"/>
        </w:rPr>
        <w:t>are</w:t>
      </w:r>
      <w:r>
        <w:rPr>
          <w:rFonts w:ascii="Times New Roman" w:hAnsi="Times New Roman"/>
          <w:sz w:val="24"/>
          <w:szCs w:val="24"/>
        </w:rPr>
        <w:t xml:space="preserve"> not taken into account, hence the parameter vectors </w:t>
      </w:r>
      <w:r>
        <w:rPr>
          <w:rFonts w:ascii="Times New Roman" w:hAnsi="Times New Roman"/>
          <w:position w:val="-14"/>
          <w:sz w:val="24"/>
          <w:szCs w:val="24"/>
        </w:rPr>
        <w:object w:dxaOrig="345" w:dyaOrig="375">
          <v:shape id="_x0000_i1051" type="#_x0000_t75" style="width:17.25pt;height:19.5pt" o:ole="">
            <v:imagedata r:id="rId56" o:title=""/>
          </v:shape>
          <o:OLEObject Type="Embed" ProgID="Equation.DSMT4" ShapeID="_x0000_i1051" DrawAspect="Content" ObjectID="_1637920027" r:id="rId61"/>
        </w:object>
      </w:r>
      <w:r>
        <w:rPr>
          <w:rFonts w:ascii="Times New Roman" w:hAnsi="Times New Roman"/>
          <w:sz w:val="24"/>
          <w:szCs w:val="24"/>
        </w:rPr>
        <w:t xml:space="preserve"> have a diagonal structure (Brockwell and Davis, 1991).</w:t>
      </w:r>
      <w:r w:rsidR="00512806">
        <w:rPr>
          <w:rFonts w:ascii="Times New Roman" w:hAnsi="Times New Roman"/>
          <w:sz w:val="24"/>
          <w:szCs w:val="24"/>
        </w:rPr>
        <w:t xml:space="preserve">  </w:t>
      </w:r>
      <w:r>
        <w:rPr>
          <w:rFonts w:ascii="Times New Roman" w:hAnsi="Times New Roman"/>
          <w:sz w:val="24"/>
          <w:szCs w:val="24"/>
        </w:rPr>
        <w:t xml:space="preserve">In this study we consider a </w:t>
      </w:r>
      <w:r>
        <w:rPr>
          <w:rFonts w:ascii="Times New Roman" w:hAnsi="Times New Roman"/>
          <w:i/>
          <w:sz w:val="24"/>
          <w:szCs w:val="24"/>
        </w:rPr>
        <w:t>vector autoregressive model with exogenous variables</w:t>
      </w:r>
      <w:r>
        <w:rPr>
          <w:rFonts w:ascii="Times New Roman" w:hAnsi="Times New Roman"/>
          <w:sz w:val="24"/>
          <w:szCs w:val="24"/>
        </w:rPr>
        <w:t xml:space="preserve"> (“VARX”), denoted by</w:t>
      </w:r>
      <w:r>
        <w:rPr>
          <w:rFonts w:ascii="Times New Roman" w:hAnsi="Times New Roman"/>
          <w:sz w:val="24"/>
          <w:szCs w:val="24"/>
          <w:lang w:eastAsia="zh-CN"/>
        </w:rPr>
        <w:t xml:space="preserve"> </w:t>
      </w:r>
      <w:r>
        <w:rPr>
          <w:rFonts w:ascii="Times New Roman" w:hAnsi="Times New Roman"/>
          <w:position w:val="-14"/>
          <w:sz w:val="24"/>
          <w:szCs w:val="24"/>
        </w:rPr>
        <w:object w:dxaOrig="1245" w:dyaOrig="405">
          <v:shape id="_x0000_i1052" type="#_x0000_t75" style="width:62.25pt;height:20.25pt" o:ole="">
            <v:imagedata r:id="rId62" o:title=""/>
          </v:shape>
          <o:OLEObject Type="Embed" ProgID="Equation.DSMT4" ShapeID="_x0000_i1052" DrawAspect="Content" ObjectID="_1637920028" r:id="rId63"/>
        </w:object>
      </w:r>
      <w:r>
        <w:rPr>
          <w:rFonts w:ascii="Times New Roman" w:hAnsi="Times New Roman"/>
          <w:sz w:val="24"/>
          <w:szCs w:val="24"/>
        </w:rPr>
        <w:t>, which r</w:t>
      </w:r>
      <w:r>
        <w:rPr>
          <w:rFonts w:ascii="Times New Roman" w:hAnsi="Times New Roman"/>
          <w:sz w:val="24"/>
          <w:szCs w:val="24"/>
        </w:rPr>
        <w:t>e</w:t>
      </w:r>
      <w:r>
        <w:rPr>
          <w:rFonts w:ascii="Times New Roman" w:hAnsi="Times New Roman"/>
          <w:sz w:val="24"/>
          <w:szCs w:val="24"/>
        </w:rPr>
        <w:t xml:space="preserve">stricts the </w:t>
      </w:r>
      <w:r>
        <w:rPr>
          <w:rFonts w:ascii="Times New Roman" w:hAnsi="Times New Roman"/>
          <w:i/>
          <w:sz w:val="24"/>
          <w:szCs w:val="24"/>
        </w:rPr>
        <w:t>Moving Averag</w:t>
      </w:r>
      <w:r>
        <w:rPr>
          <w:rFonts w:ascii="Times New Roman" w:hAnsi="Times New Roman"/>
          <w:sz w:val="24"/>
          <w:szCs w:val="24"/>
        </w:rPr>
        <w:t>e (“MA”) terms beyond lag zero to be zero, or</w:t>
      </w:r>
      <w:r>
        <w:rPr>
          <w:rFonts w:ascii="Times New Roman" w:hAnsi="Times New Roman"/>
          <w:sz w:val="24"/>
          <w:szCs w:val="24"/>
          <w:lang w:eastAsia="zh-CN"/>
        </w:rPr>
        <w:t xml:space="preserve"> </w:t>
      </w:r>
      <w:r>
        <w:rPr>
          <w:rFonts w:ascii="Times New Roman" w:hAnsi="Times New Roman"/>
          <w:position w:val="-14"/>
          <w:sz w:val="24"/>
          <w:szCs w:val="24"/>
        </w:rPr>
        <w:object w:dxaOrig="1590" w:dyaOrig="405">
          <v:shape id="_x0000_i1053" type="#_x0000_t75" style="width:79.5pt;height:20.25pt" o:ole="">
            <v:imagedata r:id="rId64" o:title=""/>
          </v:shape>
          <o:OLEObject Type="Embed" ProgID="Equation.DSMT4" ShapeID="_x0000_i1053" DrawAspect="Content" ObjectID="_1637920029" r:id="rId65"/>
        </w:object>
      </w:r>
      <w:r>
        <w:rPr>
          <w:rFonts w:ascii="Times New Roman" w:hAnsi="Times New Roman"/>
          <w:sz w:val="24"/>
          <w:szCs w:val="24"/>
        </w:rPr>
        <w:t>:</w:t>
      </w:r>
    </w:p>
    <w:p w:rsidR="000D2E85" w:rsidRDefault="000D2E85" w:rsidP="000D2E85">
      <w:pPr>
        <w:spacing w:beforeLines="50" w:before="120" w:afterLines="50" w:after="120" w:line="300" w:lineRule="atLeast"/>
        <w:jc w:val="right"/>
        <w:rPr>
          <w:sz w:val="24"/>
          <w:szCs w:val="24"/>
        </w:rPr>
      </w:pPr>
      <w:r>
        <w:rPr>
          <w:position w:val="-30"/>
          <w:sz w:val="24"/>
          <w:szCs w:val="24"/>
        </w:rPr>
        <w:object w:dxaOrig="3075" w:dyaOrig="705">
          <v:shape id="_x0000_i1054" type="#_x0000_t75" style="width:153.75pt;height:35.25pt" o:ole="">
            <v:imagedata r:id="rId66" o:title=""/>
          </v:shape>
          <o:OLEObject Type="Embed" ProgID="Equation.DSMT4" ShapeID="_x0000_i1054" DrawAspect="Content" ObjectID="_1637920030" r:id="rId67"/>
        </w:object>
      </w:r>
      <w:r>
        <w:rPr>
          <w:sz w:val="24"/>
          <w:szCs w:val="24"/>
        </w:rPr>
        <w:t xml:space="preserve">               </w:t>
      </w:r>
      <w:r w:rsidR="00242F68">
        <w:rPr>
          <w:sz w:val="24"/>
          <w:szCs w:val="24"/>
        </w:rPr>
        <w:t xml:space="preserve">   </w:t>
      </w:r>
      <w:r>
        <w:rPr>
          <w:sz w:val="24"/>
          <w:szCs w:val="24"/>
        </w:rPr>
        <w:t xml:space="preserve">       </w:t>
      </w:r>
      <w:r>
        <w:rPr>
          <w:rFonts w:ascii="Times New Roman" w:hAnsi="Times New Roman"/>
          <w:sz w:val="24"/>
          <w:szCs w:val="24"/>
        </w:rPr>
        <w:t>(</w:t>
      </w:r>
      <w:r w:rsidR="00431B86">
        <w:rPr>
          <w:rFonts w:ascii="Times New Roman" w:hAnsi="Times New Roman"/>
          <w:sz w:val="24"/>
          <w:szCs w:val="24"/>
        </w:rPr>
        <w:t>3</w:t>
      </w:r>
      <w:r>
        <w:rPr>
          <w:rFonts w:ascii="Times New Roman" w:hAnsi="Times New Roman"/>
          <w:sz w:val="24"/>
          <w:szCs w:val="24"/>
        </w:rPr>
        <w:t>)</w:t>
      </w:r>
    </w:p>
    <w:p w:rsidR="000D2E85" w:rsidRDefault="000D2E85" w:rsidP="00512806">
      <w:pPr>
        <w:jc w:val="both"/>
        <w:rPr>
          <w:rFonts w:ascii="Times New Roman" w:hAnsi="Times New Roman"/>
          <w:sz w:val="24"/>
          <w:szCs w:val="24"/>
        </w:rPr>
      </w:pPr>
      <w:r>
        <w:rPr>
          <w:rFonts w:ascii="Times New Roman" w:hAnsi="Times New Roman"/>
          <w:sz w:val="24"/>
          <w:szCs w:val="24"/>
        </w:rPr>
        <w:t>The rationale for this restriction is three-fold.</w:t>
      </w:r>
      <w:r w:rsidR="00DB5660">
        <w:rPr>
          <w:rFonts w:ascii="Times New Roman" w:hAnsi="Times New Roman"/>
          <w:sz w:val="24"/>
          <w:szCs w:val="24"/>
        </w:rPr>
        <w:t xml:space="preserve"> </w:t>
      </w:r>
      <w:r>
        <w:rPr>
          <w:rFonts w:ascii="Times New Roman" w:hAnsi="Times New Roman"/>
          <w:sz w:val="24"/>
          <w:szCs w:val="24"/>
        </w:rPr>
        <w:t xml:space="preserve"> First, in MA terms were in no cases significant in the model estimations, so that the data simply does not support a VARMX representation. </w:t>
      </w:r>
      <w:r w:rsidR="00E270AA">
        <w:rPr>
          <w:rFonts w:ascii="Times New Roman" w:hAnsi="Times New Roman"/>
          <w:sz w:val="24"/>
          <w:szCs w:val="24"/>
        </w:rPr>
        <w:t xml:space="preserve"> </w:t>
      </w:r>
      <w:r>
        <w:rPr>
          <w:rFonts w:ascii="Times New Roman" w:hAnsi="Times New Roman"/>
          <w:sz w:val="24"/>
          <w:szCs w:val="24"/>
        </w:rPr>
        <w:t>Se</w:t>
      </w:r>
      <w:r>
        <w:rPr>
          <w:rFonts w:ascii="Times New Roman" w:hAnsi="Times New Roman"/>
          <w:sz w:val="24"/>
          <w:szCs w:val="24"/>
        </w:rPr>
        <w:t>c</w:t>
      </w:r>
      <w:r>
        <w:rPr>
          <w:rFonts w:ascii="Times New Roman" w:hAnsi="Times New Roman"/>
          <w:sz w:val="24"/>
          <w:szCs w:val="24"/>
        </w:rPr>
        <w:t xml:space="preserve">ond, the </w:t>
      </w:r>
      <w:r w:rsidRPr="00DB5660">
        <w:rPr>
          <w:rFonts w:ascii="Times New Roman" w:hAnsi="Times New Roman"/>
          <w:sz w:val="24"/>
          <w:szCs w:val="24"/>
        </w:rPr>
        <w:t>VARX model avails us of the very convenient DSE package in R, which has comput</w:t>
      </w:r>
      <w:r w:rsidRPr="00DB5660">
        <w:rPr>
          <w:rFonts w:ascii="Times New Roman" w:hAnsi="Times New Roman"/>
          <w:sz w:val="24"/>
          <w:szCs w:val="24"/>
        </w:rPr>
        <w:t>a</w:t>
      </w:r>
      <w:r w:rsidRPr="00DB5660">
        <w:rPr>
          <w:rFonts w:ascii="Times New Roman" w:hAnsi="Times New Roman"/>
          <w:sz w:val="24"/>
          <w:szCs w:val="24"/>
        </w:rPr>
        <w:t>tional and ana</w:t>
      </w:r>
      <w:r>
        <w:rPr>
          <w:rFonts w:ascii="Times New Roman" w:hAnsi="Times New Roman"/>
          <w:sz w:val="24"/>
          <w:szCs w:val="24"/>
        </w:rPr>
        <w:t>lytical advantages (R Development Core Team, 201</w:t>
      </w:r>
      <w:r w:rsidR="00DB5660">
        <w:rPr>
          <w:rFonts w:ascii="Times New Roman" w:hAnsi="Times New Roman"/>
          <w:sz w:val="24"/>
          <w:szCs w:val="24"/>
        </w:rPr>
        <w:t>9</w:t>
      </w:r>
      <w:r>
        <w:rPr>
          <w:rFonts w:ascii="Times New Roman" w:hAnsi="Times New Roman"/>
          <w:sz w:val="24"/>
          <w:szCs w:val="24"/>
        </w:rPr>
        <w:t xml:space="preserve">). </w:t>
      </w:r>
      <w:r w:rsidR="00E270AA">
        <w:rPr>
          <w:rFonts w:ascii="Times New Roman" w:hAnsi="Times New Roman"/>
          <w:sz w:val="24"/>
          <w:szCs w:val="24"/>
        </w:rPr>
        <w:t xml:space="preserve"> </w:t>
      </w:r>
      <w:r>
        <w:rPr>
          <w:rFonts w:ascii="Times New Roman" w:hAnsi="Times New Roman"/>
          <w:sz w:val="24"/>
          <w:szCs w:val="24"/>
        </w:rPr>
        <w:t xml:space="preserve">Finally, the VARX framework is more </w:t>
      </w:r>
      <w:r w:rsidRPr="00DB5660">
        <w:rPr>
          <w:rFonts w:ascii="Times New Roman" w:hAnsi="Times New Roman"/>
          <w:sz w:val="24"/>
          <w:szCs w:val="24"/>
        </w:rPr>
        <w:t xml:space="preserve">practical and intuitive than the more elaborate VARMAX model, and allows for superior </w:t>
      </w:r>
      <w:r w:rsidRPr="00B72CD3">
        <w:rPr>
          <w:rFonts w:ascii="Times New Roman" w:hAnsi="Times New Roman"/>
          <w:sz w:val="24"/>
          <w:szCs w:val="24"/>
        </w:rPr>
        <w:t>communi</w:t>
      </w:r>
      <w:r>
        <w:rPr>
          <w:rFonts w:ascii="Times New Roman" w:hAnsi="Times New Roman"/>
          <w:sz w:val="24"/>
          <w:szCs w:val="24"/>
        </w:rPr>
        <w:t>cation of results to practitioners.</w:t>
      </w:r>
      <w:r w:rsidR="005B01B4">
        <w:rPr>
          <w:rFonts w:ascii="Times New Roman" w:hAnsi="Times New Roman"/>
          <w:sz w:val="24"/>
          <w:szCs w:val="24"/>
        </w:rPr>
        <w:t xml:space="preserve">  </w:t>
      </w:r>
    </w:p>
    <w:p w:rsidR="005B01B4" w:rsidRDefault="005B01B4" w:rsidP="005B01B4">
      <w:pPr>
        <w:jc w:val="both"/>
        <w:rPr>
          <w:rFonts w:ascii="Times New Roman" w:hAnsi="Times New Roman"/>
          <w:sz w:val="24"/>
          <w:szCs w:val="24"/>
        </w:rPr>
      </w:pPr>
      <w:r w:rsidRPr="00265BDB">
        <w:rPr>
          <w:rFonts w:ascii="Times New Roman" w:hAnsi="Times New Roman"/>
          <w:sz w:val="24"/>
          <w:szCs w:val="24"/>
        </w:rPr>
        <w:t xml:space="preserve">We </w:t>
      </w:r>
      <w:r>
        <w:rPr>
          <w:rFonts w:ascii="Times New Roman" w:hAnsi="Times New Roman"/>
          <w:sz w:val="24"/>
          <w:szCs w:val="24"/>
        </w:rPr>
        <w:t xml:space="preserve">now describe how the parameter matrices of the </w:t>
      </w:r>
      <w:r w:rsidRPr="00A01723">
        <w:rPr>
          <w:rFonts w:ascii="Times New Roman" w:hAnsi="Times New Roman"/>
          <w:position w:val="-14"/>
          <w:sz w:val="24"/>
          <w:szCs w:val="24"/>
        </w:rPr>
        <w:object w:dxaOrig="1240" w:dyaOrig="400">
          <v:shape id="_x0000_i1055" type="#_x0000_t75" style="width:62.25pt;height:19.5pt" o:ole="">
            <v:imagedata r:id="rId62" o:title=""/>
          </v:shape>
          <o:OLEObject Type="Embed" ProgID="Equation.DSMT4" ShapeID="_x0000_i1055" DrawAspect="Content" ObjectID="_1637920031" r:id="rId68"/>
        </w:object>
      </w:r>
      <w:r>
        <w:rPr>
          <w:rFonts w:ascii="Times New Roman" w:hAnsi="Times New Roman"/>
          <w:sz w:val="24"/>
          <w:szCs w:val="24"/>
        </w:rPr>
        <w:t xml:space="preserve"> models are estimated.  We may obtain consistent and efficient estimates using the method of </w:t>
      </w:r>
      <w:r>
        <w:rPr>
          <w:rFonts w:ascii="Times New Roman" w:hAnsi="Times New Roman"/>
          <w:i/>
          <w:iCs/>
          <w:sz w:val="24"/>
          <w:szCs w:val="24"/>
        </w:rPr>
        <w:t>c</w:t>
      </w:r>
      <w:r w:rsidRPr="00265BDB">
        <w:rPr>
          <w:rFonts w:ascii="Times New Roman" w:hAnsi="Times New Roman"/>
          <w:i/>
          <w:iCs/>
          <w:sz w:val="24"/>
          <w:szCs w:val="24"/>
        </w:rPr>
        <w:t xml:space="preserve">onditional </w:t>
      </w:r>
      <w:r>
        <w:rPr>
          <w:rFonts w:ascii="Times New Roman" w:hAnsi="Times New Roman"/>
          <w:i/>
          <w:iCs/>
          <w:sz w:val="24"/>
          <w:szCs w:val="24"/>
        </w:rPr>
        <w:t>m</w:t>
      </w:r>
      <w:r w:rsidRPr="00265BDB">
        <w:rPr>
          <w:rFonts w:ascii="Times New Roman" w:hAnsi="Times New Roman"/>
          <w:i/>
          <w:iCs/>
          <w:sz w:val="24"/>
          <w:szCs w:val="24"/>
        </w:rPr>
        <w:t xml:space="preserve">aximum </w:t>
      </w:r>
      <w:r>
        <w:rPr>
          <w:rFonts w:ascii="Times New Roman" w:hAnsi="Times New Roman"/>
          <w:i/>
          <w:iCs/>
          <w:sz w:val="24"/>
          <w:szCs w:val="24"/>
        </w:rPr>
        <w:t>l</w:t>
      </w:r>
      <w:r w:rsidRPr="00265BDB">
        <w:rPr>
          <w:rFonts w:ascii="Times New Roman" w:hAnsi="Times New Roman"/>
          <w:i/>
          <w:iCs/>
          <w:sz w:val="24"/>
          <w:szCs w:val="24"/>
        </w:rPr>
        <w:t xml:space="preserve">ikelihood </w:t>
      </w:r>
      <w:r>
        <w:rPr>
          <w:rFonts w:ascii="Times New Roman" w:hAnsi="Times New Roman"/>
          <w:i/>
          <w:iCs/>
          <w:sz w:val="24"/>
          <w:szCs w:val="24"/>
        </w:rPr>
        <w:t>e</w:t>
      </w:r>
      <w:r w:rsidRPr="00265BDB">
        <w:rPr>
          <w:rFonts w:ascii="Times New Roman" w:hAnsi="Times New Roman"/>
          <w:i/>
          <w:iCs/>
          <w:sz w:val="24"/>
          <w:szCs w:val="24"/>
        </w:rPr>
        <w:t>stimation</w:t>
      </w:r>
      <w:r>
        <w:rPr>
          <w:rFonts w:ascii="Times New Roman" w:hAnsi="Times New Roman"/>
          <w:sz w:val="24"/>
          <w:szCs w:val="24"/>
        </w:rPr>
        <w:t xml:space="preserve"> (“CMLE”), which in the case of the </w:t>
      </w:r>
      <w:r w:rsidRPr="00A01723">
        <w:rPr>
          <w:rFonts w:ascii="Times New Roman" w:hAnsi="Times New Roman"/>
          <w:position w:val="-14"/>
          <w:sz w:val="24"/>
          <w:szCs w:val="24"/>
        </w:rPr>
        <w:object w:dxaOrig="1800" w:dyaOrig="400">
          <v:shape id="_x0000_i1056" type="#_x0000_t75" style="width:90pt;height:19.5pt" o:ole="">
            <v:imagedata r:id="rId21" o:title=""/>
          </v:shape>
          <o:OLEObject Type="Embed" ProgID="Equation.DSMT4" ShapeID="_x0000_i1056" DrawAspect="Content" ObjectID="_1637920032" r:id="rId69"/>
        </w:object>
      </w:r>
      <w:r>
        <w:rPr>
          <w:rFonts w:ascii="Times New Roman" w:hAnsi="Times New Roman"/>
          <w:sz w:val="24"/>
          <w:szCs w:val="24"/>
        </w:rPr>
        <w:t xml:space="preserve"> model recursively optimizes the following conditional log-likelihood function: </w:t>
      </w:r>
    </w:p>
    <w:p w:rsidR="005B01B4" w:rsidRDefault="005B01B4" w:rsidP="005B01B4">
      <w:pPr>
        <w:jc w:val="right"/>
        <w:rPr>
          <w:rFonts w:ascii="Times New Roman" w:hAnsi="Times New Roman"/>
          <w:sz w:val="24"/>
          <w:szCs w:val="24"/>
        </w:rPr>
      </w:pPr>
      <w:r w:rsidRPr="001D46EF">
        <w:rPr>
          <w:position w:val="-28"/>
          <w:sz w:val="24"/>
          <w:szCs w:val="24"/>
        </w:rPr>
        <w:object w:dxaOrig="7600" w:dyaOrig="680">
          <v:shape id="_x0000_i1057" type="#_x0000_t75" style="width:383.25pt;height:34.5pt" o:ole="">
            <v:imagedata r:id="rId70" o:title=""/>
          </v:shape>
          <o:OLEObject Type="Embed" ProgID="Equation.DSMT4" ShapeID="_x0000_i1057" DrawAspect="Content" ObjectID="_1637920033" r:id="rId71"/>
        </w:object>
      </w:r>
      <w:r>
        <w:rPr>
          <w:sz w:val="24"/>
          <w:szCs w:val="24"/>
        </w:rPr>
        <w:t xml:space="preserve">    </w:t>
      </w:r>
      <w:r w:rsidRPr="00FB5E9F">
        <w:rPr>
          <w:rFonts w:ascii="Times New Roman" w:hAnsi="Times New Roman"/>
          <w:sz w:val="24"/>
          <w:szCs w:val="24"/>
        </w:rPr>
        <w:t>(</w:t>
      </w:r>
      <w:r w:rsidR="00431B86">
        <w:rPr>
          <w:rFonts w:ascii="Times New Roman" w:hAnsi="Times New Roman"/>
          <w:sz w:val="24"/>
          <w:szCs w:val="24"/>
        </w:rPr>
        <w:t>4</w:t>
      </w:r>
      <w:r w:rsidRPr="00FB5E9F">
        <w:rPr>
          <w:rFonts w:ascii="Times New Roman" w:hAnsi="Times New Roman"/>
          <w:sz w:val="24"/>
          <w:szCs w:val="24"/>
        </w:rPr>
        <w:t>)</w:t>
      </w:r>
    </w:p>
    <w:p w:rsidR="005B01B4" w:rsidRDefault="005B01B4" w:rsidP="005B01B4">
      <w:pPr>
        <w:jc w:val="both"/>
        <w:rPr>
          <w:rFonts w:ascii="Times New Roman" w:hAnsi="Times New Roman"/>
          <w:sz w:val="24"/>
          <w:szCs w:val="24"/>
        </w:rPr>
      </w:pPr>
      <w:r>
        <w:rPr>
          <w:rFonts w:ascii="Times New Roman" w:hAnsi="Times New Roman"/>
          <w:sz w:val="24"/>
          <w:szCs w:val="24"/>
        </w:rPr>
        <w:t xml:space="preserve">where </w:t>
      </w:r>
      <w:r w:rsidRPr="001D46EF">
        <w:rPr>
          <w:position w:val="-16"/>
        </w:rPr>
        <w:object w:dxaOrig="1400" w:dyaOrig="440">
          <v:shape id="_x0000_i1058" type="#_x0000_t75" style="width:69.75pt;height:21.75pt" o:ole="">
            <v:imagedata r:id="rId72" o:title=""/>
          </v:shape>
          <o:OLEObject Type="Embed" ProgID="Equation.DSMT4" ShapeID="_x0000_i1058" DrawAspect="Content" ObjectID="_1637920034" r:id="rId73"/>
        </w:object>
      </w:r>
      <w:r>
        <w:t xml:space="preserve">, </w:t>
      </w:r>
      <w:r w:rsidRPr="00265BDB">
        <w:rPr>
          <w:rFonts w:ascii="Times New Roman" w:hAnsi="Times New Roman"/>
          <w:sz w:val="24"/>
          <w:szCs w:val="24"/>
        </w:rPr>
        <w:t>which is estimated by</w:t>
      </w:r>
      <w:r>
        <w:rPr>
          <w:rFonts w:ascii="Times New Roman" w:hAnsi="Times New Roman"/>
          <w:sz w:val="24"/>
          <w:szCs w:val="24"/>
        </w:rPr>
        <w:t xml:space="preserve"> </w:t>
      </w:r>
      <w:r w:rsidRPr="006D70EF">
        <w:rPr>
          <w:position w:val="-28"/>
        </w:rPr>
        <w:object w:dxaOrig="1500" w:dyaOrig="680">
          <v:shape id="_x0000_i1059" type="#_x0000_t75" style="width:75pt;height:33.75pt" o:ole="">
            <v:imagedata r:id="rId74" o:title=""/>
          </v:shape>
          <o:OLEObject Type="Embed" ProgID="Equation.DSMT4" ShapeID="_x0000_i1059" DrawAspect="Content" ObjectID="_1637920035" r:id="rId75"/>
        </w:object>
      </w:r>
      <w:r>
        <w:t xml:space="preserve">, </w:t>
      </w:r>
      <w:r w:rsidRPr="00265BDB">
        <w:rPr>
          <w:rFonts w:ascii="Times New Roman" w:hAnsi="Times New Roman"/>
          <w:sz w:val="24"/>
          <w:szCs w:val="24"/>
        </w:rPr>
        <w:t xml:space="preserve">and </w:t>
      </w:r>
      <w:proofErr w:type="spellStart"/>
      <w:r w:rsidRPr="00265BDB">
        <w:rPr>
          <w:rFonts w:ascii="Times New Roman" w:hAnsi="Times New Roman"/>
          <w:sz w:val="24"/>
          <w:szCs w:val="24"/>
        </w:rPr>
        <w:t>the</w:t>
      </w:r>
      <w:proofErr w:type="spellEnd"/>
      <w:r>
        <w:rPr>
          <w:rFonts w:ascii="Times New Roman" w:hAnsi="Times New Roman"/>
          <w:sz w:val="24"/>
          <w:szCs w:val="24"/>
        </w:rPr>
        <w:t xml:space="preserve"> </w:t>
      </w:r>
      <w:r w:rsidRPr="006D70EF">
        <w:rPr>
          <w:position w:val="-12"/>
        </w:rPr>
        <w:object w:dxaOrig="300" w:dyaOrig="380">
          <v:shape id="_x0000_i1060" type="#_x0000_t75" style="width:15pt;height:18.75pt" o:ole="">
            <v:imagedata r:id="rId76" o:title=""/>
          </v:shape>
          <o:OLEObject Type="Embed" ProgID="Equation.DSMT4" ShapeID="_x0000_i1060" DrawAspect="Content" ObjectID="_1637920036" r:id="rId77"/>
        </w:object>
      </w:r>
      <w:r w:rsidRPr="00265BDB">
        <w:rPr>
          <w:rFonts w:ascii="Times New Roman" w:hAnsi="Times New Roman"/>
          <w:sz w:val="24"/>
          <w:szCs w:val="24"/>
        </w:rPr>
        <w:t>are obtained recursively from:</w:t>
      </w:r>
      <w:r w:rsidRPr="00117973">
        <w:rPr>
          <w:rFonts w:ascii="Times New Roman" w:hAnsi="Times New Roman"/>
          <w:sz w:val="24"/>
          <w:szCs w:val="24"/>
        </w:rPr>
        <w:t xml:space="preserve"> </w:t>
      </w:r>
    </w:p>
    <w:p w:rsidR="005B01B4" w:rsidRDefault="005B01B4" w:rsidP="005B01B4">
      <w:pPr>
        <w:jc w:val="right"/>
        <w:rPr>
          <w:rFonts w:ascii="Times New Roman" w:hAnsi="Times New Roman"/>
          <w:sz w:val="24"/>
          <w:szCs w:val="24"/>
        </w:rPr>
      </w:pPr>
      <w:r w:rsidRPr="001D46EF">
        <w:rPr>
          <w:position w:val="-50"/>
          <w:sz w:val="24"/>
          <w:szCs w:val="24"/>
        </w:rPr>
        <w:object w:dxaOrig="6240" w:dyaOrig="1120">
          <v:shape id="_x0000_i1061" type="#_x0000_t75" style="width:310.5pt;height:56.25pt" o:ole="">
            <v:imagedata r:id="rId78" o:title=""/>
          </v:shape>
          <o:OLEObject Type="Embed" ProgID="Equation.DSMT4" ShapeID="_x0000_i1061" DrawAspect="Content" ObjectID="_1637920037" r:id="rId79"/>
        </w:object>
      </w:r>
      <w:r>
        <w:rPr>
          <w:sz w:val="24"/>
          <w:szCs w:val="24"/>
        </w:rPr>
        <w:t xml:space="preserve">           </w:t>
      </w:r>
      <w:r w:rsidRPr="00FB5E9F">
        <w:rPr>
          <w:rFonts w:ascii="Times New Roman" w:hAnsi="Times New Roman"/>
          <w:sz w:val="24"/>
          <w:szCs w:val="24"/>
        </w:rPr>
        <w:t>(</w:t>
      </w:r>
      <w:r w:rsidR="00431B86">
        <w:rPr>
          <w:rFonts w:ascii="Times New Roman" w:hAnsi="Times New Roman"/>
          <w:sz w:val="24"/>
          <w:szCs w:val="24"/>
        </w:rPr>
        <w:t>5</w:t>
      </w:r>
      <w:r w:rsidRPr="00FB5E9F">
        <w:rPr>
          <w:rFonts w:ascii="Times New Roman" w:hAnsi="Times New Roman"/>
          <w:sz w:val="24"/>
          <w:szCs w:val="24"/>
        </w:rPr>
        <w:t>)</w:t>
      </w:r>
    </w:p>
    <w:p w:rsidR="005B01B4" w:rsidRDefault="005B01B4" w:rsidP="005B01B4">
      <w:pPr>
        <w:jc w:val="both"/>
        <w:rPr>
          <w:rFonts w:ascii="Times New Roman" w:hAnsi="Times New Roman"/>
          <w:sz w:val="24"/>
          <w:szCs w:val="24"/>
        </w:rPr>
      </w:pPr>
      <w:r>
        <w:rPr>
          <w:rFonts w:ascii="Times New Roman" w:hAnsi="Times New Roman"/>
          <w:sz w:val="24"/>
          <w:szCs w:val="24"/>
        </w:rPr>
        <w:t xml:space="preserve">As well as the use of any necessary observed initial values of </w:t>
      </w:r>
      <w:r w:rsidRPr="001D46EF">
        <w:rPr>
          <w:position w:val="-16"/>
        </w:rPr>
        <w:object w:dxaOrig="2420" w:dyaOrig="440">
          <v:shape id="_x0000_i1062" type="#_x0000_t75" style="width:120.75pt;height:21.75pt" o:ole="">
            <v:imagedata r:id="rId80" o:title=""/>
          </v:shape>
          <o:OLEObject Type="Embed" ProgID="Equation.DSMT4" ShapeID="_x0000_i1062" DrawAspect="Content" ObjectID="_1637920038" r:id="rId81"/>
        </w:object>
      </w:r>
      <w:r>
        <w:t xml:space="preserve">.  </w:t>
      </w:r>
      <w:r>
        <w:rPr>
          <w:rFonts w:ascii="Times New Roman" w:hAnsi="Times New Roman"/>
          <w:sz w:val="24"/>
          <w:szCs w:val="24"/>
        </w:rPr>
        <w:t xml:space="preserve">CMLE estimates of the unknown parameter matrices </w:t>
      </w:r>
      <w:r w:rsidRPr="001D46EF">
        <w:rPr>
          <w:position w:val="-22"/>
        </w:rPr>
        <w:object w:dxaOrig="2640" w:dyaOrig="560">
          <v:shape id="_x0000_i1063" type="#_x0000_t75" style="width:131.25pt;height:28.5pt" o:ole="">
            <v:imagedata r:id="rId82" o:title=""/>
          </v:shape>
          <o:OLEObject Type="Embed" ProgID="Equation.DSMT4" ShapeID="_x0000_i1063" DrawAspect="Content" ObjectID="_1637920039" r:id="rId83"/>
        </w:object>
      </w:r>
      <w:r>
        <w:t xml:space="preserve">, </w:t>
      </w:r>
      <w:r w:rsidRPr="00265BDB">
        <w:rPr>
          <w:rFonts w:ascii="Times New Roman" w:hAnsi="Times New Roman"/>
          <w:sz w:val="24"/>
          <w:szCs w:val="24"/>
        </w:rPr>
        <w:t>given by</w:t>
      </w:r>
    </w:p>
    <w:p w:rsidR="005B01B4" w:rsidRDefault="005B01B4" w:rsidP="005B01B4">
      <w:pPr>
        <w:jc w:val="right"/>
        <w:rPr>
          <w:rFonts w:ascii="Times New Roman" w:hAnsi="Times New Roman"/>
          <w:sz w:val="24"/>
          <w:szCs w:val="24"/>
        </w:rPr>
      </w:pPr>
      <w:r w:rsidRPr="001D46EF">
        <w:rPr>
          <w:position w:val="-42"/>
          <w:sz w:val="24"/>
          <w:szCs w:val="24"/>
        </w:rPr>
        <w:object w:dxaOrig="7780" w:dyaOrig="840">
          <v:shape id="_x0000_i1064" type="#_x0000_t75" style="width:392.25pt;height:42pt" o:ole="">
            <v:imagedata r:id="rId84" o:title=""/>
          </v:shape>
          <o:OLEObject Type="Embed" ProgID="Equation.DSMT4" ShapeID="_x0000_i1064" DrawAspect="Content" ObjectID="_1637920040" r:id="rId85"/>
        </w:object>
      </w:r>
      <w:r>
        <w:rPr>
          <w:sz w:val="24"/>
          <w:szCs w:val="24"/>
        </w:rPr>
        <w:t xml:space="preserve">   </w:t>
      </w:r>
      <w:r w:rsidRPr="00FB5E9F">
        <w:rPr>
          <w:rFonts w:ascii="Times New Roman" w:hAnsi="Times New Roman"/>
          <w:sz w:val="24"/>
          <w:szCs w:val="24"/>
        </w:rPr>
        <w:t>(</w:t>
      </w:r>
      <w:r w:rsidR="00431B86">
        <w:rPr>
          <w:rFonts w:ascii="Times New Roman" w:hAnsi="Times New Roman"/>
          <w:sz w:val="24"/>
          <w:szCs w:val="24"/>
        </w:rPr>
        <w:t>6</w:t>
      </w:r>
      <w:r w:rsidRPr="00FB5E9F">
        <w:rPr>
          <w:rFonts w:ascii="Times New Roman" w:hAnsi="Times New Roman"/>
          <w:sz w:val="24"/>
          <w:szCs w:val="24"/>
        </w:rPr>
        <w:t>)</w:t>
      </w:r>
    </w:p>
    <w:p w:rsidR="005B01B4" w:rsidRDefault="005B01B4" w:rsidP="005B01B4">
      <w:pPr>
        <w:jc w:val="both"/>
        <w:rPr>
          <w:rFonts w:ascii="Times New Roman" w:hAnsi="Times New Roman"/>
          <w:sz w:val="24"/>
          <w:szCs w:val="24"/>
        </w:rPr>
      </w:pPr>
      <w:r>
        <w:rPr>
          <w:rFonts w:ascii="Times New Roman" w:hAnsi="Times New Roman"/>
          <w:sz w:val="24"/>
          <w:szCs w:val="24"/>
        </w:rPr>
        <w:t xml:space="preserve">may be obtained by iterative numerical methods such as Newton-Raphson for the VARMAX model.  In the special case of the </w:t>
      </w:r>
      <w:r w:rsidRPr="00A01723">
        <w:rPr>
          <w:rFonts w:ascii="Times New Roman" w:hAnsi="Times New Roman"/>
          <w:position w:val="-14"/>
          <w:sz w:val="24"/>
          <w:szCs w:val="24"/>
        </w:rPr>
        <w:object w:dxaOrig="1240" w:dyaOrig="400">
          <v:shape id="_x0000_i1065" type="#_x0000_t75" style="width:62.25pt;height:19.5pt" o:ole="">
            <v:imagedata r:id="rId62" o:title=""/>
          </v:shape>
          <o:OLEObject Type="Embed" ProgID="Equation.DSMT4" ShapeID="_x0000_i1065" DrawAspect="Content" ObjectID="_1637920041" r:id="rId86"/>
        </w:object>
      </w:r>
      <w:r>
        <w:rPr>
          <w:rFonts w:ascii="Times New Roman" w:hAnsi="Times New Roman"/>
          <w:sz w:val="24"/>
          <w:szCs w:val="24"/>
        </w:rPr>
        <w:t xml:space="preserve"> model (4.9), and where there are no constraints on the parameter matrices </w:t>
      </w:r>
      <w:r w:rsidRPr="006D70EF">
        <w:rPr>
          <w:position w:val="-22"/>
        </w:rPr>
        <w:object w:dxaOrig="1820" w:dyaOrig="560">
          <v:shape id="_x0000_i1066" type="#_x0000_t75" style="width:90pt;height:28.5pt" o:ole="">
            <v:imagedata r:id="rId87" o:title=""/>
          </v:shape>
          <o:OLEObject Type="Embed" ProgID="Equation.DSMT4" ShapeID="_x0000_i1066" DrawAspect="Content" ObjectID="_1637920042" r:id="rId88"/>
        </w:object>
      </w:r>
      <w:r>
        <w:rPr>
          <w:rFonts w:ascii="Times New Roman" w:hAnsi="Times New Roman"/>
          <w:sz w:val="24"/>
          <w:szCs w:val="24"/>
        </w:rPr>
        <w:t xml:space="preserve">, we obtain a significant simplification of the estimation algorithm as the CMLE estimates are now given by linear multivariate least squares regression methods.  In particular , we can express the </w:t>
      </w:r>
      <w:r w:rsidRPr="00A01723">
        <w:rPr>
          <w:rFonts w:ascii="Times New Roman" w:hAnsi="Times New Roman"/>
          <w:position w:val="-14"/>
          <w:sz w:val="24"/>
          <w:szCs w:val="24"/>
        </w:rPr>
        <w:object w:dxaOrig="1240" w:dyaOrig="400">
          <v:shape id="_x0000_i1067" type="#_x0000_t75" style="width:62.25pt;height:19.5pt" o:ole="">
            <v:imagedata r:id="rId62" o:title=""/>
          </v:shape>
          <o:OLEObject Type="Embed" ProgID="Equation.DSMT4" ShapeID="_x0000_i1067" DrawAspect="Content" ObjectID="_1637920043" r:id="rId89"/>
        </w:object>
      </w:r>
      <w:r>
        <w:rPr>
          <w:rFonts w:ascii="Times New Roman" w:hAnsi="Times New Roman"/>
          <w:sz w:val="24"/>
          <w:szCs w:val="24"/>
        </w:rPr>
        <w:t xml:space="preserve"> model (</w:t>
      </w:r>
      <w:r w:rsidR="00512806">
        <w:rPr>
          <w:rFonts w:ascii="Times New Roman" w:hAnsi="Times New Roman"/>
          <w:sz w:val="24"/>
          <w:szCs w:val="24"/>
        </w:rPr>
        <w:t>6</w:t>
      </w:r>
      <w:r>
        <w:rPr>
          <w:rFonts w:ascii="Times New Roman" w:hAnsi="Times New Roman"/>
          <w:sz w:val="24"/>
          <w:szCs w:val="24"/>
        </w:rPr>
        <w:t xml:space="preserve">) as follows: </w:t>
      </w:r>
    </w:p>
    <w:p w:rsidR="005B01B4" w:rsidRDefault="005B01B4" w:rsidP="005B01B4">
      <w:pPr>
        <w:jc w:val="right"/>
        <w:rPr>
          <w:sz w:val="24"/>
          <w:szCs w:val="24"/>
        </w:rPr>
      </w:pPr>
      <w:r>
        <w:rPr>
          <w:sz w:val="24"/>
          <w:szCs w:val="24"/>
        </w:rPr>
        <w:lastRenderedPageBreak/>
        <w:t xml:space="preserve">       </w:t>
      </w:r>
      <w:r w:rsidRPr="001D46EF">
        <w:rPr>
          <w:position w:val="-12"/>
          <w:sz w:val="24"/>
          <w:szCs w:val="24"/>
        </w:rPr>
        <w:object w:dxaOrig="1540" w:dyaOrig="380">
          <v:shape id="_x0000_i1068" type="#_x0000_t75" style="width:77.25pt;height:19.5pt" o:ole="">
            <v:imagedata r:id="rId90" o:title=""/>
          </v:shape>
          <o:OLEObject Type="Embed" ProgID="Equation.DSMT4" ShapeID="_x0000_i1068" DrawAspect="Content" ObjectID="_1637920044" r:id="rId91"/>
        </w:object>
      </w:r>
      <w:r>
        <w:rPr>
          <w:sz w:val="24"/>
          <w:szCs w:val="24"/>
        </w:rPr>
        <w:t xml:space="preserve">                           </w:t>
      </w:r>
      <w:r w:rsidRPr="00FB5E9F">
        <w:rPr>
          <w:rFonts w:ascii="Times New Roman" w:hAnsi="Times New Roman"/>
          <w:sz w:val="24"/>
          <w:szCs w:val="24"/>
        </w:rPr>
        <w:t>(</w:t>
      </w:r>
      <w:r w:rsidR="00512806">
        <w:rPr>
          <w:rFonts w:ascii="Times New Roman" w:hAnsi="Times New Roman"/>
          <w:sz w:val="24"/>
          <w:szCs w:val="24"/>
        </w:rPr>
        <w:t>7</w:t>
      </w:r>
      <w:r w:rsidRPr="00FB5E9F">
        <w:rPr>
          <w:rFonts w:ascii="Times New Roman" w:hAnsi="Times New Roman"/>
          <w:sz w:val="24"/>
          <w:szCs w:val="24"/>
        </w:rPr>
        <w:t>)</w:t>
      </w:r>
    </w:p>
    <w:p w:rsidR="005B01B4" w:rsidRDefault="005B01B4" w:rsidP="005B01B4">
      <w:pPr>
        <w:jc w:val="both"/>
        <w:rPr>
          <w:rFonts w:ascii="Times New Roman" w:hAnsi="Times New Roman"/>
          <w:sz w:val="24"/>
          <w:szCs w:val="24"/>
        </w:rPr>
      </w:pPr>
      <w:r>
        <w:rPr>
          <w:rFonts w:ascii="Times New Roman" w:hAnsi="Times New Roman"/>
          <w:sz w:val="24"/>
          <w:szCs w:val="24"/>
        </w:rPr>
        <w:t xml:space="preserve">where </w:t>
      </w:r>
      <w:r w:rsidRPr="001D46EF">
        <w:rPr>
          <w:position w:val="-16"/>
        </w:rPr>
        <w:object w:dxaOrig="2560" w:dyaOrig="440">
          <v:shape id="_x0000_i1069" type="#_x0000_t75" style="width:127.5pt;height:21.75pt" o:ole="">
            <v:imagedata r:id="rId92" o:title=""/>
          </v:shape>
          <o:OLEObject Type="Embed" ProgID="Equation.DSMT4" ShapeID="_x0000_i1069" DrawAspect="Content" ObjectID="_1637920045" r:id="rId93"/>
        </w:object>
      </w:r>
      <w:r>
        <w:t xml:space="preserve"> </w:t>
      </w:r>
      <w:r>
        <w:rPr>
          <w:rFonts w:ascii="Times New Roman" w:hAnsi="Times New Roman"/>
          <w:sz w:val="24"/>
          <w:szCs w:val="24"/>
        </w:rPr>
        <w:t xml:space="preserve">and </w:t>
      </w:r>
      <w:r w:rsidRPr="006D70EF">
        <w:rPr>
          <w:position w:val="-16"/>
        </w:rPr>
        <w:object w:dxaOrig="3080" w:dyaOrig="440">
          <v:shape id="_x0000_i1070" type="#_x0000_t75" style="width:154.5pt;height:21.75pt" o:ole="">
            <v:imagedata r:id="rId94" o:title=""/>
          </v:shape>
          <o:OLEObject Type="Embed" ProgID="Equation.DSMT4" ShapeID="_x0000_i1070" DrawAspect="Content" ObjectID="_1637920046" r:id="rId95"/>
        </w:object>
      </w:r>
      <w:r w:rsidRPr="00265BDB">
        <w:rPr>
          <w:rFonts w:ascii="Times New Roman" w:hAnsi="Times New Roman"/>
          <w:sz w:val="24"/>
          <w:szCs w:val="24"/>
        </w:rPr>
        <w:t xml:space="preserve">.  It follows that the CMLE estimator of </w:t>
      </w:r>
      <w:r w:rsidRPr="006D70EF">
        <w:rPr>
          <w:position w:val="-4"/>
        </w:rPr>
        <w:object w:dxaOrig="240" w:dyaOrig="260">
          <v:shape id="_x0000_i1071" type="#_x0000_t75" style="width:12pt;height:12.75pt" o:ole="">
            <v:imagedata r:id="rId96" o:title=""/>
          </v:shape>
          <o:OLEObject Type="Embed" ProgID="Equation.DSMT4" ShapeID="_x0000_i1071" DrawAspect="Content" ObjectID="_1637920047" r:id="rId97"/>
        </w:object>
      </w:r>
      <w:r w:rsidRPr="00FF4E7E">
        <w:rPr>
          <w:rFonts w:ascii="Times New Roman" w:hAnsi="Times New Roman"/>
          <w:sz w:val="24"/>
          <w:szCs w:val="24"/>
        </w:rPr>
        <w:t xml:space="preserve"> </w:t>
      </w:r>
      <w:r w:rsidRPr="00265BDB">
        <w:rPr>
          <w:rFonts w:ascii="Times New Roman" w:hAnsi="Times New Roman"/>
          <w:sz w:val="24"/>
          <w:szCs w:val="24"/>
        </w:rPr>
        <w:t>is given by:</w:t>
      </w:r>
      <w:r>
        <w:rPr>
          <w:rFonts w:ascii="Times New Roman" w:hAnsi="Times New Roman"/>
          <w:sz w:val="24"/>
          <w:szCs w:val="24"/>
        </w:rPr>
        <w:t xml:space="preserve"> </w:t>
      </w:r>
    </w:p>
    <w:p w:rsidR="005B01B4" w:rsidRDefault="005B01B4" w:rsidP="005B01B4">
      <w:pPr>
        <w:jc w:val="right"/>
        <w:rPr>
          <w:rFonts w:ascii="Times New Roman" w:hAnsi="Times New Roman"/>
          <w:sz w:val="24"/>
          <w:szCs w:val="24"/>
        </w:rPr>
      </w:pPr>
      <w:r w:rsidRPr="001D46EF">
        <w:rPr>
          <w:position w:val="-32"/>
          <w:sz w:val="24"/>
          <w:szCs w:val="24"/>
        </w:rPr>
        <w:object w:dxaOrig="5040" w:dyaOrig="820">
          <v:shape id="_x0000_i1072" type="#_x0000_t75" style="width:253.5pt;height:41.25pt" o:ole="">
            <v:imagedata r:id="rId98" o:title=""/>
          </v:shape>
          <o:OLEObject Type="Embed" ProgID="Equation.DSMT4" ShapeID="_x0000_i1072" DrawAspect="Content" ObjectID="_1637920048" r:id="rId99"/>
        </w:object>
      </w:r>
      <w:r>
        <w:rPr>
          <w:sz w:val="24"/>
          <w:szCs w:val="24"/>
        </w:rPr>
        <w:t xml:space="preserve">            </w:t>
      </w:r>
      <w:r w:rsidRPr="00FB5E9F">
        <w:rPr>
          <w:rFonts w:ascii="Times New Roman" w:hAnsi="Times New Roman"/>
          <w:sz w:val="24"/>
          <w:szCs w:val="24"/>
        </w:rPr>
        <w:t>(</w:t>
      </w:r>
      <w:r w:rsidR="00512806">
        <w:rPr>
          <w:rFonts w:ascii="Times New Roman" w:hAnsi="Times New Roman"/>
          <w:sz w:val="24"/>
          <w:szCs w:val="24"/>
        </w:rPr>
        <w:t>8</w:t>
      </w:r>
      <w:r w:rsidRPr="00FB5E9F">
        <w:rPr>
          <w:rFonts w:ascii="Times New Roman" w:hAnsi="Times New Roman"/>
          <w:sz w:val="24"/>
          <w:szCs w:val="24"/>
        </w:rPr>
        <w:t>)</w:t>
      </w:r>
      <w:r w:rsidRPr="00265BDB">
        <w:rPr>
          <w:rFonts w:ascii="Times New Roman" w:hAnsi="Times New Roman"/>
          <w:sz w:val="24"/>
          <w:szCs w:val="24"/>
        </w:rPr>
        <w:t xml:space="preserve">  </w:t>
      </w:r>
    </w:p>
    <w:p w:rsidR="005B01B4" w:rsidRDefault="005B01B4" w:rsidP="005B01B4">
      <w:pPr>
        <w:jc w:val="both"/>
        <w:rPr>
          <w:rFonts w:ascii="Times New Roman" w:hAnsi="Times New Roman"/>
          <w:sz w:val="24"/>
          <w:szCs w:val="24"/>
        </w:rPr>
      </w:pPr>
      <w:r>
        <w:rPr>
          <w:rFonts w:ascii="Times New Roman" w:hAnsi="Times New Roman"/>
          <w:sz w:val="24"/>
          <w:szCs w:val="24"/>
        </w:rPr>
        <w:t xml:space="preserve">Where </w:t>
      </w:r>
      <w:r w:rsidRPr="001D46EF">
        <w:rPr>
          <w:position w:val="-18"/>
        </w:rPr>
        <w:object w:dxaOrig="1800" w:dyaOrig="499">
          <v:shape id="_x0000_i1073" type="#_x0000_t75" style="width:90pt;height:24.75pt" o:ole="">
            <v:imagedata r:id="rId100" o:title=""/>
          </v:shape>
          <o:OLEObject Type="Embed" ProgID="Equation.DSMT4" ShapeID="_x0000_i1073" DrawAspect="Content" ObjectID="_1637920049" r:id="rId101"/>
        </w:object>
      </w:r>
      <w:r>
        <w:t xml:space="preserve"> </w:t>
      </w:r>
      <w:r w:rsidRPr="00265BDB">
        <w:rPr>
          <w:rFonts w:ascii="Times New Roman" w:hAnsi="Times New Roman"/>
          <w:sz w:val="24"/>
          <w:szCs w:val="24"/>
        </w:rPr>
        <w:t>and</w:t>
      </w:r>
      <w:r>
        <w:t xml:space="preserve"> </w:t>
      </w:r>
      <w:r w:rsidRPr="001D46EF">
        <w:rPr>
          <w:position w:val="-18"/>
        </w:rPr>
        <w:object w:dxaOrig="1800" w:dyaOrig="499">
          <v:shape id="_x0000_i1074" type="#_x0000_t75" style="width:90pt;height:24.75pt" o:ole="">
            <v:imagedata r:id="rId102" o:title=""/>
          </v:shape>
          <o:OLEObject Type="Embed" ProgID="Equation.DSMT4" ShapeID="_x0000_i1074" DrawAspect="Content" ObjectID="_1637920050" r:id="rId103"/>
        </w:object>
      </w:r>
      <w:r>
        <w:t xml:space="preserve">. </w:t>
      </w:r>
      <w:r w:rsidRPr="00265BDB">
        <w:rPr>
          <w:rFonts w:ascii="Times New Roman" w:hAnsi="Times New Roman"/>
          <w:sz w:val="24"/>
          <w:szCs w:val="24"/>
        </w:rPr>
        <w:t xml:space="preserve"> </w:t>
      </w:r>
      <w:r>
        <w:rPr>
          <w:rFonts w:ascii="Times New Roman" w:hAnsi="Times New Roman"/>
          <w:sz w:val="24"/>
          <w:szCs w:val="24"/>
        </w:rPr>
        <w:t xml:space="preserve">Under standard stationarity conditions, the asymptotic distribution of </w:t>
      </w:r>
      <w:r w:rsidRPr="006D70EF">
        <w:rPr>
          <w:position w:val="-12"/>
        </w:rPr>
        <w:object w:dxaOrig="620" w:dyaOrig="400">
          <v:shape id="_x0000_i1075" type="#_x0000_t75" style="width:31.5pt;height:20.25pt" o:ole="">
            <v:imagedata r:id="rId104" o:title=""/>
          </v:shape>
          <o:OLEObject Type="Embed" ProgID="Equation.DSMT4" ShapeID="_x0000_i1075" DrawAspect="Content" ObjectID="_1637920051" r:id="rId105"/>
        </w:object>
      </w:r>
      <w:r>
        <w:rPr>
          <w:rFonts w:ascii="Times New Roman" w:hAnsi="Times New Roman"/>
          <w:sz w:val="24"/>
          <w:szCs w:val="24"/>
        </w:rPr>
        <w:t>is given by</w:t>
      </w:r>
      <w:r w:rsidRPr="006D70EF">
        <w:rPr>
          <w:rFonts w:ascii="Times New Roman" w:hAnsi="Times New Roman"/>
          <w:sz w:val="24"/>
          <w:szCs w:val="24"/>
        </w:rPr>
        <w:t>:</w:t>
      </w:r>
      <w:r>
        <w:rPr>
          <w:rFonts w:ascii="Times New Roman" w:hAnsi="Times New Roman"/>
          <w:sz w:val="24"/>
          <w:szCs w:val="24"/>
        </w:rPr>
        <w:t xml:space="preserve"> </w:t>
      </w:r>
    </w:p>
    <w:p w:rsidR="005B01B4" w:rsidRDefault="005B01B4" w:rsidP="00CD1D7D">
      <w:pPr>
        <w:spacing w:before="100" w:beforeAutospacing="1" w:after="100" w:afterAutospacing="1" w:line="240" w:lineRule="auto"/>
        <w:jc w:val="right"/>
        <w:rPr>
          <w:rFonts w:ascii="Times New Roman" w:hAnsi="Times New Roman"/>
          <w:sz w:val="24"/>
          <w:szCs w:val="24"/>
        </w:rPr>
      </w:pPr>
      <w:r w:rsidRPr="001D46EF">
        <w:rPr>
          <w:position w:val="-22"/>
          <w:sz w:val="24"/>
          <w:szCs w:val="24"/>
        </w:rPr>
        <w:object w:dxaOrig="4099" w:dyaOrig="560">
          <v:shape id="_x0000_i1076" type="#_x0000_t75" style="width:206.25pt;height:28.5pt" o:ole="">
            <v:imagedata r:id="rId106" o:title=""/>
          </v:shape>
          <o:OLEObject Type="Embed" ProgID="Equation.DSMT4" ShapeID="_x0000_i1076" DrawAspect="Content" ObjectID="_1637920052" r:id="rId107"/>
        </w:object>
      </w:r>
      <w:r w:rsidR="00CD1D7D">
        <w:rPr>
          <w:sz w:val="24"/>
          <w:szCs w:val="24"/>
        </w:rPr>
        <w:t xml:space="preserve">               </w:t>
      </w:r>
      <w:r w:rsidRPr="00FB5E9F">
        <w:rPr>
          <w:rFonts w:ascii="Times New Roman" w:hAnsi="Times New Roman"/>
          <w:sz w:val="24"/>
          <w:szCs w:val="24"/>
        </w:rPr>
        <w:t>(</w:t>
      </w:r>
      <w:r w:rsidR="00512806">
        <w:rPr>
          <w:rFonts w:ascii="Times New Roman" w:hAnsi="Times New Roman"/>
          <w:sz w:val="24"/>
          <w:szCs w:val="24"/>
        </w:rPr>
        <w:t>9</w:t>
      </w:r>
      <w:r w:rsidRPr="00FB5E9F">
        <w:rPr>
          <w:rFonts w:ascii="Times New Roman" w:hAnsi="Times New Roman"/>
          <w:sz w:val="24"/>
          <w:szCs w:val="24"/>
        </w:rPr>
        <w:t>)</w:t>
      </w:r>
    </w:p>
    <w:p w:rsidR="000D2E85" w:rsidRDefault="000D2E85" w:rsidP="00B72CD3">
      <w:pPr>
        <w:spacing w:before="100" w:beforeAutospacing="1" w:after="100" w:afterAutospacing="1" w:line="240" w:lineRule="auto"/>
        <w:jc w:val="both"/>
        <w:rPr>
          <w:rFonts w:ascii="Times New Roman" w:hAnsi="Times New Roman"/>
          <w:sz w:val="24"/>
          <w:szCs w:val="24"/>
          <w:lang w:eastAsia="zh-CN"/>
        </w:rPr>
      </w:pPr>
      <w:r>
        <w:rPr>
          <w:rFonts w:ascii="Times New Roman" w:hAnsi="Times New Roman"/>
          <w:sz w:val="24"/>
          <w:szCs w:val="24"/>
        </w:rPr>
        <w:t>We now consider the MS-VARX generalization of the VARX methodology with changes in r</w:t>
      </w:r>
      <w:r>
        <w:rPr>
          <w:rFonts w:ascii="Times New Roman" w:hAnsi="Times New Roman"/>
          <w:sz w:val="24"/>
          <w:szCs w:val="24"/>
        </w:rPr>
        <w:t>e</w:t>
      </w:r>
      <w:r>
        <w:rPr>
          <w:rFonts w:ascii="Times New Roman" w:hAnsi="Times New Roman"/>
          <w:sz w:val="24"/>
          <w:szCs w:val="24"/>
        </w:rPr>
        <w:t xml:space="preserve">gime, where the parameters of the VARX system </w:t>
      </w:r>
      <w:r>
        <w:rPr>
          <w:rFonts w:ascii="Times New Roman" w:hAnsi="Times New Roman"/>
          <w:position w:val="-16"/>
          <w:sz w:val="24"/>
          <w:szCs w:val="24"/>
        </w:rPr>
        <w:object w:dxaOrig="2100" w:dyaOrig="480">
          <v:shape id="_x0000_i1077" type="#_x0000_t75" style="width:105pt;height:24pt" o:ole="">
            <v:imagedata r:id="rId108" o:title=""/>
          </v:shape>
          <o:OLEObject Type="Embed" ProgID="Equation.DSMT4" ShapeID="_x0000_i1077" DrawAspect="Content" ObjectID="_1637920053" r:id="rId109"/>
        </w:object>
      </w:r>
      <w:r>
        <w:rPr>
          <w:rFonts w:ascii="Times New Roman" w:hAnsi="Times New Roman"/>
          <w:sz w:val="24"/>
          <w:szCs w:val="24"/>
        </w:rPr>
        <w:t xml:space="preserve"> will be time-varying. However, the process might be time-invariant conditional on an unobservable regime variable</w:t>
      </w:r>
      <w:r>
        <w:rPr>
          <w:rFonts w:ascii="Times New Roman" w:hAnsi="Times New Roman"/>
          <w:sz w:val="24"/>
          <w:szCs w:val="24"/>
          <w:lang w:eastAsia="zh-CN"/>
        </w:rPr>
        <w:t xml:space="preserve"> </w:t>
      </w:r>
      <w:r>
        <w:rPr>
          <w:rFonts w:ascii="Times New Roman" w:hAnsi="Times New Roman"/>
          <w:position w:val="-14"/>
          <w:sz w:val="24"/>
          <w:szCs w:val="24"/>
        </w:rPr>
        <w:object w:dxaOrig="1320" w:dyaOrig="405">
          <v:shape id="_x0000_i1078" type="#_x0000_t75" style="width:66pt;height:20.25pt" o:ole="">
            <v:imagedata r:id="rId110" o:title=""/>
          </v:shape>
          <o:OLEObject Type="Embed" ProgID="Equation.DSMT4" ShapeID="_x0000_i1078" DrawAspect="Content" ObjectID="_1637920054" r:id="rId111"/>
        </w:object>
      </w:r>
      <w:r>
        <w:rPr>
          <w:rFonts w:ascii="Times New Roman" w:hAnsi="Times New Roman"/>
          <w:sz w:val="24"/>
          <w:szCs w:val="24"/>
        </w:rPr>
        <w:t xml:space="preserve">, denoting the state at </w:t>
      </w:r>
      <w:r>
        <w:rPr>
          <w:rFonts w:ascii="Times New Roman" w:hAnsi="Times New Roman"/>
          <w:spacing w:val="4"/>
          <w:sz w:val="24"/>
          <w:szCs w:val="24"/>
        </w:rPr>
        <w:t>time</w:t>
      </w:r>
      <w:r>
        <w:rPr>
          <w:rFonts w:ascii="Times New Roman" w:hAnsi="Times New Roman"/>
          <w:spacing w:val="4"/>
          <w:sz w:val="24"/>
          <w:szCs w:val="24"/>
          <w:lang w:eastAsia="zh-CN"/>
        </w:rPr>
        <w:t xml:space="preserve"> </w:t>
      </w:r>
      <w:r>
        <w:rPr>
          <w:rFonts w:ascii="Times New Roman" w:hAnsi="Times New Roman"/>
          <w:spacing w:val="4"/>
          <w:position w:val="-6"/>
          <w:sz w:val="24"/>
          <w:szCs w:val="24"/>
        </w:rPr>
        <w:object w:dxaOrig="135" w:dyaOrig="240">
          <v:shape id="_x0000_i1079" type="#_x0000_t75" style="width:6.75pt;height:12pt" o:ole="">
            <v:imagedata r:id="rId112" o:title=""/>
          </v:shape>
          <o:OLEObject Type="Embed" ProgID="Equation.DSMT4" ShapeID="_x0000_i1079" DrawAspect="Content" ObjectID="_1637920055" r:id="rId113"/>
        </w:object>
      </w:r>
      <w:r>
        <w:rPr>
          <w:rFonts w:ascii="Times New Roman" w:hAnsi="Times New Roman"/>
          <w:spacing w:val="4"/>
          <w:sz w:val="24"/>
          <w:szCs w:val="24"/>
          <w:lang w:eastAsia="zh-CN"/>
        </w:rPr>
        <w:t xml:space="preserve"> </w:t>
      </w:r>
      <w:r>
        <w:rPr>
          <w:rFonts w:ascii="Times New Roman" w:hAnsi="Times New Roman"/>
          <w:spacing w:val="4"/>
          <w:sz w:val="24"/>
          <w:szCs w:val="24"/>
        </w:rPr>
        <w:t>out of</w:t>
      </w:r>
      <w:r>
        <w:rPr>
          <w:rFonts w:ascii="Times New Roman" w:hAnsi="Times New Roman"/>
          <w:spacing w:val="4"/>
          <w:sz w:val="24"/>
          <w:szCs w:val="24"/>
          <w:lang w:eastAsia="zh-CN"/>
        </w:rPr>
        <w:t xml:space="preserve"> </w:t>
      </w:r>
      <w:r>
        <w:rPr>
          <w:rFonts w:ascii="Times New Roman" w:hAnsi="Times New Roman"/>
          <w:spacing w:val="4"/>
          <w:position w:val="-4"/>
          <w:sz w:val="24"/>
          <w:szCs w:val="24"/>
        </w:rPr>
        <w:object w:dxaOrig="315" w:dyaOrig="255">
          <v:shape id="_x0000_i1080" type="#_x0000_t75" style="width:15pt;height:12pt" o:ole="">
            <v:imagedata r:id="rId114" o:title=""/>
          </v:shape>
          <o:OLEObject Type="Embed" ProgID="Equation.DSMT4" ShapeID="_x0000_i1080" DrawAspect="Content" ObjectID="_1637920056" r:id="rId115"/>
        </w:object>
      </w:r>
      <w:r>
        <w:rPr>
          <w:rFonts w:ascii="Times New Roman" w:hAnsi="Times New Roman"/>
          <w:spacing w:val="4"/>
          <w:sz w:val="24"/>
          <w:szCs w:val="24"/>
          <w:lang w:eastAsia="zh-CN"/>
        </w:rPr>
        <w:t xml:space="preserve"> </w:t>
      </w:r>
      <w:r>
        <w:rPr>
          <w:rFonts w:ascii="Times New Roman" w:hAnsi="Times New Roman"/>
          <w:spacing w:val="4"/>
          <w:sz w:val="24"/>
          <w:szCs w:val="24"/>
        </w:rPr>
        <w:t xml:space="preserve">feasible states. </w:t>
      </w:r>
      <w:r w:rsidR="00E270AA">
        <w:rPr>
          <w:rFonts w:ascii="Times New Roman" w:hAnsi="Times New Roman"/>
          <w:spacing w:val="4"/>
          <w:sz w:val="24"/>
          <w:szCs w:val="24"/>
        </w:rPr>
        <w:t xml:space="preserve"> </w:t>
      </w:r>
      <w:r>
        <w:rPr>
          <w:rFonts w:ascii="Times New Roman" w:hAnsi="Times New Roman"/>
          <w:spacing w:val="4"/>
          <w:sz w:val="24"/>
          <w:szCs w:val="24"/>
        </w:rPr>
        <w:t>In that case, then the conditional probability density of the ob</w:t>
      </w:r>
      <w:r>
        <w:rPr>
          <w:rFonts w:ascii="Times New Roman" w:hAnsi="Times New Roman"/>
          <w:sz w:val="24"/>
          <w:szCs w:val="24"/>
        </w:rPr>
        <w:t>served time series</w:t>
      </w:r>
      <w:r>
        <w:rPr>
          <w:rFonts w:ascii="Times New Roman" w:hAnsi="Times New Roman"/>
          <w:sz w:val="24"/>
          <w:szCs w:val="24"/>
          <w:lang w:eastAsia="zh-CN"/>
        </w:rPr>
        <w:t xml:space="preserve"> </w:t>
      </w:r>
      <w:r>
        <w:rPr>
          <w:rFonts w:ascii="Times New Roman" w:hAnsi="Times New Roman"/>
          <w:position w:val="-12"/>
          <w:sz w:val="24"/>
          <w:szCs w:val="24"/>
        </w:rPr>
        <w:object w:dxaOrig="300" w:dyaOrig="375">
          <v:shape id="_x0000_i1081" type="#_x0000_t75" style="width:15pt;height:19.5pt" o:ole="">
            <v:imagedata r:id="rId116" o:title=""/>
          </v:shape>
          <o:OLEObject Type="Embed" ProgID="Equation.DSMT4" ShapeID="_x0000_i1081" DrawAspect="Content" ObjectID="_1637920057" r:id="rId117"/>
        </w:object>
      </w:r>
      <w:r>
        <w:rPr>
          <w:rFonts w:ascii="Times New Roman" w:hAnsi="Times New Roman"/>
          <w:sz w:val="24"/>
          <w:szCs w:val="24"/>
          <w:lang w:eastAsia="zh-CN"/>
        </w:rPr>
        <w:t xml:space="preserve"> </w:t>
      </w:r>
      <w:r>
        <w:rPr>
          <w:rFonts w:ascii="Times New Roman" w:hAnsi="Times New Roman"/>
          <w:sz w:val="24"/>
          <w:szCs w:val="24"/>
        </w:rPr>
        <w:t>is given by:</w:t>
      </w:r>
    </w:p>
    <w:p w:rsidR="000D2E85" w:rsidRDefault="000D2E85" w:rsidP="000D2E85">
      <w:pPr>
        <w:spacing w:beforeLines="50" w:before="120" w:afterLines="50" w:after="120" w:line="300" w:lineRule="atLeast"/>
        <w:jc w:val="right"/>
        <w:rPr>
          <w:rFonts w:ascii="Times New Roman" w:hAnsi="Times New Roman"/>
          <w:sz w:val="24"/>
          <w:szCs w:val="24"/>
          <w:lang w:eastAsia="zh-CN"/>
        </w:rPr>
      </w:pPr>
      <w:r>
        <w:rPr>
          <w:rFonts w:ascii="Times New Roman" w:hAnsi="Times New Roman"/>
          <w:position w:val="-58"/>
          <w:sz w:val="24"/>
          <w:szCs w:val="24"/>
        </w:rPr>
        <w:object w:dxaOrig="4290" w:dyaOrig="1290">
          <v:shape id="_x0000_i1082" type="#_x0000_t75" style="width:214.5pt;height:64.5pt" o:ole="">
            <v:imagedata r:id="rId118" o:title=""/>
          </v:shape>
          <o:OLEObject Type="Embed" ProgID="Equation.DSMT4" ShapeID="_x0000_i1082" DrawAspect="Content" ObjectID="_1637920058" r:id="rId119"/>
        </w:object>
      </w:r>
      <w:r>
        <w:rPr>
          <w:rFonts w:ascii="Times New Roman" w:hAnsi="Times New Roman"/>
          <w:sz w:val="24"/>
          <w:szCs w:val="24"/>
        </w:rPr>
        <w:t xml:space="preserve">              </w:t>
      </w:r>
      <w:r w:rsidR="009E2677">
        <w:rPr>
          <w:rFonts w:ascii="Times New Roman" w:hAnsi="Times New Roman"/>
          <w:sz w:val="24"/>
          <w:szCs w:val="24"/>
        </w:rPr>
        <w:t xml:space="preserve">   </w:t>
      </w:r>
      <w:r>
        <w:rPr>
          <w:rFonts w:ascii="Times New Roman" w:hAnsi="Times New Roman"/>
          <w:sz w:val="24"/>
          <w:szCs w:val="24"/>
        </w:rPr>
        <w:t xml:space="preserve">      (</w:t>
      </w:r>
      <w:r w:rsidR="00512806">
        <w:rPr>
          <w:rFonts w:ascii="Times New Roman" w:hAnsi="Times New Roman"/>
          <w:sz w:val="24"/>
          <w:szCs w:val="24"/>
        </w:rPr>
        <w:t>10</w:t>
      </w:r>
      <w:r>
        <w:rPr>
          <w:rFonts w:ascii="Times New Roman" w:hAnsi="Times New Roman"/>
          <w:sz w:val="24"/>
          <w:szCs w:val="24"/>
        </w:rPr>
        <w:t>)</w:t>
      </w:r>
    </w:p>
    <w:p w:rsidR="000D2E85" w:rsidRDefault="000D2E85" w:rsidP="000D2E85">
      <w:pPr>
        <w:spacing w:after="0" w:line="600" w:lineRule="exact"/>
        <w:jc w:val="both"/>
        <w:rPr>
          <w:rFonts w:ascii="Times New Roman" w:hAnsi="Times New Roman"/>
          <w:sz w:val="24"/>
          <w:szCs w:val="24"/>
          <w:lang w:eastAsia="zh-CN"/>
        </w:rPr>
      </w:pPr>
      <w:r>
        <w:rPr>
          <w:rFonts w:ascii="Times New Roman" w:hAnsi="Times New Roman"/>
          <w:sz w:val="24"/>
          <w:szCs w:val="24"/>
        </w:rPr>
        <w:t>Where</w:t>
      </w:r>
      <w:r>
        <w:rPr>
          <w:rFonts w:ascii="Times New Roman" w:hAnsi="Times New Roman"/>
          <w:sz w:val="24"/>
          <w:szCs w:val="24"/>
          <w:lang w:eastAsia="zh-CN"/>
        </w:rPr>
        <w:t xml:space="preserve"> </w:t>
      </w:r>
      <w:r>
        <w:rPr>
          <w:rFonts w:ascii="Times New Roman" w:hAnsi="Times New Roman"/>
          <w:position w:val="-12"/>
          <w:sz w:val="24"/>
          <w:szCs w:val="24"/>
        </w:rPr>
        <w:object w:dxaOrig="345" w:dyaOrig="375">
          <v:shape id="_x0000_i1083" type="#_x0000_t75" style="width:17.25pt;height:19.5pt" o:ole="">
            <v:imagedata r:id="rId120" o:title=""/>
          </v:shape>
          <o:OLEObject Type="Embed" ProgID="Equation.DSMT4" ShapeID="_x0000_i1083" DrawAspect="Content" ObjectID="_1637920059" r:id="rId121"/>
        </w:object>
      </w:r>
      <w:r>
        <w:rPr>
          <w:rFonts w:ascii="Times New Roman" w:hAnsi="Times New Roman"/>
          <w:sz w:val="24"/>
          <w:szCs w:val="24"/>
          <w:lang w:eastAsia="zh-CN"/>
        </w:rPr>
        <w:t xml:space="preserve"> </w:t>
      </w:r>
      <w:r>
        <w:rPr>
          <w:rFonts w:ascii="Times New Roman" w:hAnsi="Times New Roman"/>
          <w:sz w:val="24"/>
          <w:szCs w:val="24"/>
        </w:rPr>
        <w:t xml:space="preserve">is the VAR parameter </w:t>
      </w:r>
      <w:r>
        <w:rPr>
          <w:rFonts w:ascii="Times New Roman" w:hAnsi="Times New Roman"/>
          <w:sz w:val="24"/>
          <w:szCs w:val="24"/>
          <w:lang w:eastAsia="zh-CN"/>
        </w:rPr>
        <w:t xml:space="preserve">matrix </w:t>
      </w:r>
      <w:r>
        <w:rPr>
          <w:rFonts w:ascii="Times New Roman" w:hAnsi="Times New Roman"/>
          <w:sz w:val="24"/>
          <w:szCs w:val="24"/>
        </w:rPr>
        <w:t>in regime</w:t>
      </w:r>
      <w:r>
        <w:rPr>
          <w:rFonts w:ascii="Times New Roman" w:hAnsi="Times New Roman"/>
          <w:sz w:val="24"/>
          <w:szCs w:val="24"/>
          <w:lang w:eastAsia="zh-CN"/>
        </w:rPr>
        <w:t xml:space="preserve"> </w:t>
      </w:r>
      <w:r>
        <w:rPr>
          <w:rFonts w:ascii="Times New Roman" w:hAnsi="Times New Roman"/>
          <w:position w:val="-14"/>
          <w:sz w:val="24"/>
          <w:szCs w:val="24"/>
        </w:rPr>
        <w:object w:dxaOrig="1320" w:dyaOrig="405">
          <v:shape id="_x0000_i1084" type="#_x0000_t75" style="width:66pt;height:20.25pt" o:ole="">
            <v:imagedata r:id="rId122" o:title=""/>
          </v:shape>
          <o:OLEObject Type="Embed" ProgID="Equation.DSMT4" ShapeID="_x0000_i1084" DrawAspect="Content" ObjectID="_1637920060" r:id="rId123"/>
        </w:object>
      </w:r>
      <w:r>
        <w:rPr>
          <w:rFonts w:ascii="Times New Roman" w:hAnsi="Times New Roman"/>
          <w:sz w:val="24"/>
          <w:szCs w:val="24"/>
        </w:rPr>
        <w:t xml:space="preserve"> and </w:t>
      </w:r>
      <w:r>
        <w:rPr>
          <w:rFonts w:ascii="Times New Roman" w:hAnsi="Times New Roman"/>
          <w:position w:val="-12"/>
          <w:sz w:val="24"/>
          <w:szCs w:val="24"/>
        </w:rPr>
        <w:object w:dxaOrig="480" w:dyaOrig="375">
          <v:shape id="_x0000_i1085" type="#_x0000_t75" style="width:24pt;height:19.5pt" o:ole="">
            <v:imagedata r:id="rId124" o:title=""/>
          </v:shape>
          <o:OLEObject Type="Embed" ProgID="Equation.DSMT4" ShapeID="_x0000_i1085" DrawAspect="Content" ObjectID="_1637920061" r:id="rId125"/>
        </w:object>
      </w:r>
      <w:r>
        <w:rPr>
          <w:rFonts w:ascii="Times New Roman" w:hAnsi="Times New Roman"/>
          <w:sz w:val="24"/>
          <w:szCs w:val="24"/>
        </w:rPr>
        <w:t xml:space="preserve"> are the observations </w:t>
      </w:r>
      <w:r>
        <w:rPr>
          <w:rFonts w:ascii="Times New Roman" w:hAnsi="Times New Roman"/>
          <w:position w:val="-20"/>
          <w:sz w:val="24"/>
          <w:szCs w:val="24"/>
        </w:rPr>
        <w:object w:dxaOrig="885" w:dyaOrig="690">
          <v:shape id="_x0000_i1086" type="#_x0000_t75" style="width:44.25pt;height:34.5pt" o:ole="">
            <v:imagedata r:id="rId126" o:title=""/>
          </v:shape>
          <o:OLEObject Type="Embed" ProgID="Equation.DSMT4" ShapeID="_x0000_i1086" DrawAspect="Content" ObjectID="_1637920062" r:id="rId127"/>
        </w:object>
      </w:r>
      <w:r>
        <w:rPr>
          <w:rFonts w:ascii="Times New Roman" w:hAnsi="Times New Roman"/>
          <w:sz w:val="24"/>
          <w:szCs w:val="24"/>
        </w:rPr>
        <w:t xml:space="preserve">. </w:t>
      </w:r>
      <w:r w:rsidR="00E270AA">
        <w:rPr>
          <w:rFonts w:ascii="Times New Roman" w:hAnsi="Times New Roman"/>
          <w:sz w:val="24"/>
          <w:szCs w:val="24"/>
        </w:rPr>
        <w:t xml:space="preserve"> </w:t>
      </w:r>
      <w:r>
        <w:rPr>
          <w:rFonts w:ascii="Times New Roman" w:hAnsi="Times New Roman"/>
          <w:sz w:val="24"/>
          <w:szCs w:val="24"/>
        </w:rPr>
        <w:t>Therefore, given a regime</w:t>
      </w:r>
      <w:r>
        <w:rPr>
          <w:rFonts w:ascii="Times New Roman" w:hAnsi="Times New Roman"/>
          <w:sz w:val="24"/>
          <w:szCs w:val="24"/>
          <w:lang w:eastAsia="zh-CN"/>
        </w:rPr>
        <w:t xml:space="preserve"> </w:t>
      </w:r>
      <w:r>
        <w:rPr>
          <w:rFonts w:ascii="Times New Roman" w:hAnsi="Times New Roman"/>
          <w:position w:val="-12"/>
          <w:sz w:val="24"/>
          <w:szCs w:val="24"/>
        </w:rPr>
        <w:object w:dxaOrig="225" w:dyaOrig="345">
          <v:shape id="_x0000_i1087" type="#_x0000_t75" style="width:11.25pt;height:17.25pt" o:ole="">
            <v:imagedata r:id="rId128" o:title=""/>
          </v:shape>
          <o:OLEObject Type="Embed" ProgID="Equation.DSMT4" ShapeID="_x0000_i1087" DrawAspect="Content" ObjectID="_1637920063" r:id="rId129"/>
        </w:object>
      </w:r>
      <w:r>
        <w:rPr>
          <w:rFonts w:ascii="Times New Roman" w:hAnsi="Times New Roman"/>
          <w:sz w:val="24"/>
          <w:szCs w:val="24"/>
        </w:rPr>
        <w:t xml:space="preserve">, the conditional </w:t>
      </w:r>
      <w:r>
        <w:rPr>
          <w:rFonts w:ascii="Times New Roman" w:hAnsi="Times New Roman"/>
          <w:position w:val="-16"/>
          <w:sz w:val="24"/>
          <w:szCs w:val="24"/>
        </w:rPr>
        <w:object w:dxaOrig="1485" w:dyaOrig="435">
          <v:shape id="_x0000_i1088" type="#_x0000_t75" style="width:74.25pt;height:22.5pt" o:ole="">
            <v:imagedata r:id="rId130" o:title=""/>
          </v:shape>
          <o:OLEObject Type="Embed" ProgID="Equation.DSMT4" ShapeID="_x0000_i1088" DrawAspect="Content" ObjectID="_1637920064" r:id="rId131"/>
        </w:object>
      </w:r>
      <w:r>
        <w:rPr>
          <w:rFonts w:ascii="Times New Roman" w:hAnsi="Times New Roman"/>
          <w:sz w:val="24"/>
          <w:szCs w:val="24"/>
          <w:lang w:eastAsia="zh-CN"/>
        </w:rPr>
        <w:t xml:space="preserve"> </w:t>
      </w:r>
      <w:r>
        <w:rPr>
          <w:rFonts w:ascii="Times New Roman" w:hAnsi="Times New Roman"/>
          <w:sz w:val="24"/>
          <w:szCs w:val="24"/>
        </w:rPr>
        <w:t>system in expectation form can be written as:</w:t>
      </w:r>
    </w:p>
    <w:p w:rsidR="000D2E85" w:rsidRDefault="000D2E85" w:rsidP="000D2E85">
      <w:pPr>
        <w:spacing w:after="0" w:line="300" w:lineRule="atLeast"/>
        <w:jc w:val="right"/>
        <w:rPr>
          <w:rFonts w:ascii="Times New Roman" w:hAnsi="Times New Roman"/>
          <w:sz w:val="24"/>
          <w:szCs w:val="24"/>
        </w:rPr>
      </w:pPr>
      <w:r>
        <w:rPr>
          <w:rFonts w:ascii="Times New Roman" w:hAnsi="Times New Roman"/>
          <w:position w:val="-30"/>
          <w:sz w:val="24"/>
          <w:szCs w:val="24"/>
        </w:rPr>
        <w:object w:dxaOrig="4590" w:dyaOrig="705">
          <v:shape id="_x0000_i1089" type="#_x0000_t75" style="width:229.5pt;height:35.25pt" o:ole="">
            <v:imagedata r:id="rId132" o:title=""/>
          </v:shape>
          <o:OLEObject Type="Embed" ProgID="Equation.DSMT4" ShapeID="_x0000_i1089" DrawAspect="Content" ObjectID="_1637920065" r:id="rId133"/>
        </w:object>
      </w:r>
      <w:r>
        <w:rPr>
          <w:rFonts w:ascii="Times New Roman" w:hAnsi="Times New Roman"/>
          <w:sz w:val="24"/>
          <w:szCs w:val="24"/>
        </w:rPr>
        <w:t xml:space="preserve">        </w:t>
      </w:r>
      <w:r w:rsidR="000E6ED6">
        <w:rPr>
          <w:rFonts w:ascii="Times New Roman" w:hAnsi="Times New Roman"/>
          <w:sz w:val="24"/>
          <w:szCs w:val="24"/>
        </w:rPr>
        <w:t xml:space="preserve">  </w:t>
      </w:r>
      <w:r w:rsidR="009E2677">
        <w:rPr>
          <w:rFonts w:ascii="Times New Roman" w:hAnsi="Times New Roman"/>
          <w:sz w:val="24"/>
          <w:szCs w:val="24"/>
        </w:rPr>
        <w:t xml:space="preserve">    </w:t>
      </w:r>
      <w:r w:rsidR="00242F68">
        <w:rPr>
          <w:rFonts w:ascii="Times New Roman" w:hAnsi="Times New Roman"/>
          <w:sz w:val="24"/>
          <w:szCs w:val="24"/>
        </w:rPr>
        <w:t xml:space="preserve"> </w:t>
      </w:r>
      <w:r>
        <w:rPr>
          <w:rFonts w:ascii="Times New Roman" w:hAnsi="Times New Roman"/>
          <w:sz w:val="24"/>
          <w:szCs w:val="24"/>
        </w:rPr>
        <w:t xml:space="preserve">     (</w:t>
      </w:r>
      <w:r w:rsidR="00CD1D7D">
        <w:rPr>
          <w:rFonts w:ascii="Times New Roman" w:hAnsi="Times New Roman"/>
          <w:sz w:val="24"/>
          <w:szCs w:val="24"/>
        </w:rPr>
        <w:t>1</w:t>
      </w:r>
      <w:r w:rsidR="00512806">
        <w:rPr>
          <w:rFonts w:ascii="Times New Roman" w:hAnsi="Times New Roman"/>
          <w:sz w:val="24"/>
          <w:szCs w:val="24"/>
        </w:rPr>
        <w:t>1</w:t>
      </w:r>
      <w:r>
        <w:rPr>
          <w:rFonts w:ascii="Times New Roman" w:hAnsi="Times New Roman"/>
          <w:sz w:val="24"/>
          <w:szCs w:val="24"/>
        </w:rPr>
        <w:t>)</w:t>
      </w:r>
    </w:p>
    <w:p w:rsidR="000D2E85" w:rsidRDefault="000D2E85" w:rsidP="006A1126">
      <w:pPr>
        <w:spacing w:after="0" w:line="300" w:lineRule="atLeast"/>
        <w:jc w:val="both"/>
        <w:rPr>
          <w:rFonts w:ascii="Times New Roman" w:hAnsi="Times New Roman"/>
          <w:sz w:val="24"/>
          <w:szCs w:val="24"/>
          <w:lang w:eastAsia="zh-CN"/>
        </w:rPr>
      </w:pPr>
      <w:r>
        <w:rPr>
          <w:rFonts w:ascii="Times New Roman" w:hAnsi="Times New Roman"/>
          <w:sz w:val="24"/>
          <w:szCs w:val="24"/>
        </w:rPr>
        <w:t>We define the innovation term as:</w:t>
      </w:r>
    </w:p>
    <w:p w:rsidR="000D2E85" w:rsidRDefault="000D2E85" w:rsidP="000D2E85">
      <w:pPr>
        <w:spacing w:afterLines="50" w:after="120" w:line="300" w:lineRule="exact"/>
        <w:jc w:val="right"/>
        <w:rPr>
          <w:rFonts w:ascii="Times New Roman" w:hAnsi="Times New Roman"/>
          <w:sz w:val="24"/>
          <w:szCs w:val="24"/>
        </w:rPr>
      </w:pPr>
      <w:r>
        <w:rPr>
          <w:rFonts w:ascii="Times New Roman" w:hAnsi="Times New Roman"/>
          <w:position w:val="-16"/>
          <w:sz w:val="24"/>
          <w:szCs w:val="24"/>
        </w:rPr>
        <w:object w:dxaOrig="2220" w:dyaOrig="435">
          <v:shape id="_x0000_i1090" type="#_x0000_t75" style="width:111pt;height:22.5pt" o:ole="">
            <v:imagedata r:id="rId134" o:title=""/>
          </v:shape>
          <o:OLEObject Type="Embed" ProgID="Equation.DSMT4" ShapeID="_x0000_i1090" DrawAspect="Content" ObjectID="_1637920066" r:id="rId135"/>
        </w:object>
      </w:r>
      <w:r>
        <w:rPr>
          <w:rFonts w:ascii="Times New Roman" w:hAnsi="Times New Roman"/>
          <w:sz w:val="24"/>
          <w:szCs w:val="24"/>
        </w:rPr>
        <w:t xml:space="preserve">                </w:t>
      </w:r>
      <w:r w:rsidR="009E2677">
        <w:rPr>
          <w:rFonts w:ascii="Times New Roman" w:hAnsi="Times New Roman"/>
          <w:sz w:val="24"/>
          <w:szCs w:val="24"/>
        </w:rPr>
        <w:t xml:space="preserve">  </w:t>
      </w:r>
      <w:r>
        <w:rPr>
          <w:rFonts w:ascii="Times New Roman" w:hAnsi="Times New Roman"/>
          <w:sz w:val="24"/>
          <w:szCs w:val="24"/>
        </w:rPr>
        <w:t xml:space="preserve"> </w:t>
      </w:r>
      <w:r w:rsidR="009E2677">
        <w:rPr>
          <w:rFonts w:ascii="Times New Roman" w:hAnsi="Times New Roman"/>
          <w:sz w:val="24"/>
          <w:szCs w:val="24"/>
        </w:rPr>
        <w:t xml:space="preserve">   </w:t>
      </w:r>
      <w:r w:rsidR="00242F68">
        <w:rPr>
          <w:rFonts w:ascii="Times New Roman" w:hAnsi="Times New Roman"/>
          <w:sz w:val="24"/>
          <w:szCs w:val="24"/>
        </w:rPr>
        <w:t xml:space="preserve"> </w:t>
      </w:r>
      <w:r>
        <w:rPr>
          <w:rFonts w:ascii="Times New Roman" w:hAnsi="Times New Roman"/>
          <w:sz w:val="24"/>
          <w:szCs w:val="24"/>
        </w:rPr>
        <w:t xml:space="preserve"> </w:t>
      </w:r>
      <w:r w:rsidR="000E6ED6">
        <w:rPr>
          <w:rFonts w:ascii="Times New Roman" w:hAnsi="Times New Roman"/>
          <w:sz w:val="24"/>
          <w:szCs w:val="24"/>
        </w:rPr>
        <w:t xml:space="preserve">     </w:t>
      </w:r>
      <w:r>
        <w:rPr>
          <w:rFonts w:ascii="Times New Roman" w:hAnsi="Times New Roman"/>
          <w:sz w:val="24"/>
          <w:szCs w:val="24"/>
        </w:rPr>
        <w:t xml:space="preserve">    (</w:t>
      </w:r>
      <w:r w:rsidR="00CD1D7D">
        <w:rPr>
          <w:rFonts w:ascii="Times New Roman" w:hAnsi="Times New Roman"/>
          <w:sz w:val="24"/>
          <w:szCs w:val="24"/>
        </w:rPr>
        <w:t>1</w:t>
      </w:r>
      <w:r w:rsidR="00512806">
        <w:rPr>
          <w:rFonts w:ascii="Times New Roman" w:hAnsi="Times New Roman"/>
          <w:sz w:val="24"/>
          <w:szCs w:val="24"/>
        </w:rPr>
        <w:t>2</w:t>
      </w:r>
      <w:r>
        <w:rPr>
          <w:rFonts w:ascii="Times New Roman" w:hAnsi="Times New Roman"/>
          <w:sz w:val="24"/>
          <w:szCs w:val="24"/>
        </w:rPr>
        <w:t>)</w:t>
      </w:r>
    </w:p>
    <w:p w:rsidR="000D2E85" w:rsidRDefault="000D2E85" w:rsidP="006A1126">
      <w:pPr>
        <w:spacing w:after="0" w:line="320" w:lineRule="exact"/>
        <w:jc w:val="both"/>
        <w:rPr>
          <w:rFonts w:ascii="Times New Roman" w:hAnsi="Times New Roman"/>
          <w:spacing w:val="14"/>
          <w:sz w:val="24"/>
          <w:szCs w:val="24"/>
          <w:lang w:eastAsia="zh-CN"/>
        </w:rPr>
      </w:pPr>
      <w:r>
        <w:rPr>
          <w:rFonts w:ascii="Times New Roman" w:hAnsi="Times New Roman"/>
          <w:spacing w:val="14"/>
          <w:sz w:val="24"/>
          <w:szCs w:val="24"/>
        </w:rPr>
        <w:t>The innovation process</w:t>
      </w:r>
      <w:r>
        <w:rPr>
          <w:rFonts w:ascii="Times New Roman" w:hAnsi="Times New Roman"/>
          <w:spacing w:val="14"/>
          <w:sz w:val="24"/>
          <w:szCs w:val="24"/>
          <w:lang w:eastAsia="zh-CN"/>
        </w:rPr>
        <w:t xml:space="preserve"> </w:t>
      </w:r>
      <w:r>
        <w:rPr>
          <w:rFonts w:ascii="Times New Roman" w:hAnsi="Times New Roman"/>
          <w:spacing w:val="14"/>
          <w:position w:val="-12"/>
          <w:sz w:val="24"/>
          <w:szCs w:val="24"/>
        </w:rPr>
        <w:object w:dxaOrig="240" w:dyaOrig="375">
          <v:shape id="_x0000_i1091" type="#_x0000_t75" style="width:12pt;height:19.5pt" o:ole="">
            <v:imagedata r:id="rId136" o:title=""/>
          </v:shape>
          <o:OLEObject Type="Embed" ProgID="Equation.DSMT4" ShapeID="_x0000_i1091" DrawAspect="Content" ObjectID="_1637920067" r:id="rId137"/>
        </w:object>
      </w:r>
      <w:r>
        <w:rPr>
          <w:rFonts w:ascii="Times New Roman" w:hAnsi="Times New Roman"/>
          <w:spacing w:val="14"/>
          <w:sz w:val="24"/>
          <w:szCs w:val="24"/>
        </w:rPr>
        <w:t xml:space="preserve"> is a Gaussian, zero-mean white noise process having variance-covariance matrix</w:t>
      </w:r>
      <w:r>
        <w:rPr>
          <w:rFonts w:ascii="Times New Roman" w:hAnsi="Times New Roman"/>
          <w:spacing w:val="14"/>
          <w:sz w:val="24"/>
          <w:szCs w:val="24"/>
          <w:lang w:eastAsia="zh-CN"/>
        </w:rPr>
        <w:t xml:space="preserve"> </w:t>
      </w:r>
      <w:r>
        <w:rPr>
          <w:rFonts w:ascii="Times New Roman" w:hAnsi="Times New Roman"/>
          <w:spacing w:val="14"/>
          <w:position w:val="-14"/>
          <w:sz w:val="24"/>
          <w:szCs w:val="24"/>
        </w:rPr>
        <w:object w:dxaOrig="615" w:dyaOrig="405">
          <v:shape id="_x0000_i1092" type="#_x0000_t75" style="width:30.75pt;height:20.25pt" o:ole="">
            <v:imagedata r:id="rId138" o:title=""/>
          </v:shape>
          <o:OLEObject Type="Embed" ProgID="Equation.DSMT4" ShapeID="_x0000_i1092" DrawAspect="Content" ObjectID="_1637920068" r:id="rId139"/>
        </w:object>
      </w:r>
      <w:r>
        <w:rPr>
          <w:rFonts w:ascii="Times New Roman" w:hAnsi="Times New Roman"/>
          <w:spacing w:val="14"/>
          <w:sz w:val="24"/>
          <w:szCs w:val="24"/>
        </w:rPr>
        <w:t>:</w:t>
      </w:r>
    </w:p>
    <w:p w:rsidR="000D2E85" w:rsidRDefault="000D2E85" w:rsidP="000D2E85">
      <w:pPr>
        <w:spacing w:after="0" w:line="320" w:lineRule="exact"/>
        <w:jc w:val="right"/>
        <w:rPr>
          <w:rFonts w:ascii="Times New Roman" w:hAnsi="Times New Roman"/>
          <w:sz w:val="24"/>
          <w:szCs w:val="24"/>
          <w:lang w:eastAsia="zh-CN"/>
        </w:rPr>
      </w:pPr>
      <w:r>
        <w:rPr>
          <w:rFonts w:ascii="Times New Roman" w:hAnsi="Times New Roman"/>
          <w:position w:val="-14"/>
          <w:sz w:val="24"/>
          <w:szCs w:val="24"/>
        </w:rPr>
        <w:object w:dxaOrig="1965" w:dyaOrig="405">
          <v:shape id="_x0000_i1093" type="#_x0000_t75" style="width:98.25pt;height:20.25pt" o:ole="">
            <v:imagedata r:id="rId140" o:title=""/>
          </v:shape>
          <o:OLEObject Type="Embed" ProgID="Equation.DSMT4" ShapeID="_x0000_i1093" DrawAspect="Content" ObjectID="_1637920069" r:id="rId141"/>
        </w:object>
      </w:r>
      <w:r>
        <w:rPr>
          <w:rFonts w:ascii="Times New Roman" w:hAnsi="Times New Roman"/>
          <w:sz w:val="24"/>
          <w:szCs w:val="24"/>
        </w:rPr>
        <w:t xml:space="preserve">                  </w:t>
      </w:r>
      <w:r w:rsidR="009E2677">
        <w:rPr>
          <w:rFonts w:ascii="Times New Roman" w:hAnsi="Times New Roman"/>
          <w:sz w:val="24"/>
          <w:szCs w:val="24"/>
        </w:rPr>
        <w:t xml:space="preserve">       </w:t>
      </w:r>
      <w:r>
        <w:rPr>
          <w:rFonts w:ascii="Times New Roman" w:hAnsi="Times New Roman"/>
          <w:sz w:val="24"/>
          <w:szCs w:val="24"/>
        </w:rPr>
        <w:t xml:space="preserve">         (</w:t>
      </w:r>
      <w:r w:rsidR="00512806">
        <w:rPr>
          <w:rFonts w:ascii="Times New Roman" w:hAnsi="Times New Roman"/>
          <w:sz w:val="24"/>
          <w:szCs w:val="24"/>
        </w:rPr>
        <w:t>13</w:t>
      </w:r>
      <w:r>
        <w:rPr>
          <w:rFonts w:ascii="Times New Roman" w:hAnsi="Times New Roman"/>
          <w:sz w:val="24"/>
          <w:szCs w:val="24"/>
        </w:rPr>
        <w:t>)</w:t>
      </w:r>
    </w:p>
    <w:p w:rsidR="000D2E85" w:rsidRDefault="000D2E85" w:rsidP="006A1126">
      <w:pPr>
        <w:spacing w:after="0" w:line="320" w:lineRule="exact"/>
        <w:jc w:val="both"/>
        <w:rPr>
          <w:position w:val="-16"/>
          <w:sz w:val="24"/>
          <w:szCs w:val="24"/>
          <w:lang w:eastAsia="zh-CN"/>
        </w:rPr>
      </w:pPr>
      <w:r>
        <w:rPr>
          <w:rFonts w:ascii="Times New Roman" w:hAnsi="Times New Roman"/>
          <w:sz w:val="24"/>
          <w:szCs w:val="24"/>
        </w:rPr>
        <w:lastRenderedPageBreak/>
        <w:t>If the</w:t>
      </w:r>
      <w:r>
        <w:rPr>
          <w:rFonts w:ascii="Times New Roman" w:hAnsi="Times New Roman"/>
          <w:sz w:val="24"/>
          <w:szCs w:val="24"/>
          <w:lang w:eastAsia="zh-CN"/>
        </w:rPr>
        <w:t xml:space="preserve"> </w:t>
      </w:r>
      <w:r>
        <w:rPr>
          <w:rFonts w:ascii="Times New Roman" w:hAnsi="Times New Roman"/>
          <w:position w:val="-16"/>
          <w:sz w:val="24"/>
          <w:szCs w:val="24"/>
        </w:rPr>
        <w:object w:dxaOrig="1485" w:dyaOrig="435">
          <v:shape id="_x0000_i1094" type="#_x0000_t75" style="width:74.25pt;height:22.5pt" o:ole="">
            <v:imagedata r:id="rId130" o:title=""/>
          </v:shape>
          <o:OLEObject Type="Embed" ProgID="Equation.DSMT4" ShapeID="_x0000_i1094" DrawAspect="Content" ObjectID="_1637920070" r:id="rId142"/>
        </w:object>
      </w:r>
      <w:r>
        <w:rPr>
          <w:rFonts w:ascii="Times New Roman" w:hAnsi="Times New Roman"/>
          <w:sz w:val="24"/>
          <w:szCs w:val="24"/>
          <w:lang w:eastAsia="zh-CN"/>
        </w:rPr>
        <w:t xml:space="preserve"> </w:t>
      </w:r>
      <w:r>
        <w:rPr>
          <w:rFonts w:ascii="Times New Roman" w:hAnsi="Times New Roman"/>
          <w:sz w:val="24"/>
          <w:szCs w:val="24"/>
        </w:rPr>
        <w:t>process is defined conditionally upon an unobservable regime</w:t>
      </w:r>
      <w:r>
        <w:rPr>
          <w:rFonts w:ascii="Times New Roman" w:hAnsi="Times New Roman"/>
          <w:sz w:val="24"/>
          <w:szCs w:val="24"/>
          <w:lang w:eastAsia="zh-CN"/>
        </w:rPr>
        <w:t xml:space="preserve"> </w:t>
      </w:r>
      <w:r>
        <w:rPr>
          <w:rFonts w:ascii="Times New Roman" w:hAnsi="Times New Roman"/>
          <w:position w:val="-12"/>
          <w:sz w:val="24"/>
          <w:szCs w:val="24"/>
        </w:rPr>
        <w:object w:dxaOrig="225" w:dyaOrig="345">
          <v:shape id="_x0000_i1095" type="#_x0000_t75" style="width:11.25pt;height:17.25pt" o:ole="">
            <v:imagedata r:id="rId128" o:title=""/>
          </v:shape>
          <o:OLEObject Type="Embed" ProgID="Equation.DSMT4" ShapeID="_x0000_i1095" DrawAspect="Content" ObjectID="_1637920071" r:id="rId143"/>
        </w:object>
      </w:r>
      <w:r>
        <w:rPr>
          <w:rFonts w:ascii="Times New Roman" w:hAnsi="Times New Roman"/>
          <w:sz w:val="24"/>
          <w:szCs w:val="24"/>
          <w:lang w:eastAsia="zh-CN"/>
        </w:rPr>
        <w:t xml:space="preserve"> </w:t>
      </w:r>
      <w:r>
        <w:rPr>
          <w:rFonts w:ascii="Times New Roman" w:hAnsi="Times New Roman"/>
          <w:sz w:val="24"/>
          <w:szCs w:val="24"/>
        </w:rPr>
        <w:t xml:space="preserve">as in </w:t>
      </w:r>
      <w:r>
        <w:rPr>
          <w:rFonts w:ascii="Times New Roman" w:hAnsi="Times New Roman"/>
          <w:spacing w:val="-6"/>
          <w:sz w:val="24"/>
          <w:szCs w:val="24"/>
          <w:lang w:eastAsia="zh-CN"/>
        </w:rPr>
        <w:t>equation</w:t>
      </w:r>
      <w:r>
        <w:rPr>
          <w:rFonts w:ascii="Times New Roman" w:hAnsi="Times New Roman"/>
          <w:spacing w:val="-6"/>
          <w:sz w:val="24"/>
          <w:szCs w:val="24"/>
        </w:rPr>
        <w:t xml:space="preserve"> (4), the description of the process generating mechanism should be made complete by spec</w:t>
      </w:r>
      <w:r>
        <w:rPr>
          <w:rFonts w:ascii="Times New Roman" w:hAnsi="Times New Roman"/>
          <w:spacing w:val="-6"/>
          <w:sz w:val="24"/>
          <w:szCs w:val="24"/>
        </w:rPr>
        <w:t>i</w:t>
      </w:r>
      <w:r>
        <w:rPr>
          <w:rFonts w:ascii="Times New Roman" w:hAnsi="Times New Roman"/>
          <w:spacing w:val="-6"/>
          <w:sz w:val="24"/>
          <w:szCs w:val="24"/>
        </w:rPr>
        <w:t xml:space="preserve">fying the stochastic </w:t>
      </w:r>
      <w:r>
        <w:rPr>
          <w:rFonts w:ascii="Times New Roman" w:hAnsi="Times New Roman"/>
          <w:sz w:val="24"/>
          <w:szCs w:val="24"/>
        </w:rPr>
        <w:t xml:space="preserve">assumption of the MS-VAR model. In this construct, </w:t>
      </w:r>
      <w:r>
        <w:rPr>
          <w:rFonts w:ascii="Times New Roman" w:hAnsi="Times New Roman"/>
          <w:position w:val="-12"/>
          <w:sz w:val="24"/>
          <w:szCs w:val="24"/>
        </w:rPr>
        <w:object w:dxaOrig="225" w:dyaOrig="345">
          <v:shape id="_x0000_i1096" type="#_x0000_t75" style="width:11.25pt;height:17.25pt" o:ole="">
            <v:imagedata r:id="rId128" o:title=""/>
          </v:shape>
          <o:OLEObject Type="Embed" ProgID="Equation.DSMT4" ShapeID="_x0000_i1096" DrawAspect="Content" ObjectID="_1637920072" r:id="rId144"/>
        </w:object>
      </w:r>
      <w:r>
        <w:rPr>
          <w:rFonts w:ascii="Times New Roman" w:hAnsi="Times New Roman"/>
          <w:sz w:val="24"/>
          <w:szCs w:val="24"/>
          <w:lang w:eastAsia="zh-CN"/>
        </w:rPr>
        <w:t xml:space="preserve"> </w:t>
      </w:r>
      <w:r>
        <w:rPr>
          <w:rFonts w:ascii="Times New Roman" w:hAnsi="Times New Roman"/>
          <w:sz w:val="24"/>
          <w:szCs w:val="24"/>
        </w:rPr>
        <w:t>follows a discrete state homogenous Markov chain:</w:t>
      </w:r>
    </w:p>
    <w:p w:rsidR="000D2E85" w:rsidRDefault="000D2E85" w:rsidP="000D2E85">
      <w:pPr>
        <w:spacing w:after="0" w:line="300" w:lineRule="atLeast"/>
        <w:jc w:val="right"/>
        <w:rPr>
          <w:rFonts w:ascii="Times New Roman" w:hAnsi="Times New Roman"/>
          <w:sz w:val="24"/>
          <w:szCs w:val="24"/>
          <w:lang w:eastAsia="zh-CN"/>
        </w:rPr>
      </w:pPr>
      <w:r>
        <w:rPr>
          <w:rFonts w:ascii="Times New Roman" w:hAnsi="Times New Roman"/>
          <w:position w:val="-24"/>
          <w:sz w:val="24"/>
          <w:szCs w:val="24"/>
        </w:rPr>
        <w:object w:dxaOrig="4005" w:dyaOrig="600">
          <v:shape id="_x0000_i1097" type="#_x0000_t75" style="width:199.5pt;height:30pt" o:ole="">
            <v:imagedata r:id="rId145" o:title=""/>
          </v:shape>
          <o:OLEObject Type="Embed" ProgID="Equation.DSMT4" ShapeID="_x0000_i1097" DrawAspect="Content" ObjectID="_1637920073" r:id="rId146"/>
        </w:object>
      </w:r>
      <w:r>
        <w:rPr>
          <w:rFonts w:ascii="Times New Roman" w:hAnsi="Times New Roman"/>
          <w:sz w:val="24"/>
          <w:szCs w:val="24"/>
        </w:rPr>
        <w:t xml:space="preserve">          </w:t>
      </w:r>
      <w:r w:rsidR="009E2677">
        <w:rPr>
          <w:rFonts w:ascii="Times New Roman" w:hAnsi="Times New Roman"/>
          <w:sz w:val="24"/>
          <w:szCs w:val="24"/>
        </w:rPr>
        <w:t xml:space="preserve">       </w:t>
      </w:r>
      <w:r w:rsidR="00896AAF">
        <w:rPr>
          <w:rFonts w:ascii="Times New Roman" w:hAnsi="Times New Roman"/>
          <w:sz w:val="24"/>
          <w:szCs w:val="24"/>
        </w:rPr>
        <w:t xml:space="preserve"> </w:t>
      </w:r>
      <w:r>
        <w:rPr>
          <w:rFonts w:ascii="Times New Roman" w:hAnsi="Times New Roman"/>
          <w:sz w:val="24"/>
          <w:szCs w:val="24"/>
        </w:rPr>
        <w:t xml:space="preserve">     (</w:t>
      </w:r>
      <w:r w:rsidR="00512806">
        <w:rPr>
          <w:rFonts w:ascii="Times New Roman" w:hAnsi="Times New Roman"/>
          <w:sz w:val="24"/>
          <w:szCs w:val="24"/>
        </w:rPr>
        <w:t>14</w:t>
      </w:r>
      <w:r>
        <w:rPr>
          <w:rFonts w:ascii="Times New Roman" w:hAnsi="Times New Roman"/>
          <w:sz w:val="24"/>
          <w:szCs w:val="24"/>
        </w:rPr>
        <w:t>)</w:t>
      </w:r>
    </w:p>
    <w:p w:rsidR="000D2E85" w:rsidRDefault="000D2E85" w:rsidP="005E5C3A">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Where</w:t>
      </w:r>
      <w:r>
        <w:rPr>
          <w:rFonts w:ascii="Times New Roman" w:hAnsi="Times New Roman"/>
          <w:sz w:val="24"/>
          <w:szCs w:val="24"/>
          <w:lang w:eastAsia="zh-CN"/>
        </w:rPr>
        <w:t xml:space="preserve"> </w:t>
      </w:r>
      <w:r>
        <w:rPr>
          <w:rFonts w:ascii="Times New Roman" w:hAnsi="Times New Roman"/>
          <w:position w:val="-10"/>
          <w:sz w:val="24"/>
          <w:szCs w:val="24"/>
        </w:rPr>
        <w:object w:dxaOrig="195" w:dyaOrig="255">
          <v:shape id="_x0000_i1098" type="#_x0000_t75" style="width:9.75pt;height:12pt" o:ole="">
            <v:imagedata r:id="rId147" o:title=""/>
          </v:shape>
          <o:OLEObject Type="Embed" ProgID="Equation.DSMT4" ShapeID="_x0000_i1098" DrawAspect="Content" ObjectID="_1637920074" r:id="rId148"/>
        </w:object>
      </w:r>
      <w:r>
        <w:rPr>
          <w:rFonts w:ascii="Times New Roman" w:hAnsi="Times New Roman"/>
          <w:sz w:val="24"/>
          <w:szCs w:val="24"/>
          <w:lang w:eastAsia="zh-CN"/>
        </w:rPr>
        <w:t xml:space="preserve"> </w:t>
      </w:r>
      <w:r>
        <w:rPr>
          <w:rFonts w:ascii="Times New Roman" w:hAnsi="Times New Roman"/>
          <w:sz w:val="24"/>
          <w:szCs w:val="24"/>
        </w:rPr>
        <w:t xml:space="preserve">denotes the parameter vector of the regime generating process. </w:t>
      </w:r>
      <w:r w:rsidR="00F043B3">
        <w:rPr>
          <w:rFonts w:ascii="Times New Roman" w:hAnsi="Times New Roman"/>
          <w:sz w:val="24"/>
          <w:szCs w:val="24"/>
        </w:rPr>
        <w:t xml:space="preserve"> </w:t>
      </w:r>
      <w:r>
        <w:rPr>
          <w:rFonts w:ascii="Times New Roman" w:hAnsi="Times New Roman"/>
          <w:sz w:val="24"/>
          <w:szCs w:val="24"/>
        </w:rPr>
        <w:t>We estimate the MS-VAR model using MSBVAR the package in R (R Development Core Team, 201</w:t>
      </w:r>
      <w:r w:rsidR="00CD1D7D">
        <w:rPr>
          <w:rFonts w:ascii="Times New Roman" w:hAnsi="Times New Roman"/>
          <w:sz w:val="24"/>
          <w:szCs w:val="24"/>
        </w:rPr>
        <w:t>9</w:t>
      </w:r>
      <w:r>
        <w:rPr>
          <w:rFonts w:ascii="Times New Roman" w:hAnsi="Times New Roman"/>
          <w:sz w:val="24"/>
          <w:szCs w:val="24"/>
        </w:rPr>
        <w:t>)</w:t>
      </w:r>
      <w:r>
        <w:rPr>
          <w:rFonts w:ascii="Times New Roman" w:hAnsi="Times New Roman"/>
          <w:sz w:val="24"/>
          <w:szCs w:val="24"/>
          <w:lang w:eastAsia="zh-CN"/>
        </w:rPr>
        <w:t xml:space="preserve">. </w:t>
      </w:r>
      <w:r w:rsidR="00F043B3">
        <w:rPr>
          <w:rFonts w:ascii="Times New Roman" w:hAnsi="Times New Roman"/>
          <w:sz w:val="24"/>
          <w:szCs w:val="24"/>
          <w:lang w:eastAsia="zh-CN"/>
        </w:rPr>
        <w:t xml:space="preserve"> </w:t>
      </w:r>
      <w:r>
        <w:rPr>
          <w:rFonts w:ascii="Times New Roman" w:hAnsi="Times New Roman"/>
          <w:sz w:val="24"/>
          <w:szCs w:val="24"/>
          <w:lang w:eastAsia="zh-CN"/>
        </w:rPr>
        <w:t xml:space="preserve">Finally note that in the remainder of the document outside this section we will use the acronyms VAR and </w:t>
      </w:r>
      <w:r>
        <w:rPr>
          <w:rFonts w:ascii="Times New Roman" w:hAnsi="Times New Roman"/>
          <w:sz w:val="24"/>
          <w:szCs w:val="24"/>
        </w:rPr>
        <w:t>MS-VAR instead of VARX and MS-VARX to refer to our competing modeling methodologies.</w:t>
      </w:r>
    </w:p>
    <w:p w:rsidR="005E5C3A" w:rsidRDefault="005E5C3A" w:rsidP="005E5C3A">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We close out this section by commenting on a view of this methodology from a model validation of conceptual soundness perspective.  We would submit that for CECL purposes, and in a top-down modeling setting (i.e., where the target variables are losses in modeling segments, as opposed to loan or obligor level risk factors like LGD or PD, respectively), that the VAR or MS-VAR methodology is fit-for-purpose.  These techniques are well understood by the academic and practitioner communities, and have been widely used in the industry for credit modeling purposes including CCAR, so that such techniques are rather suitable for CECL modeling.  That said, in validating these models we need to be mindful of whether the model code is correct and well-constructed, and that assumptions of these statistical models are satisfied.  Indeed, in our model development process, we have followed industry and SR 11-7 standards in testing our model code and the assumptions of the econometric model</w:t>
      </w:r>
      <w:r w:rsidR="00404118">
        <w:rPr>
          <w:rFonts w:ascii="Times New Roman" w:hAnsi="Times New Roman"/>
          <w:sz w:val="24"/>
          <w:szCs w:val="24"/>
        </w:rPr>
        <w:t>s</w:t>
      </w:r>
      <w:r>
        <w:rPr>
          <w:rFonts w:ascii="Times New Roman" w:hAnsi="Times New Roman"/>
          <w:sz w:val="24"/>
          <w:szCs w:val="24"/>
        </w:rPr>
        <w:t>, including supporting diagnostics such as sensitivity and stress testing of the models</w:t>
      </w:r>
      <w:r w:rsidR="00710D30">
        <w:rPr>
          <w:rFonts w:ascii="Times New Roman" w:hAnsi="Times New Roman"/>
          <w:sz w:val="24"/>
          <w:szCs w:val="24"/>
        </w:rPr>
        <w:t>; and the construction of challenger models</w:t>
      </w:r>
      <w:r w:rsidR="00710D30">
        <w:rPr>
          <w:rStyle w:val="FootnoteReference"/>
          <w:rFonts w:ascii="Times New Roman" w:hAnsi="Times New Roman"/>
          <w:sz w:val="24"/>
          <w:szCs w:val="24"/>
        </w:rPr>
        <w:footnoteReference w:id="7"/>
      </w:r>
      <w:r>
        <w:rPr>
          <w:rFonts w:ascii="Times New Roman" w:hAnsi="Times New Roman"/>
          <w:sz w:val="24"/>
          <w:szCs w:val="24"/>
        </w:rPr>
        <w:t>.</w:t>
      </w:r>
      <w:r w:rsidR="00710D30">
        <w:rPr>
          <w:rFonts w:ascii="Times New Roman" w:hAnsi="Times New Roman"/>
          <w:sz w:val="24"/>
          <w:szCs w:val="24"/>
        </w:rPr>
        <w:t xml:space="preserve">  </w:t>
      </w:r>
      <w:r>
        <w:rPr>
          <w:rFonts w:ascii="Times New Roman" w:hAnsi="Times New Roman"/>
          <w:sz w:val="24"/>
          <w:szCs w:val="24"/>
        </w:rPr>
        <w:t xml:space="preserve">  </w:t>
      </w:r>
    </w:p>
    <w:p w:rsidR="005E5C3A" w:rsidRDefault="005E5C3A" w:rsidP="005E5C3A">
      <w:pPr>
        <w:spacing w:before="100" w:beforeAutospacing="1" w:after="100" w:afterAutospacing="1" w:line="240" w:lineRule="auto"/>
        <w:jc w:val="both"/>
        <w:rPr>
          <w:rFonts w:ascii="Times New Roman" w:hAnsi="Times New Roman"/>
          <w:sz w:val="24"/>
          <w:szCs w:val="24"/>
        </w:rPr>
      </w:pPr>
    </w:p>
    <w:p w:rsidR="00210242" w:rsidRDefault="0090183F" w:rsidP="005E5C3A">
      <w:pPr>
        <w:rPr>
          <w:rFonts w:ascii="Times New Roman" w:hAnsi="Times New Roman"/>
          <w:b/>
          <w:sz w:val="28"/>
          <w:szCs w:val="28"/>
        </w:rPr>
      </w:pPr>
      <w:r>
        <w:rPr>
          <w:rFonts w:ascii="Times New Roman" w:hAnsi="Times New Roman"/>
          <w:b/>
          <w:sz w:val="28"/>
          <w:szCs w:val="28"/>
        </w:rPr>
        <w:t>5</w:t>
      </w:r>
      <w:r w:rsidR="00210242" w:rsidRPr="00014971">
        <w:rPr>
          <w:rFonts w:ascii="Times New Roman" w:hAnsi="Times New Roman"/>
          <w:b/>
          <w:sz w:val="28"/>
          <w:szCs w:val="28"/>
        </w:rPr>
        <w:tab/>
      </w:r>
      <w:r w:rsidR="00710D30">
        <w:rPr>
          <w:rFonts w:ascii="Times New Roman" w:hAnsi="Times New Roman"/>
          <w:b/>
          <w:sz w:val="28"/>
          <w:szCs w:val="28"/>
        </w:rPr>
        <w:t xml:space="preserve">Example of CECL </w:t>
      </w:r>
      <w:r w:rsidR="00612278">
        <w:rPr>
          <w:rFonts w:ascii="Times New Roman" w:hAnsi="Times New Roman"/>
          <w:b/>
          <w:sz w:val="28"/>
          <w:szCs w:val="28"/>
        </w:rPr>
        <w:t xml:space="preserve">Model </w:t>
      </w:r>
      <w:r w:rsidR="00710D30">
        <w:rPr>
          <w:rFonts w:ascii="Times New Roman" w:hAnsi="Times New Roman"/>
          <w:b/>
          <w:sz w:val="28"/>
          <w:szCs w:val="28"/>
        </w:rPr>
        <w:t xml:space="preserve">Development </w:t>
      </w:r>
      <w:r w:rsidR="00612278">
        <w:rPr>
          <w:rFonts w:ascii="Times New Roman" w:hAnsi="Times New Roman"/>
          <w:b/>
          <w:sz w:val="28"/>
          <w:szCs w:val="28"/>
        </w:rPr>
        <w:t xml:space="preserve">Validation: Analysis of </w:t>
      </w:r>
      <w:r w:rsidR="00710D30">
        <w:rPr>
          <w:rFonts w:ascii="Times New Roman" w:hAnsi="Times New Roman"/>
          <w:b/>
          <w:sz w:val="28"/>
          <w:szCs w:val="28"/>
        </w:rPr>
        <w:t xml:space="preserve">Model </w:t>
      </w:r>
      <w:r w:rsidR="00210242">
        <w:rPr>
          <w:rFonts w:ascii="Times New Roman" w:hAnsi="Times New Roman"/>
          <w:b/>
          <w:sz w:val="28"/>
          <w:szCs w:val="28"/>
        </w:rPr>
        <w:t>Data</w:t>
      </w:r>
      <w:r w:rsidR="00710D30">
        <w:rPr>
          <w:rFonts w:ascii="Times New Roman" w:hAnsi="Times New Roman"/>
          <w:b/>
          <w:sz w:val="28"/>
          <w:szCs w:val="28"/>
        </w:rPr>
        <w:t>, Estimation</w:t>
      </w:r>
      <w:r w:rsidR="00210242">
        <w:rPr>
          <w:rFonts w:ascii="Times New Roman" w:hAnsi="Times New Roman"/>
          <w:b/>
          <w:sz w:val="28"/>
          <w:szCs w:val="28"/>
        </w:rPr>
        <w:t xml:space="preserve"> Results</w:t>
      </w:r>
      <w:r w:rsidR="00710D30">
        <w:rPr>
          <w:rFonts w:ascii="Times New Roman" w:hAnsi="Times New Roman"/>
          <w:b/>
          <w:sz w:val="28"/>
          <w:szCs w:val="28"/>
        </w:rPr>
        <w:t xml:space="preserve">, Challengers and </w:t>
      </w:r>
      <w:r w:rsidR="00C746A7">
        <w:rPr>
          <w:rFonts w:ascii="Times New Roman" w:hAnsi="Times New Roman"/>
          <w:b/>
          <w:sz w:val="28"/>
          <w:szCs w:val="28"/>
        </w:rPr>
        <w:t>Performance Testing</w:t>
      </w:r>
    </w:p>
    <w:p w:rsidR="001D11BD" w:rsidRPr="001D11BD" w:rsidRDefault="00946D19" w:rsidP="001D11BD">
      <w:pPr>
        <w:spacing w:line="240" w:lineRule="auto"/>
        <w:jc w:val="both"/>
        <w:rPr>
          <w:rFonts w:ascii="Times New Roman" w:hAnsi="Times New Roman"/>
          <w:sz w:val="24"/>
          <w:szCs w:val="24"/>
        </w:rPr>
      </w:pPr>
      <w:r>
        <w:rPr>
          <w:rFonts w:ascii="Times New Roman" w:hAnsi="Times New Roman"/>
          <w:sz w:val="24"/>
          <w:szCs w:val="24"/>
        </w:rPr>
        <w:t>T</w:t>
      </w:r>
      <w:r w:rsidR="009F20A1">
        <w:rPr>
          <w:rFonts w:ascii="Times New Roman" w:hAnsi="Times New Roman"/>
          <w:sz w:val="24"/>
          <w:szCs w:val="24"/>
        </w:rPr>
        <w:t>he</w:t>
      </w:r>
      <w:r w:rsidR="002E4B3C">
        <w:rPr>
          <w:rFonts w:ascii="Times New Roman" w:hAnsi="Times New Roman"/>
          <w:sz w:val="24"/>
          <w:szCs w:val="24"/>
        </w:rPr>
        <w:t xml:space="preserve"> </w:t>
      </w:r>
      <w:r w:rsidR="005135A9" w:rsidRPr="005135A9">
        <w:rPr>
          <w:rFonts w:ascii="Times New Roman" w:hAnsi="Times New Roman"/>
          <w:sz w:val="24"/>
          <w:szCs w:val="24"/>
        </w:rPr>
        <w:t xml:space="preserve">data </w:t>
      </w:r>
      <w:r>
        <w:rPr>
          <w:rFonts w:ascii="Times New Roman" w:hAnsi="Times New Roman"/>
          <w:sz w:val="24"/>
          <w:szCs w:val="24"/>
        </w:rPr>
        <w:t xml:space="preserve">in this empirical estimation exercise </w:t>
      </w:r>
      <w:r w:rsidR="005135A9" w:rsidRPr="005135A9">
        <w:rPr>
          <w:rFonts w:ascii="Times New Roman" w:hAnsi="Times New Roman"/>
          <w:sz w:val="24"/>
          <w:szCs w:val="24"/>
        </w:rPr>
        <w:t xml:space="preserve">are </w:t>
      </w:r>
      <w:r w:rsidR="005135A9">
        <w:rPr>
          <w:rFonts w:ascii="Times New Roman" w:hAnsi="Times New Roman"/>
          <w:sz w:val="24"/>
          <w:szCs w:val="24"/>
        </w:rPr>
        <w:t>sourced</w:t>
      </w:r>
      <w:r w:rsidR="005135A9" w:rsidRPr="005135A9">
        <w:rPr>
          <w:rFonts w:ascii="Times New Roman" w:hAnsi="Times New Roman"/>
          <w:sz w:val="24"/>
          <w:szCs w:val="24"/>
        </w:rPr>
        <w:t xml:space="preserve"> from </w:t>
      </w:r>
      <w:r w:rsidR="005135A9">
        <w:rPr>
          <w:rFonts w:ascii="Times New Roman" w:hAnsi="Times New Roman"/>
          <w:sz w:val="24"/>
          <w:szCs w:val="24"/>
        </w:rPr>
        <w:t xml:space="preserve">the </w:t>
      </w:r>
      <w:r w:rsidR="005135A9" w:rsidRPr="005135A9">
        <w:rPr>
          <w:rFonts w:ascii="Times New Roman" w:hAnsi="Times New Roman"/>
          <w:i/>
          <w:sz w:val="24"/>
          <w:szCs w:val="24"/>
        </w:rPr>
        <w:t>Statistics on Depository I</w:t>
      </w:r>
      <w:r w:rsidR="005135A9" w:rsidRPr="005135A9">
        <w:rPr>
          <w:rFonts w:ascii="Times New Roman" w:hAnsi="Times New Roman"/>
          <w:i/>
          <w:sz w:val="24"/>
          <w:szCs w:val="24"/>
        </w:rPr>
        <w:t>n</w:t>
      </w:r>
      <w:r w:rsidR="005135A9" w:rsidRPr="005135A9">
        <w:rPr>
          <w:rFonts w:ascii="Times New Roman" w:hAnsi="Times New Roman"/>
          <w:i/>
          <w:sz w:val="24"/>
          <w:szCs w:val="24"/>
        </w:rPr>
        <w:t>stitutions</w:t>
      </w:r>
      <w:r w:rsidR="005135A9" w:rsidRPr="005135A9">
        <w:rPr>
          <w:rFonts w:ascii="Times New Roman" w:hAnsi="Times New Roman"/>
          <w:sz w:val="24"/>
          <w:szCs w:val="24"/>
        </w:rPr>
        <w:t xml:space="preserve"> (</w:t>
      </w:r>
      <w:r w:rsidR="005135A9">
        <w:rPr>
          <w:rFonts w:ascii="Times New Roman" w:hAnsi="Times New Roman"/>
          <w:sz w:val="24"/>
          <w:szCs w:val="24"/>
        </w:rPr>
        <w:t>“</w:t>
      </w:r>
      <w:r w:rsidR="005135A9" w:rsidRPr="005135A9">
        <w:rPr>
          <w:rFonts w:ascii="Times New Roman" w:hAnsi="Times New Roman"/>
          <w:sz w:val="24"/>
          <w:szCs w:val="24"/>
        </w:rPr>
        <w:t>SDI</w:t>
      </w:r>
      <w:r w:rsidR="005135A9">
        <w:rPr>
          <w:rFonts w:ascii="Times New Roman" w:hAnsi="Times New Roman"/>
          <w:sz w:val="24"/>
          <w:szCs w:val="24"/>
        </w:rPr>
        <w:t>”</w:t>
      </w:r>
      <w:r w:rsidR="005135A9" w:rsidRPr="005135A9">
        <w:rPr>
          <w:rFonts w:ascii="Times New Roman" w:hAnsi="Times New Roman"/>
          <w:sz w:val="24"/>
          <w:szCs w:val="24"/>
        </w:rPr>
        <w:t xml:space="preserve">) </w:t>
      </w:r>
      <w:r w:rsidR="005135A9">
        <w:rPr>
          <w:rFonts w:ascii="Times New Roman" w:hAnsi="Times New Roman"/>
          <w:sz w:val="24"/>
          <w:szCs w:val="24"/>
        </w:rPr>
        <w:t xml:space="preserve">report, which is available on the </w:t>
      </w:r>
      <w:r w:rsidR="005135A9" w:rsidRPr="005135A9">
        <w:rPr>
          <w:rFonts w:ascii="Times New Roman" w:hAnsi="Times New Roman"/>
          <w:i/>
          <w:sz w:val="24"/>
          <w:szCs w:val="24"/>
        </w:rPr>
        <w:t>Federal Deposit Insurance Corporation</w:t>
      </w:r>
      <w:r w:rsidR="005135A9" w:rsidRPr="005135A9">
        <w:rPr>
          <w:rFonts w:ascii="Times New Roman" w:hAnsi="Times New Roman"/>
          <w:sz w:val="24"/>
          <w:szCs w:val="24"/>
        </w:rPr>
        <w:t xml:space="preserve">'s </w:t>
      </w:r>
      <w:r w:rsidR="005135A9">
        <w:rPr>
          <w:rFonts w:ascii="Times New Roman" w:hAnsi="Times New Roman"/>
          <w:sz w:val="24"/>
          <w:szCs w:val="24"/>
        </w:rPr>
        <w:t>(</w:t>
      </w:r>
      <w:r w:rsidR="003701F7">
        <w:rPr>
          <w:rFonts w:ascii="Times New Roman" w:hAnsi="Times New Roman"/>
          <w:sz w:val="24"/>
          <w:szCs w:val="24"/>
        </w:rPr>
        <w:t>“FDIC”) research</w:t>
      </w:r>
      <w:r w:rsidR="005135A9" w:rsidRPr="005135A9">
        <w:rPr>
          <w:rFonts w:ascii="Times New Roman" w:hAnsi="Times New Roman"/>
          <w:sz w:val="24"/>
          <w:szCs w:val="24"/>
        </w:rPr>
        <w:t xml:space="preserve"> website</w:t>
      </w:r>
      <w:r w:rsidR="007039D0">
        <w:rPr>
          <w:rStyle w:val="FootnoteReference"/>
          <w:rFonts w:ascii="Times New Roman" w:hAnsi="Times New Roman"/>
          <w:sz w:val="24"/>
          <w:szCs w:val="24"/>
        </w:rPr>
        <w:footnoteReference w:id="8"/>
      </w:r>
      <w:r w:rsidR="003701F7">
        <w:rPr>
          <w:rFonts w:ascii="Times New Roman" w:hAnsi="Times New Roman"/>
          <w:sz w:val="24"/>
          <w:szCs w:val="24"/>
        </w:rPr>
        <w:t>.</w:t>
      </w:r>
      <w:r w:rsidR="001D11BD">
        <w:rPr>
          <w:rFonts w:ascii="Times New Roman" w:hAnsi="Times New Roman"/>
          <w:sz w:val="24"/>
          <w:szCs w:val="24"/>
        </w:rPr>
        <w:t xml:space="preserve">  </w:t>
      </w:r>
      <w:r w:rsidR="000A13BE" w:rsidRPr="001D11BD">
        <w:rPr>
          <w:rFonts w:ascii="Times New Roman" w:hAnsi="Times New Roman"/>
          <w:sz w:val="24"/>
          <w:szCs w:val="24"/>
        </w:rPr>
        <w:t>Th</w:t>
      </w:r>
      <w:r w:rsidR="000A13BE">
        <w:rPr>
          <w:rFonts w:ascii="Times New Roman" w:hAnsi="Times New Roman"/>
          <w:sz w:val="24"/>
          <w:szCs w:val="24"/>
        </w:rPr>
        <w:t>is</w:t>
      </w:r>
      <w:r w:rsidR="000A13BE" w:rsidRPr="001D11BD">
        <w:rPr>
          <w:rFonts w:ascii="Times New Roman" w:hAnsi="Times New Roman"/>
          <w:sz w:val="24"/>
          <w:szCs w:val="24"/>
        </w:rPr>
        <w:t xml:space="preserve"> </w:t>
      </w:r>
      <w:r w:rsidR="000A13BE">
        <w:rPr>
          <w:rFonts w:ascii="Times New Roman" w:hAnsi="Times New Roman"/>
          <w:sz w:val="24"/>
          <w:szCs w:val="24"/>
        </w:rPr>
        <w:t>bank</w:t>
      </w:r>
      <w:r w:rsidR="000A13BE" w:rsidRPr="001D11BD">
        <w:rPr>
          <w:rFonts w:ascii="Times New Roman" w:hAnsi="Times New Roman"/>
          <w:sz w:val="24"/>
          <w:szCs w:val="24"/>
        </w:rPr>
        <w:t xml:space="preserve"> data </w:t>
      </w:r>
      <w:r w:rsidR="000A13BE">
        <w:rPr>
          <w:rFonts w:ascii="Times New Roman" w:hAnsi="Times New Roman"/>
          <w:sz w:val="24"/>
          <w:szCs w:val="24"/>
        </w:rPr>
        <w:t>represents</w:t>
      </w:r>
      <w:r w:rsidR="000A13BE" w:rsidRPr="001D11BD">
        <w:rPr>
          <w:rFonts w:ascii="Times New Roman" w:hAnsi="Times New Roman"/>
          <w:sz w:val="24"/>
          <w:szCs w:val="24"/>
        </w:rPr>
        <w:t xml:space="preserve"> all insured depository institutions </w:t>
      </w:r>
      <w:r w:rsidR="001068C4">
        <w:rPr>
          <w:rFonts w:ascii="Times New Roman" w:hAnsi="Times New Roman"/>
          <w:sz w:val="24"/>
          <w:szCs w:val="24"/>
        </w:rPr>
        <w:t xml:space="preserve">in the U.S. and contains </w:t>
      </w:r>
      <w:r w:rsidR="000A13BE" w:rsidRPr="001D11BD">
        <w:rPr>
          <w:rFonts w:ascii="Times New Roman" w:hAnsi="Times New Roman"/>
          <w:sz w:val="24"/>
          <w:szCs w:val="24"/>
        </w:rPr>
        <w:t xml:space="preserve">income statement, balance sheet and off-balance sheet </w:t>
      </w:r>
      <w:r w:rsidR="001068C4">
        <w:rPr>
          <w:rFonts w:ascii="Times New Roman" w:hAnsi="Times New Roman"/>
          <w:sz w:val="24"/>
          <w:szCs w:val="24"/>
        </w:rPr>
        <w:t xml:space="preserve">line </w:t>
      </w:r>
      <w:r w:rsidR="000A13BE" w:rsidRPr="001D11BD">
        <w:rPr>
          <w:rFonts w:ascii="Times New Roman" w:hAnsi="Times New Roman"/>
          <w:sz w:val="24"/>
          <w:szCs w:val="24"/>
        </w:rPr>
        <w:t>items</w:t>
      </w:r>
      <w:r w:rsidR="001068C4">
        <w:rPr>
          <w:rFonts w:ascii="Times New Roman" w:hAnsi="Times New Roman"/>
          <w:sz w:val="24"/>
          <w:szCs w:val="24"/>
        </w:rPr>
        <w:t>.</w:t>
      </w:r>
      <w:r w:rsidR="00167769">
        <w:rPr>
          <w:rFonts w:ascii="Times New Roman" w:hAnsi="Times New Roman"/>
          <w:sz w:val="24"/>
          <w:szCs w:val="24"/>
        </w:rPr>
        <w:t xml:space="preserve">  We </w:t>
      </w:r>
      <w:r w:rsidR="00BF4771">
        <w:rPr>
          <w:rFonts w:ascii="Times New Roman" w:hAnsi="Times New Roman"/>
          <w:sz w:val="24"/>
          <w:szCs w:val="24"/>
        </w:rPr>
        <w:t xml:space="preserve">use </w:t>
      </w:r>
      <w:r w:rsidR="001D11BD" w:rsidRPr="001D11BD">
        <w:rPr>
          <w:rFonts w:ascii="Times New Roman" w:hAnsi="Times New Roman"/>
          <w:sz w:val="24"/>
          <w:szCs w:val="24"/>
        </w:rPr>
        <w:t xml:space="preserve">quarterly data from </w:t>
      </w:r>
      <w:r w:rsidR="00BF4771">
        <w:rPr>
          <w:rFonts w:ascii="Times New Roman" w:hAnsi="Times New Roman"/>
          <w:sz w:val="24"/>
          <w:szCs w:val="24"/>
        </w:rPr>
        <w:t>the 4</w:t>
      </w:r>
      <w:r w:rsidR="00BF4771" w:rsidRPr="00BF4771">
        <w:rPr>
          <w:rFonts w:ascii="Times New Roman" w:hAnsi="Times New Roman"/>
          <w:sz w:val="24"/>
          <w:szCs w:val="24"/>
          <w:vertAlign w:val="superscript"/>
        </w:rPr>
        <w:t>th</w:t>
      </w:r>
      <w:r w:rsidR="00BF4771">
        <w:rPr>
          <w:rFonts w:ascii="Times New Roman" w:hAnsi="Times New Roman"/>
          <w:sz w:val="24"/>
          <w:szCs w:val="24"/>
        </w:rPr>
        <w:t xml:space="preserve"> quarter of 1991</w:t>
      </w:r>
      <w:r w:rsidR="001D11BD" w:rsidRPr="001D11BD">
        <w:rPr>
          <w:rFonts w:ascii="Times New Roman" w:hAnsi="Times New Roman"/>
          <w:sz w:val="24"/>
          <w:szCs w:val="24"/>
        </w:rPr>
        <w:t xml:space="preserve"> through </w:t>
      </w:r>
      <w:r w:rsidR="00BF4771">
        <w:rPr>
          <w:rFonts w:ascii="Times New Roman" w:hAnsi="Times New Roman"/>
          <w:sz w:val="24"/>
          <w:szCs w:val="24"/>
        </w:rPr>
        <w:t>the 4</w:t>
      </w:r>
      <w:r w:rsidR="00BF4771" w:rsidRPr="00BF4771">
        <w:rPr>
          <w:rFonts w:ascii="Times New Roman" w:hAnsi="Times New Roman"/>
          <w:sz w:val="24"/>
          <w:szCs w:val="24"/>
          <w:vertAlign w:val="superscript"/>
        </w:rPr>
        <w:t>th</w:t>
      </w:r>
      <w:r w:rsidR="00BF4771">
        <w:rPr>
          <w:rFonts w:ascii="Times New Roman" w:hAnsi="Times New Roman"/>
          <w:sz w:val="24"/>
          <w:szCs w:val="24"/>
        </w:rPr>
        <w:t xml:space="preserve"> quarter of 2017</w:t>
      </w:r>
      <w:r w:rsidR="001D11BD" w:rsidRPr="001D11BD">
        <w:rPr>
          <w:rFonts w:ascii="Times New Roman" w:hAnsi="Times New Roman"/>
          <w:sz w:val="24"/>
          <w:szCs w:val="24"/>
        </w:rPr>
        <w:t xml:space="preserve">. </w:t>
      </w:r>
      <w:r w:rsidR="00BF4771">
        <w:rPr>
          <w:rFonts w:ascii="Times New Roman" w:hAnsi="Times New Roman"/>
          <w:sz w:val="24"/>
          <w:szCs w:val="24"/>
        </w:rPr>
        <w:t xml:space="preserve"> </w:t>
      </w:r>
      <w:r w:rsidR="001D11BD" w:rsidRPr="001D11BD">
        <w:rPr>
          <w:rFonts w:ascii="Times New Roman" w:hAnsi="Times New Roman"/>
          <w:sz w:val="24"/>
          <w:szCs w:val="24"/>
        </w:rPr>
        <w:t xml:space="preserve">The </w:t>
      </w:r>
      <w:r w:rsidR="00BF4771">
        <w:rPr>
          <w:rFonts w:ascii="Times New Roman" w:hAnsi="Times New Roman"/>
          <w:sz w:val="24"/>
          <w:szCs w:val="24"/>
        </w:rPr>
        <w:t xml:space="preserve">models for </w:t>
      </w:r>
      <w:r w:rsidR="00167769">
        <w:rPr>
          <w:rFonts w:ascii="Times New Roman" w:hAnsi="Times New Roman"/>
          <w:sz w:val="24"/>
          <w:szCs w:val="24"/>
        </w:rPr>
        <w:t>CECL</w:t>
      </w:r>
      <w:r w:rsidR="001D11BD" w:rsidRPr="001D11BD">
        <w:rPr>
          <w:rFonts w:ascii="Times New Roman" w:hAnsi="Times New Roman"/>
          <w:sz w:val="24"/>
          <w:szCs w:val="24"/>
        </w:rPr>
        <w:t xml:space="preserve"> are </w:t>
      </w:r>
      <w:r w:rsidR="00BF4771">
        <w:rPr>
          <w:rFonts w:ascii="Times New Roman" w:hAnsi="Times New Roman"/>
          <w:sz w:val="24"/>
          <w:szCs w:val="24"/>
        </w:rPr>
        <w:t xml:space="preserve">specified and </w:t>
      </w:r>
      <w:r w:rsidR="001D11BD" w:rsidRPr="001D11BD">
        <w:rPr>
          <w:rFonts w:ascii="Times New Roman" w:hAnsi="Times New Roman"/>
          <w:sz w:val="24"/>
          <w:szCs w:val="24"/>
        </w:rPr>
        <w:t xml:space="preserve">estimated using </w:t>
      </w:r>
      <w:r w:rsidR="00BF4771">
        <w:rPr>
          <w:rFonts w:ascii="Times New Roman" w:hAnsi="Times New Roman"/>
          <w:sz w:val="24"/>
          <w:szCs w:val="24"/>
        </w:rPr>
        <w:t>a development period that ends in the 4</w:t>
      </w:r>
      <w:r w:rsidR="00BF4771" w:rsidRPr="00BF4771">
        <w:rPr>
          <w:rFonts w:ascii="Times New Roman" w:hAnsi="Times New Roman"/>
          <w:sz w:val="24"/>
          <w:szCs w:val="24"/>
          <w:vertAlign w:val="superscript"/>
        </w:rPr>
        <w:t>th</w:t>
      </w:r>
      <w:r w:rsidR="00BF4771">
        <w:rPr>
          <w:rFonts w:ascii="Times New Roman" w:hAnsi="Times New Roman"/>
          <w:sz w:val="24"/>
          <w:szCs w:val="24"/>
        </w:rPr>
        <w:t xml:space="preserve"> quarter of 201</w:t>
      </w:r>
      <w:r w:rsidR="00167769">
        <w:rPr>
          <w:rFonts w:ascii="Times New Roman" w:hAnsi="Times New Roman"/>
          <w:sz w:val="24"/>
          <w:szCs w:val="24"/>
        </w:rPr>
        <w:t>5</w:t>
      </w:r>
      <w:r w:rsidR="00BF4771">
        <w:rPr>
          <w:rFonts w:ascii="Times New Roman" w:hAnsi="Times New Roman"/>
          <w:sz w:val="24"/>
          <w:szCs w:val="24"/>
        </w:rPr>
        <w:t>, leaving the last 2 years 2016 and 2017 as an out-of-sample test time period</w:t>
      </w:r>
      <w:r w:rsidR="001D11BD" w:rsidRPr="001D11BD">
        <w:rPr>
          <w:rFonts w:ascii="Times New Roman" w:hAnsi="Times New Roman"/>
          <w:sz w:val="24"/>
          <w:szCs w:val="24"/>
        </w:rPr>
        <w:t>.</w:t>
      </w:r>
      <w:r w:rsidR="00C34213">
        <w:rPr>
          <w:rFonts w:ascii="Times New Roman" w:hAnsi="Times New Roman"/>
          <w:sz w:val="24"/>
          <w:szCs w:val="24"/>
        </w:rPr>
        <w:t xml:space="preserve">  </w:t>
      </w:r>
      <w:r w:rsidR="001D11BD" w:rsidRPr="001D11BD">
        <w:rPr>
          <w:rFonts w:ascii="Times New Roman" w:hAnsi="Times New Roman"/>
          <w:sz w:val="24"/>
          <w:szCs w:val="24"/>
        </w:rPr>
        <w:t xml:space="preserve">The </w:t>
      </w:r>
      <w:r w:rsidR="00C34213">
        <w:rPr>
          <w:rFonts w:ascii="Times New Roman" w:hAnsi="Times New Roman"/>
          <w:sz w:val="24"/>
          <w:szCs w:val="24"/>
        </w:rPr>
        <w:t xml:space="preserve">model development </w:t>
      </w:r>
      <w:r w:rsidR="001D11BD" w:rsidRPr="001D11BD">
        <w:rPr>
          <w:rFonts w:ascii="Times New Roman" w:hAnsi="Times New Roman"/>
          <w:sz w:val="24"/>
          <w:szCs w:val="24"/>
        </w:rPr>
        <w:t xml:space="preserve">data </w:t>
      </w:r>
      <w:r w:rsidR="0090606A">
        <w:rPr>
          <w:rFonts w:ascii="Times New Roman" w:hAnsi="Times New Roman"/>
          <w:sz w:val="24"/>
          <w:szCs w:val="24"/>
        </w:rPr>
        <w:t xml:space="preserve">are </w:t>
      </w:r>
      <w:r w:rsidR="006D3D39">
        <w:rPr>
          <w:rFonts w:ascii="Times New Roman" w:hAnsi="Times New Roman"/>
          <w:sz w:val="24"/>
          <w:szCs w:val="24"/>
        </w:rPr>
        <w:t>Fed macroe</w:t>
      </w:r>
      <w:r w:rsidR="002E4B3C">
        <w:rPr>
          <w:rFonts w:ascii="Times New Roman" w:hAnsi="Times New Roman"/>
          <w:sz w:val="24"/>
          <w:szCs w:val="24"/>
        </w:rPr>
        <w:t>c</w:t>
      </w:r>
      <w:r w:rsidR="006D3D39">
        <w:rPr>
          <w:rFonts w:ascii="Times New Roman" w:hAnsi="Times New Roman"/>
          <w:sz w:val="24"/>
          <w:szCs w:val="24"/>
        </w:rPr>
        <w:t>on</w:t>
      </w:r>
      <w:r w:rsidR="002E4B3C">
        <w:rPr>
          <w:rFonts w:ascii="Times New Roman" w:hAnsi="Times New Roman"/>
          <w:sz w:val="24"/>
          <w:szCs w:val="24"/>
        </w:rPr>
        <w:t>o</w:t>
      </w:r>
      <w:r w:rsidR="006D3D39">
        <w:rPr>
          <w:rFonts w:ascii="Times New Roman" w:hAnsi="Times New Roman"/>
          <w:sz w:val="24"/>
          <w:szCs w:val="24"/>
        </w:rPr>
        <w:t xml:space="preserve">mic variables, as well as </w:t>
      </w:r>
      <w:r w:rsidR="0090606A">
        <w:rPr>
          <w:rFonts w:ascii="Times New Roman" w:hAnsi="Times New Roman"/>
          <w:sz w:val="24"/>
          <w:szCs w:val="24"/>
        </w:rPr>
        <w:t xml:space="preserve">aggregate </w:t>
      </w:r>
      <w:r w:rsidR="001D11BD" w:rsidRPr="001D11BD">
        <w:rPr>
          <w:rFonts w:ascii="Times New Roman" w:hAnsi="Times New Roman"/>
          <w:sz w:val="24"/>
          <w:szCs w:val="24"/>
        </w:rPr>
        <w:t xml:space="preserve">asset-weighted average values </w:t>
      </w:r>
      <w:r w:rsidR="0090606A">
        <w:rPr>
          <w:rFonts w:ascii="Times New Roman" w:hAnsi="Times New Roman"/>
          <w:sz w:val="24"/>
          <w:szCs w:val="24"/>
        </w:rPr>
        <w:t>bank</w:t>
      </w:r>
      <w:r w:rsidR="001D11BD" w:rsidRPr="001D11BD">
        <w:rPr>
          <w:rFonts w:ascii="Times New Roman" w:hAnsi="Times New Roman"/>
          <w:sz w:val="24"/>
          <w:szCs w:val="24"/>
        </w:rPr>
        <w:t xml:space="preserve"> </w:t>
      </w:r>
      <w:r w:rsidR="0090606A">
        <w:rPr>
          <w:rFonts w:ascii="Times New Roman" w:hAnsi="Times New Roman"/>
          <w:sz w:val="24"/>
          <w:szCs w:val="24"/>
        </w:rPr>
        <w:t>f</w:t>
      </w:r>
      <w:r w:rsidR="0090606A">
        <w:rPr>
          <w:rFonts w:ascii="Times New Roman" w:hAnsi="Times New Roman"/>
          <w:sz w:val="24"/>
          <w:szCs w:val="24"/>
        </w:rPr>
        <w:t>i</w:t>
      </w:r>
      <w:r w:rsidR="0090606A">
        <w:rPr>
          <w:rFonts w:ascii="Times New Roman" w:hAnsi="Times New Roman"/>
          <w:sz w:val="24"/>
          <w:szCs w:val="24"/>
        </w:rPr>
        <w:t xml:space="preserve">nancial </w:t>
      </w:r>
      <w:r w:rsidR="001D11BD" w:rsidRPr="001D11BD">
        <w:rPr>
          <w:rFonts w:ascii="Times New Roman" w:hAnsi="Times New Roman"/>
          <w:sz w:val="24"/>
          <w:szCs w:val="24"/>
        </w:rPr>
        <w:t>characteristics for each quarter</w:t>
      </w:r>
      <w:r w:rsidR="006D3D39">
        <w:rPr>
          <w:rFonts w:ascii="Times New Roman" w:hAnsi="Times New Roman"/>
          <w:sz w:val="24"/>
          <w:szCs w:val="24"/>
        </w:rPr>
        <w:t>,</w:t>
      </w:r>
      <w:r w:rsidR="001D11BD" w:rsidRPr="001D11BD">
        <w:rPr>
          <w:rFonts w:ascii="Times New Roman" w:hAnsi="Times New Roman"/>
          <w:sz w:val="24"/>
          <w:szCs w:val="24"/>
        </w:rPr>
        <w:t xml:space="preserve"> </w:t>
      </w:r>
      <w:r w:rsidR="006D3D39">
        <w:rPr>
          <w:rFonts w:ascii="Times New Roman" w:hAnsi="Times New Roman"/>
          <w:sz w:val="24"/>
          <w:szCs w:val="24"/>
        </w:rPr>
        <w:t>the latter either in growth rate for</w:t>
      </w:r>
      <w:r w:rsidR="004D77EE">
        <w:rPr>
          <w:rFonts w:ascii="Times New Roman" w:hAnsi="Times New Roman"/>
          <w:sz w:val="24"/>
          <w:szCs w:val="24"/>
        </w:rPr>
        <w:t>m</w:t>
      </w:r>
      <w:r w:rsidR="006D3D39">
        <w:rPr>
          <w:rFonts w:ascii="Times New Roman" w:hAnsi="Times New Roman"/>
          <w:sz w:val="24"/>
          <w:szCs w:val="24"/>
        </w:rPr>
        <w:t xml:space="preserve"> or </w:t>
      </w:r>
      <w:r w:rsidR="001D11BD" w:rsidRPr="001D11BD">
        <w:rPr>
          <w:rFonts w:ascii="Times New Roman" w:hAnsi="Times New Roman"/>
          <w:sz w:val="24"/>
          <w:szCs w:val="24"/>
        </w:rPr>
        <w:t xml:space="preserve">normalized by the </w:t>
      </w:r>
      <w:r w:rsidR="0090606A">
        <w:rPr>
          <w:rFonts w:ascii="Times New Roman" w:hAnsi="Times New Roman"/>
          <w:sz w:val="24"/>
          <w:szCs w:val="24"/>
        </w:rPr>
        <w:t>total</w:t>
      </w:r>
      <w:r w:rsidR="001D11BD" w:rsidRPr="001D11BD">
        <w:rPr>
          <w:rFonts w:ascii="Times New Roman" w:hAnsi="Times New Roman"/>
          <w:sz w:val="24"/>
          <w:szCs w:val="24"/>
        </w:rPr>
        <w:t xml:space="preserve"> value bank assets</w:t>
      </w:r>
      <w:r w:rsidR="0090606A">
        <w:rPr>
          <w:rFonts w:ascii="Times New Roman" w:hAnsi="Times New Roman"/>
          <w:sz w:val="24"/>
          <w:szCs w:val="24"/>
        </w:rPr>
        <w:t xml:space="preserve"> in the system</w:t>
      </w:r>
      <w:r w:rsidR="001D11BD" w:rsidRPr="001D11BD">
        <w:rPr>
          <w:rFonts w:ascii="Times New Roman" w:hAnsi="Times New Roman"/>
          <w:sz w:val="24"/>
          <w:szCs w:val="24"/>
        </w:rPr>
        <w:t>.</w:t>
      </w:r>
    </w:p>
    <w:p w:rsidR="00167769" w:rsidRDefault="00167769" w:rsidP="00F030CD">
      <w:pPr>
        <w:spacing w:line="240" w:lineRule="auto"/>
        <w:jc w:val="both"/>
        <w:rPr>
          <w:rFonts w:ascii="Times New Roman" w:hAnsi="Times New Roman"/>
          <w:sz w:val="24"/>
          <w:szCs w:val="24"/>
        </w:rPr>
      </w:pPr>
      <w:r>
        <w:rPr>
          <w:rFonts w:ascii="Times New Roman" w:hAnsi="Times New Roman"/>
          <w:sz w:val="24"/>
          <w:szCs w:val="24"/>
        </w:rPr>
        <w:lastRenderedPageBreak/>
        <w:t xml:space="preserve">The Federal Reserve’s CCAR stress testing exercise requires U.S. domiciled top-tier financial institutions </w:t>
      </w:r>
      <w:r>
        <w:rPr>
          <w:rFonts w:ascii="Times New Roman" w:hAnsi="Times New Roman"/>
          <w:spacing w:val="-2"/>
          <w:sz w:val="24"/>
          <w:szCs w:val="24"/>
        </w:rPr>
        <w:t>to</w:t>
      </w:r>
      <w:r>
        <w:rPr>
          <w:rFonts w:ascii="Times New Roman" w:hAnsi="Times New Roman"/>
          <w:sz w:val="24"/>
          <w:szCs w:val="24"/>
        </w:rPr>
        <w:t xml:space="preserve"> submit comprehensive capital plans conditioned upon prescribed supervisory, and at least a single bank-specific, set of scenarios (base, adverse and severe). </w:t>
      </w:r>
      <w:r w:rsidR="002714A0">
        <w:rPr>
          <w:rFonts w:ascii="Times New Roman" w:hAnsi="Times New Roman"/>
          <w:sz w:val="24"/>
          <w:szCs w:val="24"/>
        </w:rPr>
        <w:t xml:space="preserve"> </w:t>
      </w:r>
      <w:r>
        <w:rPr>
          <w:rFonts w:ascii="Times New Roman" w:hAnsi="Times New Roman"/>
          <w:sz w:val="24"/>
          <w:szCs w:val="24"/>
        </w:rPr>
        <w:t>The supervisory sc</w:t>
      </w:r>
      <w:r>
        <w:rPr>
          <w:rFonts w:ascii="Times New Roman" w:hAnsi="Times New Roman"/>
          <w:sz w:val="24"/>
          <w:szCs w:val="24"/>
        </w:rPr>
        <w:t>e</w:t>
      </w:r>
      <w:r>
        <w:rPr>
          <w:rFonts w:ascii="Times New Roman" w:hAnsi="Times New Roman"/>
          <w:sz w:val="24"/>
          <w:szCs w:val="24"/>
        </w:rPr>
        <w:t>narios are constituted of 9 quarter paths of critical</w:t>
      </w:r>
      <w:r>
        <w:rPr>
          <w:rFonts w:ascii="Times New Roman" w:hAnsi="Times New Roman"/>
          <w:spacing w:val="2"/>
          <w:sz w:val="24"/>
          <w:szCs w:val="24"/>
        </w:rPr>
        <w:t xml:space="preserve"> </w:t>
      </w:r>
      <w:r>
        <w:rPr>
          <w:rFonts w:ascii="Times New Roman" w:hAnsi="Times New Roman"/>
          <w:i/>
          <w:spacing w:val="2"/>
          <w:sz w:val="24"/>
          <w:szCs w:val="24"/>
        </w:rPr>
        <w:t>macroeconomic variables</w:t>
      </w:r>
      <w:r>
        <w:rPr>
          <w:rFonts w:ascii="Times New Roman" w:hAnsi="Times New Roman"/>
          <w:spacing w:val="2"/>
          <w:sz w:val="24"/>
          <w:szCs w:val="24"/>
        </w:rPr>
        <w:t xml:space="preserve"> (“MVs”). </w:t>
      </w:r>
      <w:r w:rsidR="002714A0">
        <w:rPr>
          <w:rFonts w:ascii="Times New Roman" w:hAnsi="Times New Roman"/>
          <w:spacing w:val="2"/>
          <w:sz w:val="24"/>
          <w:szCs w:val="24"/>
        </w:rPr>
        <w:t xml:space="preserve"> </w:t>
      </w:r>
      <w:r>
        <w:rPr>
          <w:rFonts w:ascii="Times New Roman" w:hAnsi="Times New Roman"/>
          <w:sz w:val="24"/>
          <w:szCs w:val="24"/>
        </w:rPr>
        <w:t xml:space="preserve">In the case of institutions materially engaged in trading activities, in addition there is a requirement to project an instantaneous market or counterparty credit loss shock conditioned on the institution’s idiosyncratic scenario, in addition </w:t>
      </w:r>
      <w:r>
        <w:rPr>
          <w:rFonts w:ascii="Times New Roman" w:hAnsi="Times New Roman"/>
          <w:spacing w:val="2"/>
          <w:sz w:val="24"/>
          <w:szCs w:val="24"/>
        </w:rPr>
        <w:t>to supervisory prescribed market risk stress scenario</w:t>
      </w:r>
      <w:r w:rsidR="002714A0">
        <w:rPr>
          <w:rFonts w:ascii="Times New Roman" w:hAnsi="Times New Roman"/>
          <w:spacing w:val="2"/>
          <w:sz w:val="24"/>
          <w:szCs w:val="24"/>
        </w:rPr>
        <w:t>s</w:t>
      </w:r>
      <w:r>
        <w:rPr>
          <w:rFonts w:ascii="Times New Roman" w:hAnsi="Times New Roman"/>
          <w:spacing w:val="2"/>
          <w:sz w:val="24"/>
          <w:szCs w:val="24"/>
        </w:rPr>
        <w:t xml:space="preserve">. </w:t>
      </w:r>
      <w:r w:rsidR="002714A0">
        <w:rPr>
          <w:rFonts w:ascii="Times New Roman" w:hAnsi="Times New Roman"/>
          <w:spacing w:val="2"/>
          <w:sz w:val="24"/>
          <w:szCs w:val="24"/>
        </w:rPr>
        <w:t xml:space="preserve"> </w:t>
      </w:r>
      <w:r>
        <w:rPr>
          <w:rFonts w:ascii="Times New Roman" w:hAnsi="Times New Roman"/>
          <w:spacing w:val="2"/>
          <w:sz w:val="24"/>
          <w:szCs w:val="24"/>
        </w:rPr>
        <w:t>A</w:t>
      </w:r>
      <w:r>
        <w:rPr>
          <w:rFonts w:ascii="Times New Roman" w:hAnsi="Times New Roman"/>
          <w:spacing w:val="2"/>
          <w:sz w:val="24"/>
          <w:szCs w:val="24"/>
        </w:rPr>
        <w:t>d</w:t>
      </w:r>
      <w:r>
        <w:rPr>
          <w:rFonts w:ascii="Times New Roman" w:hAnsi="Times New Roman"/>
          <w:spacing w:val="2"/>
          <w:sz w:val="24"/>
          <w:szCs w:val="24"/>
        </w:rPr>
        <w:t xml:space="preserve">ditionally, </w:t>
      </w:r>
      <w:r w:rsidR="00EC1040" w:rsidRPr="00FC1E5D">
        <w:rPr>
          <w:rFonts w:ascii="Times New Roman" w:hAnsi="Times New Roman"/>
          <w:sz w:val="24"/>
          <w:szCs w:val="24"/>
        </w:rPr>
        <w:t>large custodian banks are asked to estimate a potential default of their largest cou</w:t>
      </w:r>
      <w:r w:rsidR="00EC1040" w:rsidRPr="00FC1E5D">
        <w:rPr>
          <w:rFonts w:ascii="Times New Roman" w:hAnsi="Times New Roman"/>
          <w:sz w:val="24"/>
          <w:szCs w:val="24"/>
        </w:rPr>
        <w:t>n</w:t>
      </w:r>
      <w:r w:rsidR="00EC1040" w:rsidRPr="00FC1E5D">
        <w:rPr>
          <w:rFonts w:ascii="Times New Roman" w:hAnsi="Times New Roman"/>
          <w:sz w:val="24"/>
          <w:szCs w:val="24"/>
        </w:rPr>
        <w:t xml:space="preserve">terparty. </w:t>
      </w:r>
      <w:r w:rsidR="00EC1040">
        <w:rPr>
          <w:rFonts w:ascii="Times New Roman" w:hAnsi="Times New Roman"/>
          <w:sz w:val="24"/>
          <w:szCs w:val="24"/>
        </w:rPr>
        <w:t xml:space="preserve"> </w:t>
      </w:r>
      <w:r w:rsidR="00EC1040" w:rsidRPr="00FC1E5D">
        <w:rPr>
          <w:rFonts w:ascii="Times New Roman" w:hAnsi="Times New Roman"/>
          <w:sz w:val="24"/>
          <w:szCs w:val="24"/>
        </w:rPr>
        <w:t>Institutions are asked to submit post-stress capital projections in their capital plan starting</w:t>
      </w:r>
      <w:r w:rsidR="00EC1040">
        <w:rPr>
          <w:rFonts w:ascii="Times New Roman" w:hAnsi="Times New Roman"/>
          <w:spacing w:val="8"/>
          <w:sz w:val="24"/>
          <w:szCs w:val="24"/>
        </w:rPr>
        <w:t xml:space="preserve"> September 30</w:t>
      </w:r>
      <w:r w:rsidR="00EC1040">
        <w:rPr>
          <w:rFonts w:ascii="Times New Roman" w:hAnsi="Times New Roman"/>
          <w:spacing w:val="8"/>
          <w:sz w:val="24"/>
          <w:szCs w:val="24"/>
          <w:vertAlign w:val="superscript"/>
        </w:rPr>
        <w:t>th</w:t>
      </w:r>
      <w:r w:rsidR="00EC1040">
        <w:rPr>
          <w:rFonts w:ascii="Times New Roman" w:hAnsi="Times New Roman"/>
          <w:spacing w:val="8"/>
          <w:sz w:val="24"/>
          <w:szCs w:val="24"/>
        </w:rPr>
        <w:t xml:space="preserve"> of the year, spanning the nine-quarter planning horizon that</w:t>
      </w:r>
      <w:r w:rsidR="00EC1040">
        <w:rPr>
          <w:rFonts w:ascii="Times New Roman" w:hAnsi="Times New Roman"/>
          <w:sz w:val="24"/>
          <w:szCs w:val="24"/>
        </w:rPr>
        <w:t xml:space="preserve"> begins in the fourth quarter of the current year, defining movements of key MVs.  In this study we consider the MVs of the 2015 CCAR, and their base scenario for CECL purposes:</w:t>
      </w:r>
    </w:p>
    <w:p w:rsidR="00EC1040" w:rsidRDefault="00EC1040" w:rsidP="00EC1040">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Real Gross Domestic Product Growth (“RGDP”)</w:t>
      </w:r>
    </w:p>
    <w:p w:rsidR="00EC1040" w:rsidRDefault="00EC1040" w:rsidP="00EC1040">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Real Gross Domestic Investment (“RDIG”)</w:t>
      </w:r>
    </w:p>
    <w:p w:rsidR="00EC1040" w:rsidRDefault="00EC1040" w:rsidP="00EC1040">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Consumer Price Index (“CPI”)</w:t>
      </w:r>
    </w:p>
    <w:p w:rsidR="00EC1040" w:rsidRDefault="00EC1040" w:rsidP="00EC1040">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Real Disposable Personal Income (“RDPI”)</w:t>
      </w:r>
    </w:p>
    <w:p w:rsidR="00EC1040" w:rsidRDefault="00EC1040" w:rsidP="00EC1040">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Unemployment Rate (“UNEMP”)</w:t>
      </w:r>
    </w:p>
    <w:p w:rsidR="00EC1040" w:rsidRDefault="00EC1040" w:rsidP="00EC1040">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Three-month Treasury Bill Rate (“3MTBR”)</w:t>
      </w:r>
    </w:p>
    <w:p w:rsidR="00EC1040" w:rsidRDefault="00EC1040" w:rsidP="00EC1040">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Ten-year Treasury Bond Rate (“10YTBR”)</w:t>
      </w:r>
    </w:p>
    <w:p w:rsidR="00EC1040" w:rsidRDefault="00EC1040" w:rsidP="00EC1040">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BBB Corporate</w:t>
      </w:r>
      <w:r>
        <w:rPr>
          <w:rFonts w:ascii="Times New Roman" w:hAnsi="Times New Roman"/>
          <w:sz w:val="24"/>
          <w:szCs w:val="24"/>
          <w:lang w:eastAsia="zh-CN"/>
        </w:rPr>
        <w:t xml:space="preserve"> Bond</w:t>
      </w:r>
      <w:r>
        <w:rPr>
          <w:rFonts w:ascii="Times New Roman" w:hAnsi="Times New Roman"/>
          <w:sz w:val="24"/>
          <w:szCs w:val="24"/>
        </w:rPr>
        <w:t xml:space="preserve"> Rate (“BBBCR”)</w:t>
      </w:r>
    </w:p>
    <w:p w:rsidR="00EC1040" w:rsidRDefault="00EC1040" w:rsidP="00EC1040">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Dow Jones Index (“DJI”)</w:t>
      </w:r>
    </w:p>
    <w:p w:rsidR="00EC1040" w:rsidRDefault="00EC1040" w:rsidP="00EC1040">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National House Price Index (“HPI”)</w:t>
      </w:r>
    </w:p>
    <w:p w:rsidR="00431B86" w:rsidRDefault="00431B86" w:rsidP="00431B8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 xml:space="preserve">Nominal Disposable </w:t>
      </w:r>
      <w:r>
        <w:rPr>
          <w:rFonts w:ascii="Times New Roman" w:hAnsi="Times New Roman"/>
          <w:sz w:val="24"/>
          <w:szCs w:val="24"/>
          <w:lang w:eastAsia="zh-CN"/>
        </w:rPr>
        <w:t xml:space="preserve">Personal </w:t>
      </w:r>
      <w:r>
        <w:rPr>
          <w:rFonts w:ascii="Times New Roman" w:hAnsi="Times New Roman"/>
          <w:sz w:val="24"/>
          <w:szCs w:val="24"/>
        </w:rPr>
        <w:t>Income Growth (“NDPIG”)</w:t>
      </w:r>
    </w:p>
    <w:p w:rsidR="00431B86" w:rsidRDefault="00431B86" w:rsidP="00431B8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Mortgage Rate (“MR”)</w:t>
      </w:r>
    </w:p>
    <w:p w:rsidR="00431B86" w:rsidRDefault="00431B86" w:rsidP="00431B8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CBOE’s</w:t>
      </w:r>
      <w:r>
        <w:rPr>
          <w:rFonts w:ascii="Times New Roman" w:hAnsi="Times New Roman"/>
          <w:sz w:val="24"/>
          <w:szCs w:val="24"/>
          <w:lang w:eastAsia="zh-CN"/>
        </w:rPr>
        <w:t xml:space="preserve"> Equity</w:t>
      </w:r>
      <w:r>
        <w:rPr>
          <w:rFonts w:ascii="Times New Roman" w:hAnsi="Times New Roman"/>
          <w:sz w:val="24"/>
          <w:szCs w:val="24"/>
        </w:rPr>
        <w:t xml:space="preserve"> Market Volatility Index (“VIX”)</w:t>
      </w:r>
    </w:p>
    <w:p w:rsidR="00431B86" w:rsidRDefault="00431B86" w:rsidP="00431B86">
      <w:pPr>
        <w:pStyle w:val="ListParagraph"/>
        <w:numPr>
          <w:ilvl w:val="0"/>
          <w:numId w:val="2"/>
        </w:numPr>
        <w:spacing w:after="0" w:line="300" w:lineRule="atLeast"/>
        <w:jc w:val="both"/>
        <w:rPr>
          <w:rFonts w:ascii="Times New Roman" w:hAnsi="Times New Roman"/>
          <w:sz w:val="24"/>
          <w:szCs w:val="24"/>
        </w:rPr>
      </w:pPr>
      <w:r w:rsidRPr="00EC1040">
        <w:rPr>
          <w:rFonts w:ascii="Times New Roman" w:hAnsi="Times New Roman"/>
          <w:sz w:val="24"/>
          <w:szCs w:val="24"/>
        </w:rPr>
        <w:t>Commercial Real Estate Price Index (“CREPI”)</w:t>
      </w:r>
    </w:p>
    <w:p w:rsidR="00431B86" w:rsidRDefault="00431B86" w:rsidP="00431B86">
      <w:pPr>
        <w:spacing w:line="240" w:lineRule="auto"/>
        <w:jc w:val="both"/>
        <w:rPr>
          <w:rFonts w:ascii="Times New Roman" w:hAnsi="Times New Roman"/>
          <w:spacing w:val="4"/>
          <w:sz w:val="24"/>
          <w:szCs w:val="24"/>
        </w:rPr>
      </w:pPr>
    </w:p>
    <w:p w:rsidR="00431B86" w:rsidRDefault="00431B86" w:rsidP="00431B86">
      <w:pPr>
        <w:spacing w:line="240" w:lineRule="auto"/>
        <w:jc w:val="both"/>
        <w:rPr>
          <w:rFonts w:ascii="Times New Roman" w:hAnsi="Times New Roman"/>
          <w:sz w:val="24"/>
          <w:szCs w:val="24"/>
        </w:rPr>
      </w:pPr>
      <w:r>
        <w:rPr>
          <w:rFonts w:ascii="Times New Roman" w:hAnsi="Times New Roman"/>
          <w:spacing w:val="4"/>
          <w:sz w:val="24"/>
          <w:szCs w:val="24"/>
        </w:rPr>
        <w:t xml:space="preserve">Our model </w:t>
      </w:r>
      <w:r>
        <w:rPr>
          <w:rFonts w:ascii="Times New Roman" w:hAnsi="Times New Roman"/>
          <w:spacing w:val="4"/>
          <w:sz w:val="24"/>
          <w:szCs w:val="24"/>
          <w:lang w:eastAsia="zh-CN"/>
        </w:rPr>
        <w:t>selection</w:t>
      </w:r>
      <w:r>
        <w:rPr>
          <w:rFonts w:ascii="Times New Roman" w:hAnsi="Times New Roman"/>
          <w:spacing w:val="4"/>
          <w:sz w:val="24"/>
          <w:szCs w:val="24"/>
        </w:rPr>
        <w:t xml:space="preserve"> process imposed the following criteria in selecting input and output va</w:t>
      </w:r>
      <w:r>
        <w:rPr>
          <w:rFonts w:ascii="Times New Roman" w:hAnsi="Times New Roman"/>
          <w:spacing w:val="4"/>
          <w:sz w:val="24"/>
          <w:szCs w:val="24"/>
        </w:rPr>
        <w:t>r</w:t>
      </w:r>
      <w:r>
        <w:rPr>
          <w:rFonts w:ascii="Times New Roman" w:hAnsi="Times New Roman"/>
          <w:spacing w:val="4"/>
          <w:sz w:val="24"/>
          <w:szCs w:val="24"/>
        </w:rPr>
        <w:t>ia</w:t>
      </w:r>
      <w:r>
        <w:rPr>
          <w:rFonts w:ascii="Times New Roman" w:hAnsi="Times New Roman"/>
          <w:sz w:val="24"/>
          <w:szCs w:val="24"/>
        </w:rPr>
        <w:t xml:space="preserve">bles across both </w:t>
      </w:r>
      <w:r>
        <w:rPr>
          <w:rFonts w:ascii="Times New Roman" w:hAnsi="Times New Roman"/>
          <w:sz w:val="24"/>
          <w:szCs w:val="24"/>
          <w:lang w:eastAsia="zh-CN"/>
        </w:rPr>
        <w:t>VAR and MS-VAR</w:t>
      </w:r>
      <w:r>
        <w:rPr>
          <w:rFonts w:ascii="Times New Roman" w:hAnsi="Times New Roman"/>
          <w:sz w:val="24"/>
          <w:szCs w:val="24"/>
        </w:rPr>
        <w:t xml:space="preserve"> models for the purposes of scenario generation</w:t>
      </w:r>
      <w:r>
        <w:rPr>
          <w:rStyle w:val="FootnoteReference"/>
          <w:rFonts w:ascii="Times New Roman" w:hAnsi="Times New Roman"/>
          <w:sz w:val="24"/>
          <w:szCs w:val="24"/>
        </w:rPr>
        <w:footnoteReference w:id="9"/>
      </w:r>
      <w:r>
        <w:rPr>
          <w:rFonts w:ascii="Times New Roman" w:hAnsi="Times New Roman"/>
          <w:sz w:val="24"/>
          <w:szCs w:val="24"/>
        </w:rPr>
        <w:t>:</w:t>
      </w:r>
    </w:p>
    <w:p w:rsidR="00431B86" w:rsidRPr="00832112" w:rsidRDefault="00431B86" w:rsidP="00431B86">
      <w:pPr>
        <w:pStyle w:val="ListParagraph"/>
        <w:numPr>
          <w:ilvl w:val="0"/>
          <w:numId w:val="12"/>
        </w:numPr>
        <w:spacing w:line="240" w:lineRule="auto"/>
        <w:jc w:val="both"/>
        <w:rPr>
          <w:rFonts w:ascii="Times New Roman" w:hAnsi="Times New Roman"/>
          <w:sz w:val="24"/>
          <w:szCs w:val="24"/>
        </w:rPr>
      </w:pPr>
      <w:r w:rsidRPr="00832112">
        <w:rPr>
          <w:rFonts w:ascii="Times New Roman" w:hAnsi="Times New Roman"/>
          <w:sz w:val="24"/>
          <w:szCs w:val="24"/>
        </w:rPr>
        <w:t>Transformations of chosen variables should indicate stationarity</w:t>
      </w:r>
    </w:p>
    <w:p w:rsidR="00431B86" w:rsidRPr="00832112" w:rsidRDefault="00431B86" w:rsidP="00431B86">
      <w:pPr>
        <w:pStyle w:val="ListParagraph"/>
        <w:numPr>
          <w:ilvl w:val="0"/>
          <w:numId w:val="12"/>
        </w:numPr>
        <w:spacing w:line="240" w:lineRule="auto"/>
        <w:jc w:val="both"/>
        <w:rPr>
          <w:rFonts w:ascii="Times New Roman" w:hAnsi="Times New Roman"/>
          <w:sz w:val="24"/>
          <w:szCs w:val="24"/>
        </w:rPr>
      </w:pPr>
      <w:r w:rsidRPr="00832112">
        <w:rPr>
          <w:rFonts w:ascii="Times New Roman" w:hAnsi="Times New Roman"/>
          <w:sz w:val="24"/>
          <w:szCs w:val="24"/>
        </w:rPr>
        <w:t>Signs of coefficient estimates are economically intuitive</w:t>
      </w:r>
    </w:p>
    <w:p w:rsidR="00431B86" w:rsidRPr="00832112" w:rsidRDefault="00431B86" w:rsidP="00431B86">
      <w:pPr>
        <w:pStyle w:val="ListParagraph"/>
        <w:numPr>
          <w:ilvl w:val="0"/>
          <w:numId w:val="12"/>
        </w:numPr>
        <w:spacing w:line="240" w:lineRule="auto"/>
        <w:jc w:val="both"/>
        <w:rPr>
          <w:rFonts w:ascii="Times New Roman" w:hAnsi="Times New Roman"/>
          <w:sz w:val="24"/>
          <w:szCs w:val="24"/>
        </w:rPr>
      </w:pPr>
      <w:r w:rsidRPr="00832112">
        <w:rPr>
          <w:rFonts w:ascii="Times New Roman" w:hAnsi="Times New Roman"/>
          <w:sz w:val="24"/>
          <w:szCs w:val="24"/>
        </w:rPr>
        <w:t>Probability values of coefficient estimates indicate statistical significance at conventional confidence levels</w:t>
      </w:r>
    </w:p>
    <w:p w:rsidR="00431B86" w:rsidRPr="00832112" w:rsidRDefault="00431B86" w:rsidP="00431B86">
      <w:pPr>
        <w:pStyle w:val="ListParagraph"/>
        <w:numPr>
          <w:ilvl w:val="0"/>
          <w:numId w:val="12"/>
        </w:numPr>
        <w:spacing w:line="240" w:lineRule="auto"/>
        <w:jc w:val="both"/>
        <w:rPr>
          <w:rFonts w:ascii="Times New Roman" w:hAnsi="Times New Roman"/>
          <w:sz w:val="24"/>
          <w:szCs w:val="24"/>
        </w:rPr>
      </w:pPr>
      <w:r w:rsidRPr="00832112">
        <w:rPr>
          <w:rFonts w:ascii="Times New Roman" w:hAnsi="Times New Roman"/>
          <w:sz w:val="24"/>
          <w:szCs w:val="24"/>
        </w:rPr>
        <w:t>Residual diagnostics indicate white noise behavior</w:t>
      </w:r>
    </w:p>
    <w:p w:rsidR="00431B86" w:rsidRPr="00832112" w:rsidRDefault="00431B86" w:rsidP="00431B86">
      <w:pPr>
        <w:pStyle w:val="ListParagraph"/>
        <w:numPr>
          <w:ilvl w:val="0"/>
          <w:numId w:val="12"/>
        </w:numPr>
        <w:spacing w:line="240" w:lineRule="auto"/>
        <w:jc w:val="both"/>
        <w:rPr>
          <w:rFonts w:ascii="Times New Roman" w:hAnsi="Times New Roman"/>
          <w:sz w:val="24"/>
          <w:szCs w:val="24"/>
        </w:rPr>
      </w:pPr>
      <w:r w:rsidRPr="00832112">
        <w:rPr>
          <w:rFonts w:ascii="Times New Roman" w:hAnsi="Times New Roman"/>
          <w:sz w:val="24"/>
          <w:szCs w:val="24"/>
        </w:rPr>
        <w:t xml:space="preserve">Model performance metrics (goodness of fit, risk ranking and cumulative error measures) are within industry accepted thresholds of acceptability </w:t>
      </w:r>
    </w:p>
    <w:p w:rsidR="00431B86" w:rsidRPr="00832112" w:rsidRDefault="00431B86" w:rsidP="00431B86">
      <w:pPr>
        <w:pStyle w:val="ListParagraph"/>
        <w:numPr>
          <w:ilvl w:val="0"/>
          <w:numId w:val="12"/>
        </w:numPr>
        <w:spacing w:line="240" w:lineRule="auto"/>
        <w:jc w:val="both"/>
        <w:rPr>
          <w:rFonts w:ascii="Times New Roman" w:hAnsi="Times New Roman"/>
          <w:sz w:val="24"/>
          <w:szCs w:val="24"/>
        </w:rPr>
      </w:pPr>
      <w:r w:rsidRPr="00832112">
        <w:rPr>
          <w:rFonts w:ascii="Times New Roman" w:hAnsi="Times New Roman"/>
          <w:sz w:val="24"/>
          <w:szCs w:val="24"/>
        </w:rPr>
        <w:t>Scenarios rank order intuitively (i.e., severely adverse scenario stress losses exceeding scenario base expected losses)</w:t>
      </w:r>
    </w:p>
    <w:p w:rsidR="00095175" w:rsidRDefault="00431B86" w:rsidP="00431B86">
      <w:pPr>
        <w:rPr>
          <w:rFonts w:ascii="Times New Roman" w:hAnsi="Times New Roman"/>
          <w:sz w:val="24"/>
          <w:szCs w:val="24"/>
          <w:lang w:eastAsia="zh-CN"/>
        </w:rPr>
      </w:pPr>
      <w:r>
        <w:rPr>
          <w:rFonts w:ascii="Times New Roman" w:hAnsi="Times New Roman"/>
          <w:b/>
          <w:spacing w:val="2"/>
          <w:sz w:val="24"/>
          <w:szCs w:val="24"/>
        </w:rPr>
        <w:br w:type="page"/>
      </w:r>
      <w:r w:rsidR="00095175">
        <w:rPr>
          <w:noProof/>
        </w:rPr>
        <w:lastRenderedPageBreak/>
        <w:drawing>
          <wp:inline distT="0" distB="0" distL="0" distR="0" wp14:anchorId="667C5749" wp14:editId="4B2D6DC0">
            <wp:extent cx="6186792" cy="3240131"/>
            <wp:effectExtent l="19050" t="19050" r="24130" b="177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9"/>
                    <a:stretch>
                      <a:fillRect/>
                    </a:stretch>
                  </pic:blipFill>
                  <pic:spPr>
                    <a:xfrm>
                      <a:off x="0" y="0"/>
                      <a:ext cx="6192448" cy="3243093"/>
                    </a:xfrm>
                    <a:prstGeom prst="rect">
                      <a:avLst/>
                    </a:prstGeom>
                    <a:ln>
                      <a:solidFill>
                        <a:schemeClr val="tx1"/>
                      </a:solidFill>
                    </a:ln>
                  </pic:spPr>
                </pic:pic>
              </a:graphicData>
            </a:graphic>
          </wp:inline>
        </w:drawing>
      </w:r>
    </w:p>
    <w:p w:rsidR="00095175" w:rsidRDefault="00095175" w:rsidP="00095175">
      <w:pPr>
        <w:spacing w:beforeLines="100" w:before="240" w:afterLines="100" w:after="240" w:line="300" w:lineRule="atLeast"/>
        <w:jc w:val="both"/>
        <w:rPr>
          <w:rFonts w:ascii="Times New Roman" w:hAnsi="Times New Roman"/>
          <w:sz w:val="24"/>
          <w:szCs w:val="24"/>
          <w:lang w:eastAsia="zh-CN"/>
        </w:rPr>
      </w:pPr>
      <w:r>
        <w:rPr>
          <w:rFonts w:ascii="Times New Roman" w:hAnsi="Times New Roman"/>
          <w:b/>
          <w:sz w:val="24"/>
          <w:szCs w:val="24"/>
        </w:rPr>
        <w:t>Figure 1</w:t>
      </w:r>
      <w:r>
        <w:rPr>
          <w:rFonts w:ascii="Times New Roman" w:hAnsi="Times New Roman"/>
          <w:sz w:val="24"/>
          <w:szCs w:val="24"/>
        </w:rPr>
        <w:t xml:space="preserve">  Time </w:t>
      </w:r>
      <w:r>
        <w:rPr>
          <w:rFonts w:ascii="Times New Roman" w:hAnsi="Times New Roman"/>
          <w:sz w:val="24"/>
          <w:szCs w:val="24"/>
          <w:lang w:eastAsia="zh-CN"/>
        </w:rPr>
        <w:t>S</w:t>
      </w:r>
      <w:r>
        <w:rPr>
          <w:rFonts w:ascii="Times New Roman" w:hAnsi="Times New Roman"/>
          <w:sz w:val="24"/>
          <w:szCs w:val="24"/>
        </w:rPr>
        <w:t xml:space="preserve">eries and Base Scenarios - </w:t>
      </w:r>
      <w:r>
        <w:rPr>
          <w:rFonts w:ascii="Times New Roman" w:hAnsi="Times New Roman"/>
          <w:sz w:val="24"/>
          <w:szCs w:val="24"/>
          <w:lang w:eastAsia="zh-CN"/>
        </w:rPr>
        <w:t>U</w:t>
      </w:r>
      <w:r>
        <w:rPr>
          <w:rFonts w:ascii="Times New Roman" w:hAnsi="Times New Roman"/>
          <w:sz w:val="24"/>
          <w:szCs w:val="24"/>
        </w:rPr>
        <w:t xml:space="preserve">nemployment </w:t>
      </w:r>
      <w:r>
        <w:rPr>
          <w:rFonts w:ascii="Times New Roman" w:hAnsi="Times New Roman"/>
          <w:sz w:val="24"/>
          <w:szCs w:val="24"/>
          <w:lang w:eastAsia="zh-CN"/>
        </w:rPr>
        <w:t>R</w:t>
      </w:r>
      <w:r>
        <w:rPr>
          <w:rFonts w:ascii="Times New Roman" w:hAnsi="Times New Roman"/>
          <w:sz w:val="24"/>
          <w:szCs w:val="24"/>
        </w:rPr>
        <w:t>ate (Federal Reserve Board 4Q91-4Q15 and Jacobs et al (2018) Models)</w:t>
      </w:r>
      <w:r>
        <w:rPr>
          <w:rFonts w:ascii="Times New Roman" w:hAnsi="Times New Roman"/>
          <w:sz w:val="24"/>
          <w:szCs w:val="24"/>
          <w:lang w:eastAsia="zh-CN"/>
        </w:rPr>
        <w:t>.</w:t>
      </w:r>
    </w:p>
    <w:p w:rsidR="00AE5135" w:rsidRDefault="00AE5135" w:rsidP="00AE5135">
      <w:pPr>
        <w:spacing w:beforeLines="100" w:before="240" w:afterLines="100" w:after="240" w:line="300" w:lineRule="atLeast"/>
        <w:jc w:val="center"/>
        <w:rPr>
          <w:rFonts w:ascii="Times New Roman" w:hAnsi="Times New Roman"/>
          <w:sz w:val="24"/>
          <w:szCs w:val="24"/>
          <w:lang w:eastAsia="zh-CN"/>
        </w:rPr>
      </w:pPr>
      <w:r>
        <w:rPr>
          <w:noProof/>
        </w:rPr>
        <w:drawing>
          <wp:inline distT="0" distB="0" distL="0" distR="0" wp14:anchorId="7574C6F6" wp14:editId="1C01BBC3">
            <wp:extent cx="6110923" cy="3200400"/>
            <wp:effectExtent l="19050" t="19050" r="23495" b="1905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0"/>
                    <a:stretch>
                      <a:fillRect/>
                    </a:stretch>
                  </pic:blipFill>
                  <pic:spPr>
                    <a:xfrm>
                      <a:off x="0" y="0"/>
                      <a:ext cx="6110923" cy="3200400"/>
                    </a:xfrm>
                    <a:prstGeom prst="rect">
                      <a:avLst/>
                    </a:prstGeom>
                    <a:ln>
                      <a:solidFill>
                        <a:schemeClr val="tx1"/>
                      </a:solidFill>
                    </a:ln>
                  </pic:spPr>
                </pic:pic>
              </a:graphicData>
            </a:graphic>
          </wp:inline>
        </w:drawing>
      </w:r>
    </w:p>
    <w:p w:rsidR="00431B86" w:rsidRDefault="00AE5135" w:rsidP="00AE5135">
      <w:pPr>
        <w:spacing w:beforeLines="100" w:before="240" w:afterLines="100" w:after="240" w:line="300" w:lineRule="atLeast"/>
        <w:jc w:val="both"/>
        <w:rPr>
          <w:rFonts w:ascii="Times New Roman" w:hAnsi="Times New Roman"/>
          <w:sz w:val="24"/>
          <w:szCs w:val="24"/>
          <w:lang w:eastAsia="zh-CN"/>
        </w:rPr>
      </w:pPr>
      <w:r>
        <w:rPr>
          <w:rFonts w:ascii="Times New Roman" w:hAnsi="Times New Roman"/>
          <w:b/>
          <w:sz w:val="24"/>
          <w:szCs w:val="24"/>
        </w:rPr>
        <w:t>Figure 2</w:t>
      </w:r>
      <w:r>
        <w:rPr>
          <w:rFonts w:ascii="Times New Roman" w:hAnsi="Times New Roman"/>
          <w:sz w:val="24"/>
          <w:szCs w:val="24"/>
        </w:rPr>
        <w:t xml:space="preserve">  Time </w:t>
      </w:r>
      <w:r>
        <w:rPr>
          <w:rFonts w:ascii="Times New Roman" w:hAnsi="Times New Roman"/>
          <w:sz w:val="24"/>
          <w:szCs w:val="24"/>
          <w:lang w:eastAsia="zh-CN"/>
        </w:rPr>
        <w:t>S</w:t>
      </w:r>
      <w:r>
        <w:rPr>
          <w:rFonts w:ascii="Times New Roman" w:hAnsi="Times New Roman"/>
          <w:sz w:val="24"/>
          <w:szCs w:val="24"/>
        </w:rPr>
        <w:t xml:space="preserve">eries and Base Scenarios - Commercial and Industrial Loans to Total Assets (FDIC </w:t>
      </w:r>
      <w:r w:rsidRPr="002E4B3C">
        <w:rPr>
          <w:rFonts w:ascii="Times New Roman" w:hAnsi="Times New Roman"/>
          <w:sz w:val="24"/>
          <w:szCs w:val="24"/>
        </w:rPr>
        <w:t>SDI</w:t>
      </w:r>
      <w:r>
        <w:rPr>
          <w:rFonts w:ascii="Times New Roman" w:hAnsi="Times New Roman"/>
          <w:sz w:val="24"/>
          <w:szCs w:val="24"/>
        </w:rPr>
        <w:t xml:space="preserve"> R</w:t>
      </w:r>
      <w:r w:rsidRPr="002E4B3C">
        <w:rPr>
          <w:rFonts w:ascii="Times New Roman" w:hAnsi="Times New Roman"/>
          <w:sz w:val="24"/>
          <w:szCs w:val="24"/>
        </w:rPr>
        <w:t>eport</w:t>
      </w:r>
      <w:r>
        <w:rPr>
          <w:rFonts w:ascii="Times New Roman" w:hAnsi="Times New Roman"/>
          <w:sz w:val="24"/>
          <w:szCs w:val="24"/>
        </w:rPr>
        <w:t>, Federal Reserve Board 4Q91-4Q15 and Jacobs et al (2018) Models)</w:t>
      </w:r>
      <w:r>
        <w:rPr>
          <w:rFonts w:ascii="Times New Roman" w:hAnsi="Times New Roman"/>
          <w:sz w:val="24"/>
          <w:szCs w:val="24"/>
          <w:lang w:eastAsia="zh-CN"/>
        </w:rPr>
        <w:t>.</w:t>
      </w:r>
    </w:p>
    <w:p w:rsidR="00431B86" w:rsidRDefault="00431B86">
      <w:pPr>
        <w:rPr>
          <w:rFonts w:ascii="Times New Roman" w:hAnsi="Times New Roman"/>
          <w:sz w:val="24"/>
          <w:szCs w:val="24"/>
          <w:lang w:eastAsia="zh-CN"/>
        </w:rPr>
      </w:pPr>
      <w:r>
        <w:rPr>
          <w:rFonts w:ascii="Times New Roman" w:hAnsi="Times New Roman"/>
          <w:sz w:val="24"/>
          <w:szCs w:val="24"/>
          <w:lang w:eastAsia="zh-CN"/>
        </w:rPr>
        <w:br w:type="page"/>
      </w:r>
    </w:p>
    <w:p w:rsidR="00431B86" w:rsidRDefault="00431B86" w:rsidP="00431B86">
      <w:pPr>
        <w:spacing w:beforeLines="100" w:before="240" w:afterLines="50" w:after="120" w:line="300" w:lineRule="atLeast"/>
        <w:ind w:right="562"/>
        <w:jc w:val="both"/>
        <w:rPr>
          <w:rFonts w:ascii="Times New Roman" w:hAnsi="Times New Roman"/>
          <w:sz w:val="24"/>
          <w:szCs w:val="24"/>
          <w:lang w:eastAsia="zh-CN"/>
        </w:rPr>
      </w:pPr>
      <w:r>
        <w:rPr>
          <w:rFonts w:ascii="Times New Roman" w:hAnsi="Times New Roman"/>
          <w:b/>
          <w:spacing w:val="2"/>
          <w:sz w:val="24"/>
          <w:szCs w:val="24"/>
        </w:rPr>
        <w:lastRenderedPageBreak/>
        <w:t>Table 1</w:t>
      </w:r>
      <w:r>
        <w:rPr>
          <w:rFonts w:ascii="Times New Roman" w:hAnsi="Times New Roman"/>
          <w:b/>
          <w:spacing w:val="2"/>
          <w:sz w:val="24"/>
          <w:szCs w:val="24"/>
          <w:lang w:eastAsia="zh-CN"/>
        </w:rPr>
        <w:t>.</w:t>
      </w:r>
      <w:r>
        <w:rPr>
          <w:rFonts w:ascii="Times New Roman" w:hAnsi="Times New Roman"/>
          <w:spacing w:val="2"/>
          <w:sz w:val="24"/>
          <w:szCs w:val="24"/>
        </w:rPr>
        <w:t xml:space="preserve"> Summary </w:t>
      </w:r>
      <w:r>
        <w:rPr>
          <w:rFonts w:ascii="Times New Roman" w:hAnsi="Times New Roman"/>
          <w:spacing w:val="2"/>
          <w:sz w:val="24"/>
          <w:szCs w:val="24"/>
          <w:lang w:eastAsia="zh-CN"/>
        </w:rPr>
        <w:t>S</w:t>
      </w:r>
      <w:r>
        <w:rPr>
          <w:rFonts w:ascii="Times New Roman" w:hAnsi="Times New Roman"/>
          <w:spacing w:val="2"/>
          <w:sz w:val="24"/>
          <w:szCs w:val="24"/>
        </w:rPr>
        <w:t xml:space="preserve">tatistics and Correlations of </w:t>
      </w:r>
      <w:r>
        <w:rPr>
          <w:rFonts w:ascii="Times New Roman" w:hAnsi="Times New Roman"/>
          <w:spacing w:val="2"/>
          <w:sz w:val="24"/>
          <w:szCs w:val="24"/>
          <w:lang w:eastAsia="zh-CN"/>
        </w:rPr>
        <w:t>H</w:t>
      </w:r>
      <w:r>
        <w:rPr>
          <w:rFonts w:ascii="Times New Roman" w:hAnsi="Times New Roman"/>
          <w:spacing w:val="2"/>
          <w:sz w:val="24"/>
          <w:szCs w:val="24"/>
        </w:rPr>
        <w:t xml:space="preserve">istorical Y9 Credit Loss </w:t>
      </w:r>
      <w:r>
        <w:rPr>
          <w:rFonts w:ascii="Times New Roman" w:hAnsi="Times New Roman"/>
          <w:spacing w:val="2"/>
          <w:sz w:val="24"/>
          <w:szCs w:val="24"/>
          <w:lang w:eastAsia="zh-CN"/>
        </w:rPr>
        <w:t>R</w:t>
      </w:r>
      <w:r>
        <w:rPr>
          <w:rFonts w:ascii="Times New Roman" w:hAnsi="Times New Roman"/>
          <w:spacing w:val="2"/>
          <w:sz w:val="24"/>
          <w:szCs w:val="24"/>
        </w:rPr>
        <w:t>ates, Banking System Idiosyncratic Variables and M</w:t>
      </w:r>
      <w:r>
        <w:rPr>
          <w:rFonts w:ascii="Times New Roman" w:hAnsi="Times New Roman"/>
          <w:sz w:val="24"/>
          <w:szCs w:val="24"/>
        </w:rPr>
        <w:t xml:space="preserve">acroeconomic Variables </w:t>
      </w:r>
      <w:r>
        <w:rPr>
          <w:rFonts w:ascii="Times New Roman" w:hAnsi="Times New Roman"/>
          <w:sz w:val="24"/>
          <w:szCs w:val="24"/>
          <w:lang w:eastAsia="zh-CN"/>
        </w:rPr>
        <w:t>(</w:t>
      </w:r>
      <w:r>
        <w:rPr>
          <w:rFonts w:ascii="Times New Roman" w:hAnsi="Times New Roman"/>
          <w:sz w:val="24"/>
          <w:szCs w:val="24"/>
        </w:rPr>
        <w:t xml:space="preserve">FDIC </w:t>
      </w:r>
      <w:r w:rsidRPr="002E4B3C">
        <w:rPr>
          <w:rFonts w:ascii="Times New Roman" w:hAnsi="Times New Roman"/>
          <w:sz w:val="24"/>
          <w:szCs w:val="24"/>
        </w:rPr>
        <w:t>SDI</w:t>
      </w:r>
      <w:r>
        <w:rPr>
          <w:rFonts w:ascii="Times New Roman" w:hAnsi="Times New Roman"/>
          <w:sz w:val="24"/>
          <w:szCs w:val="24"/>
        </w:rPr>
        <w:t xml:space="preserve"> R</w:t>
      </w:r>
      <w:r w:rsidRPr="002E4B3C">
        <w:rPr>
          <w:rFonts w:ascii="Times New Roman" w:hAnsi="Times New Roman"/>
          <w:sz w:val="24"/>
          <w:szCs w:val="24"/>
        </w:rPr>
        <w:t>eport</w:t>
      </w:r>
      <w:r>
        <w:rPr>
          <w:rFonts w:ascii="Times New Roman" w:hAnsi="Times New Roman"/>
          <w:sz w:val="24"/>
          <w:szCs w:val="24"/>
        </w:rPr>
        <w:t xml:space="preserve"> and Federal Reserve Board 4Q91-4Q15).</w:t>
      </w:r>
    </w:p>
    <w:p w:rsidR="00431B86" w:rsidRDefault="00431B86" w:rsidP="00431B86">
      <w:pPr>
        <w:spacing w:beforeLines="100" w:before="240" w:afterLines="50" w:after="120" w:line="300" w:lineRule="atLeast"/>
        <w:ind w:right="562"/>
        <w:jc w:val="both"/>
        <w:rPr>
          <w:rFonts w:ascii="Times New Roman" w:hAnsi="Times New Roman"/>
          <w:spacing w:val="-4"/>
          <w:sz w:val="24"/>
          <w:szCs w:val="24"/>
        </w:rPr>
      </w:pPr>
      <w:r w:rsidRPr="003F4B15">
        <w:rPr>
          <w:noProof/>
        </w:rPr>
        <w:drawing>
          <wp:inline distT="0" distB="0" distL="0" distR="0" wp14:anchorId="576A8852" wp14:editId="2CFC9140">
            <wp:extent cx="7319006" cy="3839350"/>
            <wp:effectExtent l="25083" t="13017" r="21907" b="2190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rot="5400000">
                      <a:off x="0" y="0"/>
                      <a:ext cx="7319006" cy="3839350"/>
                    </a:xfrm>
                    <a:prstGeom prst="rect">
                      <a:avLst/>
                    </a:prstGeom>
                    <a:ln>
                      <a:solidFill>
                        <a:schemeClr val="accent1"/>
                      </a:solidFill>
                    </a:ln>
                  </pic:spPr>
                </pic:pic>
              </a:graphicData>
            </a:graphic>
          </wp:inline>
        </w:drawing>
      </w:r>
      <w:r>
        <w:rPr>
          <w:rFonts w:ascii="Times New Roman" w:hAnsi="Times New Roman"/>
          <w:spacing w:val="-4"/>
          <w:sz w:val="24"/>
          <w:szCs w:val="24"/>
        </w:rPr>
        <w:t xml:space="preserve"> </w:t>
      </w:r>
    </w:p>
    <w:p w:rsidR="00167769" w:rsidRDefault="00167769" w:rsidP="00832112">
      <w:pPr>
        <w:spacing w:line="240" w:lineRule="auto"/>
        <w:jc w:val="both"/>
        <w:rPr>
          <w:rFonts w:ascii="Times New Roman" w:hAnsi="Times New Roman"/>
          <w:sz w:val="24"/>
          <w:szCs w:val="24"/>
        </w:rPr>
      </w:pPr>
      <w:r w:rsidRPr="00832112">
        <w:rPr>
          <w:rFonts w:ascii="Times New Roman" w:hAnsi="Times New Roman"/>
          <w:sz w:val="24"/>
          <w:szCs w:val="24"/>
        </w:rPr>
        <w:lastRenderedPageBreak/>
        <w:t>We considered a diverse set of macroeconomic drivers representing varied dimensions of the economic envi</w:t>
      </w:r>
      <w:r>
        <w:rPr>
          <w:rFonts w:ascii="Times New Roman" w:hAnsi="Times New Roman"/>
          <w:sz w:val="24"/>
          <w:szCs w:val="24"/>
        </w:rPr>
        <w:t xml:space="preserve">ronment, and a </w:t>
      </w:r>
      <w:r w:rsidRPr="00832112">
        <w:rPr>
          <w:rFonts w:ascii="Times New Roman" w:hAnsi="Times New Roman"/>
          <w:sz w:val="24"/>
          <w:szCs w:val="24"/>
        </w:rPr>
        <w:t>sufficient</w:t>
      </w:r>
      <w:r>
        <w:rPr>
          <w:rFonts w:ascii="Times New Roman" w:hAnsi="Times New Roman"/>
          <w:sz w:val="24"/>
          <w:szCs w:val="24"/>
        </w:rPr>
        <w:t xml:space="preserve"> number of drivers </w:t>
      </w:r>
      <w:r>
        <w:rPr>
          <w:rFonts w:ascii="Times New Roman" w:hAnsi="Times New Roman"/>
          <w:sz w:val="24"/>
          <w:szCs w:val="24"/>
          <w:lang w:eastAsia="zh-CN"/>
        </w:rPr>
        <w:t>(</w:t>
      </w:r>
      <w:r>
        <w:rPr>
          <w:rFonts w:ascii="Times New Roman" w:hAnsi="Times New Roman"/>
          <w:sz w:val="24"/>
          <w:szCs w:val="24"/>
        </w:rPr>
        <w:t xml:space="preserve">balancing the consideration of </w:t>
      </w:r>
      <w:r>
        <w:rPr>
          <w:rFonts w:ascii="Times New Roman" w:hAnsi="Times New Roman"/>
          <w:spacing w:val="4"/>
          <w:sz w:val="24"/>
          <w:szCs w:val="24"/>
        </w:rPr>
        <w:t>avoiding over-fitting) by industry standards (i.e., at least 2–3 and no more than 5–7 ind</w:t>
      </w:r>
      <w:r>
        <w:rPr>
          <w:rFonts w:ascii="Times New Roman" w:hAnsi="Times New Roman"/>
          <w:spacing w:val="4"/>
          <w:sz w:val="24"/>
          <w:szCs w:val="24"/>
        </w:rPr>
        <w:t>e</w:t>
      </w:r>
      <w:r>
        <w:rPr>
          <w:rFonts w:ascii="Times New Roman" w:hAnsi="Times New Roman"/>
          <w:spacing w:val="4"/>
          <w:sz w:val="24"/>
          <w:szCs w:val="24"/>
        </w:rPr>
        <w:t>pendent variables)</w:t>
      </w:r>
      <w:r>
        <w:rPr>
          <w:rFonts w:ascii="Times New Roman" w:hAnsi="Times New Roman"/>
          <w:sz w:val="24"/>
          <w:szCs w:val="24"/>
        </w:rPr>
        <w:t xml:space="preserve">. </w:t>
      </w:r>
      <w:r w:rsidR="00081661">
        <w:rPr>
          <w:rFonts w:ascii="Times New Roman" w:hAnsi="Times New Roman"/>
          <w:sz w:val="24"/>
          <w:szCs w:val="24"/>
        </w:rPr>
        <w:t xml:space="preserve"> </w:t>
      </w:r>
      <w:r>
        <w:rPr>
          <w:rFonts w:ascii="Times New Roman" w:hAnsi="Times New Roman"/>
          <w:sz w:val="24"/>
          <w:szCs w:val="24"/>
        </w:rPr>
        <w:t xml:space="preserve">According to these criteria, we identify the optimal set focusing </w:t>
      </w:r>
      <w:r>
        <w:rPr>
          <w:rFonts w:ascii="Times New Roman" w:hAnsi="Times New Roman"/>
          <w:sz w:val="24"/>
          <w:szCs w:val="24"/>
          <w:lang w:eastAsia="zh-CN"/>
        </w:rPr>
        <w:t>on</w:t>
      </w:r>
      <w:r>
        <w:rPr>
          <w:rFonts w:ascii="Times New Roman" w:hAnsi="Times New Roman"/>
          <w:sz w:val="24"/>
          <w:szCs w:val="24"/>
        </w:rPr>
        <w:t xml:space="preserve"> 5 of the 9 most commonly used national Fed CCAR MVs as input variables in the VAR model:</w:t>
      </w:r>
    </w:p>
    <w:p w:rsidR="00167769" w:rsidRDefault="00167769"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UNEMP</w:t>
      </w:r>
    </w:p>
    <w:p w:rsidR="00347AE8" w:rsidRDefault="00347AE8"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BBBCY</w:t>
      </w:r>
    </w:p>
    <w:p w:rsidR="00167769" w:rsidRDefault="00167769"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CREPI</w:t>
      </w:r>
    </w:p>
    <w:p w:rsidR="00167769" w:rsidRDefault="00167769"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VIX</w:t>
      </w:r>
    </w:p>
    <w:p w:rsidR="00347AE8" w:rsidRDefault="00347AE8" w:rsidP="00666164">
      <w:pPr>
        <w:pStyle w:val="ListParagraph"/>
        <w:numPr>
          <w:ilvl w:val="0"/>
          <w:numId w:val="12"/>
        </w:numPr>
        <w:spacing w:line="240" w:lineRule="auto"/>
        <w:jc w:val="both"/>
        <w:rPr>
          <w:rFonts w:ascii="Times New Roman" w:hAnsi="Times New Roman"/>
          <w:sz w:val="24"/>
          <w:szCs w:val="24"/>
        </w:rPr>
      </w:pPr>
      <w:r>
        <w:rPr>
          <w:rFonts w:ascii="Times New Roman" w:hAnsi="Times New Roman"/>
          <w:sz w:val="24"/>
          <w:szCs w:val="24"/>
        </w:rPr>
        <w:t>CORPSPR</w:t>
      </w:r>
    </w:p>
    <w:p w:rsidR="00167769" w:rsidRPr="00666164" w:rsidRDefault="00167769" w:rsidP="00666164">
      <w:pPr>
        <w:spacing w:line="240" w:lineRule="auto"/>
        <w:jc w:val="both"/>
        <w:rPr>
          <w:rFonts w:ascii="Times New Roman" w:hAnsi="Times New Roman"/>
          <w:sz w:val="24"/>
          <w:szCs w:val="24"/>
        </w:rPr>
      </w:pPr>
      <w:r w:rsidRPr="00666164">
        <w:rPr>
          <w:rFonts w:ascii="Times New Roman" w:hAnsi="Times New Roman"/>
          <w:sz w:val="24"/>
          <w:szCs w:val="24"/>
        </w:rPr>
        <w:t xml:space="preserve">Similarly, we identify the following </w:t>
      </w:r>
      <w:r w:rsidR="00347AE8" w:rsidRPr="00666164">
        <w:rPr>
          <w:rFonts w:ascii="Times New Roman" w:hAnsi="Times New Roman"/>
          <w:sz w:val="24"/>
          <w:szCs w:val="24"/>
        </w:rPr>
        <w:t xml:space="preserve">balance sheet items, banking aggregate idiosyncratic factors, </w:t>
      </w:r>
      <w:r w:rsidRPr="00666164">
        <w:rPr>
          <w:rFonts w:ascii="Times New Roman" w:hAnsi="Times New Roman"/>
          <w:sz w:val="24"/>
          <w:szCs w:val="24"/>
        </w:rPr>
        <w:t>according to the same criteria</w:t>
      </w:r>
      <w:r w:rsidR="00347AE8" w:rsidRPr="00666164">
        <w:rPr>
          <w:rFonts w:ascii="Times New Roman" w:hAnsi="Times New Roman"/>
          <w:sz w:val="24"/>
          <w:szCs w:val="24"/>
        </w:rPr>
        <w:t>:</w:t>
      </w:r>
    </w:p>
    <w:p w:rsidR="00167769" w:rsidRPr="00666164" w:rsidRDefault="00347AE8" w:rsidP="00666164">
      <w:pPr>
        <w:pStyle w:val="ListParagraph"/>
        <w:numPr>
          <w:ilvl w:val="0"/>
          <w:numId w:val="13"/>
        </w:numPr>
        <w:spacing w:line="240" w:lineRule="auto"/>
        <w:jc w:val="both"/>
        <w:rPr>
          <w:rFonts w:ascii="Times New Roman" w:hAnsi="Times New Roman"/>
          <w:sz w:val="24"/>
          <w:szCs w:val="24"/>
        </w:rPr>
      </w:pPr>
      <w:r w:rsidRPr="00666164">
        <w:rPr>
          <w:rFonts w:ascii="Times New Roman" w:hAnsi="Times New Roman"/>
          <w:sz w:val="24"/>
          <w:szCs w:val="24"/>
        </w:rPr>
        <w:t>Commercial and Industrial Loans</w:t>
      </w:r>
      <w:r w:rsidR="00167769" w:rsidRPr="00666164">
        <w:rPr>
          <w:rFonts w:ascii="Times New Roman" w:hAnsi="Times New Roman"/>
          <w:sz w:val="24"/>
          <w:szCs w:val="24"/>
        </w:rPr>
        <w:t xml:space="preserve"> </w:t>
      </w:r>
      <w:r w:rsidRPr="00666164">
        <w:rPr>
          <w:rFonts w:ascii="Times New Roman" w:hAnsi="Times New Roman"/>
          <w:sz w:val="24"/>
          <w:szCs w:val="24"/>
        </w:rPr>
        <w:t xml:space="preserve">to Total Assets </w:t>
      </w:r>
      <w:r w:rsidR="00167769" w:rsidRPr="00666164">
        <w:rPr>
          <w:rFonts w:ascii="Times New Roman" w:hAnsi="Times New Roman"/>
          <w:sz w:val="24"/>
          <w:szCs w:val="24"/>
        </w:rPr>
        <w:t>(“</w:t>
      </w:r>
      <w:r w:rsidRPr="00666164">
        <w:rPr>
          <w:rFonts w:ascii="Times New Roman" w:hAnsi="Times New Roman"/>
          <w:sz w:val="24"/>
          <w:szCs w:val="24"/>
        </w:rPr>
        <w:t>CILTA</w:t>
      </w:r>
      <w:r w:rsidR="00167769" w:rsidRPr="00666164">
        <w:rPr>
          <w:rFonts w:ascii="Times New Roman" w:hAnsi="Times New Roman"/>
          <w:sz w:val="24"/>
          <w:szCs w:val="24"/>
        </w:rPr>
        <w:t>”)</w:t>
      </w:r>
    </w:p>
    <w:p w:rsidR="00347AE8" w:rsidRDefault="00347AE8"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Commercial and Development Loans Growth Rate (“CDLGR”)</w:t>
      </w:r>
    </w:p>
    <w:p w:rsidR="00347AE8" w:rsidRDefault="00347AE8"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Trading Account Assets to Total Assets (“TAATA”)</w:t>
      </w:r>
    </w:p>
    <w:p w:rsidR="00347AE8" w:rsidRDefault="00347AE8"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Other Real Estate Owned to Total Assets (“OROTA”)</w:t>
      </w:r>
    </w:p>
    <w:p w:rsidR="00347AE8" w:rsidRDefault="00347AE8" w:rsidP="00666164">
      <w:pPr>
        <w:pStyle w:val="ListParagraph"/>
        <w:numPr>
          <w:ilvl w:val="0"/>
          <w:numId w:val="12"/>
        </w:numPr>
        <w:spacing w:line="240" w:lineRule="auto"/>
        <w:jc w:val="both"/>
        <w:rPr>
          <w:rFonts w:ascii="Times New Roman" w:hAnsi="Times New Roman"/>
          <w:sz w:val="24"/>
          <w:szCs w:val="24"/>
        </w:rPr>
      </w:pPr>
      <w:r>
        <w:rPr>
          <w:rFonts w:ascii="Times New Roman" w:hAnsi="Times New Roman"/>
          <w:sz w:val="24"/>
          <w:szCs w:val="24"/>
        </w:rPr>
        <w:t>Total Unused Commitments Growth Rate (“TUCGR”)</w:t>
      </w:r>
    </w:p>
    <w:p w:rsidR="00A357F0" w:rsidRDefault="00167769" w:rsidP="00095175">
      <w:pPr>
        <w:spacing w:line="240" w:lineRule="auto"/>
        <w:jc w:val="both"/>
        <w:rPr>
          <w:rFonts w:ascii="Times New Roman" w:hAnsi="Times New Roman"/>
          <w:sz w:val="24"/>
          <w:szCs w:val="24"/>
        </w:rPr>
      </w:pPr>
      <w:r w:rsidRPr="00666164">
        <w:rPr>
          <w:rFonts w:ascii="Times New Roman" w:hAnsi="Times New Roman"/>
          <w:sz w:val="24"/>
          <w:szCs w:val="24"/>
        </w:rPr>
        <w:t>This historical</w:t>
      </w:r>
      <w:r w:rsidRPr="00666164">
        <w:rPr>
          <w:rFonts w:ascii="Times New Roman" w:hAnsi="Times New Roman"/>
          <w:spacing w:val="-4"/>
          <w:sz w:val="24"/>
          <w:szCs w:val="24"/>
        </w:rPr>
        <w:t xml:space="preserve"> data, 6</w:t>
      </w:r>
      <w:r w:rsidR="00441D44" w:rsidRPr="00666164">
        <w:rPr>
          <w:rFonts w:ascii="Times New Roman" w:hAnsi="Times New Roman"/>
          <w:spacing w:val="-4"/>
          <w:sz w:val="24"/>
          <w:szCs w:val="24"/>
        </w:rPr>
        <w:t>5</w:t>
      </w:r>
      <w:r w:rsidRPr="00666164">
        <w:rPr>
          <w:rFonts w:ascii="Times New Roman" w:hAnsi="Times New Roman"/>
          <w:spacing w:val="-4"/>
          <w:sz w:val="24"/>
          <w:szCs w:val="24"/>
        </w:rPr>
        <w:t xml:space="preserve"> quarterly observations from </w:t>
      </w:r>
      <w:r w:rsidR="00441D44" w:rsidRPr="00666164">
        <w:rPr>
          <w:rFonts w:ascii="Times New Roman" w:hAnsi="Times New Roman"/>
          <w:spacing w:val="-4"/>
          <w:sz w:val="24"/>
          <w:szCs w:val="24"/>
        </w:rPr>
        <w:t>4</w:t>
      </w:r>
      <w:r w:rsidRPr="00666164">
        <w:rPr>
          <w:rFonts w:ascii="Times New Roman" w:hAnsi="Times New Roman"/>
          <w:spacing w:val="-4"/>
          <w:sz w:val="24"/>
          <w:szCs w:val="24"/>
        </w:rPr>
        <w:t>Q01 to 4Q1</w:t>
      </w:r>
      <w:r w:rsidR="00441D44" w:rsidRPr="00666164">
        <w:rPr>
          <w:rFonts w:ascii="Times New Roman" w:hAnsi="Times New Roman"/>
          <w:spacing w:val="-4"/>
          <w:sz w:val="24"/>
          <w:szCs w:val="24"/>
        </w:rPr>
        <w:t>7</w:t>
      </w:r>
      <w:r>
        <w:rPr>
          <w:rStyle w:val="FootnoteReference"/>
          <w:rFonts w:ascii="Times New Roman" w:hAnsi="Times New Roman"/>
          <w:spacing w:val="-4"/>
          <w:sz w:val="24"/>
          <w:szCs w:val="24"/>
        </w:rPr>
        <w:footnoteReference w:id="10"/>
      </w:r>
      <w:r w:rsidRPr="00666164">
        <w:rPr>
          <w:rFonts w:ascii="Times New Roman" w:hAnsi="Times New Roman"/>
          <w:spacing w:val="-4"/>
          <w:sz w:val="24"/>
          <w:szCs w:val="24"/>
        </w:rPr>
        <w:t xml:space="preserve"> are summarized </w:t>
      </w:r>
      <w:r w:rsidR="00AE5135">
        <w:rPr>
          <w:rFonts w:ascii="Times New Roman" w:hAnsi="Times New Roman"/>
          <w:spacing w:val="-4"/>
          <w:sz w:val="24"/>
          <w:szCs w:val="24"/>
        </w:rPr>
        <w:t xml:space="preserve">above </w:t>
      </w:r>
      <w:r w:rsidRPr="00666164">
        <w:rPr>
          <w:rFonts w:ascii="Times New Roman" w:hAnsi="Times New Roman"/>
          <w:spacing w:val="-4"/>
          <w:sz w:val="24"/>
          <w:szCs w:val="24"/>
        </w:rPr>
        <w:t>in Table 1 in terms of distributional statistics and correlations</w:t>
      </w:r>
      <w:r w:rsidR="00AE5135">
        <w:rPr>
          <w:rFonts w:ascii="Times New Roman" w:hAnsi="Times New Roman"/>
          <w:spacing w:val="-4"/>
          <w:sz w:val="24"/>
          <w:szCs w:val="24"/>
        </w:rPr>
        <w:t>.</w:t>
      </w:r>
      <w:r w:rsidRPr="00666164">
        <w:rPr>
          <w:rFonts w:ascii="Times New Roman" w:hAnsi="Times New Roman"/>
          <w:spacing w:val="-4"/>
          <w:sz w:val="24"/>
          <w:szCs w:val="24"/>
        </w:rPr>
        <w:t xml:space="preserve"> </w:t>
      </w:r>
      <w:r w:rsidR="00AE5135">
        <w:rPr>
          <w:rFonts w:ascii="Times New Roman" w:hAnsi="Times New Roman"/>
          <w:spacing w:val="-4"/>
          <w:sz w:val="24"/>
          <w:szCs w:val="24"/>
        </w:rPr>
        <w:t xml:space="preserve"> I</w:t>
      </w:r>
      <w:r w:rsidRPr="00666164">
        <w:rPr>
          <w:rFonts w:ascii="Times New Roman" w:hAnsi="Times New Roman"/>
          <w:spacing w:val="-4"/>
          <w:sz w:val="24"/>
          <w:szCs w:val="24"/>
        </w:rPr>
        <w:t>n</w:t>
      </w:r>
      <w:r w:rsidRPr="00666164">
        <w:rPr>
          <w:rFonts w:ascii="Times New Roman" w:hAnsi="Times New Roman"/>
          <w:spacing w:val="-8"/>
          <w:sz w:val="24"/>
          <w:szCs w:val="24"/>
        </w:rPr>
        <w:t xml:space="preserve"> Figures </w:t>
      </w:r>
      <w:r w:rsidR="00095175">
        <w:rPr>
          <w:rFonts w:ascii="Times New Roman" w:hAnsi="Times New Roman"/>
          <w:spacing w:val="-8"/>
          <w:sz w:val="24"/>
          <w:szCs w:val="24"/>
        </w:rPr>
        <w:t>1</w:t>
      </w:r>
      <w:r w:rsidR="00441D44" w:rsidRPr="00666164">
        <w:rPr>
          <w:rFonts w:ascii="Times New Roman" w:hAnsi="Times New Roman"/>
          <w:spacing w:val="-8"/>
          <w:sz w:val="24"/>
          <w:szCs w:val="24"/>
        </w:rPr>
        <w:t xml:space="preserve"> </w:t>
      </w:r>
      <w:r w:rsidR="00AE5135">
        <w:rPr>
          <w:rFonts w:ascii="Times New Roman" w:hAnsi="Times New Roman"/>
          <w:spacing w:val="-8"/>
          <w:sz w:val="24"/>
          <w:szCs w:val="24"/>
        </w:rPr>
        <w:t xml:space="preserve">and 2 above </w:t>
      </w:r>
      <w:r w:rsidR="00095175">
        <w:rPr>
          <w:rFonts w:ascii="Times New Roman" w:hAnsi="Times New Roman"/>
          <w:spacing w:val="-8"/>
          <w:sz w:val="24"/>
          <w:szCs w:val="24"/>
        </w:rPr>
        <w:t>we show as example</w:t>
      </w:r>
      <w:r w:rsidR="00AE5135">
        <w:rPr>
          <w:rFonts w:ascii="Times New Roman" w:hAnsi="Times New Roman"/>
          <w:spacing w:val="-8"/>
          <w:sz w:val="24"/>
          <w:szCs w:val="24"/>
        </w:rPr>
        <w:t>s</w:t>
      </w:r>
      <w:r w:rsidR="00095175">
        <w:rPr>
          <w:rFonts w:ascii="Times New Roman" w:hAnsi="Times New Roman"/>
          <w:spacing w:val="-8"/>
          <w:sz w:val="24"/>
          <w:szCs w:val="24"/>
        </w:rPr>
        <w:t xml:space="preserve"> the </w:t>
      </w:r>
      <w:r w:rsidR="00AE5135">
        <w:rPr>
          <w:rFonts w:ascii="Times New Roman" w:hAnsi="Times New Roman"/>
          <w:spacing w:val="-8"/>
          <w:sz w:val="24"/>
          <w:szCs w:val="24"/>
        </w:rPr>
        <w:t xml:space="preserve">macroeconomic variable </w:t>
      </w:r>
      <w:r w:rsidR="00095175">
        <w:rPr>
          <w:rFonts w:ascii="Times New Roman" w:hAnsi="Times New Roman"/>
          <w:spacing w:val="-8"/>
          <w:sz w:val="24"/>
          <w:szCs w:val="24"/>
        </w:rPr>
        <w:t xml:space="preserve">UNEMP </w:t>
      </w:r>
      <w:r w:rsidR="00AE5135">
        <w:rPr>
          <w:rFonts w:ascii="Times New Roman" w:hAnsi="Times New Roman"/>
          <w:spacing w:val="-8"/>
          <w:sz w:val="24"/>
          <w:szCs w:val="24"/>
        </w:rPr>
        <w:t xml:space="preserve">and the idiosyncratic variable </w:t>
      </w:r>
      <w:r w:rsidR="00AE5135" w:rsidRPr="00666164">
        <w:rPr>
          <w:rFonts w:ascii="Times New Roman" w:hAnsi="Times New Roman"/>
          <w:sz w:val="24"/>
          <w:szCs w:val="24"/>
        </w:rPr>
        <w:t>CILTA</w:t>
      </w:r>
      <w:r w:rsidR="00AE5135">
        <w:rPr>
          <w:rFonts w:ascii="Times New Roman" w:hAnsi="Times New Roman"/>
          <w:sz w:val="24"/>
          <w:szCs w:val="24"/>
        </w:rPr>
        <w:t>, respectively,</w:t>
      </w:r>
      <w:r w:rsidR="00AE5135">
        <w:rPr>
          <w:rFonts w:ascii="Times New Roman" w:hAnsi="Times New Roman"/>
          <w:spacing w:val="-8"/>
          <w:sz w:val="24"/>
          <w:szCs w:val="24"/>
        </w:rPr>
        <w:t xml:space="preserve"> both </w:t>
      </w:r>
      <w:r w:rsidR="00095175">
        <w:rPr>
          <w:rFonts w:ascii="Times New Roman" w:hAnsi="Times New Roman"/>
          <w:spacing w:val="-8"/>
          <w:sz w:val="24"/>
          <w:szCs w:val="24"/>
        </w:rPr>
        <w:t xml:space="preserve">the </w:t>
      </w:r>
      <w:r w:rsidR="00AE5135">
        <w:rPr>
          <w:rFonts w:ascii="Times New Roman" w:hAnsi="Times New Roman"/>
          <w:spacing w:val="-8"/>
          <w:sz w:val="24"/>
          <w:szCs w:val="24"/>
        </w:rPr>
        <w:t xml:space="preserve">historical </w:t>
      </w:r>
      <w:r w:rsidR="00095175">
        <w:rPr>
          <w:rFonts w:ascii="Times New Roman" w:hAnsi="Times New Roman"/>
          <w:spacing w:val="-8"/>
          <w:sz w:val="24"/>
          <w:szCs w:val="24"/>
        </w:rPr>
        <w:t xml:space="preserve">time series </w:t>
      </w:r>
      <w:r w:rsidR="00441D44" w:rsidRPr="00666164">
        <w:rPr>
          <w:rFonts w:ascii="Times New Roman" w:hAnsi="Times New Roman"/>
          <w:spacing w:val="-8"/>
          <w:sz w:val="24"/>
          <w:szCs w:val="24"/>
        </w:rPr>
        <w:t xml:space="preserve">as well as </w:t>
      </w:r>
      <w:r w:rsidR="00AE5135">
        <w:rPr>
          <w:rFonts w:ascii="Times New Roman" w:hAnsi="Times New Roman"/>
          <w:spacing w:val="-8"/>
          <w:sz w:val="24"/>
          <w:szCs w:val="24"/>
        </w:rPr>
        <w:t xml:space="preserve">the </w:t>
      </w:r>
      <w:r w:rsidR="00441D44" w:rsidRPr="00666164">
        <w:rPr>
          <w:rFonts w:ascii="Times New Roman" w:hAnsi="Times New Roman"/>
          <w:spacing w:val="-8"/>
          <w:sz w:val="24"/>
          <w:szCs w:val="24"/>
        </w:rPr>
        <w:t>3 scenarios generation model</w:t>
      </w:r>
      <w:r w:rsidR="00AE5135">
        <w:rPr>
          <w:rFonts w:ascii="Times New Roman" w:hAnsi="Times New Roman"/>
          <w:spacing w:val="-8"/>
          <w:sz w:val="24"/>
          <w:szCs w:val="24"/>
        </w:rPr>
        <w:t xml:space="preserve"> forecasts</w:t>
      </w:r>
      <w:r w:rsidR="00441D44" w:rsidRPr="00666164">
        <w:rPr>
          <w:rFonts w:ascii="Times New Roman" w:hAnsi="Times New Roman"/>
          <w:spacing w:val="-8"/>
          <w:sz w:val="24"/>
          <w:szCs w:val="24"/>
        </w:rPr>
        <w:t xml:space="preserve"> (Fed, VAR and MS-VAR) for the period 1Q16-4Q17</w:t>
      </w:r>
      <w:r w:rsidRPr="00666164">
        <w:rPr>
          <w:rFonts w:ascii="Times New Roman" w:hAnsi="Times New Roman"/>
          <w:spacing w:val="-8"/>
          <w:sz w:val="24"/>
          <w:szCs w:val="24"/>
        </w:rPr>
        <w:t xml:space="preserve">. </w:t>
      </w:r>
      <w:r w:rsidR="00ED0989">
        <w:rPr>
          <w:rFonts w:ascii="Times New Roman" w:hAnsi="Times New Roman"/>
          <w:spacing w:val="-8"/>
          <w:sz w:val="24"/>
          <w:szCs w:val="24"/>
        </w:rPr>
        <w:t xml:space="preserve"> </w:t>
      </w:r>
      <w:r w:rsidR="0019426D" w:rsidRPr="00666164">
        <w:rPr>
          <w:rFonts w:ascii="Times New Roman" w:hAnsi="Times New Roman"/>
          <w:spacing w:val="-4"/>
          <w:sz w:val="24"/>
          <w:szCs w:val="24"/>
        </w:rPr>
        <w:t>Across all series</w:t>
      </w:r>
      <w:r w:rsidR="0019426D" w:rsidRPr="00666164">
        <w:rPr>
          <w:rFonts w:ascii="Times New Roman" w:hAnsi="Times New Roman"/>
          <w:spacing w:val="-6"/>
          <w:sz w:val="24"/>
          <w:szCs w:val="24"/>
        </w:rPr>
        <w:t>, we observe that the credit cycle is clearly reflected, with indicators of economic</w:t>
      </w:r>
      <w:r w:rsidR="0019426D" w:rsidRPr="00666164">
        <w:rPr>
          <w:rFonts w:ascii="Times New Roman" w:hAnsi="Times New Roman"/>
          <w:sz w:val="24"/>
          <w:szCs w:val="24"/>
        </w:rPr>
        <w:t xml:space="preserve"> or financial stress (health) displaying peaks (troughs) in</w:t>
      </w:r>
      <w:r w:rsidR="0019426D" w:rsidRPr="00666164">
        <w:rPr>
          <w:rFonts w:ascii="Times New Roman" w:hAnsi="Times New Roman"/>
          <w:sz w:val="24"/>
          <w:szCs w:val="24"/>
          <w:lang w:eastAsia="zh-CN"/>
        </w:rPr>
        <w:t xml:space="preserve"> the</w:t>
      </w:r>
      <w:r w:rsidR="0019426D" w:rsidRPr="00666164">
        <w:rPr>
          <w:rFonts w:ascii="Times New Roman" w:hAnsi="Times New Roman"/>
          <w:sz w:val="24"/>
          <w:szCs w:val="24"/>
        </w:rPr>
        <w:t xml:space="preserve"> recession of </w:t>
      </w:r>
      <w:r w:rsidR="0019426D" w:rsidRPr="00666164">
        <w:rPr>
          <w:rFonts w:ascii="Times New Roman" w:hAnsi="Times New Roman"/>
          <w:spacing w:val="-4"/>
          <w:sz w:val="24"/>
          <w:szCs w:val="24"/>
        </w:rPr>
        <w:t>2001–</w:t>
      </w:r>
      <w:r w:rsidR="0019426D" w:rsidRPr="00666164">
        <w:rPr>
          <w:rFonts w:ascii="Times New Roman" w:hAnsi="Times New Roman"/>
          <w:spacing w:val="-4"/>
          <w:sz w:val="24"/>
          <w:szCs w:val="24"/>
          <w:lang w:eastAsia="zh-CN"/>
        </w:rPr>
        <w:t>200</w:t>
      </w:r>
      <w:r w:rsidR="0019426D" w:rsidRPr="00666164">
        <w:rPr>
          <w:rFonts w:ascii="Times New Roman" w:hAnsi="Times New Roman"/>
          <w:spacing w:val="-4"/>
          <w:sz w:val="24"/>
          <w:szCs w:val="24"/>
        </w:rPr>
        <w:t>2 and in the financial crisis of 2007–</w:t>
      </w:r>
      <w:r w:rsidR="0019426D" w:rsidRPr="00666164">
        <w:rPr>
          <w:rFonts w:ascii="Times New Roman" w:hAnsi="Times New Roman"/>
          <w:spacing w:val="-4"/>
          <w:sz w:val="24"/>
          <w:szCs w:val="24"/>
          <w:lang w:eastAsia="zh-CN"/>
        </w:rPr>
        <w:t>200</w:t>
      </w:r>
      <w:r w:rsidR="0019426D" w:rsidRPr="00666164">
        <w:rPr>
          <w:rFonts w:ascii="Times New Roman" w:hAnsi="Times New Roman"/>
          <w:spacing w:val="-4"/>
          <w:sz w:val="24"/>
          <w:szCs w:val="24"/>
        </w:rPr>
        <w:t xml:space="preserve">8, with </w:t>
      </w:r>
      <w:r w:rsidR="0019426D" w:rsidRPr="00666164">
        <w:rPr>
          <w:rFonts w:ascii="Times New Roman" w:hAnsi="Times New Roman"/>
          <w:spacing w:val="-4"/>
          <w:sz w:val="24"/>
          <w:szCs w:val="24"/>
          <w:lang w:eastAsia="zh-CN"/>
        </w:rPr>
        <w:t xml:space="preserve">the </w:t>
      </w:r>
      <w:r w:rsidR="0019426D" w:rsidRPr="00666164">
        <w:rPr>
          <w:rFonts w:ascii="Times New Roman" w:hAnsi="Times New Roman"/>
          <w:spacing w:val="-4"/>
          <w:sz w:val="24"/>
          <w:szCs w:val="24"/>
        </w:rPr>
        <w:t>latter episode dominating in terms of severity</w:t>
      </w:r>
      <w:r w:rsidR="0019426D" w:rsidRPr="00666164">
        <w:rPr>
          <w:rFonts w:ascii="Times New Roman" w:hAnsi="Times New Roman"/>
          <w:sz w:val="24"/>
          <w:szCs w:val="24"/>
        </w:rPr>
        <w:t xml:space="preserve"> </w:t>
      </w:r>
      <w:r w:rsidR="0019426D" w:rsidRPr="00666164">
        <w:rPr>
          <w:rFonts w:ascii="Times New Roman" w:hAnsi="Times New Roman"/>
          <w:spacing w:val="-2"/>
          <w:sz w:val="24"/>
          <w:szCs w:val="24"/>
        </w:rPr>
        <w:t>by an order of magnitude.  However,</w:t>
      </w:r>
      <w:r w:rsidR="0019426D" w:rsidRPr="00666164">
        <w:rPr>
          <w:rFonts w:ascii="Times New Roman" w:hAnsi="Times New Roman"/>
          <w:sz w:val="24"/>
          <w:szCs w:val="24"/>
        </w:rPr>
        <w:t xml:space="preserve"> there are some differences in timing, extent and duration of these spikes across </w:t>
      </w:r>
      <w:r w:rsidR="0019426D" w:rsidRPr="00666164">
        <w:rPr>
          <w:rFonts w:ascii="Times New Roman" w:hAnsi="Times New Roman"/>
          <w:spacing w:val="4"/>
          <w:sz w:val="24"/>
          <w:szCs w:val="24"/>
        </w:rPr>
        <w:t>macroeconomic</w:t>
      </w:r>
      <w:r w:rsidR="0019426D" w:rsidRPr="00666164">
        <w:rPr>
          <w:rFonts w:ascii="Times New Roman" w:hAnsi="Times New Roman"/>
          <w:spacing w:val="4"/>
          <w:sz w:val="24"/>
          <w:szCs w:val="24"/>
          <w:lang w:eastAsia="zh-CN"/>
        </w:rPr>
        <w:t xml:space="preserve"> </w:t>
      </w:r>
      <w:r w:rsidR="0019426D" w:rsidRPr="00666164">
        <w:rPr>
          <w:rFonts w:ascii="Times New Roman" w:hAnsi="Times New Roman"/>
          <w:spacing w:val="4"/>
          <w:sz w:val="24"/>
          <w:szCs w:val="24"/>
        </w:rPr>
        <w:t xml:space="preserve">variables and loss rates. These patterns are reflected in the percent change transformations of the variables as well, with corresponding spikes in these series that correspond to the cyclical peaks and troughs, although there is also much more idiosyncratic variation </w:t>
      </w:r>
      <w:r w:rsidR="0019426D" w:rsidRPr="00666164">
        <w:rPr>
          <w:rFonts w:ascii="Times New Roman" w:hAnsi="Times New Roman"/>
          <w:sz w:val="24"/>
          <w:szCs w:val="24"/>
        </w:rPr>
        <w:t xml:space="preserve">observed when looking at the data in this form.  First, we will describe main features of the distributional statistics of all variables, then the correlations with the variables and the NCORs, followed by the dependency structure within the group of input macroeconomic variables, </w:t>
      </w:r>
      <w:r w:rsidR="00FD5EC6">
        <w:rPr>
          <w:rFonts w:ascii="Times New Roman" w:hAnsi="Times New Roman"/>
          <w:sz w:val="24"/>
          <w:szCs w:val="24"/>
        </w:rPr>
        <w:t>then</w:t>
      </w:r>
      <w:r w:rsidR="0019426D" w:rsidRPr="00666164">
        <w:rPr>
          <w:rFonts w:ascii="Times New Roman" w:hAnsi="Times New Roman"/>
          <w:sz w:val="24"/>
          <w:szCs w:val="24"/>
        </w:rPr>
        <w:t xml:space="preserve"> the same for the input bank idiosyncratic variables, and finally the cross-correlations between these two groups.  </w:t>
      </w:r>
      <w:r w:rsidR="00666164" w:rsidRPr="00414504">
        <w:rPr>
          <w:rFonts w:ascii="Times New Roman" w:hAnsi="Times New Roman"/>
          <w:sz w:val="24"/>
          <w:szCs w:val="24"/>
        </w:rPr>
        <w:t>We observe that all correlations have intuitive signs and magnitudes that suggest significant rela</w:t>
      </w:r>
      <w:r w:rsidR="00666164">
        <w:rPr>
          <w:rFonts w:ascii="Times New Roman" w:hAnsi="Times New Roman"/>
          <w:spacing w:val="-4"/>
          <w:sz w:val="24"/>
          <w:szCs w:val="24"/>
        </w:rPr>
        <w:t>tionships,</w:t>
      </w:r>
      <w:r w:rsidR="00666164">
        <w:rPr>
          <w:rFonts w:ascii="Times New Roman" w:hAnsi="Times New Roman"/>
          <w:sz w:val="24"/>
          <w:szCs w:val="24"/>
        </w:rPr>
        <w:t xml:space="preserve"> a</w:t>
      </w:r>
      <w:r w:rsidR="00666164">
        <w:rPr>
          <w:rFonts w:ascii="Times New Roman" w:hAnsi="Times New Roman"/>
          <w:spacing w:val="-6"/>
          <w:sz w:val="24"/>
          <w:szCs w:val="24"/>
        </w:rPr>
        <w:t>lthough the latter are not large enough to suggest any issues with multico</w:t>
      </w:r>
      <w:r w:rsidR="00666164">
        <w:rPr>
          <w:rFonts w:ascii="Times New Roman" w:hAnsi="Times New Roman"/>
          <w:spacing w:val="-6"/>
          <w:sz w:val="24"/>
          <w:szCs w:val="24"/>
        </w:rPr>
        <w:t>l</w:t>
      </w:r>
      <w:r w:rsidR="00666164">
        <w:rPr>
          <w:rFonts w:ascii="Times New Roman" w:hAnsi="Times New Roman"/>
          <w:spacing w:val="-6"/>
          <w:sz w:val="24"/>
          <w:szCs w:val="24"/>
        </w:rPr>
        <w:t xml:space="preserve">linearity.  </w:t>
      </w:r>
      <w:r w:rsidR="007632B9">
        <w:rPr>
          <w:rFonts w:ascii="Times New Roman" w:hAnsi="Times New Roman"/>
          <w:sz w:val="24"/>
          <w:szCs w:val="24"/>
        </w:rPr>
        <w:t>Considering the correlations within and across the sets of macroeconomic and idi</w:t>
      </w:r>
      <w:r w:rsidR="007632B9">
        <w:rPr>
          <w:rFonts w:ascii="Times New Roman" w:hAnsi="Times New Roman"/>
          <w:sz w:val="24"/>
          <w:szCs w:val="24"/>
        </w:rPr>
        <w:t>o</w:t>
      </w:r>
      <w:r w:rsidR="007632B9">
        <w:rPr>
          <w:rFonts w:ascii="Times New Roman" w:hAnsi="Times New Roman"/>
          <w:sz w:val="24"/>
          <w:szCs w:val="24"/>
        </w:rPr>
        <w:t xml:space="preserve">syncratic variables, we note that signs are all economically intuitive, and while magnitudes are material they are not so high in order to result in concerns about multicollinearity.  </w:t>
      </w:r>
    </w:p>
    <w:p w:rsidR="0005473E" w:rsidRDefault="0005473E" w:rsidP="0005473E">
      <w:pPr>
        <w:rPr>
          <w:rFonts w:ascii="Times New Roman" w:hAnsi="Times New Roman"/>
          <w:sz w:val="24"/>
          <w:szCs w:val="24"/>
        </w:rPr>
      </w:pPr>
      <w:r>
        <w:rPr>
          <w:rFonts w:ascii="Times New Roman" w:hAnsi="Times New Roman"/>
          <w:b/>
          <w:sz w:val="24"/>
          <w:szCs w:val="24"/>
        </w:rPr>
        <w:lastRenderedPageBreak/>
        <w:t>Table 2</w:t>
      </w:r>
      <w:r>
        <w:rPr>
          <w:rFonts w:ascii="Times New Roman" w:hAnsi="Times New Roman"/>
          <w:b/>
          <w:sz w:val="24"/>
          <w:szCs w:val="24"/>
          <w:lang w:eastAsia="zh-CN"/>
        </w:rPr>
        <w:t>.</w:t>
      </w:r>
      <w:r>
        <w:rPr>
          <w:rFonts w:ascii="Times New Roman" w:hAnsi="Times New Roman"/>
          <w:sz w:val="24"/>
          <w:szCs w:val="24"/>
        </w:rPr>
        <w:t xml:space="preserve"> Vector Autoregressive CECL Model Estimation </w:t>
      </w:r>
      <w:r>
        <w:rPr>
          <w:rFonts w:ascii="Times New Roman" w:hAnsi="Times New Roman"/>
          <w:sz w:val="24"/>
          <w:szCs w:val="24"/>
          <w:lang w:eastAsia="zh-CN"/>
        </w:rPr>
        <w:t xml:space="preserve">Results </w:t>
      </w:r>
      <w:r>
        <w:rPr>
          <w:rFonts w:ascii="Times New Roman" w:hAnsi="Times New Roman"/>
          <w:sz w:val="24"/>
          <w:szCs w:val="24"/>
        </w:rPr>
        <w:t xml:space="preserve">Compared </w:t>
      </w:r>
      <w:r>
        <w:rPr>
          <w:rFonts w:ascii="Times New Roman" w:hAnsi="Times New Roman"/>
          <w:spacing w:val="2"/>
          <w:sz w:val="24"/>
          <w:szCs w:val="24"/>
        </w:rPr>
        <w:t xml:space="preserve">- </w:t>
      </w:r>
      <w:r>
        <w:rPr>
          <w:rFonts w:ascii="Times New Roman" w:hAnsi="Times New Roman"/>
          <w:spacing w:val="2"/>
          <w:sz w:val="24"/>
          <w:szCs w:val="24"/>
          <w:lang w:eastAsia="zh-CN"/>
        </w:rPr>
        <w:t>H</w:t>
      </w:r>
      <w:r>
        <w:rPr>
          <w:rFonts w:ascii="Times New Roman" w:hAnsi="Times New Roman"/>
          <w:spacing w:val="2"/>
          <w:sz w:val="24"/>
          <w:szCs w:val="24"/>
        </w:rPr>
        <w:t xml:space="preserve">istorical Y9 Credit Loss </w:t>
      </w:r>
      <w:r>
        <w:rPr>
          <w:rFonts w:ascii="Times New Roman" w:hAnsi="Times New Roman"/>
          <w:spacing w:val="2"/>
          <w:sz w:val="24"/>
          <w:szCs w:val="24"/>
          <w:lang w:eastAsia="zh-CN"/>
        </w:rPr>
        <w:t>R</w:t>
      </w:r>
      <w:r>
        <w:rPr>
          <w:rFonts w:ascii="Times New Roman" w:hAnsi="Times New Roman"/>
          <w:spacing w:val="2"/>
          <w:sz w:val="24"/>
          <w:szCs w:val="24"/>
        </w:rPr>
        <w:t>ates, Banking System Idiosyncratic and M</w:t>
      </w:r>
      <w:r>
        <w:rPr>
          <w:rFonts w:ascii="Times New Roman" w:hAnsi="Times New Roman"/>
          <w:sz w:val="24"/>
          <w:szCs w:val="24"/>
        </w:rPr>
        <w:t xml:space="preserve">acroeconomic Variables </w:t>
      </w:r>
      <w:r>
        <w:rPr>
          <w:rFonts w:ascii="Times New Roman" w:hAnsi="Times New Roman"/>
          <w:sz w:val="24"/>
          <w:szCs w:val="24"/>
          <w:lang w:eastAsia="zh-CN"/>
        </w:rPr>
        <w:t>(</w:t>
      </w:r>
      <w:r>
        <w:rPr>
          <w:rFonts w:ascii="Times New Roman" w:hAnsi="Times New Roman"/>
          <w:sz w:val="24"/>
          <w:szCs w:val="24"/>
        </w:rPr>
        <w:t xml:space="preserve">FDIC </w:t>
      </w:r>
      <w:r w:rsidRPr="002E4B3C">
        <w:rPr>
          <w:rFonts w:ascii="Times New Roman" w:hAnsi="Times New Roman"/>
          <w:sz w:val="24"/>
          <w:szCs w:val="24"/>
        </w:rPr>
        <w:t>SDI</w:t>
      </w:r>
      <w:r>
        <w:rPr>
          <w:rFonts w:ascii="Times New Roman" w:hAnsi="Times New Roman"/>
          <w:sz w:val="24"/>
          <w:szCs w:val="24"/>
        </w:rPr>
        <w:t xml:space="preserve"> R</w:t>
      </w:r>
      <w:r w:rsidRPr="002E4B3C">
        <w:rPr>
          <w:rFonts w:ascii="Times New Roman" w:hAnsi="Times New Roman"/>
          <w:sz w:val="24"/>
          <w:szCs w:val="24"/>
        </w:rPr>
        <w:t>eport</w:t>
      </w:r>
      <w:r>
        <w:rPr>
          <w:rFonts w:ascii="Times New Roman" w:hAnsi="Times New Roman"/>
          <w:sz w:val="24"/>
          <w:szCs w:val="24"/>
        </w:rPr>
        <w:t xml:space="preserve"> and Federal Reserve Board 4Q91-4Q15).</w:t>
      </w:r>
    </w:p>
    <w:p w:rsidR="0005473E" w:rsidRPr="00B94191" w:rsidRDefault="0005473E" w:rsidP="00B94191">
      <w:pPr>
        <w:spacing w:after="0" w:line="300" w:lineRule="atLeast"/>
        <w:jc w:val="both"/>
        <w:rPr>
          <w:rFonts w:ascii="Times New Roman" w:hAnsi="Times New Roman"/>
          <w:sz w:val="24"/>
          <w:szCs w:val="24"/>
        </w:rPr>
      </w:pPr>
      <w:r w:rsidRPr="005762C7">
        <w:rPr>
          <w:noProof/>
        </w:rPr>
        <w:drawing>
          <wp:inline distT="0" distB="0" distL="0" distR="0" wp14:anchorId="4C2004CE" wp14:editId="03652BB4">
            <wp:extent cx="7383423" cy="4773195"/>
            <wp:effectExtent l="9843" t="28257" r="18097" b="1809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rot="5400000">
                      <a:off x="0" y="0"/>
                      <a:ext cx="7383423" cy="4773195"/>
                    </a:xfrm>
                    <a:prstGeom prst="rect">
                      <a:avLst/>
                    </a:prstGeom>
                    <a:ln>
                      <a:solidFill>
                        <a:schemeClr val="accent1"/>
                      </a:solidFill>
                    </a:ln>
                  </pic:spPr>
                </pic:pic>
              </a:graphicData>
            </a:graphic>
          </wp:inline>
        </w:drawing>
      </w:r>
    </w:p>
    <w:p w:rsidR="009E2677" w:rsidRDefault="009E2677" w:rsidP="0005473E">
      <w:pPr>
        <w:rPr>
          <w:rFonts w:ascii="Times New Roman" w:hAnsi="Times New Roman"/>
          <w:spacing w:val="-2"/>
          <w:sz w:val="24"/>
          <w:szCs w:val="24"/>
        </w:rPr>
      </w:pPr>
      <w:r>
        <w:rPr>
          <w:rFonts w:ascii="Times New Roman" w:hAnsi="Times New Roman"/>
          <w:spacing w:val="-2"/>
          <w:sz w:val="24"/>
          <w:szCs w:val="24"/>
        </w:rPr>
        <w:lastRenderedPageBreak/>
        <w:t xml:space="preserve"> </w:t>
      </w:r>
    </w:p>
    <w:p w:rsidR="00A357F0" w:rsidRDefault="00431B86" w:rsidP="00666164">
      <w:pPr>
        <w:spacing w:line="240" w:lineRule="auto"/>
        <w:jc w:val="both"/>
        <w:rPr>
          <w:rFonts w:ascii="Times New Roman" w:hAnsi="Times New Roman"/>
          <w:spacing w:val="-2"/>
          <w:sz w:val="24"/>
          <w:szCs w:val="24"/>
        </w:rPr>
      </w:pPr>
      <w:r>
        <w:rPr>
          <w:rFonts w:ascii="Times New Roman" w:hAnsi="Times New Roman"/>
          <w:spacing w:val="-2"/>
          <w:sz w:val="24"/>
          <w:szCs w:val="24"/>
        </w:rPr>
        <w:t>A critical modeling consideration for the MS-VAR estimation is the choice of process generation</w:t>
      </w:r>
      <w:r>
        <w:rPr>
          <w:rFonts w:ascii="Times New Roman" w:hAnsi="Times New Roman"/>
          <w:sz w:val="24"/>
          <w:szCs w:val="24"/>
        </w:rPr>
        <w:t xml:space="preserve"> </w:t>
      </w:r>
      <w:r>
        <w:rPr>
          <w:rFonts w:ascii="Times New Roman" w:hAnsi="Times New Roman"/>
          <w:spacing w:val="4"/>
          <w:sz w:val="24"/>
          <w:szCs w:val="24"/>
        </w:rPr>
        <w:t xml:space="preserve">distributions for the normal and the stressed regimes.  As described in the summary statistics of Jacobs (2018), </w:t>
      </w:r>
      <w:r>
        <w:rPr>
          <w:rFonts w:ascii="Times New Roman" w:hAnsi="Times New Roman"/>
          <w:sz w:val="24"/>
          <w:szCs w:val="24"/>
        </w:rPr>
        <w:t>we find that when analyzing the macroeconomic data in percent change form, there is</w:t>
      </w:r>
      <w:r>
        <w:rPr>
          <w:rFonts w:ascii="Times New Roman" w:hAnsi="Times New Roman"/>
          <w:sz w:val="24"/>
          <w:szCs w:val="24"/>
          <w:lang w:eastAsia="zh-CN"/>
        </w:rPr>
        <w:t xml:space="preserve"> </w:t>
      </w:r>
      <w:r>
        <w:rPr>
          <w:rFonts w:ascii="Times New Roman" w:hAnsi="Times New Roman"/>
          <w:sz w:val="24"/>
          <w:szCs w:val="24"/>
        </w:rPr>
        <w:t>considerable skewness in the direction of adverse changes (i.e., right skewness for vari</w:t>
      </w:r>
      <w:r>
        <w:rPr>
          <w:rFonts w:ascii="Times New Roman" w:hAnsi="Times New Roman"/>
          <w:sz w:val="24"/>
          <w:szCs w:val="24"/>
        </w:rPr>
        <w:t>a</w:t>
      </w:r>
      <w:r>
        <w:rPr>
          <w:rFonts w:ascii="Times New Roman" w:hAnsi="Times New Roman"/>
          <w:sz w:val="24"/>
          <w:szCs w:val="24"/>
        </w:rPr>
        <w:t xml:space="preserve">bles where increases denote deteriorating economic conditions such as UNEMP).  Furthermore, in normal regimes </w:t>
      </w:r>
      <w:r>
        <w:rPr>
          <w:rFonts w:ascii="Times New Roman" w:hAnsi="Times New Roman"/>
          <w:spacing w:val="4"/>
          <w:sz w:val="24"/>
          <w:szCs w:val="24"/>
        </w:rPr>
        <w:t>where percent changes are small we find a normal distribution to adequately describe the error dis</w:t>
      </w:r>
      <w:r>
        <w:rPr>
          <w:rFonts w:ascii="Times New Roman" w:hAnsi="Times New Roman"/>
          <w:sz w:val="24"/>
          <w:szCs w:val="24"/>
        </w:rPr>
        <w:t>tribution, whereas when such changes are at extreme levels in the adverse direction we find that a log-normal distribution does a good job of characterizing the data gene</w:t>
      </w:r>
      <w:r>
        <w:rPr>
          <w:rFonts w:ascii="Times New Roman" w:hAnsi="Times New Roman"/>
          <w:sz w:val="24"/>
          <w:szCs w:val="24"/>
        </w:rPr>
        <w:t>r</w:t>
      </w:r>
      <w:r w:rsidR="00A357F0">
        <w:rPr>
          <w:rFonts w:ascii="Times New Roman" w:hAnsi="Times New Roman"/>
          <w:sz w:val="24"/>
          <w:szCs w:val="24"/>
        </w:rPr>
        <w:t>ating process.</w:t>
      </w:r>
      <w:r w:rsidR="00A357F0">
        <w:rPr>
          <w:rStyle w:val="FootnoteReference"/>
          <w:rFonts w:ascii="Times New Roman" w:hAnsi="Times New Roman"/>
          <w:sz w:val="24"/>
          <w:szCs w:val="24"/>
        </w:rPr>
        <w:footnoteReference w:id="11"/>
      </w:r>
      <w:r w:rsidR="00A357F0">
        <w:rPr>
          <w:rFonts w:ascii="Times New Roman" w:hAnsi="Times New Roman"/>
          <w:sz w:val="24"/>
          <w:szCs w:val="24"/>
        </w:rPr>
        <w:t xml:space="preserve">  </w:t>
      </w:r>
      <w:r w:rsidR="00A357F0">
        <w:rPr>
          <w:rFonts w:ascii="Times New Roman" w:hAnsi="Times New Roman"/>
          <w:spacing w:val="-2"/>
          <w:sz w:val="24"/>
          <w:szCs w:val="24"/>
        </w:rPr>
        <w:t>Another important modeling consideration with respect to scenario gene</w:t>
      </w:r>
      <w:r w:rsidR="00A357F0">
        <w:rPr>
          <w:rFonts w:ascii="Times New Roman" w:hAnsi="Times New Roman"/>
          <w:spacing w:val="-2"/>
          <w:sz w:val="24"/>
          <w:szCs w:val="24"/>
        </w:rPr>
        <w:t>r</w:t>
      </w:r>
      <w:r w:rsidR="00A357F0">
        <w:rPr>
          <w:rFonts w:ascii="Times New Roman" w:hAnsi="Times New Roman"/>
          <w:spacing w:val="-2"/>
          <w:sz w:val="24"/>
          <w:szCs w:val="24"/>
        </w:rPr>
        <w:t>ation is the methodology</w:t>
      </w:r>
      <w:r w:rsidR="00A357F0">
        <w:rPr>
          <w:rFonts w:ascii="Times New Roman" w:hAnsi="Times New Roman"/>
          <w:sz w:val="24"/>
          <w:szCs w:val="24"/>
        </w:rPr>
        <w:t xml:space="preserve"> for partitioning the space of scenario paths across our 10 macroeconomic and idiosyncratic variables for the Base scenario.  In the case of the Base scenario, we take an average across all paths in a given quarter for a given variable.  The scenarios are shown in Fi</w:t>
      </w:r>
      <w:r w:rsidR="00A357F0">
        <w:rPr>
          <w:rFonts w:ascii="Times New Roman" w:hAnsi="Times New Roman"/>
          <w:sz w:val="24"/>
          <w:szCs w:val="24"/>
        </w:rPr>
        <w:t>g</w:t>
      </w:r>
      <w:r w:rsidR="00A357F0">
        <w:rPr>
          <w:rFonts w:ascii="Times New Roman" w:hAnsi="Times New Roman"/>
          <w:sz w:val="24"/>
          <w:szCs w:val="24"/>
        </w:rPr>
        <w:t xml:space="preserve">ures 11.10 </w:t>
      </w:r>
      <w:r w:rsidR="00A357F0">
        <w:rPr>
          <w:rFonts w:ascii="Times New Roman" w:hAnsi="Times New Roman"/>
          <w:sz w:val="24"/>
          <w:szCs w:val="24"/>
          <w:lang w:eastAsia="zh-CN"/>
        </w:rPr>
        <w:t>to</w:t>
      </w:r>
      <w:r w:rsidR="00A357F0">
        <w:rPr>
          <w:rFonts w:ascii="Times New Roman" w:hAnsi="Times New Roman"/>
          <w:sz w:val="24"/>
          <w:szCs w:val="24"/>
        </w:rPr>
        <w:t xml:space="preserve"> 11.14 of the appendix, where we show for each macroeconomic variable the Base scenarios for the VAR and MS-VAR models</w:t>
      </w:r>
      <w:r w:rsidR="00A357F0">
        <w:rPr>
          <w:rStyle w:val="FootnoteReference"/>
          <w:rFonts w:ascii="Times New Roman" w:hAnsi="Times New Roman"/>
          <w:sz w:val="24"/>
          <w:szCs w:val="24"/>
        </w:rPr>
        <w:footnoteReference w:id="12"/>
      </w:r>
      <w:r w:rsidR="00A357F0">
        <w:rPr>
          <w:rFonts w:ascii="Times New Roman" w:hAnsi="Times New Roman"/>
          <w:sz w:val="24"/>
          <w:szCs w:val="24"/>
        </w:rPr>
        <w:t xml:space="preserve">, and also compare this to the corresponding Fed scenarios, along with </w:t>
      </w:r>
      <w:r w:rsidR="00A357F0">
        <w:rPr>
          <w:rFonts w:ascii="Times New Roman" w:hAnsi="Times New Roman"/>
          <w:spacing w:val="-2"/>
          <w:sz w:val="24"/>
          <w:szCs w:val="24"/>
        </w:rPr>
        <w:t>the historical time series.</w:t>
      </w:r>
    </w:p>
    <w:p w:rsidR="00D556C5" w:rsidRDefault="009E2677" w:rsidP="00666164">
      <w:pPr>
        <w:spacing w:line="240" w:lineRule="auto"/>
        <w:jc w:val="both"/>
        <w:rPr>
          <w:rFonts w:ascii="Times New Roman" w:hAnsi="Times New Roman"/>
          <w:sz w:val="24"/>
          <w:szCs w:val="24"/>
        </w:rPr>
      </w:pPr>
      <w:r>
        <w:rPr>
          <w:rFonts w:ascii="Times New Roman" w:hAnsi="Times New Roman"/>
          <w:sz w:val="24"/>
          <w:szCs w:val="24"/>
        </w:rPr>
        <w:t>T</w:t>
      </w:r>
      <w:r w:rsidR="004976E2">
        <w:rPr>
          <w:rFonts w:ascii="Times New Roman" w:hAnsi="Times New Roman"/>
          <w:sz w:val="24"/>
          <w:szCs w:val="24"/>
        </w:rPr>
        <w:t xml:space="preserve">he </w:t>
      </w:r>
      <w:r w:rsidR="00D556C5">
        <w:rPr>
          <w:rFonts w:ascii="Times New Roman" w:hAnsi="Times New Roman"/>
          <w:sz w:val="24"/>
          <w:szCs w:val="24"/>
        </w:rPr>
        <w:t>VAR</w:t>
      </w:r>
      <w:r w:rsidR="00D556C5">
        <w:rPr>
          <w:rFonts w:ascii="Times New Roman" w:hAnsi="Times New Roman"/>
          <w:sz w:val="24"/>
          <w:szCs w:val="24"/>
          <w:lang w:eastAsia="zh-CN"/>
        </w:rPr>
        <w:t xml:space="preserve"> </w:t>
      </w:r>
      <w:r w:rsidR="00D556C5">
        <w:rPr>
          <w:rFonts w:ascii="Times New Roman" w:hAnsi="Times New Roman"/>
          <w:sz w:val="24"/>
          <w:szCs w:val="24"/>
        </w:rPr>
        <w:t xml:space="preserve">(1) </w:t>
      </w:r>
      <w:r w:rsidR="004976E2">
        <w:rPr>
          <w:rFonts w:ascii="Times New Roman" w:hAnsi="Times New Roman"/>
          <w:sz w:val="24"/>
          <w:szCs w:val="24"/>
        </w:rPr>
        <w:t>estimation</w:t>
      </w:r>
      <w:r w:rsidR="00D556C5">
        <w:rPr>
          <w:rFonts w:ascii="Times New Roman" w:hAnsi="Times New Roman"/>
          <w:sz w:val="24"/>
          <w:szCs w:val="24"/>
        </w:rPr>
        <w:t xml:space="preserve"> results</w:t>
      </w:r>
      <w:r w:rsidR="004976E2">
        <w:rPr>
          <w:rFonts w:ascii="Times New Roman" w:hAnsi="Times New Roman"/>
          <w:sz w:val="24"/>
          <w:szCs w:val="24"/>
        </w:rPr>
        <w:t xml:space="preserve"> of our CECL models are summarized </w:t>
      </w:r>
      <w:r w:rsidR="00431B86">
        <w:rPr>
          <w:rFonts w:ascii="Times New Roman" w:hAnsi="Times New Roman"/>
          <w:sz w:val="24"/>
          <w:szCs w:val="24"/>
        </w:rPr>
        <w:t xml:space="preserve">above </w:t>
      </w:r>
      <w:r w:rsidR="004976E2">
        <w:rPr>
          <w:rFonts w:ascii="Times New Roman" w:hAnsi="Times New Roman"/>
          <w:sz w:val="24"/>
          <w:szCs w:val="24"/>
        </w:rPr>
        <w:t xml:space="preserve">in Table </w:t>
      </w:r>
      <w:r>
        <w:rPr>
          <w:rFonts w:ascii="Times New Roman" w:hAnsi="Times New Roman"/>
          <w:sz w:val="24"/>
          <w:szCs w:val="24"/>
        </w:rPr>
        <w:t>2</w:t>
      </w:r>
      <w:r w:rsidR="00D556C5">
        <w:rPr>
          <w:rFonts w:ascii="Times New Roman" w:hAnsi="Times New Roman"/>
          <w:sz w:val="24"/>
          <w:szCs w:val="24"/>
        </w:rPr>
        <w:t xml:space="preserve">.  </w:t>
      </w:r>
      <w:r w:rsidR="004976E2">
        <w:rPr>
          <w:rFonts w:ascii="Times New Roman" w:hAnsi="Times New Roman"/>
          <w:sz w:val="24"/>
          <w:szCs w:val="24"/>
        </w:rPr>
        <w:t xml:space="preserve">We </w:t>
      </w:r>
      <w:r w:rsidR="00D556C5">
        <w:rPr>
          <w:rFonts w:ascii="Times New Roman" w:hAnsi="Times New Roman"/>
          <w:sz w:val="24"/>
          <w:szCs w:val="24"/>
        </w:rPr>
        <w:t>identify 14 optimal models according to the criteria discussed previously, 7 combinations of macroeconomic variables (4 bivariate and 3 trivariate specifications), as well as version</w:t>
      </w:r>
      <w:r w:rsidR="007324C4">
        <w:rPr>
          <w:rFonts w:ascii="Times New Roman" w:hAnsi="Times New Roman"/>
          <w:sz w:val="24"/>
          <w:szCs w:val="24"/>
        </w:rPr>
        <w:t>s</w:t>
      </w:r>
      <w:r w:rsidR="00D556C5">
        <w:rPr>
          <w:rFonts w:ascii="Times New Roman" w:hAnsi="Times New Roman"/>
          <w:sz w:val="24"/>
          <w:szCs w:val="24"/>
        </w:rPr>
        <w:t xml:space="preserve"> of these i</w:t>
      </w:r>
      <w:r w:rsidR="00D556C5">
        <w:rPr>
          <w:rFonts w:ascii="Times New Roman" w:hAnsi="Times New Roman"/>
          <w:sz w:val="24"/>
          <w:szCs w:val="24"/>
        </w:rPr>
        <w:t>n</w:t>
      </w:r>
      <w:r w:rsidR="00D556C5">
        <w:rPr>
          <w:rFonts w:ascii="Times New Roman" w:hAnsi="Times New Roman"/>
          <w:sz w:val="24"/>
          <w:szCs w:val="24"/>
        </w:rPr>
        <w:t>corporating idiosyncratic variables:</w:t>
      </w:r>
    </w:p>
    <w:p w:rsidR="006304CB" w:rsidRPr="00666164" w:rsidRDefault="006304CB" w:rsidP="00666164">
      <w:pPr>
        <w:pStyle w:val="ListParagraph"/>
        <w:numPr>
          <w:ilvl w:val="0"/>
          <w:numId w:val="12"/>
        </w:numPr>
        <w:spacing w:line="240" w:lineRule="auto"/>
        <w:jc w:val="both"/>
        <w:rPr>
          <w:rFonts w:ascii="Times New Roman" w:hAnsi="Times New Roman"/>
          <w:sz w:val="24"/>
          <w:szCs w:val="24"/>
        </w:rPr>
      </w:pPr>
      <w:r w:rsidRPr="00666164">
        <w:rPr>
          <w:rFonts w:ascii="Times New Roman" w:hAnsi="Times New Roman"/>
          <w:sz w:val="24"/>
          <w:szCs w:val="24"/>
        </w:rPr>
        <w:t xml:space="preserve">Model 1: Macroeconomic - UNEMP &amp; BBBCY; Idiosyncratic - none </w:t>
      </w:r>
    </w:p>
    <w:p w:rsidR="006304CB" w:rsidRDefault="006304CB"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 xml:space="preserve">Model 2: Macroeconomic - UNEMP &amp; BBBCY; Idiosyncratic - CILTA &amp; CDLGR </w:t>
      </w:r>
    </w:p>
    <w:p w:rsidR="006304CB" w:rsidRDefault="006304CB"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 xml:space="preserve">Model </w:t>
      </w:r>
      <w:r w:rsidR="00866384">
        <w:rPr>
          <w:rFonts w:ascii="Times New Roman" w:hAnsi="Times New Roman"/>
          <w:sz w:val="24"/>
          <w:szCs w:val="24"/>
        </w:rPr>
        <w:t>3</w:t>
      </w:r>
      <w:r>
        <w:rPr>
          <w:rFonts w:ascii="Times New Roman" w:hAnsi="Times New Roman"/>
          <w:sz w:val="24"/>
          <w:szCs w:val="24"/>
        </w:rPr>
        <w:t xml:space="preserve">: Macroeconomic - UNEMP &amp; </w:t>
      </w:r>
      <w:r w:rsidR="00866384">
        <w:rPr>
          <w:rFonts w:ascii="Times New Roman" w:hAnsi="Times New Roman"/>
          <w:sz w:val="24"/>
          <w:szCs w:val="24"/>
        </w:rPr>
        <w:t>CREPI</w:t>
      </w:r>
      <w:r>
        <w:rPr>
          <w:rFonts w:ascii="Times New Roman" w:hAnsi="Times New Roman"/>
          <w:sz w:val="24"/>
          <w:szCs w:val="24"/>
        </w:rPr>
        <w:t xml:space="preserve">; Idiosyncratic - none </w:t>
      </w:r>
    </w:p>
    <w:p w:rsidR="006304CB" w:rsidRDefault="006304CB"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 xml:space="preserve">Model </w:t>
      </w:r>
      <w:r w:rsidR="00866384">
        <w:rPr>
          <w:rFonts w:ascii="Times New Roman" w:hAnsi="Times New Roman"/>
          <w:sz w:val="24"/>
          <w:szCs w:val="24"/>
        </w:rPr>
        <w:t>4</w:t>
      </w:r>
      <w:r>
        <w:rPr>
          <w:rFonts w:ascii="Times New Roman" w:hAnsi="Times New Roman"/>
          <w:sz w:val="24"/>
          <w:szCs w:val="24"/>
        </w:rPr>
        <w:t xml:space="preserve">: Macroeconomic - UNEMP &amp; </w:t>
      </w:r>
      <w:r w:rsidR="00866384">
        <w:rPr>
          <w:rFonts w:ascii="Times New Roman" w:hAnsi="Times New Roman"/>
          <w:sz w:val="24"/>
          <w:szCs w:val="24"/>
        </w:rPr>
        <w:t>CREPI</w:t>
      </w:r>
      <w:r>
        <w:rPr>
          <w:rFonts w:ascii="Times New Roman" w:hAnsi="Times New Roman"/>
          <w:sz w:val="24"/>
          <w:szCs w:val="24"/>
        </w:rPr>
        <w:t xml:space="preserve">; Idiosyncratic - </w:t>
      </w:r>
      <w:r w:rsidR="00866384">
        <w:rPr>
          <w:rFonts w:ascii="Times New Roman" w:hAnsi="Times New Roman"/>
          <w:sz w:val="24"/>
          <w:szCs w:val="24"/>
        </w:rPr>
        <w:t>TAAA</w:t>
      </w:r>
      <w:r>
        <w:rPr>
          <w:rFonts w:ascii="Times New Roman" w:hAnsi="Times New Roman"/>
          <w:sz w:val="24"/>
          <w:szCs w:val="24"/>
        </w:rPr>
        <w:t xml:space="preserve"> &amp; CDLGR </w:t>
      </w:r>
    </w:p>
    <w:p w:rsidR="000D30E9" w:rsidRDefault="000D30E9"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 xml:space="preserve">Model 5: Macroeconomic - UNEMP &amp; CORPSPR; Idiosyncratic - none </w:t>
      </w:r>
    </w:p>
    <w:p w:rsidR="000D30E9" w:rsidRDefault="000D30E9"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Model 6: Macroeconomic - UNEMP &amp; CORPSPR; Idiosyncratic - OROTA</w:t>
      </w:r>
    </w:p>
    <w:p w:rsidR="00FD233B" w:rsidRDefault="00FD233B"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 xml:space="preserve">Model 7: Macroeconomic - CREPI &amp; VIX; Idiosyncratic - none </w:t>
      </w:r>
    </w:p>
    <w:p w:rsidR="00FD233B" w:rsidRDefault="00FD233B"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Model 8: Macroeconomic - CREPI &amp; VIX; Idiosyncratic - TAAA &amp; OROTA</w:t>
      </w:r>
    </w:p>
    <w:p w:rsidR="00E83993" w:rsidRDefault="00E83993"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 xml:space="preserve">Model 9: Macroeconomic - CORPSPR , UNEMP &amp; VIX; Idiosyncratic - none </w:t>
      </w:r>
    </w:p>
    <w:p w:rsidR="00666164" w:rsidRDefault="00666164" w:rsidP="00666164">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Model 10: Macroeconomic - CORPSPR , UNEMP I &amp; VIX; Idiosyncratic - TUCGR</w:t>
      </w:r>
    </w:p>
    <w:p w:rsidR="00A357F0" w:rsidRDefault="00A357F0" w:rsidP="00A357F0">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 xml:space="preserve">Model 11: Macroeconomic - BBBCY , UNEMP &amp; CREPI; Idiosyncratic - none </w:t>
      </w:r>
    </w:p>
    <w:p w:rsidR="00A357F0" w:rsidRDefault="00A357F0" w:rsidP="00A357F0">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Model 12: Macroeconomic - BBBCY , UNEMP &amp; CREPI; Idiosyncratic - CDLGR</w:t>
      </w:r>
    </w:p>
    <w:p w:rsidR="00A357F0" w:rsidRDefault="00A357F0" w:rsidP="00A357F0">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 xml:space="preserve">Model 13: Macroeconomic - BBBCY , UNEMP &amp; CORPSPR; Idiosyncratic - none </w:t>
      </w:r>
    </w:p>
    <w:p w:rsidR="00A357F0" w:rsidRDefault="00A357F0" w:rsidP="00A357F0">
      <w:pPr>
        <w:pStyle w:val="ListParagraph"/>
        <w:numPr>
          <w:ilvl w:val="0"/>
          <w:numId w:val="12"/>
        </w:numPr>
        <w:spacing w:line="240" w:lineRule="auto"/>
        <w:jc w:val="both"/>
        <w:rPr>
          <w:rFonts w:ascii="Times New Roman" w:hAnsi="Times New Roman"/>
          <w:sz w:val="24"/>
          <w:szCs w:val="24"/>
        </w:rPr>
      </w:pPr>
      <w:r>
        <w:rPr>
          <w:rFonts w:ascii="Times New Roman" w:hAnsi="Times New Roman"/>
          <w:sz w:val="24"/>
          <w:szCs w:val="24"/>
        </w:rPr>
        <w:t>Model 14: Macroeconomic - BBBCY , UNEMP  &amp; CORPSPR; Idiosyncratic - TAAA</w:t>
      </w:r>
    </w:p>
    <w:p w:rsidR="00276986" w:rsidRPr="00276986" w:rsidRDefault="00276986" w:rsidP="00276986">
      <w:pPr>
        <w:ind w:left="360"/>
        <w:jc w:val="both"/>
        <w:rPr>
          <w:rFonts w:ascii="Times New Roman" w:hAnsi="Times New Roman"/>
          <w:sz w:val="24"/>
          <w:szCs w:val="24"/>
        </w:rPr>
      </w:pPr>
      <w:r w:rsidRPr="00276986">
        <w:rPr>
          <w:rFonts w:ascii="Times New Roman" w:hAnsi="Times New Roman"/>
          <w:b/>
          <w:sz w:val="24"/>
          <w:szCs w:val="24"/>
        </w:rPr>
        <w:lastRenderedPageBreak/>
        <w:t>Table 3</w:t>
      </w:r>
      <w:r w:rsidRPr="00276986">
        <w:rPr>
          <w:rFonts w:ascii="Times New Roman" w:hAnsi="Times New Roman"/>
          <w:b/>
          <w:sz w:val="24"/>
          <w:szCs w:val="24"/>
          <w:lang w:eastAsia="zh-CN"/>
        </w:rPr>
        <w:t>.</w:t>
      </w:r>
      <w:r w:rsidRPr="00276986">
        <w:rPr>
          <w:rFonts w:ascii="Times New Roman" w:hAnsi="Times New Roman"/>
          <w:sz w:val="24"/>
          <w:szCs w:val="24"/>
        </w:rPr>
        <w:t xml:space="preserve"> CECL Vector Autoregressive Model In- and Out-of-Sample Performance Measures</w:t>
      </w:r>
      <w:r w:rsidRPr="00276986">
        <w:rPr>
          <w:rFonts w:ascii="Times New Roman" w:hAnsi="Times New Roman"/>
          <w:sz w:val="24"/>
          <w:szCs w:val="24"/>
          <w:lang w:eastAsia="zh-CN"/>
        </w:rPr>
        <w:t xml:space="preserve"> </w:t>
      </w:r>
      <w:r w:rsidRPr="00276986">
        <w:rPr>
          <w:rFonts w:ascii="Times New Roman" w:hAnsi="Times New Roman"/>
          <w:sz w:val="24"/>
          <w:szCs w:val="24"/>
        </w:rPr>
        <w:t xml:space="preserve">Compared </w:t>
      </w:r>
      <w:r w:rsidRPr="00276986">
        <w:rPr>
          <w:rFonts w:ascii="Times New Roman" w:hAnsi="Times New Roman"/>
          <w:spacing w:val="2"/>
          <w:sz w:val="24"/>
          <w:szCs w:val="24"/>
        </w:rPr>
        <w:t xml:space="preserve">- </w:t>
      </w:r>
      <w:r w:rsidRPr="00276986">
        <w:rPr>
          <w:rFonts w:ascii="Times New Roman" w:hAnsi="Times New Roman"/>
          <w:spacing w:val="2"/>
          <w:sz w:val="24"/>
          <w:szCs w:val="24"/>
          <w:lang w:eastAsia="zh-CN"/>
        </w:rPr>
        <w:t>H</w:t>
      </w:r>
      <w:r w:rsidRPr="00276986">
        <w:rPr>
          <w:rFonts w:ascii="Times New Roman" w:hAnsi="Times New Roman"/>
          <w:spacing w:val="2"/>
          <w:sz w:val="24"/>
          <w:szCs w:val="24"/>
        </w:rPr>
        <w:t xml:space="preserve">istorical Y9 Credit Loss </w:t>
      </w:r>
      <w:r w:rsidRPr="00276986">
        <w:rPr>
          <w:rFonts w:ascii="Times New Roman" w:hAnsi="Times New Roman"/>
          <w:spacing w:val="2"/>
          <w:sz w:val="24"/>
          <w:szCs w:val="24"/>
          <w:lang w:eastAsia="zh-CN"/>
        </w:rPr>
        <w:t>R</w:t>
      </w:r>
      <w:r w:rsidRPr="00276986">
        <w:rPr>
          <w:rFonts w:ascii="Times New Roman" w:hAnsi="Times New Roman"/>
          <w:spacing w:val="2"/>
          <w:sz w:val="24"/>
          <w:szCs w:val="24"/>
        </w:rPr>
        <w:t>ates, Banking System Idiosyncratic and M</w:t>
      </w:r>
      <w:r w:rsidRPr="00276986">
        <w:rPr>
          <w:rFonts w:ascii="Times New Roman" w:hAnsi="Times New Roman"/>
          <w:sz w:val="24"/>
          <w:szCs w:val="24"/>
        </w:rPr>
        <w:t>acro</w:t>
      </w:r>
      <w:r w:rsidRPr="00276986">
        <w:rPr>
          <w:rFonts w:ascii="Times New Roman" w:hAnsi="Times New Roman"/>
          <w:sz w:val="24"/>
          <w:szCs w:val="24"/>
        </w:rPr>
        <w:t>e</w:t>
      </w:r>
      <w:r w:rsidRPr="00276986">
        <w:rPr>
          <w:rFonts w:ascii="Times New Roman" w:hAnsi="Times New Roman"/>
          <w:sz w:val="24"/>
          <w:szCs w:val="24"/>
        </w:rPr>
        <w:t xml:space="preserve">conomic Variables </w:t>
      </w:r>
      <w:r w:rsidRPr="00276986">
        <w:rPr>
          <w:rFonts w:ascii="Times New Roman" w:hAnsi="Times New Roman"/>
          <w:sz w:val="24"/>
          <w:szCs w:val="24"/>
          <w:lang w:eastAsia="zh-CN"/>
        </w:rPr>
        <w:t>(</w:t>
      </w:r>
      <w:r w:rsidRPr="00276986">
        <w:rPr>
          <w:rFonts w:ascii="Times New Roman" w:hAnsi="Times New Roman"/>
          <w:sz w:val="24"/>
          <w:szCs w:val="24"/>
        </w:rPr>
        <w:t>FDIC SDI Report, Federal Reserve Board 4Q91-4Q15 and Jacobs et al (2018) Models).</w:t>
      </w:r>
    </w:p>
    <w:p w:rsidR="00276986" w:rsidRPr="00276986" w:rsidRDefault="00276986" w:rsidP="00276986">
      <w:pPr>
        <w:pStyle w:val="ListParagraph"/>
        <w:spacing w:beforeLines="100" w:before="240" w:afterLines="50" w:after="120" w:line="300" w:lineRule="atLeast"/>
        <w:ind w:right="567"/>
        <w:jc w:val="both"/>
        <w:rPr>
          <w:rFonts w:ascii="Times New Roman" w:hAnsi="Times New Roman"/>
          <w:sz w:val="24"/>
          <w:szCs w:val="24"/>
        </w:rPr>
      </w:pPr>
      <w:r w:rsidRPr="005D7FFD">
        <w:rPr>
          <w:noProof/>
        </w:rPr>
        <w:drawing>
          <wp:inline distT="0" distB="0" distL="0" distR="0" wp14:anchorId="302A313F" wp14:editId="5DB00511">
            <wp:extent cx="7116536" cy="3321050"/>
            <wp:effectExtent l="11748" t="26352" r="20002" b="20003"/>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rot="5400000">
                      <a:off x="0" y="0"/>
                      <a:ext cx="7113283" cy="3319532"/>
                    </a:xfrm>
                    <a:prstGeom prst="rect">
                      <a:avLst/>
                    </a:prstGeom>
                    <a:ln>
                      <a:solidFill>
                        <a:schemeClr val="accent1"/>
                      </a:solidFill>
                    </a:ln>
                  </pic:spPr>
                </pic:pic>
              </a:graphicData>
            </a:graphic>
          </wp:inline>
        </w:drawing>
      </w:r>
    </w:p>
    <w:p w:rsidR="00276986" w:rsidRPr="00276986" w:rsidRDefault="00276986" w:rsidP="00276986">
      <w:pPr>
        <w:rPr>
          <w:rFonts w:ascii="Times New Roman" w:hAnsi="Times New Roman"/>
          <w:b/>
          <w:sz w:val="24"/>
          <w:szCs w:val="24"/>
        </w:rPr>
      </w:pPr>
      <w:r>
        <w:rPr>
          <w:noProof/>
        </w:rPr>
        <w:lastRenderedPageBreak/>
        <w:drawing>
          <wp:inline distT="0" distB="0" distL="0" distR="0" wp14:anchorId="2F5AE164" wp14:editId="4C858707">
            <wp:extent cx="5943600" cy="3112770"/>
            <wp:effectExtent l="19050" t="19050" r="19050" b="1143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4"/>
                    <a:stretch>
                      <a:fillRect/>
                    </a:stretch>
                  </pic:blipFill>
                  <pic:spPr>
                    <a:xfrm>
                      <a:off x="0" y="0"/>
                      <a:ext cx="5943600" cy="3112770"/>
                    </a:xfrm>
                    <a:prstGeom prst="rect">
                      <a:avLst/>
                    </a:prstGeom>
                    <a:ln>
                      <a:solidFill>
                        <a:schemeClr val="tx1"/>
                      </a:solidFill>
                    </a:ln>
                  </pic:spPr>
                </pic:pic>
              </a:graphicData>
            </a:graphic>
          </wp:inline>
        </w:drawing>
      </w:r>
    </w:p>
    <w:p w:rsidR="00276986" w:rsidRPr="00276986" w:rsidRDefault="00276986" w:rsidP="00276986">
      <w:pPr>
        <w:rPr>
          <w:rFonts w:ascii="Times New Roman" w:hAnsi="Times New Roman"/>
          <w:sz w:val="24"/>
          <w:szCs w:val="24"/>
        </w:rPr>
      </w:pPr>
      <w:r w:rsidRPr="00276986">
        <w:rPr>
          <w:rFonts w:ascii="Times New Roman" w:hAnsi="Times New Roman"/>
          <w:b/>
          <w:sz w:val="24"/>
          <w:szCs w:val="24"/>
        </w:rPr>
        <w:t>Figure 3</w:t>
      </w:r>
      <w:r w:rsidRPr="00276986">
        <w:rPr>
          <w:rFonts w:ascii="Times New Roman" w:hAnsi="Times New Roman"/>
          <w:sz w:val="24"/>
          <w:szCs w:val="24"/>
        </w:rPr>
        <w:t xml:space="preserve">  Net-Chargeoff Rate Model Accuracy Plots – Unemployment Rate and BBB Corporate - 5 Year Treasury Bond Spread (FDIC SDI Report, Federal Reserve Board 4Q91-4Q15 and Jacobs et al (2018) Models).</w:t>
      </w:r>
    </w:p>
    <w:p w:rsidR="00276986" w:rsidRPr="00276986" w:rsidRDefault="00276986" w:rsidP="00276986">
      <w:pPr>
        <w:rPr>
          <w:rFonts w:ascii="Times New Roman" w:hAnsi="Times New Roman"/>
          <w:sz w:val="24"/>
          <w:szCs w:val="24"/>
        </w:rPr>
      </w:pPr>
      <w:r>
        <w:rPr>
          <w:noProof/>
        </w:rPr>
        <w:drawing>
          <wp:inline distT="0" distB="0" distL="0" distR="0" wp14:anchorId="39A57454" wp14:editId="1B6C7F61">
            <wp:extent cx="5943600" cy="3112770"/>
            <wp:effectExtent l="19050" t="19050" r="19050" b="1143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55"/>
                    <a:stretch>
                      <a:fillRect/>
                    </a:stretch>
                  </pic:blipFill>
                  <pic:spPr>
                    <a:xfrm>
                      <a:off x="0" y="0"/>
                      <a:ext cx="5943600" cy="3112770"/>
                    </a:xfrm>
                    <a:prstGeom prst="rect">
                      <a:avLst/>
                    </a:prstGeom>
                    <a:ln>
                      <a:solidFill>
                        <a:schemeClr val="tx1"/>
                      </a:solidFill>
                    </a:ln>
                  </pic:spPr>
                </pic:pic>
              </a:graphicData>
            </a:graphic>
          </wp:inline>
        </w:drawing>
      </w:r>
    </w:p>
    <w:p w:rsidR="005B2350" w:rsidRPr="00276986" w:rsidRDefault="00276986" w:rsidP="00276986">
      <w:pPr>
        <w:jc w:val="both"/>
        <w:rPr>
          <w:rFonts w:ascii="Times New Roman" w:hAnsi="Times New Roman"/>
          <w:sz w:val="24"/>
          <w:szCs w:val="24"/>
        </w:rPr>
      </w:pPr>
      <w:r w:rsidRPr="00276986">
        <w:rPr>
          <w:rFonts w:ascii="Times New Roman" w:hAnsi="Times New Roman"/>
          <w:b/>
          <w:sz w:val="24"/>
          <w:szCs w:val="24"/>
        </w:rPr>
        <w:t>Figure 4</w:t>
      </w:r>
      <w:r w:rsidRPr="00276986">
        <w:rPr>
          <w:rFonts w:ascii="Times New Roman" w:hAnsi="Times New Roman"/>
          <w:sz w:val="24"/>
          <w:szCs w:val="24"/>
        </w:rPr>
        <w:t xml:space="preserve">  Net-Chargeoff Rate Model Accuracy Plots – Unemployment Rate, Commercial Real Estate Price Index, BBB Corporate Bond Yield and Commercial Development Loan Growth (FDIC SDI Report, Federal Reserve Board 4Q91-4Q15 and Jacobs et al (2018) Models).</w:t>
      </w:r>
      <w:r w:rsidR="00A357F0" w:rsidRPr="00276986">
        <w:rPr>
          <w:rFonts w:ascii="Times New Roman" w:hAnsi="Times New Roman"/>
          <w:sz w:val="24"/>
          <w:szCs w:val="24"/>
        </w:rPr>
        <w:t>As we can see in Table 2, all of the candidate models satisfy our basic requir</w:t>
      </w:r>
      <w:r w:rsidR="00A357F0" w:rsidRPr="00276986">
        <w:rPr>
          <w:rFonts w:ascii="Times New Roman" w:hAnsi="Times New Roman"/>
          <w:sz w:val="24"/>
          <w:szCs w:val="24"/>
        </w:rPr>
        <w:t>e</w:t>
      </w:r>
      <w:r w:rsidR="00A357F0" w:rsidRPr="00276986">
        <w:rPr>
          <w:rFonts w:ascii="Times New Roman" w:hAnsi="Times New Roman"/>
          <w:sz w:val="24"/>
          <w:szCs w:val="24"/>
        </w:rPr>
        <w:t xml:space="preserve">ments of model fit and intuitive </w:t>
      </w:r>
      <w:r w:rsidR="00A357F0" w:rsidRPr="00276986">
        <w:rPr>
          <w:rFonts w:ascii="Times New Roman" w:hAnsi="Times New Roman"/>
          <w:sz w:val="24"/>
          <w:szCs w:val="24"/>
        </w:rPr>
        <w:lastRenderedPageBreak/>
        <w:t>sensitivities.  Model fit, as measured by Adjusted R-Squared (“AR2”), this metric ranges from 87% to 97% across models, which is good performance by industry standard and broadly co</w:t>
      </w:r>
      <w:r w:rsidR="00A357F0" w:rsidRPr="00276986">
        <w:rPr>
          <w:rFonts w:ascii="Times New Roman" w:hAnsi="Times New Roman"/>
          <w:sz w:val="24"/>
          <w:szCs w:val="24"/>
        </w:rPr>
        <w:t>m</w:t>
      </w:r>
      <w:r w:rsidR="00A357F0" w:rsidRPr="00276986">
        <w:rPr>
          <w:rFonts w:ascii="Times New Roman" w:hAnsi="Times New Roman"/>
          <w:sz w:val="24"/>
          <w:szCs w:val="24"/>
        </w:rPr>
        <w:t>parable.  The best fitting model is number 2, the bivariate macroeconomic specification with UNEMP and BBBCY, with idiosyncratic variables CILA and CDLG, having an AR2 of 97.7%.  The worst fitting model is number 7, the bivariate macroeconomic specification with CREPI and VIX, with no idiosyncratic variables, having an AR2 of 87.5%.  The autoregressive coefficient e</w:t>
      </w:r>
      <w:r w:rsidR="00A357F0" w:rsidRPr="00276986">
        <w:rPr>
          <w:rFonts w:ascii="Times New Roman" w:hAnsi="Times New Roman"/>
          <w:sz w:val="24"/>
          <w:szCs w:val="24"/>
        </w:rPr>
        <w:t>s</w:t>
      </w:r>
      <w:r w:rsidR="00A357F0" w:rsidRPr="00276986">
        <w:rPr>
          <w:rFonts w:ascii="Times New Roman" w:hAnsi="Times New Roman"/>
          <w:sz w:val="24"/>
          <w:szCs w:val="24"/>
        </w:rPr>
        <w:t xml:space="preserve">timates all show that the NCORs display significant mean reversion, having values ranging from -0.89 to -0.65 and averaging -0.77.  </w:t>
      </w:r>
    </w:p>
    <w:p w:rsidR="005B2350" w:rsidRDefault="005B2350" w:rsidP="005B2350">
      <w:pPr>
        <w:jc w:val="both"/>
        <w:rPr>
          <w:rFonts w:ascii="Times New Roman" w:hAnsi="Times New Roman"/>
          <w:sz w:val="24"/>
          <w:szCs w:val="24"/>
        </w:rPr>
      </w:pPr>
      <w:r w:rsidRPr="00E17601">
        <w:rPr>
          <w:rFonts w:ascii="Times New Roman" w:hAnsi="Times New Roman"/>
          <w:sz w:val="24"/>
          <w:szCs w:val="24"/>
        </w:rPr>
        <w:t xml:space="preserve">The model performance metrics of the 14 models are </w:t>
      </w:r>
      <w:r w:rsidR="00BF14E5">
        <w:rPr>
          <w:rFonts w:ascii="Times New Roman" w:hAnsi="Times New Roman"/>
          <w:sz w:val="24"/>
          <w:szCs w:val="24"/>
        </w:rPr>
        <w:t xml:space="preserve">above </w:t>
      </w:r>
      <w:r w:rsidRPr="00E17601">
        <w:rPr>
          <w:rFonts w:ascii="Times New Roman" w:hAnsi="Times New Roman"/>
          <w:sz w:val="24"/>
          <w:szCs w:val="24"/>
        </w:rPr>
        <w:t>presented in Table 3.  We tabulate these statistics for the development sample 4Q01-4Q15, and out-of-sample 1Q16-4Q17, and the latter is</w:t>
      </w:r>
      <w:r>
        <w:rPr>
          <w:rFonts w:ascii="Times New Roman" w:hAnsi="Times New Roman"/>
          <w:sz w:val="24"/>
          <w:szCs w:val="24"/>
        </w:rPr>
        <w:t xml:space="preserve"> </w:t>
      </w:r>
      <w:r w:rsidRPr="00E17601">
        <w:rPr>
          <w:rFonts w:ascii="Times New Roman" w:hAnsi="Times New Roman"/>
          <w:sz w:val="24"/>
          <w:szCs w:val="24"/>
        </w:rPr>
        <w:t>evaluated under the three scenario generation models (Fed, VAR as MS-VAR) as well as perfect foresight (i.e., assuming we anticipated the actual paths of the macroeconomic and idi</w:t>
      </w:r>
      <w:r w:rsidRPr="00E17601">
        <w:rPr>
          <w:rFonts w:ascii="Times New Roman" w:hAnsi="Times New Roman"/>
          <w:sz w:val="24"/>
          <w:szCs w:val="24"/>
        </w:rPr>
        <w:t>o</w:t>
      </w:r>
      <w:r w:rsidRPr="00E17601">
        <w:rPr>
          <w:rFonts w:ascii="Times New Roman" w:hAnsi="Times New Roman"/>
          <w:sz w:val="24"/>
          <w:szCs w:val="24"/>
        </w:rPr>
        <w:t>syncratic variables).  We also depict graphically the in- and out-of-sample fits in the model a</w:t>
      </w:r>
      <w:r w:rsidRPr="00E17601">
        <w:rPr>
          <w:rFonts w:ascii="Times New Roman" w:hAnsi="Times New Roman"/>
          <w:sz w:val="24"/>
          <w:szCs w:val="24"/>
        </w:rPr>
        <w:t>c</w:t>
      </w:r>
      <w:r w:rsidRPr="00E17601">
        <w:rPr>
          <w:rFonts w:ascii="Times New Roman" w:hAnsi="Times New Roman"/>
          <w:sz w:val="24"/>
          <w:szCs w:val="24"/>
        </w:rPr>
        <w:t>curacy plots of Figures</w:t>
      </w:r>
      <w:r w:rsidR="00756155">
        <w:rPr>
          <w:rFonts w:ascii="Times New Roman" w:hAnsi="Times New Roman"/>
          <w:sz w:val="24"/>
          <w:szCs w:val="24"/>
        </w:rPr>
        <w:t>11.</w:t>
      </w:r>
      <w:r w:rsidRPr="00E17601">
        <w:rPr>
          <w:rFonts w:ascii="Times New Roman" w:hAnsi="Times New Roman"/>
          <w:sz w:val="24"/>
          <w:szCs w:val="24"/>
        </w:rPr>
        <w:t xml:space="preserve">11 through </w:t>
      </w:r>
      <w:r w:rsidR="00756155">
        <w:rPr>
          <w:rFonts w:ascii="Times New Roman" w:hAnsi="Times New Roman"/>
          <w:sz w:val="24"/>
          <w:szCs w:val="24"/>
        </w:rPr>
        <w:t>11.</w:t>
      </w:r>
      <w:r w:rsidRPr="00E17601">
        <w:rPr>
          <w:rFonts w:ascii="Times New Roman" w:hAnsi="Times New Roman"/>
          <w:sz w:val="24"/>
          <w:szCs w:val="24"/>
        </w:rPr>
        <w:t>24</w:t>
      </w:r>
      <w:r w:rsidR="00756155">
        <w:rPr>
          <w:rFonts w:ascii="Times New Roman" w:hAnsi="Times New Roman"/>
          <w:sz w:val="24"/>
          <w:szCs w:val="24"/>
        </w:rPr>
        <w:t xml:space="preserve"> of the Appendix</w:t>
      </w:r>
      <w:r w:rsidRPr="00E17601">
        <w:rPr>
          <w:rFonts w:ascii="Times New Roman" w:hAnsi="Times New Roman"/>
          <w:sz w:val="24"/>
          <w:szCs w:val="24"/>
        </w:rPr>
        <w:t>.  We consider the following industry standard model performance metrics:</w:t>
      </w:r>
    </w:p>
    <w:p w:rsidR="005B2350" w:rsidRDefault="005B2350" w:rsidP="005B2350">
      <w:pPr>
        <w:pStyle w:val="ListParagraph"/>
        <w:numPr>
          <w:ilvl w:val="0"/>
          <w:numId w:val="4"/>
        </w:numPr>
        <w:spacing w:beforeLines="100" w:before="240" w:afterLines="50" w:after="120" w:line="300" w:lineRule="atLeast"/>
        <w:ind w:right="567"/>
        <w:jc w:val="both"/>
        <w:rPr>
          <w:rFonts w:ascii="Times New Roman" w:hAnsi="Times New Roman"/>
          <w:sz w:val="24"/>
          <w:szCs w:val="24"/>
        </w:rPr>
      </w:pPr>
      <w:r w:rsidRPr="00B74D3F">
        <w:rPr>
          <w:rFonts w:ascii="Times New Roman" w:hAnsi="Times New Roman"/>
          <w:sz w:val="24"/>
          <w:szCs w:val="24"/>
        </w:rPr>
        <w:t>Generalized Cross-Validation (“GCV”)</w:t>
      </w:r>
    </w:p>
    <w:p w:rsidR="005B2350" w:rsidRPr="00B74D3F" w:rsidRDefault="005B2350" w:rsidP="005B2350">
      <w:pPr>
        <w:pStyle w:val="ListParagraph"/>
        <w:numPr>
          <w:ilvl w:val="0"/>
          <w:numId w:val="4"/>
        </w:numPr>
        <w:spacing w:beforeLines="100" w:before="240" w:afterLines="50" w:after="120" w:line="300" w:lineRule="atLeast"/>
        <w:ind w:right="567"/>
        <w:jc w:val="both"/>
        <w:rPr>
          <w:rFonts w:ascii="Times New Roman" w:hAnsi="Times New Roman"/>
          <w:sz w:val="24"/>
          <w:szCs w:val="24"/>
        </w:rPr>
      </w:pPr>
      <w:r w:rsidRPr="00B74D3F">
        <w:rPr>
          <w:rFonts w:ascii="Times New Roman" w:hAnsi="Times New Roman"/>
          <w:sz w:val="24"/>
          <w:szCs w:val="24"/>
        </w:rPr>
        <w:t>Squared Correlation (“SC”)</w:t>
      </w:r>
    </w:p>
    <w:p w:rsidR="005B2350" w:rsidRPr="00B74D3F" w:rsidRDefault="005B2350" w:rsidP="005B2350">
      <w:pPr>
        <w:pStyle w:val="ListParagraph"/>
        <w:numPr>
          <w:ilvl w:val="0"/>
          <w:numId w:val="4"/>
        </w:numPr>
        <w:spacing w:beforeLines="100" w:before="240" w:afterLines="50" w:after="120" w:line="300" w:lineRule="atLeast"/>
        <w:ind w:right="567"/>
        <w:jc w:val="both"/>
        <w:rPr>
          <w:rFonts w:ascii="Times New Roman" w:hAnsi="Times New Roman"/>
          <w:sz w:val="24"/>
          <w:szCs w:val="24"/>
        </w:rPr>
      </w:pPr>
      <w:r w:rsidRPr="00B74D3F">
        <w:rPr>
          <w:rFonts w:ascii="Times New Roman" w:hAnsi="Times New Roman"/>
          <w:sz w:val="24"/>
          <w:szCs w:val="24"/>
        </w:rPr>
        <w:t>Root Mean Squared Error (“RMSE”)</w:t>
      </w:r>
    </w:p>
    <w:p w:rsidR="005B2350" w:rsidRDefault="005B2350" w:rsidP="005B2350">
      <w:pPr>
        <w:pStyle w:val="ListParagraph"/>
        <w:numPr>
          <w:ilvl w:val="0"/>
          <w:numId w:val="4"/>
        </w:numPr>
        <w:spacing w:beforeLines="100" w:before="240" w:afterLines="50" w:after="120" w:line="240" w:lineRule="auto"/>
        <w:ind w:right="567"/>
        <w:jc w:val="both"/>
        <w:rPr>
          <w:rFonts w:ascii="Times New Roman" w:hAnsi="Times New Roman"/>
          <w:sz w:val="24"/>
          <w:szCs w:val="24"/>
        </w:rPr>
      </w:pPr>
      <w:r w:rsidRPr="005B2350">
        <w:rPr>
          <w:rFonts w:ascii="Times New Roman" w:hAnsi="Times New Roman"/>
          <w:sz w:val="24"/>
          <w:szCs w:val="24"/>
        </w:rPr>
        <w:t>Cumulative Percent Error (“CPE”)</w:t>
      </w:r>
    </w:p>
    <w:p w:rsidR="005B2350" w:rsidRPr="005B2350" w:rsidRDefault="005B2350" w:rsidP="008628F4">
      <w:pPr>
        <w:pStyle w:val="ListParagraph"/>
        <w:numPr>
          <w:ilvl w:val="0"/>
          <w:numId w:val="4"/>
        </w:numPr>
        <w:spacing w:beforeLines="100" w:before="240" w:afterLines="50" w:after="120" w:line="240" w:lineRule="auto"/>
        <w:ind w:right="567"/>
        <w:jc w:val="both"/>
        <w:rPr>
          <w:rFonts w:ascii="Times New Roman" w:hAnsi="Times New Roman"/>
          <w:sz w:val="24"/>
          <w:szCs w:val="24"/>
        </w:rPr>
      </w:pPr>
      <w:r w:rsidRPr="005B2350">
        <w:rPr>
          <w:rFonts w:ascii="Times New Roman" w:hAnsi="Times New Roman"/>
          <w:sz w:val="24"/>
          <w:szCs w:val="24"/>
        </w:rPr>
        <w:t>Akaike Information Criterion (“AIC”)</w:t>
      </w:r>
    </w:p>
    <w:p w:rsidR="00B7604D" w:rsidRDefault="00B7604D" w:rsidP="008628F4">
      <w:pPr>
        <w:jc w:val="both"/>
        <w:rPr>
          <w:rFonts w:ascii="Times New Roman" w:hAnsi="Times New Roman"/>
          <w:sz w:val="24"/>
          <w:szCs w:val="24"/>
        </w:rPr>
      </w:pPr>
      <w:r w:rsidRPr="00B7604D">
        <w:rPr>
          <w:rFonts w:ascii="Times New Roman" w:hAnsi="Times New Roman"/>
          <w:sz w:val="24"/>
          <w:szCs w:val="24"/>
        </w:rPr>
        <w:t>We observe from Table 3</w:t>
      </w:r>
      <w:r w:rsidR="00BF14E5">
        <w:rPr>
          <w:rFonts w:ascii="Times New Roman" w:hAnsi="Times New Roman"/>
          <w:sz w:val="24"/>
          <w:szCs w:val="24"/>
        </w:rPr>
        <w:t>, as well as from the examples</w:t>
      </w:r>
      <w:r w:rsidRPr="00B7604D">
        <w:rPr>
          <w:rFonts w:ascii="Times New Roman" w:hAnsi="Times New Roman"/>
          <w:sz w:val="24"/>
          <w:szCs w:val="24"/>
        </w:rPr>
        <w:t xml:space="preserve"> </w:t>
      </w:r>
      <w:r w:rsidR="00BF14E5">
        <w:rPr>
          <w:rFonts w:ascii="Times New Roman" w:hAnsi="Times New Roman"/>
          <w:sz w:val="24"/>
          <w:szCs w:val="24"/>
        </w:rPr>
        <w:t>above in</w:t>
      </w:r>
      <w:r w:rsidRPr="00B7604D">
        <w:rPr>
          <w:rFonts w:ascii="Times New Roman" w:hAnsi="Times New Roman"/>
          <w:sz w:val="24"/>
          <w:szCs w:val="24"/>
        </w:rPr>
        <w:t xml:space="preserve"> Figure </w:t>
      </w:r>
      <w:r w:rsidR="00BF14E5">
        <w:rPr>
          <w:rFonts w:ascii="Times New Roman" w:hAnsi="Times New Roman"/>
          <w:sz w:val="24"/>
          <w:szCs w:val="24"/>
        </w:rPr>
        <w:t xml:space="preserve">3 (Unemployment Rate and BBB Corporate - 5 Year Treasury Bond Spread) and Figure </w:t>
      </w:r>
      <w:r w:rsidRPr="00B7604D">
        <w:rPr>
          <w:rFonts w:ascii="Times New Roman" w:hAnsi="Times New Roman"/>
          <w:sz w:val="24"/>
          <w:szCs w:val="24"/>
        </w:rPr>
        <w:t xml:space="preserve">4 </w:t>
      </w:r>
      <w:r w:rsidR="00BF14E5">
        <w:rPr>
          <w:rFonts w:ascii="Times New Roman" w:hAnsi="Times New Roman"/>
          <w:sz w:val="24"/>
          <w:szCs w:val="24"/>
        </w:rPr>
        <w:t>(Unemployment Rate, Co</w:t>
      </w:r>
      <w:r w:rsidR="00BF14E5">
        <w:rPr>
          <w:rFonts w:ascii="Times New Roman" w:hAnsi="Times New Roman"/>
          <w:sz w:val="24"/>
          <w:szCs w:val="24"/>
        </w:rPr>
        <w:t>m</w:t>
      </w:r>
      <w:r w:rsidR="00BF14E5">
        <w:rPr>
          <w:rFonts w:ascii="Times New Roman" w:hAnsi="Times New Roman"/>
          <w:sz w:val="24"/>
          <w:szCs w:val="24"/>
        </w:rPr>
        <w:t xml:space="preserve">mercial Real Estate Price Index, BBB Corporate Bond Yield and Commercial Development Loan Growth), </w:t>
      </w:r>
      <w:r w:rsidRPr="00B7604D">
        <w:rPr>
          <w:rFonts w:ascii="Times New Roman" w:hAnsi="Times New Roman"/>
          <w:sz w:val="24"/>
          <w:szCs w:val="24"/>
        </w:rPr>
        <w:t xml:space="preserve">that there is </w:t>
      </w:r>
      <w:r>
        <w:rPr>
          <w:rFonts w:ascii="Times New Roman" w:hAnsi="Times New Roman"/>
          <w:sz w:val="24"/>
          <w:szCs w:val="24"/>
        </w:rPr>
        <w:t>g</w:t>
      </w:r>
      <w:r w:rsidRPr="00B7604D">
        <w:rPr>
          <w:rFonts w:ascii="Times New Roman" w:hAnsi="Times New Roman"/>
          <w:sz w:val="24"/>
          <w:szCs w:val="24"/>
        </w:rPr>
        <w:t>reat diversity of out-of-sample model performance across econometric specifications as well as across models for baseline economic forecasts, both in absolute terms and in comparison to the perfect foresight benchmark.  We further note that in summary, out-of-sample performance across models is not assessed as being favorable by industry standards, even in the perfect foresight scenario.  Measures of model (GCV, SC, RMSE &amp; AIC) fit tend to be poor, and there is chronic underprediction of NCORs according to the CPE metric.  For e</w:t>
      </w:r>
      <w:r w:rsidRPr="00B7604D">
        <w:rPr>
          <w:rFonts w:ascii="Times New Roman" w:hAnsi="Times New Roman"/>
          <w:sz w:val="24"/>
          <w:szCs w:val="24"/>
        </w:rPr>
        <w:t>x</w:t>
      </w:r>
      <w:r w:rsidRPr="00B7604D">
        <w:rPr>
          <w:rFonts w:ascii="Times New Roman" w:hAnsi="Times New Roman"/>
          <w:sz w:val="24"/>
          <w:szCs w:val="24"/>
        </w:rPr>
        <w:t>ample, the average SC in-sample is 93.7% ranging in 88.9% to 87.1%, but out-of-sample it a</w:t>
      </w:r>
      <w:r w:rsidRPr="00B7604D">
        <w:rPr>
          <w:rFonts w:ascii="Times New Roman" w:hAnsi="Times New Roman"/>
          <w:sz w:val="24"/>
          <w:szCs w:val="24"/>
        </w:rPr>
        <w:t>v</w:t>
      </w:r>
      <w:r w:rsidRPr="00B7604D">
        <w:rPr>
          <w:rFonts w:ascii="Times New Roman" w:hAnsi="Times New Roman"/>
          <w:sz w:val="24"/>
          <w:szCs w:val="24"/>
        </w:rPr>
        <w:t xml:space="preserve">erages 17.2% and ranges in 0.06% to 87.3%.  On the other hand, in sample the CPE averages 0.04% and ranges in -0.09% to 0.21%, while out of sample the average is -43.0% and ranges in -158.9% to 48.9%.      </w:t>
      </w:r>
    </w:p>
    <w:p w:rsidR="00E53225" w:rsidRDefault="004F4E8F" w:rsidP="008628F4">
      <w:pPr>
        <w:jc w:val="both"/>
        <w:rPr>
          <w:rFonts w:ascii="Times New Roman" w:hAnsi="Times New Roman"/>
          <w:sz w:val="24"/>
          <w:szCs w:val="24"/>
        </w:rPr>
      </w:pPr>
      <w:r>
        <w:rPr>
          <w:rFonts w:ascii="Times New Roman" w:hAnsi="Times New Roman"/>
          <w:sz w:val="24"/>
          <w:szCs w:val="24"/>
        </w:rPr>
        <w:t>While this is not conclusive, if we assume that we are near the end of an economic expansion, these results imply that most banks models will under-provision as we enter a downturn, which is ev</w:t>
      </w:r>
      <w:r>
        <w:rPr>
          <w:rFonts w:ascii="Times New Roman" w:hAnsi="Times New Roman"/>
          <w:sz w:val="24"/>
          <w:szCs w:val="24"/>
        </w:rPr>
        <w:t>i</w:t>
      </w:r>
      <w:r>
        <w:rPr>
          <w:rFonts w:ascii="Times New Roman" w:hAnsi="Times New Roman"/>
          <w:sz w:val="24"/>
          <w:szCs w:val="24"/>
        </w:rPr>
        <w:t xml:space="preserve">dence that the CECL standard may fail to address the problem of procyclicality that was the intent of the new accounting guidance.  </w:t>
      </w:r>
      <w:r w:rsidR="00E53225">
        <w:rPr>
          <w:rFonts w:ascii="Times New Roman" w:hAnsi="Times New Roman"/>
          <w:sz w:val="24"/>
          <w:szCs w:val="24"/>
        </w:rPr>
        <w:t xml:space="preserve">Among the loss model specifications, we find that generally the loss prediction specifications having a lower parameterization, as well as the MS-VAR scenario </w:t>
      </w:r>
      <w:r w:rsidR="00E53225">
        <w:rPr>
          <w:rFonts w:ascii="Times New Roman" w:hAnsi="Times New Roman"/>
          <w:sz w:val="24"/>
          <w:szCs w:val="24"/>
        </w:rPr>
        <w:lastRenderedPageBreak/>
        <w:t>generation model, tends to produce better measures of model fit and a lower degree of u</w:t>
      </w:r>
      <w:r w:rsidR="00E53225">
        <w:rPr>
          <w:rFonts w:ascii="Times New Roman" w:hAnsi="Times New Roman"/>
          <w:sz w:val="24"/>
          <w:szCs w:val="24"/>
        </w:rPr>
        <w:t>n</w:t>
      </w:r>
      <w:r w:rsidR="00E53225">
        <w:rPr>
          <w:rFonts w:ascii="Times New Roman" w:hAnsi="Times New Roman"/>
          <w:sz w:val="24"/>
          <w:szCs w:val="24"/>
        </w:rPr>
        <w:t>der-prediction.  Furthermore, relative to the perfect foresight benchmark, the MS-VAR model produces a lower level of variation in the model performance statistics across loss predictive model specifications.</w:t>
      </w:r>
    </w:p>
    <w:p w:rsidR="00276986" w:rsidRDefault="00276986" w:rsidP="00BF14E5">
      <w:pPr>
        <w:rPr>
          <w:rFonts w:ascii="Times New Roman" w:hAnsi="Times New Roman"/>
          <w:b/>
          <w:sz w:val="28"/>
          <w:szCs w:val="28"/>
        </w:rPr>
      </w:pPr>
    </w:p>
    <w:p w:rsidR="00C61106" w:rsidRDefault="0090183F" w:rsidP="00BF14E5">
      <w:pPr>
        <w:rPr>
          <w:rFonts w:ascii="Times New Roman" w:hAnsi="Times New Roman"/>
          <w:b/>
          <w:sz w:val="28"/>
          <w:szCs w:val="28"/>
        </w:rPr>
      </w:pPr>
      <w:r>
        <w:rPr>
          <w:rFonts w:ascii="Times New Roman" w:hAnsi="Times New Roman"/>
          <w:b/>
          <w:sz w:val="28"/>
          <w:szCs w:val="28"/>
        </w:rPr>
        <w:t>6</w:t>
      </w:r>
      <w:r w:rsidR="00C61106" w:rsidRPr="00014971">
        <w:rPr>
          <w:rFonts w:ascii="Times New Roman" w:hAnsi="Times New Roman"/>
          <w:b/>
          <w:sz w:val="28"/>
          <w:szCs w:val="28"/>
        </w:rPr>
        <w:tab/>
      </w:r>
      <w:r w:rsidR="00C61106">
        <w:rPr>
          <w:rFonts w:ascii="Times New Roman" w:hAnsi="Times New Roman"/>
          <w:b/>
          <w:sz w:val="28"/>
          <w:szCs w:val="28"/>
        </w:rPr>
        <w:t>The Quantification of Model Risk According to the Principle of Relative Entropy</w:t>
      </w:r>
    </w:p>
    <w:p w:rsidR="00717E5E" w:rsidRPr="00717E5E" w:rsidRDefault="00717E5E" w:rsidP="008708D8">
      <w:pPr>
        <w:jc w:val="both"/>
        <w:rPr>
          <w:rFonts w:ascii="Times New Roman" w:hAnsi="Times New Roman"/>
          <w:sz w:val="24"/>
          <w:szCs w:val="24"/>
        </w:rPr>
      </w:pPr>
      <w:r w:rsidRPr="00717E5E">
        <w:rPr>
          <w:rFonts w:ascii="Times New Roman" w:hAnsi="Times New Roman"/>
          <w:sz w:val="24"/>
          <w:szCs w:val="24"/>
        </w:rPr>
        <w:t>Risk measurement relies on modelling assumptions</w:t>
      </w:r>
      <w:r w:rsidR="00C875B5">
        <w:rPr>
          <w:rFonts w:ascii="Times New Roman" w:hAnsi="Times New Roman"/>
          <w:sz w:val="24"/>
          <w:szCs w:val="24"/>
        </w:rPr>
        <w:t>, the errors</w:t>
      </w:r>
      <w:r w:rsidRPr="00717E5E">
        <w:rPr>
          <w:rFonts w:ascii="Times New Roman" w:hAnsi="Times New Roman"/>
          <w:sz w:val="24"/>
          <w:szCs w:val="24"/>
        </w:rPr>
        <w:t xml:space="preserve"> in</w:t>
      </w:r>
      <w:r w:rsidR="00C875B5">
        <w:rPr>
          <w:rFonts w:ascii="Times New Roman" w:hAnsi="Times New Roman"/>
          <w:sz w:val="24"/>
          <w:szCs w:val="24"/>
        </w:rPr>
        <w:t xml:space="preserve"> which exposing such models to model risk.  In this </w:t>
      </w:r>
      <w:r w:rsidRPr="00717E5E">
        <w:rPr>
          <w:rFonts w:ascii="Times New Roman" w:hAnsi="Times New Roman"/>
          <w:sz w:val="24"/>
          <w:szCs w:val="24"/>
        </w:rPr>
        <w:t xml:space="preserve">paper </w:t>
      </w:r>
      <w:r w:rsidR="00C875B5">
        <w:rPr>
          <w:rFonts w:ascii="Times New Roman" w:hAnsi="Times New Roman"/>
          <w:sz w:val="24"/>
          <w:szCs w:val="24"/>
        </w:rPr>
        <w:t>we apply a</w:t>
      </w:r>
      <w:r w:rsidRPr="00717E5E">
        <w:rPr>
          <w:rFonts w:ascii="Times New Roman" w:hAnsi="Times New Roman"/>
          <w:sz w:val="24"/>
          <w:szCs w:val="24"/>
        </w:rPr>
        <w:t xml:space="preserve"> tool for quantifying model risk and</w:t>
      </w:r>
      <w:r w:rsidR="00C875B5">
        <w:rPr>
          <w:rFonts w:ascii="Times New Roman" w:hAnsi="Times New Roman"/>
          <w:sz w:val="24"/>
          <w:szCs w:val="24"/>
        </w:rPr>
        <w:t xml:space="preserve"> </w:t>
      </w:r>
      <w:r w:rsidRPr="00717E5E">
        <w:rPr>
          <w:rFonts w:ascii="Times New Roman" w:hAnsi="Times New Roman"/>
          <w:sz w:val="24"/>
          <w:szCs w:val="24"/>
        </w:rPr>
        <w:t xml:space="preserve">making risk measurement robust to modeling errors. </w:t>
      </w:r>
      <w:r w:rsidR="00C875B5">
        <w:rPr>
          <w:rFonts w:ascii="Times New Roman" w:hAnsi="Times New Roman"/>
          <w:sz w:val="24"/>
          <w:szCs w:val="24"/>
        </w:rPr>
        <w:t xml:space="preserve"> As s</w:t>
      </w:r>
      <w:r w:rsidRPr="00717E5E">
        <w:rPr>
          <w:rFonts w:ascii="Times New Roman" w:hAnsi="Times New Roman"/>
          <w:sz w:val="24"/>
          <w:szCs w:val="24"/>
        </w:rPr>
        <w:t>implifying</w:t>
      </w:r>
      <w:r w:rsidR="00C875B5">
        <w:rPr>
          <w:rFonts w:ascii="Times New Roman" w:hAnsi="Times New Roman"/>
          <w:sz w:val="24"/>
          <w:szCs w:val="24"/>
        </w:rPr>
        <w:t xml:space="preserve"> </w:t>
      </w:r>
      <w:r w:rsidRPr="00717E5E">
        <w:rPr>
          <w:rFonts w:ascii="Times New Roman" w:hAnsi="Times New Roman"/>
          <w:sz w:val="24"/>
          <w:szCs w:val="24"/>
        </w:rPr>
        <w:t>assumptions are inherent to all</w:t>
      </w:r>
      <w:r w:rsidR="00C875B5">
        <w:rPr>
          <w:rFonts w:ascii="Times New Roman" w:hAnsi="Times New Roman"/>
          <w:sz w:val="24"/>
          <w:szCs w:val="24"/>
        </w:rPr>
        <w:t xml:space="preserve"> </w:t>
      </w:r>
      <w:r w:rsidRPr="00717E5E">
        <w:rPr>
          <w:rFonts w:ascii="Times New Roman" w:hAnsi="Times New Roman"/>
          <w:sz w:val="24"/>
          <w:szCs w:val="24"/>
        </w:rPr>
        <w:t>modelling</w:t>
      </w:r>
      <w:r w:rsidR="00C875B5">
        <w:rPr>
          <w:rFonts w:ascii="Times New Roman" w:hAnsi="Times New Roman"/>
          <w:sz w:val="24"/>
          <w:szCs w:val="24"/>
        </w:rPr>
        <w:t xml:space="preserve"> frameworks</w:t>
      </w:r>
      <w:r w:rsidRPr="00717E5E">
        <w:rPr>
          <w:rFonts w:ascii="Times New Roman" w:hAnsi="Times New Roman"/>
          <w:sz w:val="24"/>
          <w:szCs w:val="24"/>
        </w:rPr>
        <w:t xml:space="preserve">, </w:t>
      </w:r>
      <w:r w:rsidR="00C875B5">
        <w:rPr>
          <w:rFonts w:ascii="Times New Roman" w:hAnsi="Times New Roman"/>
          <w:sz w:val="24"/>
          <w:szCs w:val="24"/>
        </w:rPr>
        <w:t xml:space="preserve">the prime directive </w:t>
      </w:r>
      <w:r w:rsidRPr="00717E5E">
        <w:rPr>
          <w:rFonts w:ascii="Times New Roman" w:hAnsi="Times New Roman"/>
          <w:sz w:val="24"/>
          <w:szCs w:val="24"/>
        </w:rPr>
        <w:t xml:space="preserve">of model risk management is to assess vulnerabilities </w:t>
      </w:r>
      <w:r w:rsidR="00C875B5">
        <w:rPr>
          <w:rFonts w:ascii="Times New Roman" w:hAnsi="Times New Roman"/>
          <w:sz w:val="24"/>
          <w:szCs w:val="24"/>
        </w:rPr>
        <w:t>to and consequences of</w:t>
      </w:r>
      <w:r w:rsidRPr="00717E5E">
        <w:rPr>
          <w:rFonts w:ascii="Times New Roman" w:hAnsi="Times New Roman"/>
          <w:sz w:val="24"/>
          <w:szCs w:val="24"/>
        </w:rPr>
        <w:t xml:space="preserve"> model</w:t>
      </w:r>
      <w:r w:rsidR="00C875B5">
        <w:rPr>
          <w:rFonts w:ascii="Times New Roman" w:hAnsi="Times New Roman"/>
          <w:sz w:val="24"/>
          <w:szCs w:val="24"/>
        </w:rPr>
        <w:t xml:space="preserve"> </w:t>
      </w:r>
      <w:r w:rsidRPr="00717E5E">
        <w:rPr>
          <w:rFonts w:ascii="Times New Roman" w:hAnsi="Times New Roman"/>
          <w:sz w:val="24"/>
          <w:szCs w:val="24"/>
        </w:rPr>
        <w:t xml:space="preserve">errors. </w:t>
      </w:r>
      <w:r w:rsidR="00C875B5">
        <w:rPr>
          <w:rFonts w:ascii="Times New Roman" w:hAnsi="Times New Roman"/>
          <w:sz w:val="24"/>
          <w:szCs w:val="24"/>
        </w:rPr>
        <w:t xml:space="preserve"> Therefore, a well-designed model risk measurement framework is capable of bounding</w:t>
      </w:r>
      <w:r w:rsidRPr="00717E5E">
        <w:rPr>
          <w:rFonts w:ascii="Times New Roman" w:hAnsi="Times New Roman"/>
          <w:sz w:val="24"/>
          <w:szCs w:val="24"/>
        </w:rPr>
        <w:t xml:space="preserve"> the effect of model error on specific measures</w:t>
      </w:r>
      <w:r w:rsidR="00C875B5">
        <w:rPr>
          <w:rFonts w:ascii="Times New Roman" w:hAnsi="Times New Roman"/>
          <w:sz w:val="24"/>
          <w:szCs w:val="24"/>
        </w:rPr>
        <w:t xml:space="preserve"> </w:t>
      </w:r>
      <w:r w:rsidRPr="00717E5E">
        <w:rPr>
          <w:rFonts w:ascii="Times New Roman" w:hAnsi="Times New Roman"/>
          <w:sz w:val="24"/>
          <w:szCs w:val="24"/>
        </w:rPr>
        <w:t>of risk, given a baseline nominal model for</w:t>
      </w:r>
      <w:r w:rsidR="00C875B5">
        <w:rPr>
          <w:rFonts w:ascii="Times New Roman" w:hAnsi="Times New Roman"/>
          <w:sz w:val="24"/>
          <w:szCs w:val="24"/>
        </w:rPr>
        <w:t xml:space="preserve"> </w:t>
      </w:r>
      <w:r w:rsidRPr="00717E5E">
        <w:rPr>
          <w:rFonts w:ascii="Times New Roman" w:hAnsi="Times New Roman"/>
          <w:sz w:val="24"/>
          <w:szCs w:val="24"/>
        </w:rPr>
        <w:t>measuring risk</w:t>
      </w:r>
      <w:r w:rsidR="00C875B5">
        <w:rPr>
          <w:rFonts w:ascii="Times New Roman" w:hAnsi="Times New Roman"/>
          <w:sz w:val="24"/>
          <w:szCs w:val="24"/>
        </w:rPr>
        <w:t>, as well as</w:t>
      </w:r>
      <w:r w:rsidRPr="00717E5E">
        <w:rPr>
          <w:rFonts w:ascii="Times New Roman" w:hAnsi="Times New Roman"/>
          <w:sz w:val="24"/>
          <w:szCs w:val="24"/>
        </w:rPr>
        <w:t xml:space="preserve"> identify</w:t>
      </w:r>
      <w:r w:rsidR="00C875B5">
        <w:rPr>
          <w:rFonts w:ascii="Times New Roman" w:hAnsi="Times New Roman"/>
          <w:sz w:val="24"/>
          <w:szCs w:val="24"/>
        </w:rPr>
        <w:t>ing</w:t>
      </w:r>
      <w:r w:rsidRPr="00717E5E">
        <w:rPr>
          <w:rFonts w:ascii="Times New Roman" w:hAnsi="Times New Roman"/>
          <w:sz w:val="24"/>
          <w:szCs w:val="24"/>
        </w:rPr>
        <w:t xml:space="preserve"> the sources of model error to which a</w:t>
      </w:r>
      <w:r w:rsidR="00C875B5">
        <w:rPr>
          <w:rFonts w:ascii="Times New Roman" w:hAnsi="Times New Roman"/>
          <w:sz w:val="24"/>
          <w:szCs w:val="24"/>
        </w:rPr>
        <w:t xml:space="preserve"> </w:t>
      </w:r>
      <w:r w:rsidRPr="00717E5E">
        <w:rPr>
          <w:rFonts w:ascii="Times New Roman" w:hAnsi="Times New Roman"/>
          <w:sz w:val="24"/>
          <w:szCs w:val="24"/>
        </w:rPr>
        <w:t>measure of risk is most vulnerable</w:t>
      </w:r>
      <w:r w:rsidR="00C875B5">
        <w:rPr>
          <w:rFonts w:ascii="Times New Roman" w:hAnsi="Times New Roman"/>
          <w:sz w:val="24"/>
          <w:szCs w:val="24"/>
        </w:rPr>
        <w:t>,</w:t>
      </w:r>
      <w:r w:rsidRPr="00717E5E">
        <w:rPr>
          <w:rFonts w:ascii="Times New Roman" w:hAnsi="Times New Roman"/>
          <w:sz w:val="24"/>
          <w:szCs w:val="24"/>
        </w:rPr>
        <w:t xml:space="preserve"> and </w:t>
      </w:r>
      <w:r w:rsidR="00C875B5">
        <w:rPr>
          <w:rFonts w:ascii="Times New Roman" w:hAnsi="Times New Roman"/>
          <w:sz w:val="24"/>
          <w:szCs w:val="24"/>
        </w:rPr>
        <w:t xml:space="preserve">furthermore isolating </w:t>
      </w:r>
      <w:r w:rsidRPr="00717E5E">
        <w:rPr>
          <w:rFonts w:ascii="Times New Roman" w:hAnsi="Times New Roman"/>
          <w:sz w:val="24"/>
          <w:szCs w:val="24"/>
        </w:rPr>
        <w:t>which changes in the underlying model have the</w:t>
      </w:r>
      <w:r w:rsidR="00C875B5">
        <w:rPr>
          <w:rFonts w:ascii="Times New Roman" w:hAnsi="Times New Roman"/>
          <w:sz w:val="24"/>
          <w:szCs w:val="24"/>
        </w:rPr>
        <w:t xml:space="preserve"> </w:t>
      </w:r>
      <w:r w:rsidRPr="00717E5E">
        <w:rPr>
          <w:rFonts w:ascii="Times New Roman" w:hAnsi="Times New Roman"/>
          <w:sz w:val="24"/>
          <w:szCs w:val="24"/>
        </w:rPr>
        <w:t>greatest impact on this risk measure.</w:t>
      </w:r>
    </w:p>
    <w:p w:rsidR="00D47083" w:rsidRDefault="00D47083" w:rsidP="008708D8">
      <w:pPr>
        <w:jc w:val="both"/>
        <w:rPr>
          <w:rFonts w:ascii="Times New Roman" w:hAnsi="Times New Roman"/>
          <w:sz w:val="24"/>
          <w:szCs w:val="24"/>
        </w:rPr>
      </w:pPr>
      <w:r>
        <w:rPr>
          <w:rFonts w:ascii="Times New Roman" w:hAnsi="Times New Roman"/>
          <w:sz w:val="24"/>
          <w:szCs w:val="24"/>
        </w:rPr>
        <w:t xml:space="preserve">In this paper, consistent with the objectives of credit loss measurement in CECL, we focus on the </w:t>
      </w:r>
      <w:r w:rsidR="007F25DD">
        <w:rPr>
          <w:rFonts w:ascii="Times New Roman" w:hAnsi="Times New Roman"/>
          <w:sz w:val="24"/>
          <w:szCs w:val="24"/>
        </w:rPr>
        <w:t>both</w:t>
      </w:r>
      <w:r w:rsidR="00717E5E" w:rsidRPr="00717E5E">
        <w:rPr>
          <w:rFonts w:ascii="Times New Roman" w:hAnsi="Times New Roman"/>
          <w:sz w:val="24"/>
          <w:szCs w:val="24"/>
        </w:rPr>
        <w:t xml:space="preserve"> objective</w:t>
      </w:r>
      <w:r w:rsidR="007F25DD">
        <w:rPr>
          <w:rFonts w:ascii="Times New Roman" w:hAnsi="Times New Roman"/>
          <w:sz w:val="24"/>
          <w:szCs w:val="24"/>
        </w:rPr>
        <w:t>s</w:t>
      </w:r>
      <w:r w:rsidR="00717E5E" w:rsidRPr="00717E5E">
        <w:rPr>
          <w:rFonts w:ascii="Times New Roman" w:hAnsi="Times New Roman"/>
          <w:sz w:val="24"/>
          <w:szCs w:val="24"/>
        </w:rPr>
        <w:t xml:space="preserve"> </w:t>
      </w:r>
      <w:r>
        <w:rPr>
          <w:rFonts w:ascii="Times New Roman" w:hAnsi="Times New Roman"/>
          <w:sz w:val="24"/>
          <w:szCs w:val="24"/>
        </w:rPr>
        <w:t>through</w:t>
      </w:r>
      <w:r w:rsidR="00717E5E" w:rsidRPr="00717E5E">
        <w:rPr>
          <w:rFonts w:ascii="Times New Roman" w:hAnsi="Times New Roman"/>
          <w:sz w:val="24"/>
          <w:szCs w:val="24"/>
        </w:rPr>
        <w:t xml:space="preserve"> calculat</w:t>
      </w:r>
      <w:r>
        <w:rPr>
          <w:rFonts w:ascii="Times New Roman" w:hAnsi="Times New Roman"/>
          <w:sz w:val="24"/>
          <w:szCs w:val="24"/>
        </w:rPr>
        <w:t>ing</w:t>
      </w:r>
      <w:r w:rsidR="00717E5E" w:rsidRPr="00717E5E">
        <w:rPr>
          <w:rFonts w:ascii="Times New Roman" w:hAnsi="Times New Roman"/>
          <w:sz w:val="24"/>
          <w:szCs w:val="24"/>
        </w:rPr>
        <w:t xml:space="preserve"> an upper bound</w:t>
      </w:r>
      <w:r>
        <w:rPr>
          <w:rFonts w:ascii="Times New Roman" w:hAnsi="Times New Roman"/>
          <w:sz w:val="24"/>
          <w:szCs w:val="24"/>
        </w:rPr>
        <w:t xml:space="preserve"> </w:t>
      </w:r>
      <w:r w:rsidR="00717E5E" w:rsidRPr="00717E5E">
        <w:rPr>
          <w:rFonts w:ascii="Times New Roman" w:hAnsi="Times New Roman"/>
          <w:sz w:val="24"/>
          <w:szCs w:val="24"/>
        </w:rPr>
        <w:t xml:space="preserve">on the range of </w:t>
      </w:r>
      <w:r>
        <w:rPr>
          <w:rFonts w:ascii="Times New Roman" w:hAnsi="Times New Roman"/>
          <w:sz w:val="24"/>
          <w:szCs w:val="24"/>
        </w:rPr>
        <w:t xml:space="preserve">credit </w:t>
      </w:r>
      <w:r w:rsidR="00717E5E" w:rsidRPr="00717E5E">
        <w:rPr>
          <w:rFonts w:ascii="Times New Roman" w:hAnsi="Times New Roman"/>
          <w:sz w:val="24"/>
          <w:szCs w:val="24"/>
        </w:rPr>
        <w:t>risk values that can result over a</w:t>
      </w:r>
      <w:r>
        <w:rPr>
          <w:rFonts w:ascii="Times New Roman" w:hAnsi="Times New Roman"/>
          <w:sz w:val="24"/>
          <w:szCs w:val="24"/>
        </w:rPr>
        <w:t xml:space="preserve"> </w:t>
      </w:r>
      <w:r w:rsidR="00717E5E" w:rsidRPr="00717E5E">
        <w:rPr>
          <w:rFonts w:ascii="Times New Roman" w:hAnsi="Times New Roman"/>
          <w:sz w:val="24"/>
          <w:szCs w:val="24"/>
        </w:rPr>
        <w:t>range of model errors within a certain distance of a nominal</w:t>
      </w:r>
      <w:r>
        <w:rPr>
          <w:rFonts w:ascii="Times New Roman" w:hAnsi="Times New Roman"/>
          <w:sz w:val="24"/>
          <w:szCs w:val="24"/>
        </w:rPr>
        <w:t xml:space="preserve"> </w:t>
      </w:r>
      <w:r w:rsidR="00717E5E" w:rsidRPr="00717E5E">
        <w:rPr>
          <w:rFonts w:ascii="Times New Roman" w:hAnsi="Times New Roman"/>
          <w:sz w:val="24"/>
          <w:szCs w:val="24"/>
        </w:rPr>
        <w:t>model</w:t>
      </w:r>
      <w:r w:rsidR="007F25DD">
        <w:rPr>
          <w:rFonts w:ascii="Times New Roman" w:hAnsi="Times New Roman"/>
          <w:sz w:val="24"/>
          <w:szCs w:val="24"/>
        </w:rPr>
        <w:t>, for a range of credit loss model and economic scenario generation models</w:t>
      </w:r>
      <w:r w:rsidR="00717E5E" w:rsidRPr="00717E5E">
        <w:rPr>
          <w:rFonts w:ascii="Times New Roman" w:hAnsi="Times New Roman"/>
          <w:sz w:val="24"/>
          <w:szCs w:val="24"/>
        </w:rPr>
        <w:t xml:space="preserve">. </w:t>
      </w:r>
      <w:r>
        <w:rPr>
          <w:rFonts w:ascii="Times New Roman" w:hAnsi="Times New Roman"/>
          <w:sz w:val="24"/>
          <w:szCs w:val="24"/>
        </w:rPr>
        <w:t xml:space="preserve"> </w:t>
      </w:r>
      <w:r w:rsidR="00717E5E" w:rsidRPr="00717E5E">
        <w:rPr>
          <w:rFonts w:ascii="Times New Roman" w:hAnsi="Times New Roman"/>
          <w:sz w:val="24"/>
          <w:szCs w:val="24"/>
        </w:rPr>
        <w:t>Th</w:t>
      </w:r>
      <w:r>
        <w:rPr>
          <w:rFonts w:ascii="Times New Roman" w:hAnsi="Times New Roman"/>
          <w:sz w:val="24"/>
          <w:szCs w:val="24"/>
        </w:rPr>
        <w:t>is</w:t>
      </w:r>
      <w:r w:rsidR="00717E5E" w:rsidRPr="00717E5E">
        <w:rPr>
          <w:rFonts w:ascii="Times New Roman" w:hAnsi="Times New Roman"/>
          <w:sz w:val="24"/>
          <w:szCs w:val="24"/>
        </w:rPr>
        <w:t xml:space="preserve"> bound </w:t>
      </w:r>
      <w:r>
        <w:rPr>
          <w:rFonts w:ascii="Times New Roman" w:hAnsi="Times New Roman"/>
          <w:sz w:val="24"/>
          <w:szCs w:val="24"/>
        </w:rPr>
        <w:t>is</w:t>
      </w:r>
      <w:r w:rsidR="00717E5E" w:rsidRPr="00717E5E">
        <w:rPr>
          <w:rFonts w:ascii="Times New Roman" w:hAnsi="Times New Roman"/>
          <w:sz w:val="24"/>
          <w:szCs w:val="24"/>
        </w:rPr>
        <w:t xml:space="preserve"> somewhat analogous to a</w:t>
      </w:r>
      <w:r>
        <w:rPr>
          <w:rFonts w:ascii="Times New Roman" w:hAnsi="Times New Roman"/>
          <w:sz w:val="24"/>
          <w:szCs w:val="24"/>
        </w:rPr>
        <w:t>n</w:t>
      </w:r>
      <w:r w:rsidR="00717E5E" w:rsidRPr="00717E5E">
        <w:rPr>
          <w:rFonts w:ascii="Times New Roman" w:hAnsi="Times New Roman"/>
          <w:sz w:val="24"/>
          <w:szCs w:val="24"/>
        </w:rPr>
        <w:t xml:space="preserve"> </w:t>
      </w:r>
      <w:r>
        <w:rPr>
          <w:rFonts w:ascii="Times New Roman" w:hAnsi="Times New Roman"/>
          <w:sz w:val="24"/>
          <w:szCs w:val="24"/>
        </w:rPr>
        <w:t xml:space="preserve">upper </w:t>
      </w:r>
      <w:r w:rsidR="00717E5E" w:rsidRPr="00717E5E">
        <w:rPr>
          <w:rFonts w:ascii="Times New Roman" w:hAnsi="Times New Roman"/>
          <w:sz w:val="24"/>
          <w:szCs w:val="24"/>
        </w:rPr>
        <w:t>confidence</w:t>
      </w:r>
      <w:r>
        <w:rPr>
          <w:rFonts w:ascii="Times New Roman" w:hAnsi="Times New Roman"/>
          <w:sz w:val="24"/>
          <w:szCs w:val="24"/>
        </w:rPr>
        <w:t xml:space="preserve"> bound, </w:t>
      </w:r>
      <w:r w:rsidR="00717E5E" w:rsidRPr="00717E5E">
        <w:rPr>
          <w:rFonts w:ascii="Times New Roman" w:hAnsi="Times New Roman"/>
          <w:sz w:val="24"/>
          <w:szCs w:val="24"/>
        </w:rPr>
        <w:t>but whereas a confidence interval quantifies the effect</w:t>
      </w:r>
      <w:r>
        <w:rPr>
          <w:rFonts w:ascii="Times New Roman" w:hAnsi="Times New Roman"/>
          <w:sz w:val="24"/>
          <w:szCs w:val="24"/>
        </w:rPr>
        <w:t xml:space="preserve"> </w:t>
      </w:r>
      <w:r w:rsidR="00717E5E" w:rsidRPr="00717E5E">
        <w:rPr>
          <w:rFonts w:ascii="Times New Roman" w:hAnsi="Times New Roman"/>
          <w:sz w:val="24"/>
          <w:szCs w:val="24"/>
        </w:rPr>
        <w:t xml:space="preserve">of sampling variability, the robustness bound </w:t>
      </w:r>
      <w:r>
        <w:rPr>
          <w:rFonts w:ascii="Times New Roman" w:hAnsi="Times New Roman"/>
          <w:sz w:val="24"/>
          <w:szCs w:val="24"/>
        </w:rPr>
        <w:t xml:space="preserve">that </w:t>
      </w:r>
      <w:r w:rsidR="00717E5E" w:rsidRPr="00717E5E">
        <w:rPr>
          <w:rFonts w:ascii="Times New Roman" w:hAnsi="Times New Roman"/>
          <w:sz w:val="24"/>
          <w:szCs w:val="24"/>
        </w:rPr>
        <w:t>we develop</w:t>
      </w:r>
      <w:r>
        <w:rPr>
          <w:rFonts w:ascii="Times New Roman" w:hAnsi="Times New Roman"/>
          <w:sz w:val="24"/>
          <w:szCs w:val="24"/>
        </w:rPr>
        <w:t xml:space="preserve"> </w:t>
      </w:r>
      <w:r w:rsidR="00717E5E" w:rsidRPr="00717E5E">
        <w:rPr>
          <w:rFonts w:ascii="Times New Roman" w:hAnsi="Times New Roman"/>
          <w:sz w:val="24"/>
          <w:szCs w:val="24"/>
        </w:rPr>
        <w:t>quantif</w:t>
      </w:r>
      <w:r w:rsidR="0004182C">
        <w:rPr>
          <w:rFonts w:ascii="Times New Roman" w:hAnsi="Times New Roman"/>
          <w:sz w:val="24"/>
          <w:szCs w:val="24"/>
        </w:rPr>
        <w:t>ies</w:t>
      </w:r>
      <w:r w:rsidR="00717E5E" w:rsidRPr="00717E5E">
        <w:rPr>
          <w:rFonts w:ascii="Times New Roman" w:hAnsi="Times New Roman"/>
          <w:sz w:val="24"/>
          <w:szCs w:val="24"/>
        </w:rPr>
        <w:t xml:space="preserve"> the effect of model error.</w:t>
      </w:r>
      <w:r>
        <w:rPr>
          <w:rFonts w:ascii="Times New Roman" w:hAnsi="Times New Roman"/>
          <w:sz w:val="24"/>
          <w:szCs w:val="24"/>
        </w:rPr>
        <w:t xml:space="preserve">  The </w:t>
      </w:r>
      <w:r w:rsidR="00717E5E" w:rsidRPr="00717E5E">
        <w:rPr>
          <w:rFonts w:ascii="Times New Roman" w:hAnsi="Times New Roman"/>
          <w:sz w:val="24"/>
          <w:szCs w:val="24"/>
        </w:rPr>
        <w:t xml:space="preserve">simple example </w:t>
      </w:r>
      <w:r>
        <w:rPr>
          <w:rFonts w:ascii="Times New Roman" w:hAnsi="Times New Roman"/>
          <w:sz w:val="24"/>
          <w:szCs w:val="24"/>
        </w:rPr>
        <w:t xml:space="preserve">of a standard error estimate </w:t>
      </w:r>
      <w:r w:rsidR="00717E5E" w:rsidRPr="00717E5E">
        <w:rPr>
          <w:rFonts w:ascii="Times New Roman" w:hAnsi="Times New Roman"/>
          <w:sz w:val="24"/>
          <w:szCs w:val="24"/>
        </w:rPr>
        <w:t>should help illustrate th</w:t>
      </w:r>
      <w:r>
        <w:rPr>
          <w:rFonts w:ascii="Times New Roman" w:hAnsi="Times New Roman"/>
          <w:sz w:val="24"/>
          <w:szCs w:val="24"/>
        </w:rPr>
        <w:t>is</w:t>
      </w:r>
      <w:r w:rsidR="00717E5E" w:rsidRPr="00717E5E">
        <w:rPr>
          <w:rFonts w:ascii="Times New Roman" w:hAnsi="Times New Roman"/>
          <w:sz w:val="24"/>
          <w:szCs w:val="24"/>
        </w:rPr>
        <w:t xml:space="preserve"> idea</w:t>
      </w:r>
      <w:r>
        <w:rPr>
          <w:rFonts w:ascii="Times New Roman" w:hAnsi="Times New Roman"/>
          <w:sz w:val="24"/>
          <w:szCs w:val="24"/>
        </w:rPr>
        <w:t>, as</w:t>
      </w:r>
      <w:r w:rsidR="00717E5E" w:rsidRPr="00717E5E">
        <w:rPr>
          <w:rFonts w:ascii="Times New Roman" w:hAnsi="Times New Roman"/>
          <w:sz w:val="24"/>
          <w:szCs w:val="24"/>
        </w:rPr>
        <w:t xml:space="preserve"> </w:t>
      </w:r>
      <w:r>
        <w:rPr>
          <w:rFonts w:ascii="Times New Roman" w:hAnsi="Times New Roman"/>
          <w:sz w:val="24"/>
          <w:szCs w:val="24"/>
        </w:rPr>
        <w:t xml:space="preserve">a </w:t>
      </w:r>
      <w:r w:rsidR="00717E5E" w:rsidRPr="00717E5E">
        <w:rPr>
          <w:rFonts w:ascii="Times New Roman" w:hAnsi="Times New Roman"/>
          <w:sz w:val="24"/>
          <w:szCs w:val="24"/>
        </w:rPr>
        <w:t xml:space="preserve">conventional measure of </w:t>
      </w:r>
      <w:r>
        <w:rPr>
          <w:rFonts w:ascii="Times New Roman" w:hAnsi="Times New Roman"/>
          <w:sz w:val="24"/>
          <w:szCs w:val="24"/>
        </w:rPr>
        <w:t xml:space="preserve">credit </w:t>
      </w:r>
      <w:r w:rsidR="00717E5E" w:rsidRPr="00717E5E">
        <w:rPr>
          <w:rFonts w:ascii="Times New Roman" w:hAnsi="Times New Roman"/>
          <w:sz w:val="24"/>
          <w:szCs w:val="24"/>
        </w:rPr>
        <w:t xml:space="preserve">risk </w:t>
      </w:r>
      <w:r>
        <w:rPr>
          <w:rFonts w:ascii="Times New Roman" w:hAnsi="Times New Roman"/>
          <w:sz w:val="24"/>
          <w:szCs w:val="24"/>
        </w:rPr>
        <w:t>in a loan or bond</w:t>
      </w:r>
      <w:r w:rsidR="00717E5E" w:rsidRPr="00717E5E">
        <w:rPr>
          <w:rFonts w:ascii="Times New Roman" w:hAnsi="Times New Roman"/>
          <w:sz w:val="24"/>
          <w:szCs w:val="24"/>
        </w:rPr>
        <w:t xml:space="preserve"> portfolio.</w:t>
      </w:r>
      <w:r>
        <w:rPr>
          <w:rFonts w:ascii="Times New Roman" w:hAnsi="Times New Roman"/>
          <w:sz w:val="24"/>
          <w:szCs w:val="24"/>
        </w:rPr>
        <w:t xml:space="preserve">  </w:t>
      </w:r>
      <w:r w:rsidR="00717E5E" w:rsidRPr="00717E5E">
        <w:rPr>
          <w:rFonts w:ascii="Times New Roman" w:hAnsi="Times New Roman"/>
          <w:sz w:val="24"/>
          <w:szCs w:val="24"/>
        </w:rPr>
        <w:t>Measuring standard deviation prospectively requires assumptions</w:t>
      </w:r>
      <w:r>
        <w:rPr>
          <w:rFonts w:ascii="Times New Roman" w:hAnsi="Times New Roman"/>
          <w:sz w:val="24"/>
          <w:szCs w:val="24"/>
        </w:rPr>
        <w:t xml:space="preserve"> </w:t>
      </w:r>
      <w:r w:rsidR="00717E5E" w:rsidRPr="00717E5E">
        <w:rPr>
          <w:rFonts w:ascii="Times New Roman" w:hAnsi="Times New Roman"/>
          <w:sz w:val="24"/>
          <w:szCs w:val="24"/>
        </w:rPr>
        <w:t>about the joint distribution of the returns of assets</w:t>
      </w:r>
      <w:r>
        <w:rPr>
          <w:rFonts w:ascii="Times New Roman" w:hAnsi="Times New Roman"/>
          <w:sz w:val="24"/>
          <w:szCs w:val="24"/>
        </w:rPr>
        <w:t>, or default correlation,</w:t>
      </w:r>
      <w:r w:rsidR="00717E5E" w:rsidRPr="00717E5E">
        <w:rPr>
          <w:rFonts w:ascii="Times New Roman" w:hAnsi="Times New Roman"/>
          <w:sz w:val="24"/>
          <w:szCs w:val="24"/>
        </w:rPr>
        <w:t xml:space="preserve"> in</w:t>
      </w:r>
      <w:r>
        <w:rPr>
          <w:rFonts w:ascii="Times New Roman" w:hAnsi="Times New Roman"/>
          <w:sz w:val="24"/>
          <w:szCs w:val="24"/>
        </w:rPr>
        <w:t xml:space="preserve"> a credit</w:t>
      </w:r>
      <w:r w:rsidR="00717E5E" w:rsidRPr="00717E5E">
        <w:rPr>
          <w:rFonts w:ascii="Times New Roman" w:hAnsi="Times New Roman"/>
          <w:sz w:val="24"/>
          <w:szCs w:val="24"/>
        </w:rPr>
        <w:t xml:space="preserve"> portfolio. </w:t>
      </w:r>
      <w:r>
        <w:rPr>
          <w:rFonts w:ascii="Times New Roman" w:hAnsi="Times New Roman"/>
          <w:sz w:val="24"/>
          <w:szCs w:val="24"/>
        </w:rPr>
        <w:t xml:space="preserve"> </w:t>
      </w:r>
    </w:p>
    <w:p w:rsidR="00717E5E" w:rsidRDefault="00D47083" w:rsidP="008708D8">
      <w:pPr>
        <w:jc w:val="both"/>
        <w:rPr>
          <w:rFonts w:ascii="Times New Roman" w:hAnsi="Times New Roman"/>
          <w:sz w:val="24"/>
          <w:szCs w:val="24"/>
        </w:rPr>
      </w:pPr>
      <w:r>
        <w:rPr>
          <w:rFonts w:ascii="Times New Roman" w:hAnsi="Times New Roman"/>
          <w:sz w:val="24"/>
          <w:szCs w:val="24"/>
        </w:rPr>
        <w:t xml:space="preserve">In light of the </w:t>
      </w:r>
      <w:r w:rsidR="00717E5E" w:rsidRPr="00717E5E">
        <w:rPr>
          <w:rFonts w:ascii="Times New Roman" w:hAnsi="Times New Roman"/>
          <w:sz w:val="24"/>
          <w:szCs w:val="24"/>
        </w:rPr>
        <w:t>first objective listed above</w:t>
      </w:r>
      <w:r>
        <w:rPr>
          <w:rFonts w:ascii="Times New Roman" w:hAnsi="Times New Roman"/>
          <w:sz w:val="24"/>
          <w:szCs w:val="24"/>
        </w:rPr>
        <w:t xml:space="preserve"> and our focus in the CECL context</w:t>
      </w:r>
      <w:r w:rsidR="00717E5E" w:rsidRPr="00717E5E">
        <w:rPr>
          <w:rFonts w:ascii="Times New Roman" w:hAnsi="Times New Roman"/>
          <w:sz w:val="24"/>
          <w:szCs w:val="24"/>
        </w:rPr>
        <w:t>,</w:t>
      </w:r>
      <w:r>
        <w:rPr>
          <w:rFonts w:ascii="Times New Roman" w:hAnsi="Times New Roman"/>
          <w:sz w:val="24"/>
          <w:szCs w:val="24"/>
        </w:rPr>
        <w:t xml:space="preserve"> </w:t>
      </w:r>
      <w:r w:rsidR="00717E5E" w:rsidRPr="00717E5E">
        <w:rPr>
          <w:rFonts w:ascii="Times New Roman" w:hAnsi="Times New Roman"/>
          <w:sz w:val="24"/>
          <w:szCs w:val="24"/>
        </w:rPr>
        <w:t>we</w:t>
      </w:r>
      <w:r>
        <w:rPr>
          <w:rFonts w:ascii="Times New Roman" w:hAnsi="Times New Roman"/>
          <w:sz w:val="24"/>
          <w:szCs w:val="24"/>
        </w:rPr>
        <w:t xml:space="preserve"> </w:t>
      </w:r>
      <w:r w:rsidR="00717E5E" w:rsidRPr="00717E5E">
        <w:rPr>
          <w:rFonts w:ascii="Times New Roman" w:hAnsi="Times New Roman"/>
          <w:sz w:val="24"/>
          <w:szCs w:val="24"/>
        </w:rPr>
        <w:t>would</w:t>
      </w:r>
      <w:r>
        <w:rPr>
          <w:rFonts w:ascii="Times New Roman" w:hAnsi="Times New Roman"/>
          <w:sz w:val="24"/>
          <w:szCs w:val="24"/>
        </w:rPr>
        <w:t xml:space="preserve"> </w:t>
      </w:r>
      <w:r w:rsidR="00717E5E" w:rsidRPr="00717E5E">
        <w:rPr>
          <w:rFonts w:ascii="Times New Roman" w:hAnsi="Times New Roman"/>
          <w:sz w:val="24"/>
          <w:szCs w:val="24"/>
        </w:rPr>
        <w:t>want</w:t>
      </w:r>
      <w:r>
        <w:rPr>
          <w:rFonts w:ascii="Times New Roman" w:hAnsi="Times New Roman"/>
          <w:sz w:val="24"/>
          <w:szCs w:val="24"/>
        </w:rPr>
        <w:t xml:space="preserve"> </w:t>
      </w:r>
      <w:r w:rsidR="00717E5E" w:rsidRPr="00717E5E">
        <w:rPr>
          <w:rFonts w:ascii="Times New Roman" w:hAnsi="Times New Roman"/>
          <w:sz w:val="24"/>
          <w:szCs w:val="24"/>
        </w:rPr>
        <w:t>to bound the values of standard deviation that can result from a</w:t>
      </w:r>
      <w:r>
        <w:rPr>
          <w:rFonts w:ascii="Times New Roman" w:hAnsi="Times New Roman"/>
          <w:sz w:val="24"/>
          <w:szCs w:val="24"/>
        </w:rPr>
        <w:t xml:space="preserve"> </w:t>
      </w:r>
      <w:r w:rsidR="00717E5E" w:rsidRPr="00717E5E">
        <w:rPr>
          <w:rFonts w:ascii="Times New Roman" w:hAnsi="Times New Roman"/>
          <w:sz w:val="24"/>
          <w:szCs w:val="24"/>
        </w:rPr>
        <w:t>reasonable degree of model error.</w:t>
      </w:r>
      <w:r>
        <w:rPr>
          <w:rFonts w:ascii="Times New Roman" w:hAnsi="Times New Roman"/>
          <w:sz w:val="24"/>
          <w:szCs w:val="24"/>
        </w:rPr>
        <w:t xml:space="preserve">  </w:t>
      </w:r>
      <w:r w:rsidR="00717E5E" w:rsidRPr="00717E5E">
        <w:rPr>
          <w:rFonts w:ascii="Times New Roman" w:hAnsi="Times New Roman"/>
          <w:sz w:val="24"/>
          <w:szCs w:val="24"/>
        </w:rPr>
        <w:t>In practice, model risk is sometimes addressed by comparing</w:t>
      </w:r>
      <w:r>
        <w:rPr>
          <w:rFonts w:ascii="Times New Roman" w:hAnsi="Times New Roman"/>
          <w:sz w:val="24"/>
          <w:szCs w:val="24"/>
        </w:rPr>
        <w:t xml:space="preserve"> </w:t>
      </w:r>
      <w:r w:rsidR="00717E5E" w:rsidRPr="00717E5E">
        <w:rPr>
          <w:rFonts w:ascii="Times New Roman" w:hAnsi="Times New Roman"/>
          <w:sz w:val="24"/>
          <w:szCs w:val="24"/>
        </w:rPr>
        <w:t>the results of different models</w:t>
      </w:r>
      <w:r>
        <w:rPr>
          <w:rFonts w:ascii="Times New Roman" w:hAnsi="Times New Roman"/>
          <w:sz w:val="24"/>
          <w:szCs w:val="24"/>
        </w:rPr>
        <w:t>, but m</w:t>
      </w:r>
      <w:r w:rsidR="00717E5E" w:rsidRPr="00717E5E">
        <w:rPr>
          <w:rFonts w:ascii="Times New Roman" w:hAnsi="Times New Roman"/>
          <w:sz w:val="24"/>
          <w:szCs w:val="24"/>
        </w:rPr>
        <w:t>ore often if it is considered at all, model</w:t>
      </w:r>
      <w:r>
        <w:rPr>
          <w:rFonts w:ascii="Times New Roman" w:hAnsi="Times New Roman"/>
          <w:sz w:val="24"/>
          <w:szCs w:val="24"/>
        </w:rPr>
        <w:t xml:space="preserve"> </w:t>
      </w:r>
      <w:r w:rsidR="00717E5E" w:rsidRPr="00717E5E">
        <w:rPr>
          <w:rFonts w:ascii="Times New Roman" w:hAnsi="Times New Roman"/>
          <w:sz w:val="24"/>
          <w:szCs w:val="24"/>
        </w:rPr>
        <w:t xml:space="preserve">risk is investigated by varying model parameters. </w:t>
      </w:r>
      <w:r>
        <w:rPr>
          <w:rFonts w:ascii="Times New Roman" w:hAnsi="Times New Roman"/>
          <w:sz w:val="24"/>
          <w:szCs w:val="24"/>
        </w:rPr>
        <w:t xml:space="preserve"> Crucially, </w:t>
      </w:r>
      <w:r w:rsidR="00717E5E" w:rsidRPr="00717E5E">
        <w:rPr>
          <w:rFonts w:ascii="Times New Roman" w:hAnsi="Times New Roman"/>
          <w:sz w:val="24"/>
          <w:szCs w:val="24"/>
        </w:rPr>
        <w:t xml:space="preserve">the tools </w:t>
      </w:r>
      <w:r>
        <w:rPr>
          <w:rFonts w:ascii="Times New Roman" w:hAnsi="Times New Roman"/>
          <w:sz w:val="24"/>
          <w:szCs w:val="24"/>
        </w:rPr>
        <w:t>applied</w:t>
      </w:r>
      <w:r w:rsidR="00717E5E" w:rsidRPr="00717E5E">
        <w:rPr>
          <w:rFonts w:ascii="Times New Roman" w:hAnsi="Times New Roman"/>
          <w:sz w:val="24"/>
          <w:szCs w:val="24"/>
        </w:rPr>
        <w:t xml:space="preserve"> here go beyond parameter sensitivity to</w:t>
      </w:r>
      <w:r>
        <w:rPr>
          <w:rFonts w:ascii="Times New Roman" w:hAnsi="Times New Roman"/>
          <w:sz w:val="24"/>
          <w:szCs w:val="24"/>
        </w:rPr>
        <w:t xml:space="preserve"> </w:t>
      </w:r>
      <w:r w:rsidR="00717E5E" w:rsidRPr="00717E5E">
        <w:rPr>
          <w:rFonts w:ascii="Times New Roman" w:hAnsi="Times New Roman"/>
          <w:sz w:val="24"/>
          <w:szCs w:val="24"/>
        </w:rPr>
        <w:t>consider the effect of changes in the probability law that defines</w:t>
      </w:r>
      <w:r>
        <w:rPr>
          <w:rFonts w:ascii="Times New Roman" w:hAnsi="Times New Roman"/>
          <w:sz w:val="24"/>
          <w:szCs w:val="24"/>
        </w:rPr>
        <w:t xml:space="preserve"> </w:t>
      </w:r>
      <w:r w:rsidR="00717E5E" w:rsidRPr="00717E5E">
        <w:rPr>
          <w:rFonts w:ascii="Times New Roman" w:hAnsi="Times New Roman"/>
          <w:sz w:val="24"/>
          <w:szCs w:val="24"/>
        </w:rPr>
        <w:t>an underlying model</w:t>
      </w:r>
      <w:r>
        <w:rPr>
          <w:rFonts w:ascii="Times New Roman" w:hAnsi="Times New Roman"/>
          <w:sz w:val="24"/>
          <w:szCs w:val="24"/>
        </w:rPr>
        <w:t>, enabling us</w:t>
      </w:r>
      <w:r w:rsidR="00717E5E" w:rsidRPr="00717E5E">
        <w:rPr>
          <w:rFonts w:ascii="Times New Roman" w:hAnsi="Times New Roman"/>
          <w:sz w:val="24"/>
          <w:szCs w:val="24"/>
        </w:rPr>
        <w:t xml:space="preserve"> to identify vulnerabilities</w:t>
      </w:r>
      <w:r>
        <w:rPr>
          <w:rFonts w:ascii="Times New Roman" w:hAnsi="Times New Roman"/>
          <w:sz w:val="24"/>
          <w:szCs w:val="24"/>
        </w:rPr>
        <w:t xml:space="preserve"> </w:t>
      </w:r>
      <w:r w:rsidR="00717E5E" w:rsidRPr="00717E5E">
        <w:rPr>
          <w:rFonts w:ascii="Times New Roman" w:hAnsi="Times New Roman"/>
          <w:sz w:val="24"/>
          <w:szCs w:val="24"/>
        </w:rPr>
        <w:t>to model error that are not reflected in parameter perturbations.</w:t>
      </w:r>
      <w:r>
        <w:rPr>
          <w:rFonts w:ascii="Times New Roman" w:hAnsi="Times New Roman"/>
          <w:sz w:val="24"/>
          <w:szCs w:val="24"/>
        </w:rPr>
        <w:t xml:space="preserve">  </w:t>
      </w:r>
      <w:r w:rsidR="00717E5E" w:rsidRPr="00717E5E">
        <w:rPr>
          <w:rFonts w:ascii="Times New Roman" w:hAnsi="Times New Roman"/>
          <w:sz w:val="24"/>
          <w:szCs w:val="24"/>
        </w:rPr>
        <w:t>For example, the main source of model risk might result</w:t>
      </w:r>
      <w:r>
        <w:rPr>
          <w:rFonts w:ascii="Times New Roman" w:hAnsi="Times New Roman"/>
          <w:sz w:val="24"/>
          <w:szCs w:val="24"/>
        </w:rPr>
        <w:t xml:space="preserve"> </w:t>
      </w:r>
      <w:r w:rsidR="00717E5E" w:rsidRPr="00717E5E">
        <w:rPr>
          <w:rFonts w:ascii="Times New Roman" w:hAnsi="Times New Roman"/>
          <w:sz w:val="24"/>
          <w:szCs w:val="24"/>
        </w:rPr>
        <w:t>from an error in a joint distribution of returns that cannot be</w:t>
      </w:r>
      <w:r>
        <w:rPr>
          <w:rFonts w:ascii="Times New Roman" w:hAnsi="Times New Roman"/>
          <w:sz w:val="24"/>
          <w:szCs w:val="24"/>
        </w:rPr>
        <w:t xml:space="preserve"> </w:t>
      </w:r>
      <w:r w:rsidR="00717E5E" w:rsidRPr="00717E5E">
        <w:rPr>
          <w:rFonts w:ascii="Times New Roman" w:hAnsi="Times New Roman"/>
          <w:sz w:val="24"/>
          <w:szCs w:val="24"/>
        </w:rPr>
        <w:t>described through a change in a covariance matrix.</w:t>
      </w:r>
      <w:r>
        <w:rPr>
          <w:rFonts w:ascii="Times New Roman" w:hAnsi="Times New Roman"/>
          <w:sz w:val="24"/>
          <w:szCs w:val="24"/>
        </w:rPr>
        <w:t xml:space="preserve">  </w:t>
      </w:r>
      <w:r w:rsidR="00717E5E" w:rsidRPr="00717E5E">
        <w:rPr>
          <w:rFonts w:ascii="Times New Roman" w:hAnsi="Times New Roman"/>
          <w:sz w:val="24"/>
          <w:szCs w:val="24"/>
        </w:rPr>
        <w:t>To work with model errors described by changes in probability</w:t>
      </w:r>
      <w:r>
        <w:rPr>
          <w:rFonts w:ascii="Times New Roman" w:hAnsi="Times New Roman"/>
          <w:sz w:val="24"/>
          <w:szCs w:val="24"/>
        </w:rPr>
        <w:t xml:space="preserve"> </w:t>
      </w:r>
      <w:r w:rsidR="00717E5E" w:rsidRPr="00717E5E">
        <w:rPr>
          <w:rFonts w:ascii="Times New Roman" w:hAnsi="Times New Roman"/>
          <w:sz w:val="24"/>
          <w:szCs w:val="24"/>
        </w:rPr>
        <w:t xml:space="preserve">laws, we need a way to quantify such changes, and </w:t>
      </w:r>
      <w:r>
        <w:rPr>
          <w:rFonts w:ascii="Times New Roman" w:hAnsi="Times New Roman"/>
          <w:sz w:val="24"/>
          <w:szCs w:val="24"/>
        </w:rPr>
        <w:t xml:space="preserve">to this end </w:t>
      </w:r>
      <w:r w:rsidR="00717E5E" w:rsidRPr="00717E5E">
        <w:rPr>
          <w:rFonts w:ascii="Times New Roman" w:hAnsi="Times New Roman"/>
          <w:sz w:val="24"/>
          <w:szCs w:val="24"/>
        </w:rPr>
        <w:t xml:space="preserve">we </w:t>
      </w:r>
      <w:r>
        <w:rPr>
          <w:rFonts w:ascii="Times New Roman" w:hAnsi="Times New Roman"/>
          <w:sz w:val="24"/>
          <w:szCs w:val="24"/>
        </w:rPr>
        <w:t xml:space="preserve">deploy the </w:t>
      </w:r>
      <w:r w:rsidRPr="00D47083">
        <w:rPr>
          <w:rFonts w:ascii="Times New Roman" w:hAnsi="Times New Roman"/>
          <w:i/>
          <w:sz w:val="24"/>
          <w:szCs w:val="24"/>
        </w:rPr>
        <w:t>principle of</w:t>
      </w:r>
      <w:r w:rsidR="00717E5E" w:rsidRPr="00D47083">
        <w:rPr>
          <w:rFonts w:ascii="Times New Roman" w:hAnsi="Times New Roman"/>
          <w:i/>
          <w:sz w:val="24"/>
          <w:szCs w:val="24"/>
        </w:rPr>
        <w:t xml:space="preserve"> relative entropy</w:t>
      </w:r>
      <w:r w:rsidR="00717E5E" w:rsidRPr="00717E5E">
        <w:rPr>
          <w:rFonts w:ascii="Times New Roman" w:hAnsi="Times New Roman"/>
          <w:sz w:val="24"/>
          <w:szCs w:val="24"/>
        </w:rPr>
        <w:t xml:space="preserve"> </w:t>
      </w:r>
      <w:r>
        <w:rPr>
          <w:rFonts w:ascii="Times New Roman" w:hAnsi="Times New Roman"/>
          <w:sz w:val="24"/>
          <w:szCs w:val="24"/>
        </w:rPr>
        <w:t>(</w:t>
      </w:r>
      <w:r w:rsidR="00717E5E" w:rsidRPr="00717E5E">
        <w:rPr>
          <w:rFonts w:ascii="Times New Roman" w:hAnsi="Times New Roman"/>
          <w:sz w:val="24"/>
          <w:szCs w:val="24"/>
        </w:rPr>
        <w:t>Hansen and Sargent (2007)</w:t>
      </w:r>
      <w:r>
        <w:rPr>
          <w:rFonts w:ascii="Times New Roman" w:hAnsi="Times New Roman"/>
          <w:sz w:val="24"/>
          <w:szCs w:val="24"/>
        </w:rPr>
        <w:t>, Glasserman and Xu (2013)</w:t>
      </w:r>
      <w:r w:rsidR="00717E5E" w:rsidRPr="00717E5E">
        <w:rPr>
          <w:rFonts w:ascii="Times New Roman" w:hAnsi="Times New Roman"/>
          <w:sz w:val="24"/>
          <w:szCs w:val="24"/>
        </w:rPr>
        <w:t>.</w:t>
      </w:r>
      <w:r>
        <w:rPr>
          <w:rFonts w:ascii="Times New Roman" w:hAnsi="Times New Roman"/>
          <w:sz w:val="24"/>
          <w:szCs w:val="24"/>
        </w:rPr>
        <w:t xml:space="preserve">)  </w:t>
      </w:r>
      <w:r w:rsidR="00717E5E" w:rsidRPr="00717E5E">
        <w:rPr>
          <w:rFonts w:ascii="Times New Roman" w:hAnsi="Times New Roman"/>
          <w:sz w:val="24"/>
          <w:szCs w:val="24"/>
        </w:rPr>
        <w:t>In Bayesian statistics, the relative entropy between posterior</w:t>
      </w:r>
      <w:r>
        <w:rPr>
          <w:rFonts w:ascii="Times New Roman" w:hAnsi="Times New Roman"/>
          <w:sz w:val="24"/>
          <w:szCs w:val="24"/>
        </w:rPr>
        <w:t xml:space="preserve"> </w:t>
      </w:r>
      <w:r w:rsidR="00717E5E" w:rsidRPr="00717E5E">
        <w:rPr>
          <w:rFonts w:ascii="Times New Roman" w:hAnsi="Times New Roman"/>
          <w:sz w:val="24"/>
          <w:szCs w:val="24"/>
        </w:rPr>
        <w:t>and prior distributions measures the information gained</w:t>
      </w:r>
      <w:r>
        <w:rPr>
          <w:rFonts w:ascii="Times New Roman" w:hAnsi="Times New Roman"/>
          <w:sz w:val="24"/>
          <w:szCs w:val="24"/>
        </w:rPr>
        <w:t xml:space="preserve"> </w:t>
      </w:r>
      <w:r w:rsidR="00717E5E" w:rsidRPr="00717E5E">
        <w:rPr>
          <w:rFonts w:ascii="Times New Roman" w:hAnsi="Times New Roman"/>
          <w:sz w:val="24"/>
          <w:szCs w:val="24"/>
        </w:rPr>
        <w:t xml:space="preserve">through </w:t>
      </w:r>
      <w:r w:rsidR="00717E5E" w:rsidRPr="00717E5E">
        <w:rPr>
          <w:rFonts w:ascii="Times New Roman" w:hAnsi="Times New Roman"/>
          <w:sz w:val="24"/>
          <w:szCs w:val="24"/>
        </w:rPr>
        <w:lastRenderedPageBreak/>
        <w:t xml:space="preserve">additional data. </w:t>
      </w:r>
      <w:r>
        <w:rPr>
          <w:rFonts w:ascii="Times New Roman" w:hAnsi="Times New Roman"/>
          <w:sz w:val="24"/>
          <w:szCs w:val="24"/>
        </w:rPr>
        <w:t xml:space="preserve"> </w:t>
      </w:r>
      <w:r w:rsidR="00717E5E" w:rsidRPr="00717E5E">
        <w:rPr>
          <w:rFonts w:ascii="Times New Roman" w:hAnsi="Times New Roman"/>
          <w:sz w:val="24"/>
          <w:szCs w:val="24"/>
        </w:rPr>
        <w:t>In characterizing model error, we interpret</w:t>
      </w:r>
      <w:r>
        <w:rPr>
          <w:rFonts w:ascii="Times New Roman" w:hAnsi="Times New Roman"/>
          <w:sz w:val="24"/>
          <w:szCs w:val="24"/>
        </w:rPr>
        <w:t xml:space="preserve"> </w:t>
      </w:r>
      <w:r w:rsidR="00717E5E" w:rsidRPr="00717E5E">
        <w:rPr>
          <w:rFonts w:ascii="Times New Roman" w:hAnsi="Times New Roman"/>
          <w:sz w:val="24"/>
          <w:szCs w:val="24"/>
        </w:rPr>
        <w:t>relative entropy as a measure of the additional information</w:t>
      </w:r>
      <w:r>
        <w:rPr>
          <w:rFonts w:ascii="Times New Roman" w:hAnsi="Times New Roman"/>
          <w:sz w:val="24"/>
          <w:szCs w:val="24"/>
        </w:rPr>
        <w:t xml:space="preserve"> </w:t>
      </w:r>
      <w:r w:rsidR="00717E5E" w:rsidRPr="00717E5E">
        <w:rPr>
          <w:rFonts w:ascii="Times New Roman" w:hAnsi="Times New Roman"/>
          <w:sz w:val="24"/>
          <w:szCs w:val="24"/>
        </w:rPr>
        <w:t>required to make a perturbed model preferable to a</w:t>
      </w:r>
      <w:r>
        <w:rPr>
          <w:rFonts w:ascii="Times New Roman" w:hAnsi="Times New Roman"/>
          <w:sz w:val="24"/>
          <w:szCs w:val="24"/>
        </w:rPr>
        <w:t xml:space="preserve"> </w:t>
      </w:r>
      <w:r w:rsidR="00717E5E" w:rsidRPr="00717E5E">
        <w:rPr>
          <w:rFonts w:ascii="Times New Roman" w:hAnsi="Times New Roman"/>
          <w:sz w:val="24"/>
          <w:szCs w:val="24"/>
        </w:rPr>
        <w:t>baseline model. Thus, relative entropy becomes a measure of</w:t>
      </w:r>
      <w:r>
        <w:rPr>
          <w:rFonts w:ascii="Times New Roman" w:hAnsi="Times New Roman"/>
          <w:sz w:val="24"/>
          <w:szCs w:val="24"/>
        </w:rPr>
        <w:t xml:space="preserve"> </w:t>
      </w:r>
      <w:r w:rsidR="00717E5E" w:rsidRPr="00717E5E">
        <w:rPr>
          <w:rFonts w:ascii="Times New Roman" w:hAnsi="Times New Roman"/>
          <w:sz w:val="24"/>
          <w:szCs w:val="24"/>
        </w:rPr>
        <w:t>the plausibility of an alternative model. It is also a co</w:t>
      </w:r>
      <w:r w:rsidR="00717E5E" w:rsidRPr="00717E5E">
        <w:rPr>
          <w:rFonts w:ascii="Times New Roman" w:hAnsi="Times New Roman"/>
          <w:sz w:val="24"/>
          <w:szCs w:val="24"/>
        </w:rPr>
        <w:t>n</w:t>
      </w:r>
      <w:r w:rsidR="00717E5E" w:rsidRPr="00717E5E">
        <w:rPr>
          <w:rFonts w:ascii="Times New Roman" w:hAnsi="Times New Roman"/>
          <w:sz w:val="24"/>
          <w:szCs w:val="24"/>
        </w:rPr>
        <w:t>venient</w:t>
      </w:r>
      <w:r>
        <w:rPr>
          <w:rFonts w:ascii="Times New Roman" w:hAnsi="Times New Roman"/>
          <w:sz w:val="24"/>
          <w:szCs w:val="24"/>
        </w:rPr>
        <w:t xml:space="preserve"> </w:t>
      </w:r>
      <w:r w:rsidR="00717E5E" w:rsidRPr="00717E5E">
        <w:rPr>
          <w:rFonts w:ascii="Times New Roman" w:hAnsi="Times New Roman"/>
          <w:sz w:val="24"/>
          <w:szCs w:val="24"/>
        </w:rPr>
        <w:t>choice because the worst-case alternative within a relative</w:t>
      </w:r>
      <w:r>
        <w:rPr>
          <w:rFonts w:ascii="Times New Roman" w:hAnsi="Times New Roman"/>
          <w:sz w:val="24"/>
          <w:szCs w:val="24"/>
        </w:rPr>
        <w:t xml:space="preserve"> </w:t>
      </w:r>
      <w:r w:rsidR="00717E5E" w:rsidRPr="00717E5E">
        <w:rPr>
          <w:rFonts w:ascii="Times New Roman" w:hAnsi="Times New Roman"/>
          <w:sz w:val="24"/>
          <w:szCs w:val="24"/>
        </w:rPr>
        <w:t xml:space="preserve">entropy constraint is typically given by an </w:t>
      </w:r>
      <w:r w:rsidR="00717E5E" w:rsidRPr="00D47083">
        <w:rPr>
          <w:rFonts w:ascii="Times New Roman" w:hAnsi="Times New Roman"/>
          <w:i/>
          <w:sz w:val="24"/>
          <w:szCs w:val="24"/>
        </w:rPr>
        <w:t>exponential</w:t>
      </w:r>
      <w:r w:rsidRPr="00D47083">
        <w:rPr>
          <w:rFonts w:ascii="Times New Roman" w:hAnsi="Times New Roman"/>
          <w:i/>
          <w:sz w:val="24"/>
          <w:szCs w:val="24"/>
        </w:rPr>
        <w:t xml:space="preserve"> </w:t>
      </w:r>
      <w:r w:rsidR="00717E5E" w:rsidRPr="00D47083">
        <w:rPr>
          <w:rFonts w:ascii="Times New Roman" w:hAnsi="Times New Roman"/>
          <w:i/>
          <w:sz w:val="24"/>
          <w:szCs w:val="24"/>
        </w:rPr>
        <w:t>change of measure</w:t>
      </w:r>
      <w:r w:rsidR="00717E5E" w:rsidRPr="00717E5E">
        <w:rPr>
          <w:rFonts w:ascii="Times New Roman" w:hAnsi="Times New Roman"/>
          <w:sz w:val="24"/>
          <w:szCs w:val="24"/>
        </w:rPr>
        <w:t>.</w:t>
      </w:r>
    </w:p>
    <w:p w:rsidR="00D56B8C" w:rsidRDefault="00535D93" w:rsidP="00D56B8C">
      <w:pPr>
        <w:spacing w:after="0" w:line="320" w:lineRule="exact"/>
        <w:jc w:val="both"/>
        <w:rPr>
          <w:position w:val="-16"/>
          <w:sz w:val="24"/>
          <w:szCs w:val="24"/>
          <w:lang w:eastAsia="zh-CN"/>
        </w:rPr>
      </w:pPr>
      <w:r>
        <w:rPr>
          <w:rFonts w:ascii="Times New Roman" w:hAnsi="Times New Roman"/>
          <w:sz w:val="24"/>
          <w:szCs w:val="24"/>
        </w:rPr>
        <w:t>We quantify the model risk</w:t>
      </w:r>
      <w:r w:rsidRPr="00535D93">
        <w:rPr>
          <w:rFonts w:ascii="Times New Roman" w:hAnsi="Times New Roman"/>
          <w:sz w:val="24"/>
          <w:szCs w:val="24"/>
        </w:rPr>
        <w:t xml:space="preserve"> with</w:t>
      </w:r>
      <w:r>
        <w:rPr>
          <w:rFonts w:ascii="Times New Roman" w:hAnsi="Times New Roman"/>
          <w:sz w:val="24"/>
          <w:szCs w:val="24"/>
        </w:rPr>
        <w:t xml:space="preserve"> respect to a champion, or null, model </w:t>
      </w:r>
      <w:r w:rsidRPr="00535D93">
        <w:rPr>
          <w:rFonts w:ascii="Times New Roman" w:hAnsi="Times New Roman"/>
          <w:position w:val="-14"/>
          <w:sz w:val="24"/>
          <w:szCs w:val="24"/>
        </w:rPr>
        <w:object w:dxaOrig="960" w:dyaOrig="400">
          <v:shape id="_x0000_i1099" type="#_x0000_t75" style="width:48pt;height:20.25pt" o:ole="">
            <v:imagedata r:id="rId156" o:title=""/>
          </v:shape>
          <o:OLEObject Type="Embed" ProgID="Equation.DSMT4" ShapeID="_x0000_i1099" DrawAspect="Content" ObjectID="_1637920075" r:id="rId157"/>
        </w:object>
      </w:r>
      <w:r>
        <w:rPr>
          <w:rFonts w:ascii="Times New Roman" w:hAnsi="Times New Roman"/>
          <w:sz w:val="24"/>
          <w:szCs w:val="24"/>
        </w:rPr>
        <w:t xml:space="preserve"> such that the </w:t>
      </w:r>
      <w:r w:rsidRPr="00535D93">
        <w:rPr>
          <w:rFonts w:ascii="Times New Roman" w:hAnsi="Times New Roman"/>
          <w:i/>
          <w:sz w:val="24"/>
          <w:szCs w:val="24"/>
        </w:rPr>
        <w:t>Kullbck-Leibler</w:t>
      </w:r>
      <w:r w:rsidR="00260B16">
        <w:rPr>
          <w:rFonts w:ascii="Times New Roman" w:hAnsi="Times New Roman"/>
          <w:i/>
          <w:sz w:val="24"/>
          <w:szCs w:val="24"/>
        </w:rPr>
        <w:t xml:space="preserve"> </w:t>
      </w:r>
      <w:r w:rsidR="00CF0196">
        <w:rPr>
          <w:rFonts w:ascii="Times New Roman" w:hAnsi="Times New Roman"/>
          <w:i/>
          <w:sz w:val="24"/>
          <w:szCs w:val="24"/>
        </w:rPr>
        <w:t>R</w:t>
      </w:r>
      <w:r w:rsidR="00260B16">
        <w:rPr>
          <w:rFonts w:ascii="Times New Roman" w:hAnsi="Times New Roman"/>
          <w:i/>
          <w:sz w:val="24"/>
          <w:szCs w:val="24"/>
        </w:rPr>
        <w:t xml:space="preserve">elative </w:t>
      </w:r>
      <w:r w:rsidR="00CF0196">
        <w:rPr>
          <w:rFonts w:ascii="Times New Roman" w:hAnsi="Times New Roman"/>
          <w:i/>
          <w:sz w:val="24"/>
          <w:szCs w:val="24"/>
        </w:rPr>
        <w:t xml:space="preserve">Entropy </w:t>
      </w:r>
      <w:r>
        <w:rPr>
          <w:rFonts w:ascii="Times New Roman" w:hAnsi="Times New Roman"/>
          <w:sz w:val="24"/>
          <w:szCs w:val="24"/>
        </w:rPr>
        <w:t>divergence measure from a challenger,</w:t>
      </w:r>
      <w:r w:rsidRPr="00535D93">
        <w:rPr>
          <w:rFonts w:ascii="Times New Roman" w:hAnsi="Times New Roman"/>
          <w:sz w:val="24"/>
          <w:szCs w:val="24"/>
        </w:rPr>
        <w:t xml:space="preserve"> or </w:t>
      </w:r>
      <w:r>
        <w:rPr>
          <w:rFonts w:ascii="Times New Roman" w:hAnsi="Times New Roman"/>
          <w:sz w:val="24"/>
          <w:szCs w:val="24"/>
        </w:rPr>
        <w:t xml:space="preserve">reference, model </w:t>
      </w:r>
      <w:r w:rsidRPr="00535D93">
        <w:rPr>
          <w:rFonts w:ascii="Times New Roman" w:hAnsi="Times New Roman"/>
          <w:position w:val="-14"/>
          <w:sz w:val="24"/>
          <w:szCs w:val="24"/>
        </w:rPr>
        <w:object w:dxaOrig="940" w:dyaOrig="400">
          <v:shape id="_x0000_i1100" type="#_x0000_t75" style="width:46.5pt;height:20.25pt" o:ole="">
            <v:imagedata r:id="rId158" o:title=""/>
          </v:shape>
          <o:OLEObject Type="Embed" ProgID="Equation.DSMT4" ShapeID="_x0000_i1100" DrawAspect="Content" ObjectID="_1637920076" r:id="rId159"/>
        </w:object>
      </w:r>
      <w:r>
        <w:rPr>
          <w:rFonts w:ascii="Times New Roman" w:hAnsi="Times New Roman"/>
          <w:sz w:val="24"/>
          <w:szCs w:val="24"/>
        </w:rPr>
        <w:t xml:space="preserve"> is given by:</w:t>
      </w:r>
    </w:p>
    <w:p w:rsidR="00D56B8C" w:rsidRDefault="00D56B8C" w:rsidP="00D56B8C">
      <w:pPr>
        <w:spacing w:after="0" w:line="300" w:lineRule="atLeast"/>
        <w:jc w:val="right"/>
        <w:rPr>
          <w:rFonts w:ascii="Times New Roman" w:hAnsi="Times New Roman"/>
          <w:sz w:val="24"/>
          <w:szCs w:val="24"/>
          <w:lang w:eastAsia="zh-CN"/>
        </w:rPr>
      </w:pPr>
      <w:r w:rsidRPr="00D56B8C">
        <w:rPr>
          <w:rFonts w:ascii="Times New Roman" w:hAnsi="Times New Roman"/>
          <w:position w:val="-34"/>
          <w:sz w:val="24"/>
          <w:szCs w:val="24"/>
        </w:rPr>
        <w:object w:dxaOrig="3600" w:dyaOrig="800">
          <v:shape id="_x0000_i1101" type="#_x0000_t75" style="width:180pt;height:39.75pt" o:ole="">
            <v:imagedata r:id="rId160" o:title=""/>
          </v:shape>
          <o:OLEObject Type="Embed" ProgID="Equation.DSMT4" ShapeID="_x0000_i1101" DrawAspect="Content" ObjectID="_1637920077" r:id="rId161"/>
        </w:object>
      </w:r>
      <w:r w:rsidR="001D445E">
        <w:rPr>
          <w:rFonts w:ascii="Times New Roman" w:hAnsi="Times New Roman"/>
          <w:sz w:val="24"/>
          <w:szCs w:val="24"/>
        </w:rPr>
        <w:t xml:space="preserve">           </w:t>
      </w:r>
      <w:r w:rsidR="00896AAF">
        <w:rPr>
          <w:rFonts w:ascii="Times New Roman" w:hAnsi="Times New Roman"/>
          <w:sz w:val="24"/>
          <w:szCs w:val="24"/>
        </w:rPr>
        <w:t xml:space="preserve">  </w:t>
      </w:r>
      <w:r w:rsidR="00600360">
        <w:rPr>
          <w:rFonts w:ascii="Times New Roman" w:hAnsi="Times New Roman"/>
          <w:sz w:val="24"/>
          <w:szCs w:val="24"/>
        </w:rPr>
        <w:t xml:space="preserve"> </w:t>
      </w:r>
      <w:r w:rsidR="001D445E">
        <w:rPr>
          <w:rFonts w:ascii="Times New Roman" w:hAnsi="Times New Roman"/>
          <w:sz w:val="24"/>
          <w:szCs w:val="24"/>
        </w:rPr>
        <w:t xml:space="preserve">      </w:t>
      </w:r>
      <w:r>
        <w:rPr>
          <w:rFonts w:ascii="Times New Roman" w:hAnsi="Times New Roman"/>
          <w:sz w:val="24"/>
          <w:szCs w:val="24"/>
        </w:rPr>
        <w:t xml:space="preserve">    </w:t>
      </w:r>
      <w:r w:rsidR="00EE3410">
        <w:rPr>
          <w:rFonts w:ascii="Times New Roman" w:hAnsi="Times New Roman"/>
          <w:sz w:val="24"/>
          <w:szCs w:val="24"/>
        </w:rPr>
        <w:t>(</w:t>
      </w:r>
      <w:r w:rsidR="004913CA">
        <w:rPr>
          <w:rFonts w:ascii="Times New Roman" w:hAnsi="Times New Roman"/>
          <w:sz w:val="24"/>
          <w:szCs w:val="24"/>
        </w:rPr>
        <w:t>15</w:t>
      </w:r>
      <w:r>
        <w:rPr>
          <w:rFonts w:ascii="Times New Roman" w:hAnsi="Times New Roman"/>
          <w:sz w:val="24"/>
          <w:szCs w:val="24"/>
        </w:rPr>
        <w:t>)</w:t>
      </w:r>
    </w:p>
    <w:p w:rsidR="006707E9" w:rsidRDefault="00D56B8C" w:rsidP="006707E9">
      <w:pPr>
        <w:spacing w:after="0" w:line="320" w:lineRule="exact"/>
        <w:jc w:val="both"/>
        <w:rPr>
          <w:position w:val="-16"/>
          <w:sz w:val="24"/>
          <w:szCs w:val="24"/>
          <w:lang w:eastAsia="zh-CN"/>
        </w:rPr>
      </w:pPr>
      <w:r>
        <w:rPr>
          <w:rFonts w:ascii="Times New Roman" w:hAnsi="Times New Roman"/>
          <w:sz w:val="24"/>
          <w:szCs w:val="24"/>
        </w:rPr>
        <w:t xml:space="preserve">In this construct, the </w:t>
      </w:r>
      <w:r w:rsidRPr="00F756DA">
        <w:rPr>
          <w:position w:val="-14"/>
        </w:rPr>
        <w:object w:dxaOrig="580" w:dyaOrig="400">
          <v:shape id="_x0000_i1102" type="#_x0000_t75" style="width:29.25pt;height:20.25pt" o:ole="">
            <v:imagedata r:id="rId162" o:title=""/>
          </v:shape>
          <o:OLEObject Type="Embed" ProgID="Equation.DSMT4" ShapeID="_x0000_i1102" DrawAspect="Content" ObjectID="_1637920078" r:id="rId163"/>
        </w:object>
      </w:r>
      <w:r>
        <w:rPr>
          <w:rFonts w:ascii="Times New Roman" w:hAnsi="Times New Roman"/>
          <w:sz w:val="24"/>
          <w:szCs w:val="24"/>
        </w:rPr>
        <w:t xml:space="preserve"> </w:t>
      </w:r>
      <w:r w:rsidR="00930A5B">
        <w:rPr>
          <w:rFonts w:ascii="Times New Roman" w:hAnsi="Times New Roman"/>
          <w:sz w:val="24"/>
          <w:szCs w:val="24"/>
        </w:rPr>
        <w:t>mappings are</w:t>
      </w:r>
      <w:r>
        <w:rPr>
          <w:rFonts w:ascii="Times New Roman" w:hAnsi="Times New Roman"/>
          <w:sz w:val="24"/>
          <w:szCs w:val="24"/>
        </w:rPr>
        <w:t xml:space="preserve"> our set of estimated CECL loss distribution</w:t>
      </w:r>
      <w:r w:rsidR="00930A5B">
        <w:rPr>
          <w:rFonts w:ascii="Times New Roman" w:hAnsi="Times New Roman"/>
          <w:sz w:val="24"/>
          <w:szCs w:val="24"/>
        </w:rPr>
        <w:t xml:space="preserve"> </w:t>
      </w:r>
      <w:r>
        <w:rPr>
          <w:rFonts w:ascii="Times New Roman" w:hAnsi="Times New Roman"/>
          <w:sz w:val="24"/>
          <w:szCs w:val="24"/>
        </w:rPr>
        <w:t>models</w:t>
      </w:r>
      <w:r w:rsidR="00930A5B">
        <w:rPr>
          <w:rFonts w:ascii="Times New Roman" w:hAnsi="Times New Roman"/>
          <w:sz w:val="24"/>
          <w:szCs w:val="24"/>
        </w:rPr>
        <w:t>,</w:t>
      </w:r>
      <w:r>
        <w:rPr>
          <w:rFonts w:ascii="Times New Roman" w:hAnsi="Times New Roman"/>
          <w:sz w:val="24"/>
          <w:szCs w:val="24"/>
        </w:rPr>
        <w:t xml:space="preserve"> and</w:t>
      </w:r>
      <w:r w:rsidR="00930A5B">
        <w:rPr>
          <w:rFonts w:ascii="Times New Roman" w:hAnsi="Times New Roman"/>
          <w:sz w:val="24"/>
          <w:szCs w:val="24"/>
        </w:rPr>
        <w:t xml:space="preserve"> </w:t>
      </w:r>
      <w:r w:rsidR="004261F7">
        <w:rPr>
          <w:rFonts w:ascii="Times New Roman" w:hAnsi="Times New Roman"/>
          <w:sz w:val="24"/>
          <w:szCs w:val="24"/>
        </w:rPr>
        <w:t xml:space="preserve">the </w:t>
      </w:r>
      <w:r w:rsidR="00930A5B" w:rsidRPr="00F756DA">
        <w:rPr>
          <w:position w:val="-14"/>
        </w:rPr>
        <w:object w:dxaOrig="560" w:dyaOrig="400">
          <v:shape id="_x0000_i1103" type="#_x0000_t75" style="width:27.75pt;height:20.25pt" o:ole="">
            <v:imagedata r:id="rId164" o:title=""/>
          </v:shape>
          <o:OLEObject Type="Embed" ProgID="Equation.DSMT4" ShapeID="_x0000_i1103" DrawAspect="Content" ObjectID="_1637920079" r:id="rId165"/>
        </w:object>
      </w:r>
      <w:r>
        <w:rPr>
          <w:rFonts w:ascii="Times New Roman" w:hAnsi="Times New Roman"/>
          <w:sz w:val="24"/>
          <w:szCs w:val="24"/>
        </w:rPr>
        <w:t xml:space="preserve"> </w:t>
      </w:r>
      <w:r w:rsidR="00930A5B">
        <w:rPr>
          <w:rFonts w:ascii="Times New Roman" w:hAnsi="Times New Roman"/>
          <w:sz w:val="24"/>
          <w:szCs w:val="24"/>
        </w:rPr>
        <w:t xml:space="preserve">benchmark.is some kind of alternative, such as the perfect foresight loss forecast.  We can define the </w:t>
      </w:r>
      <w:r w:rsidR="00930A5B" w:rsidRPr="004E2648">
        <w:rPr>
          <w:rFonts w:ascii="Times New Roman" w:hAnsi="Times New Roman"/>
          <w:i/>
          <w:sz w:val="24"/>
          <w:szCs w:val="24"/>
        </w:rPr>
        <w:t>likelihood ratio</w:t>
      </w:r>
      <w:r w:rsidR="00930A5B">
        <w:rPr>
          <w:rFonts w:ascii="Times New Roman" w:hAnsi="Times New Roman"/>
          <w:sz w:val="24"/>
          <w:szCs w:val="24"/>
        </w:rPr>
        <w:t xml:space="preserve"> </w:t>
      </w:r>
      <w:r w:rsidR="006707E9" w:rsidRPr="00F756DA">
        <w:rPr>
          <w:position w:val="-14"/>
        </w:rPr>
        <w:object w:dxaOrig="859" w:dyaOrig="400">
          <v:shape id="_x0000_i1104" type="#_x0000_t75" style="width:42.75pt;height:20.25pt" o:ole="">
            <v:imagedata r:id="rId166" o:title=""/>
          </v:shape>
          <o:OLEObject Type="Embed" ProgID="Equation.DSMT4" ShapeID="_x0000_i1104" DrawAspect="Content" ObjectID="_1637920080" r:id="rId167"/>
        </w:object>
      </w:r>
      <w:r w:rsidR="006707E9">
        <w:t xml:space="preserve"> </w:t>
      </w:r>
      <w:r w:rsidR="00930A5B">
        <w:rPr>
          <w:rFonts w:ascii="Times New Roman" w:hAnsi="Times New Roman"/>
          <w:sz w:val="24"/>
          <w:szCs w:val="24"/>
        </w:rPr>
        <w:t>ch</w:t>
      </w:r>
      <w:r w:rsidR="004E2648">
        <w:rPr>
          <w:rFonts w:ascii="Times New Roman" w:hAnsi="Times New Roman"/>
          <w:sz w:val="24"/>
          <w:szCs w:val="24"/>
        </w:rPr>
        <w:t>a</w:t>
      </w:r>
      <w:r w:rsidR="00930A5B">
        <w:rPr>
          <w:rFonts w:ascii="Times New Roman" w:hAnsi="Times New Roman"/>
          <w:sz w:val="24"/>
          <w:szCs w:val="24"/>
        </w:rPr>
        <w:t>racterizing our</w:t>
      </w:r>
      <w:r w:rsidR="004E2648">
        <w:rPr>
          <w:rFonts w:ascii="Times New Roman" w:hAnsi="Times New Roman"/>
          <w:sz w:val="24"/>
          <w:szCs w:val="24"/>
        </w:rPr>
        <w:t xml:space="preserve"> modeling choice according to the relationship:</w:t>
      </w:r>
      <w:r w:rsidR="006707E9" w:rsidRPr="006707E9">
        <w:rPr>
          <w:position w:val="-16"/>
          <w:sz w:val="24"/>
          <w:szCs w:val="24"/>
          <w:lang w:eastAsia="zh-CN"/>
        </w:rPr>
        <w:t xml:space="preserve"> </w:t>
      </w:r>
    </w:p>
    <w:p w:rsidR="006707E9" w:rsidRDefault="006707E9" w:rsidP="006707E9">
      <w:pPr>
        <w:spacing w:after="0" w:line="300" w:lineRule="atLeast"/>
        <w:jc w:val="right"/>
        <w:rPr>
          <w:rFonts w:ascii="Times New Roman" w:hAnsi="Times New Roman"/>
          <w:sz w:val="24"/>
          <w:szCs w:val="24"/>
          <w:lang w:eastAsia="zh-CN"/>
        </w:rPr>
      </w:pPr>
      <w:r w:rsidRPr="006707E9">
        <w:rPr>
          <w:rFonts w:ascii="Times New Roman" w:hAnsi="Times New Roman"/>
          <w:position w:val="-32"/>
          <w:sz w:val="24"/>
          <w:szCs w:val="24"/>
        </w:rPr>
        <w:object w:dxaOrig="1660" w:dyaOrig="740">
          <v:shape id="_x0000_i1105" type="#_x0000_t75" style="width:83.25pt;height:36.75pt" o:ole="">
            <v:imagedata r:id="rId168" o:title=""/>
          </v:shape>
          <o:OLEObject Type="Embed" ProgID="Equation.DSMT4" ShapeID="_x0000_i1105" DrawAspect="Content" ObjectID="_1637920081" r:id="rId169"/>
        </w:object>
      </w:r>
      <w:r>
        <w:rPr>
          <w:rFonts w:ascii="Times New Roman" w:hAnsi="Times New Roman"/>
          <w:sz w:val="24"/>
          <w:szCs w:val="24"/>
        </w:rPr>
        <w:t xml:space="preserve">   </w:t>
      </w:r>
      <w:r w:rsidR="001D445E">
        <w:rPr>
          <w:rFonts w:ascii="Times New Roman" w:hAnsi="Times New Roman"/>
          <w:sz w:val="24"/>
          <w:szCs w:val="24"/>
        </w:rPr>
        <w:t xml:space="preserve">                </w:t>
      </w:r>
      <w:r w:rsidR="00896AAF">
        <w:rPr>
          <w:rFonts w:ascii="Times New Roman" w:hAnsi="Times New Roman"/>
          <w:sz w:val="24"/>
          <w:szCs w:val="24"/>
        </w:rPr>
        <w:t xml:space="preserve"> </w:t>
      </w:r>
      <w:r w:rsidR="00600360">
        <w:rPr>
          <w:rFonts w:ascii="Times New Roman" w:hAnsi="Times New Roman"/>
          <w:sz w:val="24"/>
          <w:szCs w:val="24"/>
        </w:rPr>
        <w:t xml:space="preserve"> </w:t>
      </w:r>
      <w:r w:rsidR="001D445E">
        <w:rPr>
          <w:rFonts w:ascii="Times New Roman" w:hAnsi="Times New Roman"/>
          <w:sz w:val="24"/>
          <w:szCs w:val="24"/>
        </w:rPr>
        <w:t xml:space="preserve">        </w:t>
      </w:r>
      <w:r>
        <w:rPr>
          <w:rFonts w:ascii="Times New Roman" w:hAnsi="Times New Roman"/>
          <w:sz w:val="24"/>
          <w:szCs w:val="24"/>
        </w:rPr>
        <w:t xml:space="preserve">   (</w:t>
      </w:r>
      <w:r w:rsidR="004913CA">
        <w:rPr>
          <w:rFonts w:ascii="Times New Roman" w:hAnsi="Times New Roman"/>
          <w:sz w:val="24"/>
          <w:szCs w:val="24"/>
        </w:rPr>
        <w:t>16</w:t>
      </w:r>
      <w:r>
        <w:rPr>
          <w:rFonts w:ascii="Times New Roman" w:hAnsi="Times New Roman"/>
          <w:sz w:val="24"/>
          <w:szCs w:val="24"/>
        </w:rPr>
        <w:t>)</w:t>
      </w:r>
    </w:p>
    <w:p w:rsidR="00EE3410" w:rsidRDefault="00EE3410" w:rsidP="00EE3410">
      <w:pPr>
        <w:spacing w:after="0" w:line="320" w:lineRule="exact"/>
        <w:jc w:val="both"/>
        <w:rPr>
          <w:position w:val="-16"/>
          <w:sz w:val="24"/>
          <w:szCs w:val="24"/>
          <w:lang w:eastAsia="zh-CN"/>
        </w:rPr>
      </w:pPr>
      <w:r>
        <w:rPr>
          <w:rFonts w:ascii="Times New Roman" w:hAnsi="Times New Roman"/>
          <w:sz w:val="24"/>
          <w:szCs w:val="24"/>
        </w:rPr>
        <w:t>It is standard in the literature to express (9) in terms as an equivalent expectation of a relative deviation in likelihood:</w:t>
      </w:r>
      <w:r w:rsidRPr="0096085C">
        <w:rPr>
          <w:position w:val="-16"/>
          <w:sz w:val="24"/>
          <w:szCs w:val="24"/>
          <w:lang w:eastAsia="zh-CN"/>
        </w:rPr>
        <w:t xml:space="preserve"> </w:t>
      </w:r>
    </w:p>
    <w:p w:rsidR="00EE3410" w:rsidRDefault="00EE3410" w:rsidP="00EE3410">
      <w:pPr>
        <w:jc w:val="right"/>
        <w:rPr>
          <w:rFonts w:ascii="Times New Roman" w:hAnsi="Times New Roman"/>
          <w:sz w:val="24"/>
          <w:szCs w:val="24"/>
        </w:rPr>
      </w:pPr>
      <w:r w:rsidRPr="0096085C">
        <w:rPr>
          <w:rFonts w:ascii="Times New Roman" w:hAnsi="Times New Roman"/>
          <w:position w:val="-16"/>
          <w:sz w:val="24"/>
          <w:szCs w:val="24"/>
        </w:rPr>
        <w:object w:dxaOrig="2940" w:dyaOrig="440">
          <v:shape id="_x0000_i1106" type="#_x0000_t75" style="width:147pt;height:22.5pt" o:ole="">
            <v:imagedata r:id="rId170" o:title=""/>
          </v:shape>
          <o:OLEObject Type="Embed" ProgID="Equation.DSMT4" ShapeID="_x0000_i1106" DrawAspect="Content" ObjectID="_1637920082" r:id="rId171"/>
        </w:object>
      </w:r>
      <w:r>
        <w:rPr>
          <w:rFonts w:ascii="Times New Roman" w:hAnsi="Times New Roman"/>
          <w:sz w:val="24"/>
          <w:szCs w:val="24"/>
        </w:rPr>
        <w:t xml:space="preserve">                        (</w:t>
      </w:r>
      <w:r w:rsidR="004913CA">
        <w:rPr>
          <w:rFonts w:ascii="Times New Roman" w:hAnsi="Times New Roman"/>
          <w:sz w:val="24"/>
          <w:szCs w:val="24"/>
        </w:rPr>
        <w:t>17</w:t>
      </w:r>
      <w:r>
        <w:rPr>
          <w:rFonts w:ascii="Times New Roman" w:hAnsi="Times New Roman"/>
          <w:sz w:val="24"/>
          <w:szCs w:val="24"/>
        </w:rPr>
        <w:t xml:space="preserve">) </w:t>
      </w:r>
    </w:p>
    <w:p w:rsidR="00EE3410" w:rsidRDefault="00EE3410" w:rsidP="00EE3410">
      <w:pPr>
        <w:jc w:val="both"/>
        <w:rPr>
          <w:rFonts w:ascii="Times New Roman" w:hAnsi="Times New Roman"/>
          <w:b/>
          <w:sz w:val="24"/>
          <w:szCs w:val="24"/>
        </w:rPr>
      </w:pPr>
      <w:r w:rsidRPr="00260B16">
        <w:rPr>
          <w:rFonts w:ascii="Times New Roman" w:hAnsi="Times New Roman"/>
          <w:sz w:val="24"/>
          <w:szCs w:val="24"/>
        </w:rPr>
        <w:t>Where</w:t>
      </w:r>
      <w:r>
        <w:rPr>
          <w:rFonts w:ascii="Times New Roman" w:hAnsi="Times New Roman"/>
          <w:sz w:val="24"/>
          <w:szCs w:val="24"/>
        </w:rPr>
        <w:t xml:space="preserve"> </w:t>
      </w:r>
      <w:r w:rsidRPr="00F756DA">
        <w:rPr>
          <w:position w:val="-6"/>
        </w:rPr>
        <w:object w:dxaOrig="220" w:dyaOrig="279">
          <v:shape id="_x0000_i1107" type="#_x0000_t75" style="width:11.25pt;height:14.25pt" o:ole="">
            <v:imagedata r:id="rId172" o:title=""/>
          </v:shape>
          <o:OLEObject Type="Embed" ProgID="Equation.DSMT4" ShapeID="_x0000_i1107" DrawAspect="Content" ObjectID="_1637920083" r:id="rId173"/>
        </w:object>
      </w:r>
      <w:r>
        <w:rPr>
          <w:rFonts w:ascii="Times New Roman" w:hAnsi="Times New Roman"/>
          <w:sz w:val="24"/>
          <w:szCs w:val="24"/>
        </w:rPr>
        <w:t xml:space="preserve"> </w:t>
      </w:r>
      <w:r w:rsidRPr="00260B16">
        <w:rPr>
          <w:rFonts w:ascii="Times New Roman" w:hAnsi="Times New Roman"/>
          <w:sz w:val="24"/>
          <w:szCs w:val="24"/>
        </w:rPr>
        <w:t>r</w:t>
      </w:r>
      <w:r>
        <w:rPr>
          <w:rFonts w:ascii="Times New Roman" w:hAnsi="Times New Roman"/>
          <w:sz w:val="24"/>
          <w:szCs w:val="24"/>
        </w:rPr>
        <w:t xml:space="preserve">epresents a relatively small upper bound on model risk deviations, dictated by the model risk appetite of the organization with respect to a particular model type (e.g., a model performance threshold).  A key property of relative entropy is that </w:t>
      </w:r>
      <w:r w:rsidRPr="00F756DA">
        <w:rPr>
          <w:position w:val="-14"/>
        </w:rPr>
        <w:object w:dxaOrig="1200" w:dyaOrig="400">
          <v:shape id="_x0000_i1108" type="#_x0000_t75" style="width:60pt;height:20.25pt" o:ole="">
            <v:imagedata r:id="rId174" o:title=""/>
          </v:shape>
          <o:OLEObject Type="Embed" ProgID="Equation.DSMT4" ShapeID="_x0000_i1108" DrawAspect="Content" ObjectID="_1637920084" r:id="rId175"/>
        </w:object>
      </w:r>
      <w:r w:rsidRPr="00CA40DC">
        <w:rPr>
          <w:rFonts w:ascii="Times New Roman" w:hAnsi="Times New Roman"/>
          <w:sz w:val="24"/>
          <w:szCs w:val="24"/>
        </w:rPr>
        <w:t>and</w:t>
      </w:r>
      <w:r>
        <w:t xml:space="preserve"> </w:t>
      </w:r>
      <w:r w:rsidRPr="00F756DA">
        <w:rPr>
          <w:position w:val="-14"/>
        </w:rPr>
        <w:object w:dxaOrig="1200" w:dyaOrig="400">
          <v:shape id="_x0000_i1109" type="#_x0000_t75" style="width:60pt;height:20.25pt" o:ole="">
            <v:imagedata r:id="rId176" o:title=""/>
          </v:shape>
          <o:OLEObject Type="Embed" ProgID="Equation.DSMT4" ShapeID="_x0000_i1109" DrawAspect="Content" ObjectID="_1637920085" r:id="rId177"/>
        </w:object>
      </w:r>
      <w:r w:rsidRPr="00CA40DC">
        <w:rPr>
          <w:rFonts w:ascii="Times New Roman" w:hAnsi="Times New Roman"/>
          <w:sz w:val="24"/>
          <w:szCs w:val="24"/>
        </w:rPr>
        <w:t>only if</w:t>
      </w:r>
      <w:r w:rsidRPr="00F756DA">
        <w:rPr>
          <w:position w:val="-14"/>
        </w:rPr>
        <w:object w:dxaOrig="1300" w:dyaOrig="400">
          <v:shape id="_x0000_i1110" type="#_x0000_t75" style="width:65.25pt;height:20.25pt" o:ole="">
            <v:imagedata r:id="rId178" o:title=""/>
          </v:shape>
          <o:OLEObject Type="Embed" ProgID="Equation.DSMT4" ShapeID="_x0000_i1110" DrawAspect="Content" ObjectID="_1637920086" r:id="rId179"/>
        </w:object>
      </w:r>
      <w:r>
        <w:t xml:space="preserve">. </w:t>
      </w:r>
      <w:r w:rsidRPr="00CA40DC">
        <w:rPr>
          <w:rFonts w:ascii="Times New Roman" w:hAnsi="Times New Roman"/>
          <w:sz w:val="24"/>
          <w:szCs w:val="24"/>
        </w:rPr>
        <w:t xml:space="preserve"> </w:t>
      </w:r>
      <w:r>
        <w:rPr>
          <w:rFonts w:ascii="Times New Roman" w:hAnsi="Times New Roman"/>
          <w:sz w:val="24"/>
          <w:szCs w:val="24"/>
        </w:rPr>
        <w:t xml:space="preserve">Given a set of reference models </w:t>
      </w:r>
      <w:r w:rsidRPr="00F756DA">
        <w:rPr>
          <w:position w:val="-14"/>
        </w:rPr>
        <w:object w:dxaOrig="560" w:dyaOrig="400">
          <v:shape id="_x0000_i1111" type="#_x0000_t75" style="width:27.75pt;height:20.25pt" o:ole="">
            <v:imagedata r:id="rId164" o:title=""/>
          </v:shape>
          <o:OLEObject Type="Embed" ProgID="Equation.DSMT4" ShapeID="_x0000_i1111" DrawAspect="Content" ObjectID="_1637920087" r:id="rId180"/>
        </w:object>
      </w:r>
      <w:r>
        <w:rPr>
          <w:rFonts w:ascii="Times New Roman" w:hAnsi="Times New Roman"/>
          <w:sz w:val="24"/>
          <w:szCs w:val="24"/>
        </w:rPr>
        <w:t>and a relative distance measure</w:t>
      </w:r>
      <w:r w:rsidRPr="00F756DA">
        <w:rPr>
          <w:position w:val="-14"/>
        </w:rPr>
        <w:object w:dxaOrig="1219" w:dyaOrig="400">
          <v:shape id="_x0000_i1112" type="#_x0000_t75" style="width:60.75pt;height:20.25pt" o:ole="">
            <v:imagedata r:id="rId181" o:title=""/>
          </v:shape>
          <o:OLEObject Type="Embed" ProgID="Equation.DSMT4" ShapeID="_x0000_i1112" DrawAspect="Content" ObjectID="_1637920088" r:id="rId182"/>
        </w:object>
      </w:r>
      <w:r>
        <w:rPr>
          <w:rFonts w:ascii="Times New Roman" w:hAnsi="Times New Roman"/>
          <w:sz w:val="24"/>
          <w:szCs w:val="24"/>
        </w:rPr>
        <w:t>, the solution the model error can be quantified by the following change of numeraire (Glasserman and Xu, 2013):</w:t>
      </w:r>
    </w:p>
    <w:p w:rsidR="00035F1A" w:rsidRDefault="00035F1A" w:rsidP="00035F1A">
      <w:pPr>
        <w:spacing w:after="0" w:line="320" w:lineRule="exact"/>
        <w:jc w:val="both"/>
        <w:rPr>
          <w:position w:val="-16"/>
          <w:sz w:val="24"/>
          <w:szCs w:val="24"/>
          <w:lang w:eastAsia="zh-CN"/>
        </w:rPr>
      </w:pPr>
    </w:p>
    <w:p w:rsidR="00035F1A" w:rsidRDefault="00035F1A" w:rsidP="00035F1A">
      <w:pPr>
        <w:spacing w:after="0" w:line="300" w:lineRule="atLeast"/>
        <w:jc w:val="right"/>
        <w:rPr>
          <w:rFonts w:ascii="Times New Roman" w:hAnsi="Times New Roman"/>
          <w:sz w:val="24"/>
          <w:szCs w:val="24"/>
          <w:lang w:eastAsia="zh-CN"/>
        </w:rPr>
      </w:pPr>
      <w:r w:rsidRPr="00692BAB">
        <w:rPr>
          <w:rFonts w:ascii="Times New Roman" w:hAnsi="Times New Roman"/>
          <w:position w:val="-38"/>
          <w:sz w:val="24"/>
          <w:szCs w:val="24"/>
        </w:rPr>
        <w:object w:dxaOrig="2960" w:dyaOrig="840">
          <v:shape id="_x0000_i1113" type="#_x0000_t75" style="width:148.5pt;height:42pt" o:ole="">
            <v:imagedata r:id="rId183" o:title=""/>
          </v:shape>
          <o:OLEObject Type="Embed" ProgID="Equation.DSMT4" ShapeID="_x0000_i1113" DrawAspect="Content" ObjectID="_1637920089" r:id="rId184"/>
        </w:object>
      </w:r>
      <w:r>
        <w:rPr>
          <w:rFonts w:ascii="Times New Roman" w:hAnsi="Times New Roman"/>
          <w:sz w:val="24"/>
          <w:szCs w:val="24"/>
        </w:rPr>
        <w:t xml:space="preserve">                             (</w:t>
      </w:r>
      <w:r w:rsidR="004913CA">
        <w:rPr>
          <w:rFonts w:ascii="Times New Roman" w:hAnsi="Times New Roman"/>
          <w:sz w:val="24"/>
          <w:szCs w:val="24"/>
        </w:rPr>
        <w:t>18</w:t>
      </w:r>
      <w:r>
        <w:rPr>
          <w:rFonts w:ascii="Times New Roman" w:hAnsi="Times New Roman"/>
          <w:sz w:val="24"/>
          <w:szCs w:val="24"/>
        </w:rPr>
        <w:t>)</w:t>
      </w:r>
    </w:p>
    <w:p w:rsidR="00035F1A" w:rsidRDefault="00035F1A" w:rsidP="00035F1A">
      <w:pPr>
        <w:spacing w:after="0" w:line="320" w:lineRule="exact"/>
        <w:jc w:val="both"/>
        <w:rPr>
          <w:position w:val="-16"/>
          <w:sz w:val="24"/>
          <w:szCs w:val="24"/>
          <w:lang w:eastAsia="zh-CN"/>
        </w:rPr>
      </w:pPr>
      <w:r>
        <w:rPr>
          <w:rFonts w:ascii="Times New Roman" w:hAnsi="Times New Roman"/>
          <w:sz w:val="24"/>
          <w:szCs w:val="24"/>
        </w:rPr>
        <w:t>Where (25) is the solution or inner supremum to the optimization problem:</w:t>
      </w:r>
      <w:r w:rsidRPr="001179BA">
        <w:rPr>
          <w:position w:val="-16"/>
          <w:sz w:val="24"/>
          <w:szCs w:val="24"/>
          <w:lang w:eastAsia="zh-CN"/>
        </w:rPr>
        <w:t xml:space="preserve"> </w:t>
      </w:r>
    </w:p>
    <w:p w:rsidR="00035F1A" w:rsidRDefault="00035F1A" w:rsidP="00035F1A">
      <w:pPr>
        <w:spacing w:before="240"/>
        <w:jc w:val="right"/>
        <w:rPr>
          <w:rFonts w:ascii="Times New Roman" w:hAnsi="Times New Roman"/>
          <w:sz w:val="24"/>
          <w:szCs w:val="24"/>
        </w:rPr>
      </w:pPr>
      <w:r w:rsidRPr="001179BA">
        <w:rPr>
          <w:rFonts w:ascii="Times New Roman" w:hAnsi="Times New Roman"/>
          <w:position w:val="-28"/>
          <w:sz w:val="24"/>
          <w:szCs w:val="24"/>
        </w:rPr>
        <w:object w:dxaOrig="6000" w:dyaOrig="680">
          <v:shape id="_x0000_i1114" type="#_x0000_t75" style="width:300.75pt;height:33.75pt" o:ole="">
            <v:imagedata r:id="rId185" o:title=""/>
          </v:shape>
          <o:OLEObject Type="Embed" ProgID="Equation.DSMT4" ShapeID="_x0000_i1114" DrawAspect="Content" ObjectID="_1637920090" r:id="rId186"/>
        </w:object>
      </w:r>
      <w:r>
        <w:rPr>
          <w:rFonts w:ascii="Times New Roman" w:hAnsi="Times New Roman"/>
          <w:sz w:val="24"/>
          <w:szCs w:val="24"/>
        </w:rPr>
        <w:t xml:space="preserve">             (</w:t>
      </w:r>
      <w:r w:rsidR="004913CA">
        <w:rPr>
          <w:rFonts w:ascii="Times New Roman" w:hAnsi="Times New Roman"/>
          <w:sz w:val="24"/>
          <w:szCs w:val="24"/>
        </w:rPr>
        <w:t>19</w:t>
      </w:r>
      <w:r>
        <w:rPr>
          <w:rFonts w:ascii="Times New Roman" w:hAnsi="Times New Roman"/>
          <w:sz w:val="24"/>
          <w:szCs w:val="24"/>
        </w:rPr>
        <w:t xml:space="preserve">)                            </w:t>
      </w:r>
    </w:p>
    <w:p w:rsidR="00035F1A" w:rsidRDefault="00035F1A" w:rsidP="00035F1A">
      <w:pPr>
        <w:jc w:val="both"/>
        <w:rPr>
          <w:rFonts w:ascii="Times New Roman" w:hAnsi="Times New Roman"/>
          <w:sz w:val="24"/>
          <w:szCs w:val="24"/>
        </w:rPr>
      </w:pPr>
      <w:r>
        <w:rPr>
          <w:rFonts w:ascii="Times New Roman" w:hAnsi="Times New Roman"/>
          <w:sz w:val="24"/>
          <w:szCs w:val="24"/>
        </w:rPr>
        <w:t>In (</w:t>
      </w:r>
      <w:r w:rsidR="004913CA">
        <w:rPr>
          <w:rFonts w:ascii="Times New Roman" w:hAnsi="Times New Roman"/>
          <w:sz w:val="24"/>
          <w:szCs w:val="24"/>
        </w:rPr>
        <w:t>19</w:t>
      </w:r>
      <w:r>
        <w:rPr>
          <w:rFonts w:ascii="Times New Roman" w:hAnsi="Times New Roman"/>
          <w:sz w:val="24"/>
          <w:szCs w:val="24"/>
        </w:rPr>
        <w:t xml:space="preserve">) the model risk measure is parametricized by </w:t>
      </w:r>
      <w:r w:rsidRPr="00F756DA">
        <w:rPr>
          <w:position w:val="-14"/>
        </w:rPr>
        <w:object w:dxaOrig="859" w:dyaOrig="400">
          <v:shape id="_x0000_i1115" type="#_x0000_t75" style="width:42.75pt;height:20.25pt" o:ole="">
            <v:imagedata r:id="rId187" o:title=""/>
          </v:shape>
          <o:OLEObject Type="Embed" ProgID="Equation.DSMT4" ShapeID="_x0000_i1115" DrawAspect="Content" ObjectID="_1637920091" r:id="rId188"/>
        </w:object>
      </w:r>
      <w:r>
        <w:rPr>
          <w:rFonts w:ascii="Times New Roman" w:hAnsi="Times New Roman"/>
          <w:sz w:val="24"/>
          <w:szCs w:val="24"/>
        </w:rPr>
        <w:t xml:space="preserve"> , such that </w:t>
      </w:r>
      <w:r w:rsidRPr="00E46DF8">
        <w:rPr>
          <w:position w:val="-6"/>
        </w:rPr>
        <w:object w:dxaOrig="560" w:dyaOrig="279">
          <v:shape id="_x0000_i1116" type="#_x0000_t75" style="width:27.75pt;height:14.25pt" o:ole="">
            <v:imagedata r:id="rId189" o:title=""/>
          </v:shape>
          <o:OLEObject Type="Embed" ProgID="Equation.DSMT4" ShapeID="_x0000_i1116" DrawAspect="Content" ObjectID="_1637920092" r:id="rId190"/>
        </w:object>
      </w:r>
      <w:r>
        <w:rPr>
          <w:rFonts w:ascii="Times New Roman" w:hAnsi="Times New Roman"/>
          <w:sz w:val="24"/>
          <w:szCs w:val="24"/>
        </w:rPr>
        <w:t xml:space="preserve"> corresponds to the best case of zero model risk, and </w:t>
      </w:r>
      <w:r w:rsidRPr="00E46DF8">
        <w:rPr>
          <w:position w:val="-6"/>
        </w:rPr>
        <w:object w:dxaOrig="520" w:dyaOrig="279">
          <v:shape id="_x0000_i1117" type="#_x0000_t75" style="width:26.25pt;height:14.25pt" o:ole="">
            <v:imagedata r:id="rId191" o:title=""/>
          </v:shape>
          <o:OLEObject Type="Embed" ProgID="Equation.DSMT4" ShapeID="_x0000_i1117" DrawAspect="Content" ObjectID="_1637920093" r:id="rId192"/>
        </w:object>
      </w:r>
      <w:r>
        <w:rPr>
          <w:rFonts w:ascii="Times New Roman" w:hAnsi="Times New Roman"/>
          <w:sz w:val="24"/>
          <w:szCs w:val="24"/>
        </w:rPr>
        <w:t xml:space="preserve"> the worst case of maximal model risk.  An important </w:t>
      </w:r>
    </w:p>
    <w:p w:rsidR="000C1B3C" w:rsidRDefault="00035F1A" w:rsidP="004913CA">
      <w:pPr>
        <w:rPr>
          <w:rFonts w:ascii="Times New Roman" w:hAnsi="Times New Roman"/>
          <w:sz w:val="24"/>
          <w:szCs w:val="24"/>
        </w:rPr>
      </w:pPr>
      <w:r>
        <w:rPr>
          <w:rFonts w:ascii="Times New Roman" w:hAnsi="Times New Roman"/>
          <w:b/>
          <w:sz w:val="24"/>
          <w:szCs w:val="24"/>
        </w:rPr>
        <w:br w:type="page"/>
      </w:r>
      <w:r w:rsidR="00E3252B">
        <w:rPr>
          <w:rFonts w:ascii="Times New Roman" w:hAnsi="Times New Roman"/>
          <w:b/>
          <w:sz w:val="24"/>
          <w:szCs w:val="24"/>
        </w:rPr>
        <w:lastRenderedPageBreak/>
        <w:t>T</w:t>
      </w:r>
      <w:r w:rsidR="00FA25E9">
        <w:rPr>
          <w:rFonts w:ascii="Times New Roman" w:hAnsi="Times New Roman"/>
          <w:b/>
          <w:sz w:val="24"/>
          <w:szCs w:val="24"/>
        </w:rPr>
        <w:t>able 4</w:t>
      </w:r>
      <w:r w:rsidR="00FA25E9">
        <w:rPr>
          <w:rFonts w:ascii="Times New Roman" w:hAnsi="Times New Roman"/>
          <w:b/>
          <w:sz w:val="24"/>
          <w:szCs w:val="24"/>
          <w:lang w:eastAsia="zh-CN"/>
        </w:rPr>
        <w:t>.</w:t>
      </w:r>
      <w:r w:rsidR="00FA25E9">
        <w:rPr>
          <w:rFonts w:ascii="Times New Roman" w:hAnsi="Times New Roman"/>
          <w:sz w:val="24"/>
          <w:szCs w:val="24"/>
        </w:rPr>
        <w:t xml:space="preserve"> Kullback-Leibler Relative Entropy Worse Case Loss for Model Risk Quantification Measures - Vector Autoregressive CECL Models Out-of-Sample Compared </w:t>
      </w:r>
      <w:r w:rsidR="00FA25E9">
        <w:rPr>
          <w:rFonts w:ascii="Times New Roman" w:hAnsi="Times New Roman"/>
          <w:sz w:val="24"/>
          <w:szCs w:val="24"/>
          <w:lang w:eastAsia="zh-CN"/>
        </w:rPr>
        <w:t>(</w:t>
      </w:r>
      <w:r w:rsidR="00FA25E9">
        <w:rPr>
          <w:rFonts w:ascii="Times New Roman" w:hAnsi="Times New Roman"/>
          <w:sz w:val="24"/>
          <w:szCs w:val="24"/>
        </w:rPr>
        <w:t xml:space="preserve">FDIC </w:t>
      </w:r>
      <w:r w:rsidR="00FA25E9" w:rsidRPr="002E4B3C">
        <w:rPr>
          <w:rFonts w:ascii="Times New Roman" w:hAnsi="Times New Roman"/>
          <w:sz w:val="24"/>
          <w:szCs w:val="24"/>
        </w:rPr>
        <w:t>SDI</w:t>
      </w:r>
      <w:r w:rsidR="00FA25E9">
        <w:rPr>
          <w:rFonts w:ascii="Times New Roman" w:hAnsi="Times New Roman"/>
          <w:sz w:val="24"/>
          <w:szCs w:val="24"/>
        </w:rPr>
        <w:t xml:space="preserve"> R</w:t>
      </w:r>
      <w:r w:rsidR="00FA25E9" w:rsidRPr="002E4B3C">
        <w:rPr>
          <w:rFonts w:ascii="Times New Roman" w:hAnsi="Times New Roman"/>
          <w:sz w:val="24"/>
          <w:szCs w:val="24"/>
        </w:rPr>
        <w:t>eport</w:t>
      </w:r>
      <w:r w:rsidR="00FA25E9">
        <w:rPr>
          <w:rFonts w:ascii="Times New Roman" w:hAnsi="Times New Roman"/>
          <w:sz w:val="24"/>
          <w:szCs w:val="24"/>
        </w:rPr>
        <w:t>, Federal Reserve Board 4Q91-4Q15 and Jacobs et al (2018) Models).</w:t>
      </w:r>
    </w:p>
    <w:p w:rsidR="00035F1A" w:rsidRDefault="005002A6" w:rsidP="00035F1A">
      <w:pPr>
        <w:jc w:val="both"/>
        <w:rPr>
          <w:rFonts w:ascii="Times New Roman" w:hAnsi="Times New Roman"/>
          <w:sz w:val="24"/>
          <w:szCs w:val="24"/>
        </w:rPr>
      </w:pPr>
      <w:r w:rsidRPr="00627636">
        <w:rPr>
          <w:noProof/>
        </w:rPr>
        <w:drawing>
          <wp:inline distT="0" distB="0" distL="0" distR="0" wp14:anchorId="67A64D5E" wp14:editId="71F30BE7">
            <wp:extent cx="5396547" cy="7410450"/>
            <wp:effectExtent l="19050" t="19050" r="1397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399430" cy="7414409"/>
                    </a:xfrm>
                    <a:prstGeom prst="rect">
                      <a:avLst/>
                    </a:prstGeom>
                    <a:ln>
                      <a:solidFill>
                        <a:schemeClr val="accent1"/>
                      </a:solidFill>
                    </a:ln>
                  </pic:spPr>
                </pic:pic>
              </a:graphicData>
            </a:graphic>
          </wp:inline>
        </w:drawing>
      </w:r>
      <w:r w:rsidR="00035F1A">
        <w:rPr>
          <w:rFonts w:ascii="Times New Roman" w:hAnsi="Times New Roman"/>
          <w:sz w:val="24"/>
          <w:szCs w:val="24"/>
        </w:rPr>
        <w:t xml:space="preserve">  </w:t>
      </w:r>
    </w:p>
    <w:p w:rsidR="00035F1A" w:rsidRDefault="00035F1A" w:rsidP="00035F1A">
      <w:pPr>
        <w:jc w:val="both"/>
        <w:rPr>
          <w:rFonts w:ascii="Times New Roman" w:hAnsi="Times New Roman"/>
          <w:b/>
          <w:sz w:val="24"/>
          <w:szCs w:val="24"/>
        </w:rPr>
      </w:pPr>
      <w:r>
        <w:rPr>
          <w:rFonts w:ascii="Times New Roman" w:hAnsi="Times New Roman"/>
          <w:sz w:val="24"/>
          <w:szCs w:val="24"/>
        </w:rPr>
        <w:lastRenderedPageBreak/>
        <w:t xml:space="preserve"> </w:t>
      </w:r>
      <w:r>
        <w:rPr>
          <w:noProof/>
        </w:rPr>
        <w:drawing>
          <wp:inline distT="0" distB="0" distL="0" distR="0" wp14:anchorId="68AB9542" wp14:editId="1989FA51">
            <wp:extent cx="5800725" cy="3037944"/>
            <wp:effectExtent l="19050" t="19050" r="9525" b="1016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94"/>
                    <a:stretch>
                      <a:fillRect/>
                    </a:stretch>
                  </pic:blipFill>
                  <pic:spPr>
                    <a:xfrm>
                      <a:off x="0" y="0"/>
                      <a:ext cx="5811937" cy="3043816"/>
                    </a:xfrm>
                    <a:prstGeom prst="rect">
                      <a:avLst/>
                    </a:prstGeom>
                    <a:ln>
                      <a:solidFill>
                        <a:schemeClr val="tx1"/>
                      </a:solidFill>
                    </a:ln>
                  </pic:spPr>
                </pic:pic>
              </a:graphicData>
            </a:graphic>
          </wp:inline>
        </w:drawing>
      </w:r>
    </w:p>
    <w:p w:rsidR="00035F1A" w:rsidRDefault="00035F1A" w:rsidP="00035F1A">
      <w:pPr>
        <w:rPr>
          <w:rFonts w:ascii="Times New Roman" w:hAnsi="Times New Roman"/>
          <w:sz w:val="24"/>
          <w:szCs w:val="24"/>
        </w:rPr>
      </w:pPr>
      <w:r>
        <w:rPr>
          <w:rFonts w:ascii="Times New Roman" w:hAnsi="Times New Roman"/>
          <w:b/>
          <w:sz w:val="24"/>
          <w:szCs w:val="24"/>
        </w:rPr>
        <w:t>Figure 5</w:t>
      </w:r>
      <w:r>
        <w:rPr>
          <w:rFonts w:ascii="Times New Roman" w:hAnsi="Times New Roman"/>
          <w:sz w:val="24"/>
          <w:szCs w:val="24"/>
        </w:rPr>
        <w:t xml:space="preserve">  Kullback-Leibler Relative Entropy Worse Case Loss for Model Risk Quantification Plot – Unemployment Rate and BBB Corporate Bond Yield (FDIC </w:t>
      </w:r>
      <w:r w:rsidRPr="002E4B3C">
        <w:rPr>
          <w:rFonts w:ascii="Times New Roman" w:hAnsi="Times New Roman"/>
          <w:sz w:val="24"/>
          <w:szCs w:val="24"/>
        </w:rPr>
        <w:t>SDI</w:t>
      </w:r>
      <w:r>
        <w:rPr>
          <w:rFonts w:ascii="Times New Roman" w:hAnsi="Times New Roman"/>
          <w:sz w:val="24"/>
          <w:szCs w:val="24"/>
        </w:rPr>
        <w:t xml:space="preserve"> R</w:t>
      </w:r>
      <w:r w:rsidRPr="002E4B3C">
        <w:rPr>
          <w:rFonts w:ascii="Times New Roman" w:hAnsi="Times New Roman"/>
          <w:sz w:val="24"/>
          <w:szCs w:val="24"/>
        </w:rPr>
        <w:t>eport</w:t>
      </w:r>
      <w:r>
        <w:rPr>
          <w:rFonts w:ascii="Times New Roman" w:hAnsi="Times New Roman"/>
          <w:sz w:val="24"/>
          <w:szCs w:val="24"/>
        </w:rPr>
        <w:t>, Federal Reserve Board 4Q91-4Q15 and Jacobs et al (2018) Models).</w:t>
      </w:r>
    </w:p>
    <w:p w:rsidR="00035F1A" w:rsidRDefault="00035F1A" w:rsidP="00035F1A">
      <w:pPr>
        <w:rPr>
          <w:rFonts w:ascii="Times New Roman" w:hAnsi="Times New Roman"/>
          <w:sz w:val="24"/>
          <w:szCs w:val="24"/>
        </w:rPr>
      </w:pPr>
      <w:r>
        <w:rPr>
          <w:noProof/>
        </w:rPr>
        <w:drawing>
          <wp:inline distT="0" distB="0" distL="0" distR="0" wp14:anchorId="5D54BA22" wp14:editId="167599D9">
            <wp:extent cx="5943600" cy="3112770"/>
            <wp:effectExtent l="19050" t="19050" r="19050" b="11430"/>
            <wp:docPr id="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195"/>
                    <a:stretch>
                      <a:fillRect/>
                    </a:stretch>
                  </pic:blipFill>
                  <pic:spPr>
                    <a:xfrm>
                      <a:off x="0" y="0"/>
                      <a:ext cx="5943600" cy="3112770"/>
                    </a:xfrm>
                    <a:prstGeom prst="rect">
                      <a:avLst/>
                    </a:prstGeom>
                    <a:ln>
                      <a:solidFill>
                        <a:schemeClr val="tx1"/>
                      </a:solidFill>
                    </a:ln>
                  </pic:spPr>
                </pic:pic>
              </a:graphicData>
            </a:graphic>
          </wp:inline>
        </w:drawing>
      </w:r>
    </w:p>
    <w:p w:rsidR="00035F1A" w:rsidRDefault="00035F1A" w:rsidP="00035F1A">
      <w:pPr>
        <w:rPr>
          <w:rFonts w:ascii="Times New Roman" w:hAnsi="Times New Roman"/>
          <w:sz w:val="24"/>
          <w:szCs w:val="24"/>
        </w:rPr>
      </w:pPr>
      <w:r>
        <w:rPr>
          <w:rFonts w:ascii="Times New Roman" w:hAnsi="Times New Roman"/>
          <w:b/>
          <w:sz w:val="24"/>
          <w:szCs w:val="24"/>
        </w:rPr>
        <w:t>Figure 6</w:t>
      </w:r>
      <w:r>
        <w:rPr>
          <w:rFonts w:ascii="Times New Roman" w:hAnsi="Times New Roman"/>
          <w:sz w:val="24"/>
          <w:szCs w:val="24"/>
        </w:rPr>
        <w:t xml:space="preserve">  Kullback-Leibler Relative Entropy Worse Case Loss for Model Risk Quantification Plot – Unemployment Rate, CBOE </w:t>
      </w:r>
      <w:r>
        <w:rPr>
          <w:rFonts w:ascii="Times New Roman" w:hAnsi="Times New Roman"/>
          <w:sz w:val="24"/>
          <w:szCs w:val="24"/>
          <w:lang w:eastAsia="zh-CN"/>
        </w:rPr>
        <w:t>Equity</w:t>
      </w:r>
      <w:r>
        <w:rPr>
          <w:rFonts w:ascii="Times New Roman" w:hAnsi="Times New Roman"/>
          <w:sz w:val="24"/>
          <w:szCs w:val="24"/>
        </w:rPr>
        <w:t xml:space="preserve"> Volatility Index, BBB Corporate - 5 Year Treasury Bond Spread and Total Uncommitted Loan Growth (FDIC </w:t>
      </w:r>
      <w:r w:rsidRPr="002E4B3C">
        <w:rPr>
          <w:rFonts w:ascii="Times New Roman" w:hAnsi="Times New Roman"/>
          <w:sz w:val="24"/>
          <w:szCs w:val="24"/>
        </w:rPr>
        <w:t>SDI</w:t>
      </w:r>
      <w:r>
        <w:rPr>
          <w:rFonts w:ascii="Times New Roman" w:hAnsi="Times New Roman"/>
          <w:sz w:val="24"/>
          <w:szCs w:val="24"/>
        </w:rPr>
        <w:t xml:space="preserve"> R</w:t>
      </w:r>
      <w:r w:rsidRPr="002E4B3C">
        <w:rPr>
          <w:rFonts w:ascii="Times New Roman" w:hAnsi="Times New Roman"/>
          <w:sz w:val="24"/>
          <w:szCs w:val="24"/>
        </w:rPr>
        <w:t>eport</w:t>
      </w:r>
      <w:r>
        <w:rPr>
          <w:rFonts w:ascii="Times New Roman" w:hAnsi="Times New Roman"/>
          <w:sz w:val="24"/>
          <w:szCs w:val="24"/>
        </w:rPr>
        <w:t>, Federal Reserve Board 4Q91-4Q15 and Jacobs et al (2018) Models).</w:t>
      </w:r>
    </w:p>
    <w:p w:rsidR="00035F1A" w:rsidRDefault="00035F1A" w:rsidP="00ED256B">
      <w:pPr>
        <w:jc w:val="both"/>
        <w:rPr>
          <w:rFonts w:ascii="Times New Roman" w:hAnsi="Times New Roman"/>
          <w:sz w:val="24"/>
          <w:szCs w:val="24"/>
        </w:rPr>
      </w:pPr>
    </w:p>
    <w:p w:rsidR="004913CA" w:rsidRDefault="004913CA" w:rsidP="0005473E">
      <w:pPr>
        <w:jc w:val="both"/>
        <w:rPr>
          <w:rFonts w:ascii="Times New Roman" w:hAnsi="Times New Roman"/>
          <w:sz w:val="24"/>
          <w:szCs w:val="24"/>
        </w:rPr>
      </w:pPr>
      <w:r>
        <w:rPr>
          <w:rFonts w:ascii="Times New Roman" w:hAnsi="Times New Roman"/>
          <w:sz w:val="24"/>
          <w:szCs w:val="24"/>
        </w:rPr>
        <w:t xml:space="preserve">property of the change of measure (16) is that it is </w:t>
      </w:r>
      <w:r w:rsidRPr="00000A0C">
        <w:rPr>
          <w:rFonts w:ascii="Times New Roman" w:hAnsi="Times New Roman"/>
          <w:i/>
          <w:sz w:val="24"/>
          <w:szCs w:val="24"/>
        </w:rPr>
        <w:t>model free</w:t>
      </w:r>
      <w:r>
        <w:rPr>
          <w:rFonts w:ascii="Times New Roman" w:hAnsi="Times New Roman"/>
          <w:sz w:val="24"/>
          <w:szCs w:val="24"/>
        </w:rPr>
        <w:t>, or independent of the reference model</w:t>
      </w:r>
      <w:r w:rsidRPr="00F756DA">
        <w:rPr>
          <w:position w:val="-14"/>
        </w:rPr>
        <w:object w:dxaOrig="560" w:dyaOrig="400">
          <v:shape id="_x0000_i1125" type="#_x0000_t75" style="width:27.75pt;height:20.25pt" o:ole="">
            <v:imagedata r:id="rId164" o:title=""/>
          </v:shape>
          <o:OLEObject Type="Embed" ProgID="Equation.DSMT4" ShapeID="_x0000_i1125" DrawAspect="Content" ObjectID="_1637920094" r:id="rId196"/>
        </w:object>
      </w:r>
      <w:r>
        <w:rPr>
          <w:rFonts w:ascii="Times New Roman" w:hAnsi="Times New Roman"/>
          <w:sz w:val="24"/>
          <w:szCs w:val="24"/>
        </w:rPr>
        <w:t>.  This is critical from a model validation perspective, as this implies that this pr</w:t>
      </w:r>
      <w:r>
        <w:rPr>
          <w:rFonts w:ascii="Times New Roman" w:hAnsi="Times New Roman"/>
          <w:sz w:val="24"/>
          <w:szCs w:val="24"/>
        </w:rPr>
        <w:t>o</w:t>
      </w:r>
      <w:r>
        <w:rPr>
          <w:rFonts w:ascii="Times New Roman" w:hAnsi="Times New Roman"/>
          <w:sz w:val="24"/>
          <w:szCs w:val="24"/>
        </w:rPr>
        <w:t>cedure is robust to model mispecification.</w:t>
      </w:r>
    </w:p>
    <w:p w:rsidR="001C6D7E" w:rsidRDefault="001C6D7E" w:rsidP="0005473E">
      <w:pPr>
        <w:jc w:val="both"/>
        <w:rPr>
          <w:rFonts w:ascii="Times New Roman" w:hAnsi="Times New Roman"/>
          <w:sz w:val="24"/>
          <w:szCs w:val="24"/>
        </w:rPr>
      </w:pPr>
      <w:r>
        <w:rPr>
          <w:rFonts w:ascii="Times New Roman" w:hAnsi="Times New Roman"/>
          <w:sz w:val="24"/>
          <w:szCs w:val="24"/>
        </w:rPr>
        <w:t>We summarize the empirical implementation</w:t>
      </w:r>
      <w:r w:rsidRPr="005046B1">
        <w:rPr>
          <w:rFonts w:ascii="Times New Roman" w:hAnsi="Times New Roman"/>
          <w:sz w:val="24"/>
          <w:szCs w:val="24"/>
        </w:rPr>
        <w:t xml:space="preserve"> </w:t>
      </w:r>
      <w:r>
        <w:rPr>
          <w:rFonts w:ascii="Times New Roman" w:hAnsi="Times New Roman"/>
          <w:sz w:val="24"/>
          <w:szCs w:val="24"/>
        </w:rPr>
        <w:t xml:space="preserve">results of our model risk quantification in Table 4 </w:t>
      </w:r>
      <w:r w:rsidR="00035F1A">
        <w:rPr>
          <w:rFonts w:ascii="Times New Roman" w:hAnsi="Times New Roman"/>
          <w:sz w:val="24"/>
          <w:szCs w:val="24"/>
        </w:rPr>
        <w:t xml:space="preserve">above </w:t>
      </w:r>
      <w:r>
        <w:rPr>
          <w:rFonts w:ascii="Times New Roman" w:hAnsi="Times New Roman"/>
          <w:sz w:val="24"/>
          <w:szCs w:val="24"/>
        </w:rPr>
        <w:t xml:space="preserve">and </w:t>
      </w:r>
      <w:r w:rsidR="00035F1A">
        <w:rPr>
          <w:rFonts w:ascii="Times New Roman" w:hAnsi="Times New Roman"/>
          <w:sz w:val="24"/>
          <w:szCs w:val="24"/>
        </w:rPr>
        <w:t xml:space="preserve">show examples in </w:t>
      </w:r>
      <w:r>
        <w:rPr>
          <w:rFonts w:ascii="Times New Roman" w:hAnsi="Times New Roman"/>
          <w:sz w:val="24"/>
          <w:szCs w:val="24"/>
        </w:rPr>
        <w:t xml:space="preserve">Figure 5 </w:t>
      </w:r>
      <w:r w:rsidR="00035F1A">
        <w:rPr>
          <w:rFonts w:ascii="Times New Roman" w:hAnsi="Times New Roman"/>
          <w:sz w:val="24"/>
          <w:szCs w:val="24"/>
        </w:rPr>
        <w:t xml:space="preserve">(Unemployment Rate and BBB Corporate Bond Yield) and Figure 6 (Unemployment Rate, CBOE </w:t>
      </w:r>
      <w:r w:rsidR="00035F1A">
        <w:rPr>
          <w:rFonts w:ascii="Times New Roman" w:hAnsi="Times New Roman"/>
          <w:sz w:val="24"/>
          <w:szCs w:val="24"/>
          <w:lang w:eastAsia="zh-CN"/>
        </w:rPr>
        <w:t>Equity</w:t>
      </w:r>
      <w:r w:rsidR="00035F1A">
        <w:rPr>
          <w:rFonts w:ascii="Times New Roman" w:hAnsi="Times New Roman"/>
          <w:sz w:val="24"/>
          <w:szCs w:val="24"/>
        </w:rPr>
        <w:t xml:space="preserve"> Volatility Index, BBB Corporate - 5 Year Treasury Bond Spread and Total Uncommitted Loan Growth) above</w:t>
      </w:r>
      <w:r>
        <w:rPr>
          <w:rFonts w:ascii="Times New Roman" w:hAnsi="Times New Roman"/>
          <w:sz w:val="24"/>
          <w:szCs w:val="24"/>
        </w:rPr>
        <w:t xml:space="preserve">.  In Table 4 we tabulate the mean CECL loss under the model, the same in the worst case, and the </w:t>
      </w:r>
      <w:r w:rsidRPr="00A22A09">
        <w:rPr>
          <w:rFonts w:ascii="Times New Roman" w:hAnsi="Times New Roman"/>
          <w:i/>
          <w:sz w:val="24"/>
          <w:szCs w:val="24"/>
        </w:rPr>
        <w:t>relative model risk error</w:t>
      </w:r>
      <w:r>
        <w:rPr>
          <w:rFonts w:ascii="Times New Roman" w:hAnsi="Times New Roman"/>
          <w:sz w:val="24"/>
          <w:szCs w:val="24"/>
        </w:rPr>
        <w:t xml:space="preserve"> (“RMRE”) measure defined as:</w:t>
      </w:r>
    </w:p>
    <w:p w:rsidR="002769D4" w:rsidRDefault="00EE3410" w:rsidP="00B758F7">
      <w:pPr>
        <w:jc w:val="both"/>
        <w:rPr>
          <w:rFonts w:ascii="Times New Roman" w:hAnsi="Times New Roman"/>
          <w:sz w:val="24"/>
          <w:szCs w:val="24"/>
        </w:rPr>
      </w:pPr>
      <w:r w:rsidRPr="00FE2D0E">
        <w:rPr>
          <w:rFonts w:ascii="Times New Roman" w:hAnsi="Times New Roman"/>
          <w:position w:val="-60"/>
          <w:sz w:val="24"/>
          <w:szCs w:val="24"/>
        </w:rPr>
        <w:object w:dxaOrig="8960" w:dyaOrig="1320">
          <v:shape id="_x0000_i1118" type="#_x0000_t75" style="width:450pt;height:65.25pt" o:ole="">
            <v:imagedata r:id="rId197" o:title=""/>
          </v:shape>
          <o:OLEObject Type="Embed" ProgID="Equation.DSMT4" ShapeID="_x0000_i1118" DrawAspect="Content" ObjectID="_1637920095" r:id="rId198"/>
        </w:object>
      </w:r>
      <w:r w:rsidR="002769D4">
        <w:rPr>
          <w:rFonts w:ascii="Times New Roman" w:hAnsi="Times New Roman"/>
          <w:sz w:val="24"/>
          <w:szCs w:val="24"/>
        </w:rPr>
        <w:t>(</w:t>
      </w:r>
      <w:r w:rsidR="004913CA">
        <w:rPr>
          <w:rFonts w:ascii="Times New Roman" w:hAnsi="Times New Roman"/>
          <w:sz w:val="24"/>
          <w:szCs w:val="24"/>
        </w:rPr>
        <w:t>20</w:t>
      </w:r>
      <w:r w:rsidR="002769D4">
        <w:rPr>
          <w:rFonts w:ascii="Times New Roman" w:hAnsi="Times New Roman"/>
          <w:sz w:val="24"/>
          <w:szCs w:val="24"/>
        </w:rPr>
        <w:t>)</w:t>
      </w:r>
    </w:p>
    <w:p w:rsidR="00F90941" w:rsidRDefault="004B4C52" w:rsidP="00B758F7">
      <w:pPr>
        <w:jc w:val="both"/>
        <w:rPr>
          <w:rFonts w:ascii="Times New Roman" w:hAnsi="Times New Roman"/>
          <w:sz w:val="24"/>
          <w:szCs w:val="24"/>
        </w:rPr>
      </w:pPr>
      <w:r>
        <w:rPr>
          <w:rFonts w:ascii="Times New Roman" w:hAnsi="Times New Roman"/>
          <w:sz w:val="24"/>
          <w:szCs w:val="24"/>
        </w:rPr>
        <w:t xml:space="preserve">Where </w:t>
      </w:r>
      <w:r w:rsidR="002E0322" w:rsidRPr="00766239">
        <w:rPr>
          <w:position w:val="-20"/>
        </w:rPr>
        <w:object w:dxaOrig="1820" w:dyaOrig="520">
          <v:shape id="_x0000_i1119" type="#_x0000_t75" style="width:91.5pt;height:26.25pt" o:ole="">
            <v:imagedata r:id="rId199" o:title=""/>
          </v:shape>
          <o:OLEObject Type="Embed" ProgID="Equation.DSMT4" ShapeID="_x0000_i1119" DrawAspect="Content" ObjectID="_1637920096" r:id="rId200"/>
        </w:object>
      </w:r>
      <w:r>
        <w:t xml:space="preserve"> </w:t>
      </w:r>
      <w:r w:rsidRPr="005276B5">
        <w:rPr>
          <w:rFonts w:ascii="Times New Roman" w:hAnsi="Times New Roman"/>
          <w:sz w:val="24"/>
          <w:szCs w:val="24"/>
        </w:rPr>
        <w:t xml:space="preserve">is </w:t>
      </w:r>
      <w:r>
        <w:rPr>
          <w:rFonts w:ascii="Times New Roman" w:hAnsi="Times New Roman"/>
          <w:sz w:val="24"/>
          <w:szCs w:val="24"/>
        </w:rPr>
        <w:t xml:space="preserve">a CECL loss estimate for the vector of macroeconomic variables </w:t>
      </w:r>
      <w:r w:rsidRPr="00766239">
        <w:rPr>
          <w:position w:val="-14"/>
        </w:rPr>
        <w:object w:dxaOrig="340" w:dyaOrig="380">
          <v:shape id="_x0000_i1120" type="#_x0000_t75" style="width:17.25pt;height:19.5pt" o:ole="">
            <v:imagedata r:id="rId201" o:title=""/>
          </v:shape>
          <o:OLEObject Type="Embed" ProgID="Equation.DSMT4" ShapeID="_x0000_i1120" DrawAspect="Content" ObjectID="_1637920097" r:id="rId202"/>
        </w:object>
      </w:r>
      <w:r>
        <w:rPr>
          <w:rFonts w:ascii="Times New Roman" w:hAnsi="Times New Roman"/>
          <w:sz w:val="24"/>
          <w:szCs w:val="24"/>
        </w:rPr>
        <w:t xml:space="preserve">  in loss model </w:t>
      </w:r>
      <w:r w:rsidRPr="00766239">
        <w:rPr>
          <w:position w:val="-12"/>
        </w:rPr>
        <w:object w:dxaOrig="980" w:dyaOrig="360">
          <v:shape id="_x0000_i1121" type="#_x0000_t75" style="width:48.75pt;height:18.75pt" o:ole="">
            <v:imagedata r:id="rId203" o:title=""/>
          </v:shape>
          <o:OLEObject Type="Embed" ProgID="Equation.DSMT4" ShapeID="_x0000_i1121" DrawAspect="Content" ObjectID="_1637920098" r:id="rId204"/>
        </w:object>
      </w:r>
      <w:r>
        <w:t xml:space="preserve"> </w:t>
      </w:r>
      <w:r w:rsidRPr="00B758F7">
        <w:rPr>
          <w:rFonts w:ascii="Times New Roman" w:hAnsi="Times New Roman"/>
          <w:sz w:val="24"/>
          <w:szCs w:val="24"/>
        </w:rPr>
        <w:t>(</w:t>
      </w:r>
      <w:r>
        <w:rPr>
          <w:rFonts w:ascii="Times New Roman" w:hAnsi="Times New Roman"/>
          <w:sz w:val="24"/>
          <w:szCs w:val="24"/>
        </w:rPr>
        <w:t xml:space="preserve">our </w:t>
      </w:r>
      <w:r w:rsidRPr="00B758F7">
        <w:rPr>
          <w:rFonts w:ascii="Times New Roman" w:hAnsi="Times New Roman"/>
          <w:sz w:val="24"/>
          <w:szCs w:val="24"/>
        </w:rPr>
        <w:t>14 models</w:t>
      </w:r>
      <w:r>
        <w:rPr>
          <w:rFonts w:ascii="Times New Roman" w:hAnsi="Times New Roman"/>
          <w:sz w:val="24"/>
          <w:szCs w:val="24"/>
        </w:rPr>
        <w:t xml:space="preserve"> VAR NCO models</w:t>
      </w:r>
      <w:r w:rsidRPr="00B758F7">
        <w:rPr>
          <w:rFonts w:ascii="Times New Roman" w:hAnsi="Times New Roman"/>
          <w:sz w:val="24"/>
          <w:szCs w:val="24"/>
        </w:rPr>
        <w:t>)</w:t>
      </w:r>
      <w:r>
        <w:rPr>
          <w:rFonts w:ascii="Times New Roman" w:hAnsi="Times New Roman"/>
          <w:sz w:val="24"/>
          <w:szCs w:val="24"/>
        </w:rPr>
        <w:t xml:space="preserve"> and economic scenario ge</w:t>
      </w:r>
      <w:r>
        <w:rPr>
          <w:rFonts w:ascii="Times New Roman" w:hAnsi="Times New Roman"/>
          <w:sz w:val="24"/>
          <w:szCs w:val="24"/>
        </w:rPr>
        <w:t>n</w:t>
      </w:r>
      <w:r>
        <w:rPr>
          <w:rFonts w:ascii="Times New Roman" w:hAnsi="Times New Roman"/>
          <w:sz w:val="24"/>
          <w:szCs w:val="24"/>
        </w:rPr>
        <w:t xml:space="preserve">eration model </w:t>
      </w:r>
      <w:r w:rsidRPr="00766239">
        <w:rPr>
          <w:position w:val="-12"/>
        </w:rPr>
        <w:object w:dxaOrig="920" w:dyaOrig="360">
          <v:shape id="_x0000_i1122" type="#_x0000_t75" style="width:45.75pt;height:18.75pt" o:ole="">
            <v:imagedata r:id="rId205" o:title=""/>
          </v:shape>
          <o:OLEObject Type="Embed" ProgID="Equation.DSMT4" ShapeID="_x0000_i1122" DrawAspect="Content" ObjectID="_1637920099" r:id="rId206"/>
        </w:object>
      </w:r>
      <w:r>
        <w:rPr>
          <w:rFonts w:ascii="Times New Roman" w:hAnsi="Times New Roman"/>
          <w:sz w:val="24"/>
          <w:szCs w:val="24"/>
        </w:rPr>
        <w:t xml:space="preserve"> (Fed, VAR and MS-VAR), and </w:t>
      </w:r>
      <w:r w:rsidRPr="00766239">
        <w:rPr>
          <w:position w:val="-18"/>
        </w:rPr>
        <w:object w:dxaOrig="1520" w:dyaOrig="480">
          <v:shape id="_x0000_i1123" type="#_x0000_t75" style="width:75.75pt;height:24pt" o:ole="">
            <v:imagedata r:id="rId207" o:title=""/>
          </v:shape>
          <o:OLEObject Type="Embed" ProgID="Equation.DSMT4" ShapeID="_x0000_i1123" DrawAspect="Content" ObjectID="_1637920100" r:id="rId208"/>
        </w:object>
      </w:r>
      <w:r>
        <w:t xml:space="preserve"> </w:t>
      </w:r>
      <w:r>
        <w:rPr>
          <w:rFonts w:ascii="Times New Roman" w:hAnsi="Times New Roman"/>
          <w:sz w:val="24"/>
          <w:szCs w:val="24"/>
        </w:rPr>
        <w:t>is the worst case ve</w:t>
      </w:r>
      <w:r>
        <w:rPr>
          <w:rFonts w:ascii="Times New Roman" w:hAnsi="Times New Roman"/>
          <w:sz w:val="24"/>
          <w:szCs w:val="24"/>
        </w:rPr>
        <w:t>r</w:t>
      </w:r>
      <w:r>
        <w:rPr>
          <w:rFonts w:ascii="Times New Roman" w:hAnsi="Times New Roman"/>
          <w:sz w:val="24"/>
          <w:szCs w:val="24"/>
        </w:rPr>
        <w:t>sion at</w:t>
      </w:r>
      <w:r w:rsidRPr="00F90941">
        <w:rPr>
          <w:rFonts w:ascii="Times New Roman" w:hAnsi="Times New Roman"/>
          <w:sz w:val="24"/>
          <w:szCs w:val="24"/>
        </w:rPr>
        <w:t xml:space="preserve"> </w:t>
      </w:r>
      <w:r w:rsidR="00F90941">
        <w:rPr>
          <w:rFonts w:ascii="Times New Roman" w:hAnsi="Times New Roman"/>
          <w:sz w:val="24"/>
          <w:szCs w:val="24"/>
        </w:rPr>
        <w:t xml:space="preserve">time </w:t>
      </w:r>
      <w:r w:rsidR="00F90941" w:rsidRPr="00B758F7">
        <w:rPr>
          <w:position w:val="-10"/>
        </w:rPr>
        <w:object w:dxaOrig="800" w:dyaOrig="320">
          <v:shape id="_x0000_i1124" type="#_x0000_t75" style="width:39.75pt;height:15pt" o:ole="">
            <v:imagedata r:id="rId209" o:title=""/>
          </v:shape>
          <o:OLEObject Type="Embed" ProgID="Equation.DSMT4" ShapeID="_x0000_i1124" DrawAspect="Content" ObjectID="_1637920101" r:id="rId210"/>
        </w:object>
      </w:r>
      <w:r w:rsidR="00F90941">
        <w:rPr>
          <w:rFonts w:ascii="Times New Roman" w:hAnsi="Times New Roman"/>
          <w:sz w:val="24"/>
          <w:szCs w:val="24"/>
        </w:rPr>
        <w:t xml:space="preserve"> in the forecast period, so this represents an empirical forecast error metric where the expectation with respect to the null model is replaced by a sample average.</w:t>
      </w:r>
    </w:p>
    <w:p w:rsidR="000821A2" w:rsidRDefault="004A3551" w:rsidP="00B758F7">
      <w:pPr>
        <w:jc w:val="both"/>
        <w:rPr>
          <w:rFonts w:ascii="Times New Roman" w:hAnsi="Times New Roman"/>
          <w:sz w:val="24"/>
          <w:szCs w:val="24"/>
        </w:rPr>
      </w:pPr>
      <w:r>
        <w:rPr>
          <w:rFonts w:ascii="Times New Roman" w:hAnsi="Times New Roman"/>
          <w:sz w:val="24"/>
          <w:szCs w:val="24"/>
        </w:rPr>
        <w:t>Table 4 shows that across credit loss and macroeconomic scenario generation models, the average RMRE 34.01%</w:t>
      </w:r>
      <w:r w:rsidR="00CC41D0" w:rsidRPr="00CC41D0">
        <w:rPr>
          <w:rFonts w:ascii="Times New Roman" w:hAnsi="Times New Roman"/>
          <w:sz w:val="24"/>
          <w:szCs w:val="24"/>
        </w:rPr>
        <w:t xml:space="preserve"> </w:t>
      </w:r>
      <w:r w:rsidR="00CC41D0">
        <w:rPr>
          <w:rFonts w:ascii="Times New Roman" w:hAnsi="Times New Roman"/>
          <w:sz w:val="24"/>
          <w:szCs w:val="24"/>
        </w:rPr>
        <w:t xml:space="preserve">is substantial, </w:t>
      </w:r>
      <w:r>
        <w:rPr>
          <w:rFonts w:ascii="Times New Roman" w:hAnsi="Times New Roman"/>
          <w:sz w:val="24"/>
          <w:szCs w:val="24"/>
        </w:rPr>
        <w:t xml:space="preserve">and varying widely across both </w:t>
      </w:r>
      <w:r w:rsidR="00CC41D0">
        <w:rPr>
          <w:rFonts w:ascii="Times New Roman" w:hAnsi="Times New Roman"/>
          <w:sz w:val="24"/>
          <w:szCs w:val="24"/>
        </w:rPr>
        <w:t xml:space="preserve">credit loss and macroeconomic scenario generation </w:t>
      </w:r>
      <w:r>
        <w:rPr>
          <w:rFonts w:ascii="Times New Roman" w:hAnsi="Times New Roman"/>
          <w:sz w:val="24"/>
          <w:szCs w:val="24"/>
        </w:rPr>
        <w:t xml:space="preserve">specifications from 15.4% to 51.9%.  </w:t>
      </w:r>
      <w:r w:rsidR="00524E88">
        <w:rPr>
          <w:rFonts w:ascii="Times New Roman" w:hAnsi="Times New Roman"/>
          <w:sz w:val="24"/>
          <w:szCs w:val="24"/>
        </w:rPr>
        <w:t>Considering scenario generation frameworks, we observe that the MS-VAR model has a consistently lower RMSE measure as compared to the Fed or VAR models, averaging</w:t>
      </w:r>
      <w:r w:rsidR="00CF6217">
        <w:rPr>
          <w:rFonts w:ascii="Times New Roman" w:hAnsi="Times New Roman"/>
          <w:sz w:val="24"/>
          <w:szCs w:val="24"/>
        </w:rPr>
        <w:t xml:space="preserve"> </w:t>
      </w:r>
      <w:r w:rsidR="00524E88">
        <w:rPr>
          <w:rFonts w:ascii="Times New Roman" w:hAnsi="Times New Roman"/>
          <w:sz w:val="24"/>
          <w:szCs w:val="24"/>
        </w:rPr>
        <w:t>27.8% in the former as compared to 27.5% and 36.6%, respectively, in the latter.</w:t>
      </w:r>
      <w:r w:rsidR="00CD3848">
        <w:rPr>
          <w:rFonts w:ascii="Times New Roman" w:hAnsi="Times New Roman"/>
          <w:sz w:val="24"/>
          <w:szCs w:val="24"/>
        </w:rPr>
        <w:t xml:space="preserve">  Another pattern that we observe is that</w:t>
      </w:r>
      <w:r w:rsidR="000821A2">
        <w:rPr>
          <w:rFonts w:ascii="Times New Roman" w:hAnsi="Times New Roman"/>
          <w:sz w:val="24"/>
          <w:szCs w:val="24"/>
        </w:rPr>
        <w:t>, in the majority of cases, credit loss models having either more macroeconomic</w:t>
      </w:r>
      <w:r w:rsidR="001E3B2A">
        <w:rPr>
          <w:rFonts w:ascii="Times New Roman" w:hAnsi="Times New Roman"/>
          <w:sz w:val="24"/>
          <w:szCs w:val="24"/>
        </w:rPr>
        <w:t xml:space="preserve"> variables</w:t>
      </w:r>
      <w:r w:rsidR="000821A2">
        <w:rPr>
          <w:rFonts w:ascii="Times New Roman" w:hAnsi="Times New Roman"/>
          <w:sz w:val="24"/>
          <w:szCs w:val="24"/>
        </w:rPr>
        <w:t>, or include idiosyncratic factors in addition to a set of macroeconomic factors, have higher model risk measures.  The 2-variable credit loss models with no idiosyncratic variables have RMSEs ranging in 21.6% to 25.2.4%, while those having 3 macroeconomic factors have a range of 36.7% to 39.6%.  On the other hand, among the version of these models having idiosyncratic variables, the 2-variable credit loss models have RMSEs ranging in 24.7% to 39.4%, while those having 3 macroeconomic factors have a range of 43.6% to 47.4%.</w:t>
      </w:r>
    </w:p>
    <w:p w:rsidR="00C61106" w:rsidRDefault="000821A2" w:rsidP="00016061">
      <w:pPr>
        <w:spacing w:after="0" w:line="300" w:lineRule="atLeast"/>
        <w:jc w:val="both"/>
        <w:rPr>
          <w:rFonts w:ascii="Times New Roman" w:hAnsi="Times New Roman"/>
          <w:b/>
          <w:sz w:val="28"/>
          <w:szCs w:val="28"/>
        </w:rPr>
      </w:pPr>
      <w:r>
        <w:rPr>
          <w:rFonts w:ascii="Times New Roman" w:hAnsi="Times New Roman"/>
          <w:sz w:val="24"/>
          <w:szCs w:val="24"/>
        </w:rPr>
        <w:lastRenderedPageBreak/>
        <w:t xml:space="preserve">There is a profound </w:t>
      </w:r>
      <w:r w:rsidR="00EE34BC">
        <w:rPr>
          <w:rFonts w:ascii="Times New Roman" w:hAnsi="Times New Roman"/>
          <w:sz w:val="24"/>
          <w:szCs w:val="24"/>
        </w:rPr>
        <w:t xml:space="preserve">model risk management policy </w:t>
      </w:r>
      <w:r>
        <w:rPr>
          <w:rFonts w:ascii="Times New Roman" w:hAnsi="Times New Roman"/>
          <w:sz w:val="24"/>
          <w:szCs w:val="24"/>
        </w:rPr>
        <w:t>implication of this analysis that speaks to our second objective in measuring model risk, namely identifying the sources of vulnerability in a</w:t>
      </w:r>
      <w:r>
        <w:rPr>
          <w:rFonts w:ascii="Times New Roman" w:hAnsi="Times New Roman"/>
          <w:sz w:val="24"/>
          <w:szCs w:val="24"/>
        </w:rPr>
        <w:t>s</w:t>
      </w:r>
      <w:r>
        <w:rPr>
          <w:rFonts w:ascii="Times New Roman" w:hAnsi="Times New Roman"/>
          <w:sz w:val="24"/>
          <w:szCs w:val="24"/>
        </w:rPr>
        <w:t xml:space="preserve">sumptions that give rise to model risk.  There are two sources at play herein – the joint distribution of the macroeconomic and idiosyncratic variables, and the assumptions on the </w:t>
      </w:r>
      <w:r w:rsidR="005E3889">
        <w:rPr>
          <w:rFonts w:ascii="Times New Roman" w:hAnsi="Times New Roman"/>
          <w:sz w:val="24"/>
          <w:szCs w:val="24"/>
        </w:rPr>
        <w:t xml:space="preserve">error terms in the joint distribution of losses, </w:t>
      </w:r>
      <w:r w:rsidR="00590A3C">
        <w:rPr>
          <w:rFonts w:ascii="Times New Roman" w:hAnsi="Times New Roman"/>
          <w:sz w:val="24"/>
          <w:szCs w:val="24"/>
        </w:rPr>
        <w:t xml:space="preserve">and </w:t>
      </w:r>
      <w:r w:rsidR="005E3889">
        <w:rPr>
          <w:rFonts w:ascii="Times New Roman" w:hAnsi="Times New Roman"/>
          <w:sz w:val="24"/>
          <w:szCs w:val="24"/>
        </w:rPr>
        <w:t xml:space="preserve">with respect to the latter whether they are Gaussian (i.e., Fed or VAR) or follow a heavy-tailed distribution (i.e., MS-VAR).  We conclude from these results that the less parsimonious are the models, the greater risk is there of model </w:t>
      </w:r>
      <w:proofErr w:type="spellStart"/>
      <w:r w:rsidR="005E3889">
        <w:rPr>
          <w:rFonts w:ascii="Times New Roman" w:hAnsi="Times New Roman"/>
          <w:sz w:val="24"/>
          <w:szCs w:val="24"/>
        </w:rPr>
        <w:t>mis</w:t>
      </w:r>
      <w:proofErr w:type="spellEnd"/>
      <w:r w:rsidR="005E3889">
        <w:rPr>
          <w:rFonts w:ascii="Times New Roman" w:hAnsi="Times New Roman"/>
          <w:sz w:val="24"/>
          <w:szCs w:val="24"/>
        </w:rPr>
        <w:t>-specification</w:t>
      </w:r>
      <w:r>
        <w:rPr>
          <w:rFonts w:ascii="Times New Roman" w:hAnsi="Times New Roman"/>
          <w:sz w:val="24"/>
          <w:szCs w:val="24"/>
        </w:rPr>
        <w:t xml:space="preserve"> </w:t>
      </w:r>
      <w:r w:rsidR="005E3889">
        <w:rPr>
          <w:rFonts w:ascii="Times New Roman" w:hAnsi="Times New Roman"/>
          <w:sz w:val="24"/>
          <w:szCs w:val="24"/>
        </w:rPr>
        <w:t>that manifests in the higher RMRE measures.  On the other hand, while we may think that the add</w:t>
      </w:r>
      <w:r w:rsidR="005E3889">
        <w:rPr>
          <w:rFonts w:ascii="Times New Roman" w:hAnsi="Times New Roman"/>
          <w:sz w:val="24"/>
          <w:szCs w:val="24"/>
        </w:rPr>
        <w:t>i</w:t>
      </w:r>
      <w:r w:rsidR="005E3889">
        <w:rPr>
          <w:rFonts w:ascii="Times New Roman" w:hAnsi="Times New Roman"/>
          <w:sz w:val="24"/>
          <w:szCs w:val="24"/>
        </w:rPr>
        <w:t xml:space="preserve">tional parameter of the MS-VAR model would give rise to more model risk, the fact that this model is better capable of modeling the fat-tailed distribution of credit losses is realized in a lower MS-VAR measure, regardless of the credit loss model specification.  This should be no surprise, as we saw that the Fed and VAR models had rather more egregious under-prediction than the MS-VAR model, which is at odds with the historical distribution of losses.  On the other hand, </w:t>
      </w:r>
      <w:r w:rsidR="00971954">
        <w:rPr>
          <w:rFonts w:ascii="Times New Roman" w:hAnsi="Times New Roman"/>
          <w:sz w:val="24"/>
          <w:szCs w:val="24"/>
        </w:rPr>
        <w:t xml:space="preserve">while </w:t>
      </w:r>
      <w:r w:rsidR="005E3889">
        <w:rPr>
          <w:rFonts w:ascii="Times New Roman" w:hAnsi="Times New Roman"/>
          <w:sz w:val="24"/>
          <w:szCs w:val="24"/>
        </w:rPr>
        <w:t xml:space="preserve">the credit models with more variables fit only slightly better on an in-sample basis, most exhibited relatively poor performance </w:t>
      </w:r>
      <w:r w:rsidR="00E3252B">
        <w:rPr>
          <w:rFonts w:ascii="Times New Roman" w:hAnsi="Times New Roman"/>
          <w:sz w:val="24"/>
          <w:szCs w:val="24"/>
        </w:rPr>
        <w:t>out-of-sample.  The conclusion is that practitioner</w:t>
      </w:r>
      <w:r w:rsidR="005363B7">
        <w:rPr>
          <w:rFonts w:ascii="Times New Roman" w:hAnsi="Times New Roman"/>
          <w:sz w:val="24"/>
          <w:szCs w:val="24"/>
        </w:rPr>
        <w:t>s</w:t>
      </w:r>
      <w:r w:rsidR="00E3252B">
        <w:rPr>
          <w:rFonts w:ascii="Times New Roman" w:hAnsi="Times New Roman"/>
          <w:sz w:val="24"/>
          <w:szCs w:val="24"/>
        </w:rPr>
        <w:t xml:space="preserve"> may wish to err on the side of more parsimonious models that can also accommodate non-normality</w:t>
      </w:r>
      <w:r w:rsidR="00971954">
        <w:rPr>
          <w:rFonts w:ascii="Times New Roman" w:hAnsi="Times New Roman"/>
          <w:sz w:val="24"/>
          <w:szCs w:val="24"/>
        </w:rPr>
        <w:t>.</w:t>
      </w:r>
    </w:p>
    <w:p w:rsidR="001C6D7E" w:rsidRDefault="001C6D7E" w:rsidP="004F4E8F">
      <w:pPr>
        <w:spacing w:after="0" w:line="300" w:lineRule="atLeast"/>
        <w:jc w:val="both"/>
        <w:rPr>
          <w:rFonts w:ascii="Times New Roman" w:hAnsi="Times New Roman"/>
          <w:b/>
          <w:sz w:val="28"/>
          <w:szCs w:val="28"/>
        </w:rPr>
      </w:pPr>
    </w:p>
    <w:p w:rsidR="001C6D7E" w:rsidRDefault="001C6D7E" w:rsidP="004F4E8F">
      <w:pPr>
        <w:spacing w:after="0" w:line="300" w:lineRule="atLeast"/>
        <w:jc w:val="both"/>
        <w:rPr>
          <w:rFonts w:ascii="Times New Roman" w:hAnsi="Times New Roman"/>
          <w:b/>
          <w:sz w:val="28"/>
          <w:szCs w:val="28"/>
        </w:rPr>
      </w:pPr>
    </w:p>
    <w:p w:rsidR="004F4E8F" w:rsidRDefault="0090183F" w:rsidP="004F4E8F">
      <w:pPr>
        <w:spacing w:after="0" w:line="300" w:lineRule="atLeast"/>
        <w:jc w:val="both"/>
        <w:rPr>
          <w:rFonts w:ascii="Times New Roman" w:hAnsi="Times New Roman"/>
          <w:b/>
          <w:sz w:val="28"/>
          <w:szCs w:val="28"/>
        </w:rPr>
      </w:pPr>
      <w:r>
        <w:rPr>
          <w:rFonts w:ascii="Times New Roman" w:hAnsi="Times New Roman"/>
          <w:b/>
          <w:sz w:val="28"/>
          <w:szCs w:val="28"/>
        </w:rPr>
        <w:t>7</w:t>
      </w:r>
      <w:r w:rsidR="004F4E8F" w:rsidRPr="004F4E8F">
        <w:rPr>
          <w:rFonts w:ascii="Times New Roman" w:hAnsi="Times New Roman"/>
          <w:b/>
          <w:sz w:val="28"/>
          <w:szCs w:val="28"/>
        </w:rPr>
        <w:tab/>
        <w:t>Conclusion and Future Directions</w:t>
      </w:r>
    </w:p>
    <w:p w:rsidR="004F4E8F" w:rsidRDefault="004F4E8F" w:rsidP="004F4E8F">
      <w:pPr>
        <w:spacing w:after="0" w:line="300" w:lineRule="atLeast"/>
        <w:jc w:val="both"/>
        <w:rPr>
          <w:rFonts w:ascii="Times New Roman" w:hAnsi="Times New Roman"/>
          <w:spacing w:val="-2"/>
          <w:sz w:val="24"/>
          <w:szCs w:val="24"/>
        </w:rPr>
      </w:pPr>
    </w:p>
    <w:p w:rsidR="005A76D4" w:rsidRPr="005B1DD1" w:rsidRDefault="005A76D4" w:rsidP="005B1DD1">
      <w:pPr>
        <w:jc w:val="both"/>
        <w:rPr>
          <w:rFonts w:ascii="Times New Roman" w:hAnsi="Times New Roman"/>
          <w:sz w:val="24"/>
          <w:szCs w:val="24"/>
        </w:rPr>
      </w:pPr>
      <w:r>
        <w:rPr>
          <w:rFonts w:ascii="Times New Roman" w:hAnsi="Times New Roman" w:cs="Calibri"/>
          <w:color w:val="000000"/>
          <w:sz w:val="24"/>
          <w:szCs w:val="24"/>
        </w:rPr>
        <w:t>I</w:t>
      </w:r>
      <w:r w:rsidRPr="00530876">
        <w:rPr>
          <w:rFonts w:ascii="Times New Roman" w:hAnsi="Times New Roman" w:cs="Calibri"/>
          <w:color w:val="000000"/>
          <w:sz w:val="24"/>
          <w:szCs w:val="24"/>
        </w:rPr>
        <w:t xml:space="preserve">n this </w:t>
      </w:r>
      <w:r>
        <w:rPr>
          <w:rFonts w:ascii="Times New Roman" w:hAnsi="Times New Roman" w:cs="Calibri"/>
          <w:color w:val="000000"/>
          <w:sz w:val="24"/>
          <w:szCs w:val="24"/>
        </w:rPr>
        <w:t>study</w:t>
      </w:r>
      <w:r w:rsidR="009406C6">
        <w:rPr>
          <w:rFonts w:ascii="Times New Roman" w:hAnsi="Times New Roman" w:cs="Calibri"/>
          <w:color w:val="000000"/>
          <w:sz w:val="24"/>
          <w:szCs w:val="24"/>
        </w:rPr>
        <w:t xml:space="preserve"> we have presented an holistic model validation framework for CECL model deve</w:t>
      </w:r>
      <w:r w:rsidR="009406C6">
        <w:rPr>
          <w:rFonts w:ascii="Times New Roman" w:hAnsi="Times New Roman" w:cs="Calibri"/>
          <w:color w:val="000000"/>
          <w:sz w:val="24"/>
          <w:szCs w:val="24"/>
        </w:rPr>
        <w:t>l</w:t>
      </w:r>
      <w:r w:rsidR="009406C6">
        <w:rPr>
          <w:rFonts w:ascii="Times New Roman" w:hAnsi="Times New Roman" w:cs="Calibri"/>
          <w:color w:val="000000"/>
          <w:sz w:val="24"/>
          <w:szCs w:val="24"/>
        </w:rPr>
        <w:t>opment and model implementation execution, and</w:t>
      </w:r>
      <w:r w:rsidR="009406C6" w:rsidRPr="009406C6">
        <w:rPr>
          <w:rFonts w:ascii="Times New Roman" w:hAnsi="Times New Roman" w:cs="Calibri"/>
          <w:color w:val="000000"/>
          <w:sz w:val="24"/>
          <w:szCs w:val="24"/>
        </w:rPr>
        <w:t xml:space="preserve"> </w:t>
      </w:r>
      <w:r w:rsidR="009406C6">
        <w:rPr>
          <w:rFonts w:ascii="Times New Roman" w:hAnsi="Times New Roman" w:cs="Calibri"/>
          <w:color w:val="000000"/>
          <w:sz w:val="24"/>
          <w:szCs w:val="24"/>
        </w:rPr>
        <w:t xml:space="preserve">have also illustrated elements of CECL model development validation, including the quantification of model risk.  In our example of the latter validation of CECL model development, we have </w:t>
      </w:r>
      <w:r>
        <w:rPr>
          <w:rFonts w:ascii="Times New Roman" w:hAnsi="Times New Roman" w:cs="Calibri"/>
          <w:color w:val="000000"/>
          <w:sz w:val="24"/>
          <w:szCs w:val="24"/>
        </w:rPr>
        <w:t>analyz</w:t>
      </w:r>
      <w:r w:rsidR="009406C6">
        <w:rPr>
          <w:rFonts w:ascii="Times New Roman" w:hAnsi="Times New Roman" w:cs="Calibri"/>
          <w:color w:val="000000"/>
          <w:sz w:val="24"/>
          <w:szCs w:val="24"/>
        </w:rPr>
        <w:t>ed</w:t>
      </w:r>
      <w:r>
        <w:rPr>
          <w:rFonts w:ascii="Times New Roman" w:hAnsi="Times New Roman" w:cs="Calibri"/>
          <w:color w:val="000000"/>
          <w:sz w:val="24"/>
          <w:szCs w:val="24"/>
        </w:rPr>
        <w:t xml:space="preserve"> the impact of model specification and scenario dynamics upon expected credit loss estimates in CECL, </w:t>
      </w:r>
      <w:r w:rsidR="00730D8C">
        <w:rPr>
          <w:rFonts w:ascii="Times New Roman" w:hAnsi="Times New Roman" w:cs="Calibri"/>
          <w:color w:val="000000"/>
          <w:sz w:val="24"/>
          <w:szCs w:val="24"/>
        </w:rPr>
        <w:t>through</w:t>
      </w:r>
      <w:r>
        <w:rPr>
          <w:rFonts w:ascii="Times New Roman" w:hAnsi="Times New Roman" w:cs="Calibri"/>
          <w:color w:val="000000"/>
          <w:sz w:val="24"/>
          <w:szCs w:val="24"/>
        </w:rPr>
        <w:t xml:space="preserve"> implement</w:t>
      </w:r>
      <w:r w:rsidR="00730D8C">
        <w:rPr>
          <w:rFonts w:ascii="Times New Roman" w:hAnsi="Times New Roman" w:cs="Calibri"/>
          <w:color w:val="000000"/>
          <w:sz w:val="24"/>
          <w:szCs w:val="24"/>
        </w:rPr>
        <w:t>ing</w:t>
      </w:r>
      <w:r>
        <w:rPr>
          <w:rFonts w:ascii="Times New Roman" w:hAnsi="Times New Roman" w:cs="Calibri"/>
          <w:color w:val="000000"/>
          <w:sz w:val="24"/>
          <w:szCs w:val="24"/>
        </w:rPr>
        <w:t xml:space="preserve"> a</w:t>
      </w:r>
      <w:r w:rsidRPr="00530876">
        <w:rPr>
          <w:rFonts w:ascii="Times New Roman" w:hAnsi="Times New Roman" w:cs="Calibri"/>
          <w:color w:val="000000"/>
          <w:sz w:val="24"/>
          <w:szCs w:val="24"/>
        </w:rPr>
        <w:t xml:space="preserve"> </w:t>
      </w:r>
      <w:r>
        <w:rPr>
          <w:rFonts w:ascii="Times New Roman" w:hAnsi="Times New Roman" w:cs="Calibri"/>
          <w:color w:val="000000"/>
          <w:sz w:val="24"/>
          <w:szCs w:val="24"/>
        </w:rPr>
        <w:t xml:space="preserve">highly </w:t>
      </w:r>
      <w:r w:rsidRPr="00530876">
        <w:rPr>
          <w:rFonts w:ascii="Times New Roman" w:hAnsi="Times New Roman" w:cs="Calibri"/>
          <w:color w:val="000000"/>
          <w:sz w:val="24"/>
          <w:szCs w:val="24"/>
        </w:rPr>
        <w:t>stylized framework</w:t>
      </w:r>
      <w:r>
        <w:rPr>
          <w:rFonts w:ascii="Times New Roman" w:hAnsi="Times New Roman" w:cs="Calibri"/>
          <w:color w:val="000000"/>
          <w:sz w:val="24"/>
          <w:szCs w:val="24"/>
        </w:rPr>
        <w:t xml:space="preserve"> borrowed from the ST modeling practice.  We performed a model selection of alternative CECL specifications in a top-down framework, using FDIC FR-Y9C data and co</w:t>
      </w:r>
      <w:r>
        <w:rPr>
          <w:rFonts w:ascii="Times New Roman" w:hAnsi="Times New Roman" w:cs="Calibri"/>
          <w:color w:val="000000"/>
          <w:sz w:val="24"/>
          <w:szCs w:val="24"/>
        </w:rPr>
        <w:t>n</w:t>
      </w:r>
      <w:r>
        <w:rPr>
          <w:rFonts w:ascii="Times New Roman" w:hAnsi="Times New Roman" w:cs="Calibri"/>
          <w:color w:val="000000"/>
          <w:sz w:val="24"/>
          <w:szCs w:val="24"/>
        </w:rPr>
        <w:t>structing an aggregate or average hypothetical bank, with the target variable being NCORs and the explanatory variables constituted by Fed provided macroeconomic variables as well as bank-specific controls for idiosyncratic risk.  We studied not only the impact of the ALLL est</w:t>
      </w:r>
      <w:r>
        <w:rPr>
          <w:rFonts w:ascii="Times New Roman" w:hAnsi="Times New Roman" w:cs="Calibri"/>
          <w:color w:val="000000"/>
          <w:sz w:val="24"/>
          <w:szCs w:val="24"/>
        </w:rPr>
        <w:t>i</w:t>
      </w:r>
      <w:r>
        <w:rPr>
          <w:rFonts w:ascii="Times New Roman" w:hAnsi="Times New Roman" w:cs="Calibri"/>
          <w:color w:val="000000"/>
          <w:sz w:val="24"/>
          <w:szCs w:val="24"/>
        </w:rPr>
        <w:t>mate under CECL for alternative model specifications, but also the impact of different frameworks for scenario generation: the Fed baseline assumption, a Gaussian VAR model and a mi</w:t>
      </w:r>
      <w:r>
        <w:rPr>
          <w:rFonts w:ascii="Times New Roman" w:hAnsi="Times New Roman" w:cs="Calibri"/>
          <w:color w:val="000000"/>
          <w:sz w:val="24"/>
          <w:szCs w:val="24"/>
        </w:rPr>
        <w:t>x</w:t>
      </w:r>
      <w:r>
        <w:rPr>
          <w:rFonts w:ascii="Times New Roman" w:hAnsi="Times New Roman" w:cs="Calibri"/>
          <w:color w:val="000000"/>
          <w:sz w:val="24"/>
          <w:szCs w:val="24"/>
        </w:rPr>
        <w:t xml:space="preserve">ture-of-distributions MS-VAR model, </w:t>
      </w:r>
      <w:r w:rsidRPr="005B1DD1">
        <w:rPr>
          <w:rFonts w:ascii="Times New Roman" w:hAnsi="Times New Roman"/>
          <w:sz w:val="24"/>
          <w:szCs w:val="24"/>
        </w:rPr>
        <w:t xml:space="preserve">following the study of Jacobs et al (2018).      </w:t>
      </w:r>
    </w:p>
    <w:p w:rsidR="005A76D4" w:rsidRDefault="00730D8C" w:rsidP="005B1DD1">
      <w:pPr>
        <w:jc w:val="both"/>
        <w:rPr>
          <w:rFonts w:ascii="Times New Roman" w:hAnsi="Times New Roman"/>
          <w:sz w:val="24"/>
          <w:szCs w:val="24"/>
        </w:rPr>
      </w:pPr>
      <w:r>
        <w:rPr>
          <w:rFonts w:ascii="Times New Roman" w:hAnsi="Times New Roman"/>
          <w:sz w:val="24"/>
          <w:szCs w:val="24"/>
        </w:rPr>
        <w:t>The implications for CECL model validation and governance is our results</w:t>
      </w:r>
      <w:r w:rsidR="005A76D4" w:rsidRPr="005B1DD1">
        <w:rPr>
          <w:rFonts w:ascii="Times New Roman" w:hAnsi="Times New Roman"/>
          <w:sz w:val="24"/>
          <w:szCs w:val="24"/>
        </w:rPr>
        <w:t xml:space="preserve"> </w:t>
      </w:r>
      <w:r>
        <w:rPr>
          <w:rFonts w:ascii="Times New Roman" w:hAnsi="Times New Roman"/>
          <w:sz w:val="24"/>
          <w:szCs w:val="24"/>
        </w:rPr>
        <w:t xml:space="preserve">suggest that </w:t>
      </w:r>
      <w:r w:rsidR="005A76D4" w:rsidRPr="005B1DD1">
        <w:rPr>
          <w:rFonts w:ascii="Times New Roman" w:hAnsi="Times New Roman"/>
          <w:sz w:val="24"/>
          <w:szCs w:val="24"/>
        </w:rPr>
        <w:t>in general the CECL methodology is at risk of not achieving the stated ob</w:t>
      </w:r>
      <w:r w:rsidR="005A76D4">
        <w:rPr>
          <w:rFonts w:ascii="Times New Roman" w:hAnsi="Times New Roman" w:cs="Calibri"/>
          <w:color w:val="000000"/>
          <w:sz w:val="24"/>
          <w:szCs w:val="24"/>
        </w:rPr>
        <w:t xml:space="preserve">jective of reducing the </w:t>
      </w:r>
      <w:r w:rsidR="005A76D4" w:rsidRPr="00530876">
        <w:rPr>
          <w:rFonts w:ascii="Times New Roman" w:hAnsi="Times New Roman" w:cs="Calibri"/>
          <w:color w:val="000000"/>
          <w:sz w:val="24"/>
          <w:szCs w:val="24"/>
        </w:rPr>
        <w:t>pro-cyclical</w:t>
      </w:r>
      <w:r w:rsidR="005A76D4">
        <w:rPr>
          <w:rFonts w:ascii="Times New Roman" w:hAnsi="Times New Roman" w:cs="Calibri"/>
          <w:color w:val="000000"/>
          <w:sz w:val="24"/>
          <w:szCs w:val="24"/>
        </w:rPr>
        <w:t>ity of provisions relative to the legacy</w:t>
      </w:r>
      <w:r w:rsidR="005A76D4" w:rsidRPr="00530876">
        <w:rPr>
          <w:rFonts w:ascii="Times New Roman" w:hAnsi="Times New Roman" w:cs="Calibri"/>
          <w:color w:val="000000"/>
          <w:sz w:val="24"/>
          <w:szCs w:val="24"/>
        </w:rPr>
        <w:t xml:space="preserve"> incurred loss standard</w:t>
      </w:r>
      <w:r w:rsidR="005A76D4">
        <w:rPr>
          <w:rFonts w:ascii="Times New Roman" w:hAnsi="Times New Roman" w:cs="Calibri"/>
          <w:color w:val="000000"/>
          <w:sz w:val="24"/>
          <w:szCs w:val="24"/>
        </w:rPr>
        <w:t xml:space="preserve">, as across models we observe chronic underprediction of losses in the last 2-year out-of-sample period, which arguably is a period that is late in the economic cycle.  Furthermore, </w:t>
      </w:r>
      <w:r w:rsidR="00683876">
        <w:rPr>
          <w:rFonts w:ascii="Times New Roman" w:hAnsi="Times New Roman" w:cs="Calibri"/>
          <w:color w:val="000000"/>
          <w:sz w:val="24"/>
          <w:szCs w:val="24"/>
        </w:rPr>
        <w:t xml:space="preserve">we have illustrated that </w:t>
      </w:r>
      <w:r w:rsidR="005A76D4">
        <w:rPr>
          <w:rFonts w:ascii="Times New Roman" w:hAnsi="Times New Roman" w:cs="Calibri"/>
          <w:color w:val="000000"/>
          <w:sz w:val="24"/>
          <w:szCs w:val="24"/>
        </w:rPr>
        <w:t>the amount of such procyclicality exhibits significant variation across model specifications and scenario gene</w:t>
      </w:r>
      <w:r w:rsidR="005A76D4">
        <w:rPr>
          <w:rFonts w:ascii="Times New Roman" w:hAnsi="Times New Roman" w:cs="Calibri"/>
          <w:color w:val="000000"/>
          <w:sz w:val="24"/>
          <w:szCs w:val="24"/>
        </w:rPr>
        <w:t>r</w:t>
      </w:r>
      <w:r w:rsidR="005A76D4">
        <w:rPr>
          <w:rFonts w:ascii="Times New Roman" w:hAnsi="Times New Roman" w:cs="Calibri"/>
          <w:color w:val="000000"/>
          <w:sz w:val="24"/>
          <w:szCs w:val="24"/>
        </w:rPr>
        <w:t xml:space="preserve">ation frameworks.  In general, </w:t>
      </w:r>
      <w:r w:rsidR="00683876">
        <w:rPr>
          <w:rFonts w:ascii="Times New Roman" w:hAnsi="Times New Roman" w:cs="Calibri"/>
          <w:color w:val="000000"/>
          <w:sz w:val="24"/>
          <w:szCs w:val="24"/>
        </w:rPr>
        <w:t xml:space="preserve">we have found that </w:t>
      </w:r>
      <w:r w:rsidR="005A76D4">
        <w:rPr>
          <w:rFonts w:ascii="Times New Roman" w:hAnsi="Times New Roman" w:cs="Calibri"/>
          <w:color w:val="000000"/>
          <w:sz w:val="24"/>
          <w:szCs w:val="24"/>
        </w:rPr>
        <w:t xml:space="preserve">the MS-VAR scenario generation framework produces the best performance in terms of fit and lack of under-prediction relative to the perfect </w:t>
      </w:r>
      <w:r w:rsidR="005A76D4">
        <w:rPr>
          <w:rFonts w:ascii="Times New Roman" w:hAnsi="Times New Roman" w:cs="Calibri"/>
          <w:color w:val="000000"/>
          <w:sz w:val="24"/>
          <w:szCs w:val="24"/>
        </w:rPr>
        <w:lastRenderedPageBreak/>
        <w:t>foresight benchmark, which is in line with the common industry practice of giving weight to a</w:t>
      </w:r>
      <w:r w:rsidR="005A76D4">
        <w:rPr>
          <w:rFonts w:ascii="Times New Roman" w:hAnsi="Times New Roman" w:cs="Calibri"/>
          <w:color w:val="000000"/>
          <w:sz w:val="24"/>
          <w:szCs w:val="24"/>
        </w:rPr>
        <w:t>d</w:t>
      </w:r>
      <w:r w:rsidR="005A76D4">
        <w:rPr>
          <w:rFonts w:ascii="Times New Roman" w:hAnsi="Times New Roman" w:cs="Calibri"/>
          <w:color w:val="000000"/>
          <w:sz w:val="24"/>
          <w:szCs w:val="24"/>
        </w:rPr>
        <w:t xml:space="preserve">verse but probable scenarios, which the MS-VAR regime switching model can produce naturally and coherently as part of the estimation methodology that places greater weigh on the economic downturn.  We </w:t>
      </w:r>
      <w:r w:rsidR="00CF6FCB">
        <w:rPr>
          <w:rFonts w:ascii="Times New Roman" w:hAnsi="Times New Roman" w:cs="Calibri"/>
          <w:color w:val="000000"/>
          <w:sz w:val="24"/>
          <w:szCs w:val="24"/>
        </w:rPr>
        <w:t xml:space="preserve">have </w:t>
      </w:r>
      <w:r w:rsidR="005A76D4">
        <w:rPr>
          <w:rFonts w:ascii="Times New Roman" w:hAnsi="Times New Roman" w:cs="Calibri"/>
          <w:color w:val="000000"/>
          <w:sz w:val="24"/>
          <w:szCs w:val="24"/>
        </w:rPr>
        <w:t>also f</w:t>
      </w:r>
      <w:r w:rsidR="00683876">
        <w:rPr>
          <w:rFonts w:ascii="Times New Roman" w:hAnsi="Times New Roman" w:cs="Calibri"/>
          <w:color w:val="000000"/>
          <w:sz w:val="24"/>
          <w:szCs w:val="24"/>
        </w:rPr>
        <w:t>ound</w:t>
      </w:r>
      <w:r w:rsidR="005A76D4">
        <w:rPr>
          <w:rFonts w:ascii="Times New Roman" w:hAnsi="Times New Roman" w:cs="Calibri"/>
          <w:color w:val="000000"/>
          <w:sz w:val="24"/>
          <w:szCs w:val="24"/>
        </w:rPr>
        <w:t xml:space="preserve"> that for any scenario generation model, across specification</w:t>
      </w:r>
      <w:r w:rsidR="0063551B">
        <w:rPr>
          <w:rFonts w:ascii="Times New Roman" w:hAnsi="Times New Roman" w:cs="Calibri"/>
          <w:color w:val="000000"/>
          <w:sz w:val="24"/>
          <w:szCs w:val="24"/>
        </w:rPr>
        <w:t>s</w:t>
      </w:r>
      <w:r w:rsidR="005A76D4">
        <w:rPr>
          <w:rFonts w:ascii="Times New Roman" w:hAnsi="Times New Roman" w:cs="Calibri"/>
          <w:color w:val="000000"/>
          <w:sz w:val="24"/>
          <w:szCs w:val="24"/>
        </w:rPr>
        <w:t xml:space="preserve"> the more lightly parameterized models tend to have better out of sample performance.  </w:t>
      </w:r>
      <w:r w:rsidR="005A76D4">
        <w:rPr>
          <w:rFonts w:ascii="Times New Roman" w:hAnsi="Times New Roman"/>
          <w:sz w:val="24"/>
          <w:szCs w:val="24"/>
        </w:rPr>
        <w:t xml:space="preserve">Furthermore, relative to the perfect foresight benchmark, the MS-VAR model </w:t>
      </w:r>
      <w:r w:rsidR="00CF6FCB">
        <w:rPr>
          <w:rFonts w:ascii="Times New Roman" w:hAnsi="Times New Roman"/>
          <w:sz w:val="24"/>
          <w:szCs w:val="24"/>
        </w:rPr>
        <w:t xml:space="preserve">was found to have </w:t>
      </w:r>
      <w:r w:rsidR="005A76D4">
        <w:rPr>
          <w:rFonts w:ascii="Times New Roman" w:hAnsi="Times New Roman"/>
          <w:sz w:val="24"/>
          <w:szCs w:val="24"/>
        </w:rPr>
        <w:t>produce</w:t>
      </w:r>
      <w:r w:rsidR="00CF6FCB">
        <w:rPr>
          <w:rFonts w:ascii="Times New Roman" w:hAnsi="Times New Roman"/>
          <w:sz w:val="24"/>
          <w:szCs w:val="24"/>
        </w:rPr>
        <w:t>d</w:t>
      </w:r>
      <w:r w:rsidR="005A76D4">
        <w:rPr>
          <w:rFonts w:ascii="Times New Roman" w:hAnsi="Times New Roman"/>
          <w:sz w:val="24"/>
          <w:szCs w:val="24"/>
        </w:rPr>
        <w:t xml:space="preserve"> a lower level of variation in the model performance statistics across loss predictive model specif</w:t>
      </w:r>
      <w:r w:rsidR="005A76D4">
        <w:rPr>
          <w:rFonts w:ascii="Times New Roman" w:hAnsi="Times New Roman"/>
          <w:sz w:val="24"/>
          <w:szCs w:val="24"/>
        </w:rPr>
        <w:t>i</w:t>
      </w:r>
      <w:r w:rsidR="005A76D4">
        <w:rPr>
          <w:rFonts w:ascii="Times New Roman" w:hAnsi="Times New Roman"/>
          <w:sz w:val="24"/>
          <w:szCs w:val="24"/>
        </w:rPr>
        <w:t>cations.</w:t>
      </w:r>
    </w:p>
    <w:p w:rsidR="002C2D2E" w:rsidRPr="005B1DD1" w:rsidRDefault="002C2D2E" w:rsidP="005B1DD1">
      <w:pPr>
        <w:jc w:val="both"/>
        <w:rPr>
          <w:rFonts w:ascii="Times New Roman" w:hAnsi="Times New Roman"/>
          <w:sz w:val="24"/>
          <w:szCs w:val="24"/>
        </w:rPr>
      </w:pPr>
      <w:r>
        <w:rPr>
          <w:rFonts w:ascii="Times New Roman" w:hAnsi="Times New Roman" w:cs="Calibri"/>
          <w:color w:val="000000"/>
          <w:sz w:val="24"/>
          <w:szCs w:val="24"/>
        </w:rPr>
        <w:t xml:space="preserve">As a second </w:t>
      </w:r>
      <w:r w:rsidR="00895F07">
        <w:rPr>
          <w:rFonts w:ascii="Times New Roman" w:hAnsi="Times New Roman" w:cs="Calibri"/>
          <w:color w:val="000000"/>
          <w:sz w:val="24"/>
          <w:szCs w:val="24"/>
        </w:rPr>
        <w:t xml:space="preserve">and related </w:t>
      </w:r>
      <w:r>
        <w:rPr>
          <w:rFonts w:ascii="Times New Roman" w:hAnsi="Times New Roman" w:cs="Calibri"/>
          <w:color w:val="000000"/>
          <w:sz w:val="24"/>
          <w:szCs w:val="24"/>
        </w:rPr>
        <w:t>exercise, we quantified the level of model risk in this hypothetical CECL exercise, us</w:t>
      </w:r>
      <w:r w:rsidR="00895F07">
        <w:rPr>
          <w:rFonts w:ascii="Times New Roman" w:hAnsi="Times New Roman" w:cs="Calibri"/>
          <w:color w:val="000000"/>
          <w:sz w:val="24"/>
          <w:szCs w:val="24"/>
        </w:rPr>
        <w:t>ing</w:t>
      </w:r>
      <w:r>
        <w:rPr>
          <w:rFonts w:ascii="Times New Roman" w:hAnsi="Times New Roman" w:cs="Calibri"/>
          <w:color w:val="000000"/>
          <w:sz w:val="24"/>
          <w:szCs w:val="24"/>
        </w:rPr>
        <w:t xml:space="preserve"> the principle of </w:t>
      </w:r>
      <w:r w:rsidRPr="00170247">
        <w:rPr>
          <w:rFonts w:ascii="Times New Roman" w:hAnsi="Times New Roman" w:cs="Calibri"/>
          <w:i/>
          <w:color w:val="000000"/>
          <w:sz w:val="24"/>
          <w:szCs w:val="24"/>
        </w:rPr>
        <w:t>relative entropy</w:t>
      </w:r>
      <w:r>
        <w:rPr>
          <w:rFonts w:ascii="Times New Roman" w:hAnsi="Times New Roman" w:cs="Calibri"/>
          <w:color w:val="000000"/>
          <w:sz w:val="24"/>
          <w:szCs w:val="24"/>
        </w:rPr>
        <w:t>.  We found that more elaborate modeling choices, such as more highly parametricized models</w:t>
      </w:r>
      <w:r w:rsidR="00895F07">
        <w:rPr>
          <w:rFonts w:ascii="Times New Roman" w:hAnsi="Times New Roman" w:cs="Calibri"/>
          <w:color w:val="000000"/>
          <w:sz w:val="24"/>
          <w:szCs w:val="24"/>
        </w:rPr>
        <w:t xml:space="preserve"> in terms of more macroeconomic </w:t>
      </w:r>
      <w:r w:rsidR="00FF4AA0">
        <w:rPr>
          <w:rFonts w:ascii="Times New Roman" w:hAnsi="Times New Roman" w:cs="Calibri"/>
          <w:color w:val="000000"/>
          <w:sz w:val="24"/>
          <w:szCs w:val="24"/>
        </w:rPr>
        <w:t>or idiosyncratic covariates</w:t>
      </w:r>
      <w:r>
        <w:rPr>
          <w:rFonts w:ascii="Times New Roman" w:hAnsi="Times New Roman" w:cs="Calibri"/>
          <w:color w:val="000000"/>
          <w:sz w:val="24"/>
          <w:szCs w:val="24"/>
        </w:rPr>
        <w:t xml:space="preserve">, tend to introduce more measured model risk.  </w:t>
      </w:r>
      <w:r w:rsidR="00FF4AA0">
        <w:rPr>
          <w:rFonts w:ascii="Times New Roman" w:hAnsi="Times New Roman" w:cs="Calibri"/>
          <w:color w:val="000000"/>
          <w:sz w:val="24"/>
          <w:szCs w:val="24"/>
        </w:rPr>
        <w:t>However, the more highly parametr</w:t>
      </w:r>
      <w:r w:rsidR="00FF4AA0">
        <w:rPr>
          <w:rFonts w:ascii="Times New Roman" w:hAnsi="Times New Roman" w:cs="Calibri"/>
          <w:color w:val="000000"/>
          <w:sz w:val="24"/>
          <w:szCs w:val="24"/>
        </w:rPr>
        <w:t>i</w:t>
      </w:r>
      <w:r w:rsidR="00FF4AA0">
        <w:rPr>
          <w:rFonts w:ascii="Times New Roman" w:hAnsi="Times New Roman" w:cs="Calibri"/>
          <w:color w:val="000000"/>
          <w:sz w:val="24"/>
          <w:szCs w:val="24"/>
        </w:rPr>
        <w:t>cized macroeconomic scenario generation framework that can acco</w:t>
      </w:r>
      <w:r w:rsidR="009A769A">
        <w:rPr>
          <w:rFonts w:ascii="Times New Roman" w:hAnsi="Times New Roman" w:cs="Calibri"/>
          <w:color w:val="000000"/>
          <w:sz w:val="24"/>
          <w:szCs w:val="24"/>
        </w:rPr>
        <w:t>m</w:t>
      </w:r>
      <w:r w:rsidR="00FF4AA0">
        <w:rPr>
          <w:rFonts w:ascii="Times New Roman" w:hAnsi="Times New Roman" w:cs="Calibri"/>
          <w:color w:val="000000"/>
          <w:sz w:val="24"/>
          <w:szCs w:val="24"/>
        </w:rPr>
        <w:t>modat</w:t>
      </w:r>
      <w:r w:rsidR="002C1EED">
        <w:rPr>
          <w:rFonts w:ascii="Times New Roman" w:hAnsi="Times New Roman" w:cs="Calibri"/>
          <w:color w:val="000000"/>
          <w:sz w:val="24"/>
          <w:szCs w:val="24"/>
        </w:rPr>
        <w:t>e</w:t>
      </w:r>
      <w:r w:rsidR="00FF4AA0">
        <w:rPr>
          <w:rFonts w:ascii="Times New Roman" w:hAnsi="Times New Roman" w:cs="Calibri"/>
          <w:color w:val="000000"/>
          <w:sz w:val="24"/>
          <w:szCs w:val="24"/>
        </w:rPr>
        <w:t xml:space="preserve"> heavy tails in the credit loss distribution (the MS-VAR model, which has separate parameters for normal and stressed conditions), tend</w:t>
      </w:r>
      <w:r w:rsidR="009006A4">
        <w:rPr>
          <w:rFonts w:ascii="Times New Roman" w:hAnsi="Times New Roman" w:cs="Calibri"/>
          <w:color w:val="000000"/>
          <w:sz w:val="24"/>
          <w:szCs w:val="24"/>
        </w:rPr>
        <w:t>s</w:t>
      </w:r>
      <w:r w:rsidR="00FF4AA0">
        <w:rPr>
          <w:rFonts w:ascii="Times New Roman" w:hAnsi="Times New Roman" w:cs="Calibri"/>
          <w:color w:val="000000"/>
          <w:sz w:val="24"/>
          <w:szCs w:val="24"/>
        </w:rPr>
        <w:t xml:space="preserve"> to introduce less measured model risk than Gaussian approaches (</w:t>
      </w:r>
      <w:r w:rsidR="002B00D5">
        <w:rPr>
          <w:rFonts w:ascii="Times New Roman" w:hAnsi="Times New Roman" w:cs="Calibri"/>
          <w:color w:val="000000"/>
          <w:sz w:val="24"/>
          <w:szCs w:val="24"/>
        </w:rPr>
        <w:t xml:space="preserve">Fed or VAR models).  </w:t>
      </w:r>
      <w:r>
        <w:rPr>
          <w:rFonts w:ascii="Times New Roman" w:hAnsi="Times New Roman" w:cs="Calibri"/>
          <w:color w:val="000000"/>
          <w:sz w:val="24"/>
          <w:szCs w:val="24"/>
        </w:rPr>
        <w:t xml:space="preserve">The implication is that </w:t>
      </w:r>
      <w:r w:rsidR="002B00D5">
        <w:rPr>
          <w:rFonts w:ascii="Times New Roman" w:hAnsi="Times New Roman" w:cs="Calibri"/>
          <w:color w:val="000000"/>
          <w:sz w:val="24"/>
          <w:szCs w:val="24"/>
        </w:rPr>
        <w:t xml:space="preserve">while </w:t>
      </w:r>
      <w:r>
        <w:rPr>
          <w:rFonts w:ascii="Times New Roman" w:hAnsi="Times New Roman" w:cs="Calibri"/>
          <w:color w:val="000000"/>
          <w:sz w:val="24"/>
          <w:szCs w:val="24"/>
        </w:rPr>
        <w:t xml:space="preserve">banks may wish to err on the side of more </w:t>
      </w:r>
      <w:r w:rsidR="002B00D5">
        <w:rPr>
          <w:rFonts w:ascii="Times New Roman" w:hAnsi="Times New Roman" w:cs="Calibri"/>
          <w:color w:val="000000"/>
          <w:sz w:val="24"/>
          <w:szCs w:val="24"/>
        </w:rPr>
        <w:t>pa</w:t>
      </w:r>
      <w:r w:rsidR="002B00D5">
        <w:rPr>
          <w:rFonts w:ascii="Times New Roman" w:hAnsi="Times New Roman" w:cs="Calibri"/>
          <w:color w:val="000000"/>
          <w:sz w:val="24"/>
          <w:szCs w:val="24"/>
        </w:rPr>
        <w:t>r</w:t>
      </w:r>
      <w:r w:rsidR="002B00D5">
        <w:rPr>
          <w:rFonts w:ascii="Times New Roman" w:hAnsi="Times New Roman" w:cs="Calibri"/>
          <w:color w:val="000000"/>
          <w:sz w:val="24"/>
          <w:szCs w:val="24"/>
        </w:rPr>
        <w:t xml:space="preserve">simonious </w:t>
      </w:r>
      <w:r>
        <w:rPr>
          <w:rFonts w:ascii="Times New Roman" w:hAnsi="Times New Roman" w:cs="Calibri"/>
          <w:color w:val="000000"/>
          <w:sz w:val="24"/>
          <w:szCs w:val="24"/>
        </w:rPr>
        <w:t>approaches in order to manage the increase model risk that the introduction of the CECL standard gives rise to</w:t>
      </w:r>
      <w:r w:rsidR="002B00D5">
        <w:rPr>
          <w:rFonts w:ascii="Times New Roman" w:hAnsi="Times New Roman" w:cs="Calibri"/>
          <w:color w:val="000000"/>
          <w:sz w:val="24"/>
          <w:szCs w:val="24"/>
        </w:rPr>
        <w:t>, they are advised to balance this against the need to model the non-normality in the credit loss distribution</w:t>
      </w:r>
      <w:r>
        <w:rPr>
          <w:rFonts w:ascii="Times New Roman" w:hAnsi="Times New Roman" w:cs="Calibri"/>
          <w:color w:val="000000"/>
          <w:sz w:val="24"/>
          <w:szCs w:val="24"/>
        </w:rPr>
        <w:t>.</w:t>
      </w:r>
    </w:p>
    <w:p w:rsidR="005A76D4" w:rsidRDefault="005A76D4" w:rsidP="005B1DD1">
      <w:pPr>
        <w:jc w:val="both"/>
        <w:rPr>
          <w:rFonts w:ascii="Times New Roman" w:hAnsi="Times New Roman" w:cs="Calibri"/>
          <w:color w:val="000000"/>
          <w:sz w:val="24"/>
          <w:szCs w:val="24"/>
        </w:rPr>
      </w:pPr>
      <w:r w:rsidRPr="005B1DD1">
        <w:rPr>
          <w:rFonts w:ascii="Times New Roman" w:hAnsi="Times New Roman"/>
          <w:sz w:val="24"/>
          <w:szCs w:val="24"/>
        </w:rPr>
        <w:t xml:space="preserve">The </w:t>
      </w:r>
      <w:r w:rsidR="003D5141">
        <w:rPr>
          <w:rFonts w:ascii="Times New Roman" w:hAnsi="Times New Roman"/>
          <w:sz w:val="24"/>
          <w:szCs w:val="24"/>
        </w:rPr>
        <w:t xml:space="preserve">policy </w:t>
      </w:r>
      <w:r w:rsidRPr="005B1DD1">
        <w:rPr>
          <w:rFonts w:ascii="Times New Roman" w:hAnsi="Times New Roman"/>
          <w:sz w:val="24"/>
          <w:szCs w:val="24"/>
        </w:rPr>
        <w:t xml:space="preserve">implication of this analysis </w:t>
      </w:r>
      <w:r w:rsidR="00CF6FCB" w:rsidRPr="005B1DD1">
        <w:rPr>
          <w:rFonts w:ascii="Times New Roman" w:hAnsi="Times New Roman"/>
          <w:sz w:val="24"/>
          <w:szCs w:val="24"/>
        </w:rPr>
        <w:t xml:space="preserve">is </w:t>
      </w:r>
      <w:r w:rsidRPr="005B1DD1">
        <w:rPr>
          <w:rFonts w:ascii="Times New Roman" w:hAnsi="Times New Roman"/>
          <w:sz w:val="24"/>
          <w:szCs w:val="24"/>
        </w:rPr>
        <w:t xml:space="preserve">that the volume of lending and the amount of regulatory capital </w:t>
      </w:r>
      <w:r>
        <w:rPr>
          <w:rFonts w:ascii="Times New Roman" w:hAnsi="Times New Roman" w:cs="Calibri"/>
          <w:color w:val="000000"/>
          <w:sz w:val="24"/>
          <w:szCs w:val="24"/>
        </w:rPr>
        <w:t>held may vary greatly across banks, even when it is the case that the respective loan por</w:t>
      </w:r>
      <w:r>
        <w:rPr>
          <w:rFonts w:ascii="Times New Roman" w:hAnsi="Times New Roman" w:cs="Calibri"/>
          <w:color w:val="000000"/>
          <w:sz w:val="24"/>
          <w:szCs w:val="24"/>
        </w:rPr>
        <w:t>t</w:t>
      </w:r>
      <w:r>
        <w:rPr>
          <w:rFonts w:ascii="Times New Roman" w:hAnsi="Times New Roman" w:cs="Calibri"/>
          <w:color w:val="000000"/>
          <w:sz w:val="24"/>
          <w:szCs w:val="24"/>
        </w:rPr>
        <w:t>folios have very similar risk profiles.  Another consequence of this divergence of expected loan loss estimates under the CECL standard is that supervisors and other market participant stak</w:t>
      </w:r>
      <w:r>
        <w:rPr>
          <w:rFonts w:ascii="Times New Roman" w:hAnsi="Times New Roman" w:cs="Calibri"/>
          <w:color w:val="000000"/>
          <w:sz w:val="24"/>
          <w:szCs w:val="24"/>
        </w:rPr>
        <w:t>e</w:t>
      </w:r>
      <w:r>
        <w:rPr>
          <w:rFonts w:ascii="Times New Roman" w:hAnsi="Times New Roman" w:cs="Calibri"/>
          <w:color w:val="000000"/>
          <w:sz w:val="24"/>
          <w:szCs w:val="24"/>
        </w:rPr>
        <w:t>holders may face challenges in comparing banks at a point of time or over time.  There are also implications for the influence of m</w:t>
      </w:r>
      <w:r w:rsidRPr="00530876">
        <w:rPr>
          <w:rFonts w:ascii="Times New Roman" w:hAnsi="Times New Roman" w:cs="Calibri"/>
          <w:color w:val="000000"/>
          <w:sz w:val="24"/>
          <w:szCs w:val="24"/>
        </w:rPr>
        <w:t xml:space="preserve">odeling </w:t>
      </w:r>
      <w:r>
        <w:rPr>
          <w:rFonts w:ascii="Times New Roman" w:hAnsi="Times New Roman" w:cs="Calibri"/>
          <w:color w:val="000000"/>
          <w:sz w:val="24"/>
          <w:szCs w:val="24"/>
        </w:rPr>
        <w:t xml:space="preserve">choices in specification and scenario projections on the degree of model risk introduced by the CECL standard.  </w:t>
      </w:r>
    </w:p>
    <w:p w:rsidR="00167769" w:rsidRDefault="00167769" w:rsidP="004F4E8F">
      <w:pPr>
        <w:spacing w:after="0" w:line="300" w:lineRule="atLeast"/>
        <w:jc w:val="both"/>
        <w:rPr>
          <w:rFonts w:ascii="Times New Roman" w:hAnsi="Times New Roman"/>
          <w:sz w:val="24"/>
          <w:szCs w:val="24"/>
        </w:rPr>
      </w:pPr>
      <w:r>
        <w:rPr>
          <w:rFonts w:ascii="Times New Roman" w:hAnsi="Times New Roman"/>
          <w:sz w:val="24"/>
          <w:szCs w:val="24"/>
        </w:rPr>
        <w:t>There are several directions in which this line of research could be extended:</w:t>
      </w:r>
    </w:p>
    <w:p w:rsidR="00167769" w:rsidRDefault="00167769"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pacing w:val="8"/>
          <w:sz w:val="24"/>
          <w:szCs w:val="24"/>
        </w:rPr>
        <w:t>More granular classes of credit risk models, such as ratings migration or PD/LGD score</w:t>
      </w:r>
      <w:r>
        <w:rPr>
          <w:rFonts w:ascii="Times New Roman" w:hAnsi="Times New Roman"/>
          <w:sz w:val="24"/>
          <w:szCs w:val="24"/>
        </w:rPr>
        <w:t>card/regression</w:t>
      </w:r>
    </w:p>
    <w:p w:rsidR="00167769" w:rsidRDefault="00167769"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Alternative data-sets, for example bank or loan level data</w:t>
      </w:r>
    </w:p>
    <w:p w:rsidR="00167769" w:rsidRDefault="00167769"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More general classes of regression model, such as logistic, semi-parametric or machine learning / artificial intelligence techniques (Jacobs, 2018)</w:t>
      </w:r>
    </w:p>
    <w:p w:rsidR="00167769" w:rsidRDefault="00167769" w:rsidP="009139D6">
      <w:pPr>
        <w:pStyle w:val="ListParagraph"/>
        <w:numPr>
          <w:ilvl w:val="0"/>
          <w:numId w:val="2"/>
        </w:numPr>
        <w:spacing w:after="0" w:line="300" w:lineRule="atLeast"/>
        <w:ind w:left="714" w:hanging="357"/>
        <w:jc w:val="both"/>
        <w:rPr>
          <w:rFonts w:ascii="Times New Roman" w:hAnsi="Times New Roman"/>
          <w:sz w:val="24"/>
          <w:szCs w:val="24"/>
        </w:rPr>
      </w:pPr>
      <w:r>
        <w:rPr>
          <w:rFonts w:ascii="Times New Roman" w:hAnsi="Times New Roman"/>
          <w:sz w:val="24"/>
          <w:szCs w:val="24"/>
        </w:rPr>
        <w:t>Applications related to stress testing, such as regulatory or economic capital</w:t>
      </w:r>
    </w:p>
    <w:p w:rsidR="00F3682A" w:rsidRDefault="00F3682A">
      <w:pPr>
        <w:rPr>
          <w:rFonts w:ascii="Times New Roman" w:hAnsi="Times New Roman"/>
          <w:b/>
          <w:sz w:val="28"/>
          <w:szCs w:val="28"/>
        </w:rPr>
      </w:pPr>
      <w:r>
        <w:rPr>
          <w:rFonts w:ascii="Times New Roman" w:hAnsi="Times New Roman"/>
          <w:b/>
          <w:sz w:val="28"/>
          <w:szCs w:val="28"/>
        </w:rPr>
        <w:br w:type="page"/>
      </w:r>
    </w:p>
    <w:p w:rsidR="00097B09" w:rsidRPr="00111FA4" w:rsidRDefault="0090183F" w:rsidP="00E7003C">
      <w:pPr>
        <w:spacing w:line="240" w:lineRule="auto"/>
        <w:contextualSpacing/>
        <w:jc w:val="both"/>
        <w:rPr>
          <w:rFonts w:ascii="Times New Roman" w:hAnsi="Times New Roman"/>
          <w:b/>
          <w:sz w:val="28"/>
          <w:szCs w:val="28"/>
        </w:rPr>
      </w:pPr>
      <w:r>
        <w:rPr>
          <w:rFonts w:ascii="Times New Roman" w:hAnsi="Times New Roman"/>
          <w:b/>
          <w:sz w:val="28"/>
          <w:szCs w:val="28"/>
        </w:rPr>
        <w:lastRenderedPageBreak/>
        <w:t>8</w:t>
      </w:r>
      <w:r w:rsidR="00111FA4" w:rsidRPr="00111FA4">
        <w:rPr>
          <w:rFonts w:ascii="Times New Roman" w:hAnsi="Times New Roman"/>
          <w:b/>
          <w:sz w:val="28"/>
          <w:szCs w:val="28"/>
        </w:rPr>
        <w:tab/>
      </w:r>
      <w:r w:rsidR="00097B09" w:rsidRPr="00111FA4">
        <w:rPr>
          <w:rFonts w:ascii="Times New Roman" w:hAnsi="Times New Roman"/>
          <w:b/>
          <w:sz w:val="28"/>
          <w:szCs w:val="28"/>
        </w:rPr>
        <w:t>R</w:t>
      </w:r>
      <w:r w:rsidR="00CC5433">
        <w:rPr>
          <w:rFonts w:ascii="Times New Roman" w:hAnsi="Times New Roman"/>
          <w:b/>
          <w:sz w:val="28"/>
          <w:szCs w:val="28"/>
        </w:rPr>
        <w:t>eference</w:t>
      </w:r>
      <w:r w:rsidR="00707FC1">
        <w:rPr>
          <w:rFonts w:ascii="Times New Roman" w:hAnsi="Times New Roman"/>
          <w:b/>
          <w:sz w:val="28"/>
          <w:szCs w:val="28"/>
        </w:rPr>
        <w:t>s</w:t>
      </w:r>
    </w:p>
    <w:p w:rsidR="00A86725" w:rsidRDefault="00A86725" w:rsidP="00DE62D1">
      <w:pPr>
        <w:spacing w:after="80" w:line="240" w:lineRule="auto"/>
        <w:ind w:left="480" w:hangingChars="200" w:hanging="480"/>
        <w:rPr>
          <w:rFonts w:ascii="Times New Roman" w:hAnsi="Times New Roman"/>
          <w:sz w:val="24"/>
          <w:szCs w:val="24"/>
        </w:rPr>
      </w:pPr>
    </w:p>
    <w:p w:rsidR="00664CD7" w:rsidRDefault="00664CD7" w:rsidP="00664CD7">
      <w:pPr>
        <w:spacing w:after="80" w:line="240" w:lineRule="auto"/>
        <w:ind w:left="480" w:hangingChars="200" w:hanging="480"/>
        <w:rPr>
          <w:rFonts w:ascii="Times New Roman" w:hAnsi="Times New Roman"/>
          <w:sz w:val="24"/>
          <w:szCs w:val="24"/>
        </w:rPr>
      </w:pPr>
      <w:r w:rsidRPr="0038365A">
        <w:rPr>
          <w:rFonts w:ascii="Times New Roman" w:hAnsi="Times New Roman"/>
          <w:sz w:val="24"/>
          <w:szCs w:val="24"/>
        </w:rPr>
        <w:t>Basel Committee on Banking Supervision (2006) ‘International Convergence of Capital Mea</w:t>
      </w:r>
      <w:r w:rsidRPr="0038365A">
        <w:rPr>
          <w:rFonts w:ascii="Times New Roman" w:hAnsi="Times New Roman"/>
          <w:sz w:val="24"/>
          <w:szCs w:val="24"/>
        </w:rPr>
        <w:t>s</w:t>
      </w:r>
      <w:r w:rsidRPr="0038365A">
        <w:rPr>
          <w:rFonts w:ascii="Times New Roman" w:hAnsi="Times New Roman"/>
          <w:sz w:val="24"/>
          <w:szCs w:val="24"/>
        </w:rPr>
        <w:t>urement and Capital Standards: A Revised Framework’, The Bank for International Settl</w:t>
      </w:r>
      <w:r w:rsidRPr="0038365A">
        <w:rPr>
          <w:rFonts w:ascii="Times New Roman" w:hAnsi="Times New Roman"/>
          <w:sz w:val="24"/>
          <w:szCs w:val="24"/>
        </w:rPr>
        <w:t>e</w:t>
      </w:r>
      <w:r w:rsidRPr="0038365A">
        <w:rPr>
          <w:rFonts w:ascii="Times New Roman" w:hAnsi="Times New Roman"/>
          <w:sz w:val="24"/>
          <w:szCs w:val="24"/>
        </w:rPr>
        <w:t>ments, Basel, Switzerland.</w:t>
      </w:r>
    </w:p>
    <w:p w:rsidR="00664CD7" w:rsidRDefault="00664CD7" w:rsidP="00664CD7">
      <w:pPr>
        <w:spacing w:after="80" w:line="240" w:lineRule="auto"/>
        <w:ind w:left="480" w:hangingChars="200" w:hanging="480"/>
        <w:rPr>
          <w:rFonts w:ascii="Times New Roman" w:hAnsi="Times New Roman"/>
          <w:sz w:val="24"/>
          <w:szCs w:val="24"/>
        </w:rPr>
      </w:pPr>
      <w:r w:rsidRPr="0038365A">
        <w:rPr>
          <w:rFonts w:ascii="Times New Roman" w:hAnsi="Times New Roman"/>
          <w:sz w:val="24"/>
          <w:szCs w:val="24"/>
        </w:rPr>
        <w:t xml:space="preserve">Basel Committee on Banking Supervision (2009) ‘Principles for Sound Stress Testing Practices and Supervision - Consultative Paper No. 155’, The Bank for International Settlements, Basel, Switzerland. </w:t>
      </w:r>
    </w:p>
    <w:p w:rsidR="00664CD7" w:rsidRDefault="00664CD7" w:rsidP="00664CD7">
      <w:pPr>
        <w:spacing w:after="80" w:line="240" w:lineRule="auto"/>
        <w:ind w:left="480" w:hangingChars="200" w:hanging="480"/>
        <w:rPr>
          <w:rFonts w:ascii="Times New Roman" w:hAnsi="Times New Roman"/>
          <w:sz w:val="24"/>
          <w:szCs w:val="24"/>
        </w:rPr>
      </w:pPr>
      <w:r w:rsidRPr="00B576DF">
        <w:rPr>
          <w:rFonts w:ascii="Times New Roman" w:hAnsi="Times New Roman"/>
          <w:sz w:val="24"/>
          <w:szCs w:val="24"/>
        </w:rPr>
        <w:t>Batchelor, R. A., &amp; Dua, P. (1990). Product differentiation in the economic forecasting industry.</w:t>
      </w:r>
      <w:r w:rsidRPr="00104E89">
        <w:rPr>
          <w:rFonts w:ascii="Times New Roman" w:hAnsi="Times New Roman"/>
          <w:i/>
          <w:sz w:val="24"/>
          <w:szCs w:val="24"/>
        </w:rPr>
        <w:t xml:space="preserve"> International Journal of Forecasting 6(3)</w:t>
      </w:r>
      <w:r w:rsidRPr="00B576DF">
        <w:rPr>
          <w:rFonts w:ascii="Times New Roman" w:hAnsi="Times New Roman"/>
          <w:sz w:val="24"/>
          <w:szCs w:val="24"/>
        </w:rPr>
        <w:t>, 311-316.</w:t>
      </w:r>
    </w:p>
    <w:p w:rsidR="00664CD7" w:rsidRDefault="00664CD7" w:rsidP="00664CD7">
      <w:pPr>
        <w:spacing w:after="80" w:line="240" w:lineRule="auto"/>
        <w:ind w:left="480" w:hangingChars="200" w:hanging="480"/>
        <w:rPr>
          <w:rFonts w:ascii="Times New Roman" w:hAnsi="Times New Roman"/>
          <w:sz w:val="24"/>
          <w:szCs w:val="24"/>
        </w:rPr>
      </w:pPr>
      <w:r w:rsidRPr="00A86725">
        <w:rPr>
          <w:rFonts w:ascii="Times New Roman" w:hAnsi="Times New Roman"/>
          <w:sz w:val="24"/>
          <w:szCs w:val="24"/>
        </w:rPr>
        <w:t>Bernanke, B. S.</w:t>
      </w:r>
      <w:r>
        <w:rPr>
          <w:rFonts w:ascii="Times New Roman" w:hAnsi="Times New Roman"/>
          <w:sz w:val="24"/>
          <w:szCs w:val="24"/>
        </w:rPr>
        <w:t>,</w:t>
      </w:r>
      <w:r w:rsidRPr="00A86725">
        <w:rPr>
          <w:rFonts w:ascii="Times New Roman" w:hAnsi="Times New Roman"/>
          <w:sz w:val="24"/>
          <w:szCs w:val="24"/>
        </w:rPr>
        <w:t xml:space="preserve"> </w:t>
      </w:r>
      <w:r>
        <w:rPr>
          <w:rFonts w:ascii="Times New Roman" w:hAnsi="Times New Roman"/>
          <w:sz w:val="24"/>
          <w:szCs w:val="24"/>
        </w:rPr>
        <w:t>&amp;</w:t>
      </w:r>
      <w:r w:rsidRPr="00A86725">
        <w:rPr>
          <w:rFonts w:ascii="Times New Roman" w:hAnsi="Times New Roman"/>
          <w:sz w:val="24"/>
          <w:szCs w:val="24"/>
        </w:rPr>
        <w:t xml:space="preserve"> Lown C. S. (1991)</w:t>
      </w:r>
      <w:r>
        <w:rPr>
          <w:rFonts w:ascii="Times New Roman" w:hAnsi="Times New Roman"/>
          <w:sz w:val="24"/>
          <w:szCs w:val="24"/>
        </w:rPr>
        <w:t>.</w:t>
      </w:r>
      <w:r w:rsidRPr="00A86725">
        <w:rPr>
          <w:rFonts w:ascii="Times New Roman" w:hAnsi="Times New Roman"/>
          <w:sz w:val="24"/>
          <w:szCs w:val="24"/>
        </w:rPr>
        <w:t xml:space="preserve"> The </w:t>
      </w:r>
      <w:r>
        <w:rPr>
          <w:rFonts w:ascii="Times New Roman" w:hAnsi="Times New Roman"/>
          <w:sz w:val="24"/>
          <w:szCs w:val="24"/>
        </w:rPr>
        <w:t>c</w:t>
      </w:r>
      <w:r w:rsidRPr="00A86725">
        <w:rPr>
          <w:rFonts w:ascii="Times New Roman" w:hAnsi="Times New Roman"/>
          <w:sz w:val="24"/>
          <w:szCs w:val="24"/>
        </w:rPr>
        <w:t xml:space="preserve">redit </w:t>
      </w:r>
      <w:r>
        <w:rPr>
          <w:rFonts w:ascii="Times New Roman" w:hAnsi="Times New Roman"/>
          <w:sz w:val="24"/>
          <w:szCs w:val="24"/>
        </w:rPr>
        <w:t>c</w:t>
      </w:r>
      <w:r w:rsidRPr="00A86725">
        <w:rPr>
          <w:rFonts w:ascii="Times New Roman" w:hAnsi="Times New Roman"/>
          <w:sz w:val="24"/>
          <w:szCs w:val="24"/>
        </w:rPr>
        <w:t>runch</w:t>
      </w:r>
      <w:r>
        <w:rPr>
          <w:rFonts w:ascii="Times New Roman" w:hAnsi="Times New Roman"/>
          <w:sz w:val="24"/>
          <w:szCs w:val="24"/>
        </w:rPr>
        <w:t>.</w:t>
      </w:r>
      <w:r w:rsidRPr="00A86725">
        <w:rPr>
          <w:rFonts w:ascii="Times New Roman" w:hAnsi="Times New Roman"/>
          <w:sz w:val="24"/>
          <w:szCs w:val="24"/>
        </w:rPr>
        <w:t xml:space="preserve"> </w:t>
      </w:r>
      <w:r w:rsidRPr="00A86725">
        <w:rPr>
          <w:rFonts w:ascii="Times New Roman" w:hAnsi="Times New Roman"/>
          <w:i/>
          <w:sz w:val="24"/>
          <w:szCs w:val="24"/>
        </w:rPr>
        <w:t>Brookings Papers on Economic Activity 2</w:t>
      </w:r>
      <w:r w:rsidRPr="00A86725">
        <w:rPr>
          <w:rFonts w:ascii="Times New Roman" w:hAnsi="Times New Roman"/>
          <w:sz w:val="24"/>
          <w:szCs w:val="24"/>
        </w:rPr>
        <w:t>, 205-247.</w:t>
      </w:r>
    </w:p>
    <w:p w:rsidR="00664CD7" w:rsidRDefault="00664CD7" w:rsidP="00664CD7">
      <w:pPr>
        <w:spacing w:after="80" w:line="240" w:lineRule="auto"/>
        <w:ind w:left="480" w:hangingChars="200" w:hanging="480"/>
        <w:rPr>
          <w:rFonts w:ascii="Times New Roman" w:hAnsi="Times New Roman"/>
          <w:sz w:val="24"/>
          <w:szCs w:val="24"/>
        </w:rPr>
      </w:pPr>
      <w:r w:rsidRPr="00D702B6">
        <w:rPr>
          <w:rFonts w:ascii="Times New Roman" w:hAnsi="Times New Roman"/>
          <w:sz w:val="24"/>
          <w:szCs w:val="24"/>
        </w:rPr>
        <w:t>Berrospide, J.</w:t>
      </w:r>
      <w:r>
        <w:rPr>
          <w:rFonts w:ascii="Times New Roman" w:hAnsi="Times New Roman"/>
          <w:sz w:val="24"/>
          <w:szCs w:val="24"/>
        </w:rPr>
        <w:t>, &amp;</w:t>
      </w:r>
      <w:r w:rsidRPr="00D702B6">
        <w:rPr>
          <w:rFonts w:ascii="Times New Roman" w:hAnsi="Times New Roman"/>
          <w:sz w:val="24"/>
          <w:szCs w:val="24"/>
        </w:rPr>
        <w:t xml:space="preserve"> Edge</w:t>
      </w:r>
      <w:r>
        <w:rPr>
          <w:rFonts w:ascii="Times New Roman" w:hAnsi="Times New Roman"/>
          <w:sz w:val="24"/>
          <w:szCs w:val="24"/>
        </w:rPr>
        <w:t>,</w:t>
      </w:r>
      <w:r w:rsidRPr="00D702B6">
        <w:rPr>
          <w:rFonts w:ascii="Times New Roman" w:hAnsi="Times New Roman"/>
          <w:sz w:val="24"/>
          <w:szCs w:val="24"/>
        </w:rPr>
        <w:t xml:space="preserve"> R. (2010)</w:t>
      </w:r>
      <w:r>
        <w:rPr>
          <w:rFonts w:ascii="Times New Roman" w:hAnsi="Times New Roman"/>
          <w:sz w:val="24"/>
          <w:szCs w:val="24"/>
        </w:rPr>
        <w:t>.</w:t>
      </w:r>
      <w:r w:rsidRPr="00D702B6">
        <w:rPr>
          <w:rFonts w:ascii="Times New Roman" w:hAnsi="Times New Roman"/>
          <w:sz w:val="24"/>
          <w:szCs w:val="24"/>
        </w:rPr>
        <w:t xml:space="preserve"> The effects of bank capital on lending: What do we know, what does it mean</w:t>
      </w:r>
      <w:r>
        <w:rPr>
          <w:rFonts w:ascii="Times New Roman" w:hAnsi="Times New Roman"/>
          <w:sz w:val="24"/>
          <w:szCs w:val="24"/>
        </w:rPr>
        <w:t>.</w:t>
      </w:r>
      <w:r w:rsidRPr="00D702B6">
        <w:rPr>
          <w:rFonts w:ascii="Times New Roman" w:hAnsi="Times New Roman"/>
          <w:sz w:val="24"/>
          <w:szCs w:val="24"/>
        </w:rPr>
        <w:t xml:space="preserve"> </w:t>
      </w:r>
      <w:r w:rsidRPr="00D702B6">
        <w:rPr>
          <w:rFonts w:ascii="Times New Roman" w:hAnsi="Times New Roman"/>
          <w:i/>
          <w:sz w:val="24"/>
          <w:szCs w:val="24"/>
        </w:rPr>
        <w:t>International Journal of Central banking 6(4)</w:t>
      </w:r>
      <w:r w:rsidRPr="00D702B6">
        <w:rPr>
          <w:rFonts w:ascii="Times New Roman" w:hAnsi="Times New Roman"/>
          <w:sz w:val="24"/>
          <w:szCs w:val="24"/>
        </w:rPr>
        <w:t>, 5-55.</w:t>
      </w:r>
    </w:p>
    <w:p w:rsidR="00664CD7" w:rsidRDefault="00664CD7" w:rsidP="00664CD7">
      <w:pPr>
        <w:spacing w:after="80" w:line="240" w:lineRule="auto"/>
        <w:ind w:left="480" w:hangingChars="200" w:hanging="480"/>
        <w:rPr>
          <w:rFonts w:ascii="Times New Roman" w:hAnsi="Times New Roman"/>
          <w:sz w:val="24"/>
          <w:szCs w:val="24"/>
        </w:rPr>
      </w:pPr>
      <w:r>
        <w:rPr>
          <w:rFonts w:ascii="Times New Roman" w:hAnsi="Times New Roman"/>
          <w:sz w:val="24"/>
          <w:szCs w:val="24"/>
        </w:rPr>
        <w:t xml:space="preserve">Box, G., &amp; Jenkins, G. (1970). </w:t>
      </w:r>
      <w:r>
        <w:rPr>
          <w:rFonts w:ascii="Times New Roman" w:hAnsi="Times New Roman"/>
          <w:i/>
          <w:sz w:val="24"/>
          <w:szCs w:val="24"/>
        </w:rPr>
        <w:t>Times series analysis: forecasting and control</w:t>
      </w:r>
      <w:r>
        <w:rPr>
          <w:rFonts w:ascii="Times New Roman" w:hAnsi="Times New Roman"/>
          <w:sz w:val="24"/>
          <w:szCs w:val="24"/>
        </w:rPr>
        <w:t xml:space="preserve">. San </w:t>
      </w:r>
      <w:proofErr w:type="spellStart"/>
      <w:r>
        <w:rPr>
          <w:rFonts w:ascii="Times New Roman" w:hAnsi="Times New Roman"/>
          <w:sz w:val="24"/>
          <w:szCs w:val="24"/>
        </w:rPr>
        <w:t>Francisco,CA</w:t>
      </w:r>
      <w:proofErr w:type="spellEnd"/>
      <w:r>
        <w:rPr>
          <w:rFonts w:ascii="Times New Roman" w:hAnsi="Times New Roman"/>
          <w:sz w:val="24"/>
          <w:szCs w:val="24"/>
        </w:rPr>
        <w:t xml:space="preserve">: Holden-Day. </w:t>
      </w:r>
    </w:p>
    <w:p w:rsidR="00664CD7" w:rsidRDefault="00664CD7" w:rsidP="00664CD7">
      <w:pPr>
        <w:spacing w:after="80" w:line="240" w:lineRule="auto"/>
        <w:ind w:left="480" w:hangingChars="200" w:hanging="480"/>
        <w:rPr>
          <w:rFonts w:ascii="Times New Roman" w:hAnsi="Times New Roman"/>
          <w:sz w:val="24"/>
          <w:szCs w:val="24"/>
        </w:rPr>
      </w:pPr>
      <w:r w:rsidRPr="0038365A">
        <w:rPr>
          <w:rFonts w:ascii="Times New Roman" w:hAnsi="Times New Roman"/>
          <w:sz w:val="24"/>
          <w:szCs w:val="24"/>
        </w:rPr>
        <w:t>Board of Governors of the Federal Reserve System. (2011)</w:t>
      </w:r>
      <w:r>
        <w:rPr>
          <w:rFonts w:ascii="Times New Roman" w:hAnsi="Times New Roman"/>
          <w:sz w:val="24"/>
          <w:szCs w:val="24"/>
        </w:rPr>
        <w:t>.</w:t>
      </w:r>
      <w:r w:rsidRPr="0038365A">
        <w:rPr>
          <w:rFonts w:ascii="Times New Roman" w:hAnsi="Times New Roman"/>
          <w:sz w:val="24"/>
          <w:szCs w:val="24"/>
        </w:rPr>
        <w:t xml:space="preserve"> ‘Supervisory Guidance on Model Risk Management’, Supervisory Letter 11-7, Washington, D.C., April 4th. </w:t>
      </w:r>
    </w:p>
    <w:p w:rsidR="00664CD7" w:rsidRDefault="00664CD7" w:rsidP="00664CD7">
      <w:pPr>
        <w:spacing w:after="80" w:line="240" w:lineRule="auto"/>
        <w:ind w:left="480" w:hangingChars="200" w:hanging="480"/>
        <w:rPr>
          <w:rFonts w:ascii="Times New Roman" w:hAnsi="Times New Roman"/>
          <w:sz w:val="24"/>
          <w:szCs w:val="24"/>
        </w:rPr>
      </w:pPr>
      <w:r>
        <w:rPr>
          <w:rFonts w:ascii="Times New Roman" w:hAnsi="Times New Roman"/>
          <w:sz w:val="24"/>
          <w:szCs w:val="24"/>
        </w:rPr>
        <w:t xml:space="preserve">Brockwell, P.J., &amp; Davis, R.A. (1991). </w:t>
      </w:r>
      <w:r>
        <w:rPr>
          <w:rFonts w:ascii="Times New Roman" w:hAnsi="Times New Roman"/>
          <w:i/>
          <w:sz w:val="24"/>
          <w:szCs w:val="24"/>
        </w:rPr>
        <w:t>Time series: theory and methods.</w:t>
      </w:r>
      <w:r>
        <w:rPr>
          <w:rFonts w:ascii="Times New Roman" w:hAnsi="Times New Roman"/>
          <w:sz w:val="24"/>
          <w:szCs w:val="24"/>
        </w:rPr>
        <w:t xml:space="preserve"> New York, N.Y.: Springer-Verlag. </w:t>
      </w:r>
    </w:p>
    <w:p w:rsidR="00664CD7" w:rsidRDefault="00664CD7" w:rsidP="00664CD7">
      <w:pPr>
        <w:spacing w:after="80" w:line="240" w:lineRule="auto"/>
        <w:ind w:left="480" w:hangingChars="200" w:hanging="480"/>
        <w:rPr>
          <w:rFonts w:ascii="Times New Roman" w:hAnsi="Times New Roman"/>
          <w:sz w:val="24"/>
          <w:szCs w:val="24"/>
        </w:rPr>
      </w:pPr>
      <w:r w:rsidRPr="00CC6986">
        <w:rPr>
          <w:rFonts w:ascii="Times New Roman" w:hAnsi="Times New Roman"/>
          <w:sz w:val="24"/>
          <w:szCs w:val="24"/>
        </w:rPr>
        <w:t>Carlson, M., Shan, H.</w:t>
      </w:r>
      <w:r>
        <w:rPr>
          <w:rFonts w:ascii="Times New Roman" w:hAnsi="Times New Roman"/>
          <w:sz w:val="24"/>
          <w:szCs w:val="24"/>
        </w:rPr>
        <w:t>, &amp;</w:t>
      </w:r>
      <w:r w:rsidRPr="00CC6986">
        <w:rPr>
          <w:rFonts w:ascii="Times New Roman" w:hAnsi="Times New Roman"/>
          <w:sz w:val="24"/>
          <w:szCs w:val="24"/>
        </w:rPr>
        <w:t xml:space="preserve"> Warusawitharana</w:t>
      </w:r>
      <w:r>
        <w:rPr>
          <w:rFonts w:ascii="Times New Roman" w:hAnsi="Times New Roman"/>
          <w:sz w:val="24"/>
          <w:szCs w:val="24"/>
        </w:rPr>
        <w:t>,</w:t>
      </w:r>
      <w:r w:rsidRPr="00CC6986">
        <w:rPr>
          <w:rFonts w:ascii="Times New Roman" w:hAnsi="Times New Roman"/>
          <w:sz w:val="24"/>
          <w:szCs w:val="24"/>
        </w:rPr>
        <w:t xml:space="preserve"> M. (2013)</w:t>
      </w:r>
      <w:r>
        <w:rPr>
          <w:rFonts w:ascii="Times New Roman" w:hAnsi="Times New Roman"/>
          <w:sz w:val="24"/>
          <w:szCs w:val="24"/>
        </w:rPr>
        <w:t>.</w:t>
      </w:r>
      <w:r w:rsidRPr="00CC6986">
        <w:rPr>
          <w:rFonts w:ascii="Times New Roman" w:hAnsi="Times New Roman"/>
          <w:sz w:val="24"/>
          <w:szCs w:val="24"/>
        </w:rPr>
        <w:t xml:space="preserve"> Capital ratios and bank lending: A matched bank approach, </w:t>
      </w:r>
      <w:r w:rsidRPr="00CC6986">
        <w:rPr>
          <w:rFonts w:ascii="Times New Roman" w:hAnsi="Times New Roman"/>
          <w:i/>
          <w:sz w:val="24"/>
          <w:szCs w:val="24"/>
        </w:rPr>
        <w:t>Journal of Financial Intermediation 22</w:t>
      </w:r>
      <w:r w:rsidRPr="00CC6986">
        <w:rPr>
          <w:rFonts w:ascii="Times New Roman" w:hAnsi="Times New Roman"/>
          <w:sz w:val="24"/>
          <w:szCs w:val="24"/>
        </w:rPr>
        <w:t>, 663-687</w:t>
      </w:r>
      <w:r>
        <w:rPr>
          <w:rFonts w:ascii="Times New Roman" w:hAnsi="Times New Roman"/>
          <w:sz w:val="24"/>
          <w:szCs w:val="24"/>
        </w:rPr>
        <w:t>.</w:t>
      </w:r>
    </w:p>
    <w:p w:rsidR="00664CD7" w:rsidRDefault="00664CD7" w:rsidP="00664CD7">
      <w:pPr>
        <w:spacing w:after="80" w:line="240" w:lineRule="auto"/>
        <w:ind w:left="440" w:hangingChars="200" w:hanging="440"/>
        <w:rPr>
          <w:rFonts w:ascii="Times New Roman" w:hAnsi="Times New Roman"/>
          <w:sz w:val="24"/>
          <w:szCs w:val="24"/>
        </w:rPr>
      </w:pPr>
      <w:r>
        <w:rPr>
          <w:rFonts w:ascii="Times New Roman" w:hAnsi="Times New Roman"/>
        </w:rPr>
        <w:t>Chae, S. Sarama, R. Vocjtech, C., &amp;.Wang, J. (2018). T</w:t>
      </w:r>
      <w:r w:rsidRPr="0032395C">
        <w:rPr>
          <w:rFonts w:ascii="Times New Roman" w:hAnsi="Times New Roman"/>
        </w:rPr>
        <w:t xml:space="preserve">he </w:t>
      </w:r>
      <w:r>
        <w:rPr>
          <w:rFonts w:ascii="Times New Roman" w:hAnsi="Times New Roman"/>
        </w:rPr>
        <w:t>i</w:t>
      </w:r>
      <w:r w:rsidRPr="0032395C">
        <w:rPr>
          <w:rFonts w:ascii="Times New Roman" w:hAnsi="Times New Roman"/>
        </w:rPr>
        <w:t xml:space="preserve">mpact of the </w:t>
      </w:r>
      <w:r>
        <w:rPr>
          <w:rFonts w:ascii="Times New Roman" w:hAnsi="Times New Roman"/>
        </w:rPr>
        <w:t>c</w:t>
      </w:r>
      <w:r w:rsidRPr="0032395C">
        <w:rPr>
          <w:rFonts w:ascii="Times New Roman" w:hAnsi="Times New Roman"/>
        </w:rPr>
        <w:t xml:space="preserve">urrent </w:t>
      </w:r>
      <w:r>
        <w:rPr>
          <w:rFonts w:ascii="Times New Roman" w:hAnsi="Times New Roman"/>
        </w:rPr>
        <w:t>e</w:t>
      </w:r>
      <w:r w:rsidRPr="0032395C">
        <w:rPr>
          <w:rFonts w:ascii="Times New Roman" w:hAnsi="Times New Roman"/>
        </w:rPr>
        <w:t xml:space="preserve">xpected </w:t>
      </w:r>
      <w:r>
        <w:rPr>
          <w:rFonts w:ascii="Times New Roman" w:hAnsi="Times New Roman"/>
        </w:rPr>
        <w:t>c</w:t>
      </w:r>
      <w:r w:rsidRPr="0032395C">
        <w:rPr>
          <w:rFonts w:ascii="Times New Roman" w:hAnsi="Times New Roman"/>
        </w:rPr>
        <w:t xml:space="preserve">redit </w:t>
      </w:r>
      <w:r>
        <w:rPr>
          <w:rFonts w:ascii="Times New Roman" w:hAnsi="Times New Roman"/>
        </w:rPr>
        <w:t>l</w:t>
      </w:r>
      <w:r w:rsidRPr="0032395C">
        <w:rPr>
          <w:rFonts w:ascii="Times New Roman" w:hAnsi="Times New Roman"/>
        </w:rPr>
        <w:t xml:space="preserve">oss </w:t>
      </w:r>
      <w:r>
        <w:rPr>
          <w:rFonts w:ascii="Times New Roman" w:hAnsi="Times New Roman"/>
        </w:rPr>
        <w:t>s</w:t>
      </w:r>
      <w:r w:rsidRPr="0032395C">
        <w:rPr>
          <w:rFonts w:ascii="Times New Roman" w:hAnsi="Times New Roman"/>
        </w:rPr>
        <w:t xml:space="preserve">tandard (CECL) on the </w:t>
      </w:r>
      <w:r>
        <w:rPr>
          <w:rFonts w:ascii="Times New Roman" w:hAnsi="Times New Roman"/>
        </w:rPr>
        <w:t>t</w:t>
      </w:r>
      <w:r w:rsidRPr="0032395C">
        <w:rPr>
          <w:rFonts w:ascii="Times New Roman" w:hAnsi="Times New Roman"/>
        </w:rPr>
        <w:t xml:space="preserve">iming and </w:t>
      </w:r>
      <w:r>
        <w:rPr>
          <w:rFonts w:ascii="Times New Roman" w:hAnsi="Times New Roman"/>
        </w:rPr>
        <w:t>c</w:t>
      </w:r>
      <w:r w:rsidRPr="0032395C">
        <w:rPr>
          <w:rFonts w:ascii="Times New Roman" w:hAnsi="Times New Roman"/>
        </w:rPr>
        <w:t xml:space="preserve">omparability of </w:t>
      </w:r>
      <w:r>
        <w:rPr>
          <w:rFonts w:ascii="Times New Roman" w:hAnsi="Times New Roman"/>
        </w:rPr>
        <w:t>r</w:t>
      </w:r>
      <w:r w:rsidRPr="0032395C">
        <w:rPr>
          <w:rFonts w:ascii="Times New Roman" w:hAnsi="Times New Roman"/>
        </w:rPr>
        <w:t>eserves</w:t>
      </w:r>
      <w:r>
        <w:rPr>
          <w:rFonts w:ascii="Times New Roman" w:hAnsi="Times New Roman"/>
        </w:rPr>
        <w:t xml:space="preserve">, </w:t>
      </w:r>
      <w:r w:rsidRPr="00C46D9E">
        <w:rPr>
          <w:rFonts w:ascii="Times New Roman" w:hAnsi="Times New Roman"/>
          <w:i/>
        </w:rPr>
        <w:t>Finance and Economics Discussion Series 2018-020</w:t>
      </w:r>
      <w:r>
        <w:rPr>
          <w:rFonts w:ascii="Times New Roman" w:hAnsi="Times New Roman"/>
        </w:rPr>
        <w:t>.</w:t>
      </w:r>
    </w:p>
    <w:p w:rsidR="00664CD7" w:rsidRDefault="00664CD7" w:rsidP="00664CD7">
      <w:pPr>
        <w:spacing w:after="80" w:line="240" w:lineRule="auto"/>
        <w:ind w:left="480" w:hangingChars="200" w:hanging="480"/>
        <w:rPr>
          <w:rFonts w:ascii="Times New Roman" w:hAnsi="Times New Roman"/>
          <w:sz w:val="24"/>
          <w:szCs w:val="24"/>
        </w:rPr>
      </w:pPr>
      <w:r>
        <w:rPr>
          <w:rFonts w:ascii="Times New Roman" w:hAnsi="Times New Roman"/>
          <w:sz w:val="24"/>
          <w:szCs w:val="24"/>
        </w:rPr>
        <w:t xml:space="preserve">Commandeur, J. J. F., &amp; Koopman, S.J. (2007). </w:t>
      </w:r>
      <w:r>
        <w:rPr>
          <w:rFonts w:ascii="Times New Roman" w:hAnsi="Times New Roman"/>
          <w:i/>
          <w:sz w:val="24"/>
          <w:szCs w:val="24"/>
        </w:rPr>
        <w:t>Introduction to state space time series analysis</w:t>
      </w:r>
      <w:r>
        <w:rPr>
          <w:rFonts w:ascii="Times New Roman" w:hAnsi="Times New Roman"/>
          <w:sz w:val="24"/>
          <w:szCs w:val="24"/>
        </w:rPr>
        <w:t xml:space="preserve">. New York, N.Y: Oxford University Press. </w:t>
      </w:r>
    </w:p>
    <w:p w:rsidR="00664CD7" w:rsidRDefault="00664CD7" w:rsidP="00664CD7">
      <w:pPr>
        <w:spacing w:after="80" w:line="240" w:lineRule="auto"/>
        <w:ind w:left="480" w:hangingChars="200" w:hanging="480"/>
        <w:rPr>
          <w:rFonts w:ascii="Times New Roman" w:hAnsi="Times New Roman"/>
          <w:sz w:val="24"/>
          <w:szCs w:val="24"/>
        </w:rPr>
      </w:pPr>
      <w:r w:rsidRPr="006A29A5">
        <w:rPr>
          <w:rFonts w:ascii="Times New Roman" w:hAnsi="Times New Roman"/>
          <w:sz w:val="24"/>
          <w:szCs w:val="24"/>
        </w:rPr>
        <w:t xml:space="preserve">Cornett, M., McNutt, J., Strahan, P., </w:t>
      </w:r>
      <w:r>
        <w:rPr>
          <w:rFonts w:ascii="Times New Roman" w:hAnsi="Times New Roman"/>
          <w:sz w:val="24"/>
          <w:szCs w:val="24"/>
        </w:rPr>
        <w:t xml:space="preserve">&amp; </w:t>
      </w:r>
      <w:r w:rsidRPr="006A29A5">
        <w:rPr>
          <w:rFonts w:ascii="Times New Roman" w:hAnsi="Times New Roman"/>
          <w:sz w:val="24"/>
          <w:szCs w:val="24"/>
        </w:rPr>
        <w:t>Tehranian, H. (2011)</w:t>
      </w:r>
      <w:r>
        <w:rPr>
          <w:rFonts w:ascii="Times New Roman" w:hAnsi="Times New Roman"/>
          <w:sz w:val="24"/>
          <w:szCs w:val="24"/>
        </w:rPr>
        <w:t>.</w:t>
      </w:r>
      <w:r w:rsidRPr="006A29A5">
        <w:rPr>
          <w:rFonts w:ascii="Times New Roman" w:hAnsi="Times New Roman"/>
          <w:sz w:val="24"/>
          <w:szCs w:val="24"/>
        </w:rPr>
        <w:t xml:space="preserve"> Liquidity </w:t>
      </w:r>
      <w:r>
        <w:rPr>
          <w:rFonts w:ascii="Times New Roman" w:hAnsi="Times New Roman"/>
          <w:sz w:val="24"/>
          <w:szCs w:val="24"/>
        </w:rPr>
        <w:t>r</w:t>
      </w:r>
      <w:r w:rsidRPr="006A29A5">
        <w:rPr>
          <w:rFonts w:ascii="Times New Roman" w:hAnsi="Times New Roman"/>
          <w:sz w:val="24"/>
          <w:szCs w:val="24"/>
        </w:rPr>
        <w:t xml:space="preserve">isk </w:t>
      </w:r>
      <w:r>
        <w:rPr>
          <w:rFonts w:ascii="Times New Roman" w:hAnsi="Times New Roman"/>
          <w:sz w:val="24"/>
          <w:szCs w:val="24"/>
        </w:rPr>
        <w:t>m</w:t>
      </w:r>
      <w:r w:rsidRPr="006A29A5">
        <w:rPr>
          <w:rFonts w:ascii="Times New Roman" w:hAnsi="Times New Roman"/>
          <w:sz w:val="24"/>
          <w:szCs w:val="24"/>
        </w:rPr>
        <w:t xml:space="preserve">anagement and </w:t>
      </w:r>
      <w:r>
        <w:rPr>
          <w:rFonts w:ascii="Times New Roman" w:hAnsi="Times New Roman"/>
          <w:sz w:val="24"/>
          <w:szCs w:val="24"/>
        </w:rPr>
        <w:t>c</w:t>
      </w:r>
      <w:r w:rsidRPr="006A29A5">
        <w:rPr>
          <w:rFonts w:ascii="Times New Roman" w:hAnsi="Times New Roman"/>
          <w:sz w:val="24"/>
          <w:szCs w:val="24"/>
        </w:rPr>
        <w:t xml:space="preserve">redit </w:t>
      </w:r>
      <w:r>
        <w:rPr>
          <w:rFonts w:ascii="Times New Roman" w:hAnsi="Times New Roman"/>
          <w:sz w:val="24"/>
          <w:szCs w:val="24"/>
        </w:rPr>
        <w:t>s</w:t>
      </w:r>
      <w:r w:rsidRPr="006A29A5">
        <w:rPr>
          <w:rFonts w:ascii="Times New Roman" w:hAnsi="Times New Roman"/>
          <w:sz w:val="24"/>
          <w:szCs w:val="24"/>
        </w:rPr>
        <w:t xml:space="preserve">upply in the </w:t>
      </w:r>
      <w:r>
        <w:rPr>
          <w:rFonts w:ascii="Times New Roman" w:hAnsi="Times New Roman"/>
          <w:sz w:val="24"/>
          <w:szCs w:val="24"/>
        </w:rPr>
        <w:t>f</w:t>
      </w:r>
      <w:r w:rsidRPr="006A29A5">
        <w:rPr>
          <w:rFonts w:ascii="Times New Roman" w:hAnsi="Times New Roman"/>
          <w:sz w:val="24"/>
          <w:szCs w:val="24"/>
        </w:rPr>
        <w:t xml:space="preserve">inancial </w:t>
      </w:r>
      <w:r>
        <w:rPr>
          <w:rFonts w:ascii="Times New Roman" w:hAnsi="Times New Roman"/>
          <w:sz w:val="24"/>
          <w:szCs w:val="24"/>
        </w:rPr>
        <w:t>c</w:t>
      </w:r>
      <w:r w:rsidRPr="006A29A5">
        <w:rPr>
          <w:rFonts w:ascii="Times New Roman" w:hAnsi="Times New Roman"/>
          <w:sz w:val="24"/>
          <w:szCs w:val="24"/>
        </w:rPr>
        <w:t xml:space="preserve">risis, </w:t>
      </w:r>
      <w:r w:rsidRPr="006A29A5">
        <w:rPr>
          <w:rFonts w:ascii="Times New Roman" w:hAnsi="Times New Roman"/>
          <w:i/>
          <w:sz w:val="24"/>
          <w:szCs w:val="24"/>
        </w:rPr>
        <w:t>Journal of Financial Economics 101</w:t>
      </w:r>
      <w:r w:rsidRPr="006A29A5">
        <w:rPr>
          <w:rFonts w:ascii="Times New Roman" w:hAnsi="Times New Roman"/>
          <w:sz w:val="24"/>
          <w:szCs w:val="24"/>
        </w:rPr>
        <w:t>, 297-312</w:t>
      </w:r>
      <w:r>
        <w:rPr>
          <w:rFonts w:ascii="Times New Roman" w:hAnsi="Times New Roman"/>
          <w:sz w:val="24"/>
          <w:szCs w:val="24"/>
        </w:rPr>
        <w:t>.</w:t>
      </w:r>
    </w:p>
    <w:p w:rsidR="00664CD7" w:rsidRDefault="00664CD7" w:rsidP="00664CD7">
      <w:pPr>
        <w:spacing w:after="80" w:line="240" w:lineRule="auto"/>
        <w:ind w:left="480" w:hangingChars="200" w:hanging="480"/>
        <w:rPr>
          <w:rFonts w:ascii="Times New Roman" w:hAnsi="Times New Roman"/>
          <w:sz w:val="24"/>
          <w:szCs w:val="24"/>
        </w:rPr>
      </w:pPr>
      <w:r w:rsidRPr="003D2D0E">
        <w:rPr>
          <w:rFonts w:ascii="Times New Roman" w:hAnsi="Times New Roman"/>
          <w:sz w:val="24"/>
          <w:szCs w:val="24"/>
        </w:rPr>
        <w:t xml:space="preserve">Deloitte. (2017). CECL </w:t>
      </w:r>
      <w:r>
        <w:rPr>
          <w:rFonts w:ascii="Times New Roman" w:hAnsi="Times New Roman"/>
          <w:sz w:val="24"/>
          <w:szCs w:val="24"/>
        </w:rPr>
        <w:t>i</w:t>
      </w:r>
      <w:r w:rsidRPr="003D2D0E">
        <w:rPr>
          <w:rFonts w:ascii="Times New Roman" w:hAnsi="Times New Roman"/>
          <w:sz w:val="24"/>
          <w:szCs w:val="24"/>
        </w:rPr>
        <w:t xml:space="preserve">mplementation </w:t>
      </w:r>
      <w:r>
        <w:rPr>
          <w:rFonts w:ascii="Times New Roman" w:hAnsi="Times New Roman"/>
          <w:sz w:val="24"/>
          <w:szCs w:val="24"/>
        </w:rPr>
        <w:t>i</w:t>
      </w:r>
      <w:r w:rsidRPr="003D2D0E">
        <w:rPr>
          <w:rFonts w:ascii="Times New Roman" w:hAnsi="Times New Roman"/>
          <w:sz w:val="24"/>
          <w:szCs w:val="24"/>
        </w:rPr>
        <w:t>nsights.</w:t>
      </w:r>
    </w:p>
    <w:p w:rsidR="00784BCC" w:rsidRDefault="00784BCC" w:rsidP="00664CD7">
      <w:pPr>
        <w:spacing w:after="80" w:line="240" w:lineRule="auto"/>
        <w:ind w:left="480" w:hangingChars="200" w:hanging="480"/>
        <w:rPr>
          <w:rFonts w:ascii="Times New Roman" w:hAnsi="Times New Roman"/>
          <w:sz w:val="24"/>
          <w:szCs w:val="24"/>
        </w:rPr>
      </w:pPr>
      <w:r w:rsidRPr="00673BC3">
        <w:rPr>
          <w:rFonts w:ascii="Times New Roman" w:hAnsi="Times New Roman"/>
          <w:sz w:val="24"/>
          <w:szCs w:val="24"/>
        </w:rPr>
        <w:t>Financial Accounting Standards Board (</w:t>
      </w:r>
      <w:r>
        <w:rPr>
          <w:rFonts w:ascii="Times New Roman" w:hAnsi="Times New Roman"/>
          <w:sz w:val="24"/>
          <w:szCs w:val="24"/>
        </w:rPr>
        <w:t>1975</w:t>
      </w:r>
      <w:r w:rsidRPr="00673BC3">
        <w:rPr>
          <w:rFonts w:ascii="Times New Roman" w:hAnsi="Times New Roman"/>
          <w:sz w:val="24"/>
          <w:szCs w:val="24"/>
        </w:rPr>
        <w:t xml:space="preserve">) “Accounting Standards Update No. </w:t>
      </w:r>
      <w:r>
        <w:rPr>
          <w:rFonts w:ascii="Times New Roman" w:hAnsi="Times New Roman"/>
          <w:sz w:val="24"/>
          <w:szCs w:val="24"/>
        </w:rPr>
        <w:t>1975</w:t>
      </w:r>
      <w:r w:rsidRPr="00673BC3">
        <w:rPr>
          <w:rFonts w:ascii="Times New Roman" w:hAnsi="Times New Roman"/>
          <w:sz w:val="24"/>
          <w:szCs w:val="24"/>
        </w:rPr>
        <w:t>-</w:t>
      </w:r>
      <w:r>
        <w:rPr>
          <w:rFonts w:ascii="Times New Roman" w:hAnsi="Times New Roman"/>
          <w:sz w:val="24"/>
          <w:szCs w:val="24"/>
        </w:rPr>
        <w:t>5</w:t>
      </w:r>
      <w:r w:rsidRPr="00673BC3">
        <w:rPr>
          <w:rFonts w:ascii="Times New Roman" w:hAnsi="Times New Roman"/>
          <w:sz w:val="24"/>
          <w:szCs w:val="24"/>
        </w:rPr>
        <w:t xml:space="preserve">, </w:t>
      </w:r>
      <w:r w:rsidRPr="00784BCC">
        <w:rPr>
          <w:rFonts w:ascii="Times New Roman" w:hAnsi="Times New Roman"/>
          <w:sz w:val="24"/>
          <w:szCs w:val="24"/>
        </w:rPr>
        <w:t>A</w:t>
      </w:r>
      <w:r w:rsidRPr="00784BCC">
        <w:rPr>
          <w:rFonts w:ascii="Times New Roman" w:hAnsi="Times New Roman"/>
          <w:sz w:val="24"/>
          <w:szCs w:val="24"/>
        </w:rPr>
        <w:t>c</w:t>
      </w:r>
      <w:r w:rsidRPr="00784BCC">
        <w:rPr>
          <w:rFonts w:ascii="Times New Roman" w:hAnsi="Times New Roman"/>
          <w:sz w:val="24"/>
          <w:szCs w:val="24"/>
        </w:rPr>
        <w:t>counting for Contingencies</w:t>
      </w:r>
      <w:r w:rsidRPr="00673BC3">
        <w:rPr>
          <w:rFonts w:ascii="Times New Roman" w:hAnsi="Times New Roman"/>
          <w:sz w:val="24"/>
          <w:szCs w:val="24"/>
        </w:rPr>
        <w:t xml:space="preserve">,” </w:t>
      </w:r>
      <w:r>
        <w:rPr>
          <w:rFonts w:ascii="Times New Roman" w:hAnsi="Times New Roman"/>
          <w:sz w:val="24"/>
          <w:szCs w:val="24"/>
        </w:rPr>
        <w:t>December</w:t>
      </w:r>
      <w:r w:rsidRPr="00673BC3">
        <w:rPr>
          <w:rFonts w:ascii="Times New Roman" w:hAnsi="Times New Roman"/>
          <w:sz w:val="24"/>
          <w:szCs w:val="24"/>
        </w:rPr>
        <w:t>.</w:t>
      </w:r>
    </w:p>
    <w:p w:rsidR="00784BCC" w:rsidRDefault="00784BCC" w:rsidP="00784BCC">
      <w:pPr>
        <w:spacing w:after="80" w:line="240" w:lineRule="auto"/>
        <w:ind w:left="480" w:hangingChars="200" w:hanging="480"/>
        <w:rPr>
          <w:rFonts w:ascii="Times New Roman" w:hAnsi="Times New Roman"/>
          <w:sz w:val="24"/>
          <w:szCs w:val="24"/>
        </w:rPr>
      </w:pPr>
      <w:r w:rsidRPr="00673BC3">
        <w:rPr>
          <w:rFonts w:ascii="Times New Roman" w:hAnsi="Times New Roman"/>
          <w:sz w:val="24"/>
          <w:szCs w:val="24"/>
        </w:rPr>
        <w:t>Financial Accounting Standards Board (</w:t>
      </w:r>
      <w:r>
        <w:rPr>
          <w:rFonts w:ascii="Times New Roman" w:hAnsi="Times New Roman"/>
          <w:sz w:val="24"/>
          <w:szCs w:val="24"/>
        </w:rPr>
        <w:t>1993</w:t>
      </w:r>
      <w:r w:rsidRPr="00673BC3">
        <w:rPr>
          <w:rFonts w:ascii="Times New Roman" w:hAnsi="Times New Roman"/>
          <w:sz w:val="24"/>
          <w:szCs w:val="24"/>
        </w:rPr>
        <w:t xml:space="preserve">) “Accounting Standards Update No. </w:t>
      </w:r>
      <w:r>
        <w:rPr>
          <w:rFonts w:ascii="Times New Roman" w:hAnsi="Times New Roman"/>
          <w:sz w:val="24"/>
          <w:szCs w:val="24"/>
        </w:rPr>
        <w:t>1993</w:t>
      </w:r>
      <w:r w:rsidRPr="00673BC3">
        <w:rPr>
          <w:rFonts w:ascii="Times New Roman" w:hAnsi="Times New Roman"/>
          <w:sz w:val="24"/>
          <w:szCs w:val="24"/>
        </w:rPr>
        <w:t>-</w:t>
      </w:r>
      <w:r>
        <w:rPr>
          <w:rFonts w:ascii="Times New Roman" w:hAnsi="Times New Roman"/>
          <w:sz w:val="24"/>
          <w:szCs w:val="24"/>
        </w:rPr>
        <w:t>114</w:t>
      </w:r>
      <w:r w:rsidRPr="00673BC3">
        <w:rPr>
          <w:rFonts w:ascii="Times New Roman" w:hAnsi="Times New Roman"/>
          <w:sz w:val="24"/>
          <w:szCs w:val="24"/>
        </w:rPr>
        <w:t xml:space="preserve">, </w:t>
      </w:r>
      <w:r w:rsidRPr="00784BCC">
        <w:rPr>
          <w:rFonts w:ascii="Times New Roman" w:hAnsi="Times New Roman"/>
          <w:sz w:val="24"/>
          <w:szCs w:val="24"/>
        </w:rPr>
        <w:t>Accounting by</w:t>
      </w:r>
      <w:r>
        <w:rPr>
          <w:rFonts w:ascii="Times New Roman" w:hAnsi="Times New Roman"/>
          <w:sz w:val="24"/>
          <w:szCs w:val="24"/>
        </w:rPr>
        <w:t xml:space="preserve"> </w:t>
      </w:r>
      <w:r w:rsidRPr="00784BCC">
        <w:rPr>
          <w:rFonts w:ascii="Times New Roman" w:hAnsi="Times New Roman"/>
          <w:sz w:val="24"/>
          <w:szCs w:val="24"/>
        </w:rPr>
        <w:t>Creditors for Impairment of a Loan</w:t>
      </w:r>
      <w:r w:rsidRPr="00673BC3">
        <w:rPr>
          <w:rFonts w:ascii="Times New Roman" w:hAnsi="Times New Roman"/>
          <w:sz w:val="24"/>
          <w:szCs w:val="24"/>
        </w:rPr>
        <w:t xml:space="preserve">,” </w:t>
      </w:r>
      <w:r>
        <w:rPr>
          <w:rFonts w:ascii="Times New Roman" w:hAnsi="Times New Roman"/>
          <w:sz w:val="24"/>
          <w:szCs w:val="24"/>
        </w:rPr>
        <w:t>December</w:t>
      </w:r>
      <w:r w:rsidRPr="00673BC3">
        <w:rPr>
          <w:rFonts w:ascii="Times New Roman" w:hAnsi="Times New Roman"/>
          <w:sz w:val="24"/>
          <w:szCs w:val="24"/>
        </w:rPr>
        <w:t>.</w:t>
      </w:r>
    </w:p>
    <w:p w:rsidR="00664CD7" w:rsidRDefault="00664CD7" w:rsidP="00664CD7">
      <w:pPr>
        <w:spacing w:after="80" w:line="240" w:lineRule="auto"/>
        <w:ind w:left="480" w:hangingChars="200" w:hanging="480"/>
        <w:rPr>
          <w:rFonts w:ascii="Times New Roman" w:hAnsi="Times New Roman"/>
          <w:sz w:val="24"/>
          <w:szCs w:val="24"/>
        </w:rPr>
      </w:pPr>
      <w:r w:rsidRPr="00673BC3">
        <w:rPr>
          <w:rFonts w:ascii="Times New Roman" w:hAnsi="Times New Roman"/>
          <w:sz w:val="24"/>
          <w:szCs w:val="24"/>
        </w:rPr>
        <w:t>Financial Accounting Standards Board (201</w:t>
      </w:r>
      <w:r>
        <w:rPr>
          <w:rFonts w:ascii="Times New Roman" w:hAnsi="Times New Roman"/>
          <w:sz w:val="24"/>
          <w:szCs w:val="24"/>
        </w:rPr>
        <w:t>2</w:t>
      </w:r>
      <w:r w:rsidRPr="00673BC3">
        <w:rPr>
          <w:rFonts w:ascii="Times New Roman" w:hAnsi="Times New Roman"/>
          <w:sz w:val="24"/>
          <w:szCs w:val="24"/>
        </w:rPr>
        <w:t>) “Accounting Standards Update No. 201</w:t>
      </w:r>
      <w:r>
        <w:rPr>
          <w:rFonts w:ascii="Times New Roman" w:hAnsi="Times New Roman"/>
          <w:sz w:val="24"/>
          <w:szCs w:val="24"/>
        </w:rPr>
        <w:t>2</w:t>
      </w:r>
      <w:r w:rsidRPr="00673BC3">
        <w:rPr>
          <w:rFonts w:ascii="Times New Roman" w:hAnsi="Times New Roman"/>
          <w:sz w:val="24"/>
          <w:szCs w:val="24"/>
        </w:rPr>
        <w:t>-</w:t>
      </w:r>
      <w:r>
        <w:rPr>
          <w:rFonts w:ascii="Times New Roman" w:hAnsi="Times New Roman"/>
          <w:sz w:val="24"/>
          <w:szCs w:val="24"/>
        </w:rPr>
        <w:t>260</w:t>
      </w:r>
      <w:r w:rsidRPr="00673BC3">
        <w:rPr>
          <w:rFonts w:ascii="Times New Roman" w:hAnsi="Times New Roman"/>
          <w:sz w:val="24"/>
          <w:szCs w:val="24"/>
        </w:rPr>
        <w:t>, F</w:t>
      </w:r>
      <w:r w:rsidRPr="00673BC3">
        <w:rPr>
          <w:rFonts w:ascii="Times New Roman" w:hAnsi="Times New Roman"/>
          <w:sz w:val="24"/>
          <w:szCs w:val="24"/>
        </w:rPr>
        <w:t>i</w:t>
      </w:r>
      <w:r w:rsidRPr="00673BC3">
        <w:rPr>
          <w:rFonts w:ascii="Times New Roman" w:hAnsi="Times New Roman"/>
          <w:sz w:val="24"/>
          <w:szCs w:val="24"/>
        </w:rPr>
        <w:t>nancial Instruments—Credit Losses (</w:t>
      </w:r>
      <w:r>
        <w:rPr>
          <w:rFonts w:ascii="Times New Roman" w:hAnsi="Times New Roman"/>
          <w:sz w:val="24"/>
          <w:szCs w:val="24"/>
        </w:rPr>
        <w:t>Subt</w:t>
      </w:r>
      <w:r w:rsidRPr="00673BC3">
        <w:rPr>
          <w:rFonts w:ascii="Times New Roman" w:hAnsi="Times New Roman"/>
          <w:sz w:val="24"/>
          <w:szCs w:val="24"/>
        </w:rPr>
        <w:t xml:space="preserve">opic </w:t>
      </w:r>
      <w:r>
        <w:rPr>
          <w:rFonts w:ascii="Times New Roman" w:hAnsi="Times New Roman"/>
          <w:sz w:val="24"/>
          <w:szCs w:val="24"/>
        </w:rPr>
        <w:t>825-15</w:t>
      </w:r>
      <w:r w:rsidRPr="00673BC3">
        <w:rPr>
          <w:rFonts w:ascii="Times New Roman" w:hAnsi="Times New Roman"/>
          <w:sz w:val="24"/>
          <w:szCs w:val="24"/>
        </w:rPr>
        <w:t xml:space="preserve">): Measurement of Credit Losses on Financial Instruments,” </w:t>
      </w:r>
      <w:r>
        <w:rPr>
          <w:rFonts w:ascii="Times New Roman" w:hAnsi="Times New Roman"/>
          <w:sz w:val="24"/>
          <w:szCs w:val="24"/>
        </w:rPr>
        <w:t>December</w:t>
      </w:r>
      <w:r w:rsidRPr="00673BC3">
        <w:rPr>
          <w:rFonts w:ascii="Times New Roman" w:hAnsi="Times New Roman"/>
          <w:sz w:val="24"/>
          <w:szCs w:val="24"/>
        </w:rPr>
        <w:t>.</w:t>
      </w:r>
    </w:p>
    <w:p w:rsidR="00664CD7" w:rsidRDefault="00664CD7" w:rsidP="00664CD7">
      <w:pPr>
        <w:spacing w:after="80" w:line="240" w:lineRule="auto"/>
        <w:ind w:left="480" w:hangingChars="200" w:hanging="480"/>
        <w:rPr>
          <w:rFonts w:ascii="Times New Roman" w:hAnsi="Times New Roman"/>
          <w:sz w:val="24"/>
          <w:szCs w:val="24"/>
        </w:rPr>
      </w:pPr>
      <w:r w:rsidRPr="00673BC3">
        <w:rPr>
          <w:rFonts w:ascii="Times New Roman" w:hAnsi="Times New Roman"/>
          <w:sz w:val="24"/>
          <w:szCs w:val="24"/>
        </w:rPr>
        <w:t>Financial Accounting Standards Board (2016) “Accounting Standards Update No. 2016-13, F</w:t>
      </w:r>
      <w:r w:rsidRPr="00673BC3">
        <w:rPr>
          <w:rFonts w:ascii="Times New Roman" w:hAnsi="Times New Roman"/>
          <w:sz w:val="24"/>
          <w:szCs w:val="24"/>
        </w:rPr>
        <w:t>i</w:t>
      </w:r>
      <w:r w:rsidRPr="00673BC3">
        <w:rPr>
          <w:rFonts w:ascii="Times New Roman" w:hAnsi="Times New Roman"/>
          <w:sz w:val="24"/>
          <w:szCs w:val="24"/>
        </w:rPr>
        <w:t>nancial Instruments—Credit Losses (Topic 326): Measurement of Credit Losses on Financial Instruments,” June.</w:t>
      </w:r>
    </w:p>
    <w:p w:rsidR="00664CD7" w:rsidRDefault="00664CD7" w:rsidP="00664CD7">
      <w:pPr>
        <w:spacing w:after="80" w:line="240" w:lineRule="auto"/>
        <w:ind w:left="480" w:hangingChars="200" w:hanging="480"/>
        <w:rPr>
          <w:rFonts w:ascii="Times New Roman" w:hAnsi="Times New Roman"/>
          <w:sz w:val="24"/>
          <w:szCs w:val="24"/>
        </w:rPr>
      </w:pPr>
      <w:r w:rsidRPr="00471D40">
        <w:rPr>
          <w:rFonts w:ascii="Times New Roman" w:hAnsi="Times New Roman"/>
          <w:sz w:val="24"/>
          <w:szCs w:val="24"/>
        </w:rPr>
        <w:lastRenderedPageBreak/>
        <w:t>Francis, W.B.</w:t>
      </w:r>
      <w:r>
        <w:rPr>
          <w:rFonts w:ascii="Times New Roman" w:hAnsi="Times New Roman"/>
          <w:sz w:val="24"/>
          <w:szCs w:val="24"/>
        </w:rPr>
        <w:t>,</w:t>
      </w:r>
      <w:r w:rsidRPr="00471D40">
        <w:rPr>
          <w:rFonts w:ascii="Times New Roman" w:hAnsi="Times New Roman"/>
          <w:sz w:val="24"/>
          <w:szCs w:val="24"/>
        </w:rPr>
        <w:t xml:space="preserve"> </w:t>
      </w:r>
      <w:r>
        <w:rPr>
          <w:rFonts w:ascii="Times New Roman" w:hAnsi="Times New Roman"/>
          <w:sz w:val="24"/>
          <w:szCs w:val="24"/>
        </w:rPr>
        <w:t>&amp;</w:t>
      </w:r>
      <w:r w:rsidRPr="00471D40">
        <w:rPr>
          <w:rFonts w:ascii="Times New Roman" w:hAnsi="Times New Roman"/>
          <w:sz w:val="24"/>
          <w:szCs w:val="24"/>
        </w:rPr>
        <w:t xml:space="preserve"> Osborne</w:t>
      </w:r>
      <w:r>
        <w:rPr>
          <w:rFonts w:ascii="Times New Roman" w:hAnsi="Times New Roman"/>
          <w:sz w:val="24"/>
          <w:szCs w:val="24"/>
        </w:rPr>
        <w:t xml:space="preserve">, </w:t>
      </w:r>
      <w:r w:rsidRPr="00471D40">
        <w:rPr>
          <w:rFonts w:ascii="Times New Roman" w:hAnsi="Times New Roman"/>
          <w:sz w:val="24"/>
          <w:szCs w:val="24"/>
        </w:rPr>
        <w:t>M. (2009)</w:t>
      </w:r>
      <w:r>
        <w:rPr>
          <w:rFonts w:ascii="Times New Roman" w:hAnsi="Times New Roman"/>
          <w:sz w:val="24"/>
          <w:szCs w:val="24"/>
        </w:rPr>
        <w:t>.</w:t>
      </w:r>
      <w:r w:rsidRPr="00471D40">
        <w:rPr>
          <w:rFonts w:ascii="Times New Roman" w:hAnsi="Times New Roman"/>
          <w:sz w:val="24"/>
          <w:szCs w:val="24"/>
        </w:rPr>
        <w:t xml:space="preserve"> Bank </w:t>
      </w:r>
      <w:r>
        <w:rPr>
          <w:rFonts w:ascii="Times New Roman" w:hAnsi="Times New Roman"/>
          <w:sz w:val="24"/>
          <w:szCs w:val="24"/>
        </w:rPr>
        <w:t>r</w:t>
      </w:r>
      <w:r w:rsidRPr="00471D40">
        <w:rPr>
          <w:rFonts w:ascii="Times New Roman" w:hAnsi="Times New Roman"/>
          <w:sz w:val="24"/>
          <w:szCs w:val="24"/>
        </w:rPr>
        <w:t xml:space="preserve">egulation, capital and credit supply: measuring the impact prudential standards, </w:t>
      </w:r>
      <w:r w:rsidRPr="00471D40">
        <w:rPr>
          <w:rFonts w:ascii="Times New Roman" w:hAnsi="Times New Roman"/>
          <w:i/>
          <w:sz w:val="24"/>
          <w:szCs w:val="24"/>
        </w:rPr>
        <w:t>Occasional Paper 36, Financial Services Authority</w:t>
      </w:r>
      <w:r w:rsidRPr="00471D40">
        <w:rPr>
          <w:rFonts w:ascii="Times New Roman" w:hAnsi="Times New Roman"/>
          <w:sz w:val="24"/>
          <w:szCs w:val="24"/>
        </w:rPr>
        <w:t>.</w:t>
      </w:r>
    </w:p>
    <w:p w:rsidR="00664CD7" w:rsidRDefault="00664CD7" w:rsidP="00664CD7">
      <w:pPr>
        <w:pStyle w:val="Default"/>
        <w:spacing w:after="80"/>
        <w:ind w:left="480" w:hangingChars="200" w:hanging="480"/>
        <w:rPr>
          <w:rFonts w:ascii="Times New Roman" w:hAnsi="Times New Roman" w:cs="Times New Roman"/>
        </w:rPr>
      </w:pPr>
      <w:r>
        <w:rPr>
          <w:rFonts w:ascii="Times New Roman" w:hAnsi="Times New Roman" w:cs="Times New Roman"/>
        </w:rPr>
        <w:t xml:space="preserve">Glasserman, P., &amp; Xu, X. (2013). Robust risk measurement and model risk. </w:t>
      </w:r>
      <w:proofErr w:type="spellStart"/>
      <w:r>
        <w:rPr>
          <w:rFonts w:ascii="Times New Roman" w:hAnsi="Times New Roman" w:cs="Times New Roman"/>
          <w:i/>
        </w:rPr>
        <w:t>Quantitiative</w:t>
      </w:r>
      <w:proofErr w:type="spellEnd"/>
      <w:r>
        <w:rPr>
          <w:rFonts w:ascii="Times New Roman" w:hAnsi="Times New Roman" w:cs="Times New Roman"/>
          <w:i/>
        </w:rPr>
        <w:t xml:space="preserve"> Finance, 14(1),</w:t>
      </w:r>
      <w:r>
        <w:rPr>
          <w:rFonts w:ascii="Times New Roman" w:hAnsi="Times New Roman" w:cs="Times New Roman"/>
        </w:rPr>
        <w:t xml:space="preserve"> 29-58. </w:t>
      </w:r>
    </w:p>
    <w:p w:rsidR="00664CD7" w:rsidRDefault="00664CD7" w:rsidP="00664CD7">
      <w:pPr>
        <w:pStyle w:val="Default"/>
        <w:spacing w:after="80"/>
        <w:ind w:left="480" w:hangingChars="200" w:hanging="480"/>
        <w:rPr>
          <w:rFonts w:ascii="Times New Roman" w:hAnsi="Times New Roman" w:cs="Times New Roman"/>
        </w:rPr>
      </w:pPr>
      <w:r w:rsidRPr="0086544F">
        <w:rPr>
          <w:rFonts w:ascii="Times New Roman" w:hAnsi="Times New Roman" w:cs="Times New Roman"/>
        </w:rPr>
        <w:t xml:space="preserve">Global Credit Data. (2019). Current Expected Loss (CECL) </w:t>
      </w:r>
      <w:r>
        <w:rPr>
          <w:rFonts w:ascii="Times New Roman" w:hAnsi="Times New Roman" w:cs="Times New Roman"/>
        </w:rPr>
        <w:t>a</w:t>
      </w:r>
      <w:r w:rsidRPr="0086544F">
        <w:rPr>
          <w:rFonts w:ascii="Times New Roman" w:hAnsi="Times New Roman" w:cs="Times New Roman"/>
        </w:rPr>
        <w:t xml:space="preserve">ccounting: </w:t>
      </w:r>
      <w:r>
        <w:rPr>
          <w:rFonts w:ascii="Times New Roman" w:hAnsi="Times New Roman" w:cs="Times New Roman"/>
        </w:rPr>
        <w:t>b</w:t>
      </w:r>
      <w:r w:rsidRPr="0086544F">
        <w:rPr>
          <w:rFonts w:ascii="Times New Roman" w:hAnsi="Times New Roman" w:cs="Times New Roman"/>
        </w:rPr>
        <w:t xml:space="preserve">enchmarking </w:t>
      </w:r>
      <w:r>
        <w:rPr>
          <w:rFonts w:ascii="Times New Roman" w:hAnsi="Times New Roman" w:cs="Times New Roman"/>
        </w:rPr>
        <w:t>s</w:t>
      </w:r>
      <w:r w:rsidRPr="0086544F">
        <w:rPr>
          <w:rFonts w:ascii="Times New Roman" w:hAnsi="Times New Roman" w:cs="Times New Roman"/>
        </w:rPr>
        <w:t>tudy.</w:t>
      </w:r>
    </w:p>
    <w:p w:rsidR="00664CD7" w:rsidRDefault="00664CD7" w:rsidP="00664CD7">
      <w:pPr>
        <w:pStyle w:val="Default"/>
        <w:spacing w:after="80"/>
        <w:ind w:left="480" w:hangingChars="200" w:hanging="480"/>
        <w:rPr>
          <w:rFonts w:ascii="Times New Roman" w:hAnsi="Times New Roman" w:cs="Times New Roman"/>
        </w:rPr>
      </w:pPr>
      <w:r>
        <w:rPr>
          <w:rFonts w:ascii="Times New Roman" w:hAnsi="Times New Roman" w:cs="Times New Roman"/>
        </w:rPr>
        <w:t xml:space="preserve">Hanan, E.J. (1971). The identification problem for equation systems with moving average errors. </w:t>
      </w:r>
      <w:r>
        <w:rPr>
          <w:rFonts w:ascii="Times New Roman" w:hAnsi="Times New Roman" w:cs="Times New Roman"/>
          <w:i/>
        </w:rPr>
        <w:t>Econometrica 39,</w:t>
      </w:r>
      <w:r>
        <w:rPr>
          <w:rFonts w:ascii="Times New Roman" w:hAnsi="Times New Roman" w:cs="Times New Roman"/>
        </w:rPr>
        <w:t xml:space="preserve"> 751-766. </w:t>
      </w:r>
    </w:p>
    <w:p w:rsidR="00664CD7" w:rsidRDefault="00664CD7" w:rsidP="00664CD7">
      <w:pPr>
        <w:pStyle w:val="CM33"/>
        <w:spacing w:after="80"/>
        <w:ind w:left="480" w:hangingChars="200" w:hanging="480"/>
        <w:rPr>
          <w:rFonts w:ascii="Times New Roman" w:hAnsi="Times New Roman"/>
        </w:rPr>
      </w:pPr>
      <w:r w:rsidRPr="00700384">
        <w:rPr>
          <w:rFonts w:ascii="Times New Roman" w:hAnsi="Times New Roman"/>
        </w:rPr>
        <w:t>Hanan, E.J.</w:t>
      </w:r>
      <w:r w:rsidRPr="0041636E">
        <w:rPr>
          <w:rFonts w:ascii="Times New Roman" w:hAnsi="Times New Roman"/>
        </w:rPr>
        <w:t xml:space="preserve"> </w:t>
      </w:r>
      <w:r w:rsidRPr="00700384">
        <w:rPr>
          <w:rFonts w:ascii="Times New Roman" w:hAnsi="Times New Roman"/>
        </w:rPr>
        <w:t xml:space="preserve">(1988). </w:t>
      </w:r>
      <w:r w:rsidRPr="0041636E">
        <w:rPr>
          <w:rFonts w:ascii="Times New Roman" w:hAnsi="Times New Roman"/>
        </w:rPr>
        <w:t>The statistical theory of linear systems</w:t>
      </w:r>
      <w:r w:rsidRPr="00700384">
        <w:rPr>
          <w:rFonts w:ascii="Times New Roman" w:hAnsi="Times New Roman"/>
        </w:rPr>
        <w:t>. New York</w:t>
      </w:r>
      <w:r>
        <w:rPr>
          <w:rFonts w:ascii="Times New Roman" w:hAnsi="Times New Roman"/>
        </w:rPr>
        <w:t>, N.Y.:</w:t>
      </w:r>
      <w:r w:rsidRPr="00895145">
        <w:rPr>
          <w:rFonts w:ascii="Times New Roman" w:hAnsi="Times New Roman"/>
        </w:rPr>
        <w:t xml:space="preserve"> </w:t>
      </w:r>
      <w:r w:rsidRPr="00700384">
        <w:rPr>
          <w:rFonts w:ascii="Times New Roman" w:hAnsi="Times New Roman"/>
        </w:rPr>
        <w:t>John Wiley</w:t>
      </w:r>
      <w:r>
        <w:rPr>
          <w:rFonts w:ascii="Times New Roman" w:hAnsi="Times New Roman"/>
        </w:rPr>
        <w:t xml:space="preserve">. </w:t>
      </w:r>
    </w:p>
    <w:p w:rsidR="00664CD7" w:rsidRDefault="00664CD7" w:rsidP="00664CD7">
      <w:pPr>
        <w:pStyle w:val="Default"/>
        <w:spacing w:after="80"/>
        <w:ind w:left="480" w:hangingChars="200" w:hanging="480"/>
        <w:rPr>
          <w:rFonts w:ascii="Times New Roman" w:hAnsi="Times New Roman" w:cs="Times New Roman"/>
        </w:rPr>
      </w:pPr>
      <w:r w:rsidRPr="00980E34">
        <w:rPr>
          <w:rFonts w:ascii="Times New Roman" w:hAnsi="Times New Roman" w:cs="Times New Roman"/>
        </w:rPr>
        <w:t>Hansen, L.P.</w:t>
      </w:r>
      <w:r>
        <w:rPr>
          <w:rFonts w:ascii="Times New Roman" w:hAnsi="Times New Roman" w:cs="Times New Roman"/>
        </w:rPr>
        <w:t>,</w:t>
      </w:r>
      <w:r w:rsidRPr="00980E34">
        <w:rPr>
          <w:rFonts w:ascii="Times New Roman" w:hAnsi="Times New Roman" w:cs="Times New Roman"/>
        </w:rPr>
        <w:t xml:space="preserve"> </w:t>
      </w:r>
      <w:r>
        <w:rPr>
          <w:rFonts w:ascii="Times New Roman" w:hAnsi="Times New Roman" w:cs="Times New Roman"/>
        </w:rPr>
        <w:t>&amp;</w:t>
      </w:r>
      <w:r w:rsidRPr="00980E34">
        <w:rPr>
          <w:rFonts w:ascii="Times New Roman" w:hAnsi="Times New Roman" w:cs="Times New Roman"/>
        </w:rPr>
        <w:t xml:space="preserve"> Sargent, T.J., </w:t>
      </w:r>
      <w:r>
        <w:rPr>
          <w:rFonts w:ascii="Times New Roman" w:hAnsi="Times New Roman" w:cs="Times New Roman"/>
        </w:rPr>
        <w:t>(</w:t>
      </w:r>
      <w:r w:rsidRPr="00980E34">
        <w:rPr>
          <w:rFonts w:ascii="Times New Roman" w:hAnsi="Times New Roman" w:cs="Times New Roman"/>
        </w:rPr>
        <w:t>2007</w:t>
      </w:r>
      <w:r>
        <w:rPr>
          <w:rFonts w:ascii="Times New Roman" w:hAnsi="Times New Roman" w:cs="Times New Roman"/>
        </w:rPr>
        <w:t xml:space="preserve">). </w:t>
      </w:r>
      <w:r w:rsidRPr="00E6098A">
        <w:rPr>
          <w:rFonts w:ascii="Times New Roman" w:hAnsi="Times New Roman" w:cs="Times New Roman"/>
          <w:i/>
        </w:rPr>
        <w:t>Robustness</w:t>
      </w:r>
      <w:r>
        <w:rPr>
          <w:rFonts w:ascii="Times New Roman" w:hAnsi="Times New Roman" w:cs="Times New Roman"/>
        </w:rPr>
        <w:t>.</w:t>
      </w:r>
      <w:r w:rsidRPr="00980E34">
        <w:rPr>
          <w:rFonts w:ascii="Times New Roman" w:hAnsi="Times New Roman" w:cs="Times New Roman"/>
        </w:rPr>
        <w:t xml:space="preserve"> Princeton, N</w:t>
      </w:r>
      <w:r>
        <w:rPr>
          <w:rFonts w:ascii="Times New Roman" w:hAnsi="Times New Roman" w:cs="Times New Roman"/>
        </w:rPr>
        <w:t>.</w:t>
      </w:r>
      <w:r w:rsidRPr="00980E34">
        <w:rPr>
          <w:rFonts w:ascii="Times New Roman" w:hAnsi="Times New Roman" w:cs="Times New Roman"/>
        </w:rPr>
        <w:t>J.</w:t>
      </w:r>
      <w:r>
        <w:rPr>
          <w:rFonts w:ascii="Times New Roman" w:hAnsi="Times New Roman" w:cs="Times New Roman"/>
        </w:rPr>
        <w:t xml:space="preserve">: </w:t>
      </w:r>
      <w:r w:rsidRPr="00980E34">
        <w:rPr>
          <w:rFonts w:ascii="Times New Roman" w:hAnsi="Times New Roman" w:cs="Times New Roman"/>
        </w:rPr>
        <w:t>Princeton</w:t>
      </w:r>
      <w:r>
        <w:rPr>
          <w:rFonts w:ascii="Times New Roman" w:hAnsi="Times New Roman" w:cs="Times New Roman"/>
        </w:rPr>
        <w:t xml:space="preserve"> </w:t>
      </w:r>
      <w:r w:rsidRPr="00980E34">
        <w:rPr>
          <w:rFonts w:ascii="Times New Roman" w:hAnsi="Times New Roman" w:cs="Times New Roman"/>
        </w:rPr>
        <w:t>University Press</w:t>
      </w:r>
      <w:r>
        <w:rPr>
          <w:rFonts w:ascii="Times New Roman" w:hAnsi="Times New Roman" w:cs="Times New Roman"/>
        </w:rPr>
        <w:t>.</w:t>
      </w:r>
      <w:r w:rsidRPr="00980E34">
        <w:rPr>
          <w:rFonts w:ascii="Times New Roman" w:hAnsi="Times New Roman" w:cs="Times New Roman"/>
        </w:rPr>
        <w:t xml:space="preserve"> </w:t>
      </w:r>
    </w:p>
    <w:p w:rsidR="00664CD7" w:rsidRDefault="00664CD7" w:rsidP="00664CD7">
      <w:pPr>
        <w:pStyle w:val="Default"/>
        <w:spacing w:after="80"/>
        <w:ind w:left="480" w:hangingChars="200" w:hanging="480"/>
        <w:rPr>
          <w:rFonts w:ascii="Times New Roman" w:hAnsi="Times New Roman" w:cs="Times New Roman"/>
        </w:rPr>
      </w:pPr>
      <w:r>
        <w:rPr>
          <w:rFonts w:ascii="Times New Roman" w:hAnsi="Times New Roman" w:cs="Times New Roman"/>
        </w:rPr>
        <w:t xml:space="preserve">Hirtle, B., Kovner, A., Vickery, J., &amp;.Bhanot, M. (2015). Assessing financial stability: the capital and loss assessment under stress scenarios (CLASS) model. </w:t>
      </w:r>
      <w:r>
        <w:rPr>
          <w:rFonts w:ascii="Times New Roman" w:hAnsi="Times New Roman" w:cs="Times New Roman"/>
          <w:i/>
        </w:rPr>
        <w:t>Federal Reserve Bank of New York Staff Report No. 663 (July)</w:t>
      </w:r>
      <w:r>
        <w:rPr>
          <w:rFonts w:ascii="Times New Roman" w:hAnsi="Times New Roman" w:cs="Times New Roman"/>
        </w:rPr>
        <w:t>.</w:t>
      </w:r>
    </w:p>
    <w:p w:rsidR="00664CD7" w:rsidRDefault="00664CD7" w:rsidP="00664CD7">
      <w:pPr>
        <w:pStyle w:val="Default"/>
        <w:spacing w:after="80"/>
        <w:ind w:left="480" w:hangingChars="200" w:hanging="480"/>
        <w:rPr>
          <w:rFonts w:ascii="Times New Roman" w:hAnsi="Times New Roman" w:cs="Times New Roman"/>
        </w:rPr>
      </w:pPr>
      <w:r w:rsidRPr="00847C4E">
        <w:rPr>
          <w:rFonts w:ascii="Times New Roman" w:hAnsi="Times New Roman" w:cs="Times New Roman"/>
        </w:rPr>
        <w:t>International Accounting Standards Board</w:t>
      </w:r>
      <w:r>
        <w:rPr>
          <w:rFonts w:ascii="Times New Roman" w:hAnsi="Times New Roman" w:cs="Times New Roman"/>
        </w:rPr>
        <w:t>.</w:t>
      </w:r>
      <w:r w:rsidRPr="00847C4E">
        <w:rPr>
          <w:rFonts w:ascii="Times New Roman" w:hAnsi="Times New Roman" w:cs="Times New Roman"/>
        </w:rPr>
        <w:t xml:space="preserve"> (201</w:t>
      </w:r>
      <w:r>
        <w:rPr>
          <w:rFonts w:ascii="Times New Roman" w:hAnsi="Times New Roman" w:cs="Times New Roman"/>
        </w:rPr>
        <w:t>4</w:t>
      </w:r>
      <w:r w:rsidRPr="00847C4E">
        <w:rPr>
          <w:rFonts w:ascii="Times New Roman" w:hAnsi="Times New Roman" w:cs="Times New Roman"/>
        </w:rPr>
        <w:t>)</w:t>
      </w:r>
      <w:r>
        <w:rPr>
          <w:rFonts w:ascii="Times New Roman" w:hAnsi="Times New Roman" w:cs="Times New Roman"/>
        </w:rPr>
        <w:t>.</w:t>
      </w:r>
      <w:r w:rsidRPr="00847C4E">
        <w:rPr>
          <w:rFonts w:ascii="Times New Roman" w:hAnsi="Times New Roman" w:cs="Times New Roman"/>
        </w:rPr>
        <w:t xml:space="preserve"> “</w:t>
      </w:r>
      <w:r w:rsidRPr="006441D6">
        <w:rPr>
          <w:rFonts w:ascii="Times New Roman" w:hAnsi="Times New Roman" w:cs="Times New Roman"/>
        </w:rPr>
        <w:t>International Reporting for Financial Stat</w:t>
      </w:r>
      <w:r w:rsidRPr="006441D6">
        <w:rPr>
          <w:rFonts w:ascii="Times New Roman" w:hAnsi="Times New Roman" w:cs="Times New Roman"/>
        </w:rPr>
        <w:t>e</w:t>
      </w:r>
      <w:r w:rsidRPr="006441D6">
        <w:rPr>
          <w:rFonts w:ascii="Times New Roman" w:hAnsi="Times New Roman" w:cs="Times New Roman"/>
        </w:rPr>
        <w:t>ment Number 9</w:t>
      </w:r>
      <w:r w:rsidRPr="00847C4E">
        <w:rPr>
          <w:rFonts w:ascii="Times New Roman" w:hAnsi="Times New Roman" w:cs="Times New Roman"/>
        </w:rPr>
        <w:t>”</w:t>
      </w:r>
      <w:r>
        <w:rPr>
          <w:rFonts w:ascii="Times New Roman" w:hAnsi="Times New Roman" w:cs="Times New Roman"/>
        </w:rPr>
        <w:t>,</w:t>
      </w:r>
      <w:r w:rsidRPr="00847C4E">
        <w:rPr>
          <w:rFonts w:ascii="Times New Roman" w:hAnsi="Times New Roman" w:cs="Times New Roman"/>
        </w:rPr>
        <w:t xml:space="preserve"> July.</w:t>
      </w:r>
    </w:p>
    <w:p w:rsidR="00664CD7" w:rsidRDefault="00664CD7" w:rsidP="00664CD7">
      <w:pPr>
        <w:pStyle w:val="Default"/>
        <w:spacing w:after="80"/>
        <w:ind w:left="480" w:hangingChars="200" w:hanging="480"/>
        <w:rPr>
          <w:rFonts w:ascii="Times New Roman" w:hAnsi="Times New Roman" w:cs="Times New Roman"/>
        </w:rPr>
      </w:pPr>
      <w:r w:rsidRPr="00FF3CE9">
        <w:rPr>
          <w:rFonts w:ascii="Times New Roman" w:hAnsi="Times New Roman" w:cs="Times New Roman"/>
        </w:rPr>
        <w:t xml:space="preserve">Jacobs, Jr., M., 2015, The quantification and aggregation of model risk: perspectives on potential approaches, </w:t>
      </w:r>
      <w:r w:rsidRPr="00262FAA">
        <w:rPr>
          <w:rFonts w:ascii="Times New Roman" w:hAnsi="Times New Roman" w:cs="Times New Roman"/>
          <w:i/>
        </w:rPr>
        <w:t>The Journal of Financial Engineering and Risk Management</w:t>
      </w:r>
      <w:r w:rsidRPr="00655B22">
        <w:rPr>
          <w:rFonts w:ascii="Times New Roman" w:hAnsi="Times New Roman" w:cs="Times New Roman"/>
          <w:i/>
        </w:rPr>
        <w:t xml:space="preserve"> 2(2)</w:t>
      </w:r>
      <w:r w:rsidRPr="00FF3CE9">
        <w:rPr>
          <w:rFonts w:ascii="Times New Roman" w:hAnsi="Times New Roman" w:cs="Times New Roman"/>
        </w:rPr>
        <w:t>, 124–154.</w:t>
      </w:r>
    </w:p>
    <w:p w:rsidR="00664CD7" w:rsidRDefault="00664CD7" w:rsidP="00664CD7">
      <w:pPr>
        <w:spacing w:after="80" w:line="240" w:lineRule="auto"/>
        <w:ind w:left="480" w:hangingChars="200" w:hanging="480"/>
        <w:rPr>
          <w:rFonts w:ascii="Times New Roman" w:hAnsi="Times New Roman"/>
          <w:color w:val="000000"/>
          <w:sz w:val="24"/>
          <w:szCs w:val="24"/>
        </w:rPr>
      </w:pPr>
      <w:r w:rsidRPr="00FF3CE9">
        <w:rPr>
          <w:rFonts w:ascii="Times New Roman" w:hAnsi="Times New Roman"/>
          <w:color w:val="000000"/>
          <w:sz w:val="24"/>
          <w:szCs w:val="24"/>
        </w:rPr>
        <w:t>Jacobs, Jr., M., Klein</w:t>
      </w:r>
      <w:r>
        <w:rPr>
          <w:rFonts w:ascii="Times New Roman" w:hAnsi="Times New Roman"/>
          <w:color w:val="000000"/>
          <w:sz w:val="24"/>
          <w:szCs w:val="24"/>
        </w:rPr>
        <w:t>,</w:t>
      </w:r>
      <w:r w:rsidRPr="00FF3CE9">
        <w:rPr>
          <w:rFonts w:ascii="Times New Roman" w:hAnsi="Times New Roman"/>
          <w:color w:val="000000"/>
          <w:sz w:val="24"/>
          <w:szCs w:val="24"/>
        </w:rPr>
        <w:t xml:space="preserve"> L.</w:t>
      </w:r>
      <w:r>
        <w:rPr>
          <w:rFonts w:ascii="Times New Roman" w:hAnsi="Times New Roman"/>
          <w:color w:val="000000"/>
          <w:sz w:val="24"/>
          <w:szCs w:val="24"/>
        </w:rPr>
        <w:t>,</w:t>
      </w:r>
      <w:r w:rsidRPr="00FF3CE9">
        <w:rPr>
          <w:rFonts w:ascii="Times New Roman" w:hAnsi="Times New Roman"/>
          <w:color w:val="000000"/>
          <w:sz w:val="24"/>
          <w:szCs w:val="24"/>
        </w:rPr>
        <w:t xml:space="preserve"> </w:t>
      </w:r>
      <w:r>
        <w:rPr>
          <w:rFonts w:ascii="Times New Roman" w:hAnsi="Times New Roman"/>
          <w:color w:val="000000"/>
          <w:sz w:val="24"/>
          <w:szCs w:val="24"/>
        </w:rPr>
        <w:t>&amp;</w:t>
      </w:r>
      <w:r w:rsidRPr="00FF3CE9">
        <w:rPr>
          <w:rFonts w:ascii="Times New Roman" w:hAnsi="Times New Roman"/>
          <w:color w:val="000000"/>
          <w:sz w:val="24"/>
          <w:szCs w:val="24"/>
        </w:rPr>
        <w:t xml:space="preserve"> Merchant, A., 2015</w:t>
      </w:r>
      <w:r>
        <w:rPr>
          <w:rFonts w:ascii="Times New Roman" w:hAnsi="Times New Roman"/>
          <w:color w:val="000000"/>
          <w:sz w:val="24"/>
          <w:szCs w:val="24"/>
        </w:rPr>
        <w:t>a</w:t>
      </w:r>
      <w:r w:rsidRPr="00FF3CE9">
        <w:rPr>
          <w:rFonts w:ascii="Times New Roman" w:hAnsi="Times New Roman"/>
          <w:color w:val="000000"/>
          <w:sz w:val="24"/>
          <w:szCs w:val="24"/>
        </w:rPr>
        <w:t xml:space="preserve"> (September), Emerging </w:t>
      </w:r>
      <w:r>
        <w:rPr>
          <w:rFonts w:ascii="Times New Roman" w:hAnsi="Times New Roman"/>
          <w:color w:val="000000"/>
          <w:sz w:val="24"/>
          <w:szCs w:val="24"/>
        </w:rPr>
        <w:t>t</w:t>
      </w:r>
      <w:r w:rsidRPr="00FF3CE9">
        <w:rPr>
          <w:rFonts w:ascii="Times New Roman" w:hAnsi="Times New Roman"/>
          <w:color w:val="000000"/>
          <w:sz w:val="24"/>
          <w:szCs w:val="24"/>
        </w:rPr>
        <w:t xml:space="preserve">rends in </w:t>
      </w:r>
      <w:r>
        <w:rPr>
          <w:rFonts w:ascii="Times New Roman" w:hAnsi="Times New Roman"/>
          <w:color w:val="000000"/>
          <w:sz w:val="24"/>
          <w:szCs w:val="24"/>
        </w:rPr>
        <w:t>m</w:t>
      </w:r>
      <w:r w:rsidRPr="00FF3CE9">
        <w:rPr>
          <w:rFonts w:ascii="Times New Roman" w:hAnsi="Times New Roman"/>
          <w:color w:val="000000"/>
          <w:sz w:val="24"/>
          <w:szCs w:val="24"/>
        </w:rPr>
        <w:t xml:space="preserve">odel </w:t>
      </w:r>
      <w:r>
        <w:rPr>
          <w:rFonts w:ascii="Times New Roman" w:hAnsi="Times New Roman"/>
          <w:color w:val="000000"/>
          <w:sz w:val="24"/>
          <w:szCs w:val="24"/>
        </w:rPr>
        <w:t>r</w:t>
      </w:r>
      <w:r w:rsidRPr="00FF3CE9">
        <w:rPr>
          <w:rFonts w:ascii="Times New Roman" w:hAnsi="Times New Roman"/>
          <w:color w:val="000000"/>
          <w:sz w:val="24"/>
          <w:szCs w:val="24"/>
        </w:rPr>
        <w:t xml:space="preserve">isk </w:t>
      </w:r>
      <w:r>
        <w:rPr>
          <w:rFonts w:ascii="Times New Roman" w:hAnsi="Times New Roman"/>
          <w:color w:val="000000"/>
          <w:sz w:val="24"/>
          <w:szCs w:val="24"/>
        </w:rPr>
        <w:t>m</w:t>
      </w:r>
      <w:r w:rsidRPr="00FF3CE9">
        <w:rPr>
          <w:rFonts w:ascii="Times New Roman" w:hAnsi="Times New Roman"/>
          <w:color w:val="000000"/>
          <w:sz w:val="24"/>
          <w:szCs w:val="24"/>
        </w:rPr>
        <w:t>anagement</w:t>
      </w:r>
      <w:r>
        <w:rPr>
          <w:rFonts w:ascii="Times New Roman" w:hAnsi="Times New Roman"/>
          <w:color w:val="000000"/>
          <w:sz w:val="24"/>
          <w:szCs w:val="24"/>
        </w:rPr>
        <w:t>.</w:t>
      </w:r>
      <w:r w:rsidRPr="00FF3CE9">
        <w:rPr>
          <w:rFonts w:ascii="Times New Roman" w:hAnsi="Times New Roman"/>
          <w:color w:val="000000"/>
          <w:sz w:val="24"/>
          <w:szCs w:val="24"/>
        </w:rPr>
        <w:t xml:space="preserve"> </w:t>
      </w:r>
      <w:r w:rsidRPr="00FF3CE9">
        <w:rPr>
          <w:rFonts w:ascii="Times New Roman" w:hAnsi="Times New Roman"/>
          <w:i/>
          <w:color w:val="000000"/>
          <w:sz w:val="24"/>
          <w:szCs w:val="24"/>
        </w:rPr>
        <w:t>Accenture Consulting</w:t>
      </w:r>
      <w:r>
        <w:rPr>
          <w:rFonts w:ascii="Times New Roman" w:hAnsi="Times New Roman"/>
          <w:color w:val="000000"/>
          <w:sz w:val="24"/>
          <w:szCs w:val="24"/>
        </w:rPr>
        <w:t>.</w:t>
      </w:r>
    </w:p>
    <w:p w:rsidR="00664CD7" w:rsidRDefault="00664CD7" w:rsidP="00664CD7">
      <w:pPr>
        <w:spacing w:after="80" w:line="240" w:lineRule="auto"/>
        <w:ind w:left="480" w:hangingChars="200" w:hanging="480"/>
        <w:rPr>
          <w:rFonts w:ascii="Times New Roman" w:hAnsi="Times New Roman"/>
          <w:sz w:val="24"/>
          <w:szCs w:val="24"/>
        </w:rPr>
      </w:pPr>
      <w:r>
        <w:rPr>
          <w:rFonts w:ascii="Times New Roman" w:hAnsi="Times New Roman"/>
          <w:color w:val="000000"/>
          <w:sz w:val="24"/>
          <w:szCs w:val="24"/>
        </w:rPr>
        <w:t>Jacobs, Jr., M.</w:t>
      </w:r>
      <w:r>
        <w:rPr>
          <w:rFonts w:ascii="Times New Roman" w:hAnsi="Times New Roman"/>
          <w:sz w:val="24"/>
          <w:szCs w:val="24"/>
          <w:u w:val="single"/>
        </w:rPr>
        <w:t>,</w:t>
      </w:r>
      <w:r>
        <w:rPr>
          <w:rFonts w:ascii="Times New Roman" w:hAnsi="Times New Roman"/>
          <w:sz w:val="24"/>
          <w:szCs w:val="24"/>
        </w:rPr>
        <w:t xml:space="preserve"> </w:t>
      </w:r>
      <w:r>
        <w:rPr>
          <w:rFonts w:ascii="Bauer Bodoni D" w:hAnsi="Bauer Bodoni D"/>
        </w:rPr>
        <w:t>Karagozoglu, A.K</w:t>
      </w:r>
      <w:r>
        <w:rPr>
          <w:rFonts w:ascii="Times New Roman" w:hAnsi="Times New Roman"/>
          <w:sz w:val="24"/>
          <w:szCs w:val="24"/>
        </w:rPr>
        <w:t xml:space="preserve"> , &amp; Sensenbrenner, F.J. (2015b). </w:t>
      </w:r>
      <w:r w:rsidRPr="00C239CB">
        <w:rPr>
          <w:rFonts w:ascii="Times New Roman" w:hAnsi="Times New Roman"/>
          <w:sz w:val="24"/>
          <w:szCs w:val="24"/>
        </w:rPr>
        <w:t>Stress testing and model val</w:t>
      </w:r>
      <w:r w:rsidRPr="00C239CB">
        <w:rPr>
          <w:rFonts w:ascii="Times New Roman" w:hAnsi="Times New Roman"/>
          <w:sz w:val="24"/>
          <w:szCs w:val="24"/>
        </w:rPr>
        <w:t>i</w:t>
      </w:r>
      <w:r w:rsidRPr="00C239CB">
        <w:rPr>
          <w:rFonts w:ascii="Times New Roman" w:hAnsi="Times New Roman"/>
          <w:sz w:val="24"/>
          <w:szCs w:val="24"/>
        </w:rPr>
        <w:t>dation:</w:t>
      </w:r>
      <w:r>
        <w:rPr>
          <w:rFonts w:ascii="Times New Roman" w:hAnsi="Times New Roman"/>
          <w:sz w:val="24"/>
          <w:szCs w:val="24"/>
        </w:rPr>
        <w:t xml:space="preserve"> </w:t>
      </w:r>
      <w:r w:rsidRPr="00C239CB">
        <w:rPr>
          <w:rFonts w:ascii="Times New Roman" w:hAnsi="Times New Roman"/>
          <w:sz w:val="24"/>
          <w:szCs w:val="24"/>
        </w:rPr>
        <w:t>application of the Bayesian approach to a credit risk portfolio</w:t>
      </w:r>
      <w:r>
        <w:rPr>
          <w:rFonts w:ascii="Times New Roman" w:hAnsi="Times New Roman"/>
          <w:sz w:val="24"/>
          <w:szCs w:val="24"/>
        </w:rPr>
        <w:t xml:space="preserve">. </w:t>
      </w:r>
      <w:r w:rsidRPr="00C239CB">
        <w:rPr>
          <w:rFonts w:ascii="Times New Roman" w:hAnsi="Times New Roman"/>
          <w:i/>
          <w:sz w:val="24"/>
          <w:szCs w:val="24"/>
        </w:rPr>
        <w:t>The Journal of Risk Model Validation</w:t>
      </w:r>
      <w:r>
        <w:rPr>
          <w:rFonts w:ascii="Times New Roman" w:hAnsi="Times New Roman"/>
          <w:i/>
          <w:sz w:val="24"/>
          <w:szCs w:val="24"/>
        </w:rPr>
        <w:t>, 9(3)</w:t>
      </w:r>
      <w:r>
        <w:rPr>
          <w:rFonts w:ascii="Times New Roman" w:hAnsi="Times New Roman"/>
          <w:sz w:val="24"/>
          <w:szCs w:val="24"/>
        </w:rPr>
        <w:t>, 41–70.</w:t>
      </w:r>
    </w:p>
    <w:p w:rsidR="00664CD7" w:rsidRPr="00A648A9" w:rsidRDefault="00664CD7" w:rsidP="00664CD7">
      <w:pPr>
        <w:spacing w:after="80" w:line="240" w:lineRule="auto"/>
        <w:ind w:left="480" w:hangingChars="200" w:hanging="480"/>
        <w:rPr>
          <w:rFonts w:ascii="Times New Roman" w:hAnsi="Times New Roman"/>
          <w:color w:val="000000"/>
          <w:sz w:val="24"/>
          <w:szCs w:val="24"/>
        </w:rPr>
      </w:pPr>
      <w:r w:rsidRPr="00A648A9">
        <w:rPr>
          <w:rFonts w:ascii="Times New Roman" w:hAnsi="Times New Roman"/>
          <w:sz w:val="24"/>
          <w:szCs w:val="24"/>
        </w:rPr>
        <w:t xml:space="preserve">Jacobs, Jr., M.. (2017). A mixture of distributions model for the term structure of interest rates with an application to risk management. </w:t>
      </w:r>
      <w:r w:rsidRPr="00A648A9">
        <w:rPr>
          <w:rFonts w:ascii="Times New Roman" w:hAnsi="Times New Roman"/>
          <w:i/>
          <w:sz w:val="24"/>
          <w:szCs w:val="24"/>
        </w:rPr>
        <w:t>American Research Journal of Business and Manag</w:t>
      </w:r>
      <w:r w:rsidRPr="00A648A9">
        <w:rPr>
          <w:rFonts w:ascii="Times New Roman" w:hAnsi="Times New Roman"/>
          <w:i/>
          <w:sz w:val="24"/>
          <w:szCs w:val="24"/>
        </w:rPr>
        <w:t>e</w:t>
      </w:r>
      <w:r w:rsidRPr="00A648A9">
        <w:rPr>
          <w:rFonts w:ascii="Times New Roman" w:hAnsi="Times New Roman"/>
          <w:i/>
          <w:sz w:val="24"/>
          <w:szCs w:val="24"/>
        </w:rPr>
        <w:t>ment, 3(1)</w:t>
      </w:r>
      <w:r w:rsidRPr="00A648A9">
        <w:rPr>
          <w:rFonts w:ascii="Times New Roman" w:hAnsi="Times New Roman"/>
          <w:sz w:val="24"/>
          <w:szCs w:val="24"/>
        </w:rPr>
        <w:t>, 1-17.</w:t>
      </w:r>
    </w:p>
    <w:p w:rsidR="00664CD7" w:rsidRDefault="00664CD7" w:rsidP="00664CD7">
      <w:pPr>
        <w:spacing w:after="80" w:line="240" w:lineRule="auto"/>
        <w:ind w:left="480" w:hangingChars="200" w:hanging="480"/>
        <w:rPr>
          <w:rFonts w:ascii="Times New Roman" w:hAnsi="Times New Roman"/>
          <w:sz w:val="24"/>
          <w:szCs w:val="24"/>
        </w:rPr>
      </w:pPr>
      <w:r>
        <w:rPr>
          <w:rFonts w:ascii="Times New Roman" w:hAnsi="Times New Roman"/>
          <w:color w:val="000000"/>
          <w:sz w:val="24"/>
          <w:szCs w:val="24"/>
        </w:rPr>
        <w:t>Jacobs, Jr., M.</w:t>
      </w:r>
      <w:r>
        <w:rPr>
          <w:rFonts w:ascii="Times New Roman" w:hAnsi="Times New Roman"/>
          <w:sz w:val="24"/>
          <w:szCs w:val="24"/>
          <w:u w:val="single"/>
        </w:rPr>
        <w:t>,</w:t>
      </w:r>
      <w:r>
        <w:rPr>
          <w:rFonts w:ascii="Times New Roman" w:hAnsi="Times New Roman"/>
          <w:sz w:val="24"/>
          <w:szCs w:val="24"/>
        </w:rPr>
        <w:t xml:space="preserve"> &amp; Sensenbrenner, F.J. (2018a). A comparison of methodologies in the stress testing of credit risk – alternative scenario and dependency constructs. </w:t>
      </w:r>
      <w:r>
        <w:rPr>
          <w:rFonts w:ascii="Times New Roman" w:hAnsi="Times New Roman"/>
          <w:i/>
          <w:sz w:val="24"/>
          <w:szCs w:val="24"/>
        </w:rPr>
        <w:t>Quantitative Finance and Economics 2(2)</w:t>
      </w:r>
      <w:r>
        <w:rPr>
          <w:rFonts w:ascii="Times New Roman" w:hAnsi="Times New Roman"/>
          <w:sz w:val="24"/>
          <w:szCs w:val="24"/>
        </w:rPr>
        <w:t xml:space="preserve">, 294–324. </w:t>
      </w:r>
    </w:p>
    <w:p w:rsidR="00664CD7" w:rsidRDefault="00664CD7" w:rsidP="00664CD7">
      <w:pPr>
        <w:spacing w:after="80" w:line="240" w:lineRule="auto"/>
        <w:ind w:left="440" w:hangingChars="200" w:hanging="440"/>
        <w:rPr>
          <w:rFonts w:ascii="Times New Roman" w:hAnsi="Times New Roman"/>
          <w:sz w:val="24"/>
          <w:szCs w:val="24"/>
        </w:rPr>
      </w:pPr>
      <w:r w:rsidRPr="009E67EA">
        <w:rPr>
          <w:rFonts w:ascii="Bauer Bodoni D" w:hAnsi="Bauer Bodoni D"/>
        </w:rPr>
        <w:t xml:space="preserve">Jacobs, </w:t>
      </w:r>
      <w:r>
        <w:rPr>
          <w:rFonts w:ascii="Bauer Bodoni D" w:hAnsi="Bauer Bodoni D"/>
        </w:rPr>
        <w:t xml:space="preserve">Jr., </w:t>
      </w:r>
      <w:r w:rsidRPr="009E67EA">
        <w:rPr>
          <w:rFonts w:ascii="Bauer Bodoni D" w:hAnsi="Bauer Bodoni D"/>
        </w:rPr>
        <w:t>M</w:t>
      </w:r>
      <w:r>
        <w:rPr>
          <w:rFonts w:ascii="Bauer Bodoni D" w:hAnsi="Bauer Bodoni D"/>
        </w:rPr>
        <w:t>. (2</w:t>
      </w:r>
      <w:r w:rsidRPr="009E67EA">
        <w:rPr>
          <w:rFonts w:ascii="Bauer Bodoni D" w:hAnsi="Bauer Bodoni D"/>
        </w:rPr>
        <w:t>01</w:t>
      </w:r>
      <w:r>
        <w:rPr>
          <w:rFonts w:ascii="Bauer Bodoni D" w:hAnsi="Bauer Bodoni D"/>
        </w:rPr>
        <w:t>8b).</w:t>
      </w:r>
      <w:r w:rsidRPr="009E67EA">
        <w:rPr>
          <w:rFonts w:ascii="Bauer Bodoni D" w:hAnsi="Bauer Bodoni D"/>
        </w:rPr>
        <w:t xml:space="preserve"> </w:t>
      </w:r>
      <w:r w:rsidRPr="00633803">
        <w:rPr>
          <w:rFonts w:ascii="Bauer Bodoni D" w:hAnsi="Bauer Bodoni D"/>
        </w:rPr>
        <w:t xml:space="preserve">The </w:t>
      </w:r>
      <w:r>
        <w:rPr>
          <w:rFonts w:ascii="Bauer Bodoni D" w:hAnsi="Bauer Bodoni D"/>
        </w:rPr>
        <w:t>v</w:t>
      </w:r>
      <w:r w:rsidRPr="00633803">
        <w:rPr>
          <w:rFonts w:ascii="Bauer Bodoni D" w:hAnsi="Bauer Bodoni D"/>
        </w:rPr>
        <w:t>alidati</w:t>
      </w:r>
      <w:r>
        <w:rPr>
          <w:rFonts w:ascii="Bauer Bodoni D" w:hAnsi="Bauer Bodoni D"/>
        </w:rPr>
        <w:t xml:space="preserve">on of machine learning models </w:t>
      </w:r>
      <w:r w:rsidRPr="00633803">
        <w:rPr>
          <w:rFonts w:ascii="Bauer Bodoni D" w:hAnsi="Bauer Bodoni D"/>
        </w:rPr>
        <w:t xml:space="preserve">for the </w:t>
      </w:r>
      <w:r>
        <w:rPr>
          <w:rFonts w:ascii="Bauer Bodoni D" w:hAnsi="Bauer Bodoni D"/>
        </w:rPr>
        <w:t>s</w:t>
      </w:r>
      <w:r w:rsidRPr="00633803">
        <w:rPr>
          <w:rFonts w:ascii="Bauer Bodoni D" w:hAnsi="Bauer Bodoni D"/>
        </w:rPr>
        <w:t xml:space="preserve">tress </w:t>
      </w:r>
      <w:r>
        <w:rPr>
          <w:rFonts w:ascii="Bauer Bodoni D" w:hAnsi="Bauer Bodoni D"/>
        </w:rPr>
        <w:t>t</w:t>
      </w:r>
      <w:r w:rsidRPr="00633803">
        <w:rPr>
          <w:rFonts w:ascii="Bauer Bodoni D" w:hAnsi="Bauer Bodoni D"/>
        </w:rPr>
        <w:t xml:space="preserve">esting of </w:t>
      </w:r>
      <w:r>
        <w:rPr>
          <w:rFonts w:ascii="Bauer Bodoni D" w:hAnsi="Bauer Bodoni D"/>
        </w:rPr>
        <w:t>c</w:t>
      </w:r>
      <w:r w:rsidRPr="00633803">
        <w:rPr>
          <w:rFonts w:ascii="Bauer Bodoni D" w:hAnsi="Bauer Bodoni D"/>
        </w:rPr>
        <w:t xml:space="preserve">redit </w:t>
      </w:r>
      <w:r>
        <w:rPr>
          <w:rFonts w:ascii="Bauer Bodoni D" w:hAnsi="Bauer Bodoni D"/>
        </w:rPr>
        <w:t>r</w:t>
      </w:r>
      <w:r w:rsidRPr="00633803">
        <w:rPr>
          <w:rFonts w:ascii="Bauer Bodoni D" w:hAnsi="Bauer Bodoni D"/>
        </w:rPr>
        <w:t>isk</w:t>
      </w:r>
      <w:r>
        <w:rPr>
          <w:rFonts w:ascii="Bauer Bodoni D" w:hAnsi="Bauer Bodoni D"/>
        </w:rPr>
        <w:t>.</w:t>
      </w:r>
      <w:r w:rsidRPr="009E67EA">
        <w:rPr>
          <w:rFonts w:ascii="Bauer Bodoni D" w:hAnsi="Bauer Bodoni D"/>
        </w:rPr>
        <w:t xml:space="preserve"> </w:t>
      </w:r>
      <w:r w:rsidRPr="005C0C64">
        <w:rPr>
          <w:rFonts w:ascii="Bauer Bodoni D" w:hAnsi="Bauer Bodoni D"/>
          <w:i/>
        </w:rPr>
        <w:t xml:space="preserve">The </w:t>
      </w:r>
      <w:r w:rsidRPr="00145D17">
        <w:rPr>
          <w:rFonts w:ascii="Bauer Bodoni D" w:hAnsi="Bauer Bodoni D"/>
          <w:i/>
        </w:rPr>
        <w:t xml:space="preserve">Journal of Risk </w:t>
      </w:r>
      <w:r>
        <w:rPr>
          <w:rFonts w:ascii="Bauer Bodoni D" w:hAnsi="Bauer Bodoni D"/>
          <w:i/>
        </w:rPr>
        <w:t xml:space="preserve">Management in </w:t>
      </w:r>
      <w:r w:rsidRPr="00145D17">
        <w:rPr>
          <w:rFonts w:ascii="Bauer Bodoni D" w:hAnsi="Bauer Bodoni D"/>
          <w:i/>
        </w:rPr>
        <w:t xml:space="preserve">Financial </w:t>
      </w:r>
      <w:r>
        <w:rPr>
          <w:rFonts w:ascii="Bauer Bodoni D" w:hAnsi="Bauer Bodoni D"/>
          <w:i/>
        </w:rPr>
        <w:t xml:space="preserve">Institutions </w:t>
      </w:r>
      <w:r w:rsidRPr="00881D94">
        <w:rPr>
          <w:rFonts w:ascii="Bauer Bodoni D" w:hAnsi="Bauer Bodoni D"/>
          <w:i/>
        </w:rPr>
        <w:t>11(3)</w:t>
      </w:r>
      <w:r>
        <w:rPr>
          <w:rFonts w:ascii="Bauer Bodoni D" w:hAnsi="Bauer Bodoni D"/>
        </w:rPr>
        <w:t>, 1-26.</w:t>
      </w:r>
    </w:p>
    <w:p w:rsidR="00664CD7" w:rsidRPr="00E4021A" w:rsidRDefault="00664CD7" w:rsidP="00664CD7">
      <w:pPr>
        <w:spacing w:after="80" w:line="240" w:lineRule="auto"/>
        <w:ind w:left="480" w:hangingChars="200" w:hanging="480"/>
        <w:rPr>
          <w:rFonts w:ascii="Times New Roman" w:hAnsi="Times New Roman"/>
          <w:sz w:val="24"/>
          <w:szCs w:val="24"/>
        </w:rPr>
      </w:pPr>
      <w:r w:rsidRPr="00E4021A">
        <w:rPr>
          <w:rFonts w:ascii="Times New Roman" w:hAnsi="Times New Roman"/>
          <w:sz w:val="24"/>
          <w:szCs w:val="24"/>
        </w:rPr>
        <w:t xml:space="preserve">Jacobs, Jr., M. </w:t>
      </w:r>
      <w:r>
        <w:rPr>
          <w:rFonts w:ascii="Times New Roman" w:hAnsi="Times New Roman"/>
          <w:sz w:val="24"/>
          <w:szCs w:val="24"/>
        </w:rPr>
        <w:t>(</w:t>
      </w:r>
      <w:r w:rsidRPr="00E4021A">
        <w:rPr>
          <w:rFonts w:ascii="Times New Roman" w:hAnsi="Times New Roman"/>
          <w:sz w:val="24"/>
          <w:szCs w:val="24"/>
        </w:rPr>
        <w:t>201</w:t>
      </w:r>
      <w:r>
        <w:rPr>
          <w:rFonts w:ascii="Times New Roman" w:hAnsi="Times New Roman"/>
          <w:sz w:val="24"/>
          <w:szCs w:val="24"/>
        </w:rPr>
        <w:t>9).</w:t>
      </w:r>
      <w:r w:rsidRPr="00E4021A">
        <w:rPr>
          <w:rFonts w:ascii="Times New Roman" w:hAnsi="Times New Roman"/>
          <w:sz w:val="24"/>
          <w:szCs w:val="24"/>
        </w:rPr>
        <w:t xml:space="preserve"> An </w:t>
      </w:r>
      <w:r>
        <w:rPr>
          <w:rFonts w:ascii="Times New Roman" w:hAnsi="Times New Roman"/>
          <w:sz w:val="24"/>
          <w:szCs w:val="24"/>
        </w:rPr>
        <w:t>a</w:t>
      </w:r>
      <w:r w:rsidRPr="00E4021A">
        <w:rPr>
          <w:rFonts w:ascii="Times New Roman" w:hAnsi="Times New Roman"/>
          <w:sz w:val="24"/>
          <w:szCs w:val="24"/>
        </w:rPr>
        <w:t xml:space="preserve">nalysis of the </w:t>
      </w:r>
      <w:r>
        <w:rPr>
          <w:rFonts w:ascii="Times New Roman" w:hAnsi="Times New Roman"/>
          <w:sz w:val="24"/>
          <w:szCs w:val="24"/>
        </w:rPr>
        <w:t>i</w:t>
      </w:r>
      <w:r w:rsidRPr="00E4021A">
        <w:rPr>
          <w:rFonts w:ascii="Times New Roman" w:hAnsi="Times New Roman"/>
          <w:sz w:val="24"/>
          <w:szCs w:val="24"/>
        </w:rPr>
        <w:t xml:space="preserve">mpact of </w:t>
      </w:r>
      <w:r>
        <w:rPr>
          <w:rFonts w:ascii="Times New Roman" w:hAnsi="Times New Roman"/>
          <w:sz w:val="24"/>
          <w:szCs w:val="24"/>
        </w:rPr>
        <w:t>m</w:t>
      </w:r>
      <w:r w:rsidRPr="00E4021A">
        <w:rPr>
          <w:rFonts w:ascii="Times New Roman" w:hAnsi="Times New Roman"/>
          <w:sz w:val="24"/>
          <w:szCs w:val="24"/>
        </w:rPr>
        <w:t xml:space="preserve">odeling </w:t>
      </w:r>
      <w:r>
        <w:rPr>
          <w:rFonts w:ascii="Times New Roman" w:hAnsi="Times New Roman"/>
          <w:sz w:val="24"/>
          <w:szCs w:val="24"/>
        </w:rPr>
        <w:t>a</w:t>
      </w:r>
      <w:r w:rsidRPr="00E4021A">
        <w:rPr>
          <w:rFonts w:ascii="Times New Roman" w:hAnsi="Times New Roman"/>
          <w:sz w:val="24"/>
          <w:szCs w:val="24"/>
        </w:rPr>
        <w:t xml:space="preserve">ssumptions in the Current Expected Credit Loss (CECL) </w:t>
      </w:r>
      <w:r>
        <w:rPr>
          <w:rFonts w:ascii="Times New Roman" w:hAnsi="Times New Roman"/>
          <w:sz w:val="24"/>
          <w:szCs w:val="24"/>
        </w:rPr>
        <w:t>f</w:t>
      </w:r>
      <w:r w:rsidRPr="00E4021A">
        <w:rPr>
          <w:rFonts w:ascii="Times New Roman" w:hAnsi="Times New Roman"/>
          <w:sz w:val="24"/>
          <w:szCs w:val="24"/>
        </w:rPr>
        <w:t xml:space="preserve">ramework on the </w:t>
      </w:r>
      <w:r>
        <w:rPr>
          <w:rFonts w:ascii="Times New Roman" w:hAnsi="Times New Roman"/>
          <w:sz w:val="24"/>
          <w:szCs w:val="24"/>
        </w:rPr>
        <w:t>p</w:t>
      </w:r>
      <w:r w:rsidRPr="00E4021A">
        <w:rPr>
          <w:rFonts w:ascii="Times New Roman" w:hAnsi="Times New Roman"/>
          <w:sz w:val="24"/>
          <w:szCs w:val="24"/>
        </w:rPr>
        <w:t xml:space="preserve">rovisioning for </w:t>
      </w:r>
      <w:r>
        <w:rPr>
          <w:rFonts w:ascii="Times New Roman" w:hAnsi="Times New Roman"/>
          <w:sz w:val="24"/>
          <w:szCs w:val="24"/>
        </w:rPr>
        <w:t>c</w:t>
      </w:r>
      <w:r w:rsidRPr="00E4021A">
        <w:rPr>
          <w:rFonts w:ascii="Times New Roman" w:hAnsi="Times New Roman"/>
          <w:sz w:val="24"/>
          <w:szCs w:val="24"/>
        </w:rPr>
        <w:t xml:space="preserve">redit </w:t>
      </w:r>
      <w:r>
        <w:rPr>
          <w:rFonts w:ascii="Times New Roman" w:hAnsi="Times New Roman"/>
          <w:sz w:val="24"/>
          <w:szCs w:val="24"/>
        </w:rPr>
        <w:t>l</w:t>
      </w:r>
      <w:r w:rsidRPr="00E4021A">
        <w:rPr>
          <w:rFonts w:ascii="Times New Roman" w:hAnsi="Times New Roman"/>
          <w:sz w:val="24"/>
          <w:szCs w:val="24"/>
        </w:rPr>
        <w:t>oss</w:t>
      </w:r>
      <w:r>
        <w:rPr>
          <w:rFonts w:ascii="Times New Roman" w:hAnsi="Times New Roman"/>
          <w:sz w:val="24"/>
          <w:szCs w:val="24"/>
        </w:rPr>
        <w:t>.</w:t>
      </w:r>
      <w:r w:rsidRPr="00E4021A">
        <w:rPr>
          <w:rFonts w:ascii="Times New Roman" w:hAnsi="Times New Roman"/>
          <w:sz w:val="24"/>
          <w:szCs w:val="24"/>
        </w:rPr>
        <w:t xml:space="preserve"> </w:t>
      </w:r>
      <w:r w:rsidRPr="00E4021A">
        <w:rPr>
          <w:rFonts w:ascii="Times New Roman" w:hAnsi="Times New Roman"/>
          <w:i/>
          <w:sz w:val="24"/>
          <w:szCs w:val="24"/>
        </w:rPr>
        <w:t xml:space="preserve">The Journal of Risk </w:t>
      </w:r>
      <w:r>
        <w:rPr>
          <w:rFonts w:ascii="Times New Roman" w:hAnsi="Times New Roman"/>
          <w:i/>
          <w:sz w:val="24"/>
          <w:szCs w:val="24"/>
        </w:rPr>
        <w:t>and Control</w:t>
      </w:r>
      <w:r w:rsidRPr="00655B22">
        <w:rPr>
          <w:rFonts w:ascii="Times New Roman" w:hAnsi="Times New Roman"/>
          <w:i/>
          <w:sz w:val="24"/>
          <w:szCs w:val="24"/>
        </w:rPr>
        <w:t xml:space="preserve"> 6(1)</w:t>
      </w:r>
      <w:r w:rsidRPr="00E4021A">
        <w:rPr>
          <w:rFonts w:ascii="Times New Roman" w:hAnsi="Times New Roman"/>
          <w:sz w:val="24"/>
          <w:szCs w:val="24"/>
        </w:rPr>
        <w:t xml:space="preserve">, </w:t>
      </w:r>
      <w:r>
        <w:rPr>
          <w:rFonts w:ascii="Times New Roman" w:hAnsi="Times New Roman"/>
          <w:sz w:val="24"/>
          <w:szCs w:val="24"/>
        </w:rPr>
        <w:t>65</w:t>
      </w:r>
      <w:r w:rsidRPr="00E4021A">
        <w:rPr>
          <w:rFonts w:ascii="Times New Roman" w:hAnsi="Times New Roman"/>
          <w:sz w:val="24"/>
          <w:szCs w:val="24"/>
        </w:rPr>
        <w:t>–1</w:t>
      </w:r>
      <w:r>
        <w:rPr>
          <w:rFonts w:ascii="Times New Roman" w:hAnsi="Times New Roman"/>
          <w:sz w:val="24"/>
          <w:szCs w:val="24"/>
        </w:rPr>
        <w:t>13</w:t>
      </w:r>
      <w:r w:rsidRPr="00E4021A">
        <w:rPr>
          <w:rFonts w:ascii="Times New Roman" w:hAnsi="Times New Roman"/>
          <w:sz w:val="24"/>
          <w:szCs w:val="24"/>
        </w:rPr>
        <w:t>.</w:t>
      </w:r>
    </w:p>
    <w:p w:rsidR="009E0B8D" w:rsidRDefault="009E0B8D" w:rsidP="009E0B8D">
      <w:pPr>
        <w:spacing w:after="80" w:line="240" w:lineRule="auto"/>
        <w:ind w:left="480" w:hangingChars="200" w:hanging="480"/>
        <w:rPr>
          <w:rFonts w:ascii="Times New Roman" w:hAnsi="Times New Roman"/>
          <w:sz w:val="24"/>
          <w:szCs w:val="24"/>
        </w:rPr>
      </w:pPr>
      <w:r w:rsidRPr="009E0B8D">
        <w:rPr>
          <w:rFonts w:ascii="Times New Roman" w:hAnsi="Times New Roman"/>
          <w:sz w:val="24"/>
          <w:szCs w:val="24"/>
        </w:rPr>
        <w:t>Jacobs, Jr., M</w:t>
      </w:r>
      <w:r>
        <w:rPr>
          <w:rFonts w:ascii="Times New Roman" w:hAnsi="Times New Roman"/>
          <w:sz w:val="24"/>
          <w:szCs w:val="24"/>
        </w:rPr>
        <w:t>.</w:t>
      </w:r>
      <w:r w:rsidRPr="009E0B8D">
        <w:rPr>
          <w:rFonts w:ascii="Times New Roman" w:hAnsi="Times New Roman"/>
          <w:sz w:val="24"/>
          <w:szCs w:val="24"/>
        </w:rPr>
        <w:t xml:space="preserve"> </w:t>
      </w:r>
      <w:r>
        <w:rPr>
          <w:rFonts w:ascii="Times New Roman" w:hAnsi="Times New Roman"/>
          <w:sz w:val="24"/>
          <w:szCs w:val="24"/>
        </w:rPr>
        <w:t>(</w:t>
      </w:r>
      <w:r w:rsidRPr="009E0B8D">
        <w:rPr>
          <w:rFonts w:ascii="Times New Roman" w:hAnsi="Times New Roman"/>
          <w:sz w:val="24"/>
          <w:szCs w:val="24"/>
        </w:rPr>
        <w:t>2019</w:t>
      </w:r>
      <w:r>
        <w:rPr>
          <w:rFonts w:ascii="Times New Roman" w:hAnsi="Times New Roman"/>
          <w:sz w:val="24"/>
          <w:szCs w:val="24"/>
        </w:rPr>
        <w:t>).</w:t>
      </w:r>
      <w:r w:rsidRPr="009E0B8D">
        <w:rPr>
          <w:rFonts w:ascii="Times New Roman" w:hAnsi="Times New Roman"/>
          <w:sz w:val="24"/>
          <w:szCs w:val="24"/>
        </w:rPr>
        <w:t xml:space="preserve"> The accuracy of alternative supervisory methodologies for the stress testing of credit risk</w:t>
      </w:r>
      <w:r>
        <w:rPr>
          <w:rFonts w:ascii="Times New Roman" w:hAnsi="Times New Roman"/>
          <w:sz w:val="24"/>
          <w:szCs w:val="24"/>
        </w:rPr>
        <w:t>.</w:t>
      </w:r>
      <w:r w:rsidRPr="009E0B8D">
        <w:rPr>
          <w:rFonts w:ascii="Times New Roman" w:hAnsi="Times New Roman"/>
          <w:sz w:val="24"/>
          <w:szCs w:val="24"/>
        </w:rPr>
        <w:t xml:space="preserve"> (August)</w:t>
      </w:r>
      <w:r>
        <w:rPr>
          <w:rFonts w:ascii="Times New Roman" w:hAnsi="Times New Roman"/>
          <w:sz w:val="24"/>
          <w:szCs w:val="24"/>
        </w:rPr>
        <w:t xml:space="preserve">. </w:t>
      </w:r>
      <w:r w:rsidRPr="009E0B8D">
        <w:rPr>
          <w:rFonts w:ascii="Times New Roman" w:hAnsi="Times New Roman"/>
          <w:sz w:val="24"/>
          <w:szCs w:val="24"/>
        </w:rPr>
        <w:t xml:space="preserve">Forthcoming </w:t>
      </w:r>
      <w:r w:rsidRPr="009E0B8D">
        <w:rPr>
          <w:rFonts w:ascii="Times New Roman" w:hAnsi="Times New Roman"/>
          <w:i/>
          <w:sz w:val="24"/>
          <w:szCs w:val="24"/>
        </w:rPr>
        <w:t>The Journal of Financial Engineering and Risk Ma</w:t>
      </w:r>
      <w:r w:rsidRPr="009E0B8D">
        <w:rPr>
          <w:rFonts w:ascii="Times New Roman" w:hAnsi="Times New Roman"/>
          <w:i/>
          <w:sz w:val="24"/>
          <w:szCs w:val="24"/>
        </w:rPr>
        <w:t>n</w:t>
      </w:r>
      <w:r w:rsidRPr="009E0B8D">
        <w:rPr>
          <w:rFonts w:ascii="Times New Roman" w:hAnsi="Times New Roman"/>
          <w:i/>
          <w:sz w:val="24"/>
          <w:szCs w:val="24"/>
        </w:rPr>
        <w:t>agement</w:t>
      </w:r>
      <w:r w:rsidRPr="009E0B8D">
        <w:rPr>
          <w:rFonts w:ascii="Times New Roman" w:hAnsi="Times New Roman"/>
          <w:sz w:val="24"/>
          <w:szCs w:val="24"/>
        </w:rPr>
        <w:t>.</w:t>
      </w:r>
    </w:p>
    <w:p w:rsidR="00664CD7" w:rsidRDefault="00664CD7" w:rsidP="00664CD7">
      <w:pPr>
        <w:spacing w:after="80" w:line="240" w:lineRule="auto"/>
        <w:ind w:left="480" w:hangingChars="200" w:hanging="480"/>
        <w:rPr>
          <w:rFonts w:ascii="Times New Roman" w:hAnsi="Times New Roman"/>
          <w:sz w:val="24"/>
          <w:szCs w:val="24"/>
        </w:rPr>
      </w:pPr>
      <w:r w:rsidRPr="00494EA9">
        <w:rPr>
          <w:rFonts w:ascii="Times New Roman" w:hAnsi="Times New Roman"/>
          <w:sz w:val="24"/>
          <w:szCs w:val="24"/>
        </w:rPr>
        <w:t xml:space="preserve">Joaquin M., &amp; </w:t>
      </w:r>
      <w:proofErr w:type="spellStart"/>
      <w:r w:rsidRPr="00494EA9">
        <w:rPr>
          <w:rFonts w:ascii="Times New Roman" w:hAnsi="Times New Roman"/>
          <w:sz w:val="24"/>
          <w:szCs w:val="24"/>
        </w:rPr>
        <w:t>Mukerji</w:t>
      </w:r>
      <w:proofErr w:type="spellEnd"/>
      <w:r w:rsidRPr="00494EA9">
        <w:rPr>
          <w:rFonts w:ascii="Times New Roman" w:hAnsi="Times New Roman"/>
          <w:sz w:val="24"/>
          <w:szCs w:val="24"/>
        </w:rPr>
        <w:t>, J. (2003). MDA Guide. Object Management Group, Inc., Version 1.0.1., June.</w:t>
      </w:r>
    </w:p>
    <w:p w:rsidR="00664CD7" w:rsidRDefault="00664CD7" w:rsidP="00664CD7">
      <w:pPr>
        <w:spacing w:after="80" w:line="240" w:lineRule="auto"/>
        <w:ind w:left="480" w:hangingChars="200" w:hanging="480"/>
        <w:rPr>
          <w:rFonts w:ascii="Times New Roman" w:hAnsi="Times New Roman"/>
          <w:sz w:val="24"/>
          <w:szCs w:val="24"/>
        </w:rPr>
      </w:pPr>
      <w:proofErr w:type="spellStart"/>
      <w:r w:rsidRPr="00E15760">
        <w:rPr>
          <w:rFonts w:ascii="Times New Roman" w:hAnsi="Times New Roman"/>
          <w:sz w:val="24"/>
          <w:szCs w:val="24"/>
        </w:rPr>
        <w:t>Jouault</w:t>
      </w:r>
      <w:proofErr w:type="spellEnd"/>
      <w:r w:rsidRPr="00E15760">
        <w:rPr>
          <w:rFonts w:ascii="Times New Roman" w:hAnsi="Times New Roman"/>
          <w:sz w:val="24"/>
          <w:szCs w:val="24"/>
        </w:rPr>
        <w:t>, F.: Loosely Coupled Traceability for ATL In: Proceedings of the European Conference on Model Driven Architecture (ECMDA) workshop on traceability, Nuremberg, Germany (2005).</w:t>
      </w:r>
    </w:p>
    <w:p w:rsidR="00664CD7" w:rsidRDefault="00664CD7" w:rsidP="00664CD7">
      <w:pPr>
        <w:spacing w:after="80" w:line="240" w:lineRule="auto"/>
        <w:ind w:left="480" w:hangingChars="200" w:hanging="480"/>
        <w:rPr>
          <w:rFonts w:ascii="Times New Roman" w:hAnsi="Times New Roman"/>
          <w:sz w:val="24"/>
          <w:szCs w:val="24"/>
        </w:rPr>
      </w:pPr>
      <w:r w:rsidRPr="00A86725">
        <w:rPr>
          <w:rFonts w:ascii="Times New Roman" w:hAnsi="Times New Roman"/>
          <w:sz w:val="24"/>
          <w:szCs w:val="24"/>
        </w:rPr>
        <w:lastRenderedPageBreak/>
        <w:t>Kishan, R., and Opiela, T (2000)</w:t>
      </w:r>
      <w:r>
        <w:rPr>
          <w:rFonts w:ascii="Times New Roman" w:hAnsi="Times New Roman"/>
          <w:sz w:val="24"/>
          <w:szCs w:val="24"/>
        </w:rPr>
        <w:t>.</w:t>
      </w:r>
      <w:r w:rsidRPr="00A86725">
        <w:rPr>
          <w:rFonts w:ascii="Times New Roman" w:hAnsi="Times New Roman"/>
          <w:sz w:val="24"/>
          <w:szCs w:val="24"/>
        </w:rPr>
        <w:t xml:space="preserve"> Bank </w:t>
      </w:r>
      <w:r>
        <w:rPr>
          <w:rFonts w:ascii="Times New Roman" w:hAnsi="Times New Roman"/>
          <w:sz w:val="24"/>
          <w:szCs w:val="24"/>
        </w:rPr>
        <w:t>s</w:t>
      </w:r>
      <w:r w:rsidRPr="00A86725">
        <w:rPr>
          <w:rFonts w:ascii="Times New Roman" w:hAnsi="Times New Roman"/>
          <w:sz w:val="24"/>
          <w:szCs w:val="24"/>
        </w:rPr>
        <w:t xml:space="preserve">ize, </w:t>
      </w:r>
      <w:r>
        <w:rPr>
          <w:rFonts w:ascii="Times New Roman" w:hAnsi="Times New Roman"/>
          <w:sz w:val="24"/>
          <w:szCs w:val="24"/>
        </w:rPr>
        <w:t>b</w:t>
      </w:r>
      <w:r w:rsidRPr="00A86725">
        <w:rPr>
          <w:rFonts w:ascii="Times New Roman" w:hAnsi="Times New Roman"/>
          <w:sz w:val="24"/>
          <w:szCs w:val="24"/>
        </w:rPr>
        <w:t xml:space="preserve">ank </w:t>
      </w:r>
      <w:r>
        <w:rPr>
          <w:rFonts w:ascii="Times New Roman" w:hAnsi="Times New Roman"/>
          <w:sz w:val="24"/>
          <w:szCs w:val="24"/>
        </w:rPr>
        <w:t>c</w:t>
      </w:r>
      <w:r w:rsidRPr="00A86725">
        <w:rPr>
          <w:rFonts w:ascii="Times New Roman" w:hAnsi="Times New Roman"/>
          <w:sz w:val="24"/>
          <w:szCs w:val="24"/>
        </w:rPr>
        <w:t xml:space="preserve">apital, and the </w:t>
      </w:r>
      <w:r>
        <w:rPr>
          <w:rFonts w:ascii="Times New Roman" w:hAnsi="Times New Roman"/>
          <w:sz w:val="24"/>
          <w:szCs w:val="24"/>
        </w:rPr>
        <w:t>b</w:t>
      </w:r>
      <w:r w:rsidRPr="00A86725">
        <w:rPr>
          <w:rFonts w:ascii="Times New Roman" w:hAnsi="Times New Roman"/>
          <w:sz w:val="24"/>
          <w:szCs w:val="24"/>
        </w:rPr>
        <w:t xml:space="preserve">ank </w:t>
      </w:r>
      <w:r>
        <w:rPr>
          <w:rFonts w:ascii="Times New Roman" w:hAnsi="Times New Roman"/>
          <w:sz w:val="24"/>
          <w:szCs w:val="24"/>
        </w:rPr>
        <w:t>l</w:t>
      </w:r>
      <w:r w:rsidRPr="00A86725">
        <w:rPr>
          <w:rFonts w:ascii="Times New Roman" w:hAnsi="Times New Roman"/>
          <w:sz w:val="24"/>
          <w:szCs w:val="24"/>
        </w:rPr>
        <w:t xml:space="preserve">ending </w:t>
      </w:r>
      <w:r>
        <w:rPr>
          <w:rFonts w:ascii="Times New Roman" w:hAnsi="Times New Roman"/>
          <w:sz w:val="24"/>
          <w:szCs w:val="24"/>
        </w:rPr>
        <w:t>c</w:t>
      </w:r>
      <w:r w:rsidRPr="00A86725">
        <w:rPr>
          <w:rFonts w:ascii="Times New Roman" w:hAnsi="Times New Roman"/>
          <w:sz w:val="24"/>
          <w:szCs w:val="24"/>
        </w:rPr>
        <w:t>hannel</w:t>
      </w:r>
      <w:r>
        <w:rPr>
          <w:rFonts w:ascii="Times New Roman" w:hAnsi="Times New Roman"/>
          <w:sz w:val="24"/>
          <w:szCs w:val="24"/>
        </w:rPr>
        <w:t xml:space="preserve">. </w:t>
      </w:r>
      <w:r w:rsidRPr="00A86725">
        <w:rPr>
          <w:rFonts w:ascii="Times New Roman" w:hAnsi="Times New Roman"/>
          <w:i/>
          <w:sz w:val="24"/>
          <w:szCs w:val="24"/>
        </w:rPr>
        <w:t>Journal of Money, Credit, and Banking 32</w:t>
      </w:r>
      <w:r w:rsidRPr="00A86725">
        <w:rPr>
          <w:rFonts w:ascii="Times New Roman" w:hAnsi="Times New Roman"/>
          <w:sz w:val="24"/>
          <w:szCs w:val="24"/>
        </w:rPr>
        <w:t>, 121-141.</w:t>
      </w:r>
    </w:p>
    <w:p w:rsidR="00664CD7" w:rsidRDefault="00664CD7" w:rsidP="00664CD7">
      <w:pPr>
        <w:spacing w:after="80" w:line="240" w:lineRule="auto"/>
        <w:ind w:left="480" w:hangingChars="200" w:hanging="480"/>
        <w:rPr>
          <w:rFonts w:ascii="Times New Roman" w:hAnsi="Times New Roman"/>
          <w:sz w:val="24"/>
          <w:szCs w:val="24"/>
        </w:rPr>
      </w:pPr>
      <w:r w:rsidRPr="00E15760">
        <w:rPr>
          <w:rFonts w:ascii="Times New Roman" w:hAnsi="Times New Roman"/>
          <w:sz w:val="24"/>
          <w:szCs w:val="24"/>
        </w:rPr>
        <w:t xml:space="preserve">Mellor, S., &amp; </w:t>
      </w:r>
      <w:proofErr w:type="spellStart"/>
      <w:r w:rsidRPr="00E15760">
        <w:rPr>
          <w:rFonts w:ascii="Times New Roman" w:hAnsi="Times New Roman"/>
          <w:sz w:val="24"/>
          <w:szCs w:val="24"/>
        </w:rPr>
        <w:t>Balcer</w:t>
      </w:r>
      <w:proofErr w:type="spellEnd"/>
      <w:r w:rsidRPr="00E15760">
        <w:rPr>
          <w:rFonts w:ascii="Times New Roman" w:hAnsi="Times New Roman"/>
          <w:sz w:val="24"/>
          <w:szCs w:val="24"/>
        </w:rPr>
        <w:t>, M. (2002). Executable UML A Foundation for Model-Driven Architecture.  Indianapolis , I.N.: Addison-Wesley.</w:t>
      </w:r>
    </w:p>
    <w:p w:rsidR="00664CD7" w:rsidRDefault="00664CD7" w:rsidP="00664CD7">
      <w:pPr>
        <w:spacing w:after="80" w:line="240" w:lineRule="auto"/>
        <w:ind w:left="480" w:hangingChars="200" w:hanging="480"/>
        <w:rPr>
          <w:rFonts w:ascii="Times New Roman" w:hAnsi="Times New Roman"/>
          <w:sz w:val="24"/>
          <w:szCs w:val="24"/>
        </w:rPr>
      </w:pPr>
      <w:r w:rsidRPr="00FC7D9F">
        <w:rPr>
          <w:rFonts w:ascii="Times New Roman" w:hAnsi="Times New Roman"/>
          <w:sz w:val="24"/>
          <w:szCs w:val="24"/>
        </w:rPr>
        <w:t xml:space="preserve">Oliver Wyman. (2017). Current Expected Loss (CECL) </w:t>
      </w:r>
      <w:r>
        <w:rPr>
          <w:rFonts w:ascii="Times New Roman" w:hAnsi="Times New Roman"/>
          <w:sz w:val="24"/>
          <w:szCs w:val="24"/>
        </w:rPr>
        <w:t>a</w:t>
      </w:r>
      <w:r w:rsidRPr="00FC7D9F">
        <w:rPr>
          <w:rFonts w:ascii="Times New Roman" w:hAnsi="Times New Roman"/>
          <w:sz w:val="24"/>
          <w:szCs w:val="24"/>
        </w:rPr>
        <w:t xml:space="preserve">ccounting: </w:t>
      </w:r>
      <w:r>
        <w:rPr>
          <w:rFonts w:ascii="Times New Roman" w:hAnsi="Times New Roman"/>
          <w:sz w:val="24"/>
          <w:szCs w:val="24"/>
        </w:rPr>
        <w:t>i</w:t>
      </w:r>
      <w:r w:rsidRPr="00FC7D9F">
        <w:rPr>
          <w:rFonts w:ascii="Times New Roman" w:hAnsi="Times New Roman"/>
          <w:sz w:val="24"/>
          <w:szCs w:val="24"/>
        </w:rPr>
        <w:t xml:space="preserve">t’s </w:t>
      </w:r>
      <w:r>
        <w:rPr>
          <w:rFonts w:ascii="Times New Roman" w:hAnsi="Times New Roman"/>
          <w:sz w:val="24"/>
          <w:szCs w:val="24"/>
        </w:rPr>
        <w:t>t</w:t>
      </w:r>
      <w:r w:rsidRPr="00FC7D9F">
        <w:rPr>
          <w:rFonts w:ascii="Times New Roman" w:hAnsi="Times New Roman"/>
          <w:sz w:val="24"/>
          <w:szCs w:val="24"/>
        </w:rPr>
        <w:t xml:space="preserve">ime to get </w:t>
      </w:r>
      <w:r>
        <w:rPr>
          <w:rFonts w:ascii="Times New Roman" w:hAnsi="Times New Roman"/>
          <w:sz w:val="24"/>
          <w:szCs w:val="24"/>
        </w:rPr>
        <w:t>m</w:t>
      </w:r>
      <w:r w:rsidRPr="00FC7D9F">
        <w:rPr>
          <w:rFonts w:ascii="Times New Roman" w:hAnsi="Times New Roman"/>
          <w:sz w:val="24"/>
          <w:szCs w:val="24"/>
        </w:rPr>
        <w:t>oving.</w:t>
      </w:r>
    </w:p>
    <w:p w:rsidR="00664CD7" w:rsidRDefault="00664CD7" w:rsidP="00664CD7">
      <w:pPr>
        <w:spacing w:after="80" w:line="240" w:lineRule="auto"/>
        <w:ind w:left="480" w:hangingChars="200" w:hanging="480"/>
        <w:rPr>
          <w:rFonts w:ascii="Times New Roman" w:hAnsi="Times New Roman"/>
          <w:sz w:val="24"/>
          <w:szCs w:val="24"/>
        </w:rPr>
      </w:pPr>
      <w:r>
        <w:rPr>
          <w:rFonts w:ascii="Times New Roman" w:hAnsi="Times New Roman"/>
          <w:sz w:val="24"/>
          <w:szCs w:val="24"/>
        </w:rPr>
        <w:t>R Development Core Team, 2019: “R: A Language and Environment for Statistical Computing.” R Foundation for Statistical Computing, Vienna, Austria, ISBN 3-900051-07-0.</w:t>
      </w:r>
    </w:p>
    <w:p w:rsidR="00664CD7" w:rsidRDefault="00664CD7" w:rsidP="00664CD7">
      <w:pPr>
        <w:spacing w:after="80" w:line="240" w:lineRule="auto"/>
        <w:ind w:left="480" w:hangingChars="200" w:hanging="480"/>
        <w:rPr>
          <w:rFonts w:ascii="Times New Roman" w:hAnsi="Times New Roman"/>
          <w:sz w:val="24"/>
          <w:szCs w:val="24"/>
        </w:rPr>
      </w:pPr>
      <w:r w:rsidRPr="00D92C08">
        <w:rPr>
          <w:rFonts w:ascii="Times New Roman" w:hAnsi="Times New Roman"/>
          <w:sz w:val="24"/>
          <w:szCs w:val="24"/>
        </w:rPr>
        <w:t xml:space="preserve">SAS Institute. (2015). The </w:t>
      </w:r>
      <w:r>
        <w:rPr>
          <w:rFonts w:ascii="Times New Roman" w:hAnsi="Times New Roman"/>
          <w:sz w:val="24"/>
          <w:szCs w:val="24"/>
        </w:rPr>
        <w:t>c</w:t>
      </w:r>
      <w:r w:rsidRPr="00D92C08">
        <w:rPr>
          <w:rFonts w:ascii="Times New Roman" w:hAnsi="Times New Roman"/>
          <w:sz w:val="24"/>
          <w:szCs w:val="24"/>
        </w:rPr>
        <w:t xml:space="preserve">urrent </w:t>
      </w:r>
      <w:r>
        <w:rPr>
          <w:rFonts w:ascii="Times New Roman" w:hAnsi="Times New Roman"/>
          <w:sz w:val="24"/>
          <w:szCs w:val="24"/>
        </w:rPr>
        <w:t>s</w:t>
      </w:r>
      <w:r w:rsidRPr="00D92C08">
        <w:rPr>
          <w:rFonts w:ascii="Times New Roman" w:hAnsi="Times New Roman"/>
          <w:sz w:val="24"/>
          <w:szCs w:val="24"/>
        </w:rPr>
        <w:t xml:space="preserve">tate of </w:t>
      </w:r>
      <w:r>
        <w:rPr>
          <w:rFonts w:ascii="Times New Roman" w:hAnsi="Times New Roman"/>
          <w:sz w:val="24"/>
          <w:szCs w:val="24"/>
        </w:rPr>
        <w:t>b</w:t>
      </w:r>
      <w:r w:rsidRPr="00D92C08">
        <w:rPr>
          <w:rFonts w:ascii="Times New Roman" w:hAnsi="Times New Roman"/>
          <w:sz w:val="24"/>
          <w:szCs w:val="24"/>
        </w:rPr>
        <w:t xml:space="preserve">anking </w:t>
      </w:r>
      <w:r>
        <w:rPr>
          <w:rFonts w:ascii="Times New Roman" w:hAnsi="Times New Roman"/>
          <w:sz w:val="24"/>
          <w:szCs w:val="24"/>
        </w:rPr>
        <w:t>s</w:t>
      </w:r>
      <w:r w:rsidRPr="00D92C08">
        <w:rPr>
          <w:rFonts w:ascii="Times New Roman" w:hAnsi="Times New Roman"/>
          <w:sz w:val="24"/>
          <w:szCs w:val="24"/>
        </w:rPr>
        <w:t xml:space="preserve">tress </w:t>
      </w:r>
      <w:r>
        <w:rPr>
          <w:rFonts w:ascii="Times New Roman" w:hAnsi="Times New Roman"/>
          <w:sz w:val="24"/>
          <w:szCs w:val="24"/>
        </w:rPr>
        <w:t>t</w:t>
      </w:r>
      <w:r w:rsidRPr="00D92C08">
        <w:rPr>
          <w:rFonts w:ascii="Times New Roman" w:hAnsi="Times New Roman"/>
          <w:sz w:val="24"/>
          <w:szCs w:val="24"/>
        </w:rPr>
        <w:t xml:space="preserve">esting </w:t>
      </w:r>
      <w:r>
        <w:rPr>
          <w:rFonts w:ascii="Times New Roman" w:hAnsi="Times New Roman"/>
          <w:sz w:val="24"/>
          <w:szCs w:val="24"/>
        </w:rPr>
        <w:t>t</w:t>
      </w:r>
      <w:r w:rsidRPr="00D92C08">
        <w:rPr>
          <w:rFonts w:ascii="Times New Roman" w:hAnsi="Times New Roman"/>
          <w:sz w:val="24"/>
          <w:szCs w:val="24"/>
        </w:rPr>
        <w:t xml:space="preserve">echnology.  </w:t>
      </w:r>
      <w:r w:rsidRPr="00D92C08">
        <w:rPr>
          <w:rFonts w:ascii="Times New Roman" w:hAnsi="Times New Roman"/>
          <w:i/>
          <w:sz w:val="24"/>
          <w:szCs w:val="24"/>
        </w:rPr>
        <w:t>Whitepaper No. 107977</w:t>
      </w:r>
      <w:r w:rsidRPr="00D92C08">
        <w:rPr>
          <w:rFonts w:ascii="Times New Roman" w:hAnsi="Times New Roman"/>
          <w:sz w:val="24"/>
          <w:szCs w:val="24"/>
        </w:rPr>
        <w:t>.</w:t>
      </w:r>
    </w:p>
    <w:p w:rsidR="00664CD7" w:rsidRDefault="00664CD7" w:rsidP="00664CD7">
      <w:pPr>
        <w:spacing w:after="80" w:line="240" w:lineRule="auto"/>
        <w:ind w:left="480" w:hangingChars="200" w:hanging="480"/>
        <w:rPr>
          <w:rFonts w:ascii="Times New Roman" w:hAnsi="Times New Roman"/>
          <w:sz w:val="24"/>
          <w:szCs w:val="24"/>
        </w:rPr>
      </w:pPr>
      <w:r>
        <w:rPr>
          <w:rFonts w:ascii="Times New Roman" w:hAnsi="Times New Roman"/>
          <w:sz w:val="24"/>
          <w:szCs w:val="24"/>
        </w:rPr>
        <w:t xml:space="preserve">Sims, C.A. (1980). Macroeconomics and reality. </w:t>
      </w:r>
      <w:r>
        <w:rPr>
          <w:rFonts w:ascii="Times New Roman" w:hAnsi="Times New Roman"/>
          <w:i/>
          <w:sz w:val="24"/>
          <w:szCs w:val="24"/>
        </w:rPr>
        <w:t>Econometrica</w:t>
      </w:r>
      <w:r>
        <w:rPr>
          <w:rFonts w:ascii="Times New Roman" w:hAnsi="Times New Roman"/>
          <w:sz w:val="24"/>
          <w:szCs w:val="24"/>
        </w:rPr>
        <w:t xml:space="preserve"> </w:t>
      </w:r>
      <w:r>
        <w:rPr>
          <w:rFonts w:ascii="Times New Roman" w:hAnsi="Times New Roman"/>
          <w:i/>
          <w:sz w:val="24"/>
          <w:szCs w:val="24"/>
        </w:rPr>
        <w:t>48</w:t>
      </w:r>
      <w:r>
        <w:rPr>
          <w:rFonts w:ascii="Times New Roman" w:hAnsi="Times New Roman"/>
          <w:sz w:val="24"/>
          <w:szCs w:val="24"/>
        </w:rPr>
        <w:t xml:space="preserve">, 1-48. </w:t>
      </w:r>
    </w:p>
    <w:p w:rsidR="00664CD7" w:rsidRDefault="00664CD7" w:rsidP="00664CD7">
      <w:pPr>
        <w:spacing w:after="80" w:line="240" w:lineRule="auto"/>
        <w:ind w:left="480" w:hangingChars="200" w:hanging="480"/>
        <w:rPr>
          <w:rFonts w:ascii="Times New Roman" w:hAnsi="Times New Roman"/>
          <w:color w:val="000000"/>
          <w:sz w:val="24"/>
          <w:szCs w:val="24"/>
        </w:rPr>
      </w:pPr>
      <w:r>
        <w:rPr>
          <w:rFonts w:ascii="Times New Roman" w:hAnsi="Times New Roman"/>
          <w:color w:val="000000"/>
          <w:sz w:val="24"/>
          <w:szCs w:val="24"/>
        </w:rPr>
        <w:t>Skoglund</w:t>
      </w:r>
      <w:r w:rsidRPr="00FF3CE9">
        <w:rPr>
          <w:rFonts w:ascii="Times New Roman" w:hAnsi="Times New Roman"/>
          <w:color w:val="000000"/>
          <w:sz w:val="24"/>
          <w:szCs w:val="24"/>
        </w:rPr>
        <w:t xml:space="preserve">, </w:t>
      </w:r>
      <w:r>
        <w:rPr>
          <w:rFonts w:ascii="Times New Roman" w:hAnsi="Times New Roman"/>
          <w:color w:val="000000"/>
          <w:sz w:val="24"/>
          <w:szCs w:val="24"/>
        </w:rPr>
        <w:t>J</w:t>
      </w:r>
      <w:r w:rsidRPr="00FF3CE9">
        <w:rPr>
          <w:rFonts w:ascii="Times New Roman" w:hAnsi="Times New Roman"/>
          <w:color w:val="000000"/>
          <w:sz w:val="24"/>
          <w:szCs w:val="24"/>
        </w:rPr>
        <w:t>., 20</w:t>
      </w:r>
      <w:r>
        <w:rPr>
          <w:rFonts w:ascii="Times New Roman" w:hAnsi="Times New Roman"/>
          <w:color w:val="000000"/>
          <w:sz w:val="24"/>
          <w:szCs w:val="24"/>
        </w:rPr>
        <w:t>18</w:t>
      </w:r>
      <w:r w:rsidRPr="00FF3CE9">
        <w:rPr>
          <w:rFonts w:ascii="Times New Roman" w:hAnsi="Times New Roman"/>
          <w:color w:val="000000"/>
          <w:sz w:val="24"/>
          <w:szCs w:val="24"/>
        </w:rPr>
        <w:t xml:space="preserve"> (</w:t>
      </w:r>
      <w:r>
        <w:rPr>
          <w:rFonts w:ascii="Times New Roman" w:hAnsi="Times New Roman"/>
          <w:color w:val="000000"/>
          <w:sz w:val="24"/>
          <w:szCs w:val="24"/>
        </w:rPr>
        <w:t>April</w:t>
      </w:r>
      <w:r w:rsidRPr="00FF3CE9">
        <w:rPr>
          <w:rFonts w:ascii="Times New Roman" w:hAnsi="Times New Roman"/>
          <w:color w:val="000000"/>
          <w:sz w:val="24"/>
          <w:szCs w:val="24"/>
        </w:rPr>
        <w:t>), "</w:t>
      </w:r>
      <w:r>
        <w:rPr>
          <w:rFonts w:ascii="Times New Roman" w:hAnsi="Times New Roman"/>
          <w:color w:val="000000"/>
          <w:sz w:val="24"/>
          <w:szCs w:val="24"/>
        </w:rPr>
        <w:t>Quantification of Model Risk in Stress Testing and Scenario Anal</w:t>
      </w:r>
      <w:r>
        <w:rPr>
          <w:rFonts w:ascii="Times New Roman" w:hAnsi="Times New Roman"/>
          <w:color w:val="000000"/>
          <w:sz w:val="24"/>
          <w:szCs w:val="24"/>
        </w:rPr>
        <w:t>y</w:t>
      </w:r>
      <w:r>
        <w:rPr>
          <w:rFonts w:ascii="Times New Roman" w:hAnsi="Times New Roman"/>
          <w:color w:val="000000"/>
          <w:sz w:val="24"/>
          <w:szCs w:val="24"/>
        </w:rPr>
        <w:t>sis</w:t>
      </w:r>
      <w:r w:rsidRPr="00FF3CE9">
        <w:rPr>
          <w:rFonts w:ascii="Times New Roman" w:hAnsi="Times New Roman"/>
          <w:color w:val="000000"/>
          <w:sz w:val="24"/>
          <w:szCs w:val="24"/>
        </w:rPr>
        <w:t xml:space="preserve">", </w:t>
      </w:r>
      <w:r>
        <w:rPr>
          <w:rFonts w:ascii="Times New Roman" w:hAnsi="Times New Roman"/>
          <w:i/>
          <w:color w:val="000000"/>
          <w:sz w:val="24"/>
          <w:szCs w:val="24"/>
        </w:rPr>
        <w:t>SAS Institute</w:t>
      </w:r>
      <w:r>
        <w:rPr>
          <w:rFonts w:ascii="Times New Roman" w:hAnsi="Times New Roman"/>
          <w:color w:val="000000"/>
          <w:sz w:val="24"/>
          <w:szCs w:val="24"/>
        </w:rPr>
        <w:t>.</w:t>
      </w:r>
    </w:p>
    <w:p w:rsidR="00832112" w:rsidRDefault="00664CD7" w:rsidP="00664CD7">
      <w:pPr>
        <w:spacing w:after="80" w:line="240" w:lineRule="auto"/>
        <w:ind w:left="480" w:hangingChars="200" w:hanging="480"/>
        <w:rPr>
          <w:rFonts w:ascii="Times New Roman" w:hAnsi="Times New Roman"/>
          <w:sz w:val="24"/>
          <w:szCs w:val="24"/>
        </w:rPr>
      </w:pPr>
      <w:r>
        <w:rPr>
          <w:rFonts w:ascii="Times New Roman" w:hAnsi="Times New Roman"/>
          <w:sz w:val="24"/>
          <w:szCs w:val="24"/>
        </w:rPr>
        <w:t xml:space="preserve">Stock, J.H., &amp;. Watson, M.W. (2001). Vector autoregressions. </w:t>
      </w:r>
      <w:r>
        <w:rPr>
          <w:rFonts w:ascii="Times New Roman" w:hAnsi="Times New Roman"/>
          <w:i/>
          <w:sz w:val="24"/>
          <w:szCs w:val="24"/>
        </w:rPr>
        <w:t>Journal of Economic Perspectives</w:t>
      </w:r>
      <w:r>
        <w:rPr>
          <w:rFonts w:ascii="Times New Roman" w:hAnsi="Times New Roman"/>
          <w:sz w:val="24"/>
          <w:szCs w:val="24"/>
        </w:rPr>
        <w:t xml:space="preserve"> </w:t>
      </w:r>
      <w:r>
        <w:rPr>
          <w:rFonts w:ascii="Times New Roman" w:hAnsi="Times New Roman"/>
          <w:i/>
          <w:sz w:val="24"/>
          <w:szCs w:val="24"/>
        </w:rPr>
        <w:t>15(4)</w:t>
      </w:r>
      <w:r>
        <w:rPr>
          <w:rFonts w:ascii="Times New Roman" w:hAnsi="Times New Roman"/>
          <w:sz w:val="24"/>
          <w:szCs w:val="24"/>
        </w:rPr>
        <w:t>, 101-115.</w:t>
      </w:r>
      <w:r w:rsidR="00DE62D1">
        <w:rPr>
          <w:rFonts w:ascii="Times New Roman" w:hAnsi="Times New Roman"/>
          <w:sz w:val="24"/>
          <w:szCs w:val="24"/>
        </w:rPr>
        <w:t xml:space="preserve"> </w:t>
      </w:r>
    </w:p>
    <w:p w:rsidR="00832112" w:rsidRDefault="00832112">
      <w:pPr>
        <w:rPr>
          <w:rFonts w:ascii="Times New Roman" w:hAnsi="Times New Roman"/>
          <w:sz w:val="24"/>
          <w:szCs w:val="24"/>
        </w:rPr>
      </w:pPr>
    </w:p>
    <w:p w:rsidR="00016061" w:rsidRDefault="00016061" w:rsidP="00016061">
      <w:pPr>
        <w:rPr>
          <w:rFonts w:ascii="Times New Roman" w:hAnsi="Times New Roman"/>
          <w:b/>
          <w:sz w:val="24"/>
          <w:szCs w:val="24"/>
        </w:rPr>
      </w:pPr>
    </w:p>
    <w:sectPr w:rsidR="00016061" w:rsidSect="00D84D20">
      <w:footerReference w:type="default" r:id="rId211"/>
      <w:pgSz w:w="12240" w:h="15840" w:code="1"/>
      <w:pgMar w:top="1440" w:right="1440" w:bottom="1440" w:left="144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F65" w:rsidRDefault="009C3F65" w:rsidP="00EB5F11">
      <w:pPr>
        <w:spacing w:after="0" w:line="240" w:lineRule="auto"/>
      </w:pPr>
      <w:r>
        <w:separator/>
      </w:r>
    </w:p>
  </w:endnote>
  <w:endnote w:type="continuationSeparator" w:id="0">
    <w:p w:rsidR="009C3F65" w:rsidRDefault="009C3F65" w:rsidP="00EB5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uer Bodoni 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136294"/>
      <w:docPartObj>
        <w:docPartGallery w:val="Page Numbers (Bottom of Page)"/>
        <w:docPartUnique/>
      </w:docPartObj>
    </w:sdtPr>
    <w:sdtEndPr>
      <w:rPr>
        <w:noProof/>
      </w:rPr>
    </w:sdtEndPr>
    <w:sdtContent>
      <w:p w:rsidR="008D6411" w:rsidRDefault="008D6411">
        <w:pPr>
          <w:pStyle w:val="Footer"/>
          <w:jc w:val="center"/>
        </w:pPr>
        <w:r>
          <w:fldChar w:fldCharType="begin"/>
        </w:r>
        <w:r>
          <w:instrText xml:space="preserve"> PAGE   \* MERGEFORMAT </w:instrText>
        </w:r>
        <w:r>
          <w:fldChar w:fldCharType="separate"/>
        </w:r>
        <w:r w:rsidR="002E6D30">
          <w:rPr>
            <w:noProof/>
          </w:rPr>
          <w:t>1</w:t>
        </w:r>
        <w:r>
          <w:rPr>
            <w:noProof/>
          </w:rPr>
          <w:fldChar w:fldCharType="end"/>
        </w:r>
      </w:p>
    </w:sdtContent>
  </w:sdt>
  <w:p w:rsidR="008D6411" w:rsidRDefault="008D64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F65" w:rsidRDefault="009C3F65" w:rsidP="00EB5F11">
      <w:pPr>
        <w:spacing w:after="0" w:line="240" w:lineRule="auto"/>
      </w:pPr>
      <w:r>
        <w:separator/>
      </w:r>
    </w:p>
  </w:footnote>
  <w:footnote w:type="continuationSeparator" w:id="0">
    <w:p w:rsidR="009C3F65" w:rsidRDefault="009C3F65" w:rsidP="00EB5F11">
      <w:pPr>
        <w:spacing w:after="0" w:line="240" w:lineRule="auto"/>
      </w:pPr>
      <w:r>
        <w:continuationSeparator/>
      </w:r>
    </w:p>
  </w:footnote>
  <w:footnote w:id="1">
    <w:p w:rsidR="008D6411" w:rsidRPr="00E16189" w:rsidRDefault="008D6411" w:rsidP="00E16189">
      <w:pPr>
        <w:pStyle w:val="FootnoteText"/>
        <w:spacing w:after="120"/>
        <w:jc w:val="both"/>
        <w:rPr>
          <w:lang w:val="en-US"/>
        </w:rPr>
      </w:pPr>
      <w:r>
        <w:rPr>
          <w:rStyle w:val="FootnoteReference"/>
        </w:rPr>
        <w:footnoteRef/>
      </w:r>
      <w:r>
        <w:t xml:space="preserve"> </w:t>
      </w:r>
      <w:r w:rsidRPr="00E16189">
        <w:rPr>
          <w:lang w:val="en-US"/>
        </w:rPr>
        <w:t xml:space="preserve">Corresponding author: Michael Jacobs, Jr., Ph.D., CFA, </w:t>
      </w:r>
      <w:r>
        <w:rPr>
          <w:lang w:val="en-US"/>
        </w:rPr>
        <w:t>Lead Quantitative Analytics &amp; Modeling Expert</w:t>
      </w:r>
      <w:r w:rsidRPr="00E16189">
        <w:rPr>
          <w:lang w:val="en-US"/>
        </w:rPr>
        <w:t xml:space="preserve">, </w:t>
      </w:r>
      <w:r>
        <w:rPr>
          <w:lang w:val="en-US"/>
        </w:rPr>
        <w:t>Head – C&amp;I 1</w:t>
      </w:r>
      <w:r w:rsidRPr="00EA3A0C">
        <w:rPr>
          <w:vertAlign w:val="superscript"/>
          <w:lang w:val="en-US"/>
        </w:rPr>
        <w:t>st</w:t>
      </w:r>
      <w:r>
        <w:rPr>
          <w:lang w:val="en-US"/>
        </w:rPr>
        <w:t xml:space="preserve"> </w:t>
      </w:r>
      <w:r w:rsidR="002E6D30">
        <w:rPr>
          <w:lang w:val="en-US"/>
        </w:rPr>
        <w:t xml:space="preserve">Line </w:t>
      </w:r>
      <w:bookmarkStart w:id="0" w:name="_GoBack"/>
      <w:bookmarkEnd w:id="0"/>
      <w:r>
        <w:rPr>
          <w:lang w:val="en-US"/>
        </w:rPr>
        <w:t>Model Risk Management, PNC Financial Services Group – Balance Sheet Analytics &amp; Modeling / Model Development</w:t>
      </w:r>
      <w:r w:rsidRPr="00E16189">
        <w:rPr>
          <w:lang w:val="en-US"/>
        </w:rPr>
        <w:t xml:space="preserve">, </w:t>
      </w:r>
      <w:r>
        <w:rPr>
          <w:lang w:val="en-US"/>
        </w:rPr>
        <w:t>340 Madison Avenue</w:t>
      </w:r>
      <w:r w:rsidRPr="00E16189">
        <w:rPr>
          <w:lang w:val="en-US"/>
        </w:rPr>
        <w:t>, New York, N.Y., 10</w:t>
      </w:r>
      <w:r>
        <w:rPr>
          <w:lang w:val="en-US"/>
        </w:rPr>
        <w:t>022</w:t>
      </w:r>
      <w:r w:rsidRPr="00E16189">
        <w:rPr>
          <w:lang w:val="en-US"/>
        </w:rPr>
        <w:t xml:space="preserve">, 917-324-2098, </w:t>
      </w:r>
      <w:hyperlink r:id="rId1" w:history="1">
        <w:r w:rsidRPr="00FA1ABE">
          <w:rPr>
            <w:rStyle w:val="Hyperlink"/>
            <w:lang w:val="en-US"/>
          </w:rPr>
          <w:t>michael.jacobsjr@pnc.com</w:t>
        </w:r>
      </w:hyperlink>
      <w:r w:rsidRPr="00E16189">
        <w:rPr>
          <w:lang w:val="en-US"/>
        </w:rPr>
        <w:t>.</w:t>
      </w:r>
      <w:r>
        <w:rPr>
          <w:lang w:val="en-US"/>
        </w:rPr>
        <w:t xml:space="preserve">  The views expressed herein are those of the author do not necessarily represent an official position of PNC Financial Services Group.  </w:t>
      </w:r>
      <w:r w:rsidRPr="00E16189">
        <w:rPr>
          <w:lang w:val="en-US"/>
        </w:rPr>
        <w:t xml:space="preserve"> </w:t>
      </w:r>
    </w:p>
  </w:footnote>
  <w:footnote w:id="2">
    <w:p w:rsidR="008D6411" w:rsidRPr="00154887" w:rsidRDefault="008D6411">
      <w:pPr>
        <w:pStyle w:val="FootnoteText"/>
        <w:rPr>
          <w:lang w:val="en-US"/>
        </w:rPr>
      </w:pPr>
      <w:r>
        <w:rPr>
          <w:rStyle w:val="FootnoteReference"/>
        </w:rPr>
        <w:footnoteRef/>
      </w:r>
      <w:r>
        <w:t xml:space="preserve"> The international counterpart to CECL is codified in </w:t>
      </w:r>
      <w:r w:rsidRPr="00D8047D">
        <w:t>International Accounting Standards Board (2014</w:t>
      </w:r>
      <w:r>
        <w:t>; “IRFS9”</w:t>
      </w:r>
      <w:r w:rsidRPr="00D8047D">
        <w:t>)</w:t>
      </w:r>
      <w:r>
        <w:t xml:space="preserve">, which while bearing similarities to </w:t>
      </w:r>
      <w:proofErr w:type="spellStart"/>
      <w:r>
        <w:t>CECl</w:t>
      </w:r>
      <w:proofErr w:type="spellEnd"/>
      <w:r>
        <w:t>, in that the component for performing loans is an expected loss construct incorporating macroeconomic forecasts, has several fundamental differences.</w:t>
      </w:r>
    </w:p>
  </w:footnote>
  <w:footnote w:id="3">
    <w:p w:rsidR="008D6411" w:rsidRPr="00784BCC" w:rsidRDefault="008D6411" w:rsidP="00784BCC">
      <w:pPr>
        <w:pStyle w:val="FootnoteText"/>
        <w:rPr>
          <w:lang w:val="en-US"/>
        </w:rPr>
      </w:pPr>
      <w:r>
        <w:rPr>
          <w:rStyle w:val="FootnoteReference"/>
        </w:rPr>
        <w:footnoteRef/>
      </w:r>
      <w:r>
        <w:t xml:space="preserve"> These are given by FASB (1975) and FASB (1993) for performing and impaired instruments, respectively.</w:t>
      </w:r>
    </w:p>
  </w:footnote>
  <w:footnote w:id="4">
    <w:p w:rsidR="008D6411" w:rsidRPr="00FC3459" w:rsidRDefault="008D6411" w:rsidP="006D27F9">
      <w:pPr>
        <w:pStyle w:val="FootnoteText"/>
        <w:rPr>
          <w:lang w:val="en-US"/>
        </w:rPr>
      </w:pPr>
      <w:r>
        <w:rPr>
          <w:rStyle w:val="FootnoteReference"/>
        </w:rPr>
        <w:footnoteRef/>
      </w:r>
      <w:r>
        <w:t xml:space="preserve"> Several</w:t>
      </w:r>
      <w:r w:rsidRPr="00FC3459">
        <w:t xml:space="preserve"> challenges </w:t>
      </w:r>
      <w:r>
        <w:t xml:space="preserve">are </w:t>
      </w:r>
      <w:r w:rsidRPr="00FC3459">
        <w:t xml:space="preserve">associated with </w:t>
      </w:r>
      <w:r>
        <w:t xml:space="preserve">macroeconomic </w:t>
      </w:r>
      <w:r w:rsidRPr="00FC3459">
        <w:t>forecasting</w:t>
      </w:r>
      <w:r>
        <w:t>,</w:t>
      </w:r>
      <w:r w:rsidRPr="00FC3459">
        <w:t xml:space="preserve"> related to changes in the structure of the </w:t>
      </w:r>
      <w:r>
        <w:t>economy</w:t>
      </w:r>
      <w:r w:rsidRPr="00FC3459">
        <w:t xml:space="preserve">, measurement </w:t>
      </w:r>
      <w:r>
        <w:t>errors in</w:t>
      </w:r>
      <w:r w:rsidRPr="00FC3459">
        <w:t xml:space="preserve"> data </w:t>
      </w:r>
      <w:r>
        <w:t>as well as behavior</w:t>
      </w:r>
      <w:r w:rsidRPr="00FC3459">
        <w:t>al biases (Batchelor and Dua</w:t>
      </w:r>
      <w:r>
        <w:t>,</w:t>
      </w:r>
      <w:r w:rsidRPr="00FC3459">
        <w:t xml:space="preserve"> 1990).</w:t>
      </w:r>
    </w:p>
  </w:footnote>
  <w:footnote w:id="5">
    <w:p w:rsidR="008D6411" w:rsidRDefault="008D6411" w:rsidP="000D2E85">
      <w:pPr>
        <w:pStyle w:val="FootnoteText"/>
        <w:rPr>
          <w:lang w:val="en-US"/>
        </w:rPr>
      </w:pPr>
      <w:r>
        <w:rPr>
          <w:rStyle w:val="FootnoteReference"/>
        </w:rPr>
        <w:footnoteRef/>
      </w:r>
      <w:r>
        <w:t xml:space="preserve"> Refer to Stock and Watson (2001) for a discussion of the basic aspects of macroeconomic forecasting (i.e., cha</w:t>
      </w:r>
      <w:r>
        <w:t>r</w:t>
      </w:r>
      <w:r>
        <w:t>acterization, forecasting, inferences and policy advice regarding macroeconomic time series and the structure of the economy.)</w:t>
      </w:r>
    </w:p>
  </w:footnote>
  <w:footnote w:id="6">
    <w:p w:rsidR="008D6411" w:rsidRDefault="008D6411" w:rsidP="000D2E85">
      <w:pPr>
        <w:pStyle w:val="FootnoteText"/>
        <w:spacing w:line="300" w:lineRule="exact"/>
        <w:jc w:val="both"/>
        <w:rPr>
          <w:sz w:val="22"/>
          <w:szCs w:val="22"/>
          <w:lang w:val="en-US"/>
        </w:rPr>
      </w:pPr>
      <w:r>
        <w:rPr>
          <w:rStyle w:val="FootnoteReference"/>
          <w:sz w:val="22"/>
          <w:szCs w:val="22"/>
        </w:rPr>
        <w:footnoteRef/>
      </w:r>
      <w:r>
        <w:rPr>
          <w:sz w:val="22"/>
          <w:szCs w:val="22"/>
        </w:rPr>
        <w:t xml:space="preserve"> In fact, the exogenous variables </w:t>
      </w:r>
      <w:r>
        <w:rPr>
          <w:position w:val="-12"/>
          <w:sz w:val="22"/>
          <w:szCs w:val="22"/>
        </w:rPr>
        <w:object w:dxaOrig="480" w:dyaOrig="315">
          <v:shape id="_x0000_i1126" type="#_x0000_t75" style="width:24pt;height:15pt" o:ole="">
            <v:imagedata r:id="rId2" o:title=""/>
          </v:shape>
          <o:OLEObject Type="Embed" ProgID="Equation.DSMT4" ShapeID="_x0000_i1126" DrawAspect="Content" ObjectID="_1637920102" r:id="rId3"/>
        </w:object>
      </w:r>
      <w:r>
        <w:rPr>
          <w:sz w:val="22"/>
          <w:szCs w:val="22"/>
          <w:lang w:eastAsia="zh-CN"/>
        </w:rPr>
        <w:t xml:space="preserve"> </w:t>
      </w:r>
      <w:r>
        <w:rPr>
          <w:sz w:val="22"/>
          <w:szCs w:val="22"/>
        </w:rPr>
        <w:t>can represent both stochastic and non-stochastic (deterministic) variables, examples being sinusoidal seasonal (periodic) functions of time, used to represent the seasonal fluctuations in the output process</w:t>
      </w:r>
      <w:r>
        <w:rPr>
          <w:position w:val="-12"/>
          <w:sz w:val="22"/>
          <w:szCs w:val="22"/>
        </w:rPr>
        <w:object w:dxaOrig="435" w:dyaOrig="315">
          <v:shape id="_x0000_i1127" type="#_x0000_t75" style="width:22.5pt;height:15pt" o:ole="">
            <v:imagedata r:id="rId4" o:title=""/>
          </v:shape>
          <o:OLEObject Type="Embed" ProgID="Equation.DSMT4" ShapeID="_x0000_i1127" DrawAspect="Content" ObjectID="_1637920103" r:id="rId5"/>
        </w:object>
      </w:r>
      <w:r>
        <w:rPr>
          <w:sz w:val="22"/>
          <w:szCs w:val="22"/>
        </w:rPr>
        <w:t>, or intervention analysis modelling in which a simple step (or pulse indicator) function taking the values of 0 or 1 indicates the effect of output due to unusual intervention events in the system.</w:t>
      </w:r>
    </w:p>
  </w:footnote>
  <w:footnote w:id="7">
    <w:p w:rsidR="008D6411" w:rsidRPr="00710D30" w:rsidRDefault="008D6411">
      <w:pPr>
        <w:pStyle w:val="FootnoteText"/>
        <w:rPr>
          <w:lang w:val="en-US"/>
        </w:rPr>
      </w:pPr>
      <w:r>
        <w:rPr>
          <w:rStyle w:val="FootnoteReference"/>
        </w:rPr>
        <w:footnoteRef/>
      </w:r>
      <w:r>
        <w:t xml:space="preserve"> </w:t>
      </w:r>
      <w:r>
        <w:rPr>
          <w:lang w:val="en-US"/>
        </w:rPr>
        <w:t xml:space="preserve">The full model development code package, an R project containing all data and code, is available upon request. </w:t>
      </w:r>
    </w:p>
  </w:footnote>
  <w:footnote w:id="8">
    <w:p w:rsidR="008D6411" w:rsidRDefault="008D6411">
      <w:pPr>
        <w:pStyle w:val="FootnoteText"/>
      </w:pPr>
      <w:r>
        <w:rPr>
          <w:rStyle w:val="FootnoteReference"/>
        </w:rPr>
        <w:footnoteRef/>
      </w:r>
      <w:r>
        <w:t xml:space="preserve"> These are available at </w:t>
      </w:r>
      <w:hyperlink r:id="rId6" w:history="1">
        <w:r w:rsidRPr="00BD7CDB">
          <w:rPr>
            <w:rStyle w:val="Hyperlink"/>
          </w:rPr>
          <w:t>https://www5.fdic.gov/sdi/main.asp?formname=standard</w:t>
        </w:r>
      </w:hyperlink>
    </w:p>
    <w:p w:rsidR="008D6411" w:rsidRPr="007039D0" w:rsidRDefault="008D6411">
      <w:pPr>
        <w:pStyle w:val="FootnoteText"/>
        <w:rPr>
          <w:lang w:val="en-US"/>
        </w:rPr>
      </w:pPr>
    </w:p>
  </w:footnote>
  <w:footnote w:id="9">
    <w:p w:rsidR="00431B86" w:rsidRDefault="00431B86" w:rsidP="00431B86">
      <w:pPr>
        <w:pStyle w:val="FootnoteText"/>
        <w:spacing w:line="260" w:lineRule="exact"/>
        <w:jc w:val="both"/>
        <w:rPr>
          <w:lang w:val="en-US"/>
        </w:rPr>
      </w:pPr>
      <w:r>
        <w:rPr>
          <w:rStyle w:val="FootnoteReference"/>
          <w:sz w:val="22"/>
          <w:szCs w:val="22"/>
        </w:rPr>
        <w:footnoteRef/>
      </w:r>
      <w:r>
        <w:rPr>
          <w:sz w:val="22"/>
          <w:szCs w:val="22"/>
        </w:rPr>
        <w:t xml:space="preserve"> </w:t>
      </w:r>
      <w:r>
        <w:t xml:space="preserve">We perform this model selection in an R script designed for this purpose, using the libraries “dse” and “tse” to estimate and evaluate VAR and </w:t>
      </w:r>
      <w:r>
        <w:rPr>
          <w:sz w:val="24"/>
          <w:szCs w:val="24"/>
          <w:lang w:eastAsia="zh-CN"/>
        </w:rPr>
        <w:t>MS-VAR</w:t>
      </w:r>
      <w:r>
        <w:t xml:space="preserve"> models (R Core Development Team, 2019).</w:t>
      </w:r>
    </w:p>
  </w:footnote>
  <w:footnote w:id="10">
    <w:p w:rsidR="008D6411" w:rsidRDefault="008D6411" w:rsidP="00167769">
      <w:pPr>
        <w:pStyle w:val="FootnoteText"/>
        <w:spacing w:line="260" w:lineRule="exact"/>
        <w:jc w:val="both"/>
        <w:rPr>
          <w:lang w:val="en-US"/>
        </w:rPr>
      </w:pPr>
      <w:r>
        <w:rPr>
          <w:rStyle w:val="FootnoteReference"/>
        </w:rPr>
        <w:footnoteRef/>
      </w:r>
      <w:r>
        <w:t xml:space="preserve"> </w:t>
      </w:r>
      <w:r>
        <w:rPr>
          <w:lang w:val="en-US"/>
        </w:rPr>
        <w:t>We leave out the last 2 years of available data, 1Q16</w:t>
      </w:r>
      <w:r>
        <w:t>–</w:t>
      </w:r>
      <w:r>
        <w:rPr>
          <w:lang w:val="en-US"/>
        </w:rPr>
        <w:t>4Q17, in order to have a holdout sample for testing the a</w:t>
      </w:r>
      <w:r>
        <w:rPr>
          <w:lang w:val="en-US"/>
        </w:rPr>
        <w:t>c</w:t>
      </w:r>
      <w:r>
        <w:rPr>
          <w:lang w:val="en-US"/>
        </w:rPr>
        <w:t>curacy of the models.  We also choose to start our sample in 2001, as we believe that the earlier period would reflect economic conditions not relevant for the last decade and also because in the financial industry this is a standard starting point for CCAR and DFAST stress testing models.</w:t>
      </w:r>
    </w:p>
  </w:footnote>
  <w:footnote w:id="11">
    <w:p w:rsidR="008D6411" w:rsidRDefault="008D6411" w:rsidP="00A357F0">
      <w:pPr>
        <w:pStyle w:val="FootnoteText"/>
        <w:spacing w:line="300" w:lineRule="atLeast"/>
        <w:jc w:val="both"/>
        <w:rPr>
          <w:sz w:val="22"/>
          <w:szCs w:val="22"/>
          <w:lang w:val="en-US"/>
        </w:rPr>
      </w:pPr>
      <w:r>
        <w:rPr>
          <w:rStyle w:val="FootnoteReference"/>
          <w:sz w:val="22"/>
          <w:szCs w:val="22"/>
        </w:rPr>
        <w:footnoteRef/>
      </w:r>
      <w:r>
        <w:rPr>
          <w:sz w:val="22"/>
          <w:szCs w:val="22"/>
        </w:rPr>
        <w:t xml:space="preserve"> This is similar to the findings of Loregian and Meucci (2016) and Jacobs (2017a) in the context of modelling U.S. Treasury yields.  We observe that this mixture well characterizes the empirical distrib</w:t>
      </w:r>
      <w:r>
        <w:rPr>
          <w:sz w:val="22"/>
          <w:szCs w:val="22"/>
        </w:rPr>
        <w:t>u</w:t>
      </w:r>
      <w:r>
        <w:rPr>
          <w:sz w:val="22"/>
          <w:szCs w:val="22"/>
        </w:rPr>
        <w:t>tions of the data</w:t>
      </w:r>
      <w:r>
        <w:rPr>
          <w:sz w:val="22"/>
          <w:szCs w:val="22"/>
          <w:lang w:eastAsia="zh-CN"/>
        </w:rPr>
        <w:t xml:space="preserve"> in this paper</w:t>
      </w:r>
      <w:r>
        <w:rPr>
          <w:sz w:val="22"/>
          <w:szCs w:val="22"/>
        </w:rPr>
        <w:t>.</w:t>
      </w:r>
    </w:p>
  </w:footnote>
  <w:footnote w:id="12">
    <w:p w:rsidR="008D6411" w:rsidRDefault="008D6411" w:rsidP="00A357F0">
      <w:pPr>
        <w:pStyle w:val="FootnoteText"/>
        <w:spacing w:line="300" w:lineRule="atLeast"/>
        <w:jc w:val="both"/>
        <w:rPr>
          <w:sz w:val="22"/>
          <w:szCs w:val="22"/>
          <w:lang w:val="en-US" w:eastAsia="zh-CN"/>
        </w:rPr>
      </w:pPr>
      <w:r>
        <w:rPr>
          <w:rStyle w:val="FootnoteReference"/>
          <w:spacing w:val="-2"/>
          <w:sz w:val="22"/>
          <w:szCs w:val="22"/>
        </w:rPr>
        <w:footnoteRef/>
      </w:r>
      <w:r>
        <w:rPr>
          <w:spacing w:val="-2"/>
          <w:sz w:val="22"/>
          <w:szCs w:val="22"/>
        </w:rPr>
        <w:t xml:space="preserve"> </w:t>
      </w:r>
      <w:r>
        <w:rPr>
          <w:spacing w:val="-2"/>
          <w:sz w:val="22"/>
          <w:szCs w:val="22"/>
          <w:lang w:val="en-US"/>
        </w:rPr>
        <w:t>Estimation results for the VAR and MS-VAR model are available upon request.  The models are all convergent</w:t>
      </w:r>
      <w:r>
        <w:rPr>
          <w:sz w:val="22"/>
          <w:szCs w:val="22"/>
          <w:lang w:val="en-US"/>
        </w:rPr>
        <w:t xml:space="preserve"> and </w:t>
      </w:r>
      <w:r>
        <w:rPr>
          <w:sz w:val="22"/>
          <w:szCs w:val="22"/>
        </w:rPr>
        <w:t>goodness</w:t>
      </w:r>
      <w:r>
        <w:rPr>
          <w:sz w:val="22"/>
          <w:szCs w:val="22"/>
          <w:lang w:val="en-US"/>
        </w:rPr>
        <w:t xml:space="preserve"> of fit metrics in with industry standards.  Signs of coefficient estimates are in line with economic </w:t>
      </w:r>
      <w:r>
        <w:rPr>
          <w:spacing w:val="-2"/>
          <w:sz w:val="22"/>
          <w:szCs w:val="22"/>
          <w:lang w:val="en-US"/>
        </w:rPr>
        <w:t>intuition and estimates are all significant at conventional levels.  We use the dse, tseries and MSBVAR libraries</w:t>
      </w:r>
      <w:r>
        <w:rPr>
          <w:sz w:val="22"/>
          <w:szCs w:val="22"/>
          <w:lang w:val="en-US"/>
        </w:rPr>
        <w:t xml:space="preserve"> in R in order to perform the estimations (R Development Core Team, 2019)</w:t>
      </w:r>
      <w:r>
        <w:rPr>
          <w:sz w:val="22"/>
          <w:szCs w:val="22"/>
          <w:lang w:val="en-US" w:eastAsia="zh-C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97A"/>
    <w:multiLevelType w:val="hybridMultilevel"/>
    <w:tmpl w:val="F848A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142A5"/>
    <w:multiLevelType w:val="hybridMultilevel"/>
    <w:tmpl w:val="BA90B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8B6E09"/>
    <w:multiLevelType w:val="hybridMultilevel"/>
    <w:tmpl w:val="7F242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505ECB"/>
    <w:multiLevelType w:val="hybridMultilevel"/>
    <w:tmpl w:val="9934E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C6037B"/>
    <w:multiLevelType w:val="hybridMultilevel"/>
    <w:tmpl w:val="6FD2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246489"/>
    <w:multiLevelType w:val="hybridMultilevel"/>
    <w:tmpl w:val="3EB40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FE6E0E"/>
    <w:multiLevelType w:val="hybridMultilevel"/>
    <w:tmpl w:val="3DA0ACCE"/>
    <w:lvl w:ilvl="0" w:tplc="94BEBA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F670F0"/>
    <w:multiLevelType w:val="hybridMultilevel"/>
    <w:tmpl w:val="DF50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0B73DB"/>
    <w:multiLevelType w:val="hybridMultilevel"/>
    <w:tmpl w:val="A4FE4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A91454"/>
    <w:multiLevelType w:val="hybridMultilevel"/>
    <w:tmpl w:val="6B5C1638"/>
    <w:lvl w:ilvl="0" w:tplc="D524672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56440F"/>
    <w:multiLevelType w:val="hybridMultilevel"/>
    <w:tmpl w:val="2BD8825A"/>
    <w:lvl w:ilvl="0" w:tplc="1C6480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1C57A3"/>
    <w:multiLevelType w:val="hybridMultilevel"/>
    <w:tmpl w:val="A224BAE4"/>
    <w:lvl w:ilvl="0" w:tplc="55FAB2F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FD698C"/>
    <w:multiLevelType w:val="hybridMultilevel"/>
    <w:tmpl w:val="B90A6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4266B7"/>
    <w:multiLevelType w:val="hybridMultilevel"/>
    <w:tmpl w:val="9E18AFD0"/>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num w:numId="1">
    <w:abstractNumId w:val="2"/>
  </w:num>
  <w:num w:numId="2">
    <w:abstractNumId w:val="8"/>
  </w:num>
  <w:num w:numId="3">
    <w:abstractNumId w:val="9"/>
  </w:num>
  <w:num w:numId="4">
    <w:abstractNumId w:val="13"/>
  </w:num>
  <w:num w:numId="5">
    <w:abstractNumId w:val="6"/>
  </w:num>
  <w:num w:numId="6">
    <w:abstractNumId w:val="11"/>
  </w:num>
  <w:num w:numId="7">
    <w:abstractNumId w:val="10"/>
  </w:num>
  <w:num w:numId="8">
    <w:abstractNumId w:val="7"/>
  </w:num>
  <w:num w:numId="9">
    <w:abstractNumId w:val="5"/>
  </w:num>
  <w:num w:numId="10">
    <w:abstractNumId w:val="12"/>
  </w:num>
  <w:num w:numId="11">
    <w:abstractNumId w:val="3"/>
  </w:num>
  <w:num w:numId="12">
    <w:abstractNumId w:val="0"/>
  </w:num>
  <w:num w:numId="13">
    <w:abstractNumId w:val="4"/>
  </w:num>
  <w:num w:numId="1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92E"/>
    <w:rsid w:val="000005C6"/>
    <w:rsid w:val="00000A0C"/>
    <w:rsid w:val="00001A5C"/>
    <w:rsid w:val="00001CE0"/>
    <w:rsid w:val="00003185"/>
    <w:rsid w:val="00003756"/>
    <w:rsid w:val="00003CF2"/>
    <w:rsid w:val="0000430D"/>
    <w:rsid w:val="000046FD"/>
    <w:rsid w:val="000053E5"/>
    <w:rsid w:val="00006BF1"/>
    <w:rsid w:val="00006DA4"/>
    <w:rsid w:val="000116EF"/>
    <w:rsid w:val="00011A66"/>
    <w:rsid w:val="000123AE"/>
    <w:rsid w:val="00012A91"/>
    <w:rsid w:val="00013D0E"/>
    <w:rsid w:val="00013DAC"/>
    <w:rsid w:val="00013E13"/>
    <w:rsid w:val="000140D8"/>
    <w:rsid w:val="000148B2"/>
    <w:rsid w:val="00014971"/>
    <w:rsid w:val="00016061"/>
    <w:rsid w:val="00016796"/>
    <w:rsid w:val="000173C2"/>
    <w:rsid w:val="00020CCF"/>
    <w:rsid w:val="0002123A"/>
    <w:rsid w:val="0002193E"/>
    <w:rsid w:val="00022D2E"/>
    <w:rsid w:val="00023573"/>
    <w:rsid w:val="00024DB2"/>
    <w:rsid w:val="00025084"/>
    <w:rsid w:val="0002559E"/>
    <w:rsid w:val="00025BCC"/>
    <w:rsid w:val="00026832"/>
    <w:rsid w:val="000310A0"/>
    <w:rsid w:val="000311CD"/>
    <w:rsid w:val="00031400"/>
    <w:rsid w:val="00031A26"/>
    <w:rsid w:val="00032001"/>
    <w:rsid w:val="000329F9"/>
    <w:rsid w:val="00032DCA"/>
    <w:rsid w:val="000338A3"/>
    <w:rsid w:val="000345CC"/>
    <w:rsid w:val="00035117"/>
    <w:rsid w:val="00035BC7"/>
    <w:rsid w:val="00035C9F"/>
    <w:rsid w:val="00035D63"/>
    <w:rsid w:val="00035F1A"/>
    <w:rsid w:val="00036131"/>
    <w:rsid w:val="000361BE"/>
    <w:rsid w:val="0003633E"/>
    <w:rsid w:val="00036C29"/>
    <w:rsid w:val="00037697"/>
    <w:rsid w:val="000413E2"/>
    <w:rsid w:val="0004182C"/>
    <w:rsid w:val="000420C3"/>
    <w:rsid w:val="0004251C"/>
    <w:rsid w:val="00042A64"/>
    <w:rsid w:val="00042DA8"/>
    <w:rsid w:val="0004480D"/>
    <w:rsid w:val="00044C45"/>
    <w:rsid w:val="00044E3C"/>
    <w:rsid w:val="000463A4"/>
    <w:rsid w:val="00046A3A"/>
    <w:rsid w:val="00046BD4"/>
    <w:rsid w:val="00046ECF"/>
    <w:rsid w:val="00046FF5"/>
    <w:rsid w:val="00047718"/>
    <w:rsid w:val="00047C29"/>
    <w:rsid w:val="00050FC7"/>
    <w:rsid w:val="00051278"/>
    <w:rsid w:val="00051476"/>
    <w:rsid w:val="00052500"/>
    <w:rsid w:val="00053A81"/>
    <w:rsid w:val="00054445"/>
    <w:rsid w:val="0005473E"/>
    <w:rsid w:val="00055F8C"/>
    <w:rsid w:val="00056739"/>
    <w:rsid w:val="000573C4"/>
    <w:rsid w:val="0005768C"/>
    <w:rsid w:val="0005796C"/>
    <w:rsid w:val="0005799E"/>
    <w:rsid w:val="0006008A"/>
    <w:rsid w:val="0006114D"/>
    <w:rsid w:val="000611EC"/>
    <w:rsid w:val="0006361E"/>
    <w:rsid w:val="0006386E"/>
    <w:rsid w:val="00063B6E"/>
    <w:rsid w:val="00064011"/>
    <w:rsid w:val="000641B9"/>
    <w:rsid w:val="00065AE8"/>
    <w:rsid w:val="000660C4"/>
    <w:rsid w:val="00066B90"/>
    <w:rsid w:val="00067EE0"/>
    <w:rsid w:val="00070ECE"/>
    <w:rsid w:val="00071221"/>
    <w:rsid w:val="0007129E"/>
    <w:rsid w:val="00072387"/>
    <w:rsid w:val="00072827"/>
    <w:rsid w:val="0007344A"/>
    <w:rsid w:val="00073F70"/>
    <w:rsid w:val="00075D5E"/>
    <w:rsid w:val="00076993"/>
    <w:rsid w:val="00076FE8"/>
    <w:rsid w:val="00077934"/>
    <w:rsid w:val="000801A5"/>
    <w:rsid w:val="0008031B"/>
    <w:rsid w:val="00081661"/>
    <w:rsid w:val="00081747"/>
    <w:rsid w:val="000821A2"/>
    <w:rsid w:val="00082444"/>
    <w:rsid w:val="00082A3C"/>
    <w:rsid w:val="00082B1C"/>
    <w:rsid w:val="000834B9"/>
    <w:rsid w:val="00083D4F"/>
    <w:rsid w:val="00085542"/>
    <w:rsid w:val="0008585D"/>
    <w:rsid w:val="00085BDB"/>
    <w:rsid w:val="0008662D"/>
    <w:rsid w:val="00091730"/>
    <w:rsid w:val="00091A8E"/>
    <w:rsid w:val="00092D5E"/>
    <w:rsid w:val="00093620"/>
    <w:rsid w:val="000936B4"/>
    <w:rsid w:val="000943B0"/>
    <w:rsid w:val="000949E0"/>
    <w:rsid w:val="00095175"/>
    <w:rsid w:val="00096A42"/>
    <w:rsid w:val="00097B09"/>
    <w:rsid w:val="000A0E60"/>
    <w:rsid w:val="000A13BE"/>
    <w:rsid w:val="000A14FE"/>
    <w:rsid w:val="000A1EE7"/>
    <w:rsid w:val="000A1FD4"/>
    <w:rsid w:val="000A2B1E"/>
    <w:rsid w:val="000A4521"/>
    <w:rsid w:val="000A4946"/>
    <w:rsid w:val="000A50D2"/>
    <w:rsid w:val="000A588E"/>
    <w:rsid w:val="000A5E27"/>
    <w:rsid w:val="000A6024"/>
    <w:rsid w:val="000A6EA8"/>
    <w:rsid w:val="000B00D2"/>
    <w:rsid w:val="000B13C4"/>
    <w:rsid w:val="000B13FE"/>
    <w:rsid w:val="000B1F99"/>
    <w:rsid w:val="000B1FC5"/>
    <w:rsid w:val="000B2656"/>
    <w:rsid w:val="000B2BD8"/>
    <w:rsid w:val="000B3271"/>
    <w:rsid w:val="000B39CE"/>
    <w:rsid w:val="000B5864"/>
    <w:rsid w:val="000B645C"/>
    <w:rsid w:val="000B66D3"/>
    <w:rsid w:val="000B719D"/>
    <w:rsid w:val="000C07E1"/>
    <w:rsid w:val="000C0F74"/>
    <w:rsid w:val="000C1221"/>
    <w:rsid w:val="000C1B3C"/>
    <w:rsid w:val="000C2139"/>
    <w:rsid w:val="000C2F00"/>
    <w:rsid w:val="000C3635"/>
    <w:rsid w:val="000C3807"/>
    <w:rsid w:val="000C4427"/>
    <w:rsid w:val="000C517F"/>
    <w:rsid w:val="000C5974"/>
    <w:rsid w:val="000C5ADD"/>
    <w:rsid w:val="000C65E0"/>
    <w:rsid w:val="000D1753"/>
    <w:rsid w:val="000D19A1"/>
    <w:rsid w:val="000D2701"/>
    <w:rsid w:val="000D2E85"/>
    <w:rsid w:val="000D2E8C"/>
    <w:rsid w:val="000D30E9"/>
    <w:rsid w:val="000D3ABE"/>
    <w:rsid w:val="000D3E94"/>
    <w:rsid w:val="000D403C"/>
    <w:rsid w:val="000D51F8"/>
    <w:rsid w:val="000D5531"/>
    <w:rsid w:val="000D59DC"/>
    <w:rsid w:val="000D750E"/>
    <w:rsid w:val="000E01B4"/>
    <w:rsid w:val="000E1090"/>
    <w:rsid w:val="000E2086"/>
    <w:rsid w:val="000E286B"/>
    <w:rsid w:val="000E2F88"/>
    <w:rsid w:val="000E317D"/>
    <w:rsid w:val="000E4C3B"/>
    <w:rsid w:val="000E4CBF"/>
    <w:rsid w:val="000E4F8A"/>
    <w:rsid w:val="000E56CE"/>
    <w:rsid w:val="000E596F"/>
    <w:rsid w:val="000E679A"/>
    <w:rsid w:val="000E6ED6"/>
    <w:rsid w:val="000E789C"/>
    <w:rsid w:val="000E791D"/>
    <w:rsid w:val="000E7E1A"/>
    <w:rsid w:val="000E7ED5"/>
    <w:rsid w:val="000F00AC"/>
    <w:rsid w:val="000F0C60"/>
    <w:rsid w:val="000F1BAA"/>
    <w:rsid w:val="000F1CEB"/>
    <w:rsid w:val="000F258E"/>
    <w:rsid w:val="000F2754"/>
    <w:rsid w:val="000F2F43"/>
    <w:rsid w:val="000F3A60"/>
    <w:rsid w:val="000F4D2C"/>
    <w:rsid w:val="000F53FC"/>
    <w:rsid w:val="000F63E9"/>
    <w:rsid w:val="000F6B22"/>
    <w:rsid w:val="000F7448"/>
    <w:rsid w:val="000F7649"/>
    <w:rsid w:val="000F7A2F"/>
    <w:rsid w:val="000F7A68"/>
    <w:rsid w:val="00100628"/>
    <w:rsid w:val="00100AC2"/>
    <w:rsid w:val="0010196E"/>
    <w:rsid w:val="00102D2D"/>
    <w:rsid w:val="001039F6"/>
    <w:rsid w:val="00104E89"/>
    <w:rsid w:val="00105019"/>
    <w:rsid w:val="001052F7"/>
    <w:rsid w:val="001068C4"/>
    <w:rsid w:val="00106C8A"/>
    <w:rsid w:val="001070B2"/>
    <w:rsid w:val="001074A8"/>
    <w:rsid w:val="001105A7"/>
    <w:rsid w:val="00110CAF"/>
    <w:rsid w:val="00110D2A"/>
    <w:rsid w:val="00111326"/>
    <w:rsid w:val="0011185E"/>
    <w:rsid w:val="0011192C"/>
    <w:rsid w:val="00111FA4"/>
    <w:rsid w:val="00113041"/>
    <w:rsid w:val="00113A23"/>
    <w:rsid w:val="0011473E"/>
    <w:rsid w:val="00114B4D"/>
    <w:rsid w:val="00115164"/>
    <w:rsid w:val="00116D54"/>
    <w:rsid w:val="00117294"/>
    <w:rsid w:val="001179BA"/>
    <w:rsid w:val="00117CE9"/>
    <w:rsid w:val="001201EC"/>
    <w:rsid w:val="00120916"/>
    <w:rsid w:val="0012166C"/>
    <w:rsid w:val="00121F6D"/>
    <w:rsid w:val="00122098"/>
    <w:rsid w:val="0012236A"/>
    <w:rsid w:val="0012239C"/>
    <w:rsid w:val="00122BF2"/>
    <w:rsid w:val="0012350D"/>
    <w:rsid w:val="00125874"/>
    <w:rsid w:val="0012650C"/>
    <w:rsid w:val="00126AF5"/>
    <w:rsid w:val="00127B0D"/>
    <w:rsid w:val="00127E78"/>
    <w:rsid w:val="001302FA"/>
    <w:rsid w:val="001304BC"/>
    <w:rsid w:val="00130557"/>
    <w:rsid w:val="001309E4"/>
    <w:rsid w:val="001315C7"/>
    <w:rsid w:val="00132A19"/>
    <w:rsid w:val="0013362E"/>
    <w:rsid w:val="00134607"/>
    <w:rsid w:val="001346CA"/>
    <w:rsid w:val="0013526B"/>
    <w:rsid w:val="00136563"/>
    <w:rsid w:val="00136779"/>
    <w:rsid w:val="001375D8"/>
    <w:rsid w:val="00137A8F"/>
    <w:rsid w:val="00137DD6"/>
    <w:rsid w:val="00141521"/>
    <w:rsid w:val="00141F3D"/>
    <w:rsid w:val="0014217F"/>
    <w:rsid w:val="0014340A"/>
    <w:rsid w:val="00144E19"/>
    <w:rsid w:val="0014501F"/>
    <w:rsid w:val="001451C3"/>
    <w:rsid w:val="00145EEE"/>
    <w:rsid w:val="00146055"/>
    <w:rsid w:val="001464C2"/>
    <w:rsid w:val="00147120"/>
    <w:rsid w:val="001476D9"/>
    <w:rsid w:val="00147D6E"/>
    <w:rsid w:val="00147EC6"/>
    <w:rsid w:val="00150FD6"/>
    <w:rsid w:val="001522FF"/>
    <w:rsid w:val="001531BC"/>
    <w:rsid w:val="00154887"/>
    <w:rsid w:val="001557EF"/>
    <w:rsid w:val="00155838"/>
    <w:rsid w:val="00157449"/>
    <w:rsid w:val="00157CE1"/>
    <w:rsid w:val="0016004E"/>
    <w:rsid w:val="0016072D"/>
    <w:rsid w:val="0016123E"/>
    <w:rsid w:val="0016191B"/>
    <w:rsid w:val="00161F43"/>
    <w:rsid w:val="00162E22"/>
    <w:rsid w:val="00163221"/>
    <w:rsid w:val="0016402E"/>
    <w:rsid w:val="0016460F"/>
    <w:rsid w:val="00164A97"/>
    <w:rsid w:val="00164F2F"/>
    <w:rsid w:val="0016657C"/>
    <w:rsid w:val="00167769"/>
    <w:rsid w:val="00167E72"/>
    <w:rsid w:val="00170247"/>
    <w:rsid w:val="0017113A"/>
    <w:rsid w:val="0017151A"/>
    <w:rsid w:val="001716E0"/>
    <w:rsid w:val="00171819"/>
    <w:rsid w:val="00171B44"/>
    <w:rsid w:val="001725CD"/>
    <w:rsid w:val="0017278C"/>
    <w:rsid w:val="0017396A"/>
    <w:rsid w:val="00173F2B"/>
    <w:rsid w:val="00176112"/>
    <w:rsid w:val="001769F2"/>
    <w:rsid w:val="00177B2F"/>
    <w:rsid w:val="00180F43"/>
    <w:rsid w:val="00182B09"/>
    <w:rsid w:val="0018380A"/>
    <w:rsid w:val="00183AAA"/>
    <w:rsid w:val="00183CDD"/>
    <w:rsid w:val="001853FA"/>
    <w:rsid w:val="00185793"/>
    <w:rsid w:val="0019044C"/>
    <w:rsid w:val="00190C77"/>
    <w:rsid w:val="00190E6A"/>
    <w:rsid w:val="001919C5"/>
    <w:rsid w:val="001938C7"/>
    <w:rsid w:val="0019426D"/>
    <w:rsid w:val="0019432A"/>
    <w:rsid w:val="00194620"/>
    <w:rsid w:val="0019505F"/>
    <w:rsid w:val="0019668A"/>
    <w:rsid w:val="001A06AC"/>
    <w:rsid w:val="001A1907"/>
    <w:rsid w:val="001A32A6"/>
    <w:rsid w:val="001A38AF"/>
    <w:rsid w:val="001A430D"/>
    <w:rsid w:val="001A6018"/>
    <w:rsid w:val="001A6026"/>
    <w:rsid w:val="001A6C6A"/>
    <w:rsid w:val="001A6D0B"/>
    <w:rsid w:val="001A7178"/>
    <w:rsid w:val="001A7423"/>
    <w:rsid w:val="001A75BC"/>
    <w:rsid w:val="001A7B98"/>
    <w:rsid w:val="001A7C9F"/>
    <w:rsid w:val="001A7E94"/>
    <w:rsid w:val="001B0059"/>
    <w:rsid w:val="001B0BCE"/>
    <w:rsid w:val="001B1F1C"/>
    <w:rsid w:val="001B3CC9"/>
    <w:rsid w:val="001B42D0"/>
    <w:rsid w:val="001B5326"/>
    <w:rsid w:val="001B5C0E"/>
    <w:rsid w:val="001B789F"/>
    <w:rsid w:val="001C298D"/>
    <w:rsid w:val="001C376F"/>
    <w:rsid w:val="001C4543"/>
    <w:rsid w:val="001C4AED"/>
    <w:rsid w:val="001C53C6"/>
    <w:rsid w:val="001C56D9"/>
    <w:rsid w:val="001C6D7E"/>
    <w:rsid w:val="001C7E6B"/>
    <w:rsid w:val="001D11BD"/>
    <w:rsid w:val="001D3EEF"/>
    <w:rsid w:val="001D427F"/>
    <w:rsid w:val="001D445E"/>
    <w:rsid w:val="001D4748"/>
    <w:rsid w:val="001D47E2"/>
    <w:rsid w:val="001D4AE0"/>
    <w:rsid w:val="001D56F7"/>
    <w:rsid w:val="001D61F5"/>
    <w:rsid w:val="001D6BE6"/>
    <w:rsid w:val="001D746E"/>
    <w:rsid w:val="001D7477"/>
    <w:rsid w:val="001D7520"/>
    <w:rsid w:val="001D7F88"/>
    <w:rsid w:val="001E008B"/>
    <w:rsid w:val="001E0199"/>
    <w:rsid w:val="001E1630"/>
    <w:rsid w:val="001E1CC8"/>
    <w:rsid w:val="001E1D13"/>
    <w:rsid w:val="001E203A"/>
    <w:rsid w:val="001E20E3"/>
    <w:rsid w:val="001E336C"/>
    <w:rsid w:val="001E3404"/>
    <w:rsid w:val="001E393B"/>
    <w:rsid w:val="001E3981"/>
    <w:rsid w:val="001E3B2A"/>
    <w:rsid w:val="001E5B31"/>
    <w:rsid w:val="001E5B94"/>
    <w:rsid w:val="001E63BA"/>
    <w:rsid w:val="001E696A"/>
    <w:rsid w:val="001E6F8F"/>
    <w:rsid w:val="001E7173"/>
    <w:rsid w:val="001E7C12"/>
    <w:rsid w:val="001F2204"/>
    <w:rsid w:val="001F2748"/>
    <w:rsid w:val="001F27D5"/>
    <w:rsid w:val="001F2D85"/>
    <w:rsid w:val="001F3948"/>
    <w:rsid w:val="001F3C09"/>
    <w:rsid w:val="001F43B7"/>
    <w:rsid w:val="001F54BF"/>
    <w:rsid w:val="001F58AF"/>
    <w:rsid w:val="001F75AE"/>
    <w:rsid w:val="00200C36"/>
    <w:rsid w:val="00200DEB"/>
    <w:rsid w:val="0020198F"/>
    <w:rsid w:val="0020204A"/>
    <w:rsid w:val="00202CE8"/>
    <w:rsid w:val="00203392"/>
    <w:rsid w:val="002036A4"/>
    <w:rsid w:val="00203C4B"/>
    <w:rsid w:val="0020514D"/>
    <w:rsid w:val="00205EB7"/>
    <w:rsid w:val="00206991"/>
    <w:rsid w:val="002073D1"/>
    <w:rsid w:val="00210242"/>
    <w:rsid w:val="00210CDD"/>
    <w:rsid w:val="00211FE0"/>
    <w:rsid w:val="00212ACE"/>
    <w:rsid w:val="00213A4C"/>
    <w:rsid w:val="0021497A"/>
    <w:rsid w:val="00214C5C"/>
    <w:rsid w:val="00215030"/>
    <w:rsid w:val="00215811"/>
    <w:rsid w:val="00215936"/>
    <w:rsid w:val="002164A1"/>
    <w:rsid w:val="00217E6C"/>
    <w:rsid w:val="00220110"/>
    <w:rsid w:val="00220634"/>
    <w:rsid w:val="002206DF"/>
    <w:rsid w:val="00220B1C"/>
    <w:rsid w:val="00220B69"/>
    <w:rsid w:val="002215C4"/>
    <w:rsid w:val="002227AA"/>
    <w:rsid w:val="002227F8"/>
    <w:rsid w:val="00223B33"/>
    <w:rsid w:val="0022470B"/>
    <w:rsid w:val="00224BB0"/>
    <w:rsid w:val="00225B9A"/>
    <w:rsid w:val="00227082"/>
    <w:rsid w:val="0022730C"/>
    <w:rsid w:val="00227630"/>
    <w:rsid w:val="00227EF2"/>
    <w:rsid w:val="002318FB"/>
    <w:rsid w:val="00231E64"/>
    <w:rsid w:val="0023271A"/>
    <w:rsid w:val="00233183"/>
    <w:rsid w:val="00234208"/>
    <w:rsid w:val="002347C3"/>
    <w:rsid w:val="00234DA0"/>
    <w:rsid w:val="00237325"/>
    <w:rsid w:val="00237E21"/>
    <w:rsid w:val="00240328"/>
    <w:rsid w:val="00241E8F"/>
    <w:rsid w:val="002426B0"/>
    <w:rsid w:val="002428F9"/>
    <w:rsid w:val="00242F68"/>
    <w:rsid w:val="00243012"/>
    <w:rsid w:val="002444E4"/>
    <w:rsid w:val="0024674F"/>
    <w:rsid w:val="00246B53"/>
    <w:rsid w:val="0024788F"/>
    <w:rsid w:val="00250038"/>
    <w:rsid w:val="002511E2"/>
    <w:rsid w:val="0025189D"/>
    <w:rsid w:val="0025190C"/>
    <w:rsid w:val="00251E4D"/>
    <w:rsid w:val="0025361E"/>
    <w:rsid w:val="00253A60"/>
    <w:rsid w:val="00253C51"/>
    <w:rsid w:val="00254053"/>
    <w:rsid w:val="002543DC"/>
    <w:rsid w:val="002561AF"/>
    <w:rsid w:val="002563FA"/>
    <w:rsid w:val="002567CD"/>
    <w:rsid w:val="00256C6D"/>
    <w:rsid w:val="0025727C"/>
    <w:rsid w:val="00257E95"/>
    <w:rsid w:val="00260B16"/>
    <w:rsid w:val="00261158"/>
    <w:rsid w:val="002618C5"/>
    <w:rsid w:val="00262F3C"/>
    <w:rsid w:val="00262FAA"/>
    <w:rsid w:val="0026333E"/>
    <w:rsid w:val="00263530"/>
    <w:rsid w:val="00264788"/>
    <w:rsid w:val="002649F7"/>
    <w:rsid w:val="0026504C"/>
    <w:rsid w:val="0026544A"/>
    <w:rsid w:val="002658BE"/>
    <w:rsid w:val="002673C6"/>
    <w:rsid w:val="00267715"/>
    <w:rsid w:val="00267A9B"/>
    <w:rsid w:val="00270037"/>
    <w:rsid w:val="002714A0"/>
    <w:rsid w:val="002720A8"/>
    <w:rsid w:val="002723D4"/>
    <w:rsid w:val="00272AAD"/>
    <w:rsid w:val="00273173"/>
    <w:rsid w:val="00273483"/>
    <w:rsid w:val="00273849"/>
    <w:rsid w:val="0027441F"/>
    <w:rsid w:val="0027454D"/>
    <w:rsid w:val="002758BB"/>
    <w:rsid w:val="00275C52"/>
    <w:rsid w:val="00275F8F"/>
    <w:rsid w:val="002762E3"/>
    <w:rsid w:val="0027685A"/>
    <w:rsid w:val="00276986"/>
    <w:rsid w:val="002769D4"/>
    <w:rsid w:val="002769F7"/>
    <w:rsid w:val="00276F51"/>
    <w:rsid w:val="00277232"/>
    <w:rsid w:val="0027748B"/>
    <w:rsid w:val="002810E6"/>
    <w:rsid w:val="002813DA"/>
    <w:rsid w:val="00281742"/>
    <w:rsid w:val="0028266E"/>
    <w:rsid w:val="00282C43"/>
    <w:rsid w:val="002831E1"/>
    <w:rsid w:val="002842A2"/>
    <w:rsid w:val="0028449A"/>
    <w:rsid w:val="00285D81"/>
    <w:rsid w:val="00286494"/>
    <w:rsid w:val="0028652F"/>
    <w:rsid w:val="00286BB1"/>
    <w:rsid w:val="00286BE9"/>
    <w:rsid w:val="00286EBB"/>
    <w:rsid w:val="00287559"/>
    <w:rsid w:val="002909EA"/>
    <w:rsid w:val="00290B6A"/>
    <w:rsid w:val="002915F1"/>
    <w:rsid w:val="00291E0B"/>
    <w:rsid w:val="00291FA4"/>
    <w:rsid w:val="002967CA"/>
    <w:rsid w:val="00297B59"/>
    <w:rsid w:val="002A08FC"/>
    <w:rsid w:val="002A1039"/>
    <w:rsid w:val="002A2E26"/>
    <w:rsid w:val="002A2FAD"/>
    <w:rsid w:val="002A301B"/>
    <w:rsid w:val="002A3299"/>
    <w:rsid w:val="002A33C5"/>
    <w:rsid w:val="002A36A9"/>
    <w:rsid w:val="002A3893"/>
    <w:rsid w:val="002A4232"/>
    <w:rsid w:val="002A462A"/>
    <w:rsid w:val="002A54CD"/>
    <w:rsid w:val="002A5C53"/>
    <w:rsid w:val="002A5F52"/>
    <w:rsid w:val="002A63FD"/>
    <w:rsid w:val="002A6C9F"/>
    <w:rsid w:val="002A752A"/>
    <w:rsid w:val="002A7A18"/>
    <w:rsid w:val="002B00D5"/>
    <w:rsid w:val="002B0108"/>
    <w:rsid w:val="002B0BB9"/>
    <w:rsid w:val="002B14FC"/>
    <w:rsid w:val="002B1CD2"/>
    <w:rsid w:val="002B284B"/>
    <w:rsid w:val="002B30AA"/>
    <w:rsid w:val="002B4453"/>
    <w:rsid w:val="002B5B3D"/>
    <w:rsid w:val="002B63F7"/>
    <w:rsid w:val="002B69A1"/>
    <w:rsid w:val="002B6D40"/>
    <w:rsid w:val="002B7F4D"/>
    <w:rsid w:val="002C002D"/>
    <w:rsid w:val="002C0371"/>
    <w:rsid w:val="002C1A17"/>
    <w:rsid w:val="002C1A2E"/>
    <w:rsid w:val="002C1EED"/>
    <w:rsid w:val="002C223B"/>
    <w:rsid w:val="002C2419"/>
    <w:rsid w:val="002C2B98"/>
    <w:rsid w:val="002C2D2E"/>
    <w:rsid w:val="002C2F40"/>
    <w:rsid w:val="002C35E6"/>
    <w:rsid w:val="002C3E0F"/>
    <w:rsid w:val="002C3ECA"/>
    <w:rsid w:val="002C4370"/>
    <w:rsid w:val="002C45EA"/>
    <w:rsid w:val="002C59DE"/>
    <w:rsid w:val="002C63B0"/>
    <w:rsid w:val="002C6778"/>
    <w:rsid w:val="002C69CD"/>
    <w:rsid w:val="002C7092"/>
    <w:rsid w:val="002D130D"/>
    <w:rsid w:val="002D2129"/>
    <w:rsid w:val="002D21ED"/>
    <w:rsid w:val="002D29C1"/>
    <w:rsid w:val="002D2FFA"/>
    <w:rsid w:val="002D3932"/>
    <w:rsid w:val="002D3D6E"/>
    <w:rsid w:val="002D477E"/>
    <w:rsid w:val="002D4966"/>
    <w:rsid w:val="002D5552"/>
    <w:rsid w:val="002D58E8"/>
    <w:rsid w:val="002D5995"/>
    <w:rsid w:val="002D59B2"/>
    <w:rsid w:val="002D5F24"/>
    <w:rsid w:val="002D60B3"/>
    <w:rsid w:val="002D63B8"/>
    <w:rsid w:val="002D6CF7"/>
    <w:rsid w:val="002D7960"/>
    <w:rsid w:val="002E0322"/>
    <w:rsid w:val="002E1B99"/>
    <w:rsid w:val="002E260C"/>
    <w:rsid w:val="002E374E"/>
    <w:rsid w:val="002E398A"/>
    <w:rsid w:val="002E39E9"/>
    <w:rsid w:val="002E3CDC"/>
    <w:rsid w:val="002E40A2"/>
    <w:rsid w:val="002E4B3C"/>
    <w:rsid w:val="002E4BC4"/>
    <w:rsid w:val="002E559A"/>
    <w:rsid w:val="002E5AE5"/>
    <w:rsid w:val="002E6153"/>
    <w:rsid w:val="002E6D30"/>
    <w:rsid w:val="002E709E"/>
    <w:rsid w:val="002E72F2"/>
    <w:rsid w:val="002E7C04"/>
    <w:rsid w:val="002F04D2"/>
    <w:rsid w:val="002F0ACA"/>
    <w:rsid w:val="002F35B4"/>
    <w:rsid w:val="002F3EA3"/>
    <w:rsid w:val="002F58BF"/>
    <w:rsid w:val="002F636B"/>
    <w:rsid w:val="002F685C"/>
    <w:rsid w:val="002F7618"/>
    <w:rsid w:val="002F7EAD"/>
    <w:rsid w:val="003005EC"/>
    <w:rsid w:val="00300B50"/>
    <w:rsid w:val="00300CFB"/>
    <w:rsid w:val="00302CFD"/>
    <w:rsid w:val="003032EE"/>
    <w:rsid w:val="0030497E"/>
    <w:rsid w:val="003049E4"/>
    <w:rsid w:val="00305052"/>
    <w:rsid w:val="00305A35"/>
    <w:rsid w:val="0030664C"/>
    <w:rsid w:val="00306E75"/>
    <w:rsid w:val="003071AB"/>
    <w:rsid w:val="00307611"/>
    <w:rsid w:val="00307CFF"/>
    <w:rsid w:val="00310160"/>
    <w:rsid w:val="00311550"/>
    <w:rsid w:val="003115C4"/>
    <w:rsid w:val="0031180A"/>
    <w:rsid w:val="003124ED"/>
    <w:rsid w:val="00312A64"/>
    <w:rsid w:val="00312C20"/>
    <w:rsid w:val="003145C7"/>
    <w:rsid w:val="00314B49"/>
    <w:rsid w:val="0031508D"/>
    <w:rsid w:val="0031650E"/>
    <w:rsid w:val="00320F9F"/>
    <w:rsid w:val="00321425"/>
    <w:rsid w:val="00321F5D"/>
    <w:rsid w:val="003222E1"/>
    <w:rsid w:val="003224CC"/>
    <w:rsid w:val="00322C74"/>
    <w:rsid w:val="00323404"/>
    <w:rsid w:val="0032395C"/>
    <w:rsid w:val="003246F1"/>
    <w:rsid w:val="00325232"/>
    <w:rsid w:val="00325373"/>
    <w:rsid w:val="00325A1C"/>
    <w:rsid w:val="00326D69"/>
    <w:rsid w:val="00326EF9"/>
    <w:rsid w:val="0032775C"/>
    <w:rsid w:val="00327A62"/>
    <w:rsid w:val="00327B88"/>
    <w:rsid w:val="00331AFD"/>
    <w:rsid w:val="00332A11"/>
    <w:rsid w:val="00332C65"/>
    <w:rsid w:val="0033317E"/>
    <w:rsid w:val="0033350D"/>
    <w:rsid w:val="00334664"/>
    <w:rsid w:val="003355A3"/>
    <w:rsid w:val="00336F0F"/>
    <w:rsid w:val="0033760A"/>
    <w:rsid w:val="00340EEA"/>
    <w:rsid w:val="00341330"/>
    <w:rsid w:val="00341BEF"/>
    <w:rsid w:val="003422CA"/>
    <w:rsid w:val="00342893"/>
    <w:rsid w:val="0034290E"/>
    <w:rsid w:val="00342A40"/>
    <w:rsid w:val="00343A86"/>
    <w:rsid w:val="0034581E"/>
    <w:rsid w:val="00347AE8"/>
    <w:rsid w:val="00350711"/>
    <w:rsid w:val="00350B37"/>
    <w:rsid w:val="00350C7A"/>
    <w:rsid w:val="003512E9"/>
    <w:rsid w:val="003519B4"/>
    <w:rsid w:val="00351FF5"/>
    <w:rsid w:val="003532B0"/>
    <w:rsid w:val="00353745"/>
    <w:rsid w:val="00354224"/>
    <w:rsid w:val="003547E2"/>
    <w:rsid w:val="00354ED4"/>
    <w:rsid w:val="00355056"/>
    <w:rsid w:val="00356163"/>
    <w:rsid w:val="00357248"/>
    <w:rsid w:val="0035764F"/>
    <w:rsid w:val="0035767B"/>
    <w:rsid w:val="00360176"/>
    <w:rsid w:val="00361FE9"/>
    <w:rsid w:val="0036428F"/>
    <w:rsid w:val="00364643"/>
    <w:rsid w:val="00366D34"/>
    <w:rsid w:val="00367170"/>
    <w:rsid w:val="00367C4A"/>
    <w:rsid w:val="00367C5D"/>
    <w:rsid w:val="00367C63"/>
    <w:rsid w:val="00367F5E"/>
    <w:rsid w:val="003701F7"/>
    <w:rsid w:val="00370364"/>
    <w:rsid w:val="003708C6"/>
    <w:rsid w:val="003709FB"/>
    <w:rsid w:val="00371D17"/>
    <w:rsid w:val="00372794"/>
    <w:rsid w:val="00372ED9"/>
    <w:rsid w:val="00373432"/>
    <w:rsid w:val="00373EEC"/>
    <w:rsid w:val="00374234"/>
    <w:rsid w:val="00374452"/>
    <w:rsid w:val="00375177"/>
    <w:rsid w:val="00375D31"/>
    <w:rsid w:val="00376A52"/>
    <w:rsid w:val="00377527"/>
    <w:rsid w:val="0037792C"/>
    <w:rsid w:val="00377C2B"/>
    <w:rsid w:val="0038088B"/>
    <w:rsid w:val="00380F51"/>
    <w:rsid w:val="00381364"/>
    <w:rsid w:val="00382250"/>
    <w:rsid w:val="00382865"/>
    <w:rsid w:val="0038320F"/>
    <w:rsid w:val="0038365A"/>
    <w:rsid w:val="00383E5A"/>
    <w:rsid w:val="00384AF2"/>
    <w:rsid w:val="0038540C"/>
    <w:rsid w:val="00385434"/>
    <w:rsid w:val="00386A28"/>
    <w:rsid w:val="00386B2B"/>
    <w:rsid w:val="00386CF9"/>
    <w:rsid w:val="00390011"/>
    <w:rsid w:val="003905F4"/>
    <w:rsid w:val="0039126C"/>
    <w:rsid w:val="0039254B"/>
    <w:rsid w:val="00393BD4"/>
    <w:rsid w:val="00394010"/>
    <w:rsid w:val="0039627F"/>
    <w:rsid w:val="003A326E"/>
    <w:rsid w:val="003A34AF"/>
    <w:rsid w:val="003A5247"/>
    <w:rsid w:val="003A56B7"/>
    <w:rsid w:val="003A576A"/>
    <w:rsid w:val="003A6930"/>
    <w:rsid w:val="003A6C1E"/>
    <w:rsid w:val="003A7EEB"/>
    <w:rsid w:val="003A7FE8"/>
    <w:rsid w:val="003B11C6"/>
    <w:rsid w:val="003B2801"/>
    <w:rsid w:val="003B2BAB"/>
    <w:rsid w:val="003B2F40"/>
    <w:rsid w:val="003B380C"/>
    <w:rsid w:val="003B45B7"/>
    <w:rsid w:val="003B4643"/>
    <w:rsid w:val="003C06FD"/>
    <w:rsid w:val="003C0898"/>
    <w:rsid w:val="003C0DC7"/>
    <w:rsid w:val="003C1CD6"/>
    <w:rsid w:val="003C2AEC"/>
    <w:rsid w:val="003C3A3A"/>
    <w:rsid w:val="003C3F61"/>
    <w:rsid w:val="003C4128"/>
    <w:rsid w:val="003C44B5"/>
    <w:rsid w:val="003C51BD"/>
    <w:rsid w:val="003C53BF"/>
    <w:rsid w:val="003C5BFA"/>
    <w:rsid w:val="003C5F25"/>
    <w:rsid w:val="003C7D28"/>
    <w:rsid w:val="003D159A"/>
    <w:rsid w:val="003D4B3F"/>
    <w:rsid w:val="003D5141"/>
    <w:rsid w:val="003D531E"/>
    <w:rsid w:val="003D5CDA"/>
    <w:rsid w:val="003D6401"/>
    <w:rsid w:val="003E0893"/>
    <w:rsid w:val="003E18CE"/>
    <w:rsid w:val="003E2700"/>
    <w:rsid w:val="003E3C88"/>
    <w:rsid w:val="003E53E0"/>
    <w:rsid w:val="003E5B07"/>
    <w:rsid w:val="003F05B8"/>
    <w:rsid w:val="003F1288"/>
    <w:rsid w:val="003F17BD"/>
    <w:rsid w:val="003F1D49"/>
    <w:rsid w:val="003F25E6"/>
    <w:rsid w:val="003F325B"/>
    <w:rsid w:val="003F41B8"/>
    <w:rsid w:val="003F4B15"/>
    <w:rsid w:val="003F5BDC"/>
    <w:rsid w:val="003F5E3D"/>
    <w:rsid w:val="003F6569"/>
    <w:rsid w:val="003F6FF2"/>
    <w:rsid w:val="003F7922"/>
    <w:rsid w:val="003F7DBE"/>
    <w:rsid w:val="003F7F5E"/>
    <w:rsid w:val="00400C10"/>
    <w:rsid w:val="00402CA4"/>
    <w:rsid w:val="004037FD"/>
    <w:rsid w:val="00403B83"/>
    <w:rsid w:val="00404118"/>
    <w:rsid w:val="0040447F"/>
    <w:rsid w:val="00405FD4"/>
    <w:rsid w:val="00406874"/>
    <w:rsid w:val="00406C19"/>
    <w:rsid w:val="004101B2"/>
    <w:rsid w:val="00411F72"/>
    <w:rsid w:val="00413367"/>
    <w:rsid w:val="00413528"/>
    <w:rsid w:val="00414504"/>
    <w:rsid w:val="004157AF"/>
    <w:rsid w:val="00415A8F"/>
    <w:rsid w:val="00416096"/>
    <w:rsid w:val="00416198"/>
    <w:rsid w:val="0041657B"/>
    <w:rsid w:val="0041770B"/>
    <w:rsid w:val="0042030E"/>
    <w:rsid w:val="0042291D"/>
    <w:rsid w:val="004231CF"/>
    <w:rsid w:val="00423768"/>
    <w:rsid w:val="004237F5"/>
    <w:rsid w:val="00423C42"/>
    <w:rsid w:val="004241FB"/>
    <w:rsid w:val="00425FDA"/>
    <w:rsid w:val="0042607F"/>
    <w:rsid w:val="004261F7"/>
    <w:rsid w:val="004276B0"/>
    <w:rsid w:val="00430528"/>
    <w:rsid w:val="00431138"/>
    <w:rsid w:val="004313FF"/>
    <w:rsid w:val="00431B86"/>
    <w:rsid w:val="004327EE"/>
    <w:rsid w:val="00432DBD"/>
    <w:rsid w:val="00433A54"/>
    <w:rsid w:val="00435C72"/>
    <w:rsid w:val="00435D30"/>
    <w:rsid w:val="00435E69"/>
    <w:rsid w:val="00436458"/>
    <w:rsid w:val="00437226"/>
    <w:rsid w:val="00437BBA"/>
    <w:rsid w:val="00441529"/>
    <w:rsid w:val="00441D44"/>
    <w:rsid w:val="00442073"/>
    <w:rsid w:val="0044319D"/>
    <w:rsid w:val="00443459"/>
    <w:rsid w:val="00443675"/>
    <w:rsid w:val="004442CB"/>
    <w:rsid w:val="0044438E"/>
    <w:rsid w:val="004443E4"/>
    <w:rsid w:val="00445D3B"/>
    <w:rsid w:val="00446031"/>
    <w:rsid w:val="004467E3"/>
    <w:rsid w:val="00447E24"/>
    <w:rsid w:val="00450E75"/>
    <w:rsid w:val="004522C5"/>
    <w:rsid w:val="004523F7"/>
    <w:rsid w:val="004529A5"/>
    <w:rsid w:val="004530C3"/>
    <w:rsid w:val="004535C3"/>
    <w:rsid w:val="004535D8"/>
    <w:rsid w:val="004538BF"/>
    <w:rsid w:val="00453AAE"/>
    <w:rsid w:val="00454E08"/>
    <w:rsid w:val="00455496"/>
    <w:rsid w:val="00456286"/>
    <w:rsid w:val="0045770A"/>
    <w:rsid w:val="00460BCC"/>
    <w:rsid w:val="00461F6B"/>
    <w:rsid w:val="00462345"/>
    <w:rsid w:val="004637EA"/>
    <w:rsid w:val="0046387C"/>
    <w:rsid w:val="00463F99"/>
    <w:rsid w:val="00464865"/>
    <w:rsid w:val="00464BE9"/>
    <w:rsid w:val="0046601C"/>
    <w:rsid w:val="00466323"/>
    <w:rsid w:val="004665EA"/>
    <w:rsid w:val="00467260"/>
    <w:rsid w:val="0046768B"/>
    <w:rsid w:val="00467A91"/>
    <w:rsid w:val="00470914"/>
    <w:rsid w:val="004709C8"/>
    <w:rsid w:val="00470BDC"/>
    <w:rsid w:val="004712FC"/>
    <w:rsid w:val="004713C5"/>
    <w:rsid w:val="00471D40"/>
    <w:rsid w:val="004721F5"/>
    <w:rsid w:val="00473B0B"/>
    <w:rsid w:val="00474A3B"/>
    <w:rsid w:val="00475DC9"/>
    <w:rsid w:val="00476529"/>
    <w:rsid w:val="004765C6"/>
    <w:rsid w:val="00477E42"/>
    <w:rsid w:val="0048047D"/>
    <w:rsid w:val="00481E43"/>
    <w:rsid w:val="00481FFD"/>
    <w:rsid w:val="00483808"/>
    <w:rsid w:val="004839B3"/>
    <w:rsid w:val="00483AEB"/>
    <w:rsid w:val="00483F8F"/>
    <w:rsid w:val="004840C8"/>
    <w:rsid w:val="00485165"/>
    <w:rsid w:val="004860F2"/>
    <w:rsid w:val="00487442"/>
    <w:rsid w:val="00487BE4"/>
    <w:rsid w:val="004913CA"/>
    <w:rsid w:val="004914A8"/>
    <w:rsid w:val="00491B51"/>
    <w:rsid w:val="004924DE"/>
    <w:rsid w:val="00493542"/>
    <w:rsid w:val="00494703"/>
    <w:rsid w:val="00494E68"/>
    <w:rsid w:val="004951ED"/>
    <w:rsid w:val="0049557B"/>
    <w:rsid w:val="0049576F"/>
    <w:rsid w:val="004967AC"/>
    <w:rsid w:val="00496B87"/>
    <w:rsid w:val="004970D7"/>
    <w:rsid w:val="00497250"/>
    <w:rsid w:val="004976E2"/>
    <w:rsid w:val="004A0AF3"/>
    <w:rsid w:val="004A16C4"/>
    <w:rsid w:val="004A1783"/>
    <w:rsid w:val="004A2251"/>
    <w:rsid w:val="004A22FE"/>
    <w:rsid w:val="004A29C3"/>
    <w:rsid w:val="004A3551"/>
    <w:rsid w:val="004A4009"/>
    <w:rsid w:val="004A4E70"/>
    <w:rsid w:val="004A604B"/>
    <w:rsid w:val="004A6277"/>
    <w:rsid w:val="004A6305"/>
    <w:rsid w:val="004A6ED7"/>
    <w:rsid w:val="004A75A8"/>
    <w:rsid w:val="004A786D"/>
    <w:rsid w:val="004B04DE"/>
    <w:rsid w:val="004B18DE"/>
    <w:rsid w:val="004B2069"/>
    <w:rsid w:val="004B2792"/>
    <w:rsid w:val="004B3F9E"/>
    <w:rsid w:val="004B4A6A"/>
    <w:rsid w:val="004B4C52"/>
    <w:rsid w:val="004B4EE2"/>
    <w:rsid w:val="004B5097"/>
    <w:rsid w:val="004B521A"/>
    <w:rsid w:val="004B56C1"/>
    <w:rsid w:val="004B628F"/>
    <w:rsid w:val="004B71E0"/>
    <w:rsid w:val="004B73B3"/>
    <w:rsid w:val="004C0F07"/>
    <w:rsid w:val="004C1365"/>
    <w:rsid w:val="004C20BF"/>
    <w:rsid w:val="004C23E8"/>
    <w:rsid w:val="004C29CA"/>
    <w:rsid w:val="004C2DD8"/>
    <w:rsid w:val="004C3305"/>
    <w:rsid w:val="004C3777"/>
    <w:rsid w:val="004C458A"/>
    <w:rsid w:val="004C4C96"/>
    <w:rsid w:val="004C4F0A"/>
    <w:rsid w:val="004C65DD"/>
    <w:rsid w:val="004C7401"/>
    <w:rsid w:val="004C79F0"/>
    <w:rsid w:val="004C7C69"/>
    <w:rsid w:val="004C7DC4"/>
    <w:rsid w:val="004D05E1"/>
    <w:rsid w:val="004D1517"/>
    <w:rsid w:val="004D2CAA"/>
    <w:rsid w:val="004D2CB3"/>
    <w:rsid w:val="004D3A6B"/>
    <w:rsid w:val="004D3BD8"/>
    <w:rsid w:val="004D4CE0"/>
    <w:rsid w:val="004D5188"/>
    <w:rsid w:val="004D587C"/>
    <w:rsid w:val="004D71C9"/>
    <w:rsid w:val="004D76AB"/>
    <w:rsid w:val="004D77EE"/>
    <w:rsid w:val="004D7D63"/>
    <w:rsid w:val="004E0BB9"/>
    <w:rsid w:val="004E0C71"/>
    <w:rsid w:val="004E10F4"/>
    <w:rsid w:val="004E1244"/>
    <w:rsid w:val="004E2648"/>
    <w:rsid w:val="004E2724"/>
    <w:rsid w:val="004E2A83"/>
    <w:rsid w:val="004E2E9B"/>
    <w:rsid w:val="004E4F6B"/>
    <w:rsid w:val="004E513E"/>
    <w:rsid w:val="004E5305"/>
    <w:rsid w:val="004E5881"/>
    <w:rsid w:val="004E74E3"/>
    <w:rsid w:val="004E7A38"/>
    <w:rsid w:val="004E7CE5"/>
    <w:rsid w:val="004E7E49"/>
    <w:rsid w:val="004F058F"/>
    <w:rsid w:val="004F0590"/>
    <w:rsid w:val="004F1366"/>
    <w:rsid w:val="004F2F2B"/>
    <w:rsid w:val="004F3506"/>
    <w:rsid w:val="004F3FBF"/>
    <w:rsid w:val="004F494A"/>
    <w:rsid w:val="004F4E8F"/>
    <w:rsid w:val="004F5068"/>
    <w:rsid w:val="004F5249"/>
    <w:rsid w:val="004F5557"/>
    <w:rsid w:val="004F5BF1"/>
    <w:rsid w:val="004F69E9"/>
    <w:rsid w:val="004F6BCB"/>
    <w:rsid w:val="004F6E1E"/>
    <w:rsid w:val="004F702D"/>
    <w:rsid w:val="004F71DF"/>
    <w:rsid w:val="004F785C"/>
    <w:rsid w:val="004F7868"/>
    <w:rsid w:val="004F7D02"/>
    <w:rsid w:val="005002A6"/>
    <w:rsid w:val="00500F8C"/>
    <w:rsid w:val="005010CC"/>
    <w:rsid w:val="005016FF"/>
    <w:rsid w:val="00501C4B"/>
    <w:rsid w:val="00501E3C"/>
    <w:rsid w:val="0050261B"/>
    <w:rsid w:val="00502911"/>
    <w:rsid w:val="005032F5"/>
    <w:rsid w:val="00503943"/>
    <w:rsid w:val="00504060"/>
    <w:rsid w:val="005046B1"/>
    <w:rsid w:val="00504B2C"/>
    <w:rsid w:val="00505179"/>
    <w:rsid w:val="00507011"/>
    <w:rsid w:val="005073D9"/>
    <w:rsid w:val="00507B04"/>
    <w:rsid w:val="00510CAB"/>
    <w:rsid w:val="00511DAD"/>
    <w:rsid w:val="00512684"/>
    <w:rsid w:val="00512806"/>
    <w:rsid w:val="005135A9"/>
    <w:rsid w:val="005144D5"/>
    <w:rsid w:val="00514523"/>
    <w:rsid w:val="00514953"/>
    <w:rsid w:val="0051516A"/>
    <w:rsid w:val="00515777"/>
    <w:rsid w:val="005157B0"/>
    <w:rsid w:val="00515B20"/>
    <w:rsid w:val="00516965"/>
    <w:rsid w:val="005169F3"/>
    <w:rsid w:val="00516AD0"/>
    <w:rsid w:val="00516CAF"/>
    <w:rsid w:val="005171D3"/>
    <w:rsid w:val="0052026F"/>
    <w:rsid w:val="005219DF"/>
    <w:rsid w:val="00521A88"/>
    <w:rsid w:val="0052359A"/>
    <w:rsid w:val="00523B25"/>
    <w:rsid w:val="00524940"/>
    <w:rsid w:val="00524E88"/>
    <w:rsid w:val="0052509F"/>
    <w:rsid w:val="00525613"/>
    <w:rsid w:val="005257E1"/>
    <w:rsid w:val="005258F2"/>
    <w:rsid w:val="0052640B"/>
    <w:rsid w:val="005265A3"/>
    <w:rsid w:val="0052661A"/>
    <w:rsid w:val="005272AC"/>
    <w:rsid w:val="005276B5"/>
    <w:rsid w:val="00527AC5"/>
    <w:rsid w:val="00530876"/>
    <w:rsid w:val="00530C3E"/>
    <w:rsid w:val="005316D1"/>
    <w:rsid w:val="0053208B"/>
    <w:rsid w:val="0053345B"/>
    <w:rsid w:val="00533DA0"/>
    <w:rsid w:val="00533DC5"/>
    <w:rsid w:val="00534CD1"/>
    <w:rsid w:val="00535D93"/>
    <w:rsid w:val="005363B7"/>
    <w:rsid w:val="00536B8C"/>
    <w:rsid w:val="00536F58"/>
    <w:rsid w:val="005371DB"/>
    <w:rsid w:val="005410DE"/>
    <w:rsid w:val="005411CA"/>
    <w:rsid w:val="005412C2"/>
    <w:rsid w:val="005417C7"/>
    <w:rsid w:val="00542E63"/>
    <w:rsid w:val="005447D0"/>
    <w:rsid w:val="00545111"/>
    <w:rsid w:val="0054770F"/>
    <w:rsid w:val="005477A5"/>
    <w:rsid w:val="00547A14"/>
    <w:rsid w:val="00547B4B"/>
    <w:rsid w:val="00547E24"/>
    <w:rsid w:val="00547EC4"/>
    <w:rsid w:val="00550724"/>
    <w:rsid w:val="005518B4"/>
    <w:rsid w:val="00552B83"/>
    <w:rsid w:val="005535E1"/>
    <w:rsid w:val="00554754"/>
    <w:rsid w:val="005551E9"/>
    <w:rsid w:val="005557B5"/>
    <w:rsid w:val="005575D2"/>
    <w:rsid w:val="00557F5D"/>
    <w:rsid w:val="00557FEC"/>
    <w:rsid w:val="005604D3"/>
    <w:rsid w:val="00560959"/>
    <w:rsid w:val="00560C6B"/>
    <w:rsid w:val="00562E4C"/>
    <w:rsid w:val="00563609"/>
    <w:rsid w:val="0056371B"/>
    <w:rsid w:val="005643C1"/>
    <w:rsid w:val="005647E8"/>
    <w:rsid w:val="00565282"/>
    <w:rsid w:val="005655E5"/>
    <w:rsid w:val="005656F3"/>
    <w:rsid w:val="0056582C"/>
    <w:rsid w:val="00565BDD"/>
    <w:rsid w:val="00566760"/>
    <w:rsid w:val="00566CDE"/>
    <w:rsid w:val="00570A84"/>
    <w:rsid w:val="005714F1"/>
    <w:rsid w:val="00572D64"/>
    <w:rsid w:val="005736FD"/>
    <w:rsid w:val="00575BFB"/>
    <w:rsid w:val="005762C7"/>
    <w:rsid w:val="00577B47"/>
    <w:rsid w:val="00577CF7"/>
    <w:rsid w:val="005800C4"/>
    <w:rsid w:val="0058148A"/>
    <w:rsid w:val="00581769"/>
    <w:rsid w:val="005818B2"/>
    <w:rsid w:val="00581937"/>
    <w:rsid w:val="00583996"/>
    <w:rsid w:val="00583EEA"/>
    <w:rsid w:val="00584390"/>
    <w:rsid w:val="005847F7"/>
    <w:rsid w:val="005852DA"/>
    <w:rsid w:val="005853A7"/>
    <w:rsid w:val="00585C5A"/>
    <w:rsid w:val="00587398"/>
    <w:rsid w:val="005875C2"/>
    <w:rsid w:val="005878E1"/>
    <w:rsid w:val="00587E6C"/>
    <w:rsid w:val="005903D2"/>
    <w:rsid w:val="0059059B"/>
    <w:rsid w:val="005907C9"/>
    <w:rsid w:val="00590A3C"/>
    <w:rsid w:val="00590F0A"/>
    <w:rsid w:val="005916F5"/>
    <w:rsid w:val="00592AA7"/>
    <w:rsid w:val="00592FCE"/>
    <w:rsid w:val="00593714"/>
    <w:rsid w:val="00593735"/>
    <w:rsid w:val="005942CF"/>
    <w:rsid w:val="005944CF"/>
    <w:rsid w:val="00594B62"/>
    <w:rsid w:val="005953E8"/>
    <w:rsid w:val="00595B1F"/>
    <w:rsid w:val="00595CBD"/>
    <w:rsid w:val="00595DD8"/>
    <w:rsid w:val="00595E27"/>
    <w:rsid w:val="00597FF4"/>
    <w:rsid w:val="005A01B8"/>
    <w:rsid w:val="005A07C8"/>
    <w:rsid w:val="005A0B4E"/>
    <w:rsid w:val="005A0D16"/>
    <w:rsid w:val="005A135C"/>
    <w:rsid w:val="005A32D9"/>
    <w:rsid w:val="005A3C7B"/>
    <w:rsid w:val="005A5492"/>
    <w:rsid w:val="005A56BB"/>
    <w:rsid w:val="005A5E14"/>
    <w:rsid w:val="005A6982"/>
    <w:rsid w:val="005A71B3"/>
    <w:rsid w:val="005A76D4"/>
    <w:rsid w:val="005B01B4"/>
    <w:rsid w:val="005B0588"/>
    <w:rsid w:val="005B0D49"/>
    <w:rsid w:val="005B1DD1"/>
    <w:rsid w:val="005B2350"/>
    <w:rsid w:val="005B2927"/>
    <w:rsid w:val="005B4E79"/>
    <w:rsid w:val="005B507D"/>
    <w:rsid w:val="005B616D"/>
    <w:rsid w:val="005B70F9"/>
    <w:rsid w:val="005C0F61"/>
    <w:rsid w:val="005C1185"/>
    <w:rsid w:val="005C19E4"/>
    <w:rsid w:val="005C1B19"/>
    <w:rsid w:val="005C2748"/>
    <w:rsid w:val="005C6FF0"/>
    <w:rsid w:val="005C7B8B"/>
    <w:rsid w:val="005D112C"/>
    <w:rsid w:val="005D2860"/>
    <w:rsid w:val="005D36A1"/>
    <w:rsid w:val="005D3DD6"/>
    <w:rsid w:val="005D4051"/>
    <w:rsid w:val="005D420A"/>
    <w:rsid w:val="005D4C6B"/>
    <w:rsid w:val="005D51AB"/>
    <w:rsid w:val="005D586D"/>
    <w:rsid w:val="005D5AD2"/>
    <w:rsid w:val="005D5D39"/>
    <w:rsid w:val="005D76A6"/>
    <w:rsid w:val="005D787B"/>
    <w:rsid w:val="005D7EE4"/>
    <w:rsid w:val="005D7F86"/>
    <w:rsid w:val="005D7FFD"/>
    <w:rsid w:val="005E04D1"/>
    <w:rsid w:val="005E0BAB"/>
    <w:rsid w:val="005E1670"/>
    <w:rsid w:val="005E1CD7"/>
    <w:rsid w:val="005E2458"/>
    <w:rsid w:val="005E2473"/>
    <w:rsid w:val="005E2E34"/>
    <w:rsid w:val="005E339B"/>
    <w:rsid w:val="005E3889"/>
    <w:rsid w:val="005E41D1"/>
    <w:rsid w:val="005E4282"/>
    <w:rsid w:val="005E5521"/>
    <w:rsid w:val="005E5C3A"/>
    <w:rsid w:val="005E70CE"/>
    <w:rsid w:val="005E7176"/>
    <w:rsid w:val="005E7DB5"/>
    <w:rsid w:val="005F075C"/>
    <w:rsid w:val="005F15C3"/>
    <w:rsid w:val="005F2A27"/>
    <w:rsid w:val="005F4D47"/>
    <w:rsid w:val="005F53E5"/>
    <w:rsid w:val="005F56E8"/>
    <w:rsid w:val="005F5D1C"/>
    <w:rsid w:val="005F6284"/>
    <w:rsid w:val="005F68EA"/>
    <w:rsid w:val="005F6B5B"/>
    <w:rsid w:val="005F72B6"/>
    <w:rsid w:val="00600360"/>
    <w:rsid w:val="0060067A"/>
    <w:rsid w:val="00600B5F"/>
    <w:rsid w:val="00600EA7"/>
    <w:rsid w:val="006048D7"/>
    <w:rsid w:val="006060C5"/>
    <w:rsid w:val="00607727"/>
    <w:rsid w:val="00610123"/>
    <w:rsid w:val="00610474"/>
    <w:rsid w:val="006107C4"/>
    <w:rsid w:val="006117EF"/>
    <w:rsid w:val="00611814"/>
    <w:rsid w:val="00612077"/>
    <w:rsid w:val="00612278"/>
    <w:rsid w:val="00612A14"/>
    <w:rsid w:val="00612AF7"/>
    <w:rsid w:val="006131C3"/>
    <w:rsid w:val="006135D8"/>
    <w:rsid w:val="00613676"/>
    <w:rsid w:val="0061497C"/>
    <w:rsid w:val="0061511B"/>
    <w:rsid w:val="00615229"/>
    <w:rsid w:val="00615F79"/>
    <w:rsid w:val="0062042D"/>
    <w:rsid w:val="00621394"/>
    <w:rsid w:val="006213EF"/>
    <w:rsid w:val="00621A6B"/>
    <w:rsid w:val="00621FD5"/>
    <w:rsid w:val="0062257B"/>
    <w:rsid w:val="00622BDB"/>
    <w:rsid w:val="00622D5D"/>
    <w:rsid w:val="00624313"/>
    <w:rsid w:val="0062491B"/>
    <w:rsid w:val="006260B5"/>
    <w:rsid w:val="00627D4E"/>
    <w:rsid w:val="00630320"/>
    <w:rsid w:val="006304CB"/>
    <w:rsid w:val="00630D68"/>
    <w:rsid w:val="00632159"/>
    <w:rsid w:val="00632996"/>
    <w:rsid w:val="006342F0"/>
    <w:rsid w:val="0063449C"/>
    <w:rsid w:val="006344E1"/>
    <w:rsid w:val="00634A7C"/>
    <w:rsid w:val="00634EB7"/>
    <w:rsid w:val="00634FBE"/>
    <w:rsid w:val="00635267"/>
    <w:rsid w:val="0063551B"/>
    <w:rsid w:val="0063595E"/>
    <w:rsid w:val="00636398"/>
    <w:rsid w:val="0063656D"/>
    <w:rsid w:val="00636B82"/>
    <w:rsid w:val="00637462"/>
    <w:rsid w:val="0064049B"/>
    <w:rsid w:val="0064093C"/>
    <w:rsid w:val="00641355"/>
    <w:rsid w:val="00641451"/>
    <w:rsid w:val="00641799"/>
    <w:rsid w:val="00642D53"/>
    <w:rsid w:val="00643FCF"/>
    <w:rsid w:val="006441D6"/>
    <w:rsid w:val="00645555"/>
    <w:rsid w:val="00645D68"/>
    <w:rsid w:val="00646DF6"/>
    <w:rsid w:val="00646EEB"/>
    <w:rsid w:val="00647BE0"/>
    <w:rsid w:val="00647F2D"/>
    <w:rsid w:val="0065131D"/>
    <w:rsid w:val="006520D0"/>
    <w:rsid w:val="00652AAB"/>
    <w:rsid w:val="006535A6"/>
    <w:rsid w:val="006536E0"/>
    <w:rsid w:val="00653C24"/>
    <w:rsid w:val="00653E0B"/>
    <w:rsid w:val="00653FAB"/>
    <w:rsid w:val="006542E9"/>
    <w:rsid w:val="00654B59"/>
    <w:rsid w:val="0065599A"/>
    <w:rsid w:val="00655B22"/>
    <w:rsid w:val="00655E2E"/>
    <w:rsid w:val="00656720"/>
    <w:rsid w:val="006575B4"/>
    <w:rsid w:val="00657716"/>
    <w:rsid w:val="00657B86"/>
    <w:rsid w:val="006603B5"/>
    <w:rsid w:val="00661775"/>
    <w:rsid w:val="006618C2"/>
    <w:rsid w:val="006627B9"/>
    <w:rsid w:val="0066393C"/>
    <w:rsid w:val="00663F65"/>
    <w:rsid w:val="006647CD"/>
    <w:rsid w:val="00664BFD"/>
    <w:rsid w:val="00664CD7"/>
    <w:rsid w:val="00666164"/>
    <w:rsid w:val="006666A4"/>
    <w:rsid w:val="006672F8"/>
    <w:rsid w:val="006700C4"/>
    <w:rsid w:val="006707E9"/>
    <w:rsid w:val="00671371"/>
    <w:rsid w:val="006714A5"/>
    <w:rsid w:val="00672511"/>
    <w:rsid w:val="00673337"/>
    <w:rsid w:val="00673996"/>
    <w:rsid w:val="00673A9C"/>
    <w:rsid w:val="00673BC3"/>
    <w:rsid w:val="00675343"/>
    <w:rsid w:val="006776A4"/>
    <w:rsid w:val="006808CF"/>
    <w:rsid w:val="006815B3"/>
    <w:rsid w:val="00681EA3"/>
    <w:rsid w:val="006828E6"/>
    <w:rsid w:val="00682FC7"/>
    <w:rsid w:val="006830D4"/>
    <w:rsid w:val="00683876"/>
    <w:rsid w:val="006839F6"/>
    <w:rsid w:val="006855EB"/>
    <w:rsid w:val="00685DB4"/>
    <w:rsid w:val="00686C7E"/>
    <w:rsid w:val="00686DA6"/>
    <w:rsid w:val="006879E7"/>
    <w:rsid w:val="00687AF2"/>
    <w:rsid w:val="006909F9"/>
    <w:rsid w:val="00690FBF"/>
    <w:rsid w:val="006917A4"/>
    <w:rsid w:val="00692BAB"/>
    <w:rsid w:val="00692DD5"/>
    <w:rsid w:val="006942C0"/>
    <w:rsid w:val="00694728"/>
    <w:rsid w:val="006948E6"/>
    <w:rsid w:val="00694F74"/>
    <w:rsid w:val="0069588C"/>
    <w:rsid w:val="00695C36"/>
    <w:rsid w:val="00695EF5"/>
    <w:rsid w:val="006975A9"/>
    <w:rsid w:val="00697615"/>
    <w:rsid w:val="00697880"/>
    <w:rsid w:val="00697CA1"/>
    <w:rsid w:val="006A1126"/>
    <w:rsid w:val="006A17B3"/>
    <w:rsid w:val="006A1D3E"/>
    <w:rsid w:val="006A29A5"/>
    <w:rsid w:val="006A30DD"/>
    <w:rsid w:val="006A3844"/>
    <w:rsid w:val="006A3D5A"/>
    <w:rsid w:val="006A53C7"/>
    <w:rsid w:val="006A5EF1"/>
    <w:rsid w:val="006A6905"/>
    <w:rsid w:val="006B01DE"/>
    <w:rsid w:val="006B0695"/>
    <w:rsid w:val="006B1587"/>
    <w:rsid w:val="006B1ADC"/>
    <w:rsid w:val="006B248D"/>
    <w:rsid w:val="006B2E5E"/>
    <w:rsid w:val="006B35BD"/>
    <w:rsid w:val="006B486C"/>
    <w:rsid w:val="006B52B7"/>
    <w:rsid w:val="006B5520"/>
    <w:rsid w:val="006B679D"/>
    <w:rsid w:val="006B7ECF"/>
    <w:rsid w:val="006C0946"/>
    <w:rsid w:val="006C0EF9"/>
    <w:rsid w:val="006C17D0"/>
    <w:rsid w:val="006C18D7"/>
    <w:rsid w:val="006C323E"/>
    <w:rsid w:val="006C40DF"/>
    <w:rsid w:val="006C6247"/>
    <w:rsid w:val="006C7360"/>
    <w:rsid w:val="006C73BE"/>
    <w:rsid w:val="006D086B"/>
    <w:rsid w:val="006D0B80"/>
    <w:rsid w:val="006D25E8"/>
    <w:rsid w:val="006D27F9"/>
    <w:rsid w:val="006D2972"/>
    <w:rsid w:val="006D34C6"/>
    <w:rsid w:val="006D37EF"/>
    <w:rsid w:val="006D3D39"/>
    <w:rsid w:val="006D3E66"/>
    <w:rsid w:val="006D616A"/>
    <w:rsid w:val="006D72AE"/>
    <w:rsid w:val="006D76B1"/>
    <w:rsid w:val="006D7A23"/>
    <w:rsid w:val="006D7A9F"/>
    <w:rsid w:val="006D7C94"/>
    <w:rsid w:val="006D7DC8"/>
    <w:rsid w:val="006E05EF"/>
    <w:rsid w:val="006E1E7E"/>
    <w:rsid w:val="006E205E"/>
    <w:rsid w:val="006E2D9C"/>
    <w:rsid w:val="006E3DF2"/>
    <w:rsid w:val="006E567B"/>
    <w:rsid w:val="006E7BB8"/>
    <w:rsid w:val="006F085D"/>
    <w:rsid w:val="006F0D68"/>
    <w:rsid w:val="006F17F8"/>
    <w:rsid w:val="006F2006"/>
    <w:rsid w:val="006F2790"/>
    <w:rsid w:val="006F2B73"/>
    <w:rsid w:val="006F40D9"/>
    <w:rsid w:val="006F445B"/>
    <w:rsid w:val="006F4AE1"/>
    <w:rsid w:val="006F5132"/>
    <w:rsid w:val="006F5D5F"/>
    <w:rsid w:val="006F659E"/>
    <w:rsid w:val="006F6972"/>
    <w:rsid w:val="006F6AF5"/>
    <w:rsid w:val="006F71FA"/>
    <w:rsid w:val="007002BD"/>
    <w:rsid w:val="00701EED"/>
    <w:rsid w:val="007024C8"/>
    <w:rsid w:val="007032CE"/>
    <w:rsid w:val="007035F4"/>
    <w:rsid w:val="007039D0"/>
    <w:rsid w:val="00703B81"/>
    <w:rsid w:val="00703D52"/>
    <w:rsid w:val="00704790"/>
    <w:rsid w:val="00705184"/>
    <w:rsid w:val="0070565D"/>
    <w:rsid w:val="00705C97"/>
    <w:rsid w:val="00706083"/>
    <w:rsid w:val="00706BDE"/>
    <w:rsid w:val="00706D92"/>
    <w:rsid w:val="00707AA9"/>
    <w:rsid w:val="00707FC1"/>
    <w:rsid w:val="007105FC"/>
    <w:rsid w:val="007106B8"/>
    <w:rsid w:val="00710D30"/>
    <w:rsid w:val="007113D8"/>
    <w:rsid w:val="00711711"/>
    <w:rsid w:val="00713105"/>
    <w:rsid w:val="007131A5"/>
    <w:rsid w:val="007146BF"/>
    <w:rsid w:val="00714948"/>
    <w:rsid w:val="00714DAE"/>
    <w:rsid w:val="007154C5"/>
    <w:rsid w:val="00716A1B"/>
    <w:rsid w:val="00717972"/>
    <w:rsid w:val="00717D3F"/>
    <w:rsid w:val="00717E5E"/>
    <w:rsid w:val="00720AC2"/>
    <w:rsid w:val="007216E7"/>
    <w:rsid w:val="007221C4"/>
    <w:rsid w:val="00722641"/>
    <w:rsid w:val="0072367B"/>
    <w:rsid w:val="00723D62"/>
    <w:rsid w:val="007241E5"/>
    <w:rsid w:val="0072494E"/>
    <w:rsid w:val="007249E2"/>
    <w:rsid w:val="007251F0"/>
    <w:rsid w:val="007267DE"/>
    <w:rsid w:val="00726D8B"/>
    <w:rsid w:val="00727B44"/>
    <w:rsid w:val="0073003D"/>
    <w:rsid w:val="0073008F"/>
    <w:rsid w:val="0073077F"/>
    <w:rsid w:val="00730D8C"/>
    <w:rsid w:val="007324C4"/>
    <w:rsid w:val="00733741"/>
    <w:rsid w:val="0073583F"/>
    <w:rsid w:val="00735BF6"/>
    <w:rsid w:val="00735C7B"/>
    <w:rsid w:val="00735F82"/>
    <w:rsid w:val="007377BB"/>
    <w:rsid w:val="00740423"/>
    <w:rsid w:val="007411C5"/>
    <w:rsid w:val="00742BCC"/>
    <w:rsid w:val="00743404"/>
    <w:rsid w:val="007441AD"/>
    <w:rsid w:val="0074435A"/>
    <w:rsid w:val="00745B92"/>
    <w:rsid w:val="0074603E"/>
    <w:rsid w:val="0074731E"/>
    <w:rsid w:val="007473D8"/>
    <w:rsid w:val="00750189"/>
    <w:rsid w:val="0075022C"/>
    <w:rsid w:val="00750DF8"/>
    <w:rsid w:val="00751B2C"/>
    <w:rsid w:val="007526D9"/>
    <w:rsid w:val="00753F6B"/>
    <w:rsid w:val="007549EC"/>
    <w:rsid w:val="0075517B"/>
    <w:rsid w:val="007551E0"/>
    <w:rsid w:val="0075533D"/>
    <w:rsid w:val="007557CD"/>
    <w:rsid w:val="00755B8B"/>
    <w:rsid w:val="00755B91"/>
    <w:rsid w:val="00755C32"/>
    <w:rsid w:val="00755ED3"/>
    <w:rsid w:val="00756155"/>
    <w:rsid w:val="00756FBB"/>
    <w:rsid w:val="0076190F"/>
    <w:rsid w:val="00761AAC"/>
    <w:rsid w:val="00761F71"/>
    <w:rsid w:val="00762F52"/>
    <w:rsid w:val="00763035"/>
    <w:rsid w:val="007632B9"/>
    <w:rsid w:val="007636B1"/>
    <w:rsid w:val="00764E40"/>
    <w:rsid w:val="00765226"/>
    <w:rsid w:val="007653A6"/>
    <w:rsid w:val="00765D3C"/>
    <w:rsid w:val="007663EE"/>
    <w:rsid w:val="007676EB"/>
    <w:rsid w:val="00770B5F"/>
    <w:rsid w:val="0077121F"/>
    <w:rsid w:val="0077154A"/>
    <w:rsid w:val="00771EDD"/>
    <w:rsid w:val="00772397"/>
    <w:rsid w:val="00772A40"/>
    <w:rsid w:val="00773F0B"/>
    <w:rsid w:val="0077425F"/>
    <w:rsid w:val="00774A55"/>
    <w:rsid w:val="007757D3"/>
    <w:rsid w:val="007764F4"/>
    <w:rsid w:val="00780453"/>
    <w:rsid w:val="007807F4"/>
    <w:rsid w:val="00781A84"/>
    <w:rsid w:val="0078210C"/>
    <w:rsid w:val="007824EE"/>
    <w:rsid w:val="00783497"/>
    <w:rsid w:val="00783B32"/>
    <w:rsid w:val="007840C0"/>
    <w:rsid w:val="00784BCC"/>
    <w:rsid w:val="00784D27"/>
    <w:rsid w:val="00785094"/>
    <w:rsid w:val="007860A8"/>
    <w:rsid w:val="00787368"/>
    <w:rsid w:val="00787664"/>
    <w:rsid w:val="00787887"/>
    <w:rsid w:val="007939A9"/>
    <w:rsid w:val="00793A3B"/>
    <w:rsid w:val="00793D28"/>
    <w:rsid w:val="00794D95"/>
    <w:rsid w:val="00795273"/>
    <w:rsid w:val="00795BC8"/>
    <w:rsid w:val="00796CCB"/>
    <w:rsid w:val="00797A8D"/>
    <w:rsid w:val="00797EEE"/>
    <w:rsid w:val="007A25CC"/>
    <w:rsid w:val="007A2CF5"/>
    <w:rsid w:val="007A333B"/>
    <w:rsid w:val="007A33E1"/>
    <w:rsid w:val="007A3D6C"/>
    <w:rsid w:val="007A4B9C"/>
    <w:rsid w:val="007A4D3E"/>
    <w:rsid w:val="007A4EA9"/>
    <w:rsid w:val="007A4EF9"/>
    <w:rsid w:val="007A663C"/>
    <w:rsid w:val="007A7BD7"/>
    <w:rsid w:val="007B00FC"/>
    <w:rsid w:val="007B0847"/>
    <w:rsid w:val="007B0E88"/>
    <w:rsid w:val="007B19FA"/>
    <w:rsid w:val="007B2A81"/>
    <w:rsid w:val="007B4283"/>
    <w:rsid w:val="007B46A7"/>
    <w:rsid w:val="007B518E"/>
    <w:rsid w:val="007B5608"/>
    <w:rsid w:val="007B5809"/>
    <w:rsid w:val="007B58C5"/>
    <w:rsid w:val="007B64B7"/>
    <w:rsid w:val="007C04D1"/>
    <w:rsid w:val="007C10D8"/>
    <w:rsid w:val="007C1AA9"/>
    <w:rsid w:val="007C2A68"/>
    <w:rsid w:val="007C348A"/>
    <w:rsid w:val="007C46AF"/>
    <w:rsid w:val="007C4AEC"/>
    <w:rsid w:val="007C50CD"/>
    <w:rsid w:val="007C51BA"/>
    <w:rsid w:val="007C52AB"/>
    <w:rsid w:val="007D0BBE"/>
    <w:rsid w:val="007D1909"/>
    <w:rsid w:val="007D1AC2"/>
    <w:rsid w:val="007D1EDF"/>
    <w:rsid w:val="007D2221"/>
    <w:rsid w:val="007D2BD9"/>
    <w:rsid w:val="007D2D16"/>
    <w:rsid w:val="007D3DFB"/>
    <w:rsid w:val="007D3ED0"/>
    <w:rsid w:val="007D4031"/>
    <w:rsid w:val="007D4E7D"/>
    <w:rsid w:val="007D5C57"/>
    <w:rsid w:val="007D6F10"/>
    <w:rsid w:val="007D70AB"/>
    <w:rsid w:val="007D74CC"/>
    <w:rsid w:val="007D7AD5"/>
    <w:rsid w:val="007E0009"/>
    <w:rsid w:val="007E0242"/>
    <w:rsid w:val="007E0256"/>
    <w:rsid w:val="007E0AF0"/>
    <w:rsid w:val="007E2A25"/>
    <w:rsid w:val="007E3AA7"/>
    <w:rsid w:val="007E3EA6"/>
    <w:rsid w:val="007E4D49"/>
    <w:rsid w:val="007E5C8B"/>
    <w:rsid w:val="007E76AD"/>
    <w:rsid w:val="007F05B5"/>
    <w:rsid w:val="007F0936"/>
    <w:rsid w:val="007F156F"/>
    <w:rsid w:val="007F25DD"/>
    <w:rsid w:val="007F2B39"/>
    <w:rsid w:val="007F47D2"/>
    <w:rsid w:val="007F59AE"/>
    <w:rsid w:val="007F638D"/>
    <w:rsid w:val="007F6769"/>
    <w:rsid w:val="007F6D23"/>
    <w:rsid w:val="00801325"/>
    <w:rsid w:val="00801426"/>
    <w:rsid w:val="008024CE"/>
    <w:rsid w:val="00803441"/>
    <w:rsid w:val="0080471D"/>
    <w:rsid w:val="008048C5"/>
    <w:rsid w:val="00805069"/>
    <w:rsid w:val="008064AB"/>
    <w:rsid w:val="008108BB"/>
    <w:rsid w:val="008113F9"/>
    <w:rsid w:val="00812BA0"/>
    <w:rsid w:val="00813335"/>
    <w:rsid w:val="00813B9A"/>
    <w:rsid w:val="00815489"/>
    <w:rsid w:val="00815874"/>
    <w:rsid w:val="008159DF"/>
    <w:rsid w:val="008167DC"/>
    <w:rsid w:val="00816A94"/>
    <w:rsid w:val="008171E1"/>
    <w:rsid w:val="00817E82"/>
    <w:rsid w:val="00820060"/>
    <w:rsid w:val="00820B31"/>
    <w:rsid w:val="00820C62"/>
    <w:rsid w:val="00820CE9"/>
    <w:rsid w:val="00821579"/>
    <w:rsid w:val="008226C0"/>
    <w:rsid w:val="008227C6"/>
    <w:rsid w:val="00823000"/>
    <w:rsid w:val="00823E84"/>
    <w:rsid w:val="008257F1"/>
    <w:rsid w:val="00826291"/>
    <w:rsid w:val="00826EBB"/>
    <w:rsid w:val="00827503"/>
    <w:rsid w:val="00830060"/>
    <w:rsid w:val="008305AF"/>
    <w:rsid w:val="00830B30"/>
    <w:rsid w:val="00830CA0"/>
    <w:rsid w:val="00831412"/>
    <w:rsid w:val="00832112"/>
    <w:rsid w:val="008329DB"/>
    <w:rsid w:val="00832E5B"/>
    <w:rsid w:val="00833B2C"/>
    <w:rsid w:val="00834058"/>
    <w:rsid w:val="008346CD"/>
    <w:rsid w:val="00835087"/>
    <w:rsid w:val="00836A30"/>
    <w:rsid w:val="00837B0A"/>
    <w:rsid w:val="00837CA5"/>
    <w:rsid w:val="0084097D"/>
    <w:rsid w:val="00841554"/>
    <w:rsid w:val="0084205C"/>
    <w:rsid w:val="0084331E"/>
    <w:rsid w:val="00843847"/>
    <w:rsid w:val="0084410B"/>
    <w:rsid w:val="008449EA"/>
    <w:rsid w:val="00844AE9"/>
    <w:rsid w:val="00846F6C"/>
    <w:rsid w:val="00846FEB"/>
    <w:rsid w:val="00847034"/>
    <w:rsid w:val="008476B1"/>
    <w:rsid w:val="00847AF3"/>
    <w:rsid w:val="00847C4E"/>
    <w:rsid w:val="00847F1C"/>
    <w:rsid w:val="008512DF"/>
    <w:rsid w:val="00854CE4"/>
    <w:rsid w:val="00854E9F"/>
    <w:rsid w:val="00856E6B"/>
    <w:rsid w:val="0085744F"/>
    <w:rsid w:val="00860110"/>
    <w:rsid w:val="008606A9"/>
    <w:rsid w:val="00861826"/>
    <w:rsid w:val="008628F4"/>
    <w:rsid w:val="00862A65"/>
    <w:rsid w:val="008641ED"/>
    <w:rsid w:val="00864563"/>
    <w:rsid w:val="0086456E"/>
    <w:rsid w:val="00866350"/>
    <w:rsid w:val="00866384"/>
    <w:rsid w:val="00866ABA"/>
    <w:rsid w:val="00867061"/>
    <w:rsid w:val="008678F9"/>
    <w:rsid w:val="00867CB7"/>
    <w:rsid w:val="00867F9B"/>
    <w:rsid w:val="00870185"/>
    <w:rsid w:val="008708D8"/>
    <w:rsid w:val="00870D60"/>
    <w:rsid w:val="008724E6"/>
    <w:rsid w:val="00873551"/>
    <w:rsid w:val="008757A9"/>
    <w:rsid w:val="008760E5"/>
    <w:rsid w:val="00876288"/>
    <w:rsid w:val="00877509"/>
    <w:rsid w:val="0087757D"/>
    <w:rsid w:val="0087758A"/>
    <w:rsid w:val="008806C7"/>
    <w:rsid w:val="00880C80"/>
    <w:rsid w:val="008816CC"/>
    <w:rsid w:val="00881B28"/>
    <w:rsid w:val="00881D94"/>
    <w:rsid w:val="00882215"/>
    <w:rsid w:val="008827B3"/>
    <w:rsid w:val="00884EF3"/>
    <w:rsid w:val="00884F1D"/>
    <w:rsid w:val="00885804"/>
    <w:rsid w:val="00885C76"/>
    <w:rsid w:val="00885D0A"/>
    <w:rsid w:val="008860B7"/>
    <w:rsid w:val="00886961"/>
    <w:rsid w:val="00887C87"/>
    <w:rsid w:val="00887EBC"/>
    <w:rsid w:val="00891354"/>
    <w:rsid w:val="0089190E"/>
    <w:rsid w:val="00891DFC"/>
    <w:rsid w:val="008935A1"/>
    <w:rsid w:val="00894181"/>
    <w:rsid w:val="00894FDA"/>
    <w:rsid w:val="00895F07"/>
    <w:rsid w:val="00896675"/>
    <w:rsid w:val="00896AAF"/>
    <w:rsid w:val="00896CF4"/>
    <w:rsid w:val="00896E34"/>
    <w:rsid w:val="0089715A"/>
    <w:rsid w:val="00897DAB"/>
    <w:rsid w:val="008A0A7D"/>
    <w:rsid w:val="008A1179"/>
    <w:rsid w:val="008A1725"/>
    <w:rsid w:val="008A17BE"/>
    <w:rsid w:val="008A1A22"/>
    <w:rsid w:val="008A22DB"/>
    <w:rsid w:val="008A5916"/>
    <w:rsid w:val="008A6034"/>
    <w:rsid w:val="008A674D"/>
    <w:rsid w:val="008A731D"/>
    <w:rsid w:val="008A7556"/>
    <w:rsid w:val="008A764B"/>
    <w:rsid w:val="008B0D9B"/>
    <w:rsid w:val="008B0DC2"/>
    <w:rsid w:val="008B25DD"/>
    <w:rsid w:val="008B27C1"/>
    <w:rsid w:val="008B4140"/>
    <w:rsid w:val="008B42AF"/>
    <w:rsid w:val="008B46FE"/>
    <w:rsid w:val="008B472A"/>
    <w:rsid w:val="008B4768"/>
    <w:rsid w:val="008B5153"/>
    <w:rsid w:val="008B550C"/>
    <w:rsid w:val="008B79A2"/>
    <w:rsid w:val="008B79B0"/>
    <w:rsid w:val="008B7AA6"/>
    <w:rsid w:val="008C0706"/>
    <w:rsid w:val="008C1F48"/>
    <w:rsid w:val="008C2B48"/>
    <w:rsid w:val="008C399E"/>
    <w:rsid w:val="008C509C"/>
    <w:rsid w:val="008C6029"/>
    <w:rsid w:val="008C6CE2"/>
    <w:rsid w:val="008C70EC"/>
    <w:rsid w:val="008C7449"/>
    <w:rsid w:val="008C7B61"/>
    <w:rsid w:val="008D099F"/>
    <w:rsid w:val="008D1B0B"/>
    <w:rsid w:val="008D37EE"/>
    <w:rsid w:val="008D4481"/>
    <w:rsid w:val="008D48F8"/>
    <w:rsid w:val="008D5089"/>
    <w:rsid w:val="008D54AA"/>
    <w:rsid w:val="008D5D15"/>
    <w:rsid w:val="008D5F52"/>
    <w:rsid w:val="008D6355"/>
    <w:rsid w:val="008D6411"/>
    <w:rsid w:val="008D6827"/>
    <w:rsid w:val="008D6C02"/>
    <w:rsid w:val="008D75A1"/>
    <w:rsid w:val="008E0B28"/>
    <w:rsid w:val="008E18A8"/>
    <w:rsid w:val="008E3650"/>
    <w:rsid w:val="008E5B3A"/>
    <w:rsid w:val="008E6636"/>
    <w:rsid w:val="008E66C0"/>
    <w:rsid w:val="008E6D30"/>
    <w:rsid w:val="008F1D22"/>
    <w:rsid w:val="008F35C9"/>
    <w:rsid w:val="008F37E4"/>
    <w:rsid w:val="008F3D5B"/>
    <w:rsid w:val="008F3ED7"/>
    <w:rsid w:val="008F4226"/>
    <w:rsid w:val="008F4433"/>
    <w:rsid w:val="008F4556"/>
    <w:rsid w:val="008F635D"/>
    <w:rsid w:val="008F71E3"/>
    <w:rsid w:val="008F73E5"/>
    <w:rsid w:val="008F73F8"/>
    <w:rsid w:val="008F7D71"/>
    <w:rsid w:val="008F7F0F"/>
    <w:rsid w:val="009006A4"/>
    <w:rsid w:val="0090183F"/>
    <w:rsid w:val="00901BEB"/>
    <w:rsid w:val="009025DB"/>
    <w:rsid w:val="00902966"/>
    <w:rsid w:val="009035E6"/>
    <w:rsid w:val="00903B54"/>
    <w:rsid w:val="00903CD6"/>
    <w:rsid w:val="0090606A"/>
    <w:rsid w:val="009064A8"/>
    <w:rsid w:val="00907999"/>
    <w:rsid w:val="00910F22"/>
    <w:rsid w:val="00911622"/>
    <w:rsid w:val="00911717"/>
    <w:rsid w:val="00912CEC"/>
    <w:rsid w:val="00913291"/>
    <w:rsid w:val="009139D6"/>
    <w:rsid w:val="00913D35"/>
    <w:rsid w:val="00914E27"/>
    <w:rsid w:val="0091522E"/>
    <w:rsid w:val="00915745"/>
    <w:rsid w:val="00915A25"/>
    <w:rsid w:val="00916B83"/>
    <w:rsid w:val="009172FE"/>
    <w:rsid w:val="0092080E"/>
    <w:rsid w:val="00920D82"/>
    <w:rsid w:val="009210DC"/>
    <w:rsid w:val="009217F6"/>
    <w:rsid w:val="009219F5"/>
    <w:rsid w:val="00921C7E"/>
    <w:rsid w:val="00921E4F"/>
    <w:rsid w:val="009223B0"/>
    <w:rsid w:val="009228E9"/>
    <w:rsid w:val="00922AAF"/>
    <w:rsid w:val="00922FBD"/>
    <w:rsid w:val="00923547"/>
    <w:rsid w:val="009235E7"/>
    <w:rsid w:val="00923BE3"/>
    <w:rsid w:val="009244B5"/>
    <w:rsid w:val="009258F3"/>
    <w:rsid w:val="0092594F"/>
    <w:rsid w:val="00925CD8"/>
    <w:rsid w:val="00925E5A"/>
    <w:rsid w:val="00926494"/>
    <w:rsid w:val="0093030C"/>
    <w:rsid w:val="0093073B"/>
    <w:rsid w:val="00930A5B"/>
    <w:rsid w:val="00932005"/>
    <w:rsid w:val="0093250D"/>
    <w:rsid w:val="00933181"/>
    <w:rsid w:val="0093326F"/>
    <w:rsid w:val="0093336C"/>
    <w:rsid w:val="0093445D"/>
    <w:rsid w:val="00934709"/>
    <w:rsid w:val="00935412"/>
    <w:rsid w:val="009358C9"/>
    <w:rsid w:val="00936E67"/>
    <w:rsid w:val="009406C6"/>
    <w:rsid w:val="00940913"/>
    <w:rsid w:val="00940B63"/>
    <w:rsid w:val="00940E8B"/>
    <w:rsid w:val="00940FD3"/>
    <w:rsid w:val="00942078"/>
    <w:rsid w:val="00942168"/>
    <w:rsid w:val="009423B5"/>
    <w:rsid w:val="009436B1"/>
    <w:rsid w:val="00943EBC"/>
    <w:rsid w:val="0094448D"/>
    <w:rsid w:val="0094460B"/>
    <w:rsid w:val="00946D19"/>
    <w:rsid w:val="00947892"/>
    <w:rsid w:val="0095036D"/>
    <w:rsid w:val="009523D1"/>
    <w:rsid w:val="00952A3A"/>
    <w:rsid w:val="00952E11"/>
    <w:rsid w:val="00952FD2"/>
    <w:rsid w:val="00953165"/>
    <w:rsid w:val="0095350D"/>
    <w:rsid w:val="0095440C"/>
    <w:rsid w:val="00954651"/>
    <w:rsid w:val="00956222"/>
    <w:rsid w:val="0095664F"/>
    <w:rsid w:val="009570D7"/>
    <w:rsid w:val="0096085C"/>
    <w:rsid w:val="00960BC8"/>
    <w:rsid w:val="00960E08"/>
    <w:rsid w:val="00962102"/>
    <w:rsid w:val="00962E9C"/>
    <w:rsid w:val="0096402B"/>
    <w:rsid w:val="00964661"/>
    <w:rsid w:val="00964EC3"/>
    <w:rsid w:val="0096512F"/>
    <w:rsid w:val="009652C6"/>
    <w:rsid w:val="00966388"/>
    <w:rsid w:val="00966945"/>
    <w:rsid w:val="00966953"/>
    <w:rsid w:val="00966FA1"/>
    <w:rsid w:val="0096712D"/>
    <w:rsid w:val="0096778D"/>
    <w:rsid w:val="00967B4C"/>
    <w:rsid w:val="00970268"/>
    <w:rsid w:val="0097087E"/>
    <w:rsid w:val="00971954"/>
    <w:rsid w:val="00971E5E"/>
    <w:rsid w:val="00972D23"/>
    <w:rsid w:val="00974D06"/>
    <w:rsid w:val="00975762"/>
    <w:rsid w:val="009769AC"/>
    <w:rsid w:val="0097740E"/>
    <w:rsid w:val="00977F5C"/>
    <w:rsid w:val="00980E34"/>
    <w:rsid w:val="00982DF3"/>
    <w:rsid w:val="00983020"/>
    <w:rsid w:val="0098360C"/>
    <w:rsid w:val="00983B5C"/>
    <w:rsid w:val="009842F8"/>
    <w:rsid w:val="0098445B"/>
    <w:rsid w:val="00985408"/>
    <w:rsid w:val="00985C07"/>
    <w:rsid w:val="00986316"/>
    <w:rsid w:val="0098656B"/>
    <w:rsid w:val="00993134"/>
    <w:rsid w:val="00993554"/>
    <w:rsid w:val="00993A45"/>
    <w:rsid w:val="00995610"/>
    <w:rsid w:val="00995BC3"/>
    <w:rsid w:val="00995D4C"/>
    <w:rsid w:val="00996495"/>
    <w:rsid w:val="00997849"/>
    <w:rsid w:val="009A10CD"/>
    <w:rsid w:val="009A11E6"/>
    <w:rsid w:val="009A22FF"/>
    <w:rsid w:val="009A24A3"/>
    <w:rsid w:val="009A24B1"/>
    <w:rsid w:val="009A2D3D"/>
    <w:rsid w:val="009A357D"/>
    <w:rsid w:val="009A4410"/>
    <w:rsid w:val="009A45CD"/>
    <w:rsid w:val="009A4A5D"/>
    <w:rsid w:val="009A4FC4"/>
    <w:rsid w:val="009A5C1A"/>
    <w:rsid w:val="009A6F6D"/>
    <w:rsid w:val="009A6FFF"/>
    <w:rsid w:val="009A769A"/>
    <w:rsid w:val="009A775A"/>
    <w:rsid w:val="009A7772"/>
    <w:rsid w:val="009B010C"/>
    <w:rsid w:val="009B0F01"/>
    <w:rsid w:val="009B110E"/>
    <w:rsid w:val="009B20EC"/>
    <w:rsid w:val="009B29D4"/>
    <w:rsid w:val="009B2C83"/>
    <w:rsid w:val="009B389C"/>
    <w:rsid w:val="009B4957"/>
    <w:rsid w:val="009B49CA"/>
    <w:rsid w:val="009B6BED"/>
    <w:rsid w:val="009B6FD2"/>
    <w:rsid w:val="009C095D"/>
    <w:rsid w:val="009C125D"/>
    <w:rsid w:val="009C1827"/>
    <w:rsid w:val="009C1E6A"/>
    <w:rsid w:val="009C1FCF"/>
    <w:rsid w:val="009C279B"/>
    <w:rsid w:val="009C2869"/>
    <w:rsid w:val="009C2940"/>
    <w:rsid w:val="009C2F37"/>
    <w:rsid w:val="009C3692"/>
    <w:rsid w:val="009C3B6C"/>
    <w:rsid w:val="009C3F65"/>
    <w:rsid w:val="009C40F7"/>
    <w:rsid w:val="009C54B9"/>
    <w:rsid w:val="009C5F16"/>
    <w:rsid w:val="009C7A44"/>
    <w:rsid w:val="009C7A47"/>
    <w:rsid w:val="009D0FC3"/>
    <w:rsid w:val="009D1387"/>
    <w:rsid w:val="009D1645"/>
    <w:rsid w:val="009D230D"/>
    <w:rsid w:val="009D26FA"/>
    <w:rsid w:val="009D27FD"/>
    <w:rsid w:val="009D2B1B"/>
    <w:rsid w:val="009D2CF0"/>
    <w:rsid w:val="009D33E9"/>
    <w:rsid w:val="009D529A"/>
    <w:rsid w:val="009D5860"/>
    <w:rsid w:val="009D6781"/>
    <w:rsid w:val="009D7949"/>
    <w:rsid w:val="009E0B8D"/>
    <w:rsid w:val="009E0BF2"/>
    <w:rsid w:val="009E2677"/>
    <w:rsid w:val="009E2AF5"/>
    <w:rsid w:val="009E3A0C"/>
    <w:rsid w:val="009E3CBE"/>
    <w:rsid w:val="009E4086"/>
    <w:rsid w:val="009E47CF"/>
    <w:rsid w:val="009E4D87"/>
    <w:rsid w:val="009E579B"/>
    <w:rsid w:val="009E581C"/>
    <w:rsid w:val="009E684F"/>
    <w:rsid w:val="009E79F3"/>
    <w:rsid w:val="009F136C"/>
    <w:rsid w:val="009F1EF9"/>
    <w:rsid w:val="009F1FAB"/>
    <w:rsid w:val="009F2087"/>
    <w:rsid w:val="009F20A1"/>
    <w:rsid w:val="009F245A"/>
    <w:rsid w:val="009F315D"/>
    <w:rsid w:val="009F3BDA"/>
    <w:rsid w:val="009F4A27"/>
    <w:rsid w:val="009F580D"/>
    <w:rsid w:val="009F5987"/>
    <w:rsid w:val="009F5B07"/>
    <w:rsid w:val="009F67EE"/>
    <w:rsid w:val="009F7585"/>
    <w:rsid w:val="009F7BD5"/>
    <w:rsid w:val="009F7E04"/>
    <w:rsid w:val="009F7FB1"/>
    <w:rsid w:val="00A00B4D"/>
    <w:rsid w:val="00A00E28"/>
    <w:rsid w:val="00A00FF6"/>
    <w:rsid w:val="00A01723"/>
    <w:rsid w:val="00A0258D"/>
    <w:rsid w:val="00A026B1"/>
    <w:rsid w:val="00A03C8D"/>
    <w:rsid w:val="00A03E86"/>
    <w:rsid w:val="00A050C8"/>
    <w:rsid w:val="00A05C73"/>
    <w:rsid w:val="00A10453"/>
    <w:rsid w:val="00A1108F"/>
    <w:rsid w:val="00A1126F"/>
    <w:rsid w:val="00A118B1"/>
    <w:rsid w:val="00A11960"/>
    <w:rsid w:val="00A12B47"/>
    <w:rsid w:val="00A16821"/>
    <w:rsid w:val="00A16ACA"/>
    <w:rsid w:val="00A16E67"/>
    <w:rsid w:val="00A21FF9"/>
    <w:rsid w:val="00A22A09"/>
    <w:rsid w:val="00A22DAB"/>
    <w:rsid w:val="00A22EA5"/>
    <w:rsid w:val="00A23264"/>
    <w:rsid w:val="00A23646"/>
    <w:rsid w:val="00A23FB9"/>
    <w:rsid w:val="00A2407C"/>
    <w:rsid w:val="00A26558"/>
    <w:rsid w:val="00A26C6D"/>
    <w:rsid w:val="00A3042B"/>
    <w:rsid w:val="00A30483"/>
    <w:rsid w:val="00A3088D"/>
    <w:rsid w:val="00A30B43"/>
    <w:rsid w:val="00A31796"/>
    <w:rsid w:val="00A33E8E"/>
    <w:rsid w:val="00A346B3"/>
    <w:rsid w:val="00A35039"/>
    <w:rsid w:val="00A352FD"/>
    <w:rsid w:val="00A3557F"/>
    <w:rsid w:val="00A357F0"/>
    <w:rsid w:val="00A36CB6"/>
    <w:rsid w:val="00A37091"/>
    <w:rsid w:val="00A3764B"/>
    <w:rsid w:val="00A37A54"/>
    <w:rsid w:val="00A37BB9"/>
    <w:rsid w:val="00A37F9C"/>
    <w:rsid w:val="00A4010A"/>
    <w:rsid w:val="00A42822"/>
    <w:rsid w:val="00A4363D"/>
    <w:rsid w:val="00A43B4F"/>
    <w:rsid w:val="00A43D93"/>
    <w:rsid w:val="00A4498D"/>
    <w:rsid w:val="00A450DC"/>
    <w:rsid w:val="00A45342"/>
    <w:rsid w:val="00A46144"/>
    <w:rsid w:val="00A46B63"/>
    <w:rsid w:val="00A46D50"/>
    <w:rsid w:val="00A50F17"/>
    <w:rsid w:val="00A51EA2"/>
    <w:rsid w:val="00A52F88"/>
    <w:rsid w:val="00A536C8"/>
    <w:rsid w:val="00A53787"/>
    <w:rsid w:val="00A53ACA"/>
    <w:rsid w:val="00A54627"/>
    <w:rsid w:val="00A5773A"/>
    <w:rsid w:val="00A57914"/>
    <w:rsid w:val="00A57969"/>
    <w:rsid w:val="00A60340"/>
    <w:rsid w:val="00A61B9C"/>
    <w:rsid w:val="00A641E2"/>
    <w:rsid w:val="00A642AA"/>
    <w:rsid w:val="00A648A9"/>
    <w:rsid w:val="00A6495E"/>
    <w:rsid w:val="00A65DE3"/>
    <w:rsid w:val="00A65ECF"/>
    <w:rsid w:val="00A66DB1"/>
    <w:rsid w:val="00A72D1F"/>
    <w:rsid w:val="00A733CA"/>
    <w:rsid w:val="00A735DC"/>
    <w:rsid w:val="00A73FC5"/>
    <w:rsid w:val="00A760C3"/>
    <w:rsid w:val="00A7684E"/>
    <w:rsid w:val="00A76FA2"/>
    <w:rsid w:val="00A7719D"/>
    <w:rsid w:val="00A80582"/>
    <w:rsid w:val="00A816A8"/>
    <w:rsid w:val="00A82E67"/>
    <w:rsid w:val="00A84C91"/>
    <w:rsid w:val="00A85218"/>
    <w:rsid w:val="00A85F36"/>
    <w:rsid w:val="00A862CC"/>
    <w:rsid w:val="00A86725"/>
    <w:rsid w:val="00A8732B"/>
    <w:rsid w:val="00A90464"/>
    <w:rsid w:val="00A90815"/>
    <w:rsid w:val="00A93D4E"/>
    <w:rsid w:val="00A9498C"/>
    <w:rsid w:val="00A957A0"/>
    <w:rsid w:val="00A95F3D"/>
    <w:rsid w:val="00A96552"/>
    <w:rsid w:val="00A97526"/>
    <w:rsid w:val="00A97BA8"/>
    <w:rsid w:val="00AA1CB8"/>
    <w:rsid w:val="00AA39C8"/>
    <w:rsid w:val="00AA433F"/>
    <w:rsid w:val="00AA46A0"/>
    <w:rsid w:val="00AA518C"/>
    <w:rsid w:val="00AA5CB9"/>
    <w:rsid w:val="00AA6C57"/>
    <w:rsid w:val="00AA747F"/>
    <w:rsid w:val="00AA74D5"/>
    <w:rsid w:val="00AA7CEE"/>
    <w:rsid w:val="00AB04FB"/>
    <w:rsid w:val="00AB0D44"/>
    <w:rsid w:val="00AB24BF"/>
    <w:rsid w:val="00AB2C89"/>
    <w:rsid w:val="00AB2E33"/>
    <w:rsid w:val="00AB348C"/>
    <w:rsid w:val="00AB4308"/>
    <w:rsid w:val="00AB5021"/>
    <w:rsid w:val="00AB6339"/>
    <w:rsid w:val="00AB704D"/>
    <w:rsid w:val="00AB76FE"/>
    <w:rsid w:val="00AB7E41"/>
    <w:rsid w:val="00AC009B"/>
    <w:rsid w:val="00AC06D9"/>
    <w:rsid w:val="00AC09A0"/>
    <w:rsid w:val="00AC0D88"/>
    <w:rsid w:val="00AC1288"/>
    <w:rsid w:val="00AC2D88"/>
    <w:rsid w:val="00AC47E5"/>
    <w:rsid w:val="00AC4E18"/>
    <w:rsid w:val="00AC53B9"/>
    <w:rsid w:val="00AC693B"/>
    <w:rsid w:val="00AC7049"/>
    <w:rsid w:val="00AD03B1"/>
    <w:rsid w:val="00AD0974"/>
    <w:rsid w:val="00AD1989"/>
    <w:rsid w:val="00AD1A6D"/>
    <w:rsid w:val="00AD3466"/>
    <w:rsid w:val="00AD43E0"/>
    <w:rsid w:val="00AD5C30"/>
    <w:rsid w:val="00AD5D50"/>
    <w:rsid w:val="00AD6E29"/>
    <w:rsid w:val="00AD7F21"/>
    <w:rsid w:val="00AE0044"/>
    <w:rsid w:val="00AE025E"/>
    <w:rsid w:val="00AE165E"/>
    <w:rsid w:val="00AE39FB"/>
    <w:rsid w:val="00AE3A48"/>
    <w:rsid w:val="00AE4850"/>
    <w:rsid w:val="00AE4BB1"/>
    <w:rsid w:val="00AE5088"/>
    <w:rsid w:val="00AE5135"/>
    <w:rsid w:val="00AE623A"/>
    <w:rsid w:val="00AE66C3"/>
    <w:rsid w:val="00AE7912"/>
    <w:rsid w:val="00AF02DF"/>
    <w:rsid w:val="00AF1EC1"/>
    <w:rsid w:val="00AF1FD8"/>
    <w:rsid w:val="00AF2CEA"/>
    <w:rsid w:val="00AF32D1"/>
    <w:rsid w:val="00AF3D99"/>
    <w:rsid w:val="00AF4505"/>
    <w:rsid w:val="00AF6F29"/>
    <w:rsid w:val="00AF73A0"/>
    <w:rsid w:val="00B0022C"/>
    <w:rsid w:val="00B00802"/>
    <w:rsid w:val="00B00AC6"/>
    <w:rsid w:val="00B01A96"/>
    <w:rsid w:val="00B0237B"/>
    <w:rsid w:val="00B024C2"/>
    <w:rsid w:val="00B02703"/>
    <w:rsid w:val="00B0279B"/>
    <w:rsid w:val="00B02FF0"/>
    <w:rsid w:val="00B03ACD"/>
    <w:rsid w:val="00B050F0"/>
    <w:rsid w:val="00B05997"/>
    <w:rsid w:val="00B05F19"/>
    <w:rsid w:val="00B0797B"/>
    <w:rsid w:val="00B104D9"/>
    <w:rsid w:val="00B104E8"/>
    <w:rsid w:val="00B109BB"/>
    <w:rsid w:val="00B123B4"/>
    <w:rsid w:val="00B127FE"/>
    <w:rsid w:val="00B13129"/>
    <w:rsid w:val="00B134ED"/>
    <w:rsid w:val="00B138F9"/>
    <w:rsid w:val="00B13D19"/>
    <w:rsid w:val="00B16227"/>
    <w:rsid w:val="00B163B2"/>
    <w:rsid w:val="00B17166"/>
    <w:rsid w:val="00B179A3"/>
    <w:rsid w:val="00B20D36"/>
    <w:rsid w:val="00B21FFF"/>
    <w:rsid w:val="00B2239D"/>
    <w:rsid w:val="00B22940"/>
    <w:rsid w:val="00B25EE7"/>
    <w:rsid w:val="00B260C8"/>
    <w:rsid w:val="00B266E2"/>
    <w:rsid w:val="00B278E8"/>
    <w:rsid w:val="00B27F70"/>
    <w:rsid w:val="00B300CF"/>
    <w:rsid w:val="00B30829"/>
    <w:rsid w:val="00B31107"/>
    <w:rsid w:val="00B31CC4"/>
    <w:rsid w:val="00B3295B"/>
    <w:rsid w:val="00B32DFC"/>
    <w:rsid w:val="00B34BF1"/>
    <w:rsid w:val="00B34FA5"/>
    <w:rsid w:val="00B351A2"/>
    <w:rsid w:val="00B35432"/>
    <w:rsid w:val="00B36725"/>
    <w:rsid w:val="00B36A61"/>
    <w:rsid w:val="00B37533"/>
    <w:rsid w:val="00B37CA2"/>
    <w:rsid w:val="00B417CC"/>
    <w:rsid w:val="00B42794"/>
    <w:rsid w:val="00B42FC2"/>
    <w:rsid w:val="00B435E9"/>
    <w:rsid w:val="00B43C02"/>
    <w:rsid w:val="00B44E4C"/>
    <w:rsid w:val="00B45184"/>
    <w:rsid w:val="00B452B6"/>
    <w:rsid w:val="00B454F6"/>
    <w:rsid w:val="00B4589D"/>
    <w:rsid w:val="00B460E7"/>
    <w:rsid w:val="00B4708A"/>
    <w:rsid w:val="00B50518"/>
    <w:rsid w:val="00B50523"/>
    <w:rsid w:val="00B50C89"/>
    <w:rsid w:val="00B515A2"/>
    <w:rsid w:val="00B51A3E"/>
    <w:rsid w:val="00B51C1E"/>
    <w:rsid w:val="00B526E9"/>
    <w:rsid w:val="00B52D26"/>
    <w:rsid w:val="00B53CB1"/>
    <w:rsid w:val="00B53E5B"/>
    <w:rsid w:val="00B54571"/>
    <w:rsid w:val="00B54593"/>
    <w:rsid w:val="00B54E9F"/>
    <w:rsid w:val="00B56026"/>
    <w:rsid w:val="00B57186"/>
    <w:rsid w:val="00B5730C"/>
    <w:rsid w:val="00B5761C"/>
    <w:rsid w:val="00B576DF"/>
    <w:rsid w:val="00B57D25"/>
    <w:rsid w:val="00B57DEB"/>
    <w:rsid w:val="00B6002A"/>
    <w:rsid w:val="00B6011F"/>
    <w:rsid w:val="00B616F9"/>
    <w:rsid w:val="00B639B3"/>
    <w:rsid w:val="00B64568"/>
    <w:rsid w:val="00B65004"/>
    <w:rsid w:val="00B652B4"/>
    <w:rsid w:val="00B66581"/>
    <w:rsid w:val="00B711D5"/>
    <w:rsid w:val="00B71E7E"/>
    <w:rsid w:val="00B72457"/>
    <w:rsid w:val="00B72BD4"/>
    <w:rsid w:val="00B72CD3"/>
    <w:rsid w:val="00B73E91"/>
    <w:rsid w:val="00B74D3F"/>
    <w:rsid w:val="00B7547A"/>
    <w:rsid w:val="00B758F7"/>
    <w:rsid w:val="00B75A6F"/>
    <w:rsid w:val="00B75CB9"/>
    <w:rsid w:val="00B7604D"/>
    <w:rsid w:val="00B7650E"/>
    <w:rsid w:val="00B776FE"/>
    <w:rsid w:val="00B77DD7"/>
    <w:rsid w:val="00B811FF"/>
    <w:rsid w:val="00B823DC"/>
    <w:rsid w:val="00B82CF9"/>
    <w:rsid w:val="00B82F48"/>
    <w:rsid w:val="00B843AA"/>
    <w:rsid w:val="00B84DBB"/>
    <w:rsid w:val="00B87110"/>
    <w:rsid w:val="00B872F5"/>
    <w:rsid w:val="00B87572"/>
    <w:rsid w:val="00B87B1E"/>
    <w:rsid w:val="00B87DCB"/>
    <w:rsid w:val="00B9074F"/>
    <w:rsid w:val="00B90759"/>
    <w:rsid w:val="00B9075C"/>
    <w:rsid w:val="00B91245"/>
    <w:rsid w:val="00B91860"/>
    <w:rsid w:val="00B91974"/>
    <w:rsid w:val="00B91F22"/>
    <w:rsid w:val="00B928B4"/>
    <w:rsid w:val="00B92902"/>
    <w:rsid w:val="00B92E9C"/>
    <w:rsid w:val="00B93074"/>
    <w:rsid w:val="00B93779"/>
    <w:rsid w:val="00B939C1"/>
    <w:rsid w:val="00B94191"/>
    <w:rsid w:val="00B95594"/>
    <w:rsid w:val="00B95DB1"/>
    <w:rsid w:val="00B97119"/>
    <w:rsid w:val="00B9760D"/>
    <w:rsid w:val="00BA0109"/>
    <w:rsid w:val="00BA07B1"/>
    <w:rsid w:val="00BA0C5A"/>
    <w:rsid w:val="00BA18CD"/>
    <w:rsid w:val="00BA259B"/>
    <w:rsid w:val="00BA2C67"/>
    <w:rsid w:val="00BA2DA6"/>
    <w:rsid w:val="00BA415C"/>
    <w:rsid w:val="00BA41E2"/>
    <w:rsid w:val="00BA4A3F"/>
    <w:rsid w:val="00BA4BDD"/>
    <w:rsid w:val="00BA4EC2"/>
    <w:rsid w:val="00BA5CA5"/>
    <w:rsid w:val="00BA5DB7"/>
    <w:rsid w:val="00BA67A8"/>
    <w:rsid w:val="00BB0BA3"/>
    <w:rsid w:val="00BB0F08"/>
    <w:rsid w:val="00BB21B7"/>
    <w:rsid w:val="00BB270A"/>
    <w:rsid w:val="00BB3240"/>
    <w:rsid w:val="00BB475D"/>
    <w:rsid w:val="00BB4886"/>
    <w:rsid w:val="00BB4911"/>
    <w:rsid w:val="00BB5ED7"/>
    <w:rsid w:val="00BB61E2"/>
    <w:rsid w:val="00BC001A"/>
    <w:rsid w:val="00BC20C2"/>
    <w:rsid w:val="00BC2766"/>
    <w:rsid w:val="00BC3C7A"/>
    <w:rsid w:val="00BC430E"/>
    <w:rsid w:val="00BC517C"/>
    <w:rsid w:val="00BC54AC"/>
    <w:rsid w:val="00BC55DE"/>
    <w:rsid w:val="00BC5FEA"/>
    <w:rsid w:val="00BC782E"/>
    <w:rsid w:val="00BC79F4"/>
    <w:rsid w:val="00BC7A75"/>
    <w:rsid w:val="00BC7EC6"/>
    <w:rsid w:val="00BD0170"/>
    <w:rsid w:val="00BD03A3"/>
    <w:rsid w:val="00BD16B0"/>
    <w:rsid w:val="00BD1799"/>
    <w:rsid w:val="00BD1D35"/>
    <w:rsid w:val="00BD4E8D"/>
    <w:rsid w:val="00BE0A2E"/>
    <w:rsid w:val="00BE0A5C"/>
    <w:rsid w:val="00BE1BD3"/>
    <w:rsid w:val="00BE233B"/>
    <w:rsid w:val="00BE2ED1"/>
    <w:rsid w:val="00BE3855"/>
    <w:rsid w:val="00BE3920"/>
    <w:rsid w:val="00BE398A"/>
    <w:rsid w:val="00BE4023"/>
    <w:rsid w:val="00BE6793"/>
    <w:rsid w:val="00BE7ED1"/>
    <w:rsid w:val="00BF053F"/>
    <w:rsid w:val="00BF1436"/>
    <w:rsid w:val="00BF14E5"/>
    <w:rsid w:val="00BF18E5"/>
    <w:rsid w:val="00BF1CF3"/>
    <w:rsid w:val="00BF1E52"/>
    <w:rsid w:val="00BF38D3"/>
    <w:rsid w:val="00BF3B1F"/>
    <w:rsid w:val="00BF4547"/>
    <w:rsid w:val="00BF4771"/>
    <w:rsid w:val="00BF516C"/>
    <w:rsid w:val="00BF7755"/>
    <w:rsid w:val="00C00BC5"/>
    <w:rsid w:val="00C00C17"/>
    <w:rsid w:val="00C013ED"/>
    <w:rsid w:val="00C01EE4"/>
    <w:rsid w:val="00C02804"/>
    <w:rsid w:val="00C02E9C"/>
    <w:rsid w:val="00C038DD"/>
    <w:rsid w:val="00C0458D"/>
    <w:rsid w:val="00C04AE3"/>
    <w:rsid w:val="00C0535F"/>
    <w:rsid w:val="00C054E4"/>
    <w:rsid w:val="00C05A99"/>
    <w:rsid w:val="00C0635E"/>
    <w:rsid w:val="00C06501"/>
    <w:rsid w:val="00C0682E"/>
    <w:rsid w:val="00C06B21"/>
    <w:rsid w:val="00C06C77"/>
    <w:rsid w:val="00C06CE0"/>
    <w:rsid w:val="00C0724E"/>
    <w:rsid w:val="00C107DC"/>
    <w:rsid w:val="00C11EB2"/>
    <w:rsid w:val="00C1325D"/>
    <w:rsid w:val="00C138A5"/>
    <w:rsid w:val="00C13F23"/>
    <w:rsid w:val="00C1462D"/>
    <w:rsid w:val="00C15CAD"/>
    <w:rsid w:val="00C15CE1"/>
    <w:rsid w:val="00C16872"/>
    <w:rsid w:val="00C168A2"/>
    <w:rsid w:val="00C16B01"/>
    <w:rsid w:val="00C16DEA"/>
    <w:rsid w:val="00C177B3"/>
    <w:rsid w:val="00C17FD6"/>
    <w:rsid w:val="00C208FF"/>
    <w:rsid w:val="00C214E6"/>
    <w:rsid w:val="00C21BB2"/>
    <w:rsid w:val="00C221DE"/>
    <w:rsid w:val="00C22A7D"/>
    <w:rsid w:val="00C22AB6"/>
    <w:rsid w:val="00C22E11"/>
    <w:rsid w:val="00C239CB"/>
    <w:rsid w:val="00C23A18"/>
    <w:rsid w:val="00C25211"/>
    <w:rsid w:val="00C25BF0"/>
    <w:rsid w:val="00C26094"/>
    <w:rsid w:val="00C267A1"/>
    <w:rsid w:val="00C26852"/>
    <w:rsid w:val="00C27AFB"/>
    <w:rsid w:val="00C30016"/>
    <w:rsid w:val="00C30522"/>
    <w:rsid w:val="00C30B7A"/>
    <w:rsid w:val="00C319EE"/>
    <w:rsid w:val="00C32E08"/>
    <w:rsid w:val="00C3375F"/>
    <w:rsid w:val="00C33814"/>
    <w:rsid w:val="00C33A83"/>
    <w:rsid w:val="00C34213"/>
    <w:rsid w:val="00C3432A"/>
    <w:rsid w:val="00C345B4"/>
    <w:rsid w:val="00C358D8"/>
    <w:rsid w:val="00C368D7"/>
    <w:rsid w:val="00C3720A"/>
    <w:rsid w:val="00C43171"/>
    <w:rsid w:val="00C43DC6"/>
    <w:rsid w:val="00C44176"/>
    <w:rsid w:val="00C45A72"/>
    <w:rsid w:val="00C462C6"/>
    <w:rsid w:val="00C468DB"/>
    <w:rsid w:val="00C46D8B"/>
    <w:rsid w:val="00C46D9E"/>
    <w:rsid w:val="00C46FB1"/>
    <w:rsid w:val="00C50302"/>
    <w:rsid w:val="00C50535"/>
    <w:rsid w:val="00C50D2E"/>
    <w:rsid w:val="00C50DD9"/>
    <w:rsid w:val="00C53E9E"/>
    <w:rsid w:val="00C56423"/>
    <w:rsid w:val="00C569DF"/>
    <w:rsid w:val="00C571A8"/>
    <w:rsid w:val="00C573DC"/>
    <w:rsid w:val="00C576A7"/>
    <w:rsid w:val="00C57933"/>
    <w:rsid w:val="00C61106"/>
    <w:rsid w:val="00C61460"/>
    <w:rsid w:val="00C61783"/>
    <w:rsid w:val="00C61CAB"/>
    <w:rsid w:val="00C62137"/>
    <w:rsid w:val="00C63A32"/>
    <w:rsid w:val="00C6406F"/>
    <w:rsid w:val="00C64B33"/>
    <w:rsid w:val="00C6582D"/>
    <w:rsid w:val="00C66B45"/>
    <w:rsid w:val="00C66DF7"/>
    <w:rsid w:val="00C66EB4"/>
    <w:rsid w:val="00C674E4"/>
    <w:rsid w:val="00C70F4F"/>
    <w:rsid w:val="00C718E8"/>
    <w:rsid w:val="00C71DCE"/>
    <w:rsid w:val="00C727DA"/>
    <w:rsid w:val="00C72B4A"/>
    <w:rsid w:val="00C72ED3"/>
    <w:rsid w:val="00C73031"/>
    <w:rsid w:val="00C746A7"/>
    <w:rsid w:val="00C75330"/>
    <w:rsid w:val="00C7552D"/>
    <w:rsid w:val="00C75849"/>
    <w:rsid w:val="00C758E1"/>
    <w:rsid w:val="00C76A33"/>
    <w:rsid w:val="00C826A4"/>
    <w:rsid w:val="00C8300D"/>
    <w:rsid w:val="00C83A98"/>
    <w:rsid w:val="00C83B91"/>
    <w:rsid w:val="00C83EDA"/>
    <w:rsid w:val="00C85CAB"/>
    <w:rsid w:val="00C86791"/>
    <w:rsid w:val="00C86885"/>
    <w:rsid w:val="00C8690D"/>
    <w:rsid w:val="00C8745D"/>
    <w:rsid w:val="00C875B5"/>
    <w:rsid w:val="00C87EDA"/>
    <w:rsid w:val="00C908D8"/>
    <w:rsid w:val="00C928DF"/>
    <w:rsid w:val="00C930A8"/>
    <w:rsid w:val="00C94054"/>
    <w:rsid w:val="00C9408C"/>
    <w:rsid w:val="00C94166"/>
    <w:rsid w:val="00C94447"/>
    <w:rsid w:val="00C94D3A"/>
    <w:rsid w:val="00C94D8C"/>
    <w:rsid w:val="00C9528E"/>
    <w:rsid w:val="00C95BB7"/>
    <w:rsid w:val="00C966E4"/>
    <w:rsid w:val="00C967A6"/>
    <w:rsid w:val="00C967CD"/>
    <w:rsid w:val="00C9688A"/>
    <w:rsid w:val="00C97961"/>
    <w:rsid w:val="00C97A0D"/>
    <w:rsid w:val="00C97E26"/>
    <w:rsid w:val="00CA01F6"/>
    <w:rsid w:val="00CA0B38"/>
    <w:rsid w:val="00CA0CBC"/>
    <w:rsid w:val="00CA1F36"/>
    <w:rsid w:val="00CA3609"/>
    <w:rsid w:val="00CA3FDC"/>
    <w:rsid w:val="00CA40DC"/>
    <w:rsid w:val="00CA4303"/>
    <w:rsid w:val="00CA4771"/>
    <w:rsid w:val="00CA47A5"/>
    <w:rsid w:val="00CA580D"/>
    <w:rsid w:val="00CA6766"/>
    <w:rsid w:val="00CB15FB"/>
    <w:rsid w:val="00CB2FB9"/>
    <w:rsid w:val="00CB35B7"/>
    <w:rsid w:val="00CB4786"/>
    <w:rsid w:val="00CB5545"/>
    <w:rsid w:val="00CB6483"/>
    <w:rsid w:val="00CB6945"/>
    <w:rsid w:val="00CB6FD7"/>
    <w:rsid w:val="00CC0C69"/>
    <w:rsid w:val="00CC10AB"/>
    <w:rsid w:val="00CC230B"/>
    <w:rsid w:val="00CC2BE7"/>
    <w:rsid w:val="00CC41D0"/>
    <w:rsid w:val="00CC4DB3"/>
    <w:rsid w:val="00CC5433"/>
    <w:rsid w:val="00CC6986"/>
    <w:rsid w:val="00CC6FEA"/>
    <w:rsid w:val="00CC717A"/>
    <w:rsid w:val="00CC71B0"/>
    <w:rsid w:val="00CC7889"/>
    <w:rsid w:val="00CC7DBE"/>
    <w:rsid w:val="00CD02C3"/>
    <w:rsid w:val="00CD13DB"/>
    <w:rsid w:val="00CD1D7D"/>
    <w:rsid w:val="00CD22E3"/>
    <w:rsid w:val="00CD27AA"/>
    <w:rsid w:val="00CD292E"/>
    <w:rsid w:val="00CD2EA1"/>
    <w:rsid w:val="00CD3848"/>
    <w:rsid w:val="00CD3D14"/>
    <w:rsid w:val="00CD49C6"/>
    <w:rsid w:val="00CD4C31"/>
    <w:rsid w:val="00CD5488"/>
    <w:rsid w:val="00CD5591"/>
    <w:rsid w:val="00CD621F"/>
    <w:rsid w:val="00CD6DE2"/>
    <w:rsid w:val="00CD6F13"/>
    <w:rsid w:val="00CD75E4"/>
    <w:rsid w:val="00CD7D8D"/>
    <w:rsid w:val="00CE1D27"/>
    <w:rsid w:val="00CE2061"/>
    <w:rsid w:val="00CE3555"/>
    <w:rsid w:val="00CE3F67"/>
    <w:rsid w:val="00CE473C"/>
    <w:rsid w:val="00CE4F33"/>
    <w:rsid w:val="00CE5262"/>
    <w:rsid w:val="00CE5A4F"/>
    <w:rsid w:val="00CE796B"/>
    <w:rsid w:val="00CE7B29"/>
    <w:rsid w:val="00CF0196"/>
    <w:rsid w:val="00CF01D4"/>
    <w:rsid w:val="00CF071E"/>
    <w:rsid w:val="00CF0726"/>
    <w:rsid w:val="00CF11D7"/>
    <w:rsid w:val="00CF1468"/>
    <w:rsid w:val="00CF1819"/>
    <w:rsid w:val="00CF3A11"/>
    <w:rsid w:val="00CF428E"/>
    <w:rsid w:val="00CF47D6"/>
    <w:rsid w:val="00CF4FCE"/>
    <w:rsid w:val="00CF5266"/>
    <w:rsid w:val="00CF6217"/>
    <w:rsid w:val="00CF6230"/>
    <w:rsid w:val="00CF6B5A"/>
    <w:rsid w:val="00CF6FCB"/>
    <w:rsid w:val="00D0158D"/>
    <w:rsid w:val="00D02176"/>
    <w:rsid w:val="00D038D5"/>
    <w:rsid w:val="00D03B3D"/>
    <w:rsid w:val="00D040FB"/>
    <w:rsid w:val="00D04372"/>
    <w:rsid w:val="00D046EC"/>
    <w:rsid w:val="00D0520E"/>
    <w:rsid w:val="00D053BB"/>
    <w:rsid w:val="00D05440"/>
    <w:rsid w:val="00D05A44"/>
    <w:rsid w:val="00D06D05"/>
    <w:rsid w:val="00D075BE"/>
    <w:rsid w:val="00D07E50"/>
    <w:rsid w:val="00D100FE"/>
    <w:rsid w:val="00D102D4"/>
    <w:rsid w:val="00D10C8A"/>
    <w:rsid w:val="00D10EA7"/>
    <w:rsid w:val="00D10FD9"/>
    <w:rsid w:val="00D11827"/>
    <w:rsid w:val="00D123F0"/>
    <w:rsid w:val="00D125B8"/>
    <w:rsid w:val="00D1452D"/>
    <w:rsid w:val="00D154A0"/>
    <w:rsid w:val="00D15B45"/>
    <w:rsid w:val="00D160AB"/>
    <w:rsid w:val="00D16115"/>
    <w:rsid w:val="00D162BD"/>
    <w:rsid w:val="00D17213"/>
    <w:rsid w:val="00D21B3B"/>
    <w:rsid w:val="00D21F0E"/>
    <w:rsid w:val="00D22043"/>
    <w:rsid w:val="00D230C9"/>
    <w:rsid w:val="00D2367F"/>
    <w:rsid w:val="00D23FFE"/>
    <w:rsid w:val="00D24BAD"/>
    <w:rsid w:val="00D25EBF"/>
    <w:rsid w:val="00D263BC"/>
    <w:rsid w:val="00D26F00"/>
    <w:rsid w:val="00D27BEB"/>
    <w:rsid w:val="00D30A8E"/>
    <w:rsid w:val="00D312A3"/>
    <w:rsid w:val="00D32315"/>
    <w:rsid w:val="00D32739"/>
    <w:rsid w:val="00D328B3"/>
    <w:rsid w:val="00D33E5A"/>
    <w:rsid w:val="00D342AB"/>
    <w:rsid w:val="00D344C5"/>
    <w:rsid w:val="00D361C7"/>
    <w:rsid w:val="00D376AF"/>
    <w:rsid w:val="00D378EE"/>
    <w:rsid w:val="00D37A0A"/>
    <w:rsid w:val="00D404D8"/>
    <w:rsid w:val="00D409D1"/>
    <w:rsid w:val="00D419AB"/>
    <w:rsid w:val="00D41B01"/>
    <w:rsid w:val="00D428AA"/>
    <w:rsid w:val="00D42E49"/>
    <w:rsid w:val="00D430DC"/>
    <w:rsid w:val="00D43B4F"/>
    <w:rsid w:val="00D43C2A"/>
    <w:rsid w:val="00D43F8F"/>
    <w:rsid w:val="00D44C64"/>
    <w:rsid w:val="00D45740"/>
    <w:rsid w:val="00D45914"/>
    <w:rsid w:val="00D45A2C"/>
    <w:rsid w:val="00D45D31"/>
    <w:rsid w:val="00D46900"/>
    <w:rsid w:val="00D47083"/>
    <w:rsid w:val="00D50E29"/>
    <w:rsid w:val="00D51084"/>
    <w:rsid w:val="00D5155E"/>
    <w:rsid w:val="00D51652"/>
    <w:rsid w:val="00D52181"/>
    <w:rsid w:val="00D53CAD"/>
    <w:rsid w:val="00D54238"/>
    <w:rsid w:val="00D54808"/>
    <w:rsid w:val="00D54996"/>
    <w:rsid w:val="00D54BD8"/>
    <w:rsid w:val="00D54C1E"/>
    <w:rsid w:val="00D556C5"/>
    <w:rsid w:val="00D55CF4"/>
    <w:rsid w:val="00D5619D"/>
    <w:rsid w:val="00D56B8C"/>
    <w:rsid w:val="00D5778C"/>
    <w:rsid w:val="00D5796E"/>
    <w:rsid w:val="00D57BA3"/>
    <w:rsid w:val="00D57F76"/>
    <w:rsid w:val="00D6189B"/>
    <w:rsid w:val="00D619B8"/>
    <w:rsid w:val="00D61EB2"/>
    <w:rsid w:val="00D62150"/>
    <w:rsid w:val="00D62496"/>
    <w:rsid w:val="00D6286D"/>
    <w:rsid w:val="00D63167"/>
    <w:rsid w:val="00D64A9E"/>
    <w:rsid w:val="00D65208"/>
    <w:rsid w:val="00D6525B"/>
    <w:rsid w:val="00D661F2"/>
    <w:rsid w:val="00D66947"/>
    <w:rsid w:val="00D66F72"/>
    <w:rsid w:val="00D67090"/>
    <w:rsid w:val="00D674BF"/>
    <w:rsid w:val="00D702B6"/>
    <w:rsid w:val="00D7049C"/>
    <w:rsid w:val="00D7067C"/>
    <w:rsid w:val="00D7124F"/>
    <w:rsid w:val="00D7290C"/>
    <w:rsid w:val="00D72DD8"/>
    <w:rsid w:val="00D7300D"/>
    <w:rsid w:val="00D74C1B"/>
    <w:rsid w:val="00D74E69"/>
    <w:rsid w:val="00D758C5"/>
    <w:rsid w:val="00D77E1F"/>
    <w:rsid w:val="00D80287"/>
    <w:rsid w:val="00D8047D"/>
    <w:rsid w:val="00D80EBE"/>
    <w:rsid w:val="00D81FF7"/>
    <w:rsid w:val="00D82175"/>
    <w:rsid w:val="00D824B6"/>
    <w:rsid w:val="00D8327F"/>
    <w:rsid w:val="00D8344F"/>
    <w:rsid w:val="00D84D20"/>
    <w:rsid w:val="00D85023"/>
    <w:rsid w:val="00D85875"/>
    <w:rsid w:val="00D85E7B"/>
    <w:rsid w:val="00D86CD3"/>
    <w:rsid w:val="00D871E7"/>
    <w:rsid w:val="00D87FB7"/>
    <w:rsid w:val="00D90BC1"/>
    <w:rsid w:val="00D9103A"/>
    <w:rsid w:val="00D91663"/>
    <w:rsid w:val="00D94020"/>
    <w:rsid w:val="00D9489C"/>
    <w:rsid w:val="00D94D61"/>
    <w:rsid w:val="00D95D90"/>
    <w:rsid w:val="00D965F4"/>
    <w:rsid w:val="00D973DB"/>
    <w:rsid w:val="00D97C1B"/>
    <w:rsid w:val="00D97FC1"/>
    <w:rsid w:val="00DA0169"/>
    <w:rsid w:val="00DA03FB"/>
    <w:rsid w:val="00DA04AD"/>
    <w:rsid w:val="00DA0BB0"/>
    <w:rsid w:val="00DA0BE3"/>
    <w:rsid w:val="00DA0C58"/>
    <w:rsid w:val="00DA1280"/>
    <w:rsid w:val="00DA20F4"/>
    <w:rsid w:val="00DA24C2"/>
    <w:rsid w:val="00DA251B"/>
    <w:rsid w:val="00DA2612"/>
    <w:rsid w:val="00DA2B4C"/>
    <w:rsid w:val="00DA2BA4"/>
    <w:rsid w:val="00DA34A9"/>
    <w:rsid w:val="00DA4055"/>
    <w:rsid w:val="00DA4531"/>
    <w:rsid w:val="00DA470B"/>
    <w:rsid w:val="00DA59DD"/>
    <w:rsid w:val="00DA620D"/>
    <w:rsid w:val="00DA6702"/>
    <w:rsid w:val="00DA67F4"/>
    <w:rsid w:val="00DA6AFA"/>
    <w:rsid w:val="00DA6E16"/>
    <w:rsid w:val="00DA7F18"/>
    <w:rsid w:val="00DB1067"/>
    <w:rsid w:val="00DB1C16"/>
    <w:rsid w:val="00DB21C0"/>
    <w:rsid w:val="00DB4806"/>
    <w:rsid w:val="00DB5660"/>
    <w:rsid w:val="00DB5B1E"/>
    <w:rsid w:val="00DB5BF1"/>
    <w:rsid w:val="00DB5E2A"/>
    <w:rsid w:val="00DB6573"/>
    <w:rsid w:val="00DB6D6D"/>
    <w:rsid w:val="00DB706F"/>
    <w:rsid w:val="00DB762B"/>
    <w:rsid w:val="00DB76D1"/>
    <w:rsid w:val="00DB7749"/>
    <w:rsid w:val="00DC1643"/>
    <w:rsid w:val="00DC20DB"/>
    <w:rsid w:val="00DC4B2B"/>
    <w:rsid w:val="00DC7609"/>
    <w:rsid w:val="00DC7C2A"/>
    <w:rsid w:val="00DD2BA3"/>
    <w:rsid w:val="00DD3503"/>
    <w:rsid w:val="00DD42BC"/>
    <w:rsid w:val="00DD4474"/>
    <w:rsid w:val="00DD5156"/>
    <w:rsid w:val="00DD56F5"/>
    <w:rsid w:val="00DD5DF3"/>
    <w:rsid w:val="00DD6FBB"/>
    <w:rsid w:val="00DD7D1C"/>
    <w:rsid w:val="00DE07AA"/>
    <w:rsid w:val="00DE0F3A"/>
    <w:rsid w:val="00DE0F68"/>
    <w:rsid w:val="00DE32C5"/>
    <w:rsid w:val="00DE3BD8"/>
    <w:rsid w:val="00DE4435"/>
    <w:rsid w:val="00DE4799"/>
    <w:rsid w:val="00DE4B9E"/>
    <w:rsid w:val="00DE4FBD"/>
    <w:rsid w:val="00DE507B"/>
    <w:rsid w:val="00DE5272"/>
    <w:rsid w:val="00DE5CD7"/>
    <w:rsid w:val="00DE62D1"/>
    <w:rsid w:val="00DE680C"/>
    <w:rsid w:val="00DE6996"/>
    <w:rsid w:val="00DE6D21"/>
    <w:rsid w:val="00DE6D8D"/>
    <w:rsid w:val="00DE75A6"/>
    <w:rsid w:val="00DF046F"/>
    <w:rsid w:val="00DF18AA"/>
    <w:rsid w:val="00DF2893"/>
    <w:rsid w:val="00DF2EFC"/>
    <w:rsid w:val="00DF3163"/>
    <w:rsid w:val="00DF3177"/>
    <w:rsid w:val="00DF37DD"/>
    <w:rsid w:val="00DF3922"/>
    <w:rsid w:val="00DF3C04"/>
    <w:rsid w:val="00DF42CF"/>
    <w:rsid w:val="00DF47BC"/>
    <w:rsid w:val="00DF5034"/>
    <w:rsid w:val="00DF54F3"/>
    <w:rsid w:val="00DF5EDB"/>
    <w:rsid w:val="00DF6673"/>
    <w:rsid w:val="00DF6B4D"/>
    <w:rsid w:val="00DF6ED8"/>
    <w:rsid w:val="00DF782D"/>
    <w:rsid w:val="00E006B0"/>
    <w:rsid w:val="00E0143D"/>
    <w:rsid w:val="00E014B4"/>
    <w:rsid w:val="00E01548"/>
    <w:rsid w:val="00E01FE3"/>
    <w:rsid w:val="00E02450"/>
    <w:rsid w:val="00E02AE5"/>
    <w:rsid w:val="00E02DDE"/>
    <w:rsid w:val="00E03075"/>
    <w:rsid w:val="00E032D2"/>
    <w:rsid w:val="00E0336B"/>
    <w:rsid w:val="00E03C63"/>
    <w:rsid w:val="00E047B2"/>
    <w:rsid w:val="00E05139"/>
    <w:rsid w:val="00E06715"/>
    <w:rsid w:val="00E068DF"/>
    <w:rsid w:val="00E06F9D"/>
    <w:rsid w:val="00E10F8B"/>
    <w:rsid w:val="00E11566"/>
    <w:rsid w:val="00E12707"/>
    <w:rsid w:val="00E12B3E"/>
    <w:rsid w:val="00E12DB1"/>
    <w:rsid w:val="00E13164"/>
    <w:rsid w:val="00E13B9E"/>
    <w:rsid w:val="00E145DC"/>
    <w:rsid w:val="00E14872"/>
    <w:rsid w:val="00E149DB"/>
    <w:rsid w:val="00E14CA4"/>
    <w:rsid w:val="00E14DBB"/>
    <w:rsid w:val="00E1540C"/>
    <w:rsid w:val="00E15C97"/>
    <w:rsid w:val="00E16189"/>
    <w:rsid w:val="00E1658C"/>
    <w:rsid w:val="00E16972"/>
    <w:rsid w:val="00E174D7"/>
    <w:rsid w:val="00E17601"/>
    <w:rsid w:val="00E17BDA"/>
    <w:rsid w:val="00E17C03"/>
    <w:rsid w:val="00E20B1B"/>
    <w:rsid w:val="00E20E3A"/>
    <w:rsid w:val="00E2128C"/>
    <w:rsid w:val="00E21EC8"/>
    <w:rsid w:val="00E22EE5"/>
    <w:rsid w:val="00E24CC5"/>
    <w:rsid w:val="00E25941"/>
    <w:rsid w:val="00E25994"/>
    <w:rsid w:val="00E260B0"/>
    <w:rsid w:val="00E2639E"/>
    <w:rsid w:val="00E269E1"/>
    <w:rsid w:val="00E27057"/>
    <w:rsid w:val="00E270AA"/>
    <w:rsid w:val="00E31F65"/>
    <w:rsid w:val="00E3252B"/>
    <w:rsid w:val="00E32564"/>
    <w:rsid w:val="00E32B2B"/>
    <w:rsid w:val="00E32B5D"/>
    <w:rsid w:val="00E32E23"/>
    <w:rsid w:val="00E33177"/>
    <w:rsid w:val="00E34588"/>
    <w:rsid w:val="00E3620F"/>
    <w:rsid w:val="00E37A36"/>
    <w:rsid w:val="00E37B6E"/>
    <w:rsid w:val="00E37C94"/>
    <w:rsid w:val="00E40014"/>
    <w:rsid w:val="00E4021A"/>
    <w:rsid w:val="00E41209"/>
    <w:rsid w:val="00E4269C"/>
    <w:rsid w:val="00E4488F"/>
    <w:rsid w:val="00E4513F"/>
    <w:rsid w:val="00E46DF8"/>
    <w:rsid w:val="00E472CF"/>
    <w:rsid w:val="00E47C33"/>
    <w:rsid w:val="00E47EEC"/>
    <w:rsid w:val="00E50F67"/>
    <w:rsid w:val="00E518EE"/>
    <w:rsid w:val="00E52882"/>
    <w:rsid w:val="00E52A2D"/>
    <w:rsid w:val="00E52DB3"/>
    <w:rsid w:val="00E530DB"/>
    <w:rsid w:val="00E53225"/>
    <w:rsid w:val="00E545F0"/>
    <w:rsid w:val="00E54677"/>
    <w:rsid w:val="00E550EB"/>
    <w:rsid w:val="00E57256"/>
    <w:rsid w:val="00E57EF7"/>
    <w:rsid w:val="00E57F51"/>
    <w:rsid w:val="00E6020E"/>
    <w:rsid w:val="00E6098A"/>
    <w:rsid w:val="00E609A4"/>
    <w:rsid w:val="00E611BC"/>
    <w:rsid w:val="00E61C73"/>
    <w:rsid w:val="00E62565"/>
    <w:rsid w:val="00E62665"/>
    <w:rsid w:val="00E6357C"/>
    <w:rsid w:val="00E63666"/>
    <w:rsid w:val="00E63AC7"/>
    <w:rsid w:val="00E63C16"/>
    <w:rsid w:val="00E64242"/>
    <w:rsid w:val="00E64A06"/>
    <w:rsid w:val="00E65BFA"/>
    <w:rsid w:val="00E66541"/>
    <w:rsid w:val="00E67155"/>
    <w:rsid w:val="00E67D41"/>
    <w:rsid w:val="00E67FC0"/>
    <w:rsid w:val="00E7003C"/>
    <w:rsid w:val="00E71AAF"/>
    <w:rsid w:val="00E728C7"/>
    <w:rsid w:val="00E72A57"/>
    <w:rsid w:val="00E72D18"/>
    <w:rsid w:val="00E72FA4"/>
    <w:rsid w:val="00E73373"/>
    <w:rsid w:val="00E735D1"/>
    <w:rsid w:val="00E739BD"/>
    <w:rsid w:val="00E7475F"/>
    <w:rsid w:val="00E763A9"/>
    <w:rsid w:val="00E77157"/>
    <w:rsid w:val="00E7795C"/>
    <w:rsid w:val="00E77BB4"/>
    <w:rsid w:val="00E77E48"/>
    <w:rsid w:val="00E80AA9"/>
    <w:rsid w:val="00E82DBE"/>
    <w:rsid w:val="00E83993"/>
    <w:rsid w:val="00E849F8"/>
    <w:rsid w:val="00E8528B"/>
    <w:rsid w:val="00E8583C"/>
    <w:rsid w:val="00E85DB4"/>
    <w:rsid w:val="00E87058"/>
    <w:rsid w:val="00E90EFD"/>
    <w:rsid w:val="00E9282A"/>
    <w:rsid w:val="00E92955"/>
    <w:rsid w:val="00E92CDF"/>
    <w:rsid w:val="00E9315D"/>
    <w:rsid w:val="00E93B58"/>
    <w:rsid w:val="00E94FB7"/>
    <w:rsid w:val="00E9548E"/>
    <w:rsid w:val="00E955E3"/>
    <w:rsid w:val="00E95E74"/>
    <w:rsid w:val="00E95F2B"/>
    <w:rsid w:val="00EA0254"/>
    <w:rsid w:val="00EA0705"/>
    <w:rsid w:val="00EA0FBF"/>
    <w:rsid w:val="00EA1CFC"/>
    <w:rsid w:val="00EA27DD"/>
    <w:rsid w:val="00EA2C32"/>
    <w:rsid w:val="00EA2D35"/>
    <w:rsid w:val="00EA36C2"/>
    <w:rsid w:val="00EA3982"/>
    <w:rsid w:val="00EA3A0C"/>
    <w:rsid w:val="00EA3BB5"/>
    <w:rsid w:val="00EA4BE2"/>
    <w:rsid w:val="00EA51AB"/>
    <w:rsid w:val="00EB255E"/>
    <w:rsid w:val="00EB2C2B"/>
    <w:rsid w:val="00EB3390"/>
    <w:rsid w:val="00EB3C65"/>
    <w:rsid w:val="00EB3C6D"/>
    <w:rsid w:val="00EB4082"/>
    <w:rsid w:val="00EB5BEA"/>
    <w:rsid w:val="00EB5F11"/>
    <w:rsid w:val="00EB610B"/>
    <w:rsid w:val="00EB6260"/>
    <w:rsid w:val="00EB6834"/>
    <w:rsid w:val="00EB7CE4"/>
    <w:rsid w:val="00EB7D35"/>
    <w:rsid w:val="00EC1040"/>
    <w:rsid w:val="00EC1159"/>
    <w:rsid w:val="00EC1767"/>
    <w:rsid w:val="00EC178B"/>
    <w:rsid w:val="00EC1797"/>
    <w:rsid w:val="00EC1ACA"/>
    <w:rsid w:val="00EC4A25"/>
    <w:rsid w:val="00EC50C4"/>
    <w:rsid w:val="00EC56C5"/>
    <w:rsid w:val="00EC600F"/>
    <w:rsid w:val="00EC6615"/>
    <w:rsid w:val="00EC6A92"/>
    <w:rsid w:val="00EC7122"/>
    <w:rsid w:val="00EC71A1"/>
    <w:rsid w:val="00EC72FB"/>
    <w:rsid w:val="00EC736D"/>
    <w:rsid w:val="00EC7DCC"/>
    <w:rsid w:val="00EC7E3E"/>
    <w:rsid w:val="00ED0989"/>
    <w:rsid w:val="00ED1723"/>
    <w:rsid w:val="00ED256B"/>
    <w:rsid w:val="00ED341C"/>
    <w:rsid w:val="00ED3B17"/>
    <w:rsid w:val="00ED41AF"/>
    <w:rsid w:val="00ED44D5"/>
    <w:rsid w:val="00ED4596"/>
    <w:rsid w:val="00ED510C"/>
    <w:rsid w:val="00ED5478"/>
    <w:rsid w:val="00ED58D5"/>
    <w:rsid w:val="00ED600F"/>
    <w:rsid w:val="00ED6BEF"/>
    <w:rsid w:val="00ED6E0E"/>
    <w:rsid w:val="00ED7BE2"/>
    <w:rsid w:val="00EE00FA"/>
    <w:rsid w:val="00EE2747"/>
    <w:rsid w:val="00EE3410"/>
    <w:rsid w:val="00EE34BC"/>
    <w:rsid w:val="00EE3E42"/>
    <w:rsid w:val="00EE3EEA"/>
    <w:rsid w:val="00EE4A44"/>
    <w:rsid w:val="00EE4D3B"/>
    <w:rsid w:val="00EE5C5E"/>
    <w:rsid w:val="00EE5D39"/>
    <w:rsid w:val="00EE6ED1"/>
    <w:rsid w:val="00EE7EE2"/>
    <w:rsid w:val="00EF0947"/>
    <w:rsid w:val="00EF0B44"/>
    <w:rsid w:val="00EF2565"/>
    <w:rsid w:val="00EF2E87"/>
    <w:rsid w:val="00EF3116"/>
    <w:rsid w:val="00EF3365"/>
    <w:rsid w:val="00EF38D9"/>
    <w:rsid w:val="00EF3AEE"/>
    <w:rsid w:val="00EF43BF"/>
    <w:rsid w:val="00EF4563"/>
    <w:rsid w:val="00EF4735"/>
    <w:rsid w:val="00EF5928"/>
    <w:rsid w:val="00EF5E6D"/>
    <w:rsid w:val="00EF742A"/>
    <w:rsid w:val="00F00405"/>
    <w:rsid w:val="00F00AA0"/>
    <w:rsid w:val="00F01180"/>
    <w:rsid w:val="00F0221F"/>
    <w:rsid w:val="00F02CD3"/>
    <w:rsid w:val="00F02FC9"/>
    <w:rsid w:val="00F030CA"/>
    <w:rsid w:val="00F030CD"/>
    <w:rsid w:val="00F03602"/>
    <w:rsid w:val="00F03957"/>
    <w:rsid w:val="00F043B3"/>
    <w:rsid w:val="00F04845"/>
    <w:rsid w:val="00F05DD8"/>
    <w:rsid w:val="00F06170"/>
    <w:rsid w:val="00F063B4"/>
    <w:rsid w:val="00F06D27"/>
    <w:rsid w:val="00F07ADC"/>
    <w:rsid w:val="00F10615"/>
    <w:rsid w:val="00F11AC2"/>
    <w:rsid w:val="00F11DF6"/>
    <w:rsid w:val="00F12B6C"/>
    <w:rsid w:val="00F13021"/>
    <w:rsid w:val="00F14306"/>
    <w:rsid w:val="00F149CF"/>
    <w:rsid w:val="00F15660"/>
    <w:rsid w:val="00F168B8"/>
    <w:rsid w:val="00F16D48"/>
    <w:rsid w:val="00F1796E"/>
    <w:rsid w:val="00F20182"/>
    <w:rsid w:val="00F20463"/>
    <w:rsid w:val="00F21165"/>
    <w:rsid w:val="00F223F1"/>
    <w:rsid w:val="00F22712"/>
    <w:rsid w:val="00F23F40"/>
    <w:rsid w:val="00F24C39"/>
    <w:rsid w:val="00F25D25"/>
    <w:rsid w:val="00F25E6F"/>
    <w:rsid w:val="00F273C2"/>
    <w:rsid w:val="00F275A5"/>
    <w:rsid w:val="00F27BD2"/>
    <w:rsid w:val="00F307D8"/>
    <w:rsid w:val="00F3130D"/>
    <w:rsid w:val="00F314EC"/>
    <w:rsid w:val="00F31B4D"/>
    <w:rsid w:val="00F32A58"/>
    <w:rsid w:val="00F33BDC"/>
    <w:rsid w:val="00F34167"/>
    <w:rsid w:val="00F349FB"/>
    <w:rsid w:val="00F34C63"/>
    <w:rsid w:val="00F34F6A"/>
    <w:rsid w:val="00F35FFB"/>
    <w:rsid w:val="00F3682A"/>
    <w:rsid w:val="00F37B32"/>
    <w:rsid w:val="00F37D5F"/>
    <w:rsid w:val="00F40107"/>
    <w:rsid w:val="00F40EB9"/>
    <w:rsid w:val="00F41450"/>
    <w:rsid w:val="00F41623"/>
    <w:rsid w:val="00F41700"/>
    <w:rsid w:val="00F427F9"/>
    <w:rsid w:val="00F4356F"/>
    <w:rsid w:val="00F43D2A"/>
    <w:rsid w:val="00F43FA3"/>
    <w:rsid w:val="00F4424D"/>
    <w:rsid w:val="00F45B07"/>
    <w:rsid w:val="00F461F3"/>
    <w:rsid w:val="00F513A0"/>
    <w:rsid w:val="00F5184C"/>
    <w:rsid w:val="00F5261F"/>
    <w:rsid w:val="00F52F0D"/>
    <w:rsid w:val="00F53216"/>
    <w:rsid w:val="00F53D8E"/>
    <w:rsid w:val="00F54CDB"/>
    <w:rsid w:val="00F556FC"/>
    <w:rsid w:val="00F55C83"/>
    <w:rsid w:val="00F56028"/>
    <w:rsid w:val="00F56E4F"/>
    <w:rsid w:val="00F570F0"/>
    <w:rsid w:val="00F5744F"/>
    <w:rsid w:val="00F57B7C"/>
    <w:rsid w:val="00F614DC"/>
    <w:rsid w:val="00F64D33"/>
    <w:rsid w:val="00F64EC4"/>
    <w:rsid w:val="00F65212"/>
    <w:rsid w:val="00F654AC"/>
    <w:rsid w:val="00F65799"/>
    <w:rsid w:val="00F65A04"/>
    <w:rsid w:val="00F6636C"/>
    <w:rsid w:val="00F6734D"/>
    <w:rsid w:val="00F67590"/>
    <w:rsid w:val="00F714A6"/>
    <w:rsid w:val="00F71D54"/>
    <w:rsid w:val="00F7271A"/>
    <w:rsid w:val="00F730FA"/>
    <w:rsid w:val="00F7375C"/>
    <w:rsid w:val="00F74F07"/>
    <w:rsid w:val="00F74F15"/>
    <w:rsid w:val="00F774EF"/>
    <w:rsid w:val="00F77A39"/>
    <w:rsid w:val="00F80A0C"/>
    <w:rsid w:val="00F82614"/>
    <w:rsid w:val="00F8280B"/>
    <w:rsid w:val="00F83156"/>
    <w:rsid w:val="00F84610"/>
    <w:rsid w:val="00F84E16"/>
    <w:rsid w:val="00F8508D"/>
    <w:rsid w:val="00F85163"/>
    <w:rsid w:val="00F85318"/>
    <w:rsid w:val="00F86394"/>
    <w:rsid w:val="00F86EC1"/>
    <w:rsid w:val="00F87AB8"/>
    <w:rsid w:val="00F90941"/>
    <w:rsid w:val="00F9230F"/>
    <w:rsid w:val="00F92325"/>
    <w:rsid w:val="00F92CE5"/>
    <w:rsid w:val="00F93869"/>
    <w:rsid w:val="00F94C26"/>
    <w:rsid w:val="00F9548D"/>
    <w:rsid w:val="00F96235"/>
    <w:rsid w:val="00F96324"/>
    <w:rsid w:val="00F9698F"/>
    <w:rsid w:val="00F96D98"/>
    <w:rsid w:val="00F96E53"/>
    <w:rsid w:val="00F97D2A"/>
    <w:rsid w:val="00FA0889"/>
    <w:rsid w:val="00FA0A58"/>
    <w:rsid w:val="00FA10F6"/>
    <w:rsid w:val="00FA125D"/>
    <w:rsid w:val="00FA17D6"/>
    <w:rsid w:val="00FA2425"/>
    <w:rsid w:val="00FA25E9"/>
    <w:rsid w:val="00FA2D78"/>
    <w:rsid w:val="00FA2FEC"/>
    <w:rsid w:val="00FA469E"/>
    <w:rsid w:val="00FA54FB"/>
    <w:rsid w:val="00FA6515"/>
    <w:rsid w:val="00FA7056"/>
    <w:rsid w:val="00FB0248"/>
    <w:rsid w:val="00FB0358"/>
    <w:rsid w:val="00FB03EB"/>
    <w:rsid w:val="00FB0695"/>
    <w:rsid w:val="00FB1256"/>
    <w:rsid w:val="00FB1938"/>
    <w:rsid w:val="00FB39F7"/>
    <w:rsid w:val="00FB43D8"/>
    <w:rsid w:val="00FB4825"/>
    <w:rsid w:val="00FB5E9F"/>
    <w:rsid w:val="00FB6462"/>
    <w:rsid w:val="00FB71A0"/>
    <w:rsid w:val="00FB7246"/>
    <w:rsid w:val="00FC0A7D"/>
    <w:rsid w:val="00FC148B"/>
    <w:rsid w:val="00FC1E5D"/>
    <w:rsid w:val="00FC2073"/>
    <w:rsid w:val="00FC2321"/>
    <w:rsid w:val="00FC2B3F"/>
    <w:rsid w:val="00FC2F6A"/>
    <w:rsid w:val="00FC3459"/>
    <w:rsid w:val="00FC4425"/>
    <w:rsid w:val="00FC45C2"/>
    <w:rsid w:val="00FC4701"/>
    <w:rsid w:val="00FC6FB3"/>
    <w:rsid w:val="00FC74FE"/>
    <w:rsid w:val="00FD047C"/>
    <w:rsid w:val="00FD114F"/>
    <w:rsid w:val="00FD12C8"/>
    <w:rsid w:val="00FD1742"/>
    <w:rsid w:val="00FD220E"/>
    <w:rsid w:val="00FD233B"/>
    <w:rsid w:val="00FD3FC2"/>
    <w:rsid w:val="00FD41FF"/>
    <w:rsid w:val="00FD439F"/>
    <w:rsid w:val="00FD458C"/>
    <w:rsid w:val="00FD5AAD"/>
    <w:rsid w:val="00FD5DB0"/>
    <w:rsid w:val="00FD5EC6"/>
    <w:rsid w:val="00FE06D5"/>
    <w:rsid w:val="00FE07C4"/>
    <w:rsid w:val="00FE1075"/>
    <w:rsid w:val="00FE2AC1"/>
    <w:rsid w:val="00FE2D0E"/>
    <w:rsid w:val="00FE36F7"/>
    <w:rsid w:val="00FE4181"/>
    <w:rsid w:val="00FE45F4"/>
    <w:rsid w:val="00FE4BFF"/>
    <w:rsid w:val="00FE4EF0"/>
    <w:rsid w:val="00FE63BC"/>
    <w:rsid w:val="00FE6FA2"/>
    <w:rsid w:val="00FE7B16"/>
    <w:rsid w:val="00FF0DC2"/>
    <w:rsid w:val="00FF3599"/>
    <w:rsid w:val="00FF3AE3"/>
    <w:rsid w:val="00FF3CA4"/>
    <w:rsid w:val="00FF3CE9"/>
    <w:rsid w:val="00FF4244"/>
    <w:rsid w:val="00FF465D"/>
    <w:rsid w:val="00FF4AA0"/>
    <w:rsid w:val="00FF6292"/>
    <w:rsid w:val="00FF799D"/>
    <w:rsid w:val="00FF7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Calibri" w:hAnsi="Calibri" w:cs="Calibri"/>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28">
    <w:name w:val="CM28"/>
    <w:basedOn w:val="Default"/>
    <w:next w:val="Default"/>
    <w:uiPriority w:val="99"/>
    <w:rPr>
      <w:rFonts w:cs="Times New Roman"/>
      <w:color w:val="auto"/>
    </w:rPr>
  </w:style>
  <w:style w:type="paragraph" w:customStyle="1" w:styleId="CM29">
    <w:name w:val="CM29"/>
    <w:basedOn w:val="Default"/>
    <w:next w:val="Default"/>
    <w:uiPriority w:val="99"/>
    <w:rPr>
      <w:rFonts w:cs="Times New Roman"/>
      <w:color w:val="auto"/>
    </w:rPr>
  </w:style>
  <w:style w:type="paragraph" w:customStyle="1" w:styleId="CM30">
    <w:name w:val="CM30"/>
    <w:basedOn w:val="Default"/>
    <w:next w:val="Default"/>
    <w:uiPriority w:val="99"/>
    <w:rPr>
      <w:rFonts w:cs="Times New Roman"/>
      <w:color w:val="auto"/>
    </w:rPr>
  </w:style>
  <w:style w:type="paragraph" w:customStyle="1" w:styleId="CM31">
    <w:name w:val="CM31"/>
    <w:basedOn w:val="Default"/>
    <w:next w:val="Default"/>
    <w:uiPriority w:val="99"/>
    <w:rPr>
      <w:rFonts w:cs="Times New Roman"/>
      <w:color w:val="auto"/>
    </w:rPr>
  </w:style>
  <w:style w:type="paragraph" w:customStyle="1" w:styleId="CM2">
    <w:name w:val="CM2"/>
    <w:basedOn w:val="Default"/>
    <w:next w:val="Default"/>
    <w:uiPriority w:val="99"/>
    <w:pPr>
      <w:spacing w:line="231" w:lineRule="atLeast"/>
    </w:pPr>
    <w:rPr>
      <w:rFonts w:cs="Times New Roman"/>
      <w:color w:val="auto"/>
    </w:rPr>
  </w:style>
  <w:style w:type="paragraph" w:customStyle="1" w:styleId="CM32">
    <w:name w:val="CM32"/>
    <w:basedOn w:val="Default"/>
    <w:next w:val="Default"/>
    <w:uiPriority w:val="99"/>
    <w:rPr>
      <w:rFonts w:cs="Times New Roman"/>
      <w:color w:val="auto"/>
    </w:rPr>
  </w:style>
  <w:style w:type="paragraph" w:customStyle="1" w:styleId="CM3">
    <w:name w:val="CM3"/>
    <w:basedOn w:val="Default"/>
    <w:next w:val="Default"/>
    <w:uiPriority w:val="99"/>
    <w:pPr>
      <w:spacing w:line="413" w:lineRule="atLeast"/>
    </w:pPr>
    <w:rPr>
      <w:rFonts w:cs="Times New Roman"/>
      <w:color w:val="auto"/>
    </w:rPr>
  </w:style>
  <w:style w:type="paragraph" w:customStyle="1" w:styleId="CM33">
    <w:name w:val="CM33"/>
    <w:basedOn w:val="Default"/>
    <w:next w:val="Default"/>
    <w:uiPriority w:val="99"/>
    <w:rPr>
      <w:rFonts w:cs="Times New Roman"/>
      <w:color w:val="auto"/>
    </w:rPr>
  </w:style>
  <w:style w:type="paragraph" w:customStyle="1" w:styleId="CM4">
    <w:name w:val="CM4"/>
    <w:basedOn w:val="Default"/>
    <w:next w:val="Default"/>
    <w:uiPriority w:val="99"/>
    <w:pPr>
      <w:spacing w:line="416" w:lineRule="atLeast"/>
    </w:pPr>
    <w:rPr>
      <w:rFonts w:cs="Times New Roman"/>
      <w:color w:val="auto"/>
    </w:rPr>
  </w:style>
  <w:style w:type="paragraph" w:customStyle="1" w:styleId="CM5">
    <w:name w:val="CM5"/>
    <w:basedOn w:val="Default"/>
    <w:next w:val="Default"/>
    <w:uiPriority w:val="99"/>
    <w:pPr>
      <w:spacing w:line="416" w:lineRule="atLeast"/>
    </w:pPr>
    <w:rPr>
      <w:rFonts w:cs="Times New Roman"/>
      <w:color w:val="auto"/>
    </w:rPr>
  </w:style>
  <w:style w:type="paragraph" w:customStyle="1" w:styleId="CM34">
    <w:name w:val="CM34"/>
    <w:basedOn w:val="Default"/>
    <w:next w:val="Default"/>
    <w:uiPriority w:val="99"/>
    <w:rPr>
      <w:rFonts w:cs="Times New Roman"/>
      <w:color w:val="auto"/>
    </w:rPr>
  </w:style>
  <w:style w:type="paragraph" w:customStyle="1" w:styleId="CM6">
    <w:name w:val="CM6"/>
    <w:basedOn w:val="Default"/>
    <w:next w:val="Default"/>
    <w:uiPriority w:val="99"/>
    <w:pPr>
      <w:spacing w:line="416" w:lineRule="atLeast"/>
    </w:pPr>
    <w:rPr>
      <w:rFonts w:cs="Times New Roman"/>
      <w:color w:val="auto"/>
    </w:rPr>
  </w:style>
  <w:style w:type="paragraph" w:customStyle="1" w:styleId="CM36">
    <w:name w:val="CM36"/>
    <w:basedOn w:val="Default"/>
    <w:next w:val="Default"/>
    <w:uiPriority w:val="99"/>
    <w:rPr>
      <w:rFonts w:cs="Times New Roman"/>
      <w:color w:val="auto"/>
    </w:rPr>
  </w:style>
  <w:style w:type="paragraph" w:customStyle="1" w:styleId="CM37">
    <w:name w:val="CM37"/>
    <w:basedOn w:val="Default"/>
    <w:next w:val="Default"/>
    <w:uiPriority w:val="99"/>
    <w:rPr>
      <w:rFonts w:cs="Times New Roman"/>
      <w:color w:val="auto"/>
    </w:rPr>
  </w:style>
  <w:style w:type="paragraph" w:customStyle="1" w:styleId="CM38">
    <w:name w:val="CM38"/>
    <w:basedOn w:val="Default"/>
    <w:next w:val="Default"/>
    <w:uiPriority w:val="99"/>
    <w:rPr>
      <w:rFonts w:cs="Times New Roman"/>
      <w:color w:val="auto"/>
    </w:rPr>
  </w:style>
  <w:style w:type="paragraph" w:customStyle="1" w:styleId="CM35">
    <w:name w:val="CM35"/>
    <w:basedOn w:val="Default"/>
    <w:next w:val="Default"/>
    <w:uiPriority w:val="99"/>
    <w:rPr>
      <w:rFonts w:cs="Times New Roman"/>
      <w:color w:val="auto"/>
    </w:rPr>
  </w:style>
  <w:style w:type="paragraph" w:customStyle="1" w:styleId="CM39">
    <w:name w:val="CM39"/>
    <w:basedOn w:val="Default"/>
    <w:next w:val="Default"/>
    <w:uiPriority w:val="99"/>
    <w:rPr>
      <w:rFonts w:cs="Times New Roman"/>
      <w:color w:val="auto"/>
    </w:rPr>
  </w:style>
  <w:style w:type="paragraph" w:customStyle="1" w:styleId="CM40">
    <w:name w:val="CM40"/>
    <w:basedOn w:val="Default"/>
    <w:next w:val="Default"/>
    <w:uiPriority w:val="99"/>
    <w:rPr>
      <w:rFonts w:cs="Times New Roman"/>
      <w:color w:val="auto"/>
    </w:rPr>
  </w:style>
  <w:style w:type="paragraph" w:customStyle="1" w:styleId="CM7">
    <w:name w:val="CM7"/>
    <w:basedOn w:val="Default"/>
    <w:next w:val="Default"/>
    <w:uiPriority w:val="99"/>
    <w:rPr>
      <w:rFonts w:cs="Times New Roman"/>
      <w:color w:val="auto"/>
    </w:rPr>
  </w:style>
  <w:style w:type="paragraph" w:customStyle="1" w:styleId="CM8">
    <w:name w:val="CM8"/>
    <w:basedOn w:val="Default"/>
    <w:next w:val="Default"/>
    <w:uiPriority w:val="99"/>
    <w:pPr>
      <w:spacing w:line="416" w:lineRule="atLeast"/>
    </w:pPr>
    <w:rPr>
      <w:rFonts w:cs="Times New Roman"/>
      <w:color w:val="auto"/>
    </w:rPr>
  </w:style>
  <w:style w:type="paragraph" w:customStyle="1" w:styleId="CM41">
    <w:name w:val="CM41"/>
    <w:basedOn w:val="Default"/>
    <w:next w:val="Default"/>
    <w:uiPriority w:val="99"/>
    <w:rPr>
      <w:rFonts w:cs="Times New Roman"/>
      <w:color w:val="auto"/>
    </w:rPr>
  </w:style>
  <w:style w:type="paragraph" w:customStyle="1" w:styleId="CM9">
    <w:name w:val="CM9"/>
    <w:basedOn w:val="Default"/>
    <w:next w:val="Default"/>
    <w:uiPriority w:val="99"/>
    <w:rPr>
      <w:rFonts w:cs="Times New Roman"/>
      <w:color w:val="auto"/>
    </w:rPr>
  </w:style>
  <w:style w:type="paragraph" w:customStyle="1" w:styleId="CM42">
    <w:name w:val="CM42"/>
    <w:basedOn w:val="Default"/>
    <w:next w:val="Default"/>
    <w:uiPriority w:val="99"/>
    <w:rPr>
      <w:rFonts w:cs="Times New Roman"/>
      <w:color w:val="auto"/>
    </w:rPr>
  </w:style>
  <w:style w:type="paragraph" w:customStyle="1" w:styleId="CM10">
    <w:name w:val="CM10"/>
    <w:basedOn w:val="Default"/>
    <w:next w:val="Default"/>
    <w:uiPriority w:val="99"/>
    <w:rPr>
      <w:rFonts w:cs="Times New Roman"/>
      <w:color w:val="auto"/>
    </w:rPr>
  </w:style>
  <w:style w:type="paragraph" w:customStyle="1" w:styleId="CM11">
    <w:name w:val="CM11"/>
    <w:basedOn w:val="Default"/>
    <w:next w:val="Default"/>
    <w:uiPriority w:val="99"/>
    <w:rPr>
      <w:rFonts w:cs="Times New Roman"/>
      <w:color w:val="auto"/>
    </w:rPr>
  </w:style>
  <w:style w:type="paragraph" w:customStyle="1" w:styleId="CM12">
    <w:name w:val="CM12"/>
    <w:basedOn w:val="Default"/>
    <w:next w:val="Default"/>
    <w:uiPriority w:val="99"/>
    <w:pPr>
      <w:spacing w:line="413" w:lineRule="atLeast"/>
    </w:pPr>
    <w:rPr>
      <w:rFonts w:cs="Times New Roman"/>
      <w:color w:val="auto"/>
    </w:rPr>
  </w:style>
  <w:style w:type="paragraph" w:customStyle="1" w:styleId="CM13">
    <w:name w:val="CM13"/>
    <w:basedOn w:val="Default"/>
    <w:next w:val="Default"/>
    <w:uiPriority w:val="99"/>
    <w:pPr>
      <w:spacing w:line="413" w:lineRule="atLeast"/>
    </w:pPr>
    <w:rPr>
      <w:rFonts w:cs="Times New Roman"/>
      <w:color w:val="auto"/>
    </w:rPr>
  </w:style>
  <w:style w:type="paragraph" w:customStyle="1" w:styleId="CM14">
    <w:name w:val="CM14"/>
    <w:basedOn w:val="Default"/>
    <w:next w:val="Default"/>
    <w:uiPriority w:val="99"/>
    <w:pPr>
      <w:spacing w:line="416" w:lineRule="atLeast"/>
    </w:pPr>
    <w:rPr>
      <w:rFonts w:cs="Times New Roman"/>
      <w:color w:val="auto"/>
    </w:rPr>
  </w:style>
  <w:style w:type="paragraph" w:customStyle="1" w:styleId="CM15">
    <w:name w:val="CM15"/>
    <w:basedOn w:val="Default"/>
    <w:next w:val="Default"/>
    <w:uiPriority w:val="99"/>
    <w:pPr>
      <w:spacing w:line="416" w:lineRule="atLeast"/>
    </w:pPr>
    <w:rPr>
      <w:rFonts w:cs="Times New Roman"/>
      <w:color w:val="auto"/>
    </w:rPr>
  </w:style>
  <w:style w:type="paragraph" w:customStyle="1" w:styleId="CM16">
    <w:name w:val="CM16"/>
    <w:basedOn w:val="Default"/>
    <w:next w:val="Default"/>
    <w:uiPriority w:val="99"/>
    <w:pPr>
      <w:spacing w:line="413" w:lineRule="atLeast"/>
    </w:pPr>
    <w:rPr>
      <w:rFonts w:cs="Times New Roman"/>
      <w:color w:val="auto"/>
    </w:rPr>
  </w:style>
  <w:style w:type="paragraph" w:customStyle="1" w:styleId="CM17">
    <w:name w:val="CM17"/>
    <w:basedOn w:val="Default"/>
    <w:next w:val="Default"/>
    <w:uiPriority w:val="99"/>
    <w:pPr>
      <w:spacing w:line="416" w:lineRule="atLeast"/>
    </w:pPr>
    <w:rPr>
      <w:rFonts w:cs="Times New Roman"/>
      <w:color w:val="auto"/>
    </w:rPr>
  </w:style>
  <w:style w:type="paragraph" w:customStyle="1" w:styleId="CM18">
    <w:name w:val="CM18"/>
    <w:basedOn w:val="Default"/>
    <w:next w:val="Default"/>
    <w:uiPriority w:val="99"/>
    <w:pPr>
      <w:spacing w:line="231" w:lineRule="atLeast"/>
    </w:pPr>
    <w:rPr>
      <w:rFonts w:cs="Times New Roman"/>
      <w:color w:val="auto"/>
    </w:rPr>
  </w:style>
  <w:style w:type="paragraph" w:customStyle="1" w:styleId="CM19">
    <w:name w:val="CM19"/>
    <w:basedOn w:val="Default"/>
    <w:next w:val="Default"/>
    <w:uiPriority w:val="99"/>
    <w:pPr>
      <w:spacing w:line="231" w:lineRule="atLeast"/>
    </w:pPr>
    <w:rPr>
      <w:rFonts w:cs="Times New Roman"/>
      <w:color w:val="auto"/>
    </w:rPr>
  </w:style>
  <w:style w:type="paragraph" w:customStyle="1" w:styleId="CM20">
    <w:name w:val="CM20"/>
    <w:basedOn w:val="Default"/>
    <w:next w:val="Default"/>
    <w:uiPriority w:val="99"/>
    <w:pPr>
      <w:spacing w:line="231" w:lineRule="atLeast"/>
    </w:pPr>
    <w:rPr>
      <w:rFonts w:cs="Times New Roman"/>
      <w:color w:val="auto"/>
    </w:rPr>
  </w:style>
  <w:style w:type="paragraph" w:customStyle="1" w:styleId="CM21">
    <w:name w:val="CM21"/>
    <w:basedOn w:val="Default"/>
    <w:next w:val="Default"/>
    <w:uiPriority w:val="99"/>
    <w:pPr>
      <w:spacing w:line="231" w:lineRule="atLeast"/>
    </w:pPr>
    <w:rPr>
      <w:rFonts w:cs="Times New Roman"/>
      <w:color w:val="auto"/>
    </w:rPr>
  </w:style>
  <w:style w:type="paragraph" w:customStyle="1" w:styleId="CM22">
    <w:name w:val="CM22"/>
    <w:basedOn w:val="Default"/>
    <w:next w:val="Default"/>
    <w:uiPriority w:val="99"/>
    <w:pPr>
      <w:spacing w:line="263" w:lineRule="atLeast"/>
    </w:pPr>
    <w:rPr>
      <w:rFonts w:cs="Times New Roman"/>
      <w:color w:val="auto"/>
    </w:rPr>
  </w:style>
  <w:style w:type="paragraph" w:customStyle="1" w:styleId="CM23">
    <w:name w:val="CM23"/>
    <w:basedOn w:val="Default"/>
    <w:next w:val="Default"/>
    <w:uiPriority w:val="99"/>
    <w:pPr>
      <w:spacing w:line="263" w:lineRule="atLeast"/>
    </w:pPr>
    <w:rPr>
      <w:rFonts w:cs="Times New Roman"/>
      <w:color w:val="auto"/>
    </w:rPr>
  </w:style>
  <w:style w:type="paragraph" w:customStyle="1" w:styleId="CM24">
    <w:name w:val="CM24"/>
    <w:basedOn w:val="Default"/>
    <w:next w:val="Default"/>
    <w:uiPriority w:val="99"/>
    <w:pPr>
      <w:spacing w:line="263" w:lineRule="atLeast"/>
    </w:pPr>
    <w:rPr>
      <w:rFonts w:cs="Times New Roman"/>
      <w:color w:val="auto"/>
    </w:rPr>
  </w:style>
  <w:style w:type="paragraph" w:customStyle="1" w:styleId="CM25">
    <w:name w:val="CM25"/>
    <w:basedOn w:val="Default"/>
    <w:next w:val="Default"/>
    <w:uiPriority w:val="99"/>
    <w:pPr>
      <w:spacing w:line="263" w:lineRule="atLeast"/>
    </w:pPr>
    <w:rPr>
      <w:rFonts w:cs="Times New Roman"/>
      <w:color w:val="auto"/>
    </w:rPr>
  </w:style>
  <w:style w:type="paragraph" w:customStyle="1" w:styleId="CM26">
    <w:name w:val="CM26"/>
    <w:basedOn w:val="Default"/>
    <w:next w:val="Default"/>
    <w:uiPriority w:val="99"/>
    <w:pPr>
      <w:spacing w:line="231" w:lineRule="atLeast"/>
    </w:pPr>
    <w:rPr>
      <w:rFonts w:cs="Times New Roman"/>
      <w:color w:val="auto"/>
    </w:rPr>
  </w:style>
  <w:style w:type="paragraph" w:customStyle="1" w:styleId="CM27">
    <w:name w:val="CM27"/>
    <w:basedOn w:val="Default"/>
    <w:next w:val="Default"/>
    <w:uiPriority w:val="99"/>
    <w:pPr>
      <w:spacing w:line="263" w:lineRule="atLeast"/>
    </w:pPr>
    <w:rPr>
      <w:rFonts w:cs="Times New Roman"/>
      <w:color w:val="auto"/>
    </w:rPr>
  </w:style>
  <w:style w:type="paragraph" w:styleId="FootnoteText">
    <w:name w:val="footnote text"/>
    <w:basedOn w:val="Normal"/>
    <w:link w:val="FootnoteTextChar"/>
    <w:rsid w:val="00EB5F11"/>
    <w:pPr>
      <w:spacing w:after="0" w:line="240" w:lineRule="auto"/>
    </w:pPr>
    <w:rPr>
      <w:rFonts w:ascii="Times New Roman" w:hAnsi="Times New Roman"/>
      <w:sz w:val="20"/>
      <w:szCs w:val="20"/>
      <w:lang w:val="en-GB"/>
    </w:rPr>
  </w:style>
  <w:style w:type="character" w:customStyle="1" w:styleId="FootnoteTextChar">
    <w:name w:val="Footnote Text Char"/>
    <w:basedOn w:val="DefaultParagraphFont"/>
    <w:link w:val="FootnoteText"/>
    <w:locked/>
    <w:rsid w:val="00EB5F11"/>
    <w:rPr>
      <w:rFonts w:ascii="Times New Roman" w:hAnsi="Times New Roman" w:cs="Times New Roman"/>
      <w:sz w:val="20"/>
      <w:szCs w:val="20"/>
      <w:lang w:val="en-GB" w:eastAsia="x-none"/>
    </w:rPr>
  </w:style>
  <w:style w:type="character" w:styleId="FootnoteReference">
    <w:name w:val="footnote reference"/>
    <w:aliases w:val="Equation in text"/>
    <w:basedOn w:val="DefaultParagraphFont"/>
    <w:rsid w:val="00EB5F11"/>
    <w:rPr>
      <w:vertAlign w:val="superscript"/>
    </w:rPr>
  </w:style>
  <w:style w:type="paragraph" w:styleId="Footer">
    <w:name w:val="footer"/>
    <w:basedOn w:val="Normal"/>
    <w:link w:val="FooterChar"/>
    <w:uiPriority w:val="99"/>
    <w:rsid w:val="00EB5F11"/>
    <w:pPr>
      <w:tabs>
        <w:tab w:val="center" w:pos="4320"/>
        <w:tab w:val="right" w:pos="864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locked/>
    <w:rsid w:val="00EB5F11"/>
    <w:rPr>
      <w:rFonts w:ascii="Times New Roman" w:hAnsi="Times New Roman" w:cs="Times New Roman"/>
      <w:sz w:val="24"/>
      <w:szCs w:val="24"/>
    </w:rPr>
  </w:style>
  <w:style w:type="character" w:styleId="Hyperlink">
    <w:name w:val="Hyperlink"/>
    <w:basedOn w:val="DefaultParagraphFont"/>
    <w:uiPriority w:val="99"/>
    <w:rsid w:val="00EB5F11"/>
    <w:rPr>
      <w:color w:val="0000FF"/>
      <w:u w:val="single"/>
    </w:rPr>
  </w:style>
  <w:style w:type="paragraph" w:styleId="BalloonText">
    <w:name w:val="Balloon Text"/>
    <w:basedOn w:val="Normal"/>
    <w:link w:val="BalloonTextChar"/>
    <w:uiPriority w:val="99"/>
    <w:semiHidden/>
    <w:unhideWhenUsed/>
    <w:rsid w:val="007F0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5B5"/>
    <w:rPr>
      <w:rFonts w:ascii="Tahoma" w:hAnsi="Tahoma" w:cs="Tahoma"/>
      <w:sz w:val="16"/>
      <w:szCs w:val="16"/>
    </w:rPr>
  </w:style>
  <w:style w:type="paragraph" w:styleId="ListParagraph">
    <w:name w:val="List Paragraph"/>
    <w:basedOn w:val="Normal"/>
    <w:link w:val="ListParagraphChar"/>
    <w:uiPriority w:val="34"/>
    <w:qFormat/>
    <w:rsid w:val="002E39E9"/>
    <w:pPr>
      <w:ind w:left="720"/>
      <w:contextualSpacing/>
    </w:pPr>
  </w:style>
  <w:style w:type="paragraph" w:styleId="EndnoteText">
    <w:name w:val="endnote text"/>
    <w:basedOn w:val="Normal"/>
    <w:link w:val="EndnoteTextChar"/>
    <w:uiPriority w:val="99"/>
    <w:semiHidden/>
    <w:unhideWhenUsed/>
    <w:rsid w:val="003C2A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2AEC"/>
    <w:rPr>
      <w:sz w:val="20"/>
      <w:szCs w:val="20"/>
    </w:rPr>
  </w:style>
  <w:style w:type="character" w:styleId="EndnoteReference">
    <w:name w:val="endnote reference"/>
    <w:basedOn w:val="DefaultParagraphFont"/>
    <w:uiPriority w:val="99"/>
    <w:semiHidden/>
    <w:unhideWhenUsed/>
    <w:rsid w:val="003C2AEC"/>
    <w:rPr>
      <w:vertAlign w:val="superscript"/>
    </w:rPr>
  </w:style>
  <w:style w:type="paragraph" w:customStyle="1" w:styleId="MTDisplayEquation">
    <w:name w:val="MTDisplayEquation"/>
    <w:basedOn w:val="Normal"/>
    <w:next w:val="Normal"/>
    <w:rsid w:val="009B2C83"/>
    <w:pPr>
      <w:tabs>
        <w:tab w:val="center" w:pos="4680"/>
        <w:tab w:val="right" w:pos="9360"/>
      </w:tabs>
      <w:spacing w:after="0" w:line="240" w:lineRule="auto"/>
    </w:pPr>
    <w:rPr>
      <w:rFonts w:ascii="Times New Roman" w:eastAsia="Times New Roman" w:hAnsi="Times New Roman"/>
      <w:sz w:val="20"/>
      <w:szCs w:val="20"/>
    </w:rPr>
  </w:style>
  <w:style w:type="character" w:styleId="PlaceholderText">
    <w:name w:val="Placeholder Text"/>
    <w:basedOn w:val="DefaultParagraphFont"/>
    <w:uiPriority w:val="99"/>
    <w:semiHidden/>
    <w:rsid w:val="0012239C"/>
    <w:rPr>
      <w:color w:val="808080"/>
    </w:rPr>
  </w:style>
  <w:style w:type="paragraph" w:styleId="Caption">
    <w:name w:val="caption"/>
    <w:basedOn w:val="Normal"/>
    <w:next w:val="Normal"/>
    <w:uiPriority w:val="35"/>
    <w:semiHidden/>
    <w:unhideWhenUsed/>
    <w:qFormat/>
    <w:rsid w:val="0012239C"/>
    <w:pPr>
      <w:spacing w:line="240" w:lineRule="auto"/>
    </w:pPr>
    <w:rPr>
      <w:b/>
      <w:bCs/>
      <w:color w:val="4F81BD" w:themeColor="accent1"/>
      <w:sz w:val="18"/>
      <w:szCs w:val="18"/>
    </w:rPr>
  </w:style>
  <w:style w:type="paragraph" w:styleId="Header">
    <w:name w:val="header"/>
    <w:basedOn w:val="Normal"/>
    <w:link w:val="HeaderChar"/>
    <w:uiPriority w:val="99"/>
    <w:unhideWhenUsed/>
    <w:rsid w:val="00ED4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596"/>
  </w:style>
  <w:style w:type="character" w:styleId="CommentReference">
    <w:name w:val="annotation reference"/>
    <w:basedOn w:val="DefaultParagraphFont"/>
    <w:uiPriority w:val="99"/>
    <w:semiHidden/>
    <w:unhideWhenUsed/>
    <w:rsid w:val="006F4AE1"/>
    <w:rPr>
      <w:sz w:val="16"/>
      <w:szCs w:val="16"/>
    </w:rPr>
  </w:style>
  <w:style w:type="paragraph" w:styleId="CommentText">
    <w:name w:val="annotation text"/>
    <w:basedOn w:val="Normal"/>
    <w:link w:val="CommentTextChar"/>
    <w:uiPriority w:val="99"/>
    <w:semiHidden/>
    <w:unhideWhenUsed/>
    <w:rsid w:val="006F4AE1"/>
    <w:pPr>
      <w:spacing w:line="240" w:lineRule="auto"/>
    </w:pPr>
    <w:rPr>
      <w:sz w:val="20"/>
      <w:szCs w:val="20"/>
    </w:rPr>
  </w:style>
  <w:style w:type="character" w:customStyle="1" w:styleId="CommentTextChar">
    <w:name w:val="Comment Text Char"/>
    <w:basedOn w:val="DefaultParagraphFont"/>
    <w:link w:val="CommentText"/>
    <w:uiPriority w:val="99"/>
    <w:semiHidden/>
    <w:rsid w:val="006F4AE1"/>
    <w:rPr>
      <w:sz w:val="20"/>
      <w:szCs w:val="20"/>
    </w:rPr>
  </w:style>
  <w:style w:type="paragraph" w:styleId="CommentSubject">
    <w:name w:val="annotation subject"/>
    <w:basedOn w:val="CommentText"/>
    <w:next w:val="CommentText"/>
    <w:link w:val="CommentSubjectChar"/>
    <w:uiPriority w:val="99"/>
    <w:semiHidden/>
    <w:unhideWhenUsed/>
    <w:rsid w:val="009F3BDA"/>
    <w:rPr>
      <w:b/>
      <w:bCs/>
    </w:rPr>
  </w:style>
  <w:style w:type="character" w:customStyle="1" w:styleId="CommentSubjectChar">
    <w:name w:val="Comment Subject Char"/>
    <w:basedOn w:val="CommentTextChar"/>
    <w:link w:val="CommentSubject"/>
    <w:uiPriority w:val="99"/>
    <w:semiHidden/>
    <w:rsid w:val="009F3BDA"/>
    <w:rPr>
      <w:b/>
      <w:bCs/>
      <w:sz w:val="20"/>
      <w:szCs w:val="20"/>
    </w:rPr>
  </w:style>
  <w:style w:type="paragraph" w:styleId="NoSpacing">
    <w:name w:val="No Spacing"/>
    <w:uiPriority w:val="1"/>
    <w:qFormat/>
    <w:rsid w:val="00AF2CEA"/>
    <w:pPr>
      <w:spacing w:after="0" w:line="240" w:lineRule="auto"/>
    </w:pPr>
  </w:style>
  <w:style w:type="table" w:styleId="TableGrid">
    <w:name w:val="Table Grid"/>
    <w:basedOn w:val="TableNormal"/>
    <w:uiPriority w:val="59"/>
    <w:rsid w:val="001677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3A7F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Calibri" w:hAnsi="Calibri" w:cs="Calibri"/>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28">
    <w:name w:val="CM28"/>
    <w:basedOn w:val="Default"/>
    <w:next w:val="Default"/>
    <w:uiPriority w:val="99"/>
    <w:rPr>
      <w:rFonts w:cs="Times New Roman"/>
      <w:color w:val="auto"/>
    </w:rPr>
  </w:style>
  <w:style w:type="paragraph" w:customStyle="1" w:styleId="CM29">
    <w:name w:val="CM29"/>
    <w:basedOn w:val="Default"/>
    <w:next w:val="Default"/>
    <w:uiPriority w:val="99"/>
    <w:rPr>
      <w:rFonts w:cs="Times New Roman"/>
      <w:color w:val="auto"/>
    </w:rPr>
  </w:style>
  <w:style w:type="paragraph" w:customStyle="1" w:styleId="CM30">
    <w:name w:val="CM30"/>
    <w:basedOn w:val="Default"/>
    <w:next w:val="Default"/>
    <w:uiPriority w:val="99"/>
    <w:rPr>
      <w:rFonts w:cs="Times New Roman"/>
      <w:color w:val="auto"/>
    </w:rPr>
  </w:style>
  <w:style w:type="paragraph" w:customStyle="1" w:styleId="CM31">
    <w:name w:val="CM31"/>
    <w:basedOn w:val="Default"/>
    <w:next w:val="Default"/>
    <w:uiPriority w:val="99"/>
    <w:rPr>
      <w:rFonts w:cs="Times New Roman"/>
      <w:color w:val="auto"/>
    </w:rPr>
  </w:style>
  <w:style w:type="paragraph" w:customStyle="1" w:styleId="CM2">
    <w:name w:val="CM2"/>
    <w:basedOn w:val="Default"/>
    <w:next w:val="Default"/>
    <w:uiPriority w:val="99"/>
    <w:pPr>
      <w:spacing w:line="231" w:lineRule="atLeast"/>
    </w:pPr>
    <w:rPr>
      <w:rFonts w:cs="Times New Roman"/>
      <w:color w:val="auto"/>
    </w:rPr>
  </w:style>
  <w:style w:type="paragraph" w:customStyle="1" w:styleId="CM32">
    <w:name w:val="CM32"/>
    <w:basedOn w:val="Default"/>
    <w:next w:val="Default"/>
    <w:uiPriority w:val="99"/>
    <w:rPr>
      <w:rFonts w:cs="Times New Roman"/>
      <w:color w:val="auto"/>
    </w:rPr>
  </w:style>
  <w:style w:type="paragraph" w:customStyle="1" w:styleId="CM3">
    <w:name w:val="CM3"/>
    <w:basedOn w:val="Default"/>
    <w:next w:val="Default"/>
    <w:uiPriority w:val="99"/>
    <w:pPr>
      <w:spacing w:line="413" w:lineRule="atLeast"/>
    </w:pPr>
    <w:rPr>
      <w:rFonts w:cs="Times New Roman"/>
      <w:color w:val="auto"/>
    </w:rPr>
  </w:style>
  <w:style w:type="paragraph" w:customStyle="1" w:styleId="CM33">
    <w:name w:val="CM33"/>
    <w:basedOn w:val="Default"/>
    <w:next w:val="Default"/>
    <w:uiPriority w:val="99"/>
    <w:rPr>
      <w:rFonts w:cs="Times New Roman"/>
      <w:color w:val="auto"/>
    </w:rPr>
  </w:style>
  <w:style w:type="paragraph" w:customStyle="1" w:styleId="CM4">
    <w:name w:val="CM4"/>
    <w:basedOn w:val="Default"/>
    <w:next w:val="Default"/>
    <w:uiPriority w:val="99"/>
    <w:pPr>
      <w:spacing w:line="416" w:lineRule="atLeast"/>
    </w:pPr>
    <w:rPr>
      <w:rFonts w:cs="Times New Roman"/>
      <w:color w:val="auto"/>
    </w:rPr>
  </w:style>
  <w:style w:type="paragraph" w:customStyle="1" w:styleId="CM5">
    <w:name w:val="CM5"/>
    <w:basedOn w:val="Default"/>
    <w:next w:val="Default"/>
    <w:uiPriority w:val="99"/>
    <w:pPr>
      <w:spacing w:line="416" w:lineRule="atLeast"/>
    </w:pPr>
    <w:rPr>
      <w:rFonts w:cs="Times New Roman"/>
      <w:color w:val="auto"/>
    </w:rPr>
  </w:style>
  <w:style w:type="paragraph" w:customStyle="1" w:styleId="CM34">
    <w:name w:val="CM34"/>
    <w:basedOn w:val="Default"/>
    <w:next w:val="Default"/>
    <w:uiPriority w:val="99"/>
    <w:rPr>
      <w:rFonts w:cs="Times New Roman"/>
      <w:color w:val="auto"/>
    </w:rPr>
  </w:style>
  <w:style w:type="paragraph" w:customStyle="1" w:styleId="CM6">
    <w:name w:val="CM6"/>
    <w:basedOn w:val="Default"/>
    <w:next w:val="Default"/>
    <w:uiPriority w:val="99"/>
    <w:pPr>
      <w:spacing w:line="416" w:lineRule="atLeast"/>
    </w:pPr>
    <w:rPr>
      <w:rFonts w:cs="Times New Roman"/>
      <w:color w:val="auto"/>
    </w:rPr>
  </w:style>
  <w:style w:type="paragraph" w:customStyle="1" w:styleId="CM36">
    <w:name w:val="CM36"/>
    <w:basedOn w:val="Default"/>
    <w:next w:val="Default"/>
    <w:uiPriority w:val="99"/>
    <w:rPr>
      <w:rFonts w:cs="Times New Roman"/>
      <w:color w:val="auto"/>
    </w:rPr>
  </w:style>
  <w:style w:type="paragraph" w:customStyle="1" w:styleId="CM37">
    <w:name w:val="CM37"/>
    <w:basedOn w:val="Default"/>
    <w:next w:val="Default"/>
    <w:uiPriority w:val="99"/>
    <w:rPr>
      <w:rFonts w:cs="Times New Roman"/>
      <w:color w:val="auto"/>
    </w:rPr>
  </w:style>
  <w:style w:type="paragraph" w:customStyle="1" w:styleId="CM38">
    <w:name w:val="CM38"/>
    <w:basedOn w:val="Default"/>
    <w:next w:val="Default"/>
    <w:uiPriority w:val="99"/>
    <w:rPr>
      <w:rFonts w:cs="Times New Roman"/>
      <w:color w:val="auto"/>
    </w:rPr>
  </w:style>
  <w:style w:type="paragraph" w:customStyle="1" w:styleId="CM35">
    <w:name w:val="CM35"/>
    <w:basedOn w:val="Default"/>
    <w:next w:val="Default"/>
    <w:uiPriority w:val="99"/>
    <w:rPr>
      <w:rFonts w:cs="Times New Roman"/>
      <w:color w:val="auto"/>
    </w:rPr>
  </w:style>
  <w:style w:type="paragraph" w:customStyle="1" w:styleId="CM39">
    <w:name w:val="CM39"/>
    <w:basedOn w:val="Default"/>
    <w:next w:val="Default"/>
    <w:uiPriority w:val="99"/>
    <w:rPr>
      <w:rFonts w:cs="Times New Roman"/>
      <w:color w:val="auto"/>
    </w:rPr>
  </w:style>
  <w:style w:type="paragraph" w:customStyle="1" w:styleId="CM40">
    <w:name w:val="CM40"/>
    <w:basedOn w:val="Default"/>
    <w:next w:val="Default"/>
    <w:uiPriority w:val="99"/>
    <w:rPr>
      <w:rFonts w:cs="Times New Roman"/>
      <w:color w:val="auto"/>
    </w:rPr>
  </w:style>
  <w:style w:type="paragraph" w:customStyle="1" w:styleId="CM7">
    <w:name w:val="CM7"/>
    <w:basedOn w:val="Default"/>
    <w:next w:val="Default"/>
    <w:uiPriority w:val="99"/>
    <w:rPr>
      <w:rFonts w:cs="Times New Roman"/>
      <w:color w:val="auto"/>
    </w:rPr>
  </w:style>
  <w:style w:type="paragraph" w:customStyle="1" w:styleId="CM8">
    <w:name w:val="CM8"/>
    <w:basedOn w:val="Default"/>
    <w:next w:val="Default"/>
    <w:uiPriority w:val="99"/>
    <w:pPr>
      <w:spacing w:line="416" w:lineRule="atLeast"/>
    </w:pPr>
    <w:rPr>
      <w:rFonts w:cs="Times New Roman"/>
      <w:color w:val="auto"/>
    </w:rPr>
  </w:style>
  <w:style w:type="paragraph" w:customStyle="1" w:styleId="CM41">
    <w:name w:val="CM41"/>
    <w:basedOn w:val="Default"/>
    <w:next w:val="Default"/>
    <w:uiPriority w:val="99"/>
    <w:rPr>
      <w:rFonts w:cs="Times New Roman"/>
      <w:color w:val="auto"/>
    </w:rPr>
  </w:style>
  <w:style w:type="paragraph" w:customStyle="1" w:styleId="CM9">
    <w:name w:val="CM9"/>
    <w:basedOn w:val="Default"/>
    <w:next w:val="Default"/>
    <w:uiPriority w:val="99"/>
    <w:rPr>
      <w:rFonts w:cs="Times New Roman"/>
      <w:color w:val="auto"/>
    </w:rPr>
  </w:style>
  <w:style w:type="paragraph" w:customStyle="1" w:styleId="CM42">
    <w:name w:val="CM42"/>
    <w:basedOn w:val="Default"/>
    <w:next w:val="Default"/>
    <w:uiPriority w:val="99"/>
    <w:rPr>
      <w:rFonts w:cs="Times New Roman"/>
      <w:color w:val="auto"/>
    </w:rPr>
  </w:style>
  <w:style w:type="paragraph" w:customStyle="1" w:styleId="CM10">
    <w:name w:val="CM10"/>
    <w:basedOn w:val="Default"/>
    <w:next w:val="Default"/>
    <w:uiPriority w:val="99"/>
    <w:rPr>
      <w:rFonts w:cs="Times New Roman"/>
      <w:color w:val="auto"/>
    </w:rPr>
  </w:style>
  <w:style w:type="paragraph" w:customStyle="1" w:styleId="CM11">
    <w:name w:val="CM11"/>
    <w:basedOn w:val="Default"/>
    <w:next w:val="Default"/>
    <w:uiPriority w:val="99"/>
    <w:rPr>
      <w:rFonts w:cs="Times New Roman"/>
      <w:color w:val="auto"/>
    </w:rPr>
  </w:style>
  <w:style w:type="paragraph" w:customStyle="1" w:styleId="CM12">
    <w:name w:val="CM12"/>
    <w:basedOn w:val="Default"/>
    <w:next w:val="Default"/>
    <w:uiPriority w:val="99"/>
    <w:pPr>
      <w:spacing w:line="413" w:lineRule="atLeast"/>
    </w:pPr>
    <w:rPr>
      <w:rFonts w:cs="Times New Roman"/>
      <w:color w:val="auto"/>
    </w:rPr>
  </w:style>
  <w:style w:type="paragraph" w:customStyle="1" w:styleId="CM13">
    <w:name w:val="CM13"/>
    <w:basedOn w:val="Default"/>
    <w:next w:val="Default"/>
    <w:uiPriority w:val="99"/>
    <w:pPr>
      <w:spacing w:line="413" w:lineRule="atLeast"/>
    </w:pPr>
    <w:rPr>
      <w:rFonts w:cs="Times New Roman"/>
      <w:color w:val="auto"/>
    </w:rPr>
  </w:style>
  <w:style w:type="paragraph" w:customStyle="1" w:styleId="CM14">
    <w:name w:val="CM14"/>
    <w:basedOn w:val="Default"/>
    <w:next w:val="Default"/>
    <w:uiPriority w:val="99"/>
    <w:pPr>
      <w:spacing w:line="416" w:lineRule="atLeast"/>
    </w:pPr>
    <w:rPr>
      <w:rFonts w:cs="Times New Roman"/>
      <w:color w:val="auto"/>
    </w:rPr>
  </w:style>
  <w:style w:type="paragraph" w:customStyle="1" w:styleId="CM15">
    <w:name w:val="CM15"/>
    <w:basedOn w:val="Default"/>
    <w:next w:val="Default"/>
    <w:uiPriority w:val="99"/>
    <w:pPr>
      <w:spacing w:line="416" w:lineRule="atLeast"/>
    </w:pPr>
    <w:rPr>
      <w:rFonts w:cs="Times New Roman"/>
      <w:color w:val="auto"/>
    </w:rPr>
  </w:style>
  <w:style w:type="paragraph" w:customStyle="1" w:styleId="CM16">
    <w:name w:val="CM16"/>
    <w:basedOn w:val="Default"/>
    <w:next w:val="Default"/>
    <w:uiPriority w:val="99"/>
    <w:pPr>
      <w:spacing w:line="413" w:lineRule="atLeast"/>
    </w:pPr>
    <w:rPr>
      <w:rFonts w:cs="Times New Roman"/>
      <w:color w:val="auto"/>
    </w:rPr>
  </w:style>
  <w:style w:type="paragraph" w:customStyle="1" w:styleId="CM17">
    <w:name w:val="CM17"/>
    <w:basedOn w:val="Default"/>
    <w:next w:val="Default"/>
    <w:uiPriority w:val="99"/>
    <w:pPr>
      <w:spacing w:line="416" w:lineRule="atLeast"/>
    </w:pPr>
    <w:rPr>
      <w:rFonts w:cs="Times New Roman"/>
      <w:color w:val="auto"/>
    </w:rPr>
  </w:style>
  <w:style w:type="paragraph" w:customStyle="1" w:styleId="CM18">
    <w:name w:val="CM18"/>
    <w:basedOn w:val="Default"/>
    <w:next w:val="Default"/>
    <w:uiPriority w:val="99"/>
    <w:pPr>
      <w:spacing w:line="231" w:lineRule="atLeast"/>
    </w:pPr>
    <w:rPr>
      <w:rFonts w:cs="Times New Roman"/>
      <w:color w:val="auto"/>
    </w:rPr>
  </w:style>
  <w:style w:type="paragraph" w:customStyle="1" w:styleId="CM19">
    <w:name w:val="CM19"/>
    <w:basedOn w:val="Default"/>
    <w:next w:val="Default"/>
    <w:uiPriority w:val="99"/>
    <w:pPr>
      <w:spacing w:line="231" w:lineRule="atLeast"/>
    </w:pPr>
    <w:rPr>
      <w:rFonts w:cs="Times New Roman"/>
      <w:color w:val="auto"/>
    </w:rPr>
  </w:style>
  <w:style w:type="paragraph" w:customStyle="1" w:styleId="CM20">
    <w:name w:val="CM20"/>
    <w:basedOn w:val="Default"/>
    <w:next w:val="Default"/>
    <w:uiPriority w:val="99"/>
    <w:pPr>
      <w:spacing w:line="231" w:lineRule="atLeast"/>
    </w:pPr>
    <w:rPr>
      <w:rFonts w:cs="Times New Roman"/>
      <w:color w:val="auto"/>
    </w:rPr>
  </w:style>
  <w:style w:type="paragraph" w:customStyle="1" w:styleId="CM21">
    <w:name w:val="CM21"/>
    <w:basedOn w:val="Default"/>
    <w:next w:val="Default"/>
    <w:uiPriority w:val="99"/>
    <w:pPr>
      <w:spacing w:line="231" w:lineRule="atLeast"/>
    </w:pPr>
    <w:rPr>
      <w:rFonts w:cs="Times New Roman"/>
      <w:color w:val="auto"/>
    </w:rPr>
  </w:style>
  <w:style w:type="paragraph" w:customStyle="1" w:styleId="CM22">
    <w:name w:val="CM22"/>
    <w:basedOn w:val="Default"/>
    <w:next w:val="Default"/>
    <w:uiPriority w:val="99"/>
    <w:pPr>
      <w:spacing w:line="263" w:lineRule="atLeast"/>
    </w:pPr>
    <w:rPr>
      <w:rFonts w:cs="Times New Roman"/>
      <w:color w:val="auto"/>
    </w:rPr>
  </w:style>
  <w:style w:type="paragraph" w:customStyle="1" w:styleId="CM23">
    <w:name w:val="CM23"/>
    <w:basedOn w:val="Default"/>
    <w:next w:val="Default"/>
    <w:uiPriority w:val="99"/>
    <w:pPr>
      <w:spacing w:line="263" w:lineRule="atLeast"/>
    </w:pPr>
    <w:rPr>
      <w:rFonts w:cs="Times New Roman"/>
      <w:color w:val="auto"/>
    </w:rPr>
  </w:style>
  <w:style w:type="paragraph" w:customStyle="1" w:styleId="CM24">
    <w:name w:val="CM24"/>
    <w:basedOn w:val="Default"/>
    <w:next w:val="Default"/>
    <w:uiPriority w:val="99"/>
    <w:pPr>
      <w:spacing w:line="263" w:lineRule="atLeast"/>
    </w:pPr>
    <w:rPr>
      <w:rFonts w:cs="Times New Roman"/>
      <w:color w:val="auto"/>
    </w:rPr>
  </w:style>
  <w:style w:type="paragraph" w:customStyle="1" w:styleId="CM25">
    <w:name w:val="CM25"/>
    <w:basedOn w:val="Default"/>
    <w:next w:val="Default"/>
    <w:uiPriority w:val="99"/>
    <w:pPr>
      <w:spacing w:line="263" w:lineRule="atLeast"/>
    </w:pPr>
    <w:rPr>
      <w:rFonts w:cs="Times New Roman"/>
      <w:color w:val="auto"/>
    </w:rPr>
  </w:style>
  <w:style w:type="paragraph" w:customStyle="1" w:styleId="CM26">
    <w:name w:val="CM26"/>
    <w:basedOn w:val="Default"/>
    <w:next w:val="Default"/>
    <w:uiPriority w:val="99"/>
    <w:pPr>
      <w:spacing w:line="231" w:lineRule="atLeast"/>
    </w:pPr>
    <w:rPr>
      <w:rFonts w:cs="Times New Roman"/>
      <w:color w:val="auto"/>
    </w:rPr>
  </w:style>
  <w:style w:type="paragraph" w:customStyle="1" w:styleId="CM27">
    <w:name w:val="CM27"/>
    <w:basedOn w:val="Default"/>
    <w:next w:val="Default"/>
    <w:uiPriority w:val="99"/>
    <w:pPr>
      <w:spacing w:line="263" w:lineRule="atLeast"/>
    </w:pPr>
    <w:rPr>
      <w:rFonts w:cs="Times New Roman"/>
      <w:color w:val="auto"/>
    </w:rPr>
  </w:style>
  <w:style w:type="paragraph" w:styleId="FootnoteText">
    <w:name w:val="footnote text"/>
    <w:basedOn w:val="Normal"/>
    <w:link w:val="FootnoteTextChar"/>
    <w:rsid w:val="00EB5F11"/>
    <w:pPr>
      <w:spacing w:after="0" w:line="240" w:lineRule="auto"/>
    </w:pPr>
    <w:rPr>
      <w:rFonts w:ascii="Times New Roman" w:hAnsi="Times New Roman"/>
      <w:sz w:val="20"/>
      <w:szCs w:val="20"/>
      <w:lang w:val="en-GB"/>
    </w:rPr>
  </w:style>
  <w:style w:type="character" w:customStyle="1" w:styleId="FootnoteTextChar">
    <w:name w:val="Footnote Text Char"/>
    <w:basedOn w:val="DefaultParagraphFont"/>
    <w:link w:val="FootnoteText"/>
    <w:locked/>
    <w:rsid w:val="00EB5F11"/>
    <w:rPr>
      <w:rFonts w:ascii="Times New Roman" w:hAnsi="Times New Roman" w:cs="Times New Roman"/>
      <w:sz w:val="20"/>
      <w:szCs w:val="20"/>
      <w:lang w:val="en-GB" w:eastAsia="x-none"/>
    </w:rPr>
  </w:style>
  <w:style w:type="character" w:styleId="FootnoteReference">
    <w:name w:val="footnote reference"/>
    <w:aliases w:val="Equation in text"/>
    <w:basedOn w:val="DefaultParagraphFont"/>
    <w:rsid w:val="00EB5F11"/>
    <w:rPr>
      <w:vertAlign w:val="superscript"/>
    </w:rPr>
  </w:style>
  <w:style w:type="paragraph" w:styleId="Footer">
    <w:name w:val="footer"/>
    <w:basedOn w:val="Normal"/>
    <w:link w:val="FooterChar"/>
    <w:uiPriority w:val="99"/>
    <w:rsid w:val="00EB5F11"/>
    <w:pPr>
      <w:tabs>
        <w:tab w:val="center" w:pos="4320"/>
        <w:tab w:val="right" w:pos="864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locked/>
    <w:rsid w:val="00EB5F11"/>
    <w:rPr>
      <w:rFonts w:ascii="Times New Roman" w:hAnsi="Times New Roman" w:cs="Times New Roman"/>
      <w:sz w:val="24"/>
      <w:szCs w:val="24"/>
    </w:rPr>
  </w:style>
  <w:style w:type="character" w:styleId="Hyperlink">
    <w:name w:val="Hyperlink"/>
    <w:basedOn w:val="DefaultParagraphFont"/>
    <w:uiPriority w:val="99"/>
    <w:rsid w:val="00EB5F11"/>
    <w:rPr>
      <w:color w:val="0000FF"/>
      <w:u w:val="single"/>
    </w:rPr>
  </w:style>
  <w:style w:type="paragraph" w:styleId="BalloonText">
    <w:name w:val="Balloon Text"/>
    <w:basedOn w:val="Normal"/>
    <w:link w:val="BalloonTextChar"/>
    <w:uiPriority w:val="99"/>
    <w:semiHidden/>
    <w:unhideWhenUsed/>
    <w:rsid w:val="007F0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5B5"/>
    <w:rPr>
      <w:rFonts w:ascii="Tahoma" w:hAnsi="Tahoma" w:cs="Tahoma"/>
      <w:sz w:val="16"/>
      <w:szCs w:val="16"/>
    </w:rPr>
  </w:style>
  <w:style w:type="paragraph" w:styleId="ListParagraph">
    <w:name w:val="List Paragraph"/>
    <w:basedOn w:val="Normal"/>
    <w:link w:val="ListParagraphChar"/>
    <w:uiPriority w:val="34"/>
    <w:qFormat/>
    <w:rsid w:val="002E39E9"/>
    <w:pPr>
      <w:ind w:left="720"/>
      <w:contextualSpacing/>
    </w:pPr>
  </w:style>
  <w:style w:type="paragraph" w:styleId="EndnoteText">
    <w:name w:val="endnote text"/>
    <w:basedOn w:val="Normal"/>
    <w:link w:val="EndnoteTextChar"/>
    <w:uiPriority w:val="99"/>
    <w:semiHidden/>
    <w:unhideWhenUsed/>
    <w:rsid w:val="003C2A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2AEC"/>
    <w:rPr>
      <w:sz w:val="20"/>
      <w:szCs w:val="20"/>
    </w:rPr>
  </w:style>
  <w:style w:type="character" w:styleId="EndnoteReference">
    <w:name w:val="endnote reference"/>
    <w:basedOn w:val="DefaultParagraphFont"/>
    <w:uiPriority w:val="99"/>
    <w:semiHidden/>
    <w:unhideWhenUsed/>
    <w:rsid w:val="003C2AEC"/>
    <w:rPr>
      <w:vertAlign w:val="superscript"/>
    </w:rPr>
  </w:style>
  <w:style w:type="paragraph" w:customStyle="1" w:styleId="MTDisplayEquation">
    <w:name w:val="MTDisplayEquation"/>
    <w:basedOn w:val="Normal"/>
    <w:next w:val="Normal"/>
    <w:rsid w:val="009B2C83"/>
    <w:pPr>
      <w:tabs>
        <w:tab w:val="center" w:pos="4680"/>
        <w:tab w:val="right" w:pos="9360"/>
      </w:tabs>
      <w:spacing w:after="0" w:line="240" w:lineRule="auto"/>
    </w:pPr>
    <w:rPr>
      <w:rFonts w:ascii="Times New Roman" w:eastAsia="Times New Roman" w:hAnsi="Times New Roman"/>
      <w:sz w:val="20"/>
      <w:szCs w:val="20"/>
    </w:rPr>
  </w:style>
  <w:style w:type="character" w:styleId="PlaceholderText">
    <w:name w:val="Placeholder Text"/>
    <w:basedOn w:val="DefaultParagraphFont"/>
    <w:uiPriority w:val="99"/>
    <w:semiHidden/>
    <w:rsid w:val="0012239C"/>
    <w:rPr>
      <w:color w:val="808080"/>
    </w:rPr>
  </w:style>
  <w:style w:type="paragraph" w:styleId="Caption">
    <w:name w:val="caption"/>
    <w:basedOn w:val="Normal"/>
    <w:next w:val="Normal"/>
    <w:uiPriority w:val="35"/>
    <w:semiHidden/>
    <w:unhideWhenUsed/>
    <w:qFormat/>
    <w:rsid w:val="0012239C"/>
    <w:pPr>
      <w:spacing w:line="240" w:lineRule="auto"/>
    </w:pPr>
    <w:rPr>
      <w:b/>
      <w:bCs/>
      <w:color w:val="4F81BD" w:themeColor="accent1"/>
      <w:sz w:val="18"/>
      <w:szCs w:val="18"/>
    </w:rPr>
  </w:style>
  <w:style w:type="paragraph" w:styleId="Header">
    <w:name w:val="header"/>
    <w:basedOn w:val="Normal"/>
    <w:link w:val="HeaderChar"/>
    <w:uiPriority w:val="99"/>
    <w:unhideWhenUsed/>
    <w:rsid w:val="00ED4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596"/>
  </w:style>
  <w:style w:type="character" w:styleId="CommentReference">
    <w:name w:val="annotation reference"/>
    <w:basedOn w:val="DefaultParagraphFont"/>
    <w:uiPriority w:val="99"/>
    <w:semiHidden/>
    <w:unhideWhenUsed/>
    <w:rsid w:val="006F4AE1"/>
    <w:rPr>
      <w:sz w:val="16"/>
      <w:szCs w:val="16"/>
    </w:rPr>
  </w:style>
  <w:style w:type="paragraph" w:styleId="CommentText">
    <w:name w:val="annotation text"/>
    <w:basedOn w:val="Normal"/>
    <w:link w:val="CommentTextChar"/>
    <w:uiPriority w:val="99"/>
    <w:semiHidden/>
    <w:unhideWhenUsed/>
    <w:rsid w:val="006F4AE1"/>
    <w:pPr>
      <w:spacing w:line="240" w:lineRule="auto"/>
    </w:pPr>
    <w:rPr>
      <w:sz w:val="20"/>
      <w:szCs w:val="20"/>
    </w:rPr>
  </w:style>
  <w:style w:type="character" w:customStyle="1" w:styleId="CommentTextChar">
    <w:name w:val="Comment Text Char"/>
    <w:basedOn w:val="DefaultParagraphFont"/>
    <w:link w:val="CommentText"/>
    <w:uiPriority w:val="99"/>
    <w:semiHidden/>
    <w:rsid w:val="006F4AE1"/>
    <w:rPr>
      <w:sz w:val="20"/>
      <w:szCs w:val="20"/>
    </w:rPr>
  </w:style>
  <w:style w:type="paragraph" w:styleId="CommentSubject">
    <w:name w:val="annotation subject"/>
    <w:basedOn w:val="CommentText"/>
    <w:next w:val="CommentText"/>
    <w:link w:val="CommentSubjectChar"/>
    <w:uiPriority w:val="99"/>
    <w:semiHidden/>
    <w:unhideWhenUsed/>
    <w:rsid w:val="009F3BDA"/>
    <w:rPr>
      <w:b/>
      <w:bCs/>
    </w:rPr>
  </w:style>
  <w:style w:type="character" w:customStyle="1" w:styleId="CommentSubjectChar">
    <w:name w:val="Comment Subject Char"/>
    <w:basedOn w:val="CommentTextChar"/>
    <w:link w:val="CommentSubject"/>
    <w:uiPriority w:val="99"/>
    <w:semiHidden/>
    <w:rsid w:val="009F3BDA"/>
    <w:rPr>
      <w:b/>
      <w:bCs/>
      <w:sz w:val="20"/>
      <w:szCs w:val="20"/>
    </w:rPr>
  </w:style>
  <w:style w:type="paragraph" w:styleId="NoSpacing">
    <w:name w:val="No Spacing"/>
    <w:uiPriority w:val="1"/>
    <w:qFormat/>
    <w:rsid w:val="00AF2CEA"/>
    <w:pPr>
      <w:spacing w:after="0" w:line="240" w:lineRule="auto"/>
    </w:pPr>
  </w:style>
  <w:style w:type="table" w:styleId="TableGrid">
    <w:name w:val="Table Grid"/>
    <w:basedOn w:val="TableNormal"/>
    <w:uiPriority w:val="59"/>
    <w:rsid w:val="001677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3A7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0191">
      <w:bodyDiv w:val="1"/>
      <w:marLeft w:val="0"/>
      <w:marRight w:val="0"/>
      <w:marTop w:val="0"/>
      <w:marBottom w:val="0"/>
      <w:divBdr>
        <w:top w:val="none" w:sz="0" w:space="0" w:color="auto"/>
        <w:left w:val="none" w:sz="0" w:space="0" w:color="auto"/>
        <w:bottom w:val="none" w:sz="0" w:space="0" w:color="auto"/>
        <w:right w:val="none" w:sz="0" w:space="0" w:color="auto"/>
      </w:divBdr>
    </w:div>
    <w:div w:id="61100108">
      <w:bodyDiv w:val="1"/>
      <w:marLeft w:val="0"/>
      <w:marRight w:val="0"/>
      <w:marTop w:val="0"/>
      <w:marBottom w:val="0"/>
      <w:divBdr>
        <w:top w:val="none" w:sz="0" w:space="0" w:color="auto"/>
        <w:left w:val="none" w:sz="0" w:space="0" w:color="auto"/>
        <w:bottom w:val="none" w:sz="0" w:space="0" w:color="auto"/>
        <w:right w:val="none" w:sz="0" w:space="0" w:color="auto"/>
      </w:divBdr>
    </w:div>
    <w:div w:id="153840078">
      <w:bodyDiv w:val="1"/>
      <w:marLeft w:val="0"/>
      <w:marRight w:val="0"/>
      <w:marTop w:val="0"/>
      <w:marBottom w:val="0"/>
      <w:divBdr>
        <w:top w:val="none" w:sz="0" w:space="0" w:color="auto"/>
        <w:left w:val="none" w:sz="0" w:space="0" w:color="auto"/>
        <w:bottom w:val="none" w:sz="0" w:space="0" w:color="auto"/>
        <w:right w:val="none" w:sz="0" w:space="0" w:color="auto"/>
      </w:divBdr>
    </w:div>
    <w:div w:id="258415188">
      <w:bodyDiv w:val="1"/>
      <w:marLeft w:val="0"/>
      <w:marRight w:val="0"/>
      <w:marTop w:val="0"/>
      <w:marBottom w:val="0"/>
      <w:divBdr>
        <w:top w:val="none" w:sz="0" w:space="0" w:color="auto"/>
        <w:left w:val="none" w:sz="0" w:space="0" w:color="auto"/>
        <w:bottom w:val="none" w:sz="0" w:space="0" w:color="auto"/>
        <w:right w:val="none" w:sz="0" w:space="0" w:color="auto"/>
      </w:divBdr>
    </w:div>
    <w:div w:id="318194923">
      <w:bodyDiv w:val="1"/>
      <w:marLeft w:val="0"/>
      <w:marRight w:val="0"/>
      <w:marTop w:val="0"/>
      <w:marBottom w:val="0"/>
      <w:divBdr>
        <w:top w:val="none" w:sz="0" w:space="0" w:color="auto"/>
        <w:left w:val="none" w:sz="0" w:space="0" w:color="auto"/>
        <w:bottom w:val="none" w:sz="0" w:space="0" w:color="auto"/>
        <w:right w:val="none" w:sz="0" w:space="0" w:color="auto"/>
      </w:divBdr>
    </w:div>
    <w:div w:id="486635235">
      <w:bodyDiv w:val="1"/>
      <w:marLeft w:val="0"/>
      <w:marRight w:val="0"/>
      <w:marTop w:val="0"/>
      <w:marBottom w:val="0"/>
      <w:divBdr>
        <w:top w:val="none" w:sz="0" w:space="0" w:color="auto"/>
        <w:left w:val="none" w:sz="0" w:space="0" w:color="auto"/>
        <w:bottom w:val="none" w:sz="0" w:space="0" w:color="auto"/>
        <w:right w:val="none" w:sz="0" w:space="0" w:color="auto"/>
      </w:divBdr>
    </w:div>
    <w:div w:id="488521753">
      <w:bodyDiv w:val="1"/>
      <w:marLeft w:val="0"/>
      <w:marRight w:val="0"/>
      <w:marTop w:val="0"/>
      <w:marBottom w:val="0"/>
      <w:divBdr>
        <w:top w:val="none" w:sz="0" w:space="0" w:color="auto"/>
        <w:left w:val="none" w:sz="0" w:space="0" w:color="auto"/>
        <w:bottom w:val="none" w:sz="0" w:space="0" w:color="auto"/>
        <w:right w:val="none" w:sz="0" w:space="0" w:color="auto"/>
      </w:divBdr>
    </w:div>
    <w:div w:id="551040650">
      <w:bodyDiv w:val="1"/>
      <w:marLeft w:val="0"/>
      <w:marRight w:val="0"/>
      <w:marTop w:val="0"/>
      <w:marBottom w:val="0"/>
      <w:divBdr>
        <w:top w:val="none" w:sz="0" w:space="0" w:color="auto"/>
        <w:left w:val="none" w:sz="0" w:space="0" w:color="auto"/>
        <w:bottom w:val="none" w:sz="0" w:space="0" w:color="auto"/>
        <w:right w:val="none" w:sz="0" w:space="0" w:color="auto"/>
      </w:divBdr>
      <w:divsChild>
        <w:div w:id="1641882756">
          <w:marLeft w:val="446"/>
          <w:marRight w:val="0"/>
          <w:marTop w:val="120"/>
          <w:marBottom w:val="0"/>
          <w:divBdr>
            <w:top w:val="none" w:sz="0" w:space="0" w:color="auto"/>
            <w:left w:val="none" w:sz="0" w:space="0" w:color="auto"/>
            <w:bottom w:val="none" w:sz="0" w:space="0" w:color="auto"/>
            <w:right w:val="none" w:sz="0" w:space="0" w:color="auto"/>
          </w:divBdr>
        </w:div>
        <w:div w:id="491799717">
          <w:marLeft w:val="446"/>
          <w:marRight w:val="0"/>
          <w:marTop w:val="120"/>
          <w:marBottom w:val="0"/>
          <w:divBdr>
            <w:top w:val="none" w:sz="0" w:space="0" w:color="auto"/>
            <w:left w:val="none" w:sz="0" w:space="0" w:color="auto"/>
            <w:bottom w:val="none" w:sz="0" w:space="0" w:color="auto"/>
            <w:right w:val="none" w:sz="0" w:space="0" w:color="auto"/>
          </w:divBdr>
        </w:div>
        <w:div w:id="1806241783">
          <w:marLeft w:val="446"/>
          <w:marRight w:val="0"/>
          <w:marTop w:val="120"/>
          <w:marBottom w:val="0"/>
          <w:divBdr>
            <w:top w:val="none" w:sz="0" w:space="0" w:color="auto"/>
            <w:left w:val="none" w:sz="0" w:space="0" w:color="auto"/>
            <w:bottom w:val="none" w:sz="0" w:space="0" w:color="auto"/>
            <w:right w:val="none" w:sz="0" w:space="0" w:color="auto"/>
          </w:divBdr>
        </w:div>
        <w:div w:id="1101880531">
          <w:marLeft w:val="446"/>
          <w:marRight w:val="0"/>
          <w:marTop w:val="120"/>
          <w:marBottom w:val="0"/>
          <w:divBdr>
            <w:top w:val="none" w:sz="0" w:space="0" w:color="auto"/>
            <w:left w:val="none" w:sz="0" w:space="0" w:color="auto"/>
            <w:bottom w:val="none" w:sz="0" w:space="0" w:color="auto"/>
            <w:right w:val="none" w:sz="0" w:space="0" w:color="auto"/>
          </w:divBdr>
        </w:div>
      </w:divsChild>
    </w:div>
    <w:div w:id="645473536">
      <w:bodyDiv w:val="1"/>
      <w:marLeft w:val="0"/>
      <w:marRight w:val="0"/>
      <w:marTop w:val="0"/>
      <w:marBottom w:val="0"/>
      <w:divBdr>
        <w:top w:val="none" w:sz="0" w:space="0" w:color="auto"/>
        <w:left w:val="none" w:sz="0" w:space="0" w:color="auto"/>
        <w:bottom w:val="none" w:sz="0" w:space="0" w:color="auto"/>
        <w:right w:val="none" w:sz="0" w:space="0" w:color="auto"/>
      </w:divBdr>
    </w:div>
    <w:div w:id="904339718">
      <w:bodyDiv w:val="1"/>
      <w:marLeft w:val="0"/>
      <w:marRight w:val="0"/>
      <w:marTop w:val="0"/>
      <w:marBottom w:val="0"/>
      <w:divBdr>
        <w:top w:val="none" w:sz="0" w:space="0" w:color="auto"/>
        <w:left w:val="none" w:sz="0" w:space="0" w:color="auto"/>
        <w:bottom w:val="none" w:sz="0" w:space="0" w:color="auto"/>
        <w:right w:val="none" w:sz="0" w:space="0" w:color="auto"/>
      </w:divBdr>
      <w:divsChild>
        <w:div w:id="172231355">
          <w:marLeft w:val="0"/>
          <w:marRight w:val="0"/>
          <w:marTop w:val="0"/>
          <w:marBottom w:val="0"/>
          <w:divBdr>
            <w:top w:val="none" w:sz="0" w:space="0" w:color="auto"/>
            <w:left w:val="none" w:sz="0" w:space="0" w:color="auto"/>
            <w:bottom w:val="none" w:sz="0" w:space="0" w:color="auto"/>
            <w:right w:val="none" w:sz="0" w:space="0" w:color="auto"/>
          </w:divBdr>
          <w:divsChild>
            <w:div w:id="1278027182">
              <w:marLeft w:val="0"/>
              <w:marRight w:val="0"/>
              <w:marTop w:val="0"/>
              <w:marBottom w:val="0"/>
              <w:divBdr>
                <w:top w:val="none" w:sz="0" w:space="0" w:color="auto"/>
                <w:left w:val="none" w:sz="0" w:space="0" w:color="auto"/>
                <w:bottom w:val="none" w:sz="0" w:space="0" w:color="auto"/>
                <w:right w:val="none" w:sz="0" w:space="0" w:color="auto"/>
              </w:divBdr>
              <w:divsChild>
                <w:div w:id="797338700">
                  <w:marLeft w:val="0"/>
                  <w:marRight w:val="0"/>
                  <w:marTop w:val="0"/>
                  <w:marBottom w:val="0"/>
                  <w:divBdr>
                    <w:top w:val="none" w:sz="0" w:space="0" w:color="auto"/>
                    <w:left w:val="none" w:sz="0" w:space="0" w:color="auto"/>
                    <w:bottom w:val="none" w:sz="0" w:space="0" w:color="auto"/>
                    <w:right w:val="none" w:sz="0" w:space="0" w:color="auto"/>
                  </w:divBdr>
                  <w:divsChild>
                    <w:div w:id="1005013867">
                      <w:marLeft w:val="0"/>
                      <w:marRight w:val="0"/>
                      <w:marTop w:val="0"/>
                      <w:marBottom w:val="0"/>
                      <w:divBdr>
                        <w:top w:val="none" w:sz="0" w:space="0" w:color="auto"/>
                        <w:left w:val="none" w:sz="0" w:space="0" w:color="auto"/>
                        <w:bottom w:val="none" w:sz="0" w:space="0" w:color="auto"/>
                        <w:right w:val="none" w:sz="0" w:space="0" w:color="auto"/>
                      </w:divBdr>
                    </w:div>
                    <w:div w:id="1614824741">
                      <w:marLeft w:val="0"/>
                      <w:marRight w:val="0"/>
                      <w:marTop w:val="0"/>
                      <w:marBottom w:val="0"/>
                      <w:divBdr>
                        <w:top w:val="none" w:sz="0" w:space="0" w:color="auto"/>
                        <w:left w:val="none" w:sz="0" w:space="0" w:color="auto"/>
                        <w:bottom w:val="none" w:sz="0" w:space="0" w:color="auto"/>
                        <w:right w:val="none" w:sz="0" w:space="0" w:color="auto"/>
                      </w:divBdr>
                    </w:div>
                    <w:div w:id="1272781447">
                      <w:marLeft w:val="0"/>
                      <w:marRight w:val="0"/>
                      <w:marTop w:val="0"/>
                      <w:marBottom w:val="0"/>
                      <w:divBdr>
                        <w:top w:val="none" w:sz="0" w:space="0" w:color="auto"/>
                        <w:left w:val="none" w:sz="0" w:space="0" w:color="auto"/>
                        <w:bottom w:val="none" w:sz="0" w:space="0" w:color="auto"/>
                        <w:right w:val="none" w:sz="0" w:space="0" w:color="auto"/>
                      </w:divBdr>
                    </w:div>
                    <w:div w:id="813135092">
                      <w:marLeft w:val="0"/>
                      <w:marRight w:val="0"/>
                      <w:marTop w:val="0"/>
                      <w:marBottom w:val="0"/>
                      <w:divBdr>
                        <w:top w:val="none" w:sz="0" w:space="0" w:color="auto"/>
                        <w:left w:val="none" w:sz="0" w:space="0" w:color="auto"/>
                        <w:bottom w:val="none" w:sz="0" w:space="0" w:color="auto"/>
                        <w:right w:val="none" w:sz="0" w:space="0" w:color="auto"/>
                      </w:divBdr>
                    </w:div>
                    <w:div w:id="156441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948657">
      <w:bodyDiv w:val="1"/>
      <w:marLeft w:val="0"/>
      <w:marRight w:val="0"/>
      <w:marTop w:val="0"/>
      <w:marBottom w:val="0"/>
      <w:divBdr>
        <w:top w:val="none" w:sz="0" w:space="0" w:color="auto"/>
        <w:left w:val="none" w:sz="0" w:space="0" w:color="auto"/>
        <w:bottom w:val="none" w:sz="0" w:space="0" w:color="auto"/>
        <w:right w:val="none" w:sz="0" w:space="0" w:color="auto"/>
      </w:divBdr>
    </w:div>
    <w:div w:id="1123694180">
      <w:bodyDiv w:val="1"/>
      <w:marLeft w:val="0"/>
      <w:marRight w:val="0"/>
      <w:marTop w:val="0"/>
      <w:marBottom w:val="0"/>
      <w:divBdr>
        <w:top w:val="none" w:sz="0" w:space="0" w:color="auto"/>
        <w:left w:val="none" w:sz="0" w:space="0" w:color="auto"/>
        <w:bottom w:val="none" w:sz="0" w:space="0" w:color="auto"/>
        <w:right w:val="none" w:sz="0" w:space="0" w:color="auto"/>
      </w:divBdr>
    </w:div>
    <w:div w:id="1151412138">
      <w:bodyDiv w:val="1"/>
      <w:marLeft w:val="0"/>
      <w:marRight w:val="0"/>
      <w:marTop w:val="0"/>
      <w:marBottom w:val="0"/>
      <w:divBdr>
        <w:top w:val="none" w:sz="0" w:space="0" w:color="auto"/>
        <w:left w:val="none" w:sz="0" w:space="0" w:color="auto"/>
        <w:bottom w:val="none" w:sz="0" w:space="0" w:color="auto"/>
        <w:right w:val="none" w:sz="0" w:space="0" w:color="auto"/>
      </w:divBdr>
      <w:divsChild>
        <w:div w:id="2026782496">
          <w:marLeft w:val="547"/>
          <w:marRight w:val="0"/>
          <w:marTop w:val="115"/>
          <w:marBottom w:val="0"/>
          <w:divBdr>
            <w:top w:val="none" w:sz="0" w:space="0" w:color="auto"/>
            <w:left w:val="none" w:sz="0" w:space="0" w:color="auto"/>
            <w:bottom w:val="none" w:sz="0" w:space="0" w:color="auto"/>
            <w:right w:val="none" w:sz="0" w:space="0" w:color="auto"/>
          </w:divBdr>
        </w:div>
      </w:divsChild>
    </w:div>
    <w:div w:id="1156343068">
      <w:bodyDiv w:val="1"/>
      <w:marLeft w:val="0"/>
      <w:marRight w:val="0"/>
      <w:marTop w:val="0"/>
      <w:marBottom w:val="0"/>
      <w:divBdr>
        <w:top w:val="none" w:sz="0" w:space="0" w:color="auto"/>
        <w:left w:val="none" w:sz="0" w:space="0" w:color="auto"/>
        <w:bottom w:val="none" w:sz="0" w:space="0" w:color="auto"/>
        <w:right w:val="none" w:sz="0" w:space="0" w:color="auto"/>
      </w:divBdr>
    </w:div>
    <w:div w:id="1488477342">
      <w:bodyDiv w:val="1"/>
      <w:marLeft w:val="0"/>
      <w:marRight w:val="0"/>
      <w:marTop w:val="0"/>
      <w:marBottom w:val="0"/>
      <w:divBdr>
        <w:top w:val="none" w:sz="0" w:space="0" w:color="auto"/>
        <w:left w:val="none" w:sz="0" w:space="0" w:color="auto"/>
        <w:bottom w:val="none" w:sz="0" w:space="0" w:color="auto"/>
        <w:right w:val="none" w:sz="0" w:space="0" w:color="auto"/>
      </w:divBdr>
    </w:div>
    <w:div w:id="1492867029">
      <w:bodyDiv w:val="1"/>
      <w:marLeft w:val="0"/>
      <w:marRight w:val="0"/>
      <w:marTop w:val="0"/>
      <w:marBottom w:val="0"/>
      <w:divBdr>
        <w:top w:val="none" w:sz="0" w:space="0" w:color="auto"/>
        <w:left w:val="none" w:sz="0" w:space="0" w:color="auto"/>
        <w:bottom w:val="none" w:sz="0" w:space="0" w:color="auto"/>
        <w:right w:val="none" w:sz="0" w:space="0" w:color="auto"/>
      </w:divBdr>
    </w:div>
    <w:div w:id="1519276090">
      <w:bodyDiv w:val="1"/>
      <w:marLeft w:val="0"/>
      <w:marRight w:val="0"/>
      <w:marTop w:val="0"/>
      <w:marBottom w:val="0"/>
      <w:divBdr>
        <w:top w:val="none" w:sz="0" w:space="0" w:color="auto"/>
        <w:left w:val="none" w:sz="0" w:space="0" w:color="auto"/>
        <w:bottom w:val="none" w:sz="0" w:space="0" w:color="auto"/>
        <w:right w:val="none" w:sz="0" w:space="0" w:color="auto"/>
      </w:divBdr>
    </w:div>
    <w:div w:id="1570575590">
      <w:bodyDiv w:val="1"/>
      <w:marLeft w:val="0"/>
      <w:marRight w:val="0"/>
      <w:marTop w:val="0"/>
      <w:marBottom w:val="0"/>
      <w:divBdr>
        <w:top w:val="none" w:sz="0" w:space="0" w:color="auto"/>
        <w:left w:val="none" w:sz="0" w:space="0" w:color="auto"/>
        <w:bottom w:val="none" w:sz="0" w:space="0" w:color="auto"/>
        <w:right w:val="none" w:sz="0" w:space="0" w:color="auto"/>
      </w:divBdr>
    </w:div>
    <w:div w:id="1632051653">
      <w:bodyDiv w:val="1"/>
      <w:marLeft w:val="0"/>
      <w:marRight w:val="0"/>
      <w:marTop w:val="0"/>
      <w:marBottom w:val="0"/>
      <w:divBdr>
        <w:top w:val="none" w:sz="0" w:space="0" w:color="auto"/>
        <w:left w:val="none" w:sz="0" w:space="0" w:color="auto"/>
        <w:bottom w:val="none" w:sz="0" w:space="0" w:color="auto"/>
        <w:right w:val="none" w:sz="0" w:space="0" w:color="auto"/>
      </w:divBdr>
    </w:div>
    <w:div w:id="1657881059">
      <w:bodyDiv w:val="1"/>
      <w:marLeft w:val="0"/>
      <w:marRight w:val="0"/>
      <w:marTop w:val="0"/>
      <w:marBottom w:val="0"/>
      <w:divBdr>
        <w:top w:val="none" w:sz="0" w:space="0" w:color="auto"/>
        <w:left w:val="none" w:sz="0" w:space="0" w:color="auto"/>
        <w:bottom w:val="none" w:sz="0" w:space="0" w:color="auto"/>
        <w:right w:val="none" w:sz="0" w:space="0" w:color="auto"/>
      </w:divBdr>
      <w:divsChild>
        <w:div w:id="1012993601">
          <w:marLeft w:val="0"/>
          <w:marRight w:val="0"/>
          <w:marTop w:val="0"/>
          <w:marBottom w:val="0"/>
          <w:divBdr>
            <w:top w:val="none" w:sz="0" w:space="0" w:color="auto"/>
            <w:left w:val="none" w:sz="0" w:space="0" w:color="auto"/>
            <w:bottom w:val="none" w:sz="0" w:space="0" w:color="auto"/>
            <w:right w:val="none" w:sz="0" w:space="0" w:color="auto"/>
          </w:divBdr>
          <w:divsChild>
            <w:div w:id="734821937">
              <w:marLeft w:val="0"/>
              <w:marRight w:val="0"/>
              <w:marTop w:val="0"/>
              <w:marBottom w:val="0"/>
              <w:divBdr>
                <w:top w:val="none" w:sz="0" w:space="0" w:color="auto"/>
                <w:left w:val="none" w:sz="0" w:space="0" w:color="auto"/>
                <w:bottom w:val="none" w:sz="0" w:space="0" w:color="auto"/>
                <w:right w:val="none" w:sz="0" w:space="0" w:color="auto"/>
              </w:divBdr>
              <w:divsChild>
                <w:div w:id="1559365510">
                  <w:marLeft w:val="0"/>
                  <w:marRight w:val="0"/>
                  <w:marTop w:val="0"/>
                  <w:marBottom w:val="0"/>
                  <w:divBdr>
                    <w:top w:val="none" w:sz="0" w:space="0" w:color="auto"/>
                    <w:left w:val="none" w:sz="0" w:space="0" w:color="auto"/>
                    <w:bottom w:val="none" w:sz="0" w:space="0" w:color="auto"/>
                    <w:right w:val="none" w:sz="0" w:space="0" w:color="auto"/>
                  </w:divBdr>
                </w:div>
                <w:div w:id="202605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91162">
      <w:bodyDiv w:val="1"/>
      <w:marLeft w:val="0"/>
      <w:marRight w:val="0"/>
      <w:marTop w:val="0"/>
      <w:marBottom w:val="0"/>
      <w:divBdr>
        <w:top w:val="none" w:sz="0" w:space="0" w:color="auto"/>
        <w:left w:val="none" w:sz="0" w:space="0" w:color="auto"/>
        <w:bottom w:val="none" w:sz="0" w:space="0" w:color="auto"/>
        <w:right w:val="none" w:sz="0" w:space="0" w:color="auto"/>
      </w:divBdr>
    </w:div>
    <w:div w:id="1839348069">
      <w:bodyDiv w:val="1"/>
      <w:marLeft w:val="0"/>
      <w:marRight w:val="0"/>
      <w:marTop w:val="0"/>
      <w:marBottom w:val="0"/>
      <w:divBdr>
        <w:top w:val="none" w:sz="0" w:space="0" w:color="auto"/>
        <w:left w:val="none" w:sz="0" w:space="0" w:color="auto"/>
        <w:bottom w:val="none" w:sz="0" w:space="0" w:color="auto"/>
        <w:right w:val="none" w:sz="0" w:space="0" w:color="auto"/>
      </w:divBdr>
    </w:div>
    <w:div w:id="1950159589">
      <w:bodyDiv w:val="1"/>
      <w:marLeft w:val="0"/>
      <w:marRight w:val="0"/>
      <w:marTop w:val="0"/>
      <w:marBottom w:val="0"/>
      <w:divBdr>
        <w:top w:val="none" w:sz="0" w:space="0" w:color="auto"/>
        <w:left w:val="none" w:sz="0" w:space="0" w:color="auto"/>
        <w:bottom w:val="none" w:sz="0" w:space="0" w:color="auto"/>
        <w:right w:val="none" w:sz="0" w:space="0" w:color="auto"/>
      </w:divBdr>
    </w:div>
    <w:div w:id="213563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image" Target="media/image9.wmf"/><Relationship Id="rId42" Type="http://schemas.openxmlformats.org/officeDocument/2006/relationships/oleObject" Target="embeddings/oleObject15.bin"/><Relationship Id="rId63" Type="http://schemas.openxmlformats.org/officeDocument/2006/relationships/oleObject" Target="embeddings/oleObject30.bin"/><Relationship Id="rId84" Type="http://schemas.openxmlformats.org/officeDocument/2006/relationships/image" Target="media/image39.wmf"/><Relationship Id="rId138" Type="http://schemas.openxmlformats.org/officeDocument/2006/relationships/image" Target="media/image65.wmf"/><Relationship Id="rId159" Type="http://schemas.openxmlformats.org/officeDocument/2006/relationships/oleObject" Target="embeddings/oleObject78.bin"/><Relationship Id="rId170" Type="http://schemas.openxmlformats.org/officeDocument/2006/relationships/image" Target="media/image83.wmf"/><Relationship Id="rId191" Type="http://schemas.openxmlformats.org/officeDocument/2006/relationships/image" Target="media/image93.wmf"/><Relationship Id="rId205" Type="http://schemas.openxmlformats.org/officeDocument/2006/relationships/image" Target="media/image101.wmf"/><Relationship Id="rId107" Type="http://schemas.openxmlformats.org/officeDocument/2006/relationships/oleObject" Target="embeddings/oleObject54.bin"/><Relationship Id="rId11" Type="http://schemas.openxmlformats.org/officeDocument/2006/relationships/image" Target="media/image3.png"/><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oleObject" Target="embeddings/oleObject23.bin"/><Relationship Id="rId58" Type="http://schemas.openxmlformats.org/officeDocument/2006/relationships/image" Target="media/image28.wmf"/><Relationship Id="rId74" Type="http://schemas.openxmlformats.org/officeDocument/2006/relationships/image" Target="media/image34.wmf"/><Relationship Id="rId79" Type="http://schemas.openxmlformats.org/officeDocument/2006/relationships/oleObject" Target="embeddings/oleObject39.bin"/><Relationship Id="rId102" Type="http://schemas.openxmlformats.org/officeDocument/2006/relationships/image" Target="media/image47.wmf"/><Relationship Id="rId123" Type="http://schemas.openxmlformats.org/officeDocument/2006/relationships/oleObject" Target="embeddings/oleObject62.bin"/><Relationship Id="rId128" Type="http://schemas.openxmlformats.org/officeDocument/2006/relationships/image" Target="media/image60.wmf"/><Relationship Id="rId144" Type="http://schemas.openxmlformats.org/officeDocument/2006/relationships/oleObject" Target="embeddings/oleObject74.bin"/><Relationship Id="rId149"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8.bin"/><Relationship Id="rId160" Type="http://schemas.openxmlformats.org/officeDocument/2006/relationships/image" Target="media/image78.wmf"/><Relationship Id="rId165" Type="http://schemas.openxmlformats.org/officeDocument/2006/relationships/oleObject" Target="embeddings/oleObject81.bin"/><Relationship Id="rId181" Type="http://schemas.openxmlformats.org/officeDocument/2006/relationships/image" Target="media/image88.wmf"/><Relationship Id="rId186" Type="http://schemas.openxmlformats.org/officeDocument/2006/relationships/oleObject" Target="embeddings/oleObject92.bin"/><Relationship Id="rId211" Type="http://schemas.openxmlformats.org/officeDocument/2006/relationships/footer" Target="footer1.xml"/><Relationship Id="rId22" Type="http://schemas.openxmlformats.org/officeDocument/2006/relationships/oleObject" Target="embeddings/oleObject5.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20.bin"/><Relationship Id="rId64" Type="http://schemas.openxmlformats.org/officeDocument/2006/relationships/image" Target="media/image30.wmf"/><Relationship Id="rId69" Type="http://schemas.openxmlformats.org/officeDocument/2006/relationships/oleObject" Target="embeddings/oleObject34.bin"/><Relationship Id="rId113" Type="http://schemas.openxmlformats.org/officeDocument/2006/relationships/oleObject" Target="embeddings/oleObject57.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70.bin"/><Relationship Id="rId80" Type="http://schemas.openxmlformats.org/officeDocument/2006/relationships/image" Target="media/image37.wmf"/><Relationship Id="rId85" Type="http://schemas.openxmlformats.org/officeDocument/2006/relationships/oleObject" Target="embeddings/oleObject42.bin"/><Relationship Id="rId150" Type="http://schemas.openxmlformats.org/officeDocument/2006/relationships/image" Target="media/image70.png"/><Relationship Id="rId155" Type="http://schemas.openxmlformats.org/officeDocument/2006/relationships/image" Target="media/image75.png"/><Relationship Id="rId171" Type="http://schemas.openxmlformats.org/officeDocument/2006/relationships/oleObject" Target="embeddings/oleObject84.bin"/><Relationship Id="rId176" Type="http://schemas.openxmlformats.org/officeDocument/2006/relationships/image" Target="media/image86.wmf"/><Relationship Id="rId192" Type="http://schemas.openxmlformats.org/officeDocument/2006/relationships/oleObject" Target="embeddings/oleObject95.bin"/><Relationship Id="rId197" Type="http://schemas.openxmlformats.org/officeDocument/2006/relationships/image" Target="media/image97.wmf"/><Relationship Id="rId206" Type="http://schemas.openxmlformats.org/officeDocument/2006/relationships/oleObject" Target="embeddings/oleObject101.bin"/><Relationship Id="rId201" Type="http://schemas.openxmlformats.org/officeDocument/2006/relationships/image" Target="media/image99.wmf"/><Relationship Id="rId12" Type="http://schemas.openxmlformats.org/officeDocument/2006/relationships/image" Target="media/image4.png"/><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3.bin"/><Relationship Id="rId59" Type="http://schemas.openxmlformats.org/officeDocument/2006/relationships/oleObject" Target="embeddings/oleObject27.bin"/><Relationship Id="rId103" Type="http://schemas.openxmlformats.org/officeDocument/2006/relationships/oleObject" Target="embeddings/oleObject52.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65.bin"/><Relationship Id="rId54" Type="http://schemas.openxmlformats.org/officeDocument/2006/relationships/oleObject" Target="embeddings/oleObject24.bin"/><Relationship Id="rId70" Type="http://schemas.openxmlformats.org/officeDocument/2006/relationships/image" Target="media/image32.wmf"/><Relationship Id="rId75" Type="http://schemas.openxmlformats.org/officeDocument/2006/relationships/oleObject" Target="embeddings/oleObject37.bin"/><Relationship Id="rId91" Type="http://schemas.openxmlformats.org/officeDocument/2006/relationships/oleObject" Target="embeddings/oleObject46.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image" Target="media/image67.wmf"/><Relationship Id="rId161" Type="http://schemas.openxmlformats.org/officeDocument/2006/relationships/oleObject" Target="embeddings/oleObject79.bin"/><Relationship Id="rId166" Type="http://schemas.openxmlformats.org/officeDocument/2006/relationships/image" Target="media/image81.wmf"/><Relationship Id="rId182" Type="http://schemas.openxmlformats.org/officeDocument/2006/relationships/oleObject" Target="embeddings/oleObject90.bin"/><Relationship Id="rId187" Type="http://schemas.openxmlformats.org/officeDocument/2006/relationships/image" Target="media/image91.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image" Target="media/image10.wmf"/><Relationship Id="rId28" Type="http://schemas.openxmlformats.org/officeDocument/2006/relationships/oleObject" Target="embeddings/oleObject8.bin"/><Relationship Id="rId49" Type="http://schemas.openxmlformats.org/officeDocument/2006/relationships/image" Target="media/image25.wmf"/><Relationship Id="rId114" Type="http://schemas.openxmlformats.org/officeDocument/2006/relationships/image" Target="media/image53.wmf"/><Relationship Id="rId119" Type="http://schemas.openxmlformats.org/officeDocument/2006/relationships/oleObject" Target="embeddings/oleObject60.bin"/><Relationship Id="rId44" Type="http://schemas.openxmlformats.org/officeDocument/2006/relationships/oleObject" Target="embeddings/oleObject16.bin"/><Relationship Id="rId60" Type="http://schemas.openxmlformats.org/officeDocument/2006/relationships/oleObject" Target="embeddings/oleObject28.bin"/><Relationship Id="rId65" Type="http://schemas.openxmlformats.org/officeDocument/2006/relationships/oleObject" Target="embeddings/oleObject31.bin"/><Relationship Id="rId81" Type="http://schemas.openxmlformats.org/officeDocument/2006/relationships/oleObject" Target="embeddings/oleObject40.bin"/><Relationship Id="rId86" Type="http://schemas.openxmlformats.org/officeDocument/2006/relationships/oleObject" Target="embeddings/oleObject43.bin"/><Relationship Id="rId130" Type="http://schemas.openxmlformats.org/officeDocument/2006/relationships/image" Target="media/image61.wmf"/><Relationship Id="rId135" Type="http://schemas.openxmlformats.org/officeDocument/2006/relationships/oleObject" Target="embeddings/oleObject68.bin"/><Relationship Id="rId151" Type="http://schemas.openxmlformats.org/officeDocument/2006/relationships/image" Target="media/image71.png"/><Relationship Id="rId156" Type="http://schemas.openxmlformats.org/officeDocument/2006/relationships/image" Target="media/image76.wmf"/><Relationship Id="rId177" Type="http://schemas.openxmlformats.org/officeDocument/2006/relationships/oleObject" Target="embeddings/oleObject87.bin"/><Relationship Id="rId198" Type="http://schemas.openxmlformats.org/officeDocument/2006/relationships/oleObject" Target="embeddings/oleObject97.bin"/><Relationship Id="rId172" Type="http://schemas.openxmlformats.org/officeDocument/2006/relationships/image" Target="media/image84.wmf"/><Relationship Id="rId193" Type="http://schemas.openxmlformats.org/officeDocument/2006/relationships/image" Target="media/image94.png"/><Relationship Id="rId202" Type="http://schemas.openxmlformats.org/officeDocument/2006/relationships/oleObject" Target="embeddings/oleObject99.bin"/><Relationship Id="rId207" Type="http://schemas.openxmlformats.org/officeDocument/2006/relationships/image" Target="media/image102.wmf"/><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image" Target="media/image18.wmf"/><Relationship Id="rId109" Type="http://schemas.openxmlformats.org/officeDocument/2006/relationships/oleObject" Target="embeddings/oleObject55.bin"/><Relationship Id="rId34" Type="http://schemas.openxmlformats.org/officeDocument/2006/relationships/oleObject" Target="embeddings/oleObject11.bin"/><Relationship Id="rId50" Type="http://schemas.openxmlformats.org/officeDocument/2006/relationships/oleObject" Target="embeddings/oleObject21.bin"/><Relationship Id="rId55" Type="http://schemas.openxmlformats.org/officeDocument/2006/relationships/oleObject" Target="embeddings/oleObject25.bin"/><Relationship Id="rId76" Type="http://schemas.openxmlformats.org/officeDocument/2006/relationships/image" Target="media/image35.wmf"/><Relationship Id="rId97" Type="http://schemas.openxmlformats.org/officeDocument/2006/relationships/oleObject" Target="embeddings/oleObject49.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63.bin"/><Relationship Id="rId141" Type="http://schemas.openxmlformats.org/officeDocument/2006/relationships/oleObject" Target="embeddings/oleObject71.bin"/><Relationship Id="rId146" Type="http://schemas.openxmlformats.org/officeDocument/2006/relationships/oleObject" Target="embeddings/oleObject75.bin"/><Relationship Id="rId167" Type="http://schemas.openxmlformats.org/officeDocument/2006/relationships/oleObject" Target="embeddings/oleObject82.bin"/><Relationship Id="rId188" Type="http://schemas.openxmlformats.org/officeDocument/2006/relationships/oleObject" Target="embeddings/oleObject93.bin"/><Relationship Id="rId7" Type="http://schemas.openxmlformats.org/officeDocument/2006/relationships/footnotes" Target="footnotes.xml"/><Relationship Id="rId71" Type="http://schemas.openxmlformats.org/officeDocument/2006/relationships/oleObject" Target="embeddings/oleObject35.bin"/><Relationship Id="rId92" Type="http://schemas.openxmlformats.org/officeDocument/2006/relationships/image" Target="media/image42.wmf"/><Relationship Id="rId162" Type="http://schemas.openxmlformats.org/officeDocument/2006/relationships/image" Target="media/image79.wmf"/><Relationship Id="rId183" Type="http://schemas.openxmlformats.org/officeDocument/2006/relationships/image" Target="media/image89.wmf"/><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1.wmf"/><Relationship Id="rId66" Type="http://schemas.openxmlformats.org/officeDocument/2006/relationships/image" Target="media/image31.wmf"/><Relationship Id="rId87" Type="http://schemas.openxmlformats.org/officeDocument/2006/relationships/image" Target="media/image40.wmf"/><Relationship Id="rId110" Type="http://schemas.openxmlformats.org/officeDocument/2006/relationships/image" Target="media/image51.wmf"/><Relationship Id="rId115" Type="http://schemas.openxmlformats.org/officeDocument/2006/relationships/oleObject" Target="embeddings/oleObject58.bin"/><Relationship Id="rId131" Type="http://schemas.openxmlformats.org/officeDocument/2006/relationships/oleObject" Target="embeddings/oleObject66.bin"/><Relationship Id="rId136" Type="http://schemas.openxmlformats.org/officeDocument/2006/relationships/image" Target="media/image64.wmf"/><Relationship Id="rId157" Type="http://schemas.openxmlformats.org/officeDocument/2006/relationships/oleObject" Target="embeddings/oleObject77.bin"/><Relationship Id="rId178" Type="http://schemas.openxmlformats.org/officeDocument/2006/relationships/image" Target="media/image87.wmf"/><Relationship Id="rId61" Type="http://schemas.openxmlformats.org/officeDocument/2006/relationships/oleObject" Target="embeddings/oleObject29.bin"/><Relationship Id="rId82" Type="http://schemas.openxmlformats.org/officeDocument/2006/relationships/image" Target="media/image38.wmf"/><Relationship Id="rId152" Type="http://schemas.openxmlformats.org/officeDocument/2006/relationships/image" Target="media/image72.png"/><Relationship Id="rId173" Type="http://schemas.openxmlformats.org/officeDocument/2006/relationships/oleObject" Target="embeddings/oleObject85.bin"/><Relationship Id="rId194" Type="http://schemas.openxmlformats.org/officeDocument/2006/relationships/image" Target="media/image95.png"/><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102.bin"/><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8.bin"/><Relationship Id="rId100" Type="http://schemas.openxmlformats.org/officeDocument/2006/relationships/image" Target="media/image46.wmf"/><Relationship Id="rId105" Type="http://schemas.openxmlformats.org/officeDocument/2006/relationships/oleObject" Target="embeddings/oleObject53.bin"/><Relationship Id="rId126" Type="http://schemas.openxmlformats.org/officeDocument/2006/relationships/image" Target="media/image59.wmf"/><Relationship Id="rId147" Type="http://schemas.openxmlformats.org/officeDocument/2006/relationships/image" Target="media/image68.wmf"/><Relationship Id="rId168" Type="http://schemas.openxmlformats.org/officeDocument/2006/relationships/image" Target="media/image82.wmf"/><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image" Target="media/image33.wmf"/><Relationship Id="rId93" Type="http://schemas.openxmlformats.org/officeDocument/2006/relationships/oleObject" Target="embeddings/oleObject47.bin"/><Relationship Id="rId98" Type="http://schemas.openxmlformats.org/officeDocument/2006/relationships/image" Target="media/image45.wmf"/><Relationship Id="rId121" Type="http://schemas.openxmlformats.org/officeDocument/2006/relationships/oleObject" Target="embeddings/oleObject61.bin"/><Relationship Id="rId142" Type="http://schemas.openxmlformats.org/officeDocument/2006/relationships/oleObject" Target="embeddings/oleObject72.bin"/><Relationship Id="rId163" Type="http://schemas.openxmlformats.org/officeDocument/2006/relationships/oleObject" Target="embeddings/oleObject80.bin"/><Relationship Id="rId184" Type="http://schemas.openxmlformats.org/officeDocument/2006/relationships/oleObject" Target="embeddings/oleObject91.bin"/><Relationship Id="rId189" Type="http://schemas.openxmlformats.org/officeDocument/2006/relationships/image" Target="media/image92.w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7.bin"/><Relationship Id="rId67" Type="http://schemas.openxmlformats.org/officeDocument/2006/relationships/oleObject" Target="embeddings/oleObject32.bin"/><Relationship Id="rId116" Type="http://schemas.openxmlformats.org/officeDocument/2006/relationships/image" Target="media/image54.wmf"/><Relationship Id="rId137" Type="http://schemas.openxmlformats.org/officeDocument/2006/relationships/oleObject" Target="embeddings/oleObject69.bin"/><Relationship Id="rId158" Type="http://schemas.openxmlformats.org/officeDocument/2006/relationships/image" Target="media/image77.wmf"/><Relationship Id="rId20" Type="http://schemas.openxmlformats.org/officeDocument/2006/relationships/oleObject" Target="embeddings/oleObject4.bin"/><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oleObject" Target="embeddings/oleObject41.bin"/><Relationship Id="rId88" Type="http://schemas.openxmlformats.org/officeDocument/2006/relationships/oleObject" Target="embeddings/oleObject44.bin"/><Relationship Id="rId111" Type="http://schemas.openxmlformats.org/officeDocument/2006/relationships/oleObject" Target="embeddings/oleObject56.bin"/><Relationship Id="rId132" Type="http://schemas.openxmlformats.org/officeDocument/2006/relationships/image" Target="media/image62.wmf"/><Relationship Id="rId153" Type="http://schemas.openxmlformats.org/officeDocument/2006/relationships/image" Target="media/image73.png"/><Relationship Id="rId174" Type="http://schemas.openxmlformats.org/officeDocument/2006/relationships/image" Target="media/image85.wmf"/><Relationship Id="rId179" Type="http://schemas.openxmlformats.org/officeDocument/2006/relationships/oleObject" Target="embeddings/oleObject88.bin"/><Relationship Id="rId195" Type="http://schemas.openxmlformats.org/officeDocument/2006/relationships/image" Target="media/image96.png"/><Relationship Id="rId209" Type="http://schemas.openxmlformats.org/officeDocument/2006/relationships/image" Target="media/image103.wmf"/><Relationship Id="rId190" Type="http://schemas.openxmlformats.org/officeDocument/2006/relationships/oleObject" Target="embeddings/oleObject94.bin"/><Relationship Id="rId204" Type="http://schemas.openxmlformats.org/officeDocument/2006/relationships/oleObject" Target="embeddings/oleObject100.bin"/><Relationship Id="rId15" Type="http://schemas.openxmlformats.org/officeDocument/2006/relationships/image" Target="media/image6.wmf"/><Relationship Id="rId36" Type="http://schemas.openxmlformats.org/officeDocument/2006/relationships/oleObject" Target="embeddings/oleObject12.bin"/><Relationship Id="rId57" Type="http://schemas.openxmlformats.org/officeDocument/2006/relationships/oleObject" Target="embeddings/oleObject26.bin"/><Relationship Id="rId106" Type="http://schemas.openxmlformats.org/officeDocument/2006/relationships/image" Target="media/image49.wmf"/><Relationship Id="rId127" Type="http://schemas.openxmlformats.org/officeDocument/2006/relationships/oleObject" Target="embeddings/oleObject64.bin"/><Relationship Id="rId10" Type="http://schemas.openxmlformats.org/officeDocument/2006/relationships/image" Target="media/image2.png"/><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oleObject" Target="embeddings/oleObject36.bin"/><Relationship Id="rId78" Type="http://schemas.openxmlformats.org/officeDocument/2006/relationships/image" Target="media/image36.wmf"/><Relationship Id="rId94" Type="http://schemas.openxmlformats.org/officeDocument/2006/relationships/image" Target="media/image43.wmf"/><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57.wmf"/><Relationship Id="rId143" Type="http://schemas.openxmlformats.org/officeDocument/2006/relationships/oleObject" Target="embeddings/oleObject73.bin"/><Relationship Id="rId148" Type="http://schemas.openxmlformats.org/officeDocument/2006/relationships/oleObject" Target="embeddings/oleObject76.bin"/><Relationship Id="rId164" Type="http://schemas.openxmlformats.org/officeDocument/2006/relationships/image" Target="media/image80.wmf"/><Relationship Id="rId169" Type="http://schemas.openxmlformats.org/officeDocument/2006/relationships/oleObject" Target="embeddings/oleObject83.bin"/><Relationship Id="rId185" Type="http://schemas.openxmlformats.org/officeDocument/2006/relationships/image" Target="media/image90.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89.bin"/><Relationship Id="rId210" Type="http://schemas.openxmlformats.org/officeDocument/2006/relationships/oleObject" Target="embeddings/oleObject103.bin"/><Relationship Id="rId26" Type="http://schemas.openxmlformats.org/officeDocument/2006/relationships/oleObject" Target="embeddings/oleObject7.bin"/><Relationship Id="rId47" Type="http://schemas.openxmlformats.org/officeDocument/2006/relationships/image" Target="media/image24.wmf"/><Relationship Id="rId68" Type="http://schemas.openxmlformats.org/officeDocument/2006/relationships/oleObject" Target="embeddings/oleObject33.bin"/><Relationship Id="rId89" Type="http://schemas.openxmlformats.org/officeDocument/2006/relationships/oleObject" Target="embeddings/oleObject45.bin"/><Relationship Id="rId112" Type="http://schemas.openxmlformats.org/officeDocument/2006/relationships/image" Target="media/image52.wmf"/><Relationship Id="rId133" Type="http://schemas.openxmlformats.org/officeDocument/2006/relationships/oleObject" Target="embeddings/oleObject67.bin"/><Relationship Id="rId154" Type="http://schemas.openxmlformats.org/officeDocument/2006/relationships/image" Target="media/image74.png"/><Relationship Id="rId175" Type="http://schemas.openxmlformats.org/officeDocument/2006/relationships/oleObject" Target="embeddings/oleObject86.bin"/><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18.bin"/><Relationship Id="rId2" Type="http://schemas.openxmlformats.org/officeDocument/2006/relationships/image" Target="media/image22.wmf"/><Relationship Id="rId1" Type="http://schemas.openxmlformats.org/officeDocument/2006/relationships/hyperlink" Target="mailto:michael.jacobsjr@pnc.com" TargetMode="External"/><Relationship Id="rId6" Type="http://schemas.openxmlformats.org/officeDocument/2006/relationships/hyperlink" Target="https://www5.fdic.gov/sdi/main.asp?formname=standard" TargetMode="External"/><Relationship Id="rId5" Type="http://schemas.openxmlformats.org/officeDocument/2006/relationships/oleObject" Target="embeddings/oleObject19.bin"/><Relationship Id="rId4"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40063-D92C-4B16-B3C2-280B77454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39</Pages>
  <Words>13401</Words>
  <Characters>76390</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IRC</vt:lpstr>
    </vt:vector>
  </TitlesOfParts>
  <Company>Hewlett-Packard</Company>
  <LinksUpToDate>false</LinksUpToDate>
  <CharactersWithSpaces>89612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IRC</dc:title>
  <dc:creator>Inanoglu &amp; Jacobs</dc:creator>
  <cp:lastModifiedBy>Mike</cp:lastModifiedBy>
  <cp:revision>5</cp:revision>
  <cp:lastPrinted>2019-05-31T18:55:00Z</cp:lastPrinted>
  <dcterms:created xsi:type="dcterms:W3CDTF">2019-12-15T17:36:00Z</dcterms:created>
  <dcterms:modified xsi:type="dcterms:W3CDTF">2019-12-15T17:53:00Z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DocHome">
    <vt:i4>1445839066</vt:i4>
  </property>
</Properties>
</file>